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Quarterly Report</w:t>
      </w:r>
    </w:p>
    <w:p>
      <w:pPr>
        <w:spacing w:after="200"/>
      </w:pPr>
      <w:r>
        <w:t xml:space="preserve">This document tests formatting: </w:t>
      </w:r>
      <w:r>
        <w:rPr>
          <w:b/>
          <w:bCs/>
        </w:rPr>
        <w:t xml:space="preserve">bold</w:t>
      </w:r>
      <w:r>
        <w:t xml:space="preserve">, </w:t>
      </w:r>
      <w:r>
        <w:rPr>
          <w:i/>
          <w:iCs/>
        </w:rPr>
        <w:t xml:space="preserve">italic</w:t>
      </w:r>
      <w:r>
        <w:t xml:space="preserve">, </w:t>
      </w:r>
      <w:r>
        <w:rPr>
          <w:u w:val="single"/>
        </w:rPr>
        <w:t xml:space="preserve">underlined</w:t>
      </w:r>
      <w:r>
        <w:t xml:space="preserve">, </w:t>
      </w:r>
      <w:r>
        <w:rPr>
          <w:color w:val="C2410C"/>
        </w:rPr>
        <w:t xml:space="preserve">coloured</w:t>
      </w:r>
      <w:r>
        <w:t xml:space="preserve"> and </w:t>
      </w:r>
      <w:r>
        <w:rPr>
          <w:b/>
          <w:bCs/>
          <w:i/>
          <w:iCs/>
          <w:u w:val="single"/>
        </w:rPr>
        <w:t xml:space="preserve">bold italic underlined</w:t>
      </w:r>
      <w:r>
        <w:t xml:space="preserve"> text.</w:t>
      </w:r>
    </w:p>
    <w:p>
      <w:pPr>
        <w:pStyle w:val="Heading2"/>
      </w:pPr>
      <w:r>
        <w:t xml:space="preserve">Highlights</w:t>
      </w:r>
    </w:p>
    <w:p>
      <w:pPr>
        <w:pStyle w:val="ListParagraph"/>
        <w:numPr>
          <w:ilvl w:val="0"/>
          <w:numId w:val="2"/>
        </w:numPr>
      </w:pPr>
      <w:r>
        <w:t xml:space="preserve">Revenue grew in every region</w:t>
      </w:r>
    </w:p>
    <w:p>
      <w:pPr>
        <w:pStyle w:val="ListParagraph"/>
        <w:numPr>
          <w:ilvl w:val="0"/>
          <w:numId w:val="2"/>
        </w:numPr>
      </w:pPr>
      <w:r>
        <w:t xml:space="preserve">Support tickets fell by a third</w:t>
      </w:r>
    </w:p>
    <w:p>
      <w:pPr>
        <w:pStyle w:val="ListParagraph"/>
        <w:numPr>
          <w:ilvl w:val="0"/>
          <w:numId w:val="2"/>
        </w:numPr>
      </w:pPr>
      <w:r>
        <w:t xml:space="preserve">The new app shipped on time</w:t>
      </w:r>
    </w:p>
    <w:p>
      <w:pPr>
        <w:pStyle w:val="Heading2"/>
        <w:spacing w:before="240"/>
      </w:pPr>
      <w:r>
        <w:t xml:space="preserve">Next steps</w:t>
      </w:r>
    </w:p>
    <w:p>
      <w:pPr>
        <w:pStyle w:val="ListParagraph"/>
        <w:numPr>
          <w:ilvl w:val="0"/>
          <w:numId w:val="3"/>
        </w:numPr>
      </w:pPr>
      <w:r>
        <w:t xml:space="preserve">Review the budget</w:t>
      </w:r>
    </w:p>
    <w:p>
      <w:pPr>
        <w:pStyle w:val="ListParagraph"/>
        <w:numPr>
          <w:ilvl w:val="0"/>
          <w:numId w:val="3"/>
        </w:numPr>
      </w:pPr>
      <w:r>
        <w:t xml:space="preserve">Hire two engineers</w:t>
      </w:r>
    </w:p>
    <w:p>
      <w:pPr>
        <w:pStyle w:val="ListParagraph"/>
        <w:numPr>
          <w:ilvl w:val="0"/>
          <w:numId w:val="3"/>
        </w:numPr>
      </w:pPr>
      <w:r>
        <w:t xml:space="preserve">Plan the Q3 launch</w:t>
      </w:r>
    </w:p>
    <w:p>
      <w:pPr>
        <w:pStyle w:val="Heading2"/>
        <w:spacing w:after="120" w:before="240"/>
      </w:pPr>
      <w:r>
        <w:t xml:space="preserve">Sales by region</w:t>
      </w:r>
    </w:p>
    <w:tbl>
      <w:tblPr>
        <w:tblW w:type="dxa" w:w="9000"/>
        <w:tblBorders>
          <w:top w:val="single" w:color="9CA3AF" w:sz="4"/>
          <w:left w:val="single" w:color="9CA3AF" w:sz="4"/>
          <w:bottom w:val="single" w:color="9CA3AF" w:sz="4"/>
          <w:right w:val="single" w:color="9CA3AF" w:sz="4"/>
          <w:insideH w:val="single" w:color="9CA3AF" w:sz="4"/>
          <w:insideV w:val="single" w:color="9CA3AF" w:sz="4"/>
        </w:tblBorders>
      </w:tblPr>
      <w:tblGrid>
        <w:gridCol w:w="3000"/>
        <w:gridCol w:w="3000"/>
        <w:gridCol w:w="3000"/>
      </w:tblGrid>
      <w:tr>
        <w:trPr>
          <w:tblHeader/>
        </w:trPr>
        <w:tc>
          <w:tcPr>
            <w:tcW w:type="dxa" w:w="3000"/>
            <w:shd w:fill="4F46E5" w:color="auto" w:val="clear"/>
            <w:tcMar>
              <w:top w:type="dxa" w:w="80"/>
              <w:left w:type="dxa" w:w="120"/>
              <w:bottom w:type="dxa" w:w="80"/>
              <w:right w:type="dxa" w:w="120"/>
            </w:tcMar>
          </w:tcPr>
          <w:p>
            <w:r>
              <w:rPr>
                <w:b/>
                <w:bCs/>
                <w:color w:val="FFFFFF"/>
              </w:rPr>
              <w:t xml:space="preserve">Region</w:t>
            </w:r>
          </w:p>
        </w:tc>
        <w:tc>
          <w:tcPr>
            <w:tcW w:type="dxa" w:w="3000"/>
            <w:shd w:fill="4F46E5" w:color="auto" w:val="clear"/>
            <w:tcMar>
              <w:top w:type="dxa" w:w="80"/>
              <w:left w:type="dxa" w:w="120"/>
              <w:bottom w:type="dxa" w:w="80"/>
              <w:right w:type="dxa" w:w="120"/>
            </w:tcMar>
          </w:tcPr>
          <w:p>
            <w:pPr>
              <w:jc w:val="right"/>
            </w:pPr>
            <w:r>
              <w:rPr>
                <w:b/>
                <w:bCs/>
                <w:color w:val="FFFFFF"/>
              </w:rPr>
              <w:t xml:space="preserve">Q1</w:t>
            </w:r>
          </w:p>
        </w:tc>
        <w:tc>
          <w:tcPr>
            <w:tcW w:type="dxa" w:w="3000"/>
            <w:shd w:fill="4F46E5" w:color="auto" w:val="clear"/>
            <w:tcMar>
              <w:top w:type="dxa" w:w="80"/>
              <w:left w:type="dxa" w:w="120"/>
              <w:bottom w:type="dxa" w:w="80"/>
              <w:right w:type="dxa" w:w="120"/>
            </w:tcMar>
          </w:tcPr>
          <w:p>
            <w:pPr>
              <w:jc w:val="right"/>
            </w:pPr>
            <w:r>
              <w:rPr>
                <w:b/>
                <w:bCs/>
                <w:color w:val="FFFFFF"/>
              </w:rPr>
              <w:t xml:space="preserve">Q2</w:t>
            </w:r>
          </w:p>
        </w:tc>
      </w:tr>
      <w:tr>
        <w:trPr>
          <w:tblHeader w:val="off"/>
        </w:trPr>
        <w:tc>
          <w:tcPr>
            <w:tcW w:type="dxa" w:w="3000"/>
            <w:tcMar>
              <w:top w:type="dxa" w:w="80"/>
              <w:left w:type="dxa" w:w="120"/>
              <w:bottom w:type="dxa" w:w="80"/>
              <w:right w:type="dxa" w:w="120"/>
            </w:tcMar>
          </w:tcPr>
          <w:p>
            <w:r>
              <w:rPr>
                <w:b w:val="false"/>
                <w:bCs w:val="false"/>
              </w:rPr>
              <w:t xml:space="preserve">North</w:t>
            </w:r>
          </w:p>
        </w:tc>
        <w:tc>
          <w:tcPr>
            <w:tcW w:type="dxa" w:w="3000"/>
            <w:tcMar>
              <w:top w:type="dxa" w:w="80"/>
              <w:left w:type="dxa" w:w="120"/>
              <w:bottom w:type="dxa" w:w="80"/>
              <w:right w:type="dxa" w:w="120"/>
            </w:tcMar>
          </w:tcPr>
          <w:p>
            <w:pPr>
              <w:jc w:val="right"/>
            </w:pPr>
            <w:r>
              <w:rPr>
                <w:b w:val="false"/>
                <w:bCs w:val="false"/>
              </w:rPr>
              <w:t xml:space="preserve">$120,000</w:t>
            </w:r>
          </w:p>
        </w:tc>
        <w:tc>
          <w:tcPr>
            <w:tcW w:type="dxa" w:w="3000"/>
            <w:tcMar>
              <w:top w:type="dxa" w:w="80"/>
              <w:left w:type="dxa" w:w="120"/>
              <w:bottom w:type="dxa" w:w="80"/>
              <w:right w:type="dxa" w:w="120"/>
            </w:tcMar>
          </w:tcPr>
          <w:p>
            <w:pPr>
              <w:jc w:val="right"/>
            </w:pPr>
            <w:r>
              <w:rPr>
                <w:b w:val="false"/>
                <w:bCs w:val="false"/>
              </w:rPr>
              <w:t xml:space="preserve">$135,500</w:t>
            </w:r>
          </w:p>
        </w:tc>
      </w:tr>
      <w:tr>
        <w:trPr>
          <w:tblHeader w:val="off"/>
        </w:trPr>
        <w:tc>
          <w:tcPr>
            <w:tcW w:type="dxa" w:w="3000"/>
            <w:tcMar>
              <w:top w:type="dxa" w:w="80"/>
              <w:left w:type="dxa" w:w="120"/>
              <w:bottom w:type="dxa" w:w="80"/>
              <w:right w:type="dxa" w:w="120"/>
            </w:tcMar>
          </w:tcPr>
          <w:p>
            <w:r>
              <w:rPr>
                <w:b w:val="false"/>
                <w:bCs w:val="false"/>
              </w:rPr>
              <w:t xml:space="preserve">South</w:t>
            </w:r>
          </w:p>
        </w:tc>
        <w:tc>
          <w:tcPr>
            <w:tcW w:type="dxa" w:w="3000"/>
            <w:tcMar>
              <w:top w:type="dxa" w:w="80"/>
              <w:left w:type="dxa" w:w="120"/>
              <w:bottom w:type="dxa" w:w="80"/>
              <w:right w:type="dxa" w:w="120"/>
            </w:tcMar>
          </w:tcPr>
          <w:p>
            <w:pPr>
              <w:jc w:val="right"/>
            </w:pPr>
            <w:r>
              <w:rPr>
                <w:b w:val="false"/>
                <w:bCs w:val="false"/>
              </w:rPr>
              <w:t xml:space="preserve">$98,250</w:t>
            </w:r>
          </w:p>
        </w:tc>
        <w:tc>
          <w:tcPr>
            <w:tcW w:type="dxa" w:w="3000"/>
            <w:tcMar>
              <w:top w:type="dxa" w:w="80"/>
              <w:left w:type="dxa" w:w="120"/>
              <w:bottom w:type="dxa" w:w="80"/>
              <w:right w:type="dxa" w:w="120"/>
            </w:tcMar>
          </w:tcPr>
          <w:p>
            <w:pPr>
              <w:jc w:val="right"/>
            </w:pPr>
            <w:r>
              <w:rPr>
                <w:b w:val="false"/>
                <w:bCs w:val="false"/>
              </w:rPr>
              <w:t xml:space="preserve">$101,000</w:t>
            </w:r>
          </w:p>
        </w:tc>
      </w:tr>
      <w:tr>
        <w:trPr>
          <w:tblHeader w:val="off"/>
        </w:trPr>
        <w:tc>
          <w:tcPr>
            <w:tcW w:type="dxa" w:w="3000"/>
            <w:tcMar>
              <w:top w:type="dxa" w:w="80"/>
              <w:left w:type="dxa" w:w="120"/>
              <w:bottom w:type="dxa" w:w="80"/>
              <w:right w:type="dxa" w:w="120"/>
            </w:tcMar>
          </w:tcPr>
          <w:p>
            <w:r>
              <w:rPr>
                <w:b w:val="false"/>
                <w:bCs w:val="false"/>
              </w:rPr>
              <w:t xml:space="preserve">West</w:t>
            </w:r>
          </w:p>
        </w:tc>
        <w:tc>
          <w:tcPr>
            <w:tcW w:type="dxa" w:w="3000"/>
            <w:tcMar>
              <w:top w:type="dxa" w:w="80"/>
              <w:left w:type="dxa" w:w="120"/>
              <w:bottom w:type="dxa" w:w="80"/>
              <w:right w:type="dxa" w:w="120"/>
            </w:tcMar>
          </w:tcPr>
          <w:p>
            <w:pPr>
              <w:jc w:val="right"/>
            </w:pPr>
            <w:r>
              <w:rPr>
                <w:b w:val="false"/>
                <w:bCs w:val="false"/>
              </w:rPr>
              <w:t xml:space="preserve">$143,700</w:t>
            </w:r>
          </w:p>
        </w:tc>
        <w:tc>
          <w:tcPr>
            <w:tcW w:type="dxa" w:w="3000"/>
            <w:tcMar>
              <w:top w:type="dxa" w:w="80"/>
              <w:left w:type="dxa" w:w="120"/>
              <w:bottom w:type="dxa" w:w="80"/>
              <w:right w:type="dxa" w:w="120"/>
            </w:tcMar>
          </w:tcPr>
          <w:p>
            <w:pPr>
              <w:jc w:val="right"/>
            </w:pPr>
            <w:r>
              <w:rPr>
                <w:b w:val="false"/>
                <w:bCs w:val="false"/>
              </w:rPr>
              <w:t xml:space="preserve">$150,200</w:t>
            </w:r>
          </w:p>
        </w:tc>
      </w:tr>
    </w:tbl>
    <w:p>
      <w:pPr>
        <w:spacing w:after="120" w:before="240"/>
      </w:pPr>
      <w:r>
        <w:rPr>
          <w:i/>
          <w:iCs/>
        </w:rPr>
        <w:t xml:space="preserve">Figure 1: growth by quarter</w:t>
      </w:r>
    </w:p>
    <w:p>
      <w:pPr>
        <w:jc w:val="center"/>
      </w:pPr>
      <w:r>
        <w:drawing>
          <wp:inline distT="0" distB="0" distL="0" distR="0">
            <wp:extent cx="4000500" cy="2000250"/>
            <wp:effectExtent t="0" r="0" b="0" l="0"/>
            <wp:docPr id="1" name="chart" descr="Bars growing left to right" title="B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000250"/>
                    </a:xfrm>
                    <a:prstGeom prst="rect">
                      <a:avLst/>
                    </a:prstGeom>
                  </pic:spPr>
                </pic:pic>
              </a:graphicData>
            </a:graphic>
          </wp:inline>
        </w:drawing>
      </w:r>
    </w:p>
    <w:p>
      <w:r>
        <w:br w:type="page"/>
      </w:r>
    </w:p>
    <w:p>
      <w:pPr>
        <w:pStyle w:val="Heading2"/>
      </w:pPr>
      <w:r>
        <w:t xml:space="preserve">Second page</w:t>
      </w:r>
    </w:p>
    <w:p>
      <w:pPr>
        <w:spacing w:after="160"/>
      </w:pPr>
      <w:r>
        <w:t xml:space="preserve">Paragraph 1. Toolbox converts Word documents to PDF entirely on your device, so nothing is uploaded. This paragraph is only here to take up room and make the document run onto further pages, which lets us check that page breaks fall between paragraphs rather than through the middle of a line of text.</w:t>
      </w:r>
    </w:p>
    <w:p>
      <w:pPr>
        <w:spacing w:after="160"/>
      </w:pPr>
      <w:r>
        <w:t xml:space="preserve">Paragraph 2. Toolbox converts Word documents to PDF entirely on your device, so nothing is uploaded. This paragraph is only here to take up room and make the document run onto further pages, which lets us check that page breaks fall between paragraphs rather than through the middle of a line of text.</w:t>
      </w:r>
    </w:p>
    <w:p>
      <w:pPr>
        <w:spacing w:after="160"/>
      </w:pPr>
      <w:r>
        <w:t xml:space="preserve">Paragraph 3. Toolbox converts Word documents to PDF entirely on your device, so nothing is uploaded. This paragraph is only here to take up room and make the document run onto further pages, which lets us check that page breaks fall between paragraphs rather than through the middle of a line of text.</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abstractNum w:abstractNumId="3" w15:restartNumberingAfterBreak="0">
    <w:multiLevelType w:val="hybridMultilevel"/>
    <w:lvl w:ilvl="0" w: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b0a5f5012781146ac4ddb340336dd161db8ca6c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Quarterly Report</dc:title>
  <dc:creator>Toolbox</dc:creator>
  <cp:lastModifiedBy>Un-named</cp:lastModifiedBy>
  <cp:revision>1</cp:revision>
  <dcterms:created xsi:type="dcterms:W3CDTF">2026-10-09T14:34:41.350Z</dcterms:created>
  <dcterms:modified xsi:type="dcterms:W3CDTF">2026-10-09T14:34:41.351Z</dcterms:modified>
</cp:coreProperties>
</file>

<file path=docProps/custom.xml><?xml version="1.0" encoding="utf-8"?>
<Properties xmlns="http://schemas.openxmlformats.org/officeDocument/2006/custom-properties" xmlns:vt="http://schemas.openxmlformats.org/officeDocument/2006/docPropsVTypes"/>
</file>