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DA7A" w14:textId="77777777" w:rsidR="001F2F33" w:rsidRPr="00374B28" w:rsidRDefault="00000000" w:rsidP="00374B28">
      <w:pPr>
        <w:spacing w:after="60"/>
        <w:jc w:val="center"/>
        <w:rPr>
          <w:rFonts w:asciiTheme="minorHAnsi" w:hAnsiTheme="minorHAnsi" w:cstheme="minorHAnsi"/>
          <w:sz w:val="36"/>
          <w:szCs w:val="36"/>
        </w:rPr>
      </w:pPr>
      <w:r w:rsidRPr="00374B28">
        <w:rPr>
          <w:rFonts w:asciiTheme="minorHAnsi" w:eastAsia="Calibri" w:hAnsiTheme="minorHAnsi" w:cstheme="minorHAnsi"/>
          <w:b/>
          <w:bCs/>
          <w:sz w:val="36"/>
          <w:szCs w:val="36"/>
        </w:rPr>
        <w:t>VESPER-SEC-01 · Week 5 Deliverable</w:t>
      </w:r>
    </w:p>
    <w:p w14:paraId="1DC572F5" w14:textId="77777777" w:rsidR="001F2F33" w:rsidRPr="00374B28" w:rsidRDefault="00000000" w:rsidP="00374B28">
      <w:pPr>
        <w:spacing w:after="60"/>
        <w:jc w:val="center"/>
        <w:rPr>
          <w:rFonts w:asciiTheme="minorHAnsi" w:hAnsiTheme="minorHAnsi" w:cstheme="minorHAnsi"/>
        </w:rPr>
      </w:pPr>
      <w:r w:rsidRPr="00374B28">
        <w:rPr>
          <w:rFonts w:asciiTheme="minorHAnsi" w:eastAsia="Calibri" w:hAnsiTheme="minorHAnsi" w:cstheme="minorHAnsi"/>
          <w:color w:val="1F4E5F"/>
          <w:sz w:val="27"/>
          <w:szCs w:val="27"/>
        </w:rPr>
        <w:t>Analytical Model and Governing Equations</w:t>
      </w:r>
    </w:p>
    <w:p w14:paraId="3AD7E590" w14:textId="77777777" w:rsidR="001F2F33" w:rsidRPr="00374B28" w:rsidRDefault="00000000" w:rsidP="00374B28">
      <w:pPr>
        <w:spacing w:after="200"/>
        <w:jc w:val="center"/>
        <w:rPr>
          <w:rFonts w:asciiTheme="minorHAnsi" w:hAnsiTheme="minorHAnsi" w:cstheme="minorHAnsi"/>
        </w:rPr>
      </w:pPr>
      <w:r w:rsidRPr="00374B28">
        <w:rPr>
          <w:rFonts w:asciiTheme="minorHAnsi" w:eastAsia="Calibri" w:hAnsiTheme="minorHAnsi" w:cstheme="minorHAnsi"/>
          <w:i/>
          <w:iCs/>
          <w:sz w:val="21"/>
          <w:szCs w:val="21"/>
        </w:rPr>
        <w:t>Cryptographic Primitive Benchmarking Under Cycle-Accurate Emulation — Nano-Bee Secure Communications</w:t>
      </w:r>
    </w:p>
    <w:p w14:paraId="5A895A12" w14:textId="77777777" w:rsidR="00BF13FD" w:rsidRPr="00BF13FD" w:rsidRDefault="00BF13FD" w:rsidP="00BF13FD">
      <w:pPr>
        <w:jc w:val="center"/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</w:pPr>
      <w:r w:rsidRPr="00BF13FD">
        <w:rPr>
          <w:rFonts w:asciiTheme="minorHAnsi" w:eastAsia="Calibri" w:hAnsiTheme="minorHAnsi" w:cstheme="minorHAnsi"/>
          <w:b/>
          <w:bCs/>
          <w:color w:val="171717" w:themeColor="background2" w:themeShade="1A"/>
          <w:sz w:val="24"/>
          <w:szCs w:val="24"/>
        </w:rPr>
        <w:t>VESPER-SEC-01 Project</w:t>
      </w:r>
    </w:p>
    <w:p w14:paraId="625156BA" w14:textId="77777777" w:rsidR="00BF13FD" w:rsidRPr="00BF13FD" w:rsidRDefault="00BF13FD" w:rsidP="00BF13FD">
      <w:pPr>
        <w:jc w:val="center"/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</w:pPr>
      <w:r w:rsidRPr="00BF13FD">
        <w:rPr>
          <w:rFonts w:asciiTheme="minorHAnsi" w:eastAsia="Calibri" w:hAnsiTheme="minorHAnsi" w:cstheme="minorHAnsi"/>
          <w:b/>
          <w:bCs/>
          <w:color w:val="171717" w:themeColor="background2" w:themeShade="1A"/>
          <w:sz w:val="24"/>
          <w:szCs w:val="24"/>
        </w:rPr>
        <w:t>Domain Track</w:t>
      </w:r>
      <w:r w:rsidRPr="00BF13FD"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  <w:t>: Cybersecurity (Option 3.5 A)</w:t>
      </w:r>
    </w:p>
    <w:p w14:paraId="657916E1" w14:textId="77777777" w:rsidR="00BF13FD" w:rsidRPr="00BF13FD" w:rsidRDefault="00BF13FD" w:rsidP="00BF13FD">
      <w:pPr>
        <w:jc w:val="center"/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</w:pPr>
      <w:r w:rsidRPr="00BF13FD">
        <w:rPr>
          <w:rFonts w:asciiTheme="minorHAnsi" w:eastAsia="Calibri" w:hAnsiTheme="minorHAnsi" w:cstheme="minorHAnsi"/>
          <w:b/>
          <w:bCs/>
          <w:color w:val="171717" w:themeColor="background2" w:themeShade="1A"/>
          <w:sz w:val="24"/>
          <w:szCs w:val="24"/>
        </w:rPr>
        <w:t>Subsystem Tier:</w:t>
      </w:r>
      <w:r w:rsidRPr="00BF13FD"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  <w:t xml:space="preserve"> B-System · Mothership</w:t>
      </w:r>
    </w:p>
    <w:p w14:paraId="716F927F" w14:textId="77777777" w:rsidR="00BF13FD" w:rsidRPr="00BF13FD" w:rsidRDefault="00BF13FD" w:rsidP="00BF13FD">
      <w:pPr>
        <w:jc w:val="center"/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</w:pPr>
      <w:r w:rsidRPr="00BF13FD"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  <w:t>VISVAMBHARA (Weeks 4–12)</w:t>
      </w:r>
    </w:p>
    <w:p w14:paraId="60540D64" w14:textId="77777777" w:rsidR="00BF13FD" w:rsidRPr="00BF13FD" w:rsidRDefault="00BF13FD" w:rsidP="00BF13FD">
      <w:pPr>
        <w:jc w:val="center"/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</w:pPr>
      <w:r w:rsidRPr="00BF13FD">
        <w:rPr>
          <w:rFonts w:asciiTheme="minorHAnsi" w:eastAsia="Calibri" w:hAnsiTheme="minorHAnsi" w:cstheme="minorHAnsi"/>
          <w:b/>
          <w:bCs/>
          <w:color w:val="171717" w:themeColor="background2" w:themeShade="1A"/>
          <w:sz w:val="24"/>
          <w:szCs w:val="24"/>
        </w:rPr>
        <w:t>Rutvika Mahadev Ashtekar</w:t>
      </w:r>
    </w:p>
    <w:p w14:paraId="1392ADE4" w14:textId="77777777" w:rsidR="00BF13FD" w:rsidRPr="00BF13FD" w:rsidRDefault="00BF13FD" w:rsidP="00BF13FD">
      <w:pPr>
        <w:jc w:val="center"/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</w:pPr>
      <w:r w:rsidRPr="00BF13FD"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  <w:t>September 2026</w:t>
      </w:r>
    </w:p>
    <w:p w14:paraId="2673B56B" w14:textId="77777777" w:rsidR="00374B28" w:rsidRPr="00374B28" w:rsidRDefault="00374B28" w:rsidP="00374B28">
      <w:pPr>
        <w:rPr>
          <w:rFonts w:asciiTheme="minorHAnsi" w:eastAsia="Calibri" w:hAnsiTheme="minorHAnsi" w:cstheme="minorHAnsi"/>
          <w:color w:val="555555"/>
          <w:sz w:val="22"/>
          <w:szCs w:val="22"/>
        </w:rPr>
      </w:pPr>
    </w:p>
    <w:p w14:paraId="06A47F86" w14:textId="2808908D" w:rsidR="001F2F33" w:rsidRPr="00374B28" w:rsidRDefault="00000000" w:rsidP="00374B28">
      <w:pPr>
        <w:spacing w:after="400"/>
        <w:rPr>
          <w:rFonts w:asciiTheme="minorHAnsi" w:eastAsia="Calibri" w:hAnsiTheme="minorHAnsi" w:cstheme="minorHAnsi"/>
          <w:color w:val="555555"/>
          <w:sz w:val="32"/>
          <w:szCs w:val="32"/>
        </w:rPr>
      </w:pPr>
      <w:r w:rsidRPr="00374B28">
        <w:rPr>
          <w:rFonts w:asciiTheme="minorHAnsi" w:hAnsiTheme="minorHAnsi" w:cstheme="minorHAnsi"/>
          <w:sz w:val="32"/>
          <w:szCs w:val="32"/>
        </w:rPr>
        <w:t>Executive Summary</w:t>
      </w:r>
    </w:p>
    <w:p w14:paraId="6FBCE83B" w14:textId="77777777" w:rsidR="001F2F33" w:rsidRPr="00374B28" w:rsidRDefault="00000000">
      <w:pPr>
        <w:spacing w:after="160"/>
        <w:rPr>
          <w:rFonts w:asciiTheme="minorHAnsi" w:hAnsiTheme="minorHAnsi" w:cstheme="minorHAnsi"/>
          <w:sz w:val="24"/>
          <w:szCs w:val="24"/>
        </w:rPr>
      </w:pPr>
      <w:r w:rsidRPr="00374B28">
        <w:rPr>
          <w:rFonts w:asciiTheme="minorHAnsi" w:eastAsia="Calibri" w:hAnsiTheme="minorHAnsi" w:cstheme="minorHAnsi"/>
          <w:sz w:val="24"/>
          <w:szCs w:val="24"/>
        </w:rPr>
        <w:t>This document is the Week 5 deliverable for VESPER-SEC-01, satisfying the charter requirement (VESPER-TASK-W412-002, §2.1) for a first analytical model expressed as governing equations and assumptions, with analytical limiting cases identified. It contains no code, no compilation, and no execution — those are Week 6 activities under the same charter. Every equation, numeric value, reference, and open item in this document is carried forward directly from the VESPER-SEC-01 Week 4 report; nothing here is invented or estimated for the first time in Week 5.</w:t>
      </w:r>
    </w:p>
    <w:p w14:paraId="3D26143F" w14:textId="77777777" w:rsidR="001F2F33" w:rsidRPr="00374B28" w:rsidRDefault="00000000">
      <w:pPr>
        <w:spacing w:after="160"/>
        <w:rPr>
          <w:rFonts w:asciiTheme="minorHAnsi" w:hAnsiTheme="minorHAnsi" w:cstheme="minorHAnsi"/>
          <w:sz w:val="24"/>
          <w:szCs w:val="24"/>
        </w:rPr>
      </w:pPr>
      <w:r w:rsidRPr="00374B28">
        <w:rPr>
          <w:rFonts w:asciiTheme="minorHAnsi" w:eastAsia="Calibri" w:hAnsiTheme="minorHAnsi" w:cstheme="minorHAnsi"/>
          <w:sz w:val="24"/>
          <w:szCs w:val="24"/>
        </w:rPr>
        <w:t>The purpose of this model is to define, precisely and in advance, exactly how cycle counts, memory, and energy will be measured and judged once benchmarking begins in Week 6 — so that the measurement methodology itself is fixed and auditable before any number is produced.</w:t>
      </w:r>
    </w:p>
    <w:p w14:paraId="4DEFBB58" w14:textId="655971DD" w:rsidR="001F2F33" w:rsidRPr="00374B28" w:rsidRDefault="00000000" w:rsidP="00374B28">
      <w:pPr>
        <w:spacing w:line="360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374B28">
        <w:rPr>
          <w:rFonts w:asciiTheme="minorHAnsi" w:hAnsiTheme="minorHAnsi" w:cstheme="minorHAnsi"/>
          <w:b/>
          <w:bCs/>
          <w:color w:val="0070C0"/>
          <w:sz w:val="28"/>
          <w:szCs w:val="28"/>
        </w:rPr>
        <w:t>1. Scope and Charter Alignment</w:t>
      </w:r>
    </w:p>
    <w:p w14:paraId="00F2FD02" w14:textId="77777777" w:rsidR="001F2F33" w:rsidRDefault="00000000">
      <w:pPr>
        <w:spacing w:after="160"/>
        <w:rPr>
          <w:rFonts w:asciiTheme="minorHAnsi" w:eastAsia="Calibri" w:hAnsiTheme="minorHAnsi" w:cstheme="minorHAnsi"/>
          <w:sz w:val="24"/>
          <w:szCs w:val="24"/>
        </w:rPr>
      </w:pPr>
      <w:r w:rsidRPr="00374B28">
        <w:rPr>
          <w:rFonts w:asciiTheme="minorHAnsi" w:eastAsia="Calibri" w:hAnsiTheme="minorHAnsi" w:cstheme="minorHAnsi"/>
          <w:sz w:val="24"/>
          <w:szCs w:val="24"/>
        </w:rPr>
        <w:t>The VISVAMBHARA Weeks 4–12 charter defines Week 5 as the "Model or specification" phase: governing equations and assumptions, not prose, with analytical limiting cases identified. Week 6 is separately defined as the "First working artifact" phase, where code is written and a first number is produced. This document deliberately stays inside the Week 5 boundary.</w:t>
      </w:r>
    </w:p>
    <w:p w14:paraId="5D2D8BE0" w14:textId="77777777" w:rsidR="00EA7D51" w:rsidRPr="00374B28" w:rsidRDefault="00EA7D51">
      <w:pPr>
        <w:spacing w:after="160"/>
        <w:rPr>
          <w:rFonts w:asciiTheme="minorHAnsi" w:hAnsiTheme="minorHAnsi" w:cstheme="minorHAnsi"/>
          <w:sz w:val="24"/>
          <w:szCs w:val="24"/>
        </w:rPr>
      </w:pPr>
    </w:p>
    <w:tbl>
      <w:tblPr>
        <w:tblStyle w:val="GridTable2-Accent6"/>
        <w:tblW w:w="5000" w:type="pct"/>
        <w:tblLook w:val="0000" w:firstRow="0" w:lastRow="0" w:firstColumn="0" w:lastColumn="0" w:noHBand="0" w:noVBand="0"/>
      </w:tblPr>
      <w:tblGrid>
        <w:gridCol w:w="1872"/>
        <w:gridCol w:w="3744"/>
        <w:gridCol w:w="1872"/>
        <w:gridCol w:w="1872"/>
      </w:tblGrid>
      <w:tr w:rsidR="001F2F33" w:rsidRPr="00EA7D51" w14:paraId="4769F0F6" w14:textId="77777777" w:rsidTr="00EA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04E0E7A2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4"/>
                <w:szCs w:val="24"/>
              </w:rPr>
              <w:t>Week</w:t>
            </w:r>
          </w:p>
        </w:tc>
        <w:tc>
          <w:tcPr>
            <w:tcW w:w="2000" w:type="pct"/>
          </w:tcPr>
          <w:p w14:paraId="4322E448" w14:textId="77777777" w:rsidR="001F2F33" w:rsidRPr="00EA7D51" w:rsidRDefault="00000000" w:rsidP="00374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4"/>
                <w:szCs w:val="24"/>
              </w:rPr>
              <w:t>Charter Phase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2C9C667F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4"/>
                <w:szCs w:val="24"/>
              </w:rPr>
              <w:t>Contains Code?</w:t>
            </w:r>
          </w:p>
        </w:tc>
        <w:tc>
          <w:tcPr>
            <w:tcW w:w="1000" w:type="pct"/>
          </w:tcPr>
          <w:p w14:paraId="0714E38B" w14:textId="77777777" w:rsidR="001F2F33" w:rsidRPr="00EA7D51" w:rsidRDefault="00000000" w:rsidP="00374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4"/>
                <w:szCs w:val="24"/>
              </w:rPr>
              <w:t>Contains Execution?</w:t>
            </w:r>
          </w:p>
        </w:tc>
      </w:tr>
      <w:tr w:rsidR="001F2F33" w:rsidRPr="00EA7D51" w14:paraId="7546FE04" w14:textId="77777777" w:rsidTr="00374B2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464DE050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00" w:type="pct"/>
          </w:tcPr>
          <w:p w14:paraId="34A339D3" w14:textId="77777777" w:rsidR="001F2F33" w:rsidRPr="00EA7D51" w:rsidRDefault="00000000" w:rsidP="00374B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color w:val="000000" w:themeColor="text1"/>
                <w:sz w:val="24"/>
                <w:szCs w:val="24"/>
              </w:rPr>
              <w:t>Scoping &amp; toolchain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74EE288B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color w:val="000000" w:themeColor="text1"/>
                <w:sz w:val="24"/>
                <w:szCs w:val="24"/>
              </w:rPr>
              <w:t>No (toolchain install/verify only)</w:t>
            </w:r>
          </w:p>
        </w:tc>
        <w:tc>
          <w:tcPr>
            <w:tcW w:w="1000" w:type="pct"/>
          </w:tcPr>
          <w:p w14:paraId="6F9654FA" w14:textId="77777777" w:rsidR="001F2F33" w:rsidRPr="00EA7D51" w:rsidRDefault="00000000" w:rsidP="00374B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color w:val="000000" w:themeColor="text1"/>
                <w:sz w:val="24"/>
                <w:szCs w:val="24"/>
              </w:rPr>
              <w:t>No</w:t>
            </w:r>
          </w:p>
        </w:tc>
      </w:tr>
      <w:tr w:rsidR="001F2F33" w:rsidRPr="00EA7D51" w14:paraId="0E6C1D22" w14:textId="77777777" w:rsidTr="00374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3F8BE1C1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color w:val="000000" w:themeColor="text1"/>
                <w:sz w:val="24"/>
                <w:szCs w:val="24"/>
              </w:rPr>
              <w:t>5 (this document)</w:t>
            </w:r>
          </w:p>
        </w:tc>
        <w:tc>
          <w:tcPr>
            <w:tcW w:w="2000" w:type="pct"/>
          </w:tcPr>
          <w:p w14:paraId="74607E27" w14:textId="77777777" w:rsidR="001F2F33" w:rsidRPr="00EA7D51" w:rsidRDefault="00000000" w:rsidP="00374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color w:val="000000" w:themeColor="text1"/>
                <w:sz w:val="24"/>
                <w:szCs w:val="24"/>
              </w:rPr>
              <w:t>Model or specification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34D4A497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000" w:type="pct"/>
          </w:tcPr>
          <w:p w14:paraId="5CBB0999" w14:textId="77777777" w:rsidR="001F2F33" w:rsidRPr="00EA7D51" w:rsidRDefault="00000000" w:rsidP="00374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color w:val="000000" w:themeColor="text1"/>
                <w:sz w:val="24"/>
                <w:szCs w:val="24"/>
              </w:rPr>
              <w:t>No</w:t>
            </w:r>
          </w:p>
        </w:tc>
      </w:tr>
      <w:tr w:rsidR="001F2F33" w:rsidRPr="00EA7D51" w14:paraId="7EFF0D1F" w14:textId="77777777" w:rsidTr="00374B2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64A66011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000" w:type="pct"/>
          </w:tcPr>
          <w:p w14:paraId="5DC04749" w14:textId="77777777" w:rsidR="001F2F33" w:rsidRPr="00EA7D51" w:rsidRDefault="00000000" w:rsidP="00374B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color w:val="000000" w:themeColor="text1"/>
                <w:sz w:val="24"/>
                <w:szCs w:val="24"/>
              </w:rPr>
              <w:t>First working artifact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347BB6ED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000" w:type="pct"/>
          </w:tcPr>
          <w:p w14:paraId="09258229" w14:textId="77777777" w:rsidR="001F2F33" w:rsidRPr="00EA7D51" w:rsidRDefault="00000000" w:rsidP="00374B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color w:val="000000" w:themeColor="text1"/>
                <w:sz w:val="24"/>
                <w:szCs w:val="24"/>
              </w:rPr>
              <w:t>Yes</w:t>
            </w:r>
          </w:p>
        </w:tc>
      </w:tr>
    </w:tbl>
    <w:p w14:paraId="454A281E" w14:textId="2CF35595" w:rsidR="001F2F33" w:rsidRPr="00374B28" w:rsidRDefault="00000000">
      <w:pPr>
        <w:pStyle w:val="Heading1"/>
        <w:spacing w:before="320" w:after="150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374B28">
        <w:rPr>
          <w:rFonts w:asciiTheme="minorHAnsi" w:hAnsiTheme="minorHAnsi" w:cstheme="minorHAnsi"/>
          <w:b/>
          <w:bCs/>
          <w:color w:val="0070C0"/>
          <w:sz w:val="28"/>
          <w:szCs w:val="28"/>
        </w:rPr>
        <w:lastRenderedPageBreak/>
        <w:t>2. Project Context</w:t>
      </w:r>
    </w:p>
    <w:p w14:paraId="48F1E143" w14:textId="77777777" w:rsidR="001F2F33" w:rsidRPr="00374B28" w:rsidRDefault="00000000">
      <w:pPr>
        <w:spacing w:after="160"/>
        <w:rPr>
          <w:rFonts w:asciiTheme="minorHAnsi" w:hAnsiTheme="minorHAnsi" w:cstheme="minorHAnsi"/>
          <w:sz w:val="24"/>
          <w:szCs w:val="24"/>
        </w:rPr>
      </w:pPr>
      <w:r w:rsidRPr="00374B28">
        <w:rPr>
          <w:rFonts w:asciiTheme="minorHAnsi" w:eastAsia="Calibri" w:hAnsiTheme="minorHAnsi" w:cstheme="minorHAnsi"/>
          <w:sz w:val="24"/>
          <w:szCs w:val="24"/>
        </w:rPr>
        <w:t xml:space="preserve">VESPER-SEC-01 investigates which cryptographic primitives can run within the Nano-Bee tier's severely constrained compute, memory, and power budget. The Week 4 report established the toolchain (Arm GNU Toolchain, QEMU, </w:t>
      </w:r>
      <w:proofErr w:type="spellStart"/>
      <w:r w:rsidRPr="00374B28">
        <w:rPr>
          <w:rFonts w:asciiTheme="minorHAnsi" w:eastAsia="Calibri" w:hAnsiTheme="minorHAnsi" w:cstheme="minorHAnsi"/>
          <w:sz w:val="24"/>
          <w:szCs w:val="24"/>
        </w:rPr>
        <w:t>Renode</w:t>
      </w:r>
      <w:proofErr w:type="spellEnd"/>
      <w:r w:rsidRPr="00374B28">
        <w:rPr>
          <w:rFonts w:asciiTheme="minorHAnsi" w:eastAsia="Calibri" w:hAnsiTheme="minorHAnsi" w:cstheme="minorHAnsi"/>
          <w:sz w:val="24"/>
          <w:szCs w:val="24"/>
        </w:rPr>
        <w:t>), verified it functionally, and completed a trivial cycle-accuracy check. It also explicitly left one item outstanding: cryptography-specific cycle-accuracy validation against a published Kyber-512 result. This Week 5 document does not attempt that validation — it formalizes the model and criteria that Week 6 will use to carry it out.</w:t>
      </w:r>
    </w:p>
    <w:p w14:paraId="10996F82" w14:textId="2B856468" w:rsidR="001F2F33" w:rsidRDefault="00000000" w:rsidP="00374B28">
      <w:pPr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374B28">
        <w:rPr>
          <w:rFonts w:asciiTheme="minorHAnsi" w:hAnsiTheme="minorHAnsi" w:cstheme="minorHAnsi"/>
          <w:b/>
          <w:bCs/>
          <w:color w:val="0070C0"/>
          <w:sz w:val="28"/>
          <w:szCs w:val="28"/>
        </w:rPr>
        <w:t>3. Facts vs. Assumptions</w:t>
      </w:r>
    </w:p>
    <w:p w14:paraId="05C04CC8" w14:textId="77777777" w:rsidR="00374B28" w:rsidRPr="00374B28" w:rsidRDefault="00374B28" w:rsidP="00374B28">
      <w:pPr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</w:p>
    <w:p w14:paraId="695778B6" w14:textId="77777777" w:rsidR="001F2F33" w:rsidRPr="00EA7D51" w:rsidRDefault="00000000">
      <w:pPr>
        <w:spacing w:after="160"/>
        <w:rPr>
          <w:rFonts w:asciiTheme="minorHAnsi" w:eastAsia="Calibri" w:hAnsiTheme="minorHAnsi" w:cstheme="minorHAnsi"/>
          <w:sz w:val="24"/>
          <w:szCs w:val="24"/>
        </w:rPr>
      </w:pPr>
      <w:r w:rsidRPr="00EA7D51">
        <w:rPr>
          <w:rFonts w:asciiTheme="minorHAnsi" w:eastAsia="Calibri" w:hAnsiTheme="minorHAnsi" w:cstheme="minorHAnsi"/>
          <w:sz w:val="24"/>
          <w:szCs w:val="24"/>
        </w:rPr>
        <w:t>A recurring discipline in the Week 4 report is separating manufacturer-published facts from this project's own engineering assumptions. That separation is preserved and made explicit here, because every equation in Section 5 depends on values from both categories.</w:t>
      </w:r>
    </w:p>
    <w:p w14:paraId="4A447884" w14:textId="77777777" w:rsidR="00374B28" w:rsidRPr="00374B28" w:rsidRDefault="00374B28">
      <w:pPr>
        <w:spacing w:after="160"/>
        <w:rPr>
          <w:rFonts w:asciiTheme="minorHAnsi" w:hAnsiTheme="minorHAnsi" w:cstheme="minorHAnsi"/>
          <w:sz w:val="28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2"/>
        <w:gridCol w:w="3086"/>
        <w:gridCol w:w="2057"/>
        <w:gridCol w:w="2805"/>
      </w:tblGrid>
      <w:tr w:rsidR="001F2F33" w:rsidRPr="00EA7D51" w14:paraId="05EA2228" w14:textId="77777777" w:rsidTr="00374B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  <w:shd w:val="clear" w:color="auto" w:fill="1F4E5F"/>
          </w:tcPr>
          <w:p w14:paraId="5BBECE95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1650" w:type="pct"/>
            <w:shd w:val="clear" w:color="auto" w:fill="1F4E5F"/>
          </w:tcPr>
          <w:p w14:paraId="42081C9F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b/>
                <w:bCs/>
                <w:color w:val="FFFFFF"/>
                <w:sz w:val="24"/>
                <w:szCs w:val="24"/>
              </w:rPr>
              <w:t>Value</w:t>
            </w:r>
          </w:p>
        </w:tc>
        <w:tc>
          <w:tcPr>
            <w:tcW w:w="1100" w:type="pct"/>
            <w:shd w:val="clear" w:color="auto" w:fill="1F4E5F"/>
          </w:tcPr>
          <w:p w14:paraId="4C3EC838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b/>
                <w:bCs/>
                <w:color w:val="FFFFFF"/>
                <w:sz w:val="24"/>
                <w:szCs w:val="24"/>
              </w:rPr>
              <w:t>Source</w:t>
            </w:r>
          </w:p>
        </w:tc>
        <w:tc>
          <w:tcPr>
            <w:tcW w:w="1500" w:type="pct"/>
            <w:shd w:val="clear" w:color="auto" w:fill="1F4E5F"/>
          </w:tcPr>
          <w:p w14:paraId="1F93D8A0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b/>
                <w:bCs/>
                <w:color w:val="FFFFFF"/>
                <w:sz w:val="24"/>
                <w:szCs w:val="24"/>
              </w:rPr>
              <w:t>Basis</w:t>
            </w:r>
          </w:p>
        </w:tc>
      </w:tr>
      <w:tr w:rsidR="001F2F33" w:rsidRPr="00EA7D51" w14:paraId="747C4F2C" w14:textId="77777777" w:rsidTr="00374B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022D1C92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Fact</w:t>
            </w:r>
          </w:p>
        </w:tc>
        <w:tc>
          <w:tcPr>
            <w:tcW w:w="1650" w:type="pct"/>
          </w:tcPr>
          <w:p w14:paraId="17ADBDD2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Cortex-M4 core, up to 168 MHz</w:t>
            </w:r>
          </w:p>
        </w:tc>
        <w:tc>
          <w:tcPr>
            <w:tcW w:w="1100" w:type="pct"/>
          </w:tcPr>
          <w:p w14:paraId="7F57DE48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ST datasheet DS8626 [18]</w:t>
            </w:r>
          </w:p>
        </w:tc>
        <w:tc>
          <w:tcPr>
            <w:tcW w:w="1500" w:type="pct"/>
          </w:tcPr>
          <w:p w14:paraId="68F75B74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Manufacturer-published</w:t>
            </w:r>
          </w:p>
        </w:tc>
      </w:tr>
      <w:tr w:rsidR="001F2F33" w:rsidRPr="00EA7D51" w14:paraId="0A0EF68C" w14:textId="77777777" w:rsidTr="00374B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5FF6499D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Fact</w:t>
            </w:r>
          </w:p>
        </w:tc>
        <w:tc>
          <w:tcPr>
            <w:tcW w:w="1650" w:type="pct"/>
          </w:tcPr>
          <w:p w14:paraId="0672E4FB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192 KB SRAM (+4 KB backup SRAM)</w:t>
            </w:r>
          </w:p>
        </w:tc>
        <w:tc>
          <w:tcPr>
            <w:tcW w:w="1100" w:type="pct"/>
          </w:tcPr>
          <w:p w14:paraId="00C7159A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ST datasheet DS8626 [18]</w:t>
            </w:r>
          </w:p>
        </w:tc>
        <w:tc>
          <w:tcPr>
            <w:tcW w:w="1500" w:type="pct"/>
          </w:tcPr>
          <w:p w14:paraId="7094730F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Manufacturer-published</w:t>
            </w:r>
          </w:p>
        </w:tc>
      </w:tr>
      <w:tr w:rsidR="001F2F33" w:rsidRPr="00EA7D51" w14:paraId="518BFF6C" w14:textId="77777777" w:rsidTr="00374B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7B150DAE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Fact</w:t>
            </w:r>
          </w:p>
        </w:tc>
        <w:tc>
          <w:tcPr>
            <w:tcW w:w="1650" w:type="pct"/>
          </w:tcPr>
          <w:p w14:paraId="71BACE95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238 µA/MHz run-mode current @168 MHz, Flash</w:t>
            </w:r>
          </w:p>
        </w:tc>
        <w:tc>
          <w:tcPr>
            <w:tcW w:w="1100" w:type="pct"/>
          </w:tcPr>
          <w:p w14:paraId="26942C6E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ST datasheet DS8626 [18]</w:t>
            </w:r>
          </w:p>
        </w:tc>
        <w:tc>
          <w:tcPr>
            <w:tcW w:w="1500" w:type="pct"/>
          </w:tcPr>
          <w:p w14:paraId="1D794D02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Manufacturer-published</w:t>
            </w:r>
          </w:p>
        </w:tc>
      </w:tr>
      <w:tr w:rsidR="001F2F33" w:rsidRPr="00EA7D51" w14:paraId="38E603AD" w14:textId="77777777" w:rsidTr="00374B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02D2A6D5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Assumption</w:t>
            </w:r>
          </w:p>
        </w:tc>
        <w:tc>
          <w:tcPr>
            <w:tcW w:w="1650" w:type="pct"/>
          </w:tcPr>
          <w:p w14:paraId="6656EFA0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18 MHz reserved for secure-comm subsystem</w:t>
            </w:r>
          </w:p>
        </w:tc>
        <w:tc>
          <w:tcPr>
            <w:tcW w:w="1100" w:type="pct"/>
          </w:tcPr>
          <w:p w14:paraId="3033BA73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Week 4 Report, §2</w:t>
            </w:r>
          </w:p>
        </w:tc>
        <w:tc>
          <w:tcPr>
            <w:tcW w:w="1500" w:type="pct"/>
          </w:tcPr>
          <w:p w14:paraId="4B8498C8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Engineering assumption — not an external Nano-Bee spec</w:t>
            </w:r>
          </w:p>
        </w:tc>
      </w:tr>
      <w:tr w:rsidR="001F2F33" w:rsidRPr="00EA7D51" w14:paraId="7B90DBBE" w14:textId="77777777" w:rsidTr="00374B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6B27E793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Assumption</w:t>
            </w:r>
          </w:p>
        </w:tc>
        <w:tc>
          <w:tcPr>
            <w:tcW w:w="1650" w:type="pct"/>
          </w:tcPr>
          <w:p w14:paraId="74EBE989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50 KB SRAM reserved for secure-comm subsystem</w:t>
            </w:r>
          </w:p>
        </w:tc>
        <w:tc>
          <w:tcPr>
            <w:tcW w:w="1100" w:type="pct"/>
          </w:tcPr>
          <w:p w14:paraId="196B25C8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Week 4 Report, §2</w:t>
            </w:r>
          </w:p>
        </w:tc>
        <w:tc>
          <w:tcPr>
            <w:tcW w:w="1500" w:type="pct"/>
          </w:tcPr>
          <w:p w14:paraId="3E952A9F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Engineering assumption — not an external Nano-Bee spec</w:t>
            </w:r>
          </w:p>
        </w:tc>
      </w:tr>
      <w:tr w:rsidR="001F2F33" w:rsidRPr="00EA7D51" w14:paraId="26E53656" w14:textId="77777777" w:rsidTr="00374B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50" w:type="pct"/>
          </w:tcPr>
          <w:p w14:paraId="7F4AFAE3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Derived</w:t>
            </w:r>
          </w:p>
        </w:tc>
        <w:tc>
          <w:tcPr>
            <w:tcW w:w="1650" w:type="pct"/>
          </w:tcPr>
          <w:p w14:paraId="7A87C1D5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≈14.1 </w:t>
            </w:r>
            <w:proofErr w:type="spellStart"/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mW</w:t>
            </w:r>
            <w:proofErr w:type="spellEnd"/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power budget (238 µA/MHz × 18 MHz × 3.3 V)</w:t>
            </w:r>
          </w:p>
        </w:tc>
        <w:tc>
          <w:tcPr>
            <w:tcW w:w="1100" w:type="pct"/>
          </w:tcPr>
          <w:p w14:paraId="452413D2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Week 4 Report, §2 / §5.5</w:t>
            </w:r>
          </w:p>
        </w:tc>
        <w:tc>
          <w:tcPr>
            <w:tcW w:w="1500" w:type="pct"/>
          </w:tcPr>
          <w:p w14:paraId="14193A7B" w14:textId="77777777" w:rsidR="001F2F33" w:rsidRPr="00EA7D51" w:rsidRDefault="00000000" w:rsidP="0037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Correct arithmetic on an assumed input — inherits the 18 MHz assumption</w:t>
            </w:r>
          </w:p>
        </w:tc>
      </w:tr>
    </w:tbl>
    <w:p w14:paraId="41FE0E8D" w14:textId="77777777" w:rsidR="00EA7D51" w:rsidRDefault="00EA7D51">
      <w:pPr>
        <w:spacing w:after="160"/>
        <w:rPr>
          <w:rFonts w:asciiTheme="minorHAnsi" w:eastAsia="Calibri" w:hAnsiTheme="minorHAnsi" w:cstheme="minorHAnsi"/>
          <w:sz w:val="28"/>
          <w:szCs w:val="28"/>
        </w:rPr>
      </w:pPr>
    </w:p>
    <w:p w14:paraId="08469764" w14:textId="77777777" w:rsidR="00EA7D51" w:rsidRDefault="00000000" w:rsidP="00EA7D51">
      <w:pPr>
        <w:spacing w:after="160"/>
        <w:rPr>
          <w:rFonts w:asciiTheme="minorHAnsi" w:eastAsia="Calibri" w:hAnsiTheme="minorHAnsi" w:cstheme="minorHAnsi"/>
          <w:sz w:val="24"/>
          <w:szCs w:val="24"/>
        </w:rPr>
      </w:pPr>
      <w:r w:rsidRPr="00EA7D51">
        <w:rPr>
          <w:rFonts w:asciiTheme="minorHAnsi" w:eastAsia="Calibri" w:hAnsiTheme="minorHAnsi" w:cstheme="minorHAnsi"/>
          <w:sz w:val="24"/>
          <w:szCs w:val="24"/>
        </w:rPr>
        <w:t xml:space="preserve">Because the 14.1 </w:t>
      </w:r>
      <w:proofErr w:type="spellStart"/>
      <w:r w:rsidRPr="00EA7D51">
        <w:rPr>
          <w:rFonts w:asciiTheme="minorHAnsi" w:eastAsia="Calibri" w:hAnsiTheme="minorHAnsi" w:cstheme="minorHAnsi"/>
          <w:sz w:val="24"/>
          <w:szCs w:val="24"/>
        </w:rPr>
        <w:t>mW</w:t>
      </w:r>
      <w:proofErr w:type="spellEnd"/>
      <w:r w:rsidRPr="00EA7D51">
        <w:rPr>
          <w:rFonts w:asciiTheme="minorHAnsi" w:eastAsia="Calibri" w:hAnsiTheme="minorHAnsi" w:cstheme="minorHAnsi"/>
          <w:sz w:val="24"/>
          <w:szCs w:val="24"/>
        </w:rPr>
        <w:t xml:space="preserve"> figure is derived from the 18 MHz assumption, any future revision of the compute allocation (for example, if a shared programme-wide Nano-Bee specification is published) will require recomputing the power budget via Equation 3 below — it is not an independently fixed constant.</w:t>
      </w:r>
    </w:p>
    <w:p w14:paraId="600E700B" w14:textId="77777777" w:rsidR="00BC0029" w:rsidRPr="00EA7D51" w:rsidRDefault="00BC0029" w:rsidP="00EA7D51">
      <w:pPr>
        <w:spacing w:after="160"/>
        <w:rPr>
          <w:rFonts w:asciiTheme="minorHAnsi" w:eastAsia="Calibri" w:hAnsiTheme="minorHAnsi" w:cstheme="minorHAnsi"/>
          <w:sz w:val="24"/>
          <w:szCs w:val="24"/>
        </w:rPr>
      </w:pPr>
    </w:p>
    <w:p w14:paraId="29D27543" w14:textId="375C05CA" w:rsidR="00EA7D51" w:rsidRPr="00EA7D51" w:rsidRDefault="00000000" w:rsidP="00EA7D51">
      <w:pPr>
        <w:spacing w:after="160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EA7D51">
        <w:rPr>
          <w:rFonts w:asciiTheme="minorHAnsi" w:hAnsiTheme="minorHAnsi" w:cstheme="minorHAnsi"/>
          <w:b/>
          <w:bCs/>
          <w:color w:val="0070C0"/>
          <w:sz w:val="28"/>
          <w:szCs w:val="28"/>
        </w:rPr>
        <w:t>4. Variable Definitions</w:t>
      </w:r>
    </w:p>
    <w:p w14:paraId="72D75E47" w14:textId="77777777" w:rsidR="001F2F33" w:rsidRPr="00EA7D51" w:rsidRDefault="00000000">
      <w:pPr>
        <w:spacing w:after="160"/>
        <w:rPr>
          <w:rFonts w:asciiTheme="minorHAnsi" w:hAnsiTheme="minorHAnsi" w:cstheme="minorHAnsi"/>
          <w:sz w:val="24"/>
          <w:szCs w:val="24"/>
        </w:rPr>
      </w:pPr>
      <w:r w:rsidRPr="00EA7D51">
        <w:rPr>
          <w:rFonts w:asciiTheme="minorHAnsi" w:eastAsia="Calibri" w:hAnsiTheme="minorHAnsi" w:cstheme="minorHAnsi"/>
          <w:sz w:val="24"/>
          <w:szCs w:val="24"/>
        </w:rPr>
        <w:lastRenderedPageBreak/>
        <w:t>The following symbols are used consistently across every equation in Section 5, exactly as defined in the Week 4 report.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5423"/>
        <w:gridCol w:w="1870"/>
      </w:tblGrid>
      <w:tr w:rsidR="001F2F33" w:rsidRPr="00EA7D51" w14:paraId="6C1CB289" w14:textId="77777777" w:rsidTr="00EA7D5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  <w:shd w:val="clear" w:color="auto" w:fill="1F4E5F"/>
          </w:tcPr>
          <w:p w14:paraId="4B48C8DF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b/>
                <w:bCs/>
                <w:color w:val="FFFFFF"/>
                <w:sz w:val="24"/>
                <w:szCs w:val="24"/>
              </w:rPr>
              <w:t>Symbol</w:t>
            </w:r>
          </w:p>
        </w:tc>
        <w:tc>
          <w:tcPr>
            <w:tcW w:w="2900" w:type="pct"/>
            <w:shd w:val="clear" w:color="auto" w:fill="1F4E5F"/>
          </w:tcPr>
          <w:p w14:paraId="424EEF40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b/>
                <w:bCs/>
                <w:color w:val="FFFFFF"/>
                <w:sz w:val="24"/>
                <w:szCs w:val="24"/>
              </w:rPr>
              <w:t>Meaning</w:t>
            </w:r>
          </w:p>
        </w:tc>
        <w:tc>
          <w:tcPr>
            <w:tcW w:w="1000" w:type="pct"/>
            <w:shd w:val="clear" w:color="auto" w:fill="1F4E5F"/>
          </w:tcPr>
          <w:p w14:paraId="693D34BA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b/>
                <w:bCs/>
                <w:color w:val="FFFFFF"/>
                <w:sz w:val="24"/>
                <w:szCs w:val="24"/>
              </w:rPr>
              <w:t>Units</w:t>
            </w:r>
          </w:p>
        </w:tc>
      </w:tr>
      <w:tr w:rsidR="001F2F33" w:rsidRPr="00EA7D51" w14:paraId="6DD34E7A" w14:textId="77777777" w:rsidTr="00EA7D5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</w:tcPr>
          <w:p w14:paraId="23FA3259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C_op</w:t>
            </w:r>
            <w:proofErr w:type="spellEnd"/>
          </w:p>
        </w:tc>
        <w:tc>
          <w:tcPr>
            <w:tcW w:w="2900" w:type="pct"/>
          </w:tcPr>
          <w:p w14:paraId="506A4E7B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Measured cycle count for one complete cryptographic operation</w:t>
            </w:r>
          </w:p>
        </w:tc>
        <w:tc>
          <w:tcPr>
            <w:tcW w:w="1000" w:type="pct"/>
          </w:tcPr>
          <w:p w14:paraId="1951AFD5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cycles</w:t>
            </w:r>
          </w:p>
        </w:tc>
      </w:tr>
      <w:tr w:rsidR="001F2F33" w:rsidRPr="00EA7D51" w14:paraId="57B07E73" w14:textId="77777777" w:rsidTr="00EA7D5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</w:tcPr>
          <w:p w14:paraId="5E767ED4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L</w:t>
            </w:r>
          </w:p>
        </w:tc>
        <w:tc>
          <w:tcPr>
            <w:tcW w:w="2900" w:type="pct"/>
          </w:tcPr>
          <w:p w14:paraId="02EC630F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Message length</w:t>
            </w:r>
          </w:p>
        </w:tc>
        <w:tc>
          <w:tcPr>
            <w:tcW w:w="1000" w:type="pct"/>
          </w:tcPr>
          <w:p w14:paraId="41A0FA56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bytes</w:t>
            </w:r>
          </w:p>
        </w:tc>
      </w:tr>
      <w:tr w:rsidR="001F2F33" w:rsidRPr="00EA7D51" w14:paraId="5B33FC2C" w14:textId="77777777" w:rsidTr="00EA7D5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</w:tcPr>
          <w:p w14:paraId="28EFDE04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C_byte</w:t>
            </w:r>
            <w:proofErr w:type="spellEnd"/>
          </w:p>
        </w:tc>
        <w:tc>
          <w:tcPr>
            <w:tcW w:w="2900" w:type="pct"/>
          </w:tcPr>
          <w:p w14:paraId="152509EF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Cycles required per byte of message</w:t>
            </w:r>
          </w:p>
        </w:tc>
        <w:tc>
          <w:tcPr>
            <w:tcW w:w="1000" w:type="pct"/>
          </w:tcPr>
          <w:p w14:paraId="48FADE6E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cycles/byte</w:t>
            </w:r>
          </w:p>
        </w:tc>
      </w:tr>
      <w:tr w:rsidR="001F2F33" w:rsidRPr="00EA7D51" w14:paraId="395E50A6" w14:textId="77777777" w:rsidTr="00EA7D5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</w:tcPr>
          <w:p w14:paraId="745E187F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f_clk</w:t>
            </w:r>
            <w:proofErr w:type="spellEnd"/>
          </w:p>
        </w:tc>
        <w:tc>
          <w:tcPr>
            <w:tcW w:w="2900" w:type="pct"/>
          </w:tcPr>
          <w:p w14:paraId="58DEAB48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Device clock frequency (168 MHz maximum, fact)</w:t>
            </w:r>
          </w:p>
        </w:tc>
        <w:tc>
          <w:tcPr>
            <w:tcW w:w="1000" w:type="pct"/>
          </w:tcPr>
          <w:p w14:paraId="715DDFC4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MHz</w:t>
            </w:r>
          </w:p>
        </w:tc>
      </w:tr>
      <w:tr w:rsidR="001F2F33" w:rsidRPr="00EA7D51" w14:paraId="14B17B60" w14:textId="77777777" w:rsidTr="00EA7D5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</w:tcPr>
          <w:p w14:paraId="7248C040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V_DD</w:t>
            </w:r>
          </w:p>
        </w:tc>
        <w:tc>
          <w:tcPr>
            <w:tcW w:w="2900" w:type="pct"/>
          </w:tcPr>
          <w:p w14:paraId="6C04502F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Supply voltage</w:t>
            </w:r>
          </w:p>
        </w:tc>
        <w:tc>
          <w:tcPr>
            <w:tcW w:w="1000" w:type="pct"/>
          </w:tcPr>
          <w:p w14:paraId="7C84FB81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V (3.3 V)</w:t>
            </w:r>
          </w:p>
        </w:tc>
      </w:tr>
      <w:tr w:rsidR="001F2F33" w:rsidRPr="00EA7D51" w14:paraId="167470B8" w14:textId="77777777" w:rsidTr="00EA7D5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</w:tcPr>
          <w:p w14:paraId="77D6E0EC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E_op</w:t>
            </w:r>
            <w:proofErr w:type="spellEnd"/>
          </w:p>
        </w:tc>
        <w:tc>
          <w:tcPr>
            <w:tcW w:w="2900" w:type="pct"/>
          </w:tcPr>
          <w:p w14:paraId="097FAFC7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Estimated energy per operation</w:t>
            </w:r>
          </w:p>
        </w:tc>
        <w:tc>
          <w:tcPr>
            <w:tcW w:w="1000" w:type="pct"/>
          </w:tcPr>
          <w:p w14:paraId="02872A75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µJ</w:t>
            </w:r>
          </w:p>
        </w:tc>
      </w:tr>
      <w:tr w:rsidR="001F2F33" w:rsidRPr="00EA7D51" w14:paraId="423B39BD" w14:textId="77777777" w:rsidTr="00EA7D5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pct"/>
          </w:tcPr>
          <w:p w14:paraId="0C150EC0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DWT→CYCCNT</w:t>
            </w:r>
          </w:p>
        </w:tc>
        <w:tc>
          <w:tcPr>
            <w:tcW w:w="2900" w:type="pct"/>
          </w:tcPr>
          <w:p w14:paraId="1EE3A64E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Cortex-M4 Data Watchpoint and Trace cycle count register</w:t>
            </w:r>
          </w:p>
        </w:tc>
        <w:tc>
          <w:tcPr>
            <w:tcW w:w="1000" w:type="pct"/>
          </w:tcPr>
          <w:p w14:paraId="1E6FCDEA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register</w:t>
            </w:r>
          </w:p>
        </w:tc>
      </w:tr>
    </w:tbl>
    <w:p w14:paraId="547FB0B3" w14:textId="77777777" w:rsidR="001F2F33" w:rsidRPr="00EA7D51" w:rsidRDefault="00000000">
      <w:pPr>
        <w:pStyle w:val="Heading1"/>
        <w:spacing w:before="320" w:after="150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EA7D51">
        <w:rPr>
          <w:rFonts w:asciiTheme="minorHAnsi" w:hAnsiTheme="minorHAnsi" w:cstheme="minorHAnsi"/>
          <w:b/>
          <w:bCs/>
          <w:color w:val="0070C0"/>
          <w:sz w:val="28"/>
          <w:szCs w:val="28"/>
        </w:rPr>
        <w:t>5. Governing Equations</w:t>
      </w:r>
    </w:p>
    <w:p w14:paraId="16FC114C" w14:textId="77777777" w:rsidR="00EA7D51" w:rsidRDefault="00000000" w:rsidP="00EA7D51">
      <w:pPr>
        <w:spacing w:after="160"/>
        <w:rPr>
          <w:rFonts w:asciiTheme="minorHAnsi" w:eastAsia="Calibri" w:hAnsiTheme="minorHAnsi" w:cstheme="minorHAnsi"/>
          <w:sz w:val="24"/>
          <w:szCs w:val="24"/>
        </w:rPr>
      </w:pPr>
      <w:r w:rsidRPr="00EA7D51">
        <w:rPr>
          <w:rFonts w:asciiTheme="minorHAnsi" w:eastAsia="Calibri" w:hAnsiTheme="minorHAnsi" w:cstheme="minorHAnsi"/>
          <w:sz w:val="24"/>
          <w:szCs w:val="24"/>
        </w:rPr>
        <w:t>These equations are reproduced from the Week 4 report, Sections 5.3 and 5.5. They define, precisely, how every Week 6 measurement will be taken and computed.</w:t>
      </w:r>
    </w:p>
    <w:p w14:paraId="4A87345A" w14:textId="002B44D3" w:rsidR="001F2F33" w:rsidRPr="00EA7D51" w:rsidRDefault="00000000" w:rsidP="00EA7D51">
      <w:pPr>
        <w:spacing w:after="160"/>
        <w:rPr>
          <w:rFonts w:asciiTheme="minorHAnsi" w:hAnsiTheme="minorHAnsi" w:cstheme="minorHAnsi"/>
          <w:b/>
          <w:bCs/>
          <w:color w:val="0070C0"/>
          <w:sz w:val="24"/>
          <w:szCs w:val="24"/>
        </w:rPr>
      </w:pPr>
      <w:r w:rsidRPr="00EA7D51">
        <w:rPr>
          <w:rFonts w:asciiTheme="minorHAnsi" w:hAnsiTheme="minorHAnsi" w:cstheme="minorHAnsi"/>
          <w:b/>
          <w:bCs/>
          <w:color w:val="0070C0"/>
          <w:sz w:val="28"/>
          <w:szCs w:val="28"/>
        </w:rPr>
        <w:t>5.1 Cycle Counter Initialization (Eq. 1)</w:t>
      </w:r>
    </w:p>
    <w:p w14:paraId="3FF0495F" w14:textId="77777777" w:rsidR="001F2F33" w:rsidRPr="00EA7D51" w:rsidRDefault="00000000">
      <w:pPr>
        <w:spacing w:before="120" w:after="120"/>
        <w:jc w:val="center"/>
        <w:rPr>
          <w:rFonts w:asciiTheme="minorHAnsi" w:hAnsiTheme="minorHAnsi" w:cstheme="minorHAnsi"/>
          <w:sz w:val="24"/>
          <w:szCs w:val="24"/>
        </w:rPr>
      </w:pPr>
      <w:r w:rsidRPr="00EA7D51">
        <w:rPr>
          <w:rFonts w:asciiTheme="minorHAnsi" w:eastAsia="Cambria Math" w:hAnsiTheme="minorHAnsi" w:cstheme="minorHAnsi"/>
          <w:sz w:val="24"/>
          <w:szCs w:val="24"/>
        </w:rPr>
        <w:t xml:space="preserve">DWT→CYCCNT ← </w:t>
      </w:r>
      <w:proofErr w:type="gramStart"/>
      <w:r w:rsidRPr="00EA7D51">
        <w:rPr>
          <w:rFonts w:asciiTheme="minorHAnsi" w:eastAsia="Cambria Math" w:hAnsiTheme="minorHAnsi" w:cstheme="minorHAnsi"/>
          <w:sz w:val="24"/>
          <w:szCs w:val="24"/>
        </w:rPr>
        <w:t xml:space="preserve">0,   </w:t>
      </w:r>
      <w:proofErr w:type="gramEnd"/>
      <w:r w:rsidRPr="00EA7D51">
        <w:rPr>
          <w:rFonts w:asciiTheme="minorHAnsi" w:eastAsia="Cambria Math" w:hAnsiTheme="minorHAnsi" w:cstheme="minorHAnsi"/>
          <w:sz w:val="24"/>
          <w:szCs w:val="24"/>
        </w:rPr>
        <w:t>DWT→CTRL |= CYCCNTENA</w:t>
      </w:r>
    </w:p>
    <w:p w14:paraId="34A7FFAE" w14:textId="77777777" w:rsidR="00EA7D51" w:rsidRDefault="00000000" w:rsidP="00EA7D51">
      <w:pPr>
        <w:spacing w:after="160"/>
        <w:rPr>
          <w:rFonts w:asciiTheme="minorHAnsi" w:eastAsia="Calibri" w:hAnsiTheme="minorHAnsi" w:cstheme="minorHAnsi"/>
          <w:sz w:val="28"/>
          <w:szCs w:val="28"/>
        </w:rPr>
      </w:pPr>
      <w:r w:rsidRPr="00EA7D51">
        <w:rPr>
          <w:rFonts w:asciiTheme="minorHAnsi" w:eastAsia="Calibri" w:hAnsiTheme="minorHAnsi" w:cstheme="minorHAnsi"/>
          <w:sz w:val="24"/>
          <w:szCs w:val="24"/>
        </w:rPr>
        <w:t>Resets and enables the Cortex-M4's built-in cycle counter immediately before timing a primitive. This is the instrumentation method specified in place of instruction counting, for the reason given in Section 8.3 below.</w:t>
      </w:r>
    </w:p>
    <w:p w14:paraId="08568DCC" w14:textId="58D669DC" w:rsidR="001F2F33" w:rsidRPr="00EA7D51" w:rsidRDefault="00000000" w:rsidP="00EA7D51">
      <w:pPr>
        <w:spacing w:after="160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EA7D51">
        <w:rPr>
          <w:rFonts w:asciiTheme="minorHAnsi" w:hAnsiTheme="minorHAnsi" w:cstheme="minorHAnsi"/>
          <w:b/>
          <w:bCs/>
          <w:color w:val="0070C0"/>
          <w:sz w:val="28"/>
          <w:szCs w:val="28"/>
        </w:rPr>
        <w:t>5.2 Cycles per Byte (Eq. 2)</w:t>
      </w:r>
    </w:p>
    <w:p w14:paraId="7B8A706C" w14:textId="77777777" w:rsidR="001F2F33" w:rsidRPr="00EA7D51" w:rsidRDefault="00000000">
      <w:pPr>
        <w:spacing w:before="120" w:after="120"/>
        <w:jc w:val="center"/>
        <w:rPr>
          <w:rFonts w:asciiTheme="minorHAnsi" w:hAnsiTheme="minorHAnsi" w:cstheme="minorHAnsi"/>
          <w:sz w:val="24"/>
          <w:szCs w:val="24"/>
        </w:rPr>
      </w:pPr>
      <w:proofErr w:type="spellStart"/>
      <w:r w:rsidRPr="00EA7D51">
        <w:rPr>
          <w:rFonts w:asciiTheme="minorHAnsi" w:eastAsia="Cambria Math" w:hAnsiTheme="minorHAnsi" w:cstheme="minorHAnsi"/>
          <w:sz w:val="24"/>
          <w:szCs w:val="24"/>
        </w:rPr>
        <w:t>C_byte</w:t>
      </w:r>
      <w:proofErr w:type="spellEnd"/>
      <w:r w:rsidRPr="00EA7D51">
        <w:rPr>
          <w:rFonts w:asciiTheme="minorHAnsi" w:eastAsia="Cambria Math" w:hAnsiTheme="minorHAnsi" w:cstheme="minorHAnsi"/>
          <w:sz w:val="24"/>
          <w:szCs w:val="24"/>
        </w:rPr>
        <w:t xml:space="preserve"> = </w:t>
      </w:r>
      <w:proofErr w:type="spellStart"/>
      <w:r w:rsidRPr="00EA7D51">
        <w:rPr>
          <w:rFonts w:asciiTheme="minorHAnsi" w:eastAsia="Cambria Math" w:hAnsiTheme="minorHAnsi" w:cstheme="minorHAnsi"/>
          <w:sz w:val="24"/>
          <w:szCs w:val="24"/>
        </w:rPr>
        <w:t>C_op</w:t>
      </w:r>
      <w:proofErr w:type="spellEnd"/>
      <w:r w:rsidRPr="00EA7D51">
        <w:rPr>
          <w:rFonts w:asciiTheme="minorHAnsi" w:eastAsia="Cambria Math" w:hAnsiTheme="minorHAnsi" w:cstheme="minorHAnsi"/>
          <w:sz w:val="24"/>
          <w:szCs w:val="24"/>
        </w:rPr>
        <w:t xml:space="preserve"> / L</w:t>
      </w:r>
    </w:p>
    <w:p w14:paraId="64D5BABC" w14:textId="77777777" w:rsidR="00EA7D51" w:rsidRDefault="00000000" w:rsidP="00EA7D51">
      <w:pPr>
        <w:spacing w:after="160"/>
        <w:rPr>
          <w:rFonts w:asciiTheme="minorHAnsi" w:eastAsia="Calibri" w:hAnsiTheme="minorHAnsi" w:cstheme="minorHAnsi"/>
          <w:sz w:val="24"/>
          <w:szCs w:val="24"/>
        </w:rPr>
      </w:pPr>
      <w:r w:rsidRPr="00EA7D51">
        <w:rPr>
          <w:rFonts w:asciiTheme="minorHAnsi" w:eastAsia="Calibri" w:hAnsiTheme="minorHAnsi" w:cstheme="minorHAnsi"/>
          <w:sz w:val="24"/>
          <w:szCs w:val="24"/>
        </w:rPr>
        <w:t>Cop is read from DWT→CYCCNT after one full operation; L is the input length in bytes for that operation. This figure is the primary throughput metric used in the feasibility comparison.</w:t>
      </w:r>
    </w:p>
    <w:p w14:paraId="0D1C0C8C" w14:textId="09F7070A" w:rsidR="001F2F33" w:rsidRPr="00EA7D51" w:rsidRDefault="00000000" w:rsidP="00EA7D51">
      <w:pPr>
        <w:spacing w:after="160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EA7D51">
        <w:rPr>
          <w:rFonts w:asciiTheme="minorHAnsi" w:hAnsiTheme="minorHAnsi" w:cstheme="minorHAnsi"/>
          <w:b/>
          <w:bCs/>
          <w:color w:val="0070C0"/>
          <w:sz w:val="28"/>
          <w:szCs w:val="28"/>
        </w:rPr>
        <w:t>5.3 Energy per Operation (Eq. 3)</w:t>
      </w:r>
    </w:p>
    <w:p w14:paraId="081A17E7" w14:textId="77777777" w:rsidR="001F2F33" w:rsidRPr="00EA7D51" w:rsidRDefault="00000000">
      <w:pPr>
        <w:spacing w:before="120" w:after="120"/>
        <w:jc w:val="center"/>
        <w:rPr>
          <w:rFonts w:asciiTheme="minorHAnsi" w:hAnsiTheme="minorHAnsi" w:cstheme="minorHAnsi"/>
          <w:sz w:val="24"/>
          <w:szCs w:val="24"/>
        </w:rPr>
      </w:pPr>
      <w:proofErr w:type="spellStart"/>
      <w:r w:rsidRPr="00EA7D51">
        <w:rPr>
          <w:rFonts w:asciiTheme="minorHAnsi" w:eastAsia="Cambria Math" w:hAnsiTheme="minorHAnsi" w:cstheme="minorHAnsi"/>
          <w:sz w:val="24"/>
          <w:szCs w:val="24"/>
        </w:rPr>
        <w:t>E_op</w:t>
      </w:r>
      <w:proofErr w:type="spellEnd"/>
      <w:r w:rsidRPr="00EA7D51">
        <w:rPr>
          <w:rFonts w:asciiTheme="minorHAnsi" w:eastAsia="Cambria Math" w:hAnsiTheme="minorHAnsi" w:cstheme="minorHAnsi"/>
          <w:sz w:val="24"/>
          <w:szCs w:val="24"/>
        </w:rPr>
        <w:t xml:space="preserve"> = (</w:t>
      </w:r>
      <w:proofErr w:type="spellStart"/>
      <w:r w:rsidRPr="00EA7D51">
        <w:rPr>
          <w:rFonts w:asciiTheme="minorHAnsi" w:eastAsia="Cambria Math" w:hAnsiTheme="minorHAnsi" w:cstheme="minorHAnsi"/>
          <w:sz w:val="24"/>
          <w:szCs w:val="24"/>
        </w:rPr>
        <w:t>C_op</w:t>
      </w:r>
      <w:proofErr w:type="spellEnd"/>
      <w:r w:rsidRPr="00EA7D51">
        <w:rPr>
          <w:rFonts w:asciiTheme="minorHAnsi" w:eastAsia="Cambria Math" w:hAnsiTheme="minorHAnsi" w:cstheme="minorHAnsi"/>
          <w:sz w:val="24"/>
          <w:szCs w:val="24"/>
        </w:rPr>
        <w:t xml:space="preserve"> / </w:t>
      </w:r>
      <w:proofErr w:type="spellStart"/>
      <w:r w:rsidRPr="00EA7D51">
        <w:rPr>
          <w:rFonts w:asciiTheme="minorHAnsi" w:eastAsia="Cambria Math" w:hAnsiTheme="minorHAnsi" w:cstheme="minorHAnsi"/>
          <w:sz w:val="24"/>
          <w:szCs w:val="24"/>
        </w:rPr>
        <w:t>f_clk</w:t>
      </w:r>
      <w:proofErr w:type="spellEnd"/>
      <w:r w:rsidRPr="00EA7D51">
        <w:rPr>
          <w:rFonts w:asciiTheme="minorHAnsi" w:eastAsia="Cambria Math" w:hAnsiTheme="minorHAnsi" w:cstheme="minorHAnsi"/>
          <w:sz w:val="24"/>
          <w:szCs w:val="24"/>
        </w:rPr>
        <w:t xml:space="preserve">) × V_DD × (238 µA/MHz × </w:t>
      </w:r>
      <w:proofErr w:type="spellStart"/>
      <w:r w:rsidRPr="00EA7D51">
        <w:rPr>
          <w:rFonts w:asciiTheme="minorHAnsi" w:eastAsia="Cambria Math" w:hAnsiTheme="minorHAnsi" w:cstheme="minorHAnsi"/>
          <w:sz w:val="24"/>
          <w:szCs w:val="24"/>
        </w:rPr>
        <w:t>f_</w:t>
      </w:r>
      <w:proofErr w:type="gramStart"/>
      <w:r w:rsidRPr="00EA7D51">
        <w:rPr>
          <w:rFonts w:asciiTheme="minorHAnsi" w:eastAsia="Cambria Math" w:hAnsiTheme="minorHAnsi" w:cstheme="minorHAnsi"/>
          <w:sz w:val="24"/>
          <w:szCs w:val="24"/>
        </w:rPr>
        <w:t>clk,MHz</w:t>
      </w:r>
      <w:proofErr w:type="spellEnd"/>
      <w:proofErr w:type="gramEnd"/>
      <w:r w:rsidRPr="00EA7D51">
        <w:rPr>
          <w:rFonts w:asciiTheme="minorHAnsi" w:eastAsia="Cambria Math" w:hAnsiTheme="minorHAnsi" w:cstheme="minorHAnsi"/>
          <w:sz w:val="24"/>
          <w:szCs w:val="24"/>
        </w:rPr>
        <w:t>)</w:t>
      </w:r>
    </w:p>
    <w:p w14:paraId="3D21EB11" w14:textId="77777777" w:rsidR="00EA7D51" w:rsidRDefault="00000000" w:rsidP="00EA7D51">
      <w:pPr>
        <w:spacing w:after="160"/>
        <w:rPr>
          <w:rFonts w:asciiTheme="minorHAnsi" w:eastAsia="Calibri" w:hAnsiTheme="minorHAnsi" w:cstheme="minorHAnsi"/>
          <w:sz w:val="24"/>
          <w:szCs w:val="24"/>
        </w:rPr>
      </w:pPr>
      <w:r w:rsidRPr="00EA7D51">
        <w:rPr>
          <w:rFonts w:asciiTheme="minorHAnsi" w:eastAsia="Calibri" w:hAnsiTheme="minorHAnsi" w:cstheme="minorHAnsi"/>
          <w:sz w:val="24"/>
          <w:szCs w:val="24"/>
        </w:rPr>
        <w:t xml:space="preserve">With </w:t>
      </w:r>
      <w:proofErr w:type="spellStart"/>
      <w:r w:rsidRPr="00EA7D51">
        <w:rPr>
          <w:rFonts w:asciiTheme="minorHAnsi" w:eastAsia="Calibri" w:hAnsiTheme="minorHAnsi" w:cstheme="minorHAnsi"/>
          <w:sz w:val="24"/>
          <w:szCs w:val="24"/>
        </w:rPr>
        <w:t>f_clk</w:t>
      </w:r>
      <w:proofErr w:type="spellEnd"/>
      <w:r w:rsidRPr="00EA7D51">
        <w:rPr>
          <w:rFonts w:asciiTheme="minorHAnsi" w:eastAsia="Calibri" w:hAnsiTheme="minorHAnsi" w:cstheme="minorHAnsi"/>
          <w:sz w:val="24"/>
          <w:szCs w:val="24"/>
        </w:rPr>
        <w:t xml:space="preserve"> = 168 MHz and V_DD = 3.3 V (both facts), and the 238 µA/MHz term taken from the ST datasheet [18]. At the assumed 18 MHz allocation this yields the ≈14.1 </w:t>
      </w:r>
      <w:proofErr w:type="spellStart"/>
      <w:r w:rsidRPr="00EA7D51">
        <w:rPr>
          <w:rFonts w:asciiTheme="minorHAnsi" w:eastAsia="Calibri" w:hAnsiTheme="minorHAnsi" w:cstheme="minorHAnsi"/>
          <w:sz w:val="24"/>
          <w:szCs w:val="24"/>
        </w:rPr>
        <w:t>mW</w:t>
      </w:r>
      <w:proofErr w:type="spellEnd"/>
      <w:r w:rsidRPr="00EA7D51">
        <w:rPr>
          <w:rFonts w:asciiTheme="minorHAnsi" w:eastAsia="Calibri" w:hAnsiTheme="minorHAnsi" w:cstheme="minorHAnsi"/>
          <w:sz w:val="24"/>
          <w:szCs w:val="24"/>
        </w:rPr>
        <w:t xml:space="preserve"> figure used throughout the Week 4 report and repeated in Section 3 above.</w:t>
      </w:r>
    </w:p>
    <w:p w14:paraId="47DB069B" w14:textId="7E1D17AB" w:rsidR="001F2F33" w:rsidRPr="00EA7D51" w:rsidRDefault="00000000" w:rsidP="00EA7D51">
      <w:pPr>
        <w:spacing w:after="160"/>
        <w:rPr>
          <w:rFonts w:asciiTheme="minorHAnsi" w:hAnsiTheme="minorHAnsi" w:cstheme="minorHAnsi"/>
          <w:b/>
          <w:bCs/>
          <w:color w:val="0070C0"/>
          <w:sz w:val="24"/>
          <w:szCs w:val="24"/>
        </w:rPr>
      </w:pPr>
      <w:r w:rsidRPr="00EA7D51">
        <w:rPr>
          <w:rFonts w:asciiTheme="minorHAnsi" w:hAnsiTheme="minorHAnsi" w:cstheme="minorHAnsi"/>
          <w:b/>
          <w:bCs/>
          <w:color w:val="0070C0"/>
          <w:sz w:val="28"/>
          <w:szCs w:val="28"/>
        </w:rPr>
        <w:t>5.4 Feasibility Classification Rule</w:t>
      </w:r>
    </w:p>
    <w:p w14:paraId="38995422" w14:textId="77777777" w:rsidR="001F2F33" w:rsidRDefault="00000000">
      <w:pPr>
        <w:spacing w:after="160"/>
        <w:rPr>
          <w:rFonts w:asciiTheme="minorHAnsi" w:eastAsia="Calibri" w:hAnsiTheme="minorHAnsi" w:cstheme="minorHAnsi"/>
          <w:sz w:val="28"/>
          <w:szCs w:val="28"/>
        </w:rPr>
      </w:pPr>
      <w:r w:rsidRPr="00374B28">
        <w:rPr>
          <w:rFonts w:asciiTheme="minorHAnsi" w:eastAsia="Calibri" w:hAnsiTheme="minorHAnsi" w:cstheme="minorHAnsi"/>
          <w:sz w:val="28"/>
          <w:szCs w:val="28"/>
        </w:rPr>
        <w:t xml:space="preserve">A primitive's feasibility verdict is determined by comparing its measured </w:t>
      </w:r>
      <w:proofErr w:type="spellStart"/>
      <w:r w:rsidRPr="00374B28">
        <w:rPr>
          <w:rFonts w:asciiTheme="minorHAnsi" w:eastAsia="Calibri" w:hAnsiTheme="minorHAnsi" w:cstheme="minorHAnsi"/>
          <w:sz w:val="28"/>
          <w:szCs w:val="28"/>
        </w:rPr>
        <w:t>C_byte</w:t>
      </w:r>
      <w:proofErr w:type="spellEnd"/>
      <w:r w:rsidRPr="00374B28">
        <w:rPr>
          <w:rFonts w:asciiTheme="minorHAnsi" w:eastAsia="Calibri" w:hAnsiTheme="minorHAnsi" w:cstheme="minorHAnsi"/>
          <w:sz w:val="28"/>
          <w:szCs w:val="28"/>
        </w:rPr>
        <w:t xml:space="preserve">, peak RAM, and </w:t>
      </w:r>
      <w:proofErr w:type="spellStart"/>
      <w:r w:rsidRPr="00374B28">
        <w:rPr>
          <w:rFonts w:asciiTheme="minorHAnsi" w:eastAsia="Calibri" w:hAnsiTheme="minorHAnsi" w:cstheme="minorHAnsi"/>
          <w:sz w:val="28"/>
          <w:szCs w:val="28"/>
        </w:rPr>
        <w:t>E_op</w:t>
      </w:r>
      <w:proofErr w:type="spellEnd"/>
      <w:r w:rsidRPr="00374B28">
        <w:rPr>
          <w:rFonts w:asciiTheme="minorHAnsi" w:eastAsia="Calibri" w:hAnsiTheme="minorHAnsi" w:cstheme="minorHAnsi"/>
          <w:sz w:val="28"/>
          <w:szCs w:val="28"/>
        </w:rPr>
        <w:t xml:space="preserve"> simultaneously against the budget:</w:t>
      </w:r>
    </w:p>
    <w:p w14:paraId="2A32A56C" w14:textId="77777777" w:rsidR="00BC0029" w:rsidRPr="00374B28" w:rsidRDefault="00BC0029">
      <w:pPr>
        <w:spacing w:after="160"/>
        <w:rPr>
          <w:rFonts w:asciiTheme="minorHAnsi" w:hAnsiTheme="minorHAnsi" w:cstheme="minorHAnsi"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7013"/>
      </w:tblGrid>
      <w:tr w:rsidR="001F2F33" w:rsidRPr="00374B28" w14:paraId="11B6671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F4E5F"/>
          </w:tcPr>
          <w:p w14:paraId="6D3D5E70" w14:textId="77777777" w:rsidR="001F2F33" w:rsidRPr="00374B28" w:rsidRDefault="0000000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74B28">
              <w:rPr>
                <w:rFonts w:asciiTheme="minorHAnsi" w:eastAsia="Calibri" w:hAnsiTheme="minorHAnsi" w:cstheme="minorHAnsi"/>
                <w:b/>
                <w:bCs/>
                <w:color w:val="FFFFFF"/>
                <w:sz w:val="28"/>
                <w:szCs w:val="28"/>
              </w:rPr>
              <w:lastRenderedPageBreak/>
              <w:t>Verdict</w:t>
            </w:r>
          </w:p>
        </w:tc>
        <w:tc>
          <w:tcPr>
            <w:tcW w:w="3750" w:type="pct"/>
            <w:shd w:val="clear" w:color="auto" w:fill="1F4E5F"/>
          </w:tcPr>
          <w:p w14:paraId="665CD078" w14:textId="77777777" w:rsidR="001F2F33" w:rsidRPr="00374B28" w:rsidRDefault="0000000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74B28">
              <w:rPr>
                <w:rFonts w:asciiTheme="minorHAnsi" w:eastAsia="Calibri" w:hAnsiTheme="minorHAnsi" w:cstheme="minorHAnsi"/>
                <w:b/>
                <w:bCs/>
                <w:color w:val="FFFFFF"/>
                <w:sz w:val="28"/>
                <w:szCs w:val="28"/>
              </w:rPr>
              <w:t>Condition</w:t>
            </w:r>
          </w:p>
        </w:tc>
      </w:tr>
      <w:tr w:rsidR="001F2F33" w:rsidRPr="00374B28" w14:paraId="4507D33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D9D6227" w14:textId="77777777" w:rsidR="001F2F33" w:rsidRPr="00374B28" w:rsidRDefault="0000000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>FEASIBLE</w:t>
            </w:r>
          </w:p>
        </w:tc>
        <w:tc>
          <w:tcPr>
            <w:tcW w:w="3750" w:type="pct"/>
          </w:tcPr>
          <w:p w14:paraId="39CB3D9F" w14:textId="77777777" w:rsidR="001F2F33" w:rsidRPr="00374B28" w:rsidRDefault="0000000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proofErr w:type="spellStart"/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>C_byte</w:t>
            </w:r>
            <w:proofErr w:type="spellEnd"/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 xml:space="preserve">, peak RAM, and </w:t>
            </w:r>
            <w:proofErr w:type="spellStart"/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>E_op</w:t>
            </w:r>
            <w:proofErr w:type="spellEnd"/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 xml:space="preserve"> all simultaneously satisfy the 18 MHz / 50 KB / 14.1 </w:t>
            </w:r>
            <w:proofErr w:type="spellStart"/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>mW</w:t>
            </w:r>
            <w:proofErr w:type="spellEnd"/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 xml:space="preserve"> budget</w:t>
            </w:r>
          </w:p>
        </w:tc>
      </w:tr>
      <w:tr w:rsidR="001F2F33" w:rsidRPr="00374B28" w14:paraId="5380A37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83F4970" w14:textId="77777777" w:rsidR="001F2F33" w:rsidRPr="00374B28" w:rsidRDefault="0000000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>MARGINAL</w:t>
            </w:r>
          </w:p>
        </w:tc>
        <w:tc>
          <w:tcPr>
            <w:tcW w:w="3750" w:type="pct"/>
          </w:tcPr>
          <w:p w14:paraId="0EF120B6" w14:textId="77777777" w:rsidR="001F2F33" w:rsidRPr="00374B28" w:rsidRDefault="0000000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 xml:space="preserve">Any one of </w:t>
            </w:r>
            <w:proofErr w:type="spellStart"/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>C_byte</w:t>
            </w:r>
            <w:proofErr w:type="spellEnd"/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 xml:space="preserve">, RAM, or </w:t>
            </w:r>
            <w:proofErr w:type="spellStart"/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>E_op</w:t>
            </w:r>
            <w:proofErr w:type="spellEnd"/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 xml:space="preserve"> is within 25% of its respective limit</w:t>
            </w:r>
          </w:p>
        </w:tc>
      </w:tr>
      <w:tr w:rsidR="001F2F33" w:rsidRPr="00374B28" w14:paraId="5B50565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90C9CD3" w14:textId="77777777" w:rsidR="001F2F33" w:rsidRPr="00374B28" w:rsidRDefault="0000000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>NOT FEASIBLE</w:t>
            </w:r>
          </w:p>
        </w:tc>
        <w:tc>
          <w:tcPr>
            <w:tcW w:w="3750" w:type="pct"/>
          </w:tcPr>
          <w:p w14:paraId="43E8F6C9" w14:textId="77777777" w:rsidR="001F2F33" w:rsidRPr="00374B28" w:rsidRDefault="00000000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 xml:space="preserve">Any one of </w:t>
            </w:r>
            <w:proofErr w:type="spellStart"/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>C_byte</w:t>
            </w:r>
            <w:proofErr w:type="spellEnd"/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 xml:space="preserve">, RAM, or </w:t>
            </w:r>
            <w:proofErr w:type="spellStart"/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>E_op</w:t>
            </w:r>
            <w:proofErr w:type="spellEnd"/>
            <w:r w:rsidRPr="00374B28">
              <w:rPr>
                <w:rFonts w:asciiTheme="minorHAnsi" w:eastAsia="Calibri" w:hAnsiTheme="minorHAnsi" w:cstheme="minorHAnsi"/>
                <w:sz w:val="28"/>
                <w:szCs w:val="28"/>
              </w:rPr>
              <w:t xml:space="preserve"> exceeds its limit by more than 25%</w:t>
            </w:r>
          </w:p>
        </w:tc>
      </w:tr>
    </w:tbl>
    <w:p w14:paraId="340CE880" w14:textId="77777777" w:rsidR="001F2F33" w:rsidRPr="00374B28" w:rsidRDefault="00000000">
      <w:pPr>
        <w:spacing w:after="160"/>
        <w:rPr>
          <w:rFonts w:asciiTheme="minorHAnsi" w:hAnsiTheme="minorHAnsi" w:cstheme="minorHAnsi"/>
          <w:sz w:val="28"/>
          <w:szCs w:val="28"/>
        </w:rPr>
      </w:pPr>
      <w:r w:rsidRPr="00374B28">
        <w:rPr>
          <w:rFonts w:asciiTheme="minorHAnsi" w:eastAsia="Calibri" w:hAnsiTheme="minorHAnsi" w:cstheme="minorHAnsi"/>
          <w:i/>
          <w:iCs/>
          <w:color w:val="555555"/>
          <w:sz w:val="28"/>
          <w:szCs w:val="28"/>
        </w:rPr>
        <w:t>Source: Week 4 Report, §5.5.</w:t>
      </w:r>
    </w:p>
    <w:p w14:paraId="32D89C7B" w14:textId="74E2B676" w:rsidR="001F2F33" w:rsidRDefault="00000000" w:rsidP="00EA7D51">
      <w:pPr>
        <w:rPr>
          <w:rFonts w:asciiTheme="minorHAnsi" w:hAnsiTheme="minorHAnsi" w:cstheme="minorHAnsi"/>
          <w:sz w:val="28"/>
          <w:szCs w:val="28"/>
        </w:rPr>
      </w:pPr>
      <w:r w:rsidRPr="00EA7D51">
        <w:rPr>
          <w:rFonts w:asciiTheme="minorHAnsi" w:hAnsiTheme="minorHAnsi" w:cstheme="minorHAnsi"/>
          <w:b/>
          <w:bCs/>
          <w:color w:val="0070C0"/>
          <w:sz w:val="28"/>
          <w:szCs w:val="28"/>
        </w:rPr>
        <w:t>6. Target Primitives</w:t>
      </w:r>
      <w:r w:rsidRPr="00374B28">
        <w:rPr>
          <w:rFonts w:asciiTheme="minorHAnsi" w:hAnsiTheme="minorHAnsi" w:cstheme="minorHAnsi"/>
          <w:sz w:val="28"/>
          <w:szCs w:val="28"/>
        </w:rPr>
        <w:t xml:space="preserve"> (Identification Only — No Measurements Yet)</w:t>
      </w:r>
    </w:p>
    <w:p w14:paraId="402353FD" w14:textId="77777777" w:rsidR="00EA7D51" w:rsidRPr="00374B28" w:rsidRDefault="00EA7D51" w:rsidP="00EA7D51">
      <w:pPr>
        <w:rPr>
          <w:rFonts w:asciiTheme="minorHAnsi" w:hAnsiTheme="minorHAnsi" w:cstheme="minorHAnsi"/>
          <w:sz w:val="28"/>
          <w:szCs w:val="28"/>
        </w:rPr>
      </w:pPr>
    </w:p>
    <w:p w14:paraId="3AF7D8CD" w14:textId="77777777" w:rsidR="001F2F33" w:rsidRDefault="00000000">
      <w:pPr>
        <w:spacing w:after="160"/>
        <w:rPr>
          <w:rFonts w:asciiTheme="minorHAnsi" w:eastAsia="Calibri" w:hAnsiTheme="minorHAnsi" w:cstheme="minorHAnsi"/>
          <w:sz w:val="24"/>
          <w:szCs w:val="24"/>
        </w:rPr>
      </w:pPr>
      <w:r w:rsidRPr="00EA7D51">
        <w:rPr>
          <w:rFonts w:asciiTheme="minorHAnsi" w:eastAsia="Calibri" w:hAnsiTheme="minorHAnsi" w:cstheme="minorHAnsi"/>
          <w:sz w:val="24"/>
          <w:szCs w:val="24"/>
        </w:rPr>
        <w:t>The following four primitives are the subject of Week 6 benchmarking, as specified in the Week 4 proposal's success metrics (§6, item 2). No cycle, RAM, or energy figures exist for any of them yet; this table only records what each primitive is and where it comes from, so the Week 6 work has a fixed, unambiguous target list.</w:t>
      </w:r>
    </w:p>
    <w:p w14:paraId="63A38D01" w14:textId="77777777" w:rsidR="00EA7D51" w:rsidRPr="00EA7D51" w:rsidRDefault="00EA7D51">
      <w:pPr>
        <w:spacing w:after="160"/>
        <w:rPr>
          <w:rFonts w:asciiTheme="minorHAnsi" w:hAnsiTheme="minorHAnsi" w:cstheme="minorHAnsi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6"/>
        <w:gridCol w:w="3086"/>
        <w:gridCol w:w="4208"/>
      </w:tblGrid>
      <w:tr w:rsidR="001F2F33" w:rsidRPr="00EA7D51" w14:paraId="576D939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1F4E5F"/>
          </w:tcPr>
          <w:p w14:paraId="5144FA34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b/>
                <w:bCs/>
                <w:color w:val="FFFFFF"/>
                <w:sz w:val="24"/>
                <w:szCs w:val="24"/>
              </w:rPr>
              <w:t>Primitive</w:t>
            </w:r>
          </w:p>
        </w:tc>
        <w:tc>
          <w:tcPr>
            <w:tcW w:w="1650" w:type="pct"/>
            <w:shd w:val="clear" w:color="auto" w:fill="1F4E5F"/>
          </w:tcPr>
          <w:p w14:paraId="5E3F6C8A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2250" w:type="pct"/>
            <w:shd w:val="clear" w:color="auto" w:fill="1F4E5F"/>
          </w:tcPr>
          <w:p w14:paraId="4233C732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b/>
                <w:bCs/>
                <w:color w:val="FFFFFF"/>
                <w:sz w:val="24"/>
                <w:szCs w:val="24"/>
              </w:rPr>
              <w:t>Standardization / Reference</w:t>
            </w:r>
          </w:p>
        </w:tc>
      </w:tr>
      <w:tr w:rsidR="001F2F33" w:rsidRPr="00EA7D51" w14:paraId="409E7B8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21C309AE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Ascon v1.2</w:t>
            </w:r>
          </w:p>
        </w:tc>
        <w:tc>
          <w:tcPr>
            <w:tcW w:w="1650" w:type="pct"/>
          </w:tcPr>
          <w:p w14:paraId="5257102E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NIST-selected lightweight AEAD</w:t>
            </w:r>
          </w:p>
        </w:tc>
        <w:tc>
          <w:tcPr>
            <w:tcW w:w="2250" w:type="pct"/>
          </w:tcPr>
          <w:p w14:paraId="7114A8D9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Dobraunig</w:t>
            </w:r>
            <w:proofErr w:type="spellEnd"/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et al. [1]; NIST LWC Standardization</w:t>
            </w:r>
          </w:p>
        </w:tc>
      </w:tr>
      <w:tr w:rsidR="001F2F33" w:rsidRPr="00EA7D51" w14:paraId="1E6B85E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1AF4C248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ChaCha20-Poly1305</w:t>
            </w:r>
          </w:p>
        </w:tc>
        <w:tc>
          <w:tcPr>
            <w:tcW w:w="1650" w:type="pct"/>
          </w:tcPr>
          <w:p w14:paraId="3ACE0365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Symmetric AEAD (classical baseline)</w:t>
            </w:r>
          </w:p>
        </w:tc>
        <w:tc>
          <w:tcPr>
            <w:tcW w:w="2250" w:type="pct"/>
          </w:tcPr>
          <w:p w14:paraId="0C651F39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RFC 8439 [4]; Bernstein [5]</w:t>
            </w:r>
          </w:p>
        </w:tc>
      </w:tr>
      <w:tr w:rsidR="001F2F33" w:rsidRPr="00EA7D51" w14:paraId="7E07AF5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1DFCD19A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ML-KEM / Kyber-512</w:t>
            </w:r>
          </w:p>
        </w:tc>
        <w:tc>
          <w:tcPr>
            <w:tcW w:w="1650" w:type="pct"/>
          </w:tcPr>
          <w:p w14:paraId="0701BCE4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NIST-standardized post-quantum KEM</w:t>
            </w:r>
          </w:p>
        </w:tc>
        <w:tc>
          <w:tcPr>
            <w:tcW w:w="2250" w:type="pct"/>
          </w:tcPr>
          <w:p w14:paraId="68B8364A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FIPS 203 [11]; Bos et al. [9]; Heinz [8] (validation reference)</w:t>
            </w:r>
          </w:p>
        </w:tc>
      </w:tr>
      <w:tr w:rsidR="001F2F33" w:rsidRPr="00EA7D51" w14:paraId="4C20A22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07DD88A0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SPHINCS+</w:t>
            </w:r>
          </w:p>
        </w:tc>
        <w:tc>
          <w:tcPr>
            <w:tcW w:w="1650" w:type="pct"/>
          </w:tcPr>
          <w:p w14:paraId="58CF1FA4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NIST-standardized post-quantum signature</w:t>
            </w:r>
          </w:p>
        </w:tc>
        <w:tc>
          <w:tcPr>
            <w:tcW w:w="2250" w:type="pct"/>
          </w:tcPr>
          <w:p w14:paraId="1CFDB54A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Bernstein et al. [10]</w:t>
            </w:r>
          </w:p>
        </w:tc>
      </w:tr>
    </w:tbl>
    <w:p w14:paraId="1AF8F2C8" w14:textId="77777777" w:rsidR="001F2F33" w:rsidRPr="00EA7D51" w:rsidRDefault="00000000">
      <w:pPr>
        <w:pStyle w:val="Heading1"/>
        <w:spacing w:before="320" w:after="150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EA7D51">
        <w:rPr>
          <w:rFonts w:asciiTheme="minorHAnsi" w:hAnsiTheme="minorHAnsi" w:cstheme="minorHAnsi"/>
          <w:b/>
          <w:bCs/>
          <w:color w:val="0070C0"/>
          <w:sz w:val="28"/>
          <w:szCs w:val="28"/>
        </w:rPr>
        <w:t>7. Validation Criterion (Preparation, Not Execution)</w:t>
      </w:r>
    </w:p>
    <w:p w14:paraId="5B86A2DE" w14:textId="77777777" w:rsidR="001F2F33" w:rsidRPr="00EA7D51" w:rsidRDefault="00000000">
      <w:pPr>
        <w:spacing w:after="160"/>
        <w:rPr>
          <w:rFonts w:asciiTheme="minorHAnsi" w:hAnsiTheme="minorHAnsi" w:cstheme="minorHAnsi"/>
          <w:sz w:val="24"/>
          <w:szCs w:val="24"/>
        </w:rPr>
      </w:pPr>
      <w:r w:rsidRPr="00EA7D51">
        <w:rPr>
          <w:rFonts w:asciiTheme="minorHAnsi" w:eastAsia="Calibri" w:hAnsiTheme="minorHAnsi" w:cstheme="minorHAnsi"/>
          <w:sz w:val="24"/>
          <w:szCs w:val="24"/>
        </w:rPr>
        <w:t>The Week 4 report (Table 1, Risk 1; §8.4) identifies one outstanding item: a cryptography-specific cycle-accuracy check against Heinz [8]'s published masked Kyber-512 Cortex-M4 timing. That check requires compiling and running code, so it belongs to Week 6. This section defines the pass/fail rule mathematically now, so Week 6 only has to substitute a measured value.</w:t>
      </w:r>
    </w:p>
    <w:p w14:paraId="57231209" w14:textId="77777777" w:rsidR="001F2F33" w:rsidRDefault="00000000">
      <w:pPr>
        <w:spacing w:before="120" w:after="120"/>
        <w:jc w:val="center"/>
        <w:rPr>
          <w:rFonts w:asciiTheme="minorHAnsi" w:eastAsia="Cambria Math" w:hAnsiTheme="minorHAnsi" w:cstheme="minorHAnsi"/>
          <w:sz w:val="24"/>
          <w:szCs w:val="24"/>
        </w:rPr>
      </w:pPr>
      <w:r w:rsidRPr="00EA7D51">
        <w:rPr>
          <w:rFonts w:asciiTheme="minorHAnsi" w:eastAsia="Cambria Math" w:hAnsiTheme="minorHAnsi" w:cstheme="minorHAnsi"/>
          <w:sz w:val="24"/>
          <w:szCs w:val="24"/>
        </w:rPr>
        <w:t xml:space="preserve">relative discrepancy = | </w:t>
      </w:r>
      <w:proofErr w:type="spellStart"/>
      <w:r w:rsidRPr="00EA7D51">
        <w:rPr>
          <w:rFonts w:asciiTheme="minorHAnsi" w:eastAsia="Cambria Math" w:hAnsiTheme="minorHAnsi" w:cstheme="minorHAnsi"/>
          <w:sz w:val="24"/>
          <w:szCs w:val="24"/>
        </w:rPr>
        <w:t>C_measured</w:t>
      </w:r>
      <w:proofErr w:type="spellEnd"/>
      <w:r w:rsidRPr="00EA7D51">
        <w:rPr>
          <w:rFonts w:asciiTheme="minorHAnsi" w:eastAsia="Cambria Math" w:hAnsiTheme="minorHAnsi" w:cstheme="minorHAnsi"/>
          <w:sz w:val="24"/>
          <w:szCs w:val="24"/>
        </w:rPr>
        <w:t xml:space="preserve"> − </w:t>
      </w:r>
      <w:proofErr w:type="spellStart"/>
      <w:r w:rsidRPr="00EA7D51">
        <w:rPr>
          <w:rFonts w:asciiTheme="minorHAnsi" w:eastAsia="Cambria Math" w:hAnsiTheme="minorHAnsi" w:cstheme="minorHAnsi"/>
          <w:sz w:val="24"/>
          <w:szCs w:val="24"/>
        </w:rPr>
        <w:t>C_Heinz</w:t>
      </w:r>
      <w:proofErr w:type="spellEnd"/>
      <w:r w:rsidRPr="00EA7D51">
        <w:rPr>
          <w:rFonts w:asciiTheme="minorHAnsi" w:eastAsia="Cambria Math" w:hAnsiTheme="minorHAnsi" w:cstheme="minorHAnsi"/>
          <w:sz w:val="24"/>
          <w:szCs w:val="24"/>
        </w:rPr>
        <w:t xml:space="preserve"> | / </w:t>
      </w:r>
      <w:proofErr w:type="spellStart"/>
      <w:r w:rsidRPr="00EA7D51">
        <w:rPr>
          <w:rFonts w:asciiTheme="minorHAnsi" w:eastAsia="Cambria Math" w:hAnsiTheme="minorHAnsi" w:cstheme="minorHAnsi"/>
          <w:sz w:val="24"/>
          <w:szCs w:val="24"/>
        </w:rPr>
        <w:t>C_Heinz</w:t>
      </w:r>
      <w:proofErr w:type="spellEnd"/>
      <w:r w:rsidRPr="00EA7D51">
        <w:rPr>
          <w:rFonts w:asciiTheme="minorHAnsi" w:eastAsia="Cambria Math" w:hAnsiTheme="minorHAnsi" w:cstheme="minorHAnsi"/>
          <w:sz w:val="24"/>
          <w:szCs w:val="24"/>
        </w:rPr>
        <w:t xml:space="preserve">     </w:t>
      </w:r>
      <w:proofErr w:type="gramStart"/>
      <w:r w:rsidRPr="00EA7D51">
        <w:rPr>
          <w:rFonts w:asciiTheme="minorHAnsi" w:eastAsia="Cambria Math" w:hAnsiTheme="minorHAnsi" w:cstheme="minorHAnsi"/>
          <w:sz w:val="24"/>
          <w:szCs w:val="24"/>
        </w:rPr>
        <w:t xml:space="preserve">   (</w:t>
      </w:r>
      <w:proofErr w:type="gramEnd"/>
      <w:r w:rsidRPr="00EA7D51">
        <w:rPr>
          <w:rFonts w:asciiTheme="minorHAnsi" w:eastAsia="Cambria Math" w:hAnsiTheme="minorHAnsi" w:cstheme="minorHAnsi"/>
          <w:sz w:val="24"/>
          <w:szCs w:val="24"/>
        </w:rPr>
        <w:t>Eq. 4)</w:t>
      </w:r>
    </w:p>
    <w:p w14:paraId="564F3346" w14:textId="77777777" w:rsidR="00EA7D51" w:rsidRPr="00EA7D51" w:rsidRDefault="00EA7D51">
      <w:pPr>
        <w:spacing w:before="120" w:after="120"/>
        <w:jc w:val="center"/>
        <w:rPr>
          <w:rFonts w:asciiTheme="minorHAnsi" w:hAnsiTheme="minorHAnsi" w:cstheme="minorHAnsi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6"/>
        <w:gridCol w:w="3086"/>
        <w:gridCol w:w="4208"/>
      </w:tblGrid>
      <w:tr w:rsidR="001F2F33" w:rsidRPr="00EA7D51" w14:paraId="3040185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1F4E5F"/>
          </w:tcPr>
          <w:p w14:paraId="7777D8FB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b/>
                <w:bCs/>
                <w:color w:val="FFFFFF"/>
                <w:sz w:val="24"/>
                <w:szCs w:val="24"/>
              </w:rPr>
              <w:t>Outcome</w:t>
            </w:r>
          </w:p>
        </w:tc>
        <w:tc>
          <w:tcPr>
            <w:tcW w:w="1650" w:type="pct"/>
            <w:shd w:val="clear" w:color="auto" w:fill="1F4E5F"/>
          </w:tcPr>
          <w:p w14:paraId="4BCBFCBC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b/>
                <w:bCs/>
                <w:color w:val="FFFFFF"/>
                <w:sz w:val="24"/>
                <w:szCs w:val="24"/>
              </w:rPr>
              <w:t>Rule</w:t>
            </w:r>
          </w:p>
        </w:tc>
        <w:tc>
          <w:tcPr>
            <w:tcW w:w="2250" w:type="pct"/>
            <w:shd w:val="clear" w:color="auto" w:fill="1F4E5F"/>
          </w:tcPr>
          <w:p w14:paraId="6BAB9355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b/>
                <w:bCs/>
                <w:color w:val="FFFFFF"/>
                <w:sz w:val="24"/>
                <w:szCs w:val="24"/>
              </w:rPr>
              <w:t>Action</w:t>
            </w:r>
          </w:p>
        </w:tc>
      </w:tr>
      <w:tr w:rsidR="001F2F33" w:rsidRPr="00EA7D51" w14:paraId="4E4AC25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25F1BFC2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Validated</w:t>
            </w:r>
          </w:p>
        </w:tc>
        <w:tc>
          <w:tcPr>
            <w:tcW w:w="1650" w:type="pct"/>
          </w:tcPr>
          <w:p w14:paraId="46563145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relative discrepancy ≤ 0.10</w:t>
            </w:r>
          </w:p>
        </w:tc>
        <w:tc>
          <w:tcPr>
            <w:tcW w:w="2250" w:type="pct"/>
          </w:tcPr>
          <w:p w14:paraId="73ACFBF4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Proceed to full 4-primitive benchmarking</w:t>
            </w:r>
          </w:p>
        </w:tc>
      </w:tr>
      <w:tr w:rsidR="001F2F33" w:rsidRPr="00EA7D51" w14:paraId="2046993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250D6EE0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Not validated</w:t>
            </w:r>
          </w:p>
        </w:tc>
        <w:tc>
          <w:tcPr>
            <w:tcW w:w="1650" w:type="pct"/>
          </w:tcPr>
          <w:p w14:paraId="0F634BDD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relative discrepancy &gt; 0.10</w:t>
            </w:r>
          </w:p>
        </w:tc>
        <w:tc>
          <w:tcPr>
            <w:tcW w:w="2250" w:type="pct"/>
          </w:tcPr>
          <w:p w14:paraId="6F621182" w14:textId="77777777" w:rsidR="001F2F33" w:rsidRPr="00EA7D51" w:rsidRDefault="00000000" w:rsidP="00EA7D5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Re-tune </w:t>
            </w:r>
            <w:proofErr w:type="spellStart"/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>Renode</w:t>
            </w:r>
            <w:proofErr w:type="spellEnd"/>
            <w:r w:rsidRPr="00EA7D51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settings, or fall back to QEMU</w:t>
            </w:r>
          </w:p>
        </w:tc>
      </w:tr>
    </w:tbl>
    <w:p w14:paraId="33BC2B1E" w14:textId="77777777" w:rsidR="00EA7D51" w:rsidRDefault="00EA7D51" w:rsidP="00EA7D51">
      <w:pPr>
        <w:spacing w:after="160"/>
        <w:rPr>
          <w:rFonts w:asciiTheme="minorHAnsi" w:eastAsia="Calibri" w:hAnsiTheme="minorHAnsi" w:cstheme="minorHAnsi"/>
          <w:i/>
          <w:iCs/>
          <w:color w:val="555555"/>
          <w:sz w:val="28"/>
          <w:szCs w:val="28"/>
        </w:rPr>
      </w:pPr>
    </w:p>
    <w:p w14:paraId="4F70CFE3" w14:textId="7010132A" w:rsidR="001F2F33" w:rsidRPr="00374B28" w:rsidRDefault="00000000">
      <w:pPr>
        <w:spacing w:after="160"/>
        <w:rPr>
          <w:rFonts w:asciiTheme="minorHAnsi" w:hAnsiTheme="minorHAnsi" w:cstheme="minorHAnsi"/>
          <w:sz w:val="28"/>
          <w:szCs w:val="28"/>
        </w:rPr>
      </w:pPr>
      <w:r w:rsidRPr="00374B28">
        <w:rPr>
          <w:rFonts w:asciiTheme="minorHAnsi" w:eastAsia="Calibri" w:hAnsiTheme="minorHAnsi" w:cstheme="minorHAnsi"/>
          <w:i/>
          <w:iCs/>
          <w:color w:val="555555"/>
          <w:sz w:val="28"/>
          <w:szCs w:val="28"/>
        </w:rPr>
        <w:lastRenderedPageBreak/>
        <w:t xml:space="preserve">Source: Week 4 Report, Table 1 (Risk Assessment and Mitigation Strategy), Risk 1. </w:t>
      </w:r>
      <w:proofErr w:type="spellStart"/>
      <w:r w:rsidRPr="00374B28">
        <w:rPr>
          <w:rFonts w:asciiTheme="minorHAnsi" w:eastAsia="Calibri" w:hAnsiTheme="minorHAnsi" w:cstheme="minorHAnsi"/>
          <w:i/>
          <w:iCs/>
          <w:color w:val="555555"/>
          <w:sz w:val="28"/>
          <w:szCs w:val="28"/>
        </w:rPr>
        <w:t>C_measured</w:t>
      </w:r>
      <w:proofErr w:type="spellEnd"/>
      <w:r w:rsidRPr="00374B28">
        <w:rPr>
          <w:rFonts w:asciiTheme="minorHAnsi" w:eastAsia="Calibri" w:hAnsiTheme="minorHAnsi" w:cstheme="minorHAnsi"/>
          <w:i/>
          <w:iCs/>
          <w:color w:val="555555"/>
          <w:sz w:val="28"/>
          <w:szCs w:val="28"/>
        </w:rPr>
        <w:t xml:space="preserve"> does not yet exist — no Kyber-512 code has been compiled or executed as part of this document.</w:t>
      </w:r>
    </w:p>
    <w:p w14:paraId="084ADC97" w14:textId="22F1A01C" w:rsidR="001F2F33" w:rsidRPr="00EA7D51" w:rsidRDefault="00000000" w:rsidP="00EA7D51">
      <w:pPr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EA7D51">
        <w:rPr>
          <w:rFonts w:asciiTheme="minorHAnsi" w:hAnsiTheme="minorHAnsi" w:cstheme="minorHAnsi"/>
          <w:b/>
          <w:bCs/>
          <w:color w:val="0070C0"/>
          <w:sz w:val="28"/>
          <w:szCs w:val="28"/>
        </w:rPr>
        <w:t>8. Analytical Limiting Cases</w:t>
      </w:r>
    </w:p>
    <w:p w14:paraId="28C0D914" w14:textId="77777777" w:rsidR="00EA7D51" w:rsidRPr="00374B28" w:rsidRDefault="00EA7D51" w:rsidP="00EA7D51">
      <w:pPr>
        <w:rPr>
          <w:rFonts w:asciiTheme="minorHAnsi" w:hAnsiTheme="minorHAnsi" w:cstheme="minorHAnsi"/>
          <w:sz w:val="28"/>
          <w:szCs w:val="28"/>
        </w:rPr>
      </w:pPr>
    </w:p>
    <w:p w14:paraId="76EE8237" w14:textId="77777777" w:rsidR="00EA7D51" w:rsidRDefault="00000000" w:rsidP="00EA7D51">
      <w:pPr>
        <w:spacing w:after="160"/>
        <w:rPr>
          <w:rFonts w:asciiTheme="minorHAnsi" w:eastAsia="Calibri" w:hAnsiTheme="minorHAnsi" w:cstheme="minorHAnsi"/>
          <w:sz w:val="24"/>
          <w:szCs w:val="24"/>
        </w:rPr>
      </w:pPr>
      <w:r w:rsidRPr="00EA7D51">
        <w:rPr>
          <w:rFonts w:asciiTheme="minorHAnsi" w:eastAsia="Calibri" w:hAnsiTheme="minorHAnsi" w:cstheme="minorHAnsi"/>
          <w:sz w:val="24"/>
          <w:szCs w:val="24"/>
        </w:rPr>
        <w:t>The charter requires limiting cases to be identified analytically. The four below follow directly from the equations in Section 5 and from the trivial verification already completed in Week 4 (§8.3–8.4); none of them require running new code.</w:t>
      </w:r>
    </w:p>
    <w:p w14:paraId="22239CD6" w14:textId="4854C3F6" w:rsidR="001F2F33" w:rsidRPr="00EA7D51" w:rsidRDefault="00000000" w:rsidP="00EA7D51">
      <w:pPr>
        <w:spacing w:after="160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EA7D51">
        <w:rPr>
          <w:rFonts w:asciiTheme="minorHAnsi" w:hAnsiTheme="minorHAnsi" w:cstheme="minorHAnsi"/>
          <w:b/>
          <w:bCs/>
          <w:color w:val="0070C0"/>
          <w:sz w:val="28"/>
          <w:szCs w:val="28"/>
        </w:rPr>
        <w:t>8.1 Large-Message Limit (L → large)</w:t>
      </w:r>
    </w:p>
    <w:p w14:paraId="5A1E48CE" w14:textId="77777777" w:rsidR="00BF13FD" w:rsidRDefault="00000000" w:rsidP="00BF13FD">
      <w:pPr>
        <w:spacing w:after="160"/>
        <w:rPr>
          <w:rFonts w:asciiTheme="minorHAnsi" w:eastAsia="Calibri" w:hAnsiTheme="minorHAnsi" w:cstheme="minorHAnsi"/>
          <w:sz w:val="24"/>
          <w:szCs w:val="24"/>
        </w:rPr>
      </w:pPr>
      <w:r w:rsidRPr="00EA7D51">
        <w:rPr>
          <w:rFonts w:asciiTheme="minorHAnsi" w:eastAsia="Calibri" w:hAnsiTheme="minorHAnsi" w:cstheme="minorHAnsi"/>
          <w:sz w:val="24"/>
          <w:szCs w:val="24"/>
        </w:rPr>
        <w:t xml:space="preserve">As L grows, any fixed per-call overhead inside </w:t>
      </w:r>
      <w:proofErr w:type="spellStart"/>
      <w:r w:rsidRPr="00EA7D51">
        <w:rPr>
          <w:rFonts w:asciiTheme="minorHAnsi" w:eastAsia="Calibri" w:hAnsiTheme="minorHAnsi" w:cstheme="minorHAnsi"/>
          <w:sz w:val="24"/>
          <w:szCs w:val="24"/>
        </w:rPr>
        <w:t>C_op</w:t>
      </w:r>
      <w:proofErr w:type="spellEnd"/>
      <w:r w:rsidRPr="00EA7D51">
        <w:rPr>
          <w:rFonts w:asciiTheme="minorHAnsi" w:eastAsia="Calibri" w:hAnsiTheme="minorHAnsi" w:cstheme="minorHAnsi"/>
          <w:sz w:val="24"/>
          <w:szCs w:val="24"/>
        </w:rPr>
        <w:t xml:space="preserve"> (cycle-counter reset, function entry/exit) becomes negligible relative to L, so </w:t>
      </w:r>
      <w:proofErr w:type="spellStart"/>
      <w:r w:rsidRPr="00EA7D51">
        <w:rPr>
          <w:rFonts w:asciiTheme="minorHAnsi" w:eastAsia="Calibri" w:hAnsiTheme="minorHAnsi" w:cstheme="minorHAnsi"/>
          <w:sz w:val="24"/>
          <w:szCs w:val="24"/>
        </w:rPr>
        <w:t>C_byte</w:t>
      </w:r>
      <w:proofErr w:type="spellEnd"/>
      <w:r w:rsidRPr="00EA7D51">
        <w:rPr>
          <w:rFonts w:asciiTheme="minorHAnsi" w:eastAsia="Calibri" w:hAnsiTheme="minorHAnsi" w:cstheme="minorHAnsi"/>
          <w:sz w:val="24"/>
          <w:szCs w:val="24"/>
        </w:rPr>
        <w:t xml:space="preserve"> (Eq. 2) asymptotically approaches the primitive's steady-state per-byte cost.</w:t>
      </w:r>
    </w:p>
    <w:p w14:paraId="1D47D10B" w14:textId="0F520F36" w:rsidR="001F2F33" w:rsidRPr="00BF13FD" w:rsidRDefault="00000000" w:rsidP="00BF13FD">
      <w:pPr>
        <w:spacing w:after="160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BF13FD">
        <w:rPr>
          <w:rFonts w:asciiTheme="minorHAnsi" w:hAnsiTheme="minorHAnsi" w:cstheme="minorHAnsi"/>
          <w:b/>
          <w:bCs/>
          <w:color w:val="0070C0"/>
          <w:sz w:val="28"/>
          <w:szCs w:val="28"/>
        </w:rPr>
        <w:t>8.2 Fixed-Size Operation Limit (L → small)</w:t>
      </w:r>
    </w:p>
    <w:p w14:paraId="70A10FDD" w14:textId="77777777" w:rsidR="00BF13FD" w:rsidRDefault="00000000" w:rsidP="00BF13FD">
      <w:pPr>
        <w:spacing w:after="160"/>
        <w:rPr>
          <w:rFonts w:asciiTheme="minorHAnsi" w:eastAsia="Calibri" w:hAnsiTheme="minorHAnsi" w:cstheme="minorHAnsi"/>
          <w:sz w:val="24"/>
          <w:szCs w:val="24"/>
        </w:rPr>
      </w:pPr>
      <w:r w:rsidRPr="00BF13FD">
        <w:rPr>
          <w:rFonts w:asciiTheme="minorHAnsi" w:eastAsia="Calibri" w:hAnsiTheme="minorHAnsi" w:cstheme="minorHAnsi"/>
          <w:sz w:val="24"/>
          <w:szCs w:val="24"/>
        </w:rPr>
        <w:t xml:space="preserve">For a fixed-size operation such as Kyber-512 encapsulation, which is not a byte stream, fixed overhead dominates </w:t>
      </w:r>
      <w:proofErr w:type="spellStart"/>
      <w:r w:rsidRPr="00BF13FD">
        <w:rPr>
          <w:rFonts w:asciiTheme="minorHAnsi" w:eastAsia="Calibri" w:hAnsiTheme="minorHAnsi" w:cstheme="minorHAnsi"/>
          <w:sz w:val="24"/>
          <w:szCs w:val="24"/>
        </w:rPr>
        <w:t>C_op</w:t>
      </w:r>
      <w:proofErr w:type="spellEnd"/>
      <w:r w:rsidRPr="00BF13FD">
        <w:rPr>
          <w:rFonts w:asciiTheme="minorHAnsi" w:eastAsia="Calibri" w:hAnsiTheme="minorHAnsi" w:cstheme="minorHAnsi"/>
          <w:sz w:val="24"/>
          <w:szCs w:val="24"/>
        </w:rPr>
        <w:t xml:space="preserve"> and Eq. 2 does not behave as a stable streaming rate. This is a genuine limit of the model: for fixed-size primitives, cycles-per-operation is the primary meaningful figure, and </w:t>
      </w:r>
      <w:proofErr w:type="spellStart"/>
      <w:r w:rsidRPr="00BF13FD">
        <w:rPr>
          <w:rFonts w:asciiTheme="minorHAnsi" w:eastAsia="Calibri" w:hAnsiTheme="minorHAnsi" w:cstheme="minorHAnsi"/>
          <w:sz w:val="24"/>
          <w:szCs w:val="24"/>
        </w:rPr>
        <w:t>C_byte</w:t>
      </w:r>
      <w:proofErr w:type="spellEnd"/>
      <w:r w:rsidRPr="00BF13FD">
        <w:rPr>
          <w:rFonts w:asciiTheme="minorHAnsi" w:eastAsia="Calibri" w:hAnsiTheme="minorHAnsi" w:cstheme="minorHAnsi"/>
          <w:sz w:val="24"/>
          <w:szCs w:val="24"/>
        </w:rPr>
        <w:t xml:space="preserve"> should be read only as a normalized reference value.</w:t>
      </w:r>
    </w:p>
    <w:p w14:paraId="028EBDE2" w14:textId="74941972" w:rsidR="001F2F33" w:rsidRPr="00BF13FD" w:rsidRDefault="00000000" w:rsidP="00BF13FD">
      <w:pPr>
        <w:spacing w:after="160"/>
        <w:rPr>
          <w:rFonts w:asciiTheme="minorHAnsi" w:hAnsiTheme="minorHAnsi" w:cstheme="minorHAnsi"/>
          <w:b/>
          <w:bCs/>
          <w:color w:val="0070C0"/>
          <w:sz w:val="24"/>
          <w:szCs w:val="24"/>
        </w:rPr>
      </w:pPr>
      <w:r w:rsidRPr="00BF13FD">
        <w:rPr>
          <w:rFonts w:asciiTheme="minorHAnsi" w:hAnsiTheme="minorHAnsi" w:cstheme="minorHAnsi"/>
          <w:b/>
          <w:bCs/>
          <w:color w:val="0070C0"/>
          <w:sz w:val="28"/>
          <w:szCs w:val="28"/>
        </w:rPr>
        <w:t>8.3 Single-Cycle Instruction Limit</w:t>
      </w:r>
    </w:p>
    <w:p w14:paraId="542FCD10" w14:textId="77777777" w:rsidR="00BF13FD" w:rsidRDefault="00000000" w:rsidP="00BF13FD">
      <w:pPr>
        <w:spacing w:after="160"/>
        <w:rPr>
          <w:rFonts w:asciiTheme="minorHAnsi" w:eastAsia="Calibri" w:hAnsiTheme="minorHAnsi" w:cstheme="minorHAnsi"/>
          <w:sz w:val="24"/>
          <w:szCs w:val="24"/>
        </w:rPr>
      </w:pPr>
      <w:r w:rsidRPr="00BF13FD">
        <w:rPr>
          <w:rFonts w:asciiTheme="minorHAnsi" w:eastAsia="Calibri" w:hAnsiTheme="minorHAnsi" w:cstheme="minorHAnsi"/>
          <w:sz w:val="24"/>
          <w:szCs w:val="24"/>
        </w:rPr>
        <w:t>The Week 4 trivial verification measured instruction count for 1,000 NOP instructions and treated it as equivalent to cycle count (§8.3). This equivalence holds only because NOP is documented as single-cycle and non-branching on Cortex-M4. It breaks down for any real cryptographic code containing multi-cycle instructions (multiply, memory access with wait states) or branches — which is exactly why §8.4 of the Week 4 report specifies DWT-based CYCCNT instrumentation (Eq. 1) rather than instruction counting for all Week 6 measurements.</w:t>
      </w:r>
    </w:p>
    <w:p w14:paraId="5C207761" w14:textId="6490A15F" w:rsidR="00BF13FD" w:rsidRPr="00BF13FD" w:rsidRDefault="00000000" w:rsidP="00BF13FD">
      <w:pPr>
        <w:spacing w:after="160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BF13FD">
        <w:rPr>
          <w:rFonts w:asciiTheme="minorHAnsi" w:hAnsiTheme="minorHAnsi" w:cstheme="minorHAnsi"/>
          <w:b/>
          <w:bCs/>
          <w:color w:val="0070C0"/>
          <w:sz w:val="28"/>
          <w:szCs w:val="28"/>
        </w:rPr>
        <w:t>8.4 Budget-Boundary Limit</w:t>
      </w:r>
    </w:p>
    <w:p w14:paraId="67DC032F" w14:textId="77777777" w:rsidR="001F2F33" w:rsidRDefault="00000000">
      <w:pPr>
        <w:spacing w:after="160"/>
        <w:rPr>
          <w:rFonts w:asciiTheme="minorHAnsi" w:eastAsia="Calibri" w:hAnsiTheme="minorHAnsi" w:cstheme="minorHAnsi"/>
          <w:sz w:val="28"/>
          <w:szCs w:val="28"/>
        </w:rPr>
      </w:pPr>
      <w:r w:rsidRPr="00374B28">
        <w:rPr>
          <w:rFonts w:asciiTheme="minorHAnsi" w:eastAsia="Calibri" w:hAnsiTheme="minorHAnsi" w:cstheme="minorHAnsi"/>
          <w:sz w:val="28"/>
          <w:szCs w:val="28"/>
        </w:rPr>
        <w:t xml:space="preserve">At the exact point where </w:t>
      </w:r>
      <w:proofErr w:type="spellStart"/>
      <w:r w:rsidRPr="00374B28">
        <w:rPr>
          <w:rFonts w:asciiTheme="minorHAnsi" w:eastAsia="Calibri" w:hAnsiTheme="minorHAnsi" w:cstheme="minorHAnsi"/>
          <w:sz w:val="28"/>
          <w:szCs w:val="28"/>
        </w:rPr>
        <w:t>C_byte</w:t>
      </w:r>
      <w:proofErr w:type="spellEnd"/>
      <w:r w:rsidRPr="00374B28">
        <w:rPr>
          <w:rFonts w:asciiTheme="minorHAnsi" w:eastAsia="Calibri" w:hAnsiTheme="minorHAnsi" w:cstheme="minorHAnsi"/>
          <w:sz w:val="28"/>
          <w:szCs w:val="28"/>
        </w:rPr>
        <w:t xml:space="preserve">, RAM, or </w:t>
      </w:r>
      <w:proofErr w:type="spellStart"/>
      <w:r w:rsidRPr="00374B28">
        <w:rPr>
          <w:rFonts w:asciiTheme="minorHAnsi" w:eastAsia="Calibri" w:hAnsiTheme="minorHAnsi" w:cstheme="minorHAnsi"/>
          <w:sz w:val="28"/>
          <w:szCs w:val="28"/>
        </w:rPr>
        <w:t>E_op</w:t>
      </w:r>
      <w:proofErr w:type="spellEnd"/>
      <w:r w:rsidRPr="00374B28">
        <w:rPr>
          <w:rFonts w:asciiTheme="minorHAnsi" w:eastAsia="Calibri" w:hAnsiTheme="minorHAnsi" w:cstheme="minorHAnsi"/>
          <w:sz w:val="28"/>
          <w:szCs w:val="28"/>
        </w:rPr>
        <w:t xml:space="preserve"> equals the stated budget, the classification rule (Section 5.4) does not create a discontinuous pass/fail cliff. It falls into the MARGINAL band (within 25% of the limit), a deliberate three-tier design already present in the Week 4 report rather than a new addition here.</w:t>
      </w:r>
    </w:p>
    <w:p w14:paraId="3657BEFF" w14:textId="77777777" w:rsidR="00BF13FD" w:rsidRPr="00374B28" w:rsidRDefault="00BF13FD">
      <w:pPr>
        <w:spacing w:after="160"/>
        <w:rPr>
          <w:rFonts w:asciiTheme="minorHAnsi" w:hAnsiTheme="minorHAnsi" w:cstheme="minorHAnsi"/>
          <w:sz w:val="28"/>
          <w:szCs w:val="28"/>
        </w:rPr>
      </w:pPr>
    </w:p>
    <w:p w14:paraId="3A246D43" w14:textId="5F4709A9" w:rsidR="00BF13FD" w:rsidRPr="00BF13FD" w:rsidRDefault="00000000" w:rsidP="00BF13FD">
      <w:pPr>
        <w:spacing w:line="276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BF13FD">
        <w:rPr>
          <w:rFonts w:asciiTheme="minorHAnsi" w:hAnsiTheme="minorHAnsi" w:cstheme="minorHAnsi"/>
          <w:b/>
          <w:bCs/>
          <w:color w:val="0070C0"/>
          <w:sz w:val="28"/>
          <w:szCs w:val="28"/>
        </w:rPr>
        <w:t>9. Traceability to the Week 4 Report</w:t>
      </w:r>
    </w:p>
    <w:p w14:paraId="25191BCA" w14:textId="5C96BB0C" w:rsidR="00BF13FD" w:rsidRPr="00EA5FC9" w:rsidRDefault="00000000">
      <w:pPr>
        <w:spacing w:after="160"/>
        <w:rPr>
          <w:rFonts w:asciiTheme="minorHAnsi" w:eastAsia="Calibri" w:hAnsiTheme="minorHAnsi" w:cstheme="minorHAnsi"/>
          <w:sz w:val="28"/>
          <w:szCs w:val="28"/>
        </w:rPr>
      </w:pPr>
      <w:r w:rsidRPr="00374B28">
        <w:rPr>
          <w:rFonts w:asciiTheme="minorHAnsi" w:eastAsia="Calibri" w:hAnsiTheme="minorHAnsi" w:cstheme="minorHAnsi"/>
          <w:sz w:val="28"/>
          <w:szCs w:val="28"/>
        </w:rPr>
        <w:t>To make clear that no element of this document is new or invented, every equation, table, and open item above is traced back to its exact origin in the Week 4 report.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0"/>
        <w:gridCol w:w="5610"/>
      </w:tblGrid>
      <w:tr w:rsidR="001F2F33" w:rsidRPr="00BF13FD" w14:paraId="261FE244" w14:textId="77777777" w:rsidTr="00BF13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pct"/>
            <w:shd w:val="clear" w:color="auto" w:fill="1F4E5F"/>
          </w:tcPr>
          <w:p w14:paraId="30345CD0" w14:textId="77777777" w:rsidR="001F2F33" w:rsidRPr="00BF13FD" w:rsidRDefault="00000000" w:rsidP="00BF13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F13FD">
              <w:rPr>
                <w:rFonts w:asciiTheme="minorHAnsi" w:eastAsia="Calibri" w:hAnsiTheme="minorHAnsi" w:cstheme="minorHAnsi"/>
                <w:b/>
                <w:bCs/>
                <w:color w:val="FFFFFF"/>
                <w:sz w:val="24"/>
                <w:szCs w:val="24"/>
              </w:rPr>
              <w:lastRenderedPageBreak/>
              <w:t>Week 5 Element</w:t>
            </w:r>
          </w:p>
        </w:tc>
        <w:tc>
          <w:tcPr>
            <w:tcW w:w="3000" w:type="pct"/>
            <w:shd w:val="clear" w:color="auto" w:fill="1F4E5F"/>
          </w:tcPr>
          <w:p w14:paraId="63D965B6" w14:textId="77777777" w:rsidR="001F2F33" w:rsidRPr="00BF13FD" w:rsidRDefault="00000000" w:rsidP="00BF13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F13FD">
              <w:rPr>
                <w:rFonts w:asciiTheme="minorHAnsi" w:eastAsia="Calibri" w:hAnsiTheme="minorHAnsi" w:cstheme="minorHAnsi"/>
                <w:b/>
                <w:bCs/>
                <w:color w:val="FFFFFF"/>
                <w:sz w:val="24"/>
                <w:szCs w:val="24"/>
              </w:rPr>
              <w:t>Week 4 Report Location</w:t>
            </w:r>
          </w:p>
        </w:tc>
      </w:tr>
      <w:tr w:rsidR="001F2F33" w:rsidRPr="00BF13FD" w14:paraId="1FD7173A" w14:textId="77777777" w:rsidTr="00BF13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pct"/>
          </w:tcPr>
          <w:p w14:paraId="30381ACE" w14:textId="77777777" w:rsidR="001F2F33" w:rsidRPr="00BF13FD" w:rsidRDefault="00000000" w:rsidP="00BF13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F13FD">
              <w:rPr>
                <w:rFonts w:asciiTheme="minorHAnsi" w:eastAsia="Calibri" w:hAnsiTheme="minorHAnsi" w:cstheme="minorHAnsi"/>
                <w:sz w:val="24"/>
                <w:szCs w:val="24"/>
              </w:rPr>
              <w:t>Facts vs. assumptions (§3)</w:t>
            </w:r>
          </w:p>
        </w:tc>
        <w:tc>
          <w:tcPr>
            <w:tcW w:w="3000" w:type="pct"/>
          </w:tcPr>
          <w:p w14:paraId="73690AFA" w14:textId="77777777" w:rsidR="001F2F33" w:rsidRPr="00BF13FD" w:rsidRDefault="00000000" w:rsidP="00BF13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F13FD">
              <w:rPr>
                <w:rFonts w:asciiTheme="minorHAnsi" w:eastAsia="Calibri" w:hAnsiTheme="minorHAnsi" w:cstheme="minorHAnsi"/>
                <w:sz w:val="24"/>
                <w:szCs w:val="24"/>
              </w:rPr>
              <w:t>§2 (Problem Statement), reference [18]</w:t>
            </w:r>
          </w:p>
        </w:tc>
      </w:tr>
      <w:tr w:rsidR="001F2F33" w:rsidRPr="00BF13FD" w14:paraId="07FE4DBF" w14:textId="77777777" w:rsidTr="00BF13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pct"/>
          </w:tcPr>
          <w:p w14:paraId="19A2D008" w14:textId="77777777" w:rsidR="001F2F33" w:rsidRPr="00BF13FD" w:rsidRDefault="00000000" w:rsidP="00BF13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F13FD">
              <w:rPr>
                <w:rFonts w:asciiTheme="minorHAnsi" w:eastAsia="Calibri" w:hAnsiTheme="minorHAnsi" w:cstheme="minorHAnsi"/>
                <w:sz w:val="24"/>
                <w:szCs w:val="24"/>
              </w:rPr>
              <w:t>Equations 1–3 (§5.1–5.3)</w:t>
            </w:r>
          </w:p>
        </w:tc>
        <w:tc>
          <w:tcPr>
            <w:tcW w:w="3000" w:type="pct"/>
          </w:tcPr>
          <w:p w14:paraId="16139315" w14:textId="77777777" w:rsidR="001F2F33" w:rsidRPr="00BF13FD" w:rsidRDefault="00000000" w:rsidP="00BF13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F13FD">
              <w:rPr>
                <w:rFonts w:asciiTheme="minorHAnsi" w:eastAsia="Calibri" w:hAnsiTheme="minorHAnsi" w:cstheme="minorHAnsi"/>
                <w:sz w:val="24"/>
                <w:szCs w:val="24"/>
              </w:rPr>
              <w:t>§5.3 (Stage 3: Cycle-Accurate Timing), §5.5 (Stage 5: Energy Estimation)</w:t>
            </w:r>
          </w:p>
        </w:tc>
      </w:tr>
      <w:tr w:rsidR="001F2F33" w:rsidRPr="00BF13FD" w14:paraId="12BB9909" w14:textId="77777777" w:rsidTr="00BF13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pct"/>
          </w:tcPr>
          <w:p w14:paraId="41F945F1" w14:textId="77777777" w:rsidR="001F2F33" w:rsidRPr="00BF13FD" w:rsidRDefault="00000000" w:rsidP="00BF13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F13FD">
              <w:rPr>
                <w:rFonts w:asciiTheme="minorHAnsi" w:eastAsia="Calibri" w:hAnsiTheme="minorHAnsi" w:cstheme="minorHAnsi"/>
                <w:sz w:val="24"/>
                <w:szCs w:val="24"/>
              </w:rPr>
              <w:t>Feasibility rule (§5.4)</w:t>
            </w:r>
          </w:p>
        </w:tc>
        <w:tc>
          <w:tcPr>
            <w:tcW w:w="3000" w:type="pct"/>
          </w:tcPr>
          <w:p w14:paraId="12FD192D" w14:textId="77777777" w:rsidR="001F2F33" w:rsidRPr="00BF13FD" w:rsidRDefault="00000000" w:rsidP="00BF13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F13FD">
              <w:rPr>
                <w:rFonts w:asciiTheme="minorHAnsi" w:eastAsia="Calibri" w:hAnsiTheme="minorHAnsi" w:cstheme="minorHAnsi"/>
                <w:sz w:val="24"/>
                <w:szCs w:val="24"/>
              </w:rPr>
              <w:t>§5.5</w:t>
            </w:r>
          </w:p>
        </w:tc>
      </w:tr>
      <w:tr w:rsidR="001F2F33" w:rsidRPr="00BF13FD" w14:paraId="5A84D6FE" w14:textId="77777777" w:rsidTr="00BF13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pct"/>
          </w:tcPr>
          <w:p w14:paraId="41EA9EE6" w14:textId="77777777" w:rsidR="001F2F33" w:rsidRPr="00BF13FD" w:rsidRDefault="00000000" w:rsidP="00BF13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F13FD">
              <w:rPr>
                <w:rFonts w:asciiTheme="minorHAnsi" w:eastAsia="Calibri" w:hAnsiTheme="minorHAnsi" w:cstheme="minorHAnsi"/>
                <w:sz w:val="24"/>
                <w:szCs w:val="24"/>
              </w:rPr>
              <w:t>Target primitives (§6)</w:t>
            </w:r>
          </w:p>
        </w:tc>
        <w:tc>
          <w:tcPr>
            <w:tcW w:w="3000" w:type="pct"/>
          </w:tcPr>
          <w:p w14:paraId="60DEB2F9" w14:textId="77777777" w:rsidR="001F2F33" w:rsidRPr="00BF13FD" w:rsidRDefault="00000000" w:rsidP="00BF13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F13FD">
              <w:rPr>
                <w:rFonts w:asciiTheme="minorHAnsi" w:eastAsia="Calibri" w:hAnsiTheme="minorHAnsi" w:cstheme="minorHAnsi"/>
                <w:sz w:val="24"/>
                <w:szCs w:val="24"/>
              </w:rPr>
              <w:t>§6 (Quantified Success Metrics, item 2), References [1]</w:t>
            </w:r>
            <w:proofErr w:type="gramStart"/>
            <w:r w:rsidRPr="00BF13FD">
              <w:rPr>
                <w:rFonts w:asciiTheme="minorHAnsi" w:eastAsia="Calibri" w:hAnsiTheme="minorHAnsi" w:cstheme="minorHAnsi"/>
                <w:sz w:val="24"/>
                <w:szCs w:val="24"/>
              </w:rPr>
              <w:t>–[</w:t>
            </w:r>
            <w:proofErr w:type="gramEnd"/>
            <w:r w:rsidRPr="00BF13FD">
              <w:rPr>
                <w:rFonts w:asciiTheme="minorHAnsi" w:eastAsia="Calibri" w:hAnsiTheme="minorHAnsi" w:cstheme="minorHAnsi"/>
                <w:sz w:val="24"/>
                <w:szCs w:val="24"/>
              </w:rPr>
              <w:t>13]</w:t>
            </w:r>
          </w:p>
        </w:tc>
      </w:tr>
      <w:tr w:rsidR="001F2F33" w:rsidRPr="00BF13FD" w14:paraId="62000862" w14:textId="77777777" w:rsidTr="00BF13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pct"/>
          </w:tcPr>
          <w:p w14:paraId="3538B4A0" w14:textId="77777777" w:rsidR="001F2F33" w:rsidRPr="00BF13FD" w:rsidRDefault="00000000" w:rsidP="00BF13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F13FD">
              <w:rPr>
                <w:rFonts w:asciiTheme="minorHAnsi" w:eastAsia="Calibri" w:hAnsiTheme="minorHAnsi" w:cstheme="minorHAnsi"/>
                <w:sz w:val="24"/>
                <w:szCs w:val="24"/>
              </w:rPr>
              <w:t>Validation criterion (§7)</w:t>
            </w:r>
          </w:p>
        </w:tc>
        <w:tc>
          <w:tcPr>
            <w:tcW w:w="3000" w:type="pct"/>
          </w:tcPr>
          <w:p w14:paraId="5B763C9C" w14:textId="77777777" w:rsidR="001F2F33" w:rsidRPr="00BF13FD" w:rsidRDefault="00000000" w:rsidP="00BF13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F13FD">
              <w:rPr>
                <w:rFonts w:asciiTheme="minorHAnsi" w:eastAsia="Calibri" w:hAnsiTheme="minorHAnsi" w:cstheme="minorHAnsi"/>
                <w:sz w:val="24"/>
                <w:szCs w:val="24"/>
              </w:rPr>
              <w:t>Table 1 (Risk 1), §8.4 (Outstanding: Cryptography-Specific Cycle-Accuracy Validation)</w:t>
            </w:r>
          </w:p>
        </w:tc>
      </w:tr>
      <w:tr w:rsidR="001F2F33" w:rsidRPr="00BF13FD" w14:paraId="19B0893B" w14:textId="77777777" w:rsidTr="00BF13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pct"/>
          </w:tcPr>
          <w:p w14:paraId="364E7E08" w14:textId="77777777" w:rsidR="001F2F33" w:rsidRPr="00BF13FD" w:rsidRDefault="00000000" w:rsidP="00BF13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F13FD">
              <w:rPr>
                <w:rFonts w:asciiTheme="minorHAnsi" w:eastAsia="Calibri" w:hAnsiTheme="minorHAnsi" w:cstheme="minorHAnsi"/>
                <w:sz w:val="24"/>
                <w:szCs w:val="24"/>
              </w:rPr>
              <w:t>Limiting case 8.3</w:t>
            </w:r>
          </w:p>
        </w:tc>
        <w:tc>
          <w:tcPr>
            <w:tcW w:w="3000" w:type="pct"/>
          </w:tcPr>
          <w:p w14:paraId="7C45B7FE" w14:textId="77777777" w:rsidR="001F2F33" w:rsidRPr="00BF13FD" w:rsidRDefault="00000000" w:rsidP="00BF13F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F13FD">
              <w:rPr>
                <w:rFonts w:asciiTheme="minorHAnsi" w:eastAsia="Calibri" w:hAnsiTheme="minorHAnsi" w:cstheme="minorHAnsi"/>
                <w:sz w:val="24"/>
                <w:szCs w:val="24"/>
              </w:rPr>
              <w:t>§8.3 (Cycle-Accuracy Verification, Trivial Case)</w:t>
            </w:r>
          </w:p>
        </w:tc>
      </w:tr>
    </w:tbl>
    <w:p w14:paraId="248D5CF3" w14:textId="77777777" w:rsidR="001F2F33" w:rsidRPr="00BF13FD" w:rsidRDefault="00000000">
      <w:pPr>
        <w:pStyle w:val="Heading1"/>
        <w:spacing w:before="320" w:after="150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BF13FD">
        <w:rPr>
          <w:rFonts w:asciiTheme="minorHAnsi" w:hAnsiTheme="minorHAnsi" w:cstheme="minorHAnsi"/>
          <w:b/>
          <w:bCs/>
          <w:color w:val="0070C0"/>
          <w:sz w:val="28"/>
          <w:szCs w:val="28"/>
        </w:rPr>
        <w:t>10. What Remains for Week 6</w:t>
      </w:r>
    </w:p>
    <w:p w14:paraId="5E3398D0" w14:textId="77777777" w:rsidR="001F2F33" w:rsidRPr="00BF13FD" w:rsidRDefault="00000000">
      <w:pPr>
        <w:spacing w:after="160"/>
        <w:rPr>
          <w:rFonts w:asciiTheme="minorHAnsi" w:hAnsiTheme="minorHAnsi" w:cstheme="minorHAnsi"/>
          <w:sz w:val="24"/>
          <w:szCs w:val="24"/>
        </w:rPr>
      </w:pPr>
      <w:r w:rsidRPr="00BF13FD">
        <w:rPr>
          <w:rFonts w:asciiTheme="minorHAnsi" w:eastAsia="Calibri" w:hAnsiTheme="minorHAnsi" w:cstheme="minorHAnsi"/>
          <w:sz w:val="24"/>
          <w:szCs w:val="24"/>
        </w:rPr>
        <w:t>The following steps are explicitly out of scope for this document and are deferred to Week 6, per the charter's phase definition and the Week 4 report's own stated plan (§8.4):</w:t>
      </w:r>
    </w:p>
    <w:p w14:paraId="7C7A48CA" w14:textId="77777777" w:rsidR="001F2F33" w:rsidRPr="00BF13FD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F13FD">
        <w:rPr>
          <w:rFonts w:asciiTheme="minorHAnsi" w:eastAsia="Calibri" w:hAnsiTheme="minorHAnsi" w:cstheme="minorHAnsi"/>
          <w:sz w:val="24"/>
          <w:szCs w:val="24"/>
        </w:rPr>
        <w:t>Enable the Cortex-M4 DWT cycle counter in a minimal bare-metal firmware image (Eq. 1).</w:t>
      </w:r>
    </w:p>
    <w:p w14:paraId="7A47566E" w14:textId="77777777" w:rsidR="001F2F33" w:rsidRPr="00BF13FD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F13FD">
        <w:rPr>
          <w:rFonts w:asciiTheme="minorHAnsi" w:eastAsia="Calibri" w:hAnsiTheme="minorHAnsi" w:cstheme="minorHAnsi"/>
          <w:sz w:val="24"/>
          <w:szCs w:val="24"/>
        </w:rPr>
        <w:t>Compile and run a reference Kyber-512 implementation matching Heinz [8]'s tested configuration.</w:t>
      </w:r>
    </w:p>
    <w:p w14:paraId="1DCBAD47" w14:textId="77777777" w:rsidR="001F2F33" w:rsidRPr="00BF13FD" w:rsidRDefault="00000000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F13FD">
        <w:rPr>
          <w:rFonts w:asciiTheme="minorHAnsi" w:eastAsia="Calibri" w:hAnsiTheme="minorHAnsi" w:cstheme="minorHAnsi"/>
          <w:sz w:val="24"/>
          <w:szCs w:val="24"/>
        </w:rPr>
        <w:t>Compute the relative discrepancy (Eq. 4) against Heinz's published figure and apply the 10% validation rule (Section 7).</w:t>
      </w:r>
    </w:p>
    <w:p w14:paraId="44B5AAFA" w14:textId="77777777" w:rsidR="00BF13FD" w:rsidRPr="00BF13FD" w:rsidRDefault="00000000" w:rsidP="00BF13FD">
      <w:pPr>
        <w:pStyle w:val="ListParagraph"/>
        <w:numPr>
          <w:ilvl w:val="0"/>
          <w:numId w:val="2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BF13FD">
        <w:rPr>
          <w:rFonts w:asciiTheme="minorHAnsi" w:eastAsia="Calibri" w:hAnsiTheme="minorHAnsi" w:cstheme="minorHAnsi"/>
          <w:sz w:val="24"/>
          <w:szCs w:val="24"/>
        </w:rPr>
        <w:t>If validated, extend the same DWT-based methodology to all four primitives in Section 6 to populate the feasibility table.</w:t>
      </w:r>
    </w:p>
    <w:p w14:paraId="0F274E72" w14:textId="77777777" w:rsidR="00BF13FD" w:rsidRPr="00BF13FD" w:rsidRDefault="00BF13FD" w:rsidP="00BF13FD">
      <w:pPr>
        <w:spacing w:after="80"/>
        <w:ind w:left="140"/>
        <w:rPr>
          <w:rFonts w:asciiTheme="minorHAnsi" w:hAnsiTheme="minorHAnsi" w:cstheme="minorHAnsi"/>
          <w:sz w:val="24"/>
          <w:szCs w:val="24"/>
        </w:rPr>
      </w:pPr>
    </w:p>
    <w:p w14:paraId="2442772E" w14:textId="449F9DE5" w:rsidR="00BF13FD" w:rsidRPr="00EA5FC9" w:rsidRDefault="00000000" w:rsidP="00EA5FC9">
      <w:pPr>
        <w:spacing w:after="80" w:line="276" w:lineRule="auto"/>
        <w:rPr>
          <w:rFonts w:asciiTheme="minorHAnsi" w:hAnsiTheme="minorHAnsi" w:cstheme="minorHAnsi"/>
          <w:b/>
          <w:bCs/>
          <w:color w:val="0070C0"/>
          <w:sz w:val="28"/>
          <w:szCs w:val="28"/>
        </w:rPr>
      </w:pPr>
      <w:r w:rsidRPr="00BF13FD">
        <w:rPr>
          <w:rFonts w:asciiTheme="minorHAnsi" w:hAnsiTheme="minorHAnsi" w:cstheme="minorHAnsi"/>
          <w:b/>
          <w:bCs/>
          <w:color w:val="0070C0"/>
          <w:sz w:val="28"/>
          <w:szCs w:val="28"/>
        </w:rPr>
        <w:t>References</w:t>
      </w:r>
    </w:p>
    <w:p w14:paraId="215A1C5A" w14:textId="77777777" w:rsidR="00BF13FD" w:rsidRPr="00EA5FC9" w:rsidRDefault="00000000">
      <w:pPr>
        <w:spacing w:after="160"/>
        <w:rPr>
          <w:rFonts w:asciiTheme="minorHAnsi" w:eastAsia="Calibri" w:hAnsiTheme="minorHAnsi" w:cstheme="minorHAnsi"/>
          <w:i/>
          <w:iCs/>
          <w:sz w:val="28"/>
          <w:szCs w:val="28"/>
        </w:rPr>
      </w:pPr>
      <w:r w:rsidRPr="00EA5FC9">
        <w:rPr>
          <w:rFonts w:asciiTheme="minorHAnsi" w:eastAsia="Calibri" w:hAnsiTheme="minorHAnsi" w:cstheme="minorHAnsi"/>
          <w:i/>
          <w:iCs/>
          <w:sz w:val="28"/>
          <w:szCs w:val="28"/>
        </w:rPr>
        <w:t xml:space="preserve">[1] </w:t>
      </w:r>
      <w:proofErr w:type="spellStart"/>
      <w:r w:rsidRPr="00EA5FC9">
        <w:rPr>
          <w:rFonts w:asciiTheme="minorHAnsi" w:eastAsia="Calibri" w:hAnsiTheme="minorHAnsi" w:cstheme="minorHAnsi"/>
          <w:i/>
          <w:iCs/>
          <w:sz w:val="28"/>
          <w:szCs w:val="28"/>
        </w:rPr>
        <w:t>Dobraunig</w:t>
      </w:r>
      <w:proofErr w:type="spellEnd"/>
      <w:r w:rsidRPr="00EA5FC9">
        <w:rPr>
          <w:rFonts w:asciiTheme="minorHAnsi" w:eastAsia="Calibri" w:hAnsiTheme="minorHAnsi" w:cstheme="minorHAnsi"/>
          <w:i/>
          <w:iCs/>
          <w:sz w:val="28"/>
          <w:szCs w:val="28"/>
        </w:rPr>
        <w:t xml:space="preserve"> et al., Ascon v1.2, 2021.  </w:t>
      </w:r>
    </w:p>
    <w:p w14:paraId="72A9C411" w14:textId="77777777" w:rsidR="00BF13FD" w:rsidRPr="00EA5FC9" w:rsidRDefault="00000000">
      <w:pPr>
        <w:spacing w:after="160"/>
        <w:rPr>
          <w:rFonts w:asciiTheme="minorHAnsi" w:eastAsia="Calibri" w:hAnsiTheme="minorHAnsi" w:cstheme="minorHAnsi"/>
          <w:i/>
          <w:iCs/>
          <w:sz w:val="28"/>
          <w:szCs w:val="28"/>
        </w:rPr>
      </w:pPr>
      <w:r w:rsidRPr="00EA5FC9">
        <w:rPr>
          <w:rFonts w:asciiTheme="minorHAnsi" w:eastAsia="Calibri" w:hAnsiTheme="minorHAnsi" w:cstheme="minorHAnsi"/>
          <w:i/>
          <w:iCs/>
          <w:sz w:val="28"/>
          <w:szCs w:val="28"/>
        </w:rPr>
        <w:t xml:space="preserve">[4] Nir &amp; Langley, RFC 8439, 2018. </w:t>
      </w:r>
    </w:p>
    <w:p w14:paraId="53F6041C" w14:textId="77777777" w:rsidR="00BF13FD" w:rsidRPr="00EA5FC9" w:rsidRDefault="00000000">
      <w:pPr>
        <w:spacing w:after="160"/>
        <w:rPr>
          <w:rFonts w:asciiTheme="minorHAnsi" w:eastAsia="Calibri" w:hAnsiTheme="minorHAnsi" w:cstheme="minorHAnsi"/>
          <w:i/>
          <w:iCs/>
          <w:sz w:val="28"/>
          <w:szCs w:val="28"/>
        </w:rPr>
      </w:pPr>
      <w:r w:rsidRPr="00EA5FC9">
        <w:rPr>
          <w:rFonts w:asciiTheme="minorHAnsi" w:eastAsia="Calibri" w:hAnsiTheme="minorHAnsi" w:cstheme="minorHAnsi"/>
          <w:i/>
          <w:iCs/>
          <w:sz w:val="28"/>
          <w:szCs w:val="28"/>
        </w:rPr>
        <w:t xml:space="preserve"> [5] Bernstein, </w:t>
      </w:r>
      <w:proofErr w:type="spellStart"/>
      <w:r w:rsidRPr="00EA5FC9">
        <w:rPr>
          <w:rFonts w:asciiTheme="minorHAnsi" w:eastAsia="Calibri" w:hAnsiTheme="minorHAnsi" w:cstheme="minorHAnsi"/>
          <w:i/>
          <w:iCs/>
          <w:sz w:val="28"/>
          <w:szCs w:val="28"/>
        </w:rPr>
        <w:t>ChaCha</w:t>
      </w:r>
      <w:proofErr w:type="spellEnd"/>
      <w:r w:rsidRPr="00EA5FC9">
        <w:rPr>
          <w:rFonts w:asciiTheme="minorHAnsi" w:eastAsia="Calibri" w:hAnsiTheme="minorHAnsi" w:cstheme="minorHAnsi"/>
          <w:i/>
          <w:iCs/>
          <w:sz w:val="28"/>
          <w:szCs w:val="28"/>
        </w:rPr>
        <w:t xml:space="preserve">, 2006.  </w:t>
      </w:r>
    </w:p>
    <w:p w14:paraId="030C6EC8" w14:textId="77777777" w:rsidR="00BF13FD" w:rsidRPr="00EA5FC9" w:rsidRDefault="00000000">
      <w:pPr>
        <w:spacing w:after="160"/>
        <w:rPr>
          <w:rFonts w:asciiTheme="minorHAnsi" w:eastAsia="Calibri" w:hAnsiTheme="minorHAnsi" w:cstheme="minorHAnsi"/>
          <w:i/>
          <w:iCs/>
          <w:sz w:val="28"/>
          <w:szCs w:val="28"/>
        </w:rPr>
      </w:pPr>
      <w:r w:rsidRPr="00EA5FC9">
        <w:rPr>
          <w:rFonts w:asciiTheme="minorHAnsi" w:eastAsia="Calibri" w:hAnsiTheme="minorHAnsi" w:cstheme="minorHAnsi"/>
          <w:i/>
          <w:iCs/>
          <w:sz w:val="28"/>
          <w:szCs w:val="28"/>
        </w:rPr>
        <w:t xml:space="preserve">[8] Heinz, First-Order Masked Kyber on ARM Cortex-M4, NIST CSRC PQC Workshop, 2021.  </w:t>
      </w:r>
    </w:p>
    <w:p w14:paraId="71805621" w14:textId="77777777" w:rsidR="00BF13FD" w:rsidRPr="00EA5FC9" w:rsidRDefault="00000000">
      <w:pPr>
        <w:spacing w:after="160"/>
        <w:rPr>
          <w:rFonts w:asciiTheme="minorHAnsi" w:eastAsia="Calibri" w:hAnsiTheme="minorHAnsi" w:cstheme="minorHAnsi"/>
          <w:i/>
          <w:iCs/>
          <w:sz w:val="28"/>
          <w:szCs w:val="28"/>
        </w:rPr>
      </w:pPr>
      <w:r w:rsidRPr="00EA5FC9">
        <w:rPr>
          <w:rFonts w:asciiTheme="minorHAnsi" w:eastAsia="Calibri" w:hAnsiTheme="minorHAnsi" w:cstheme="minorHAnsi"/>
          <w:i/>
          <w:iCs/>
          <w:sz w:val="28"/>
          <w:szCs w:val="28"/>
        </w:rPr>
        <w:t xml:space="preserve">[9] Bos et al., CRYSTALS-Kyber, </w:t>
      </w:r>
      <w:proofErr w:type="spellStart"/>
      <w:r w:rsidRPr="00EA5FC9">
        <w:rPr>
          <w:rFonts w:asciiTheme="minorHAnsi" w:eastAsia="Calibri" w:hAnsiTheme="minorHAnsi" w:cstheme="minorHAnsi"/>
          <w:i/>
          <w:iCs/>
          <w:sz w:val="28"/>
          <w:szCs w:val="28"/>
        </w:rPr>
        <w:t>EuroS&amp;P</w:t>
      </w:r>
      <w:proofErr w:type="spellEnd"/>
      <w:r w:rsidRPr="00EA5FC9">
        <w:rPr>
          <w:rFonts w:asciiTheme="minorHAnsi" w:eastAsia="Calibri" w:hAnsiTheme="minorHAnsi" w:cstheme="minorHAnsi"/>
          <w:i/>
          <w:iCs/>
          <w:sz w:val="28"/>
          <w:szCs w:val="28"/>
        </w:rPr>
        <w:t>, 2018.</w:t>
      </w:r>
    </w:p>
    <w:p w14:paraId="1FA1922D" w14:textId="77777777" w:rsidR="00BF13FD" w:rsidRPr="00EA5FC9" w:rsidRDefault="00000000">
      <w:pPr>
        <w:spacing w:after="160"/>
        <w:rPr>
          <w:rFonts w:asciiTheme="minorHAnsi" w:eastAsia="Calibri" w:hAnsiTheme="minorHAnsi" w:cstheme="minorHAnsi"/>
          <w:i/>
          <w:iCs/>
          <w:sz w:val="28"/>
          <w:szCs w:val="28"/>
        </w:rPr>
      </w:pPr>
      <w:r w:rsidRPr="00EA5FC9">
        <w:rPr>
          <w:rFonts w:asciiTheme="minorHAnsi" w:eastAsia="Calibri" w:hAnsiTheme="minorHAnsi" w:cstheme="minorHAnsi"/>
          <w:i/>
          <w:iCs/>
          <w:sz w:val="28"/>
          <w:szCs w:val="28"/>
        </w:rPr>
        <w:t xml:space="preserve">  [10] Bernstein et al., SPHINCS+, 2019. </w:t>
      </w:r>
    </w:p>
    <w:p w14:paraId="63909DD4" w14:textId="77777777" w:rsidR="00BF13FD" w:rsidRPr="00EA5FC9" w:rsidRDefault="00000000">
      <w:pPr>
        <w:spacing w:after="160"/>
        <w:rPr>
          <w:rFonts w:asciiTheme="minorHAnsi" w:eastAsia="Calibri" w:hAnsiTheme="minorHAnsi" w:cstheme="minorHAnsi"/>
          <w:i/>
          <w:iCs/>
          <w:sz w:val="28"/>
          <w:szCs w:val="28"/>
        </w:rPr>
      </w:pPr>
      <w:r w:rsidRPr="00EA5FC9">
        <w:rPr>
          <w:rFonts w:asciiTheme="minorHAnsi" w:eastAsia="Calibri" w:hAnsiTheme="minorHAnsi" w:cstheme="minorHAnsi"/>
          <w:i/>
          <w:iCs/>
          <w:sz w:val="28"/>
          <w:szCs w:val="28"/>
        </w:rPr>
        <w:t xml:space="preserve"> [11] NIST FIPS 203, ML-KEM, 2024. </w:t>
      </w:r>
    </w:p>
    <w:p w14:paraId="2CD82998" w14:textId="695D8AB8" w:rsidR="00BF13FD" w:rsidRPr="00EA5FC9" w:rsidRDefault="00000000">
      <w:pPr>
        <w:spacing w:after="160"/>
        <w:rPr>
          <w:rFonts w:asciiTheme="minorHAnsi" w:eastAsia="Calibri" w:hAnsiTheme="minorHAnsi" w:cstheme="minorHAnsi"/>
          <w:i/>
          <w:iCs/>
          <w:sz w:val="28"/>
          <w:szCs w:val="28"/>
        </w:rPr>
      </w:pPr>
      <w:r w:rsidRPr="00EA5FC9">
        <w:rPr>
          <w:rFonts w:asciiTheme="minorHAnsi" w:eastAsia="Calibri" w:hAnsiTheme="minorHAnsi" w:cstheme="minorHAnsi"/>
          <w:i/>
          <w:iCs/>
          <w:sz w:val="28"/>
          <w:szCs w:val="28"/>
        </w:rPr>
        <w:t xml:space="preserve"> [18] STMicroelectronics, STM32F407/417 datasheet, 2026.</w:t>
      </w:r>
    </w:p>
    <w:p w14:paraId="4509CDB9" w14:textId="77777777" w:rsidR="001F2F33" w:rsidRPr="00374B28" w:rsidRDefault="00000000">
      <w:pPr>
        <w:spacing w:after="160"/>
        <w:rPr>
          <w:rFonts w:asciiTheme="minorHAnsi" w:hAnsiTheme="minorHAnsi" w:cstheme="minorHAnsi"/>
          <w:sz w:val="28"/>
          <w:szCs w:val="28"/>
        </w:rPr>
      </w:pPr>
      <w:r w:rsidRPr="00374B28">
        <w:rPr>
          <w:rFonts w:asciiTheme="minorHAnsi" w:eastAsia="Calibri" w:hAnsiTheme="minorHAnsi" w:cstheme="minorHAnsi"/>
          <w:i/>
          <w:iCs/>
          <w:color w:val="555555"/>
          <w:sz w:val="28"/>
          <w:szCs w:val="28"/>
        </w:rPr>
        <w:t>Full 18-reference list is retained in the Week 4 report; only references directly used in this document's equations and tables are repeated here.</w:t>
      </w:r>
    </w:p>
    <w:sectPr w:rsidR="001F2F33" w:rsidRPr="00374B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B1783"/>
    <w:multiLevelType w:val="hybridMultilevel"/>
    <w:tmpl w:val="79AE740E"/>
    <w:lvl w:ilvl="0" w:tplc="D31C7F24">
      <w:start w:val="1"/>
      <w:numFmt w:val="bullet"/>
      <w:lvlText w:val="●"/>
      <w:lvlJc w:val="left"/>
      <w:pPr>
        <w:ind w:left="720" w:hanging="360"/>
      </w:pPr>
    </w:lvl>
    <w:lvl w:ilvl="1" w:tplc="EA5AFEFE">
      <w:start w:val="1"/>
      <w:numFmt w:val="bullet"/>
      <w:lvlText w:val="○"/>
      <w:lvlJc w:val="left"/>
      <w:pPr>
        <w:ind w:left="1440" w:hanging="360"/>
      </w:pPr>
    </w:lvl>
    <w:lvl w:ilvl="2" w:tplc="E5D6E7F4">
      <w:start w:val="1"/>
      <w:numFmt w:val="bullet"/>
      <w:lvlText w:val="■"/>
      <w:lvlJc w:val="left"/>
      <w:pPr>
        <w:ind w:left="2160" w:hanging="360"/>
      </w:pPr>
    </w:lvl>
    <w:lvl w:ilvl="3" w:tplc="10F84C3E">
      <w:start w:val="1"/>
      <w:numFmt w:val="bullet"/>
      <w:lvlText w:val="●"/>
      <w:lvlJc w:val="left"/>
      <w:pPr>
        <w:ind w:left="2880" w:hanging="360"/>
      </w:pPr>
    </w:lvl>
    <w:lvl w:ilvl="4" w:tplc="3594DCBC">
      <w:start w:val="1"/>
      <w:numFmt w:val="bullet"/>
      <w:lvlText w:val="○"/>
      <w:lvlJc w:val="left"/>
      <w:pPr>
        <w:ind w:left="3600" w:hanging="360"/>
      </w:pPr>
    </w:lvl>
    <w:lvl w:ilvl="5" w:tplc="A6C66C0A">
      <w:start w:val="1"/>
      <w:numFmt w:val="bullet"/>
      <w:lvlText w:val="■"/>
      <w:lvlJc w:val="left"/>
      <w:pPr>
        <w:ind w:left="4320" w:hanging="360"/>
      </w:pPr>
    </w:lvl>
    <w:lvl w:ilvl="6" w:tplc="4C2CA06C">
      <w:start w:val="1"/>
      <w:numFmt w:val="bullet"/>
      <w:lvlText w:val="●"/>
      <w:lvlJc w:val="left"/>
      <w:pPr>
        <w:ind w:left="5040" w:hanging="360"/>
      </w:pPr>
    </w:lvl>
    <w:lvl w:ilvl="7" w:tplc="F040565C">
      <w:start w:val="1"/>
      <w:numFmt w:val="bullet"/>
      <w:lvlText w:val="●"/>
      <w:lvlJc w:val="left"/>
      <w:pPr>
        <w:ind w:left="5760" w:hanging="360"/>
      </w:pPr>
    </w:lvl>
    <w:lvl w:ilvl="8" w:tplc="9C9EEC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D61FA4"/>
    <w:multiLevelType w:val="hybridMultilevel"/>
    <w:tmpl w:val="33CEBEE0"/>
    <w:lvl w:ilvl="0" w:tplc="159A1840">
      <w:start w:val="1"/>
      <w:numFmt w:val="bullet"/>
      <w:lvlText w:val="•"/>
      <w:lvlJc w:val="left"/>
      <w:pPr>
        <w:ind w:left="400" w:hanging="260"/>
      </w:pPr>
    </w:lvl>
    <w:lvl w:ilvl="1" w:tplc="D85E1B6E">
      <w:numFmt w:val="decimal"/>
      <w:lvlText w:val=""/>
      <w:lvlJc w:val="left"/>
    </w:lvl>
    <w:lvl w:ilvl="2" w:tplc="C24C87D8">
      <w:numFmt w:val="decimal"/>
      <w:lvlText w:val=""/>
      <w:lvlJc w:val="left"/>
    </w:lvl>
    <w:lvl w:ilvl="3" w:tplc="FAD0A7E0">
      <w:numFmt w:val="decimal"/>
      <w:lvlText w:val=""/>
      <w:lvlJc w:val="left"/>
    </w:lvl>
    <w:lvl w:ilvl="4" w:tplc="C6CE5C02">
      <w:numFmt w:val="decimal"/>
      <w:lvlText w:val=""/>
      <w:lvlJc w:val="left"/>
    </w:lvl>
    <w:lvl w:ilvl="5" w:tplc="25BCF462">
      <w:numFmt w:val="decimal"/>
      <w:lvlText w:val=""/>
      <w:lvlJc w:val="left"/>
    </w:lvl>
    <w:lvl w:ilvl="6" w:tplc="15C4447C">
      <w:numFmt w:val="decimal"/>
      <w:lvlText w:val=""/>
      <w:lvlJc w:val="left"/>
    </w:lvl>
    <w:lvl w:ilvl="7" w:tplc="B1048102">
      <w:numFmt w:val="decimal"/>
      <w:lvlText w:val=""/>
      <w:lvlJc w:val="left"/>
    </w:lvl>
    <w:lvl w:ilvl="8" w:tplc="CF0EF63E">
      <w:numFmt w:val="decimal"/>
      <w:lvlText w:val=""/>
      <w:lvlJc w:val="left"/>
    </w:lvl>
  </w:abstractNum>
  <w:num w:numId="1" w16cid:durableId="1825000499">
    <w:abstractNumId w:val="0"/>
    <w:lvlOverride w:ilvl="0">
      <w:startOverride w:val="1"/>
    </w:lvlOverride>
  </w:num>
  <w:num w:numId="2" w16cid:durableId="1586186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F33"/>
    <w:rsid w:val="001F2F33"/>
    <w:rsid w:val="00374B28"/>
    <w:rsid w:val="00BC0029"/>
    <w:rsid w:val="00BF13FD"/>
    <w:rsid w:val="00CE1F48"/>
    <w:rsid w:val="00EA5FC9"/>
    <w:rsid w:val="00EA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4837B"/>
  <w15:docId w15:val="{28013622-D6C4-4887-80C8-E82BD5FA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2-Accent2">
    <w:name w:val="Grid Table 2 Accent 2"/>
    <w:basedOn w:val="TableNormal"/>
    <w:uiPriority w:val="47"/>
    <w:rsid w:val="00374B28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6">
    <w:name w:val="Grid Table 2 Accent 6"/>
    <w:basedOn w:val="TableNormal"/>
    <w:uiPriority w:val="47"/>
    <w:rsid w:val="00374B28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1661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rutvika ashtekar</cp:lastModifiedBy>
  <cp:revision>4</cp:revision>
  <dcterms:created xsi:type="dcterms:W3CDTF">2026-09-27T04:32:00Z</dcterms:created>
  <dcterms:modified xsi:type="dcterms:W3CDTF">2026-09-27T05:13:00Z</dcterms:modified>
</cp:coreProperties>
</file>