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61ABE" w14:textId="7B5871B6" w:rsidR="00080D97" w:rsidRPr="00727E66" w:rsidRDefault="00000000" w:rsidP="00727E66">
      <w:pPr>
        <w:spacing w:after="60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 w:rsidRPr="00727E66">
        <w:rPr>
          <w:rFonts w:ascii="Calibri" w:eastAsia="Calibri" w:hAnsi="Calibri" w:cs="Calibri"/>
          <w:b/>
          <w:bCs/>
          <w:sz w:val="36"/>
          <w:szCs w:val="36"/>
        </w:rPr>
        <w:t>VESPER-SEC-01 — Week 5 Progress Report</w:t>
      </w:r>
    </w:p>
    <w:p w14:paraId="3FA650F3" w14:textId="77777777" w:rsidR="00727E66" w:rsidRPr="00BF13FD" w:rsidRDefault="00727E66" w:rsidP="00727E66">
      <w:pPr>
        <w:jc w:val="center"/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</w:pPr>
      <w:r w:rsidRPr="00BF13FD">
        <w:rPr>
          <w:rFonts w:asciiTheme="minorHAnsi" w:eastAsia="Calibri" w:hAnsiTheme="minorHAnsi" w:cstheme="minorHAnsi"/>
          <w:b/>
          <w:bCs/>
          <w:color w:val="171717" w:themeColor="background2" w:themeShade="1A"/>
          <w:sz w:val="24"/>
          <w:szCs w:val="24"/>
        </w:rPr>
        <w:t>VESPER-SEC-01 Project</w:t>
      </w:r>
    </w:p>
    <w:p w14:paraId="6A7C538D" w14:textId="77777777" w:rsidR="00727E66" w:rsidRPr="00BF13FD" w:rsidRDefault="00727E66" w:rsidP="00727E66">
      <w:pPr>
        <w:jc w:val="center"/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</w:pPr>
      <w:r w:rsidRPr="00BF13FD">
        <w:rPr>
          <w:rFonts w:asciiTheme="minorHAnsi" w:eastAsia="Calibri" w:hAnsiTheme="minorHAnsi" w:cstheme="minorHAnsi"/>
          <w:b/>
          <w:bCs/>
          <w:color w:val="171717" w:themeColor="background2" w:themeShade="1A"/>
          <w:sz w:val="24"/>
          <w:szCs w:val="24"/>
        </w:rPr>
        <w:t>Domain Track</w:t>
      </w:r>
      <w:r w:rsidRPr="00BF13FD"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  <w:t>: Cybersecurity (Option 3.5 A)</w:t>
      </w:r>
    </w:p>
    <w:p w14:paraId="3E9E4581" w14:textId="77777777" w:rsidR="00727E66" w:rsidRPr="00BF13FD" w:rsidRDefault="00727E66" w:rsidP="00727E66">
      <w:pPr>
        <w:jc w:val="center"/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</w:pPr>
      <w:r w:rsidRPr="00BF13FD">
        <w:rPr>
          <w:rFonts w:asciiTheme="minorHAnsi" w:eastAsia="Calibri" w:hAnsiTheme="minorHAnsi" w:cstheme="minorHAnsi"/>
          <w:b/>
          <w:bCs/>
          <w:color w:val="171717" w:themeColor="background2" w:themeShade="1A"/>
          <w:sz w:val="24"/>
          <w:szCs w:val="24"/>
        </w:rPr>
        <w:t>Subsystem Tier:</w:t>
      </w:r>
      <w:r w:rsidRPr="00BF13FD"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  <w:t xml:space="preserve"> B-System · Mothership</w:t>
      </w:r>
    </w:p>
    <w:p w14:paraId="58DD3450" w14:textId="77777777" w:rsidR="00727E66" w:rsidRPr="00BF13FD" w:rsidRDefault="00727E66" w:rsidP="00727E66">
      <w:pPr>
        <w:jc w:val="center"/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</w:pPr>
      <w:r w:rsidRPr="00BF13FD"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  <w:t>VISVAMBHARA (Weeks 4–12)</w:t>
      </w:r>
    </w:p>
    <w:p w14:paraId="392CC1B9" w14:textId="77777777" w:rsidR="00727E66" w:rsidRPr="00BF13FD" w:rsidRDefault="00727E66" w:rsidP="00727E66">
      <w:pPr>
        <w:jc w:val="center"/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</w:pPr>
      <w:r w:rsidRPr="00BF13FD">
        <w:rPr>
          <w:rFonts w:asciiTheme="minorHAnsi" w:eastAsia="Calibri" w:hAnsiTheme="minorHAnsi" w:cstheme="minorHAnsi"/>
          <w:b/>
          <w:bCs/>
          <w:color w:val="171717" w:themeColor="background2" w:themeShade="1A"/>
          <w:sz w:val="24"/>
          <w:szCs w:val="24"/>
        </w:rPr>
        <w:t>Rutvika Mahadev Ashtekar</w:t>
      </w:r>
    </w:p>
    <w:p w14:paraId="0B20782A" w14:textId="77777777" w:rsidR="00727E66" w:rsidRDefault="00727E66" w:rsidP="00727E66">
      <w:pPr>
        <w:spacing w:line="360" w:lineRule="auto"/>
        <w:jc w:val="center"/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</w:pPr>
      <w:r w:rsidRPr="00BF13FD">
        <w:rPr>
          <w:rFonts w:asciiTheme="minorHAnsi" w:eastAsia="Calibri" w:hAnsiTheme="minorHAnsi" w:cstheme="minorHAnsi"/>
          <w:color w:val="171717" w:themeColor="background2" w:themeShade="1A"/>
          <w:sz w:val="24"/>
          <w:szCs w:val="24"/>
        </w:rPr>
        <w:t>September 2026</w:t>
      </w:r>
    </w:p>
    <w:p w14:paraId="309C36F5" w14:textId="72879980" w:rsidR="00727E66" w:rsidRPr="00727E66" w:rsidRDefault="00000000" w:rsidP="00727E66">
      <w:pPr>
        <w:spacing w:line="276" w:lineRule="auto"/>
        <w:rPr>
          <w:b/>
          <w:bCs/>
          <w:color w:val="2F5496" w:themeColor="accent1" w:themeShade="BF"/>
          <w:sz w:val="28"/>
          <w:szCs w:val="28"/>
        </w:rPr>
      </w:pPr>
      <w:r w:rsidRPr="00727E66">
        <w:rPr>
          <w:b/>
          <w:bCs/>
          <w:color w:val="2F5496" w:themeColor="accent1" w:themeShade="BF"/>
          <w:sz w:val="28"/>
          <w:szCs w:val="28"/>
        </w:rPr>
        <w:t>What Was Attempted</w:t>
      </w:r>
    </w:p>
    <w:p w14:paraId="6B5126D3" w14:textId="77777777" w:rsidR="00080D97" w:rsidRPr="00727E66" w:rsidRDefault="00000000">
      <w:pPr>
        <w:spacing w:after="140"/>
        <w:rPr>
          <w:sz w:val="24"/>
          <w:szCs w:val="24"/>
        </w:rPr>
      </w:pPr>
      <w:r w:rsidRPr="00727E66">
        <w:rPr>
          <w:rFonts w:ascii="Calibri" w:eastAsia="Calibri" w:hAnsi="Calibri" w:cs="Calibri"/>
          <w:sz w:val="24"/>
          <w:szCs w:val="24"/>
        </w:rPr>
        <w:t>Produced the Week 5 charter deliverable: a first analytical model for VESPER-SEC-01, expressed strictly as governing equations, variable definitions, and assumptions, with analytical limiting cases identified — no code, no compilation, no execution, per the charter's Week 5 phase definition.</w:t>
      </w:r>
    </w:p>
    <w:p w14:paraId="32441562" w14:textId="77777777" w:rsidR="00727E66" w:rsidRDefault="00000000" w:rsidP="00727E66">
      <w:pPr>
        <w:spacing w:after="140"/>
        <w:rPr>
          <w:rFonts w:ascii="Calibri" w:eastAsia="Calibri" w:hAnsi="Calibri" w:cs="Calibri"/>
          <w:sz w:val="24"/>
          <w:szCs w:val="24"/>
        </w:rPr>
      </w:pPr>
      <w:r w:rsidRPr="00727E66">
        <w:rPr>
          <w:rFonts w:ascii="Calibri" w:eastAsia="Calibri" w:hAnsi="Calibri" w:cs="Calibri"/>
          <w:sz w:val="24"/>
          <w:szCs w:val="24"/>
        </w:rPr>
        <w:t xml:space="preserve">The model was built entirely from material already established in the Week 4 report, rather than introducing new values: the cycle-count and energy equations (§5.3, §5.5 of the Week 4 report), the 18 MHz / 50 KB / 14.1 </w:t>
      </w:r>
      <w:proofErr w:type="spellStart"/>
      <w:r w:rsidRPr="00727E66">
        <w:rPr>
          <w:rFonts w:ascii="Calibri" w:eastAsia="Calibri" w:hAnsi="Calibri" w:cs="Calibri"/>
          <w:sz w:val="24"/>
          <w:szCs w:val="24"/>
        </w:rPr>
        <w:t>mW</w:t>
      </w:r>
      <w:proofErr w:type="spellEnd"/>
      <w:r w:rsidRPr="00727E66">
        <w:rPr>
          <w:rFonts w:ascii="Calibri" w:eastAsia="Calibri" w:hAnsi="Calibri" w:cs="Calibri"/>
          <w:sz w:val="24"/>
          <w:szCs w:val="24"/>
        </w:rPr>
        <w:t xml:space="preserve"> budget and its feasibility classification rule, and the outstanding cryptography-specific validation item flagged in Week 4 (§8.4).</w:t>
      </w:r>
    </w:p>
    <w:p w14:paraId="240AA360" w14:textId="54C15CC8" w:rsidR="00727E66" w:rsidRPr="00727E66" w:rsidRDefault="00000000" w:rsidP="00727E66">
      <w:pPr>
        <w:spacing w:after="140" w:line="276" w:lineRule="auto"/>
        <w:rPr>
          <w:b/>
          <w:bCs/>
          <w:color w:val="2F5496" w:themeColor="accent1" w:themeShade="BF"/>
          <w:sz w:val="28"/>
          <w:szCs w:val="28"/>
        </w:rPr>
      </w:pPr>
      <w:r w:rsidRPr="00727E66">
        <w:rPr>
          <w:b/>
          <w:bCs/>
          <w:color w:val="2F5496" w:themeColor="accent1" w:themeShade="BF"/>
          <w:sz w:val="28"/>
          <w:szCs w:val="28"/>
        </w:rPr>
        <w:t>What Worked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6919"/>
      </w:tblGrid>
      <w:tr w:rsidR="00080D97" w:rsidRPr="00727E66" w14:paraId="4B4297C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shd w:val="clear" w:color="auto" w:fill="1F4E5F"/>
          </w:tcPr>
          <w:p w14:paraId="0C7CBBF8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3700" w:type="pct"/>
            <w:shd w:val="clear" w:color="auto" w:fill="1F4E5F"/>
          </w:tcPr>
          <w:p w14:paraId="2843C754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Outcome</w:t>
            </w:r>
          </w:p>
        </w:tc>
      </w:tr>
      <w:tr w:rsidR="00080D97" w:rsidRPr="00727E66" w14:paraId="02422C1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54C50129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Facts vs. assumptions</w:t>
            </w:r>
          </w:p>
        </w:tc>
        <w:tc>
          <w:tcPr>
            <w:tcW w:w="3700" w:type="pct"/>
          </w:tcPr>
          <w:p w14:paraId="24CA5C43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Cleanly separated datasheet-published facts (168 MHz, 192 KB SRAM, 238 µA/MHz) from this project's own engineering assumptions (18 MHz / 50 KB reservation), matching the Week 4 report's own distinction.</w:t>
            </w:r>
          </w:p>
        </w:tc>
      </w:tr>
      <w:tr w:rsidR="00080D97" w:rsidRPr="00727E66" w14:paraId="3857D1C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3FA144B8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Governing equations</w:t>
            </w:r>
          </w:p>
        </w:tc>
        <w:tc>
          <w:tcPr>
            <w:tcW w:w="3700" w:type="pct"/>
          </w:tcPr>
          <w:p w14:paraId="28D617B2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Cycle-counter initialization, cycles/byte, and energy/operation equations formalized with units and variable definitions.</w:t>
            </w:r>
          </w:p>
        </w:tc>
      </w:tr>
      <w:tr w:rsidR="00080D97" w:rsidRPr="00727E66" w14:paraId="4CCAA08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1C173EB2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Feasibility rule</w:t>
            </w:r>
          </w:p>
        </w:tc>
        <w:tc>
          <w:tcPr>
            <w:tcW w:w="3700" w:type="pct"/>
          </w:tcPr>
          <w:p w14:paraId="42CCFB1F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FEASIBLE / MARGINAL / NOT FEASIBLE classification carried forward from Week 4 §5.5 without modification.</w:t>
            </w:r>
          </w:p>
        </w:tc>
      </w:tr>
      <w:tr w:rsidR="00080D97" w:rsidRPr="00727E66" w14:paraId="10A03D6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147DA487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Validation criterion</w:t>
            </w:r>
          </w:p>
        </w:tc>
        <w:tc>
          <w:tcPr>
            <w:tcW w:w="3700" w:type="pct"/>
          </w:tcPr>
          <w:p w14:paraId="331D9314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The outstanding Heinz [8] Kyber-512 cycle-accuracy check (Week 4, Table 1 / §8.4) was converted into a precise formula and a 10% pass/fail rule, so Week 6 only needs to substitute a measured value.</w:t>
            </w:r>
          </w:p>
        </w:tc>
      </w:tr>
      <w:tr w:rsidR="00080D97" w:rsidRPr="00727E66" w14:paraId="7EE94CE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</w:tcPr>
          <w:p w14:paraId="6E60A222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Limiting cases</w:t>
            </w:r>
          </w:p>
        </w:tc>
        <w:tc>
          <w:tcPr>
            <w:tcW w:w="3700" w:type="pct"/>
          </w:tcPr>
          <w:p w14:paraId="0C38ED03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Four analytical limiting cases identified directly from the model's structure (large-message asymptote, fixed-size-operation limit, single-cycle instruction limit, budget-boundary behaviour) without running any code.</w:t>
            </w:r>
          </w:p>
        </w:tc>
      </w:tr>
    </w:tbl>
    <w:p w14:paraId="57381854" w14:textId="77777777" w:rsidR="00080D97" w:rsidRPr="00727E66" w:rsidRDefault="00000000">
      <w:pPr>
        <w:pStyle w:val="Heading1"/>
        <w:spacing w:before="260" w:after="130"/>
        <w:rPr>
          <w:b/>
          <w:bCs/>
          <w:color w:val="2F5496" w:themeColor="accent1" w:themeShade="BF"/>
          <w:sz w:val="28"/>
          <w:szCs w:val="28"/>
        </w:rPr>
      </w:pPr>
      <w:r w:rsidRPr="00727E66">
        <w:rPr>
          <w:b/>
          <w:bCs/>
          <w:color w:val="2F5496" w:themeColor="accent1" w:themeShade="BF"/>
          <w:sz w:val="28"/>
          <w:szCs w:val="28"/>
        </w:rPr>
        <w:t>What Did Not Work / Open Items</w:t>
      </w:r>
    </w:p>
    <w:p w14:paraId="7292E1EA" w14:textId="77777777" w:rsidR="00727E66" w:rsidRDefault="00000000" w:rsidP="00727E66">
      <w:pPr>
        <w:spacing w:after="140"/>
        <w:rPr>
          <w:rFonts w:ascii="Calibri" w:eastAsia="Calibri" w:hAnsi="Calibri" w:cs="Calibri"/>
          <w:sz w:val="24"/>
          <w:szCs w:val="24"/>
        </w:rPr>
      </w:pPr>
      <w:r w:rsidRPr="00727E66">
        <w:rPr>
          <w:rFonts w:ascii="Calibri" w:eastAsia="Calibri" w:hAnsi="Calibri" w:cs="Calibri"/>
          <w:sz w:val="24"/>
          <w:szCs w:val="24"/>
        </w:rPr>
        <w:t>The cryptography-specific cycle-accuracy validation against Heinz's published Kyber-512 Cortex-M4 timing remains outstanding, exactly as reported in the Week 4 report (§8.4). This is expected, not a setback: that validation requires compiling and executing code, which is explicitly Week 6 work under the charter, not Week 5. No attempt was made to run it prematurely.</w:t>
      </w:r>
    </w:p>
    <w:p w14:paraId="05F78587" w14:textId="1D30C218" w:rsidR="00080D97" w:rsidRPr="00727E66" w:rsidRDefault="00000000" w:rsidP="00727E66">
      <w:pPr>
        <w:spacing w:after="140"/>
        <w:rPr>
          <w:b/>
          <w:bCs/>
          <w:color w:val="2F5496" w:themeColor="accent1" w:themeShade="BF"/>
          <w:sz w:val="28"/>
          <w:szCs w:val="28"/>
        </w:rPr>
      </w:pPr>
      <w:r w:rsidRPr="00727E66">
        <w:rPr>
          <w:b/>
          <w:bCs/>
          <w:color w:val="2F5496" w:themeColor="accent1" w:themeShade="BF"/>
          <w:sz w:val="28"/>
          <w:szCs w:val="28"/>
        </w:rPr>
        <w:t>Changes to the Plan</w:t>
      </w:r>
    </w:p>
    <w:p w14:paraId="0076723F" w14:textId="77777777" w:rsidR="00727E66" w:rsidRDefault="00000000" w:rsidP="00727E66">
      <w:pPr>
        <w:spacing w:after="140"/>
        <w:rPr>
          <w:rFonts w:ascii="Calibri" w:eastAsia="Calibri" w:hAnsi="Calibri" w:cs="Calibri"/>
          <w:sz w:val="24"/>
          <w:szCs w:val="24"/>
        </w:rPr>
      </w:pPr>
      <w:r w:rsidRPr="00727E66">
        <w:rPr>
          <w:rFonts w:ascii="Calibri" w:eastAsia="Calibri" w:hAnsi="Calibri" w:cs="Calibri"/>
          <w:sz w:val="24"/>
          <w:szCs w:val="24"/>
        </w:rPr>
        <w:lastRenderedPageBreak/>
        <w:t>None. The project remains on the timeline set out in the Week 4 report: Week 5 defines the model, Week 6 performs the first cycle-accurate crypto measurement (Kyber-512 vs. Heinz) and, if validated, extends to the remaining three primitives (Ascon, ChaCha20-Poly1305, SPHINCS+).</w:t>
      </w:r>
    </w:p>
    <w:p w14:paraId="02A2CF98" w14:textId="42097912" w:rsidR="00080D97" w:rsidRDefault="00000000" w:rsidP="00727E66">
      <w:pPr>
        <w:spacing w:after="140"/>
        <w:rPr>
          <w:b/>
          <w:bCs/>
          <w:color w:val="2F5496" w:themeColor="accent1" w:themeShade="BF"/>
          <w:sz w:val="28"/>
          <w:szCs w:val="28"/>
        </w:rPr>
      </w:pPr>
      <w:r w:rsidRPr="00727E66">
        <w:rPr>
          <w:b/>
          <w:bCs/>
          <w:color w:val="2F5496" w:themeColor="accent1" w:themeShade="BF"/>
          <w:sz w:val="28"/>
          <w:szCs w:val="28"/>
        </w:rPr>
        <w:t>Next Week's Specific Objective (Week 6)</w:t>
      </w:r>
    </w:p>
    <w:p w14:paraId="27B7338E" w14:textId="77777777" w:rsidR="00727E66" w:rsidRPr="00727E66" w:rsidRDefault="00727E66" w:rsidP="00727E66">
      <w:pPr>
        <w:spacing w:after="140"/>
        <w:rPr>
          <w:b/>
          <w:bCs/>
          <w:color w:val="2F5496" w:themeColor="accent1" w:themeShade="BF"/>
          <w:sz w:val="28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8415"/>
      </w:tblGrid>
      <w:tr w:rsidR="00080D97" w:rsidRPr="00727E66" w14:paraId="255EF5A2" w14:textId="77777777" w:rsidTr="00727E6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pct"/>
            <w:shd w:val="clear" w:color="auto" w:fill="1F4E5F"/>
          </w:tcPr>
          <w:p w14:paraId="3B02A8E6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4500" w:type="pct"/>
            <w:shd w:val="clear" w:color="auto" w:fill="1F4E5F"/>
          </w:tcPr>
          <w:p w14:paraId="70165F9D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Action</w:t>
            </w:r>
          </w:p>
        </w:tc>
      </w:tr>
      <w:tr w:rsidR="00080D97" w:rsidRPr="00727E66" w14:paraId="1254EF09" w14:textId="77777777" w:rsidTr="00727E6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pct"/>
          </w:tcPr>
          <w:p w14:paraId="47021B66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4500" w:type="pct"/>
          </w:tcPr>
          <w:p w14:paraId="36E1DFD6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Enable the Cortex-M4 DWT cycle counter (</w:t>
            </w:r>
            <w:proofErr w:type="spellStart"/>
            <w:r w:rsidRPr="00727E66">
              <w:rPr>
                <w:rFonts w:ascii="Calibri" w:eastAsia="Calibri" w:hAnsi="Calibri" w:cs="Calibri"/>
                <w:sz w:val="22"/>
                <w:szCs w:val="22"/>
              </w:rPr>
              <w:t>CoreDebug→DEMCR</w:t>
            </w:r>
            <w:proofErr w:type="spellEnd"/>
            <w:r w:rsidRPr="00727E66">
              <w:rPr>
                <w:rFonts w:ascii="Calibri" w:eastAsia="Calibri" w:hAnsi="Calibri" w:cs="Calibri"/>
                <w:sz w:val="22"/>
                <w:szCs w:val="22"/>
              </w:rPr>
              <w:t>, DWT→CYCCNT, DWT→CTRL) in a minimal bare-metal firmware image.</w:t>
            </w:r>
          </w:p>
        </w:tc>
      </w:tr>
      <w:tr w:rsidR="00080D97" w:rsidRPr="00727E66" w14:paraId="40D32DBA" w14:textId="77777777" w:rsidTr="00727E6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pct"/>
          </w:tcPr>
          <w:p w14:paraId="5F62DB06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4500" w:type="pct"/>
          </w:tcPr>
          <w:p w14:paraId="6E795C34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 xml:space="preserve">Compile and run a reference Kyber-512 implementation matching Heinz [8]'s tested configuration under </w:t>
            </w:r>
            <w:proofErr w:type="spellStart"/>
            <w:r w:rsidRPr="00727E66">
              <w:rPr>
                <w:rFonts w:ascii="Calibri" w:eastAsia="Calibri" w:hAnsi="Calibri" w:cs="Calibri"/>
                <w:sz w:val="22"/>
                <w:szCs w:val="22"/>
              </w:rPr>
              <w:t>Renode</w:t>
            </w:r>
            <w:proofErr w:type="spellEnd"/>
            <w:r w:rsidRPr="00727E66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080D97" w:rsidRPr="00727E66" w14:paraId="6669B981" w14:textId="77777777" w:rsidTr="00727E6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pct"/>
          </w:tcPr>
          <w:p w14:paraId="008E15B6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3</w:t>
            </w:r>
          </w:p>
        </w:tc>
        <w:tc>
          <w:tcPr>
            <w:tcW w:w="4500" w:type="pct"/>
          </w:tcPr>
          <w:p w14:paraId="65E39220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Compute the relative discrepancy against Heinz's published cycle count and apply the 10% validation rule defined in this week's model.</w:t>
            </w:r>
          </w:p>
        </w:tc>
      </w:tr>
      <w:tr w:rsidR="00080D97" w:rsidRPr="00727E66" w14:paraId="3C6EE55E" w14:textId="77777777" w:rsidTr="00727E6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pct"/>
          </w:tcPr>
          <w:p w14:paraId="00FE740A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4</w:t>
            </w:r>
          </w:p>
        </w:tc>
        <w:tc>
          <w:tcPr>
            <w:tcW w:w="4500" w:type="pct"/>
          </w:tcPr>
          <w:p w14:paraId="3CB665DF" w14:textId="77777777" w:rsidR="00080D97" w:rsidRPr="00727E66" w:rsidRDefault="00000000">
            <w:pPr>
              <w:rPr>
                <w:sz w:val="22"/>
                <w:szCs w:val="22"/>
              </w:rPr>
            </w:pPr>
            <w:r w:rsidRPr="00727E66">
              <w:rPr>
                <w:rFonts w:ascii="Calibri" w:eastAsia="Calibri" w:hAnsi="Calibri" w:cs="Calibri"/>
                <w:sz w:val="22"/>
                <w:szCs w:val="22"/>
              </w:rPr>
              <w:t>If validated, extend the same DWT-based methodology to Ascon, ChaCha20-Poly1305, and SPHINCS+ to begin populating the feasibility table.</w:t>
            </w:r>
          </w:p>
        </w:tc>
      </w:tr>
    </w:tbl>
    <w:p w14:paraId="056225C9" w14:textId="77777777" w:rsidR="003000C5" w:rsidRDefault="003000C5"/>
    <w:sectPr w:rsidR="003000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A5E17"/>
    <w:multiLevelType w:val="hybridMultilevel"/>
    <w:tmpl w:val="C8C26D58"/>
    <w:lvl w:ilvl="0" w:tplc="4C023A96">
      <w:start w:val="1"/>
      <w:numFmt w:val="bullet"/>
      <w:lvlText w:val="●"/>
      <w:lvlJc w:val="left"/>
      <w:pPr>
        <w:ind w:left="720" w:hanging="360"/>
      </w:pPr>
    </w:lvl>
    <w:lvl w:ilvl="1" w:tplc="19C86F1C">
      <w:start w:val="1"/>
      <w:numFmt w:val="bullet"/>
      <w:lvlText w:val="○"/>
      <w:lvlJc w:val="left"/>
      <w:pPr>
        <w:ind w:left="1440" w:hanging="360"/>
      </w:pPr>
    </w:lvl>
    <w:lvl w:ilvl="2" w:tplc="0A48C1E6">
      <w:start w:val="1"/>
      <w:numFmt w:val="bullet"/>
      <w:lvlText w:val="■"/>
      <w:lvlJc w:val="left"/>
      <w:pPr>
        <w:ind w:left="2160" w:hanging="360"/>
      </w:pPr>
    </w:lvl>
    <w:lvl w:ilvl="3" w:tplc="23AE0FFA">
      <w:start w:val="1"/>
      <w:numFmt w:val="bullet"/>
      <w:lvlText w:val="●"/>
      <w:lvlJc w:val="left"/>
      <w:pPr>
        <w:ind w:left="2880" w:hanging="360"/>
      </w:pPr>
    </w:lvl>
    <w:lvl w:ilvl="4" w:tplc="49A482BE">
      <w:start w:val="1"/>
      <w:numFmt w:val="bullet"/>
      <w:lvlText w:val="○"/>
      <w:lvlJc w:val="left"/>
      <w:pPr>
        <w:ind w:left="3600" w:hanging="360"/>
      </w:pPr>
    </w:lvl>
    <w:lvl w:ilvl="5" w:tplc="52BC58D6">
      <w:start w:val="1"/>
      <w:numFmt w:val="bullet"/>
      <w:lvlText w:val="■"/>
      <w:lvlJc w:val="left"/>
      <w:pPr>
        <w:ind w:left="4320" w:hanging="360"/>
      </w:pPr>
    </w:lvl>
    <w:lvl w:ilvl="6" w:tplc="94E0F414">
      <w:start w:val="1"/>
      <w:numFmt w:val="bullet"/>
      <w:lvlText w:val="●"/>
      <w:lvlJc w:val="left"/>
      <w:pPr>
        <w:ind w:left="5040" w:hanging="360"/>
      </w:pPr>
    </w:lvl>
    <w:lvl w:ilvl="7" w:tplc="61AA3EFA">
      <w:start w:val="1"/>
      <w:numFmt w:val="bullet"/>
      <w:lvlText w:val="●"/>
      <w:lvlJc w:val="left"/>
      <w:pPr>
        <w:ind w:left="5760" w:hanging="360"/>
      </w:pPr>
    </w:lvl>
    <w:lvl w:ilvl="8" w:tplc="8396B008">
      <w:start w:val="1"/>
      <w:numFmt w:val="bullet"/>
      <w:lvlText w:val="●"/>
      <w:lvlJc w:val="left"/>
      <w:pPr>
        <w:ind w:left="6480" w:hanging="360"/>
      </w:pPr>
    </w:lvl>
  </w:abstractNum>
  <w:num w:numId="1" w16cid:durableId="866870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D97"/>
    <w:rsid w:val="00080D97"/>
    <w:rsid w:val="003000C5"/>
    <w:rsid w:val="00727E66"/>
    <w:rsid w:val="00CE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BAC8"/>
  <w15:docId w15:val="{28013622-D6C4-4887-80C8-E82BD5FA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rutvika ashtekar</cp:lastModifiedBy>
  <cp:revision>2</cp:revision>
  <dcterms:created xsi:type="dcterms:W3CDTF">2026-09-27T04:32:00Z</dcterms:created>
  <dcterms:modified xsi:type="dcterms:W3CDTF">2026-09-27T05:18:00Z</dcterms:modified>
</cp:coreProperties>
</file>