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42106" w14:textId="14BE1318" w:rsidR="00E85E33" w:rsidRDefault="00E85E33">
      <w:pPr>
        <w:rPr>
          <w:sz w:val="28"/>
          <w:szCs w:val="28"/>
        </w:rPr>
      </w:pPr>
      <w:r>
        <w:rPr>
          <w:sz w:val="28"/>
          <w:szCs w:val="28"/>
        </w:rPr>
        <w:t>Graph and Description</w:t>
      </w:r>
    </w:p>
    <w:p w14:paraId="371F8A68" w14:textId="77777777" w:rsidR="007641A3" w:rsidRPr="007641A3" w:rsidRDefault="007641A3" w:rsidP="007641A3">
      <w:pPr>
        <w:rPr>
          <w:sz w:val="28"/>
          <w:szCs w:val="28"/>
        </w:rPr>
      </w:pPr>
      <w:r w:rsidRPr="007641A3">
        <w:rPr>
          <w:sz w:val="28"/>
          <w:szCs w:val="28"/>
        </w:rPr>
        <w:t>The result interface effectively displays the uploaded air quality dataset, showcasing PM2.5, PM10, and AQI values in both tabular and graphical formats. The dynamic table offers a detailed view of each data entry, while the line chart provides a clear visual comparison of pollutant trends across samples. This visualization helps users quickly identify fluctuations and patterns in pollutant levels, enabling easier interpretation of air quality conditions. The combination of tabular and graphical representation enhances user comprehension and supports data-driven decision-making in environmental monitoring tasks.</w:t>
      </w:r>
    </w:p>
    <w:p w14:paraId="26D667F7" w14:textId="1540DB57" w:rsidR="00E85E33" w:rsidRDefault="007641A3">
      <w:pPr>
        <w:rPr>
          <w:sz w:val="28"/>
          <w:szCs w:val="28"/>
        </w:rPr>
      </w:pPr>
      <w:r>
        <w:rPr>
          <w:sz w:val="28"/>
          <w:szCs w:val="28"/>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1161"/>
        <w:gridCol w:w="1029"/>
        <w:gridCol w:w="1114"/>
        <w:gridCol w:w="1282"/>
        <w:gridCol w:w="1824"/>
        <w:gridCol w:w="1255"/>
      </w:tblGrid>
      <w:tr w:rsidR="007641A3" w:rsidRPr="007641A3" w14:paraId="168DA1DD" w14:textId="77777777">
        <w:trPr>
          <w:tblHeader/>
          <w:tblCellSpacing w:w="15" w:type="dxa"/>
        </w:trPr>
        <w:tc>
          <w:tcPr>
            <w:tcW w:w="0" w:type="auto"/>
            <w:vAlign w:val="center"/>
            <w:hideMark/>
          </w:tcPr>
          <w:p w14:paraId="7A5E6D41" w14:textId="77777777" w:rsidR="007641A3" w:rsidRPr="007641A3" w:rsidRDefault="007641A3" w:rsidP="007641A3">
            <w:pPr>
              <w:rPr>
                <w:b/>
                <w:bCs/>
                <w:sz w:val="28"/>
                <w:szCs w:val="28"/>
              </w:rPr>
            </w:pPr>
            <w:r w:rsidRPr="007641A3">
              <w:rPr>
                <w:b/>
                <w:bCs/>
                <w:sz w:val="28"/>
                <w:szCs w:val="28"/>
              </w:rPr>
              <w:t>Model</w:t>
            </w:r>
          </w:p>
        </w:tc>
        <w:tc>
          <w:tcPr>
            <w:tcW w:w="0" w:type="auto"/>
            <w:vAlign w:val="center"/>
            <w:hideMark/>
          </w:tcPr>
          <w:p w14:paraId="13924BA8" w14:textId="77777777" w:rsidR="007641A3" w:rsidRPr="007641A3" w:rsidRDefault="007641A3" w:rsidP="007641A3">
            <w:pPr>
              <w:rPr>
                <w:b/>
                <w:bCs/>
                <w:sz w:val="28"/>
                <w:szCs w:val="28"/>
              </w:rPr>
            </w:pPr>
            <w:r w:rsidRPr="007641A3">
              <w:rPr>
                <w:b/>
                <w:bCs/>
                <w:sz w:val="28"/>
                <w:szCs w:val="28"/>
              </w:rPr>
              <w:t>High Accuracy</w:t>
            </w:r>
          </w:p>
        </w:tc>
        <w:tc>
          <w:tcPr>
            <w:tcW w:w="0" w:type="auto"/>
            <w:vAlign w:val="center"/>
            <w:hideMark/>
          </w:tcPr>
          <w:p w14:paraId="6E6D1504" w14:textId="77777777" w:rsidR="007641A3" w:rsidRPr="007641A3" w:rsidRDefault="007641A3" w:rsidP="007641A3">
            <w:pPr>
              <w:rPr>
                <w:b/>
                <w:bCs/>
                <w:sz w:val="28"/>
                <w:szCs w:val="28"/>
              </w:rPr>
            </w:pPr>
            <w:r w:rsidRPr="007641A3">
              <w:rPr>
                <w:b/>
                <w:bCs/>
                <w:sz w:val="28"/>
                <w:szCs w:val="28"/>
              </w:rPr>
              <w:t>Low Error (MSE, RMSE)</w:t>
            </w:r>
          </w:p>
        </w:tc>
        <w:tc>
          <w:tcPr>
            <w:tcW w:w="0" w:type="auto"/>
            <w:vAlign w:val="center"/>
            <w:hideMark/>
          </w:tcPr>
          <w:p w14:paraId="69CC2200" w14:textId="77777777" w:rsidR="007641A3" w:rsidRPr="007641A3" w:rsidRDefault="007641A3" w:rsidP="007641A3">
            <w:pPr>
              <w:rPr>
                <w:b/>
                <w:bCs/>
                <w:sz w:val="28"/>
                <w:szCs w:val="28"/>
              </w:rPr>
            </w:pPr>
            <w:r w:rsidRPr="007641A3">
              <w:rPr>
                <w:b/>
                <w:bCs/>
                <w:sz w:val="28"/>
                <w:szCs w:val="28"/>
              </w:rPr>
              <w:t>Fast Training Time</w:t>
            </w:r>
          </w:p>
        </w:tc>
        <w:tc>
          <w:tcPr>
            <w:tcW w:w="0" w:type="auto"/>
            <w:vAlign w:val="center"/>
            <w:hideMark/>
          </w:tcPr>
          <w:p w14:paraId="57415B66" w14:textId="77777777" w:rsidR="007641A3" w:rsidRPr="007641A3" w:rsidRDefault="007641A3" w:rsidP="007641A3">
            <w:pPr>
              <w:rPr>
                <w:b/>
                <w:bCs/>
                <w:sz w:val="28"/>
                <w:szCs w:val="28"/>
              </w:rPr>
            </w:pPr>
            <w:r w:rsidRPr="007641A3">
              <w:rPr>
                <w:b/>
                <w:bCs/>
                <w:sz w:val="28"/>
                <w:szCs w:val="28"/>
              </w:rPr>
              <w:t>Model Simplicity</w:t>
            </w:r>
          </w:p>
        </w:tc>
        <w:tc>
          <w:tcPr>
            <w:tcW w:w="0" w:type="auto"/>
            <w:vAlign w:val="center"/>
            <w:hideMark/>
          </w:tcPr>
          <w:p w14:paraId="015C4C7F" w14:textId="77777777" w:rsidR="007641A3" w:rsidRPr="007641A3" w:rsidRDefault="007641A3" w:rsidP="007641A3">
            <w:pPr>
              <w:rPr>
                <w:b/>
                <w:bCs/>
                <w:sz w:val="28"/>
                <w:szCs w:val="28"/>
              </w:rPr>
            </w:pPr>
            <w:r w:rsidRPr="007641A3">
              <w:rPr>
                <w:b/>
                <w:bCs/>
                <w:sz w:val="28"/>
                <w:szCs w:val="28"/>
              </w:rPr>
              <w:t>Good Generalization</w:t>
            </w:r>
          </w:p>
        </w:tc>
        <w:tc>
          <w:tcPr>
            <w:tcW w:w="0" w:type="auto"/>
            <w:vAlign w:val="center"/>
            <w:hideMark/>
          </w:tcPr>
          <w:p w14:paraId="4CEF61F4" w14:textId="77777777" w:rsidR="007641A3" w:rsidRPr="007641A3" w:rsidRDefault="007641A3" w:rsidP="007641A3">
            <w:pPr>
              <w:rPr>
                <w:b/>
                <w:bCs/>
                <w:sz w:val="28"/>
                <w:szCs w:val="28"/>
              </w:rPr>
            </w:pPr>
            <w:r w:rsidRPr="007641A3">
              <w:rPr>
                <w:b/>
                <w:bCs/>
                <w:sz w:val="28"/>
                <w:szCs w:val="28"/>
              </w:rPr>
              <w:t>Scalability</w:t>
            </w:r>
          </w:p>
        </w:tc>
      </w:tr>
      <w:tr w:rsidR="007641A3" w:rsidRPr="007641A3" w14:paraId="7A5AE72D" w14:textId="77777777">
        <w:trPr>
          <w:tblCellSpacing w:w="15" w:type="dxa"/>
        </w:trPr>
        <w:tc>
          <w:tcPr>
            <w:tcW w:w="0" w:type="auto"/>
            <w:vAlign w:val="center"/>
            <w:hideMark/>
          </w:tcPr>
          <w:p w14:paraId="52876085" w14:textId="77777777" w:rsidR="007641A3" w:rsidRPr="007641A3" w:rsidRDefault="007641A3" w:rsidP="007641A3">
            <w:pPr>
              <w:rPr>
                <w:sz w:val="28"/>
                <w:szCs w:val="28"/>
              </w:rPr>
            </w:pPr>
            <w:r w:rsidRPr="007641A3">
              <w:rPr>
                <w:b/>
                <w:bCs/>
                <w:sz w:val="28"/>
                <w:szCs w:val="28"/>
              </w:rPr>
              <w:t>Jaya Optimization</w:t>
            </w:r>
          </w:p>
        </w:tc>
        <w:tc>
          <w:tcPr>
            <w:tcW w:w="0" w:type="auto"/>
            <w:vAlign w:val="center"/>
            <w:hideMark/>
          </w:tcPr>
          <w:p w14:paraId="2E8EA1DD"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30E46311"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44B95D77"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1643735A"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34AD045C"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6C8D0DE4" w14:textId="77777777" w:rsidR="007641A3" w:rsidRPr="007641A3" w:rsidRDefault="007641A3" w:rsidP="007641A3">
            <w:pPr>
              <w:rPr>
                <w:sz w:val="28"/>
                <w:szCs w:val="28"/>
              </w:rPr>
            </w:pPr>
            <w:r w:rsidRPr="007641A3">
              <w:rPr>
                <w:rFonts w:ascii="Segoe UI Symbol" w:hAnsi="Segoe UI Symbol" w:cs="Segoe UI Symbol"/>
                <w:sz w:val="28"/>
                <w:szCs w:val="28"/>
              </w:rPr>
              <w:t>✔</w:t>
            </w:r>
          </w:p>
        </w:tc>
      </w:tr>
      <w:tr w:rsidR="007641A3" w:rsidRPr="007641A3" w14:paraId="15C50E0B" w14:textId="77777777">
        <w:trPr>
          <w:tblCellSpacing w:w="15" w:type="dxa"/>
        </w:trPr>
        <w:tc>
          <w:tcPr>
            <w:tcW w:w="0" w:type="auto"/>
            <w:vAlign w:val="center"/>
            <w:hideMark/>
          </w:tcPr>
          <w:p w14:paraId="0C63933A" w14:textId="77777777" w:rsidR="007641A3" w:rsidRPr="007641A3" w:rsidRDefault="007641A3" w:rsidP="007641A3">
            <w:pPr>
              <w:rPr>
                <w:sz w:val="28"/>
                <w:szCs w:val="28"/>
              </w:rPr>
            </w:pPr>
            <w:r w:rsidRPr="007641A3">
              <w:rPr>
                <w:sz w:val="28"/>
                <w:szCs w:val="28"/>
              </w:rPr>
              <w:t>Linear Regression</w:t>
            </w:r>
          </w:p>
        </w:tc>
        <w:tc>
          <w:tcPr>
            <w:tcW w:w="0" w:type="auto"/>
            <w:vAlign w:val="center"/>
            <w:hideMark/>
          </w:tcPr>
          <w:p w14:paraId="6313BE82"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0780620A"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633DC0D2"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531B120D"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50906DCA"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4FD0BBE5" w14:textId="77777777" w:rsidR="007641A3" w:rsidRPr="007641A3" w:rsidRDefault="007641A3" w:rsidP="007641A3">
            <w:pPr>
              <w:rPr>
                <w:sz w:val="28"/>
                <w:szCs w:val="28"/>
              </w:rPr>
            </w:pPr>
            <w:r w:rsidRPr="007641A3">
              <w:rPr>
                <w:rFonts w:ascii="Segoe UI Symbol" w:hAnsi="Segoe UI Symbol" w:cs="Segoe UI Symbol"/>
                <w:sz w:val="28"/>
                <w:szCs w:val="28"/>
              </w:rPr>
              <w:t>✔</w:t>
            </w:r>
          </w:p>
        </w:tc>
      </w:tr>
      <w:tr w:rsidR="007641A3" w:rsidRPr="007641A3" w14:paraId="37AF43CE" w14:textId="77777777">
        <w:trPr>
          <w:tblCellSpacing w:w="15" w:type="dxa"/>
        </w:trPr>
        <w:tc>
          <w:tcPr>
            <w:tcW w:w="0" w:type="auto"/>
            <w:vAlign w:val="center"/>
            <w:hideMark/>
          </w:tcPr>
          <w:p w14:paraId="43B88B45" w14:textId="77777777" w:rsidR="007641A3" w:rsidRPr="007641A3" w:rsidRDefault="007641A3" w:rsidP="007641A3">
            <w:pPr>
              <w:rPr>
                <w:sz w:val="28"/>
                <w:szCs w:val="28"/>
              </w:rPr>
            </w:pPr>
            <w:r w:rsidRPr="007641A3">
              <w:rPr>
                <w:sz w:val="28"/>
                <w:szCs w:val="28"/>
              </w:rPr>
              <w:t>Random Forest</w:t>
            </w:r>
          </w:p>
        </w:tc>
        <w:tc>
          <w:tcPr>
            <w:tcW w:w="0" w:type="auto"/>
            <w:vAlign w:val="center"/>
            <w:hideMark/>
          </w:tcPr>
          <w:p w14:paraId="19C3B6A7"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0442DD51"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14312C31"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3D791D61"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6A68FA50"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5857B45D" w14:textId="77777777" w:rsidR="007641A3" w:rsidRPr="007641A3" w:rsidRDefault="007641A3" w:rsidP="007641A3">
            <w:pPr>
              <w:rPr>
                <w:sz w:val="28"/>
                <w:szCs w:val="28"/>
              </w:rPr>
            </w:pPr>
            <w:r w:rsidRPr="007641A3">
              <w:rPr>
                <w:rFonts w:ascii="Segoe UI Symbol" w:hAnsi="Segoe UI Symbol" w:cs="Segoe UI Symbol"/>
                <w:sz w:val="28"/>
                <w:szCs w:val="28"/>
              </w:rPr>
              <w:t>✔</w:t>
            </w:r>
          </w:p>
        </w:tc>
      </w:tr>
      <w:tr w:rsidR="007641A3" w:rsidRPr="007641A3" w14:paraId="29BF2A35" w14:textId="77777777">
        <w:trPr>
          <w:tblCellSpacing w:w="15" w:type="dxa"/>
        </w:trPr>
        <w:tc>
          <w:tcPr>
            <w:tcW w:w="0" w:type="auto"/>
            <w:vAlign w:val="center"/>
            <w:hideMark/>
          </w:tcPr>
          <w:p w14:paraId="59C8FE84" w14:textId="77777777" w:rsidR="007641A3" w:rsidRPr="007641A3" w:rsidRDefault="007641A3" w:rsidP="007641A3">
            <w:pPr>
              <w:rPr>
                <w:sz w:val="28"/>
                <w:szCs w:val="28"/>
              </w:rPr>
            </w:pPr>
            <w:r w:rsidRPr="007641A3">
              <w:rPr>
                <w:sz w:val="28"/>
                <w:szCs w:val="28"/>
              </w:rPr>
              <w:t>SVR (SVM Regression)</w:t>
            </w:r>
          </w:p>
        </w:tc>
        <w:tc>
          <w:tcPr>
            <w:tcW w:w="0" w:type="auto"/>
            <w:vAlign w:val="center"/>
            <w:hideMark/>
          </w:tcPr>
          <w:p w14:paraId="0ED8EF23"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335ADBBF"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3FACF38C"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69080E6F"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751EAA96"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34833CC5" w14:textId="77777777" w:rsidR="007641A3" w:rsidRPr="007641A3" w:rsidRDefault="007641A3" w:rsidP="007641A3">
            <w:pPr>
              <w:rPr>
                <w:sz w:val="28"/>
                <w:szCs w:val="28"/>
              </w:rPr>
            </w:pPr>
            <w:r w:rsidRPr="007641A3">
              <w:rPr>
                <w:rFonts w:ascii="Segoe UI Symbol" w:hAnsi="Segoe UI Symbol" w:cs="Segoe UI Symbol"/>
                <w:sz w:val="28"/>
                <w:szCs w:val="28"/>
              </w:rPr>
              <w:t>✔</w:t>
            </w:r>
          </w:p>
        </w:tc>
      </w:tr>
      <w:tr w:rsidR="007641A3" w:rsidRPr="007641A3" w14:paraId="288AC445" w14:textId="77777777">
        <w:trPr>
          <w:tblCellSpacing w:w="15" w:type="dxa"/>
        </w:trPr>
        <w:tc>
          <w:tcPr>
            <w:tcW w:w="0" w:type="auto"/>
            <w:vAlign w:val="center"/>
            <w:hideMark/>
          </w:tcPr>
          <w:p w14:paraId="25C30886" w14:textId="77777777" w:rsidR="007641A3" w:rsidRPr="007641A3" w:rsidRDefault="007641A3" w:rsidP="007641A3">
            <w:pPr>
              <w:rPr>
                <w:sz w:val="28"/>
                <w:szCs w:val="28"/>
              </w:rPr>
            </w:pPr>
            <w:r w:rsidRPr="007641A3">
              <w:rPr>
                <w:sz w:val="28"/>
                <w:szCs w:val="28"/>
              </w:rPr>
              <w:t>Neural Network (MLP)</w:t>
            </w:r>
          </w:p>
        </w:tc>
        <w:tc>
          <w:tcPr>
            <w:tcW w:w="0" w:type="auto"/>
            <w:vAlign w:val="center"/>
            <w:hideMark/>
          </w:tcPr>
          <w:p w14:paraId="462ACB48"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72C55162"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16D020B4"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498355DC"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4E81A2CD" w14:textId="77777777" w:rsidR="007641A3" w:rsidRPr="007641A3" w:rsidRDefault="007641A3" w:rsidP="007641A3">
            <w:pPr>
              <w:rPr>
                <w:sz w:val="28"/>
                <w:szCs w:val="28"/>
              </w:rPr>
            </w:pPr>
            <w:r w:rsidRPr="007641A3">
              <w:rPr>
                <w:rFonts w:ascii="Segoe UI Symbol" w:hAnsi="Segoe UI Symbol" w:cs="Segoe UI Symbol"/>
                <w:sz w:val="28"/>
                <w:szCs w:val="28"/>
              </w:rPr>
              <w:t>✔</w:t>
            </w:r>
          </w:p>
        </w:tc>
        <w:tc>
          <w:tcPr>
            <w:tcW w:w="0" w:type="auto"/>
            <w:vAlign w:val="center"/>
            <w:hideMark/>
          </w:tcPr>
          <w:p w14:paraId="5E4F700E" w14:textId="77777777" w:rsidR="007641A3" w:rsidRPr="007641A3" w:rsidRDefault="007641A3" w:rsidP="007641A3">
            <w:pPr>
              <w:rPr>
                <w:sz w:val="28"/>
                <w:szCs w:val="28"/>
              </w:rPr>
            </w:pPr>
            <w:r w:rsidRPr="007641A3">
              <w:rPr>
                <w:rFonts w:ascii="Segoe UI Symbol" w:hAnsi="Segoe UI Symbol" w:cs="Segoe UI Symbol"/>
                <w:sz w:val="28"/>
                <w:szCs w:val="28"/>
              </w:rPr>
              <w:t>✖</w:t>
            </w:r>
          </w:p>
        </w:tc>
      </w:tr>
    </w:tbl>
    <w:p w14:paraId="3ED8935C" w14:textId="77777777" w:rsidR="007641A3" w:rsidRPr="00E85E33" w:rsidRDefault="007641A3">
      <w:pPr>
        <w:rPr>
          <w:sz w:val="28"/>
          <w:szCs w:val="28"/>
        </w:rPr>
      </w:pPr>
    </w:p>
    <w:sectPr w:rsidR="007641A3" w:rsidRPr="00E85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33"/>
    <w:rsid w:val="000178CA"/>
    <w:rsid w:val="001A1117"/>
    <w:rsid w:val="00511C0A"/>
    <w:rsid w:val="00641AB2"/>
    <w:rsid w:val="007641A3"/>
    <w:rsid w:val="00BC2D7E"/>
    <w:rsid w:val="00C169CD"/>
    <w:rsid w:val="00E8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06E9"/>
  <w15:chartTrackingRefBased/>
  <w15:docId w15:val="{F059350B-F458-4486-ACAD-1B089F70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5E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E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E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E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5E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E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E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E33"/>
    <w:rPr>
      <w:rFonts w:eastAsiaTheme="majorEastAsia" w:cstheme="majorBidi"/>
      <w:color w:val="272727" w:themeColor="text1" w:themeTint="D8"/>
    </w:rPr>
  </w:style>
  <w:style w:type="paragraph" w:styleId="Title">
    <w:name w:val="Title"/>
    <w:basedOn w:val="Normal"/>
    <w:next w:val="Normal"/>
    <w:link w:val="TitleChar"/>
    <w:uiPriority w:val="10"/>
    <w:qFormat/>
    <w:rsid w:val="00E85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E33"/>
    <w:pPr>
      <w:spacing w:before="160"/>
      <w:jc w:val="center"/>
    </w:pPr>
    <w:rPr>
      <w:i/>
      <w:iCs/>
      <w:color w:val="404040" w:themeColor="text1" w:themeTint="BF"/>
    </w:rPr>
  </w:style>
  <w:style w:type="character" w:customStyle="1" w:styleId="QuoteChar">
    <w:name w:val="Quote Char"/>
    <w:basedOn w:val="DefaultParagraphFont"/>
    <w:link w:val="Quote"/>
    <w:uiPriority w:val="29"/>
    <w:rsid w:val="00E85E33"/>
    <w:rPr>
      <w:i/>
      <w:iCs/>
      <w:color w:val="404040" w:themeColor="text1" w:themeTint="BF"/>
    </w:rPr>
  </w:style>
  <w:style w:type="paragraph" w:styleId="ListParagraph">
    <w:name w:val="List Paragraph"/>
    <w:basedOn w:val="Normal"/>
    <w:uiPriority w:val="34"/>
    <w:qFormat/>
    <w:rsid w:val="00E85E33"/>
    <w:pPr>
      <w:ind w:left="720"/>
      <w:contextualSpacing/>
    </w:pPr>
  </w:style>
  <w:style w:type="character" w:styleId="IntenseEmphasis">
    <w:name w:val="Intense Emphasis"/>
    <w:basedOn w:val="DefaultParagraphFont"/>
    <w:uiPriority w:val="21"/>
    <w:qFormat/>
    <w:rsid w:val="00E85E33"/>
    <w:rPr>
      <w:i/>
      <w:iCs/>
      <w:color w:val="2F5496" w:themeColor="accent1" w:themeShade="BF"/>
    </w:rPr>
  </w:style>
  <w:style w:type="paragraph" w:styleId="IntenseQuote">
    <w:name w:val="Intense Quote"/>
    <w:basedOn w:val="Normal"/>
    <w:next w:val="Normal"/>
    <w:link w:val="IntenseQuoteChar"/>
    <w:uiPriority w:val="30"/>
    <w:qFormat/>
    <w:rsid w:val="00E85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E33"/>
    <w:rPr>
      <w:i/>
      <w:iCs/>
      <w:color w:val="2F5496" w:themeColor="accent1" w:themeShade="BF"/>
    </w:rPr>
  </w:style>
  <w:style w:type="character" w:styleId="IntenseReference">
    <w:name w:val="Intense Reference"/>
    <w:basedOn w:val="DefaultParagraphFont"/>
    <w:uiPriority w:val="32"/>
    <w:qFormat/>
    <w:rsid w:val="00E85E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SARKAR - 122125943 - MITBLR</dc:creator>
  <cp:keywords/>
  <dc:description/>
  <cp:lastModifiedBy>ANKIT SARKAR - 122125943 - MITBLR</cp:lastModifiedBy>
  <cp:revision>1</cp:revision>
  <dcterms:created xsi:type="dcterms:W3CDTF">2025-08-07T12:01:00Z</dcterms:created>
  <dcterms:modified xsi:type="dcterms:W3CDTF">2025-08-07T13:15:00Z</dcterms:modified>
</cp:coreProperties>
</file>