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Arquitectura de Flujos y Diagnóstico de Errores</w:t>
      </w:r>
    </w:p>
    <w:p>
      <w:pPr>
        <w:spacing w:after="280"/>
      </w:pPr>
      <w:r>
        <w:rPr>
          <w:color w:val="5B697D"/>
          <w:sz w:val="23"/>
        </w:rPr>
        <w:t>Aplicación Usuario (app-usuario) · Ruum Ruum Platform · Auditoría Integral de Ingeniería</w:t>
      </w:r>
    </w:p>
    <w:tbl>
      <w:tblPr>
        <w:tblStyle w:val="TableGrid"/>
        <w:tblW w:type="dxa" w:w="9360"/>
        <w:jc w:val="left"/>
        <w:tblLook w:firstColumn="1" w:firstRow="1" w:lastColumn="0" w:lastRow="0" w:noHBand="0" w:noVBand="1" w:val="04A0"/>
        <w:tblInd w:type="dxa" w:w="120"/>
        <w:tblCellMar>
          <w:top w:w="90" w:type="dxa"/>
          <w:start w:w="130" w:type="dxa"/>
          <w:bottom w:w="90" w:type="dxa"/>
          <w:end w:w="130" w:type="dxa"/>
        </w:tblCellMar>
      </w:tblPr>
      <w:tblGrid>
        <w:gridCol w:w="2400"/>
        <w:gridCol w:w="6960"/>
      </w:tblGrid>
      <w:tr>
        <w:trPr>
          <w:tblHeader w:val="true"/>
        </w:trPr>
        <w:tc>
          <w:tcPr>
            <w:tcW w:type="dxa" w:w="2400"/>
            <w:vAlign w:val="center"/>
            <w:shd w:fill="E8EEF5"/>
          </w:tcPr>
          <w:p>
            <w:r>
              <w:rPr>
                <w:b/>
              </w:rPr>
              <w:t>Módulo Auditado</w:t>
            </w:r>
          </w:p>
        </w:tc>
        <w:tc>
          <w:tcPr>
            <w:tcW w:type="dxa" w:w="6960"/>
            <w:vAlign w:val="center"/>
          </w:tcPr>
          <w:p>
            <w:r>
              <w:t>@ruum/app-usuario (Next.js 15.5.23 + React 19 + Supabase + Stripe)</w:t>
            </w:r>
          </w:p>
        </w:tc>
      </w:tr>
      <w:tr>
        <w:tc>
          <w:tcPr>
            <w:tcW w:type="dxa" w:w="2400"/>
            <w:vAlign w:val="center"/>
            <w:shd w:fill="E8EEF5"/>
          </w:tcPr>
          <w:p>
            <w:r>
              <w:rPr>
                <w:b/>
              </w:rPr>
              <w:t>Ubicación del Código</w:t>
            </w:r>
          </w:p>
        </w:tc>
        <w:tc>
          <w:tcPr>
            <w:tcW w:type="dxa" w:w="6960"/>
            <w:vAlign w:val="center"/>
          </w:tcPr>
          <w:p>
            <w:r>
              <w:t>apps/app-usuario (Rutas: src/app/*, Librerías: src/lib/*)</w:t>
            </w:r>
          </w:p>
        </w:tc>
      </w:tr>
      <w:tr>
        <w:tc>
          <w:tcPr>
            <w:tcW w:type="dxa" w:w="2400"/>
            <w:vAlign w:val="center"/>
            <w:shd w:fill="E8EEF5"/>
          </w:tcPr>
          <w:p>
            <w:r>
              <w:rPr>
                <w:b/>
              </w:rPr>
              <w:t>Fecha de Auditoría</w:t>
            </w:r>
          </w:p>
        </w:tc>
        <w:tc>
          <w:tcPr>
            <w:tcW w:type="dxa" w:w="6960"/>
            <w:vAlign w:val="center"/>
          </w:tcPr>
          <w:p>
            <w:r>
              <w:t>2026-09-02</w:t>
            </w:r>
          </w:p>
        </w:tc>
      </w:tr>
      <w:tr>
        <w:tc>
          <w:tcPr>
            <w:tcW w:type="dxa" w:w="2400"/>
            <w:vAlign w:val="center"/>
            <w:shd w:fill="E8EEF5"/>
          </w:tcPr>
          <w:p>
            <w:r>
              <w:rPr>
                <w:b/>
              </w:rPr>
              <w:t>Clasificación</w:t>
            </w:r>
          </w:p>
        </w:tc>
        <w:tc>
          <w:tcPr>
            <w:tcW w:type="dxa" w:w="6960"/>
            <w:vAlign w:val="center"/>
          </w:tcPr>
          <w:p>
            <w:r>
              <w:t>Técnico / Confidencial / Arquitectura de Software</w:t>
            </w:r>
          </w:p>
        </w:tc>
      </w:tr>
      <w:tr>
        <w:tc>
          <w:tcPr>
            <w:tcW w:type="dxa" w:w="2400"/>
            <w:vAlign w:val="center"/>
            <w:shd w:fill="E8EEF5"/>
          </w:tcPr>
          <w:p>
            <w:r>
              <w:rPr>
                <w:b/>
              </w:rPr>
              <w:t>Objetivo Principal</w:t>
            </w:r>
          </w:p>
        </w:tc>
        <w:tc>
          <w:tcPr>
            <w:tcW w:type="dxa" w:w="6960"/>
            <w:vAlign w:val="center"/>
          </w:tcPr>
          <w:p>
            <w:r>
              <w:t>Documentar exhaustivamente la arquitectura de flujos de usuario, identificar disrupciones, errores lógicos y componentes huérfanos, y proveer remediación inmediata.</w:t>
            </w:r>
          </w:p>
        </w:tc>
      </w:tr>
      <w:tr>
        <w:tc>
          <w:tcPr>
            <w:tcW w:type="dxa" w:w="2400"/>
            <w:vAlign w:val="center"/>
            <w:shd w:fill="E8EEF5"/>
          </w:tcPr>
          <w:p>
            <w:r>
              <w:rPr>
                <w:b/>
              </w:rPr>
              <w:t>Dictamen General</w:t>
            </w:r>
          </w:p>
        </w:tc>
        <w:tc>
          <w:tcPr>
            <w:tcW w:type="dxa" w:w="6960"/>
            <w:vAlign w:val="center"/>
          </w:tcPr>
          <w:p>
            <w:r>
              <w:t>Madurez base alta (8.5/10), pero con 2 bloqueos críticos (P0) en aceptación de cotizaciones y soporte, además de inconsistencias operativas en cancelación y métodos de pago.</w:t>
            </w:r>
          </w:p>
        </w:tc>
      </w:tr>
    </w:tbl>
    <w:p/>
    <w:p>
      <w:pPr>
        <w:pStyle w:val="Heading1"/>
      </w:pPr>
      <w:r>
        <w:t>1. Resumen Ejecutivo y Diagnóstico Global</w:t>
      </w:r>
    </w:p>
    <w:p>
      <w:r>
        <w:t>La aplicación app-usuario (@ruum/app-usuario) constituye la superficie digital primaria de contacto, contratación y supervisión para usuarios particulares, empresas y administradores de flotillas dentro del ecosistema Ruum Ruum (operado bajo tecnología MoviliaX). Su propósito fundamental es eliminar la incertidumbre y el estrés del traslado vehicular mediante un modelo sustentado en tres pilares: verificación rigurosa de identidad, evidencia fotográfica 360° en cada hito y trazabilidad satelital en tiempo real articulada en un Pasaporte Digital.</w:t>
      </w:r>
    </w:p>
    <w:p>
      <w:r>
        <w:t>La arquitectura de software descansa sobre Next.js 15.5.23 (App Router, Server Components y Client Components), React 19, TypeScript estricto, Tailwind CSS v4 con tokens institucionales de diseño, y una capa de persistencia y servicios gobernada por Supabase (PostgreSQL 15, Auth, RLS, Storage y Edge Functions Deno), Stripe Elements para el procesamiento financiero seguro, Mapbox GL para geocodificación y cálculo de trayectos, y Capacitor para compilación híbrida Android.</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FDE8E8"/>
          </w:tcPr>
          <w:p>
            <w:pPr>
              <w:spacing w:after="0" w:line="276" w:lineRule="auto"/>
            </w:pPr>
            <w:r>
              <w:rPr>
                <w:b/>
                <w:color w:val="B42828"/>
              </w:rPr>
              <w:t xml:space="preserve">[ALERTA CRÍTICA DE INGENIERÍA] </w:t>
            </w:r>
            <w:r>
              <w:rPr>
                <w:sz w:val="19"/>
              </w:rPr>
              <w:t>HALLAZGO PRINCIPAL DE AUDITORÍA: Si bien la aplicación presenta una base arquitectónica moderna, robusta y con 53 tests unitarios aprobados, se identificaron 8 errores y fracturas de flujo notables, destacando dos problemas críticos (P0): (1) Un bloqueo circular total en la aceptación de cotizaciones y pago post-creación que deja al usuario atrapado sin poder confirmar el servicio, y (2) Una falla sistemática de inserción en el formulario de soporte por discrepancia de esquema y enums inexistentes en PostgreSQL.</w:t>
            </w:r>
          </w:p>
        </w:tc>
      </w:tr>
    </w:tbl>
    <w:p/>
    <w:p>
      <w:pPr>
        <w:pStyle w:val="Heading2"/>
      </w:pPr>
      <w:r>
        <w:t>Tabla Resumen de Errores Identificados</w:t>
      </w:r>
    </w:p>
    <w:tbl>
      <w:tblPr>
        <w:tblStyle w:val="TableGrid"/>
        <w:tblW w:type="dxa" w:w="9360"/>
        <w:jc w:val="left"/>
        <w:tblLook w:firstColumn="1" w:firstRow="1" w:lastColumn="0" w:lastRow="0" w:noHBand="0" w:noVBand="1" w:val="04A0"/>
        <w:tblInd w:type="dxa" w:w="120"/>
        <w:tblCellMar>
          <w:top w:w="90" w:type="dxa"/>
          <w:start w:w="130" w:type="dxa"/>
          <w:bottom w:w="90" w:type="dxa"/>
          <w:end w:w="130" w:type="dxa"/>
        </w:tblCellMar>
      </w:tblPr>
      <w:tblGrid>
        <w:gridCol w:w="1000"/>
        <w:gridCol w:w="1400"/>
        <w:gridCol w:w="2000"/>
        <w:gridCol w:w="3200"/>
        <w:gridCol w:w="1760"/>
      </w:tblGrid>
      <w:tr>
        <w:trPr>
          <w:tblHeader w:val="true"/>
        </w:trPr>
        <w:tc>
          <w:tcPr>
            <w:tcW w:type="dxa" w:w="1000"/>
            <w:shd w:fill="E8EEF5"/>
            <w:vAlign w:val="center"/>
          </w:tcPr>
          <w:p>
            <w:r>
              <w:rPr>
                <w:b/>
                <w:color w:val="0B2545"/>
                <w:sz w:val="19"/>
              </w:rPr>
              <w:t>ID</w:t>
            </w:r>
          </w:p>
        </w:tc>
        <w:tc>
          <w:tcPr>
            <w:tcW w:type="dxa" w:w="1400"/>
            <w:shd w:fill="E8EEF5"/>
            <w:vAlign w:val="center"/>
          </w:tcPr>
          <w:p>
            <w:r>
              <w:rPr>
                <w:b/>
                <w:color w:val="0B2545"/>
                <w:sz w:val="19"/>
              </w:rPr>
              <w:t>Severidad</w:t>
            </w:r>
          </w:p>
        </w:tc>
        <w:tc>
          <w:tcPr>
            <w:tcW w:type="dxa" w:w="2000"/>
            <w:shd w:fill="E8EEF5"/>
            <w:vAlign w:val="center"/>
          </w:tcPr>
          <w:p>
            <w:r>
              <w:rPr>
                <w:b/>
                <w:color w:val="0B2545"/>
                <w:sz w:val="19"/>
              </w:rPr>
              <w:t>Módulo / Flujo</w:t>
            </w:r>
          </w:p>
        </w:tc>
        <w:tc>
          <w:tcPr>
            <w:tcW w:type="dxa" w:w="3200"/>
            <w:shd w:fill="E8EEF5"/>
            <w:vAlign w:val="center"/>
          </w:tcPr>
          <w:p>
            <w:r>
              <w:rPr>
                <w:b/>
                <w:color w:val="0B2545"/>
                <w:sz w:val="19"/>
              </w:rPr>
              <w:t>Error Identificado</w:t>
            </w:r>
          </w:p>
        </w:tc>
        <w:tc>
          <w:tcPr>
            <w:tcW w:type="dxa" w:w="1760"/>
            <w:shd w:fill="E8EEF5"/>
            <w:vAlign w:val="center"/>
          </w:tcPr>
          <w:p>
            <w:r>
              <w:rPr>
                <w:b/>
                <w:color w:val="0B2545"/>
                <w:sz w:val="19"/>
              </w:rPr>
              <w:t>Impacto Operativo</w:t>
            </w:r>
          </w:p>
        </w:tc>
      </w:tr>
      <w:tr>
        <w:tc>
          <w:tcPr>
            <w:tcW w:type="dxa" w:w="1000"/>
            <w:vAlign w:val="center"/>
          </w:tcPr>
          <w:p>
            <w:r>
              <w:rPr>
                <w:sz w:val="18"/>
              </w:rPr>
              <w:t>ERR-01</w:t>
            </w:r>
          </w:p>
        </w:tc>
        <w:tc>
          <w:tcPr>
            <w:tcW w:type="dxa" w:w="1400"/>
            <w:vAlign w:val="center"/>
          </w:tcPr>
          <w:p>
            <w:r>
              <w:rPr>
                <w:sz w:val="18"/>
              </w:rPr>
              <w:t>CRÍTICO (P0)</w:t>
            </w:r>
          </w:p>
        </w:tc>
        <w:tc>
          <w:tcPr>
            <w:tcW w:type="dxa" w:w="2000"/>
            <w:vAlign w:val="center"/>
          </w:tcPr>
          <w:p>
            <w:r>
              <w:rPr>
                <w:sz w:val="18"/>
              </w:rPr>
              <w:t>Traslados / Cotización (/traslados/[id])</w:t>
            </w:r>
          </w:p>
        </w:tc>
        <w:tc>
          <w:tcPr>
            <w:tcW w:type="dxa" w:w="3200"/>
            <w:vAlign w:val="center"/>
          </w:tcPr>
          <w:p>
            <w:r>
              <w:rPr>
                <w:sz w:val="18"/>
              </w:rPr>
              <w:t>Deadlock circular y componentes huérfanos (AceptarCotizacion, PagoTraslado, PagoRecuperable no importados en [id]/page.tsx).</w:t>
            </w:r>
          </w:p>
        </w:tc>
        <w:tc>
          <w:tcPr>
            <w:tcW w:type="dxa" w:w="1760"/>
            <w:vAlign w:val="center"/>
          </w:tcPr>
          <w:p>
            <w:r>
              <w:rPr>
                <w:sz w:val="18"/>
              </w:rPr>
              <w:t>El usuario no puede aceptar cotizaciones diferidas ni pagar fuera del wizard inicial.</w:t>
            </w:r>
          </w:p>
        </w:tc>
      </w:tr>
      <w:tr>
        <w:tc>
          <w:tcPr>
            <w:tcW w:type="dxa" w:w="1000"/>
            <w:vAlign w:val="center"/>
          </w:tcPr>
          <w:p>
            <w:r>
              <w:rPr>
                <w:sz w:val="18"/>
              </w:rPr>
              <w:t>ERR-02</w:t>
            </w:r>
          </w:p>
        </w:tc>
        <w:tc>
          <w:tcPr>
            <w:tcW w:type="dxa" w:w="1400"/>
            <w:vAlign w:val="center"/>
          </w:tcPr>
          <w:p>
            <w:r>
              <w:rPr>
                <w:sz w:val="18"/>
              </w:rPr>
              <w:t>CRÍTICO (P0)</w:t>
            </w:r>
          </w:p>
        </w:tc>
        <w:tc>
          <w:tcPr>
            <w:tcW w:type="dxa" w:w="2000"/>
            <w:vAlign w:val="center"/>
          </w:tcPr>
          <w:p>
            <w:r>
              <w:rPr>
                <w:sz w:val="18"/>
              </w:rPr>
              <w:t>Soporte al Usuario (/soporte)</w:t>
            </w:r>
          </w:p>
        </w:tc>
        <w:tc>
          <w:tcPr>
            <w:tcW w:type="dxa" w:w="3200"/>
            <w:vAlign w:val="center"/>
          </w:tcPr>
          <w:p>
            <w:r>
              <w:rPr>
                <w:sz w:val="18"/>
              </w:rPr>
              <w:t>Falla por discrepancia de esquema en FormularioSoporte.tsx (columna 'creado_por' y enums inválidos como 'pagos', 'evidencia').</w:t>
            </w:r>
          </w:p>
        </w:tc>
        <w:tc>
          <w:tcPr>
            <w:tcW w:type="dxa" w:w="1760"/>
            <w:vAlign w:val="center"/>
          </w:tcPr>
          <w:p>
            <w:r>
              <w:rPr>
                <w:sz w:val="18"/>
              </w:rPr>
              <w:t>El insert en Supabase falla al 100%; se degrada silenciosamente a mailto: sin generar ticket.</w:t>
            </w:r>
          </w:p>
        </w:tc>
      </w:tr>
      <w:tr>
        <w:tc>
          <w:tcPr>
            <w:tcW w:type="dxa" w:w="1000"/>
            <w:vAlign w:val="center"/>
          </w:tcPr>
          <w:p>
            <w:r>
              <w:rPr>
                <w:sz w:val="18"/>
              </w:rPr>
              <w:t>ERR-03</w:t>
            </w:r>
          </w:p>
        </w:tc>
        <w:tc>
          <w:tcPr>
            <w:tcW w:type="dxa" w:w="1400"/>
            <w:vAlign w:val="center"/>
          </w:tcPr>
          <w:p>
            <w:r>
              <w:rPr>
                <w:sz w:val="18"/>
              </w:rPr>
              <w:t>ALTO (P1)</w:t>
            </w:r>
          </w:p>
        </w:tc>
        <w:tc>
          <w:tcPr>
            <w:tcW w:type="dxa" w:w="2000"/>
            <w:vAlign w:val="center"/>
          </w:tcPr>
          <w:p>
            <w:r>
              <w:rPr>
                <w:sz w:val="18"/>
              </w:rPr>
              <w:t>Cancelaciones (/traslados/[id])</w:t>
            </w:r>
          </w:p>
        </w:tc>
        <w:tc>
          <w:tcPr>
            <w:tcW w:type="dxa" w:w="3200"/>
            <w:vAlign w:val="center"/>
          </w:tcPr>
          <w:p>
            <w:r>
              <w:rPr>
                <w:sz w:val="18"/>
              </w:rPr>
              <w:t>Botón de cancelación visible en estados no cancelables (en tránsito, recolección, verificación).</w:t>
            </w:r>
          </w:p>
        </w:tc>
        <w:tc>
          <w:tcPr>
            <w:tcW w:type="dxa" w:w="1760"/>
            <w:vAlign w:val="center"/>
          </w:tcPr>
          <w:p>
            <w:r>
              <w:rPr>
                <w:sz w:val="18"/>
              </w:rPr>
              <w:t>El usuario cree poder cancelar en ruta y recibe error bloqueante de Postgres al confirmar.</w:t>
            </w:r>
          </w:p>
        </w:tc>
      </w:tr>
      <w:tr>
        <w:tc>
          <w:tcPr>
            <w:tcW w:type="dxa" w:w="1000"/>
            <w:vAlign w:val="center"/>
          </w:tcPr>
          <w:p>
            <w:r>
              <w:rPr>
                <w:sz w:val="18"/>
              </w:rPr>
              <w:t>ERR-04</w:t>
            </w:r>
          </w:p>
        </w:tc>
        <w:tc>
          <w:tcPr>
            <w:tcW w:type="dxa" w:w="1400"/>
            <w:vAlign w:val="center"/>
          </w:tcPr>
          <w:p>
            <w:r>
              <w:rPr>
                <w:sz w:val="18"/>
              </w:rPr>
              <w:t>ALTO (P1)</w:t>
            </w:r>
          </w:p>
        </w:tc>
        <w:tc>
          <w:tcPr>
            <w:tcW w:type="dxa" w:w="2000"/>
            <w:vAlign w:val="center"/>
          </w:tcPr>
          <w:p>
            <w:r>
              <w:rPr>
                <w:sz w:val="18"/>
              </w:rPr>
              <w:t>Métodos de Pago (/cuenta/metodos-pago)</w:t>
            </w:r>
          </w:p>
        </w:tc>
        <w:tc>
          <w:tcPr>
            <w:tcW w:type="dxa" w:w="3200"/>
            <w:vAlign w:val="center"/>
          </w:tcPr>
          <w:p>
            <w:r>
              <w:rPr>
                <w:sz w:val="18"/>
              </w:rPr>
              <w:t>Bucle de redirección infinito en 'Registrar tarjeta' (apunta a la misma URL) y ausencia de formulario Stripe.</w:t>
            </w:r>
          </w:p>
        </w:tc>
        <w:tc>
          <w:tcPr>
            <w:tcW w:type="dxa" w:w="1760"/>
            <w:vAlign w:val="center"/>
          </w:tcPr>
          <w:p>
            <w:r>
              <w:rPr>
                <w:sz w:val="18"/>
              </w:rPr>
              <w:t>Imposible gestionar o agregar métodos de pago desde la cuenta fuera del flujo de compra.</w:t>
            </w:r>
          </w:p>
        </w:tc>
      </w:tr>
      <w:tr>
        <w:tc>
          <w:tcPr>
            <w:tcW w:type="dxa" w:w="1000"/>
            <w:vAlign w:val="center"/>
          </w:tcPr>
          <w:p>
            <w:r>
              <w:rPr>
                <w:sz w:val="18"/>
              </w:rPr>
              <w:t>ERR-05</w:t>
            </w:r>
          </w:p>
        </w:tc>
        <w:tc>
          <w:tcPr>
            <w:tcW w:type="dxa" w:w="1400"/>
            <w:vAlign w:val="center"/>
          </w:tcPr>
          <w:p>
            <w:r>
              <w:rPr>
                <w:sz w:val="18"/>
              </w:rPr>
              <w:t>MEDIO (P2)</w:t>
            </w:r>
          </w:p>
        </w:tc>
        <w:tc>
          <w:tcPr>
            <w:tcW w:type="dxa" w:w="2000"/>
            <w:vAlign w:val="center"/>
          </w:tcPr>
          <w:p>
            <w:r>
              <w:rPr>
                <w:sz w:val="18"/>
              </w:rPr>
              <w:t>Preferencias y Vehículos (/cuenta/*)</w:t>
            </w:r>
          </w:p>
        </w:tc>
        <w:tc>
          <w:tcPr>
            <w:tcW w:type="dxa" w:w="3200"/>
            <w:vAlign w:val="center"/>
          </w:tcPr>
          <w:p>
            <w:r>
              <w:rPr>
                <w:sz w:val="18"/>
              </w:rPr>
              <w:t>Vistas estáticas de sólo lectura sin interactividad (toggles de alertas inertes y vehículos no editables).</w:t>
            </w:r>
          </w:p>
        </w:tc>
        <w:tc>
          <w:tcPr>
            <w:tcW w:type="dxa" w:w="1760"/>
            <w:vAlign w:val="center"/>
          </w:tcPr>
          <w:p>
            <w:r>
              <w:rPr>
                <w:sz w:val="18"/>
              </w:rPr>
              <w:t>Pérdida de autonomía del usuario y aumento innecesario de tickets operativos.</w:t>
            </w:r>
          </w:p>
        </w:tc>
      </w:tr>
      <w:tr>
        <w:tc>
          <w:tcPr>
            <w:tcW w:type="dxa" w:w="1000"/>
            <w:vAlign w:val="center"/>
          </w:tcPr>
          <w:p>
            <w:r>
              <w:rPr>
                <w:sz w:val="18"/>
              </w:rPr>
              <w:t>ERR-06</w:t>
            </w:r>
          </w:p>
        </w:tc>
        <w:tc>
          <w:tcPr>
            <w:tcW w:type="dxa" w:w="1400"/>
            <w:vAlign w:val="center"/>
          </w:tcPr>
          <w:p>
            <w:r>
              <w:rPr>
                <w:sz w:val="18"/>
              </w:rPr>
              <w:t>MEDIO (P2)</w:t>
            </w:r>
          </w:p>
        </w:tc>
        <w:tc>
          <w:tcPr>
            <w:tcW w:type="dxa" w:w="2000"/>
            <w:vAlign w:val="center"/>
          </w:tcPr>
          <w:p>
            <w:r>
              <w:rPr>
                <w:sz w:val="18"/>
              </w:rPr>
              <w:t>Navegación Global (NavegacionUsuario.tsx)</w:t>
            </w:r>
          </w:p>
        </w:tc>
        <w:tc>
          <w:tcPr>
            <w:tcW w:type="dxa" w:w="3200"/>
            <w:vAlign w:val="center"/>
          </w:tcPr>
          <w:p>
            <w:r>
              <w:rPr>
                <w:sz w:val="18"/>
              </w:rPr>
              <w:t>Badge de notificaciones hardcodeado con número '2' fijo y enlace que redirige a soporte.</w:t>
            </w:r>
          </w:p>
        </w:tc>
        <w:tc>
          <w:tcPr>
            <w:tcW w:type="dxa" w:w="1760"/>
            <w:vAlign w:val="center"/>
          </w:tcPr>
          <w:p>
            <w:r>
              <w:rPr>
                <w:sz w:val="18"/>
              </w:rPr>
              <w:t>Confusión de usuario; la campana no abre un panel de alertas sino el centro de ayuda.</w:t>
            </w:r>
          </w:p>
        </w:tc>
      </w:tr>
      <w:tr>
        <w:tc>
          <w:tcPr>
            <w:tcW w:type="dxa" w:w="1000"/>
            <w:vAlign w:val="center"/>
          </w:tcPr>
          <w:p>
            <w:r>
              <w:rPr>
                <w:sz w:val="18"/>
              </w:rPr>
              <w:t>ERR-07</w:t>
            </w:r>
          </w:p>
        </w:tc>
        <w:tc>
          <w:tcPr>
            <w:tcW w:type="dxa" w:w="1400"/>
            <w:vAlign w:val="center"/>
          </w:tcPr>
          <w:p>
            <w:r>
              <w:rPr>
                <w:sz w:val="18"/>
              </w:rPr>
              <w:t>MEDIO (P2)</w:t>
            </w:r>
          </w:p>
        </w:tc>
        <w:tc>
          <w:tcPr>
            <w:tcW w:type="dxa" w:w="2000"/>
            <w:vAlign w:val="center"/>
          </w:tcPr>
          <w:p>
            <w:r>
              <w:rPr>
                <w:sz w:val="18"/>
              </w:rPr>
              <w:t>Middleware de Seguridad (middleware.ts)</w:t>
            </w:r>
          </w:p>
        </w:tc>
        <w:tc>
          <w:tcPr>
            <w:tcW w:type="dxa" w:w="3200"/>
            <w:vAlign w:val="center"/>
          </w:tcPr>
          <w:p>
            <w:r>
              <w:rPr>
                <w:sz w:val="18"/>
              </w:rPr>
              <w:t>Ruta /onboarding no protegida por sesión en RUTAS_PROTEGIDAS_USUARIO.</w:t>
            </w:r>
          </w:p>
        </w:tc>
        <w:tc>
          <w:tcPr>
            <w:tcW w:type="dxa" w:w="1760"/>
            <w:vAlign w:val="center"/>
          </w:tcPr>
          <w:p>
            <w:r>
              <w:rPr>
                <w:sz w:val="18"/>
              </w:rPr>
              <w:t>Inconsistencia de renderizado al recibir parámetros (?nuevo=1) sin contexto autenticado.</w:t>
            </w:r>
          </w:p>
        </w:tc>
      </w:tr>
      <w:tr>
        <w:tc>
          <w:tcPr>
            <w:tcW w:type="dxa" w:w="1000"/>
            <w:vAlign w:val="center"/>
          </w:tcPr>
          <w:p>
            <w:r>
              <w:rPr>
                <w:sz w:val="18"/>
              </w:rPr>
              <w:t>ERR-08</w:t>
            </w:r>
          </w:p>
        </w:tc>
        <w:tc>
          <w:tcPr>
            <w:tcW w:type="dxa" w:w="1400"/>
            <w:vAlign w:val="center"/>
          </w:tcPr>
          <w:p>
            <w:r>
              <w:rPr>
                <w:sz w:val="18"/>
              </w:rPr>
              <w:t>MEDIO (P2)</w:t>
            </w:r>
          </w:p>
        </w:tc>
        <w:tc>
          <w:tcPr>
            <w:tcW w:type="dxa" w:w="2000"/>
            <w:vAlign w:val="center"/>
          </w:tcPr>
          <w:p>
            <w:r>
              <w:rPr>
                <w:sz w:val="18"/>
              </w:rPr>
              <w:t>Wizard de Creación (NuevoTrasladoForm.tsx)</w:t>
            </w:r>
          </w:p>
        </w:tc>
        <w:tc>
          <w:tcPr>
            <w:tcW w:type="dxa" w:w="3200"/>
            <w:vAlign w:val="center"/>
          </w:tcPr>
          <w:p>
            <w:r>
              <w:rPr>
                <w:sz w:val="18"/>
              </w:rPr>
              <w:t>Sobrecarga cognitiva extrema en Paso 0 (más de 15 campos obligatorios) y retraso de tarifa estimada.</w:t>
            </w:r>
          </w:p>
        </w:tc>
        <w:tc>
          <w:tcPr>
            <w:tcW w:type="dxa" w:w="1760"/>
            <w:vAlign w:val="center"/>
          </w:tcPr>
          <w:p>
            <w:r>
              <w:rPr>
                <w:sz w:val="18"/>
              </w:rPr>
              <w:t>Tasa de abandono estimada &gt;45% en el primer intento de solicitud por fricción de captura.</w:t>
            </w:r>
          </w:p>
        </w:tc>
      </w:tr>
    </w:tbl>
    <w:p/>
    <w:p>
      <w:pPr>
        <w:pStyle w:val="Heading1"/>
      </w:pPr>
      <w:r>
        <w:t>2. Taxonomía y Matriz Global de Flujos</w:t>
      </w:r>
    </w:p>
    <w:p>
      <w:r>
        <w:t>Se analizaron exhaustivamente 14 flujos end-to-end organizados en 5 macro-dominios funcionales. A continuación se presenta la matriz estructural que mapea rutas, responsabilidades, componentes principales y contratos con el backend de Supabase y servicios externos:</w:t>
      </w:r>
    </w:p>
    <w:tbl>
      <w:tblPr>
        <w:tblStyle w:val="TableGrid"/>
        <w:tblW w:type="dxa" w:w="9360"/>
        <w:jc w:val="left"/>
        <w:tblLook w:firstColumn="1" w:firstRow="1" w:lastColumn="0" w:lastRow="0" w:noHBand="0" w:noVBand="1" w:val="04A0"/>
        <w:tblInd w:type="dxa" w:w="120"/>
        <w:tblCellMar>
          <w:top w:w="90" w:type="dxa"/>
          <w:start w:w="130" w:type="dxa"/>
          <w:bottom w:w="90" w:type="dxa"/>
          <w:end w:w="130" w:type="dxa"/>
        </w:tblCellMar>
      </w:tblPr>
      <w:tblGrid>
        <w:gridCol w:w="1100"/>
        <w:gridCol w:w="1100"/>
        <w:gridCol w:w="1800"/>
        <w:gridCol w:w="1500"/>
        <w:gridCol w:w="1960"/>
        <w:gridCol w:w="1900"/>
      </w:tblGrid>
      <w:tr>
        <w:trPr>
          <w:tblHeader w:val="true"/>
        </w:trPr>
        <w:tc>
          <w:tcPr>
            <w:tcW w:type="dxa" w:w="1100"/>
            <w:shd w:fill="E8EEF5"/>
            <w:vAlign w:val="center"/>
          </w:tcPr>
          <w:p>
            <w:r>
              <w:rPr>
                <w:b/>
                <w:color w:val="0B2545"/>
                <w:sz w:val="19"/>
              </w:rPr>
              <w:t>Dominio</w:t>
            </w:r>
          </w:p>
        </w:tc>
        <w:tc>
          <w:tcPr>
            <w:tcW w:type="dxa" w:w="1100"/>
            <w:shd w:fill="E8EEF5"/>
            <w:vAlign w:val="center"/>
          </w:tcPr>
          <w:p>
            <w:r>
              <w:rPr>
                <w:b/>
                <w:color w:val="0B2545"/>
                <w:sz w:val="19"/>
              </w:rPr>
              <w:t>ID Flujo</w:t>
            </w:r>
          </w:p>
        </w:tc>
        <w:tc>
          <w:tcPr>
            <w:tcW w:type="dxa" w:w="1800"/>
            <w:shd w:fill="E8EEF5"/>
            <w:vAlign w:val="center"/>
          </w:tcPr>
          <w:p>
            <w:r>
              <w:rPr>
                <w:b/>
                <w:color w:val="0B2545"/>
                <w:sz w:val="19"/>
              </w:rPr>
              <w:t>Nombre del Flujo</w:t>
            </w:r>
          </w:p>
        </w:tc>
        <w:tc>
          <w:tcPr>
            <w:tcW w:type="dxa" w:w="1500"/>
            <w:shd w:fill="E8EEF5"/>
            <w:vAlign w:val="center"/>
          </w:tcPr>
          <w:p>
            <w:r>
              <w:rPr>
                <w:b/>
                <w:color w:val="0B2545"/>
                <w:sz w:val="19"/>
              </w:rPr>
              <w:t>Ruta Principal</w:t>
            </w:r>
          </w:p>
        </w:tc>
        <w:tc>
          <w:tcPr>
            <w:tcW w:type="dxa" w:w="1960"/>
            <w:shd w:fill="E8EEF5"/>
            <w:vAlign w:val="center"/>
          </w:tcPr>
          <w:p>
            <w:r>
              <w:rPr>
                <w:b/>
                <w:color w:val="0B2545"/>
                <w:sz w:val="19"/>
              </w:rPr>
              <w:t>Componentes Clave</w:t>
            </w:r>
          </w:p>
        </w:tc>
        <w:tc>
          <w:tcPr>
            <w:tcW w:type="dxa" w:w="1900"/>
            <w:shd w:fill="E8EEF5"/>
            <w:vAlign w:val="center"/>
          </w:tcPr>
          <w:p>
            <w:r>
              <w:rPr>
                <w:b/>
                <w:color w:val="0B2545"/>
                <w:sz w:val="19"/>
              </w:rPr>
              <w:t>Servicios / RPC / Integración</w:t>
            </w:r>
          </w:p>
        </w:tc>
      </w:tr>
      <w:tr>
        <w:tc>
          <w:tcPr>
            <w:tcW w:type="dxa" w:w="1100"/>
            <w:vAlign w:val="center"/>
          </w:tcPr>
          <w:p>
            <w:r>
              <w:rPr>
                <w:sz w:val="18"/>
              </w:rPr>
              <w:t>Acceso</w:t>
            </w:r>
          </w:p>
        </w:tc>
        <w:tc>
          <w:tcPr>
            <w:tcW w:type="dxa" w:w="1100"/>
            <w:vAlign w:val="center"/>
          </w:tcPr>
          <w:p>
            <w:r>
              <w:rPr>
                <w:sz w:val="18"/>
              </w:rPr>
              <w:t>FL-AUTH-01</w:t>
            </w:r>
          </w:p>
        </w:tc>
        <w:tc>
          <w:tcPr>
            <w:tcW w:type="dxa" w:w="1800"/>
            <w:vAlign w:val="center"/>
          </w:tcPr>
          <w:p>
            <w:r>
              <w:rPr>
                <w:sz w:val="18"/>
              </w:rPr>
              <w:t>Registro en 2 Fases</w:t>
            </w:r>
          </w:p>
        </w:tc>
        <w:tc>
          <w:tcPr>
            <w:tcW w:type="dxa" w:w="1500"/>
            <w:vAlign w:val="center"/>
          </w:tcPr>
          <w:p>
            <w:r>
              <w:rPr>
                <w:sz w:val="18"/>
              </w:rPr>
              <w:t>/registro</w:t>
            </w:r>
          </w:p>
        </w:tc>
        <w:tc>
          <w:tcPr>
            <w:tcW w:type="dxa" w:w="1960"/>
            <w:vAlign w:val="center"/>
          </w:tcPr>
          <w:p>
            <w:r>
              <w:rPr>
                <w:sz w:val="18"/>
              </w:rPr>
              <w:t>page.tsx, CampoOscuro, ConsentimientoTerminos</w:t>
            </w:r>
          </w:p>
        </w:tc>
        <w:tc>
          <w:tcPr>
            <w:tcW w:type="dxa" w:w="1900"/>
            <w:vAlign w:val="center"/>
          </w:tcPr>
          <w:p>
            <w:r>
              <w:rPr>
                <w:sz w:val="18"/>
              </w:rPr>
              <w:t>supabase.auth.signUp(), trigger manejar_nuevo_usuario_auth</w:t>
            </w:r>
          </w:p>
        </w:tc>
      </w:tr>
      <w:tr>
        <w:tc>
          <w:tcPr>
            <w:tcW w:type="dxa" w:w="1100"/>
            <w:vAlign w:val="center"/>
          </w:tcPr>
          <w:p>
            <w:r>
              <w:rPr>
                <w:sz w:val="18"/>
              </w:rPr>
              <w:t>Acceso</w:t>
            </w:r>
          </w:p>
        </w:tc>
        <w:tc>
          <w:tcPr>
            <w:tcW w:type="dxa" w:w="1100"/>
            <w:vAlign w:val="center"/>
          </w:tcPr>
          <w:p>
            <w:r>
              <w:rPr>
                <w:sz w:val="18"/>
              </w:rPr>
              <w:t>FL-AUTH-02</w:t>
            </w:r>
          </w:p>
        </w:tc>
        <w:tc>
          <w:tcPr>
            <w:tcW w:type="dxa" w:w="1800"/>
            <w:vAlign w:val="center"/>
          </w:tcPr>
          <w:p>
            <w:r>
              <w:rPr>
                <w:sz w:val="18"/>
              </w:rPr>
              <w:t>Confirmación de Correo</w:t>
            </w:r>
          </w:p>
        </w:tc>
        <w:tc>
          <w:tcPr>
            <w:tcW w:type="dxa" w:w="1500"/>
            <w:vAlign w:val="center"/>
          </w:tcPr>
          <w:p>
            <w:r>
              <w:rPr>
                <w:sz w:val="18"/>
              </w:rPr>
              <w:t>/registro/confirma-correo</w:t>
            </w:r>
          </w:p>
        </w:tc>
        <w:tc>
          <w:tcPr>
            <w:tcW w:type="dxa" w:w="1960"/>
            <w:vAlign w:val="center"/>
          </w:tcPr>
          <w:p>
            <w:r>
              <w:rPr>
                <w:sz w:val="18"/>
              </w:rPr>
              <w:t>page.tsx, sessionStorage</w:t>
            </w:r>
          </w:p>
        </w:tc>
        <w:tc>
          <w:tcPr>
            <w:tcW w:type="dxa" w:w="1900"/>
            <w:vAlign w:val="center"/>
          </w:tcPr>
          <w:p>
            <w:r>
              <w:rPr>
                <w:sz w:val="18"/>
              </w:rPr>
              <w:t>Supabase Auth Token Verification</w:t>
            </w:r>
          </w:p>
        </w:tc>
      </w:tr>
      <w:tr>
        <w:tc>
          <w:tcPr>
            <w:tcW w:type="dxa" w:w="1100"/>
            <w:vAlign w:val="center"/>
          </w:tcPr>
          <w:p>
            <w:r>
              <w:rPr>
                <w:sz w:val="18"/>
              </w:rPr>
              <w:t>Acceso</w:t>
            </w:r>
          </w:p>
        </w:tc>
        <w:tc>
          <w:tcPr>
            <w:tcW w:type="dxa" w:w="1100"/>
            <w:vAlign w:val="center"/>
          </w:tcPr>
          <w:p>
            <w:r>
              <w:rPr>
                <w:sz w:val="18"/>
              </w:rPr>
              <w:t>FL-AUTH-03</w:t>
            </w:r>
          </w:p>
        </w:tc>
        <w:tc>
          <w:tcPr>
            <w:tcW w:type="dxa" w:w="1800"/>
            <w:vAlign w:val="center"/>
          </w:tcPr>
          <w:p>
            <w:r>
              <w:rPr>
                <w:sz w:val="18"/>
              </w:rPr>
              <w:t>Inicio de Sesión Seguro</w:t>
            </w:r>
          </w:p>
        </w:tc>
        <w:tc>
          <w:tcPr>
            <w:tcW w:type="dxa" w:w="1500"/>
            <w:vAlign w:val="center"/>
          </w:tcPr>
          <w:p>
            <w:r>
              <w:rPr>
                <w:sz w:val="18"/>
              </w:rPr>
              <w:t>/login</w:t>
            </w:r>
          </w:p>
        </w:tc>
        <w:tc>
          <w:tcPr>
            <w:tcW w:type="dxa" w:w="1960"/>
            <w:vAlign w:val="center"/>
          </w:tcPr>
          <w:p>
            <w:r>
              <w:rPr>
                <w:sz w:val="18"/>
              </w:rPr>
              <w:t>LoginCliente.tsx, BotonCerrarSesion</w:t>
            </w:r>
          </w:p>
        </w:tc>
        <w:tc>
          <w:tcPr>
            <w:tcW w:type="dxa" w:w="1900"/>
            <w:vAlign w:val="center"/>
          </w:tcPr>
          <w:p>
            <w:r>
              <w:rPr>
                <w:sz w:val="18"/>
              </w:rPr>
              <w:t>supabase.auth.signInWithPassword(), destinoSeguro()</w:t>
            </w:r>
          </w:p>
        </w:tc>
      </w:tr>
      <w:tr>
        <w:tc>
          <w:tcPr>
            <w:tcW w:type="dxa" w:w="1100"/>
            <w:vAlign w:val="center"/>
          </w:tcPr>
          <w:p>
            <w:r>
              <w:rPr>
                <w:sz w:val="18"/>
              </w:rPr>
              <w:t>Acceso</w:t>
            </w:r>
          </w:p>
        </w:tc>
        <w:tc>
          <w:tcPr>
            <w:tcW w:type="dxa" w:w="1100"/>
            <w:vAlign w:val="center"/>
          </w:tcPr>
          <w:p>
            <w:r>
              <w:rPr>
                <w:sz w:val="18"/>
              </w:rPr>
              <w:t>FL-AUTH-04</w:t>
            </w:r>
          </w:p>
        </w:tc>
        <w:tc>
          <w:tcPr>
            <w:tcW w:type="dxa" w:w="1800"/>
            <w:vAlign w:val="center"/>
          </w:tcPr>
          <w:p>
            <w:r>
              <w:rPr>
                <w:sz w:val="18"/>
              </w:rPr>
              <w:t>Recuperación de Password</w:t>
            </w:r>
          </w:p>
        </w:tc>
        <w:tc>
          <w:tcPr>
            <w:tcW w:type="dxa" w:w="1500"/>
            <w:vAlign w:val="center"/>
          </w:tcPr>
          <w:p>
            <w:r>
              <w:rPr>
                <w:sz w:val="18"/>
              </w:rPr>
              <w:t>/recuperar-password, /nueva-password</w:t>
            </w:r>
          </w:p>
        </w:tc>
        <w:tc>
          <w:tcPr>
            <w:tcW w:type="dxa" w:w="1960"/>
            <w:vAlign w:val="center"/>
          </w:tcPr>
          <w:p>
            <w:r>
              <w:rPr>
                <w:sz w:val="18"/>
              </w:rPr>
              <w:t>page.tsx, auth-callback-fallback.js</w:t>
            </w:r>
          </w:p>
        </w:tc>
        <w:tc>
          <w:tcPr>
            <w:tcW w:type="dxa" w:w="1900"/>
            <w:vAlign w:val="center"/>
          </w:tcPr>
          <w:p>
            <w:r>
              <w:rPr>
                <w:sz w:val="18"/>
              </w:rPr>
              <w:t>resetPasswordForEmail(), /api/recovery/*, updateUser()</w:t>
            </w:r>
          </w:p>
        </w:tc>
      </w:tr>
      <w:tr>
        <w:tc>
          <w:tcPr>
            <w:tcW w:type="dxa" w:w="1100"/>
            <w:vAlign w:val="center"/>
          </w:tcPr>
          <w:p>
            <w:r>
              <w:rPr>
                <w:sz w:val="18"/>
              </w:rPr>
              <w:t>Acceso</w:t>
            </w:r>
          </w:p>
        </w:tc>
        <w:tc>
          <w:tcPr>
            <w:tcW w:type="dxa" w:w="1100"/>
            <w:vAlign w:val="center"/>
          </w:tcPr>
          <w:p>
            <w:r>
              <w:rPr>
                <w:sz w:val="18"/>
              </w:rPr>
              <w:t>FL-AUTH-05</w:t>
            </w:r>
          </w:p>
        </w:tc>
        <w:tc>
          <w:tcPr>
            <w:tcW w:type="dxa" w:w="1800"/>
            <w:vAlign w:val="center"/>
          </w:tcPr>
          <w:p>
            <w:r>
              <w:rPr>
                <w:sz w:val="18"/>
              </w:rPr>
              <w:t>Onboarding Guiado</w:t>
            </w:r>
          </w:p>
        </w:tc>
        <w:tc>
          <w:tcPr>
            <w:tcW w:type="dxa" w:w="1500"/>
            <w:vAlign w:val="center"/>
          </w:tcPr>
          <w:p>
            <w:r>
              <w:rPr>
                <w:sz w:val="18"/>
              </w:rPr>
              <w:t>/onboarding</w:t>
            </w:r>
          </w:p>
        </w:tc>
        <w:tc>
          <w:tcPr>
            <w:tcW w:type="dxa" w:w="1960"/>
            <w:vAlign w:val="center"/>
          </w:tcPr>
          <w:p>
            <w:r>
              <w:rPr>
                <w:sz w:val="18"/>
              </w:rPr>
              <w:t>page.tsx, ContenidoOnboarding, LogoRuum</w:t>
            </w:r>
          </w:p>
        </w:tc>
        <w:tc>
          <w:tcPr>
            <w:tcW w:type="dxa" w:w="1900"/>
            <w:vAlign w:val="center"/>
          </w:tcPr>
          <w:p>
            <w:r>
              <w:rPr>
                <w:sz w:val="18"/>
              </w:rPr>
              <w:t>obtenerUsuarioActual(), localStorage tracking</w:t>
            </w:r>
          </w:p>
        </w:tc>
      </w:tr>
      <w:tr>
        <w:tc>
          <w:tcPr>
            <w:tcW w:type="dxa" w:w="1100"/>
            <w:vAlign w:val="center"/>
          </w:tcPr>
          <w:p>
            <w:r>
              <w:rPr>
                <w:sz w:val="18"/>
              </w:rPr>
              <w:t>Traslados</w:t>
            </w:r>
          </w:p>
        </w:tc>
        <w:tc>
          <w:tcPr>
            <w:tcW w:type="dxa" w:w="1100"/>
            <w:vAlign w:val="center"/>
          </w:tcPr>
          <w:p>
            <w:r>
              <w:rPr>
                <w:sz w:val="18"/>
              </w:rPr>
              <w:t>FL-TRAS-01</w:t>
            </w:r>
          </w:p>
        </w:tc>
        <w:tc>
          <w:tcPr>
            <w:tcW w:type="dxa" w:w="1800"/>
            <w:vAlign w:val="center"/>
          </w:tcPr>
          <w:p>
            <w:r>
              <w:rPr>
                <w:sz w:val="18"/>
              </w:rPr>
              <w:t>Solicitud y Creación (Wizard)</w:t>
            </w:r>
          </w:p>
        </w:tc>
        <w:tc>
          <w:tcPr>
            <w:tcW w:type="dxa" w:w="1500"/>
            <w:vAlign w:val="center"/>
          </w:tcPr>
          <w:p>
            <w:r>
              <w:rPr>
                <w:sz w:val="18"/>
              </w:rPr>
              <w:t>/traslados/nuevo</w:t>
            </w:r>
          </w:p>
        </w:tc>
        <w:tc>
          <w:tcPr>
            <w:tcW w:type="dxa" w:w="1960"/>
            <w:vAlign w:val="center"/>
          </w:tcPr>
          <w:p>
            <w:r>
              <w:rPr>
                <w:sz w:val="18"/>
              </w:rPr>
              <w:t>NuevoTrasladoForm.tsx, useGeocodificacion, useNuevoTraslado</w:t>
            </w:r>
          </w:p>
        </w:tc>
        <w:tc>
          <w:tcPr>
            <w:tcW w:type="dxa" w:w="1900"/>
            <w:vAlign w:val="center"/>
          </w:tcPr>
          <w:p>
            <w:r>
              <w:rPr>
                <w:sz w:val="18"/>
              </w:rPr>
              <w:t>RPC usuario_crea_traslado, Mapbox Directions, previsualizarTarifaUsuario()</w:t>
            </w:r>
          </w:p>
        </w:tc>
      </w:tr>
      <w:tr>
        <w:tc>
          <w:tcPr>
            <w:tcW w:type="dxa" w:w="1100"/>
            <w:vAlign w:val="center"/>
          </w:tcPr>
          <w:p>
            <w:r>
              <w:rPr>
                <w:sz w:val="18"/>
              </w:rPr>
              <w:t>Traslados</w:t>
            </w:r>
          </w:p>
        </w:tc>
        <w:tc>
          <w:tcPr>
            <w:tcW w:type="dxa" w:w="1100"/>
            <w:vAlign w:val="center"/>
          </w:tcPr>
          <w:p>
            <w:r>
              <w:rPr>
                <w:sz w:val="18"/>
              </w:rPr>
              <w:t>FL-TRAS-02</w:t>
            </w:r>
          </w:p>
        </w:tc>
        <w:tc>
          <w:tcPr>
            <w:tcW w:type="dxa" w:w="1800"/>
            <w:vAlign w:val="center"/>
          </w:tcPr>
          <w:p>
            <w:r>
              <w:rPr>
                <w:sz w:val="18"/>
              </w:rPr>
              <w:t>Carga Masiva B2B (CSV)</w:t>
            </w:r>
          </w:p>
        </w:tc>
        <w:tc>
          <w:tcPr>
            <w:tcW w:type="dxa" w:w="1500"/>
            <w:vAlign w:val="center"/>
          </w:tcPr>
          <w:p>
            <w:r>
              <w:rPr>
                <w:sz w:val="18"/>
              </w:rPr>
              <w:t>/traslados/masivo</w:t>
            </w:r>
          </w:p>
        </w:tc>
        <w:tc>
          <w:tcPr>
            <w:tcW w:type="dxa" w:w="1960"/>
            <w:vAlign w:val="center"/>
          </w:tcPr>
          <w:p>
            <w:r>
              <w:rPr>
                <w:sz w:val="18"/>
              </w:rPr>
              <w:t>CargaMasivaForm.tsx, pLimit</w:t>
            </w:r>
          </w:p>
        </w:tc>
        <w:tc>
          <w:tcPr>
            <w:tcW w:type="dxa" w:w="1900"/>
            <w:vAlign w:val="center"/>
          </w:tcPr>
          <w:p>
            <w:r>
              <w:rPr>
                <w:sz w:val="18"/>
              </w:rPr>
              <w:t>revisarCsv(), procesarCargaTrasladosMasivosUsuario()</w:t>
            </w:r>
          </w:p>
        </w:tc>
      </w:tr>
      <w:tr>
        <w:tc>
          <w:tcPr>
            <w:tcW w:type="dxa" w:w="1100"/>
            <w:vAlign w:val="center"/>
          </w:tcPr>
          <w:p>
            <w:r>
              <w:rPr>
                <w:sz w:val="18"/>
              </w:rPr>
              <w:t>Operación</w:t>
            </w:r>
          </w:p>
        </w:tc>
        <w:tc>
          <w:tcPr>
            <w:tcW w:type="dxa" w:w="1100"/>
            <w:vAlign w:val="center"/>
          </w:tcPr>
          <w:p>
            <w:r>
              <w:rPr>
                <w:sz w:val="18"/>
              </w:rPr>
              <w:t>FL-OPER-01</w:t>
            </w:r>
          </w:p>
        </w:tc>
        <w:tc>
          <w:tcPr>
            <w:tcW w:type="dxa" w:w="1800"/>
            <w:vAlign w:val="center"/>
          </w:tcPr>
          <w:p>
            <w:r>
              <w:rPr>
                <w:sz w:val="18"/>
              </w:rPr>
              <w:t>Gestión 'Mis Viajes'</w:t>
            </w:r>
          </w:p>
        </w:tc>
        <w:tc>
          <w:tcPr>
            <w:tcW w:type="dxa" w:w="1500"/>
            <w:vAlign w:val="center"/>
          </w:tcPr>
          <w:p>
            <w:r>
              <w:rPr>
                <w:sz w:val="18"/>
              </w:rPr>
              <w:t>/mis-viajes</w:t>
            </w:r>
          </w:p>
        </w:tc>
        <w:tc>
          <w:tcPr>
            <w:tcW w:type="dxa" w:w="1960"/>
            <w:vAlign w:val="center"/>
          </w:tcPr>
          <w:p>
            <w:r>
              <w:rPr>
                <w:sz w:val="18"/>
              </w:rPr>
              <w:t>page.tsx, MisViajesCliente.tsx, ViajeCard</w:t>
            </w:r>
          </w:p>
        </w:tc>
        <w:tc>
          <w:tcPr>
            <w:tcW w:type="dxa" w:w="1900"/>
            <w:vAlign w:val="center"/>
          </w:tcPr>
          <w:p>
            <w:r>
              <w:rPr>
                <w:sz w:val="18"/>
              </w:rPr>
              <w:t>listarTrasladosDeUsuario(), vista pasaporte_digital</w:t>
            </w:r>
          </w:p>
        </w:tc>
      </w:tr>
      <w:tr>
        <w:tc>
          <w:tcPr>
            <w:tcW w:type="dxa" w:w="1100"/>
            <w:vAlign w:val="center"/>
          </w:tcPr>
          <w:p>
            <w:r>
              <w:rPr>
                <w:sz w:val="18"/>
              </w:rPr>
              <w:t>Operación</w:t>
            </w:r>
          </w:p>
        </w:tc>
        <w:tc>
          <w:tcPr>
            <w:tcW w:type="dxa" w:w="1100"/>
            <w:vAlign w:val="center"/>
          </w:tcPr>
          <w:p>
            <w:r>
              <w:rPr>
                <w:sz w:val="18"/>
              </w:rPr>
              <w:t>FL-OPER-02</w:t>
            </w:r>
          </w:p>
        </w:tc>
        <w:tc>
          <w:tcPr>
            <w:tcW w:type="dxa" w:w="1800"/>
            <w:vAlign w:val="center"/>
          </w:tcPr>
          <w:p>
            <w:r>
              <w:rPr>
                <w:sz w:val="18"/>
              </w:rPr>
              <w:t>Pasaporte Digital en Vivo</w:t>
            </w:r>
          </w:p>
        </w:tc>
        <w:tc>
          <w:tcPr>
            <w:tcW w:type="dxa" w:w="1500"/>
            <w:vAlign w:val="center"/>
          </w:tcPr>
          <w:p>
            <w:r>
              <w:rPr>
                <w:sz w:val="18"/>
              </w:rPr>
              <w:t>/traslados/[id]</w:t>
            </w:r>
          </w:p>
        </w:tc>
        <w:tc>
          <w:tcPr>
            <w:tcW w:type="dxa" w:w="1960"/>
            <w:vAlign w:val="center"/>
          </w:tcPr>
          <w:p>
            <w:r>
              <w:rPr>
                <w:sz w:val="18"/>
              </w:rPr>
              <w:t>page.tsx, HeroAnsiedadCero, PasaporteTabs</w:t>
            </w:r>
          </w:p>
        </w:tc>
        <w:tc>
          <w:tcPr>
            <w:tcW w:type="dxa" w:w="1900"/>
            <w:vAlign w:val="center"/>
          </w:tcPr>
          <w:p>
            <w:r>
              <w:rPr>
                <w:sz w:val="18"/>
              </w:rPr>
              <w:t>obtenerPasaporteDigital(), firmarUrlsEvidencia()</w:t>
            </w:r>
          </w:p>
        </w:tc>
      </w:tr>
      <w:tr>
        <w:tc>
          <w:tcPr>
            <w:tcW w:type="dxa" w:w="1100"/>
            <w:vAlign w:val="center"/>
          </w:tcPr>
          <w:p>
            <w:r>
              <w:rPr>
                <w:sz w:val="18"/>
              </w:rPr>
              <w:t>Operación</w:t>
            </w:r>
          </w:p>
        </w:tc>
        <w:tc>
          <w:tcPr>
            <w:tcW w:type="dxa" w:w="1100"/>
            <w:vAlign w:val="center"/>
          </w:tcPr>
          <w:p>
            <w:r>
              <w:rPr>
                <w:sz w:val="18"/>
              </w:rPr>
              <w:t>FL-OPER-03</w:t>
            </w:r>
          </w:p>
        </w:tc>
        <w:tc>
          <w:tcPr>
            <w:tcW w:type="dxa" w:w="1800"/>
            <w:vAlign w:val="center"/>
          </w:tcPr>
          <w:p>
            <w:r>
              <w:rPr>
                <w:sz w:val="18"/>
              </w:rPr>
              <w:t>Tracking en Tiempo Real</w:t>
            </w:r>
          </w:p>
        </w:tc>
        <w:tc>
          <w:tcPr>
            <w:tcW w:type="dxa" w:w="1500"/>
            <w:vAlign w:val="center"/>
          </w:tcPr>
          <w:p>
            <w:r>
              <w:rPr>
                <w:sz w:val="18"/>
              </w:rPr>
              <w:t>/traslados/[id]#trazabilidad</w:t>
            </w:r>
          </w:p>
        </w:tc>
        <w:tc>
          <w:tcPr>
            <w:tcW w:type="dxa" w:w="1960"/>
            <w:vAlign w:val="center"/>
          </w:tcPr>
          <w:p>
            <w:r>
              <w:rPr>
                <w:sz w:val="18"/>
              </w:rPr>
              <w:t>SeguimientoTrasladoTiempoReal.tsx</w:t>
            </w:r>
          </w:p>
        </w:tc>
        <w:tc>
          <w:tcPr>
            <w:tcW w:type="dxa" w:w="1900"/>
            <w:vAlign w:val="center"/>
          </w:tcPr>
          <w:p>
            <w:r>
              <w:rPr>
                <w:sz w:val="18"/>
              </w:rPr>
              <w:t>obtenerUltimaUbicacionTraslado(), Mapbox GL Map</w:t>
            </w:r>
          </w:p>
        </w:tc>
      </w:tr>
      <w:tr>
        <w:tc>
          <w:tcPr>
            <w:tcW w:type="dxa" w:w="1100"/>
            <w:vAlign w:val="center"/>
          </w:tcPr>
          <w:p>
            <w:r>
              <w:rPr>
                <w:sz w:val="18"/>
              </w:rPr>
              <w:t>Operación</w:t>
            </w:r>
          </w:p>
        </w:tc>
        <w:tc>
          <w:tcPr>
            <w:tcW w:type="dxa" w:w="1100"/>
            <w:vAlign w:val="center"/>
          </w:tcPr>
          <w:p>
            <w:r>
              <w:rPr>
                <w:sz w:val="18"/>
              </w:rPr>
              <w:t>FL-OPER-04</w:t>
            </w:r>
          </w:p>
        </w:tc>
        <w:tc>
          <w:tcPr>
            <w:tcW w:type="dxa" w:w="1800"/>
            <w:vAlign w:val="center"/>
          </w:tcPr>
          <w:p>
            <w:r>
              <w:rPr>
                <w:sz w:val="18"/>
              </w:rPr>
              <w:t>Comunicación y Chat Seguro</w:t>
            </w:r>
          </w:p>
        </w:tc>
        <w:tc>
          <w:tcPr>
            <w:tcW w:type="dxa" w:w="1500"/>
            <w:vAlign w:val="center"/>
          </w:tcPr>
          <w:p>
            <w:r>
              <w:rPr>
                <w:sz w:val="18"/>
              </w:rPr>
              <w:t>/traslados/[id]#chat-conductor</w:t>
            </w:r>
          </w:p>
        </w:tc>
        <w:tc>
          <w:tcPr>
            <w:tcW w:type="dxa" w:w="1960"/>
            <w:vAlign w:val="center"/>
          </w:tcPr>
          <w:p>
            <w:r>
              <w:rPr>
                <w:sz w:val="18"/>
              </w:rPr>
              <w:t>ChatTraslado.tsx, Chat (@ruum/ui)</w:t>
            </w:r>
          </w:p>
        </w:tc>
        <w:tc>
          <w:tcPr>
            <w:tcW w:type="dxa" w:w="1900"/>
            <w:vAlign w:val="center"/>
          </w:tcPr>
          <w:p>
            <w:r>
              <w:rPr>
                <w:sz w:val="18"/>
              </w:rPr>
              <w:t>suscribirseAMensajes(), crearLlamadaEnmascarada()</w:t>
            </w:r>
          </w:p>
        </w:tc>
      </w:tr>
      <w:tr>
        <w:tc>
          <w:tcPr>
            <w:tcW w:type="dxa" w:w="1100"/>
            <w:vAlign w:val="center"/>
          </w:tcPr>
          <w:p>
            <w:r>
              <w:rPr>
                <w:sz w:val="18"/>
              </w:rPr>
              <w:t>Identidad</w:t>
            </w:r>
          </w:p>
        </w:tc>
        <w:tc>
          <w:tcPr>
            <w:tcW w:type="dxa" w:w="1100"/>
            <w:vAlign w:val="center"/>
          </w:tcPr>
          <w:p>
            <w:r>
              <w:rPr>
                <w:sz w:val="18"/>
              </w:rPr>
              <w:t>FL-KYC-01</w:t>
            </w:r>
          </w:p>
        </w:tc>
        <w:tc>
          <w:tcPr>
            <w:tcW w:type="dxa" w:w="1800"/>
            <w:vAlign w:val="center"/>
          </w:tcPr>
          <w:p>
            <w:r>
              <w:rPr>
                <w:sz w:val="18"/>
              </w:rPr>
              <w:t>Verificación Biométrica Didit</w:t>
            </w:r>
          </w:p>
        </w:tc>
        <w:tc>
          <w:tcPr>
            <w:tcW w:type="dxa" w:w="1500"/>
            <w:vAlign w:val="center"/>
          </w:tcPr>
          <w:p>
            <w:r>
              <w:rPr>
                <w:sz w:val="18"/>
              </w:rPr>
              <w:t>/verificacion</w:t>
            </w:r>
          </w:p>
        </w:tc>
        <w:tc>
          <w:tcPr>
            <w:tcW w:type="dxa" w:w="1960"/>
            <w:vAlign w:val="center"/>
          </w:tcPr>
          <w:p>
            <w:r>
              <w:rPr>
                <w:sz w:val="18"/>
              </w:rPr>
              <w:t>VerificacionForm.tsx, DiditVerificationModal</w:t>
            </w:r>
          </w:p>
        </w:tc>
        <w:tc>
          <w:tcPr>
            <w:tcW w:type="dxa" w:w="1900"/>
            <w:vAlign w:val="center"/>
          </w:tcPr>
          <w:p>
            <w:r>
              <w:rPr>
                <w:sz w:val="18"/>
              </w:rPr>
              <w:t>iniciarVerificacionDiditUsuario(), postMessage Didit</w:t>
            </w:r>
          </w:p>
        </w:tc>
      </w:tr>
      <w:tr>
        <w:tc>
          <w:tcPr>
            <w:tcW w:type="dxa" w:w="1100"/>
            <w:vAlign w:val="center"/>
          </w:tcPr>
          <w:p>
            <w:r>
              <w:rPr>
                <w:sz w:val="18"/>
              </w:rPr>
              <w:t>Cuenta</w:t>
            </w:r>
          </w:p>
        </w:tc>
        <w:tc>
          <w:tcPr>
            <w:tcW w:type="dxa" w:w="1100"/>
            <w:vAlign w:val="center"/>
          </w:tcPr>
          <w:p>
            <w:r>
              <w:rPr>
                <w:sz w:val="18"/>
              </w:rPr>
              <w:t>FL-ACCT-01</w:t>
            </w:r>
          </w:p>
        </w:tc>
        <w:tc>
          <w:tcPr>
            <w:tcW w:type="dxa" w:w="1800"/>
            <w:vAlign w:val="center"/>
          </w:tcPr>
          <w:p>
            <w:r>
              <w:rPr>
                <w:sz w:val="18"/>
              </w:rPr>
              <w:t>Perfil, Facturación y Autos</w:t>
            </w:r>
          </w:p>
        </w:tc>
        <w:tc>
          <w:tcPr>
            <w:tcW w:type="dxa" w:w="1500"/>
            <w:vAlign w:val="center"/>
          </w:tcPr>
          <w:p>
            <w:r>
              <w:rPr>
                <w:sz w:val="18"/>
              </w:rPr>
              <w:t>/cuenta/*</w:t>
            </w:r>
          </w:p>
        </w:tc>
        <w:tc>
          <w:tcPr>
            <w:tcW w:type="dxa" w:w="1960"/>
            <w:vAlign w:val="center"/>
          </w:tcPr>
          <w:p>
            <w:r>
              <w:rPr>
                <w:sz w:val="18"/>
              </w:rPr>
              <w:t>CuentaCliente.tsx, FacturacionCuentaForm</w:t>
            </w:r>
          </w:p>
        </w:tc>
        <w:tc>
          <w:tcPr>
            <w:tcW w:type="dxa" w:w="1900"/>
            <w:vAlign w:val="center"/>
          </w:tcPr>
          <w:p>
            <w:r>
              <w:rPr>
                <w:sz w:val="18"/>
              </w:rPr>
              <w:t>actualizarPerfilUsuario(), actualizarDatosFacturacion()</w:t>
            </w:r>
          </w:p>
        </w:tc>
      </w:tr>
      <w:tr>
        <w:tc>
          <w:tcPr>
            <w:tcW w:type="dxa" w:w="1100"/>
            <w:vAlign w:val="center"/>
          </w:tcPr>
          <w:p>
            <w:r>
              <w:rPr>
                <w:sz w:val="18"/>
              </w:rPr>
              <w:t>Soporte</w:t>
            </w:r>
          </w:p>
        </w:tc>
        <w:tc>
          <w:tcPr>
            <w:tcW w:type="dxa" w:w="1100"/>
            <w:vAlign w:val="center"/>
          </w:tcPr>
          <w:p>
            <w:r>
              <w:rPr>
                <w:sz w:val="18"/>
              </w:rPr>
              <w:t>FL-SOP-01</w:t>
            </w:r>
          </w:p>
        </w:tc>
        <w:tc>
          <w:tcPr>
            <w:tcW w:type="dxa" w:w="1800"/>
            <w:vAlign w:val="center"/>
          </w:tcPr>
          <w:p>
            <w:r>
              <w:rPr>
                <w:sz w:val="18"/>
              </w:rPr>
              <w:t>Atención, Disputas y Cancelación</w:t>
            </w:r>
          </w:p>
        </w:tc>
        <w:tc>
          <w:tcPr>
            <w:tcW w:type="dxa" w:w="1500"/>
            <w:vAlign w:val="center"/>
          </w:tcPr>
          <w:p>
            <w:r>
              <w:rPr>
                <w:sz w:val="18"/>
              </w:rPr>
              <w:t>/soporte, /traslados/[id]#incidencias</w:t>
            </w:r>
          </w:p>
        </w:tc>
        <w:tc>
          <w:tcPr>
            <w:tcW w:type="dxa" w:w="1960"/>
            <w:vAlign w:val="center"/>
          </w:tcPr>
          <w:p>
            <w:r>
              <w:rPr>
                <w:sz w:val="18"/>
              </w:rPr>
              <w:t>FormularioSoporte.tsx, CancelarTraslado, AbrirDisputa</w:t>
            </w:r>
          </w:p>
        </w:tc>
        <w:tc>
          <w:tcPr>
            <w:tcW w:type="dxa" w:w="1900"/>
            <w:vAlign w:val="center"/>
          </w:tcPr>
          <w:p>
            <w:r>
              <w:rPr>
                <w:sz w:val="18"/>
              </w:rPr>
              <w:t>RPC usuario_cancela_traslado, abrirDisputa(), incidencias</w:t>
            </w:r>
          </w:p>
        </w:tc>
      </w:tr>
    </w:tbl>
    <w:p/>
    <w:p>
      <w:pPr>
        <w:pStyle w:val="Heading2"/>
      </w:pPr>
      <w:r>
        <w:t>Arquitectura de Capas y Datos</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xml:space="preserve">   +-----------------------------------------------------------------------------------+</w:t>
            </w:r>
            <w:r>
              <w:br/>
            </w:r>
            <w:r>
              <w:rPr>
                <w:rFonts w:ascii="Consolas" w:hAnsi="Consolas" w:eastAsia="Consolas"/>
                <w:sz w:val="17"/>
              </w:rPr>
              <w:t xml:space="preserve">   |                     CLIENT LAYER (Next.js 15 App Router)                          |</w:t>
            </w:r>
            <w:r>
              <w:br/>
            </w:r>
            <w:r>
              <w:rPr>
                <w:rFonts w:ascii="Consolas" w:hAnsi="Consolas" w:eastAsia="Consolas"/>
                <w:sz w:val="17"/>
              </w:rPr>
              <w:t xml:space="preserve">   |  Rutas Publicas: / (Landing), /onboarding, /login, /registro, /recuperar-password |</w:t>
            </w:r>
            <w:r>
              <w:br/>
            </w:r>
            <w:r>
              <w:rPr>
                <w:rFonts w:ascii="Consolas" w:hAnsi="Consolas" w:eastAsia="Consolas"/>
                <w:sz w:val="17"/>
              </w:rPr>
              <w:t xml:space="preserve">   |  Rutas Autenticadas (Protegidas por middleware.ts):                               |</w:t>
            </w:r>
            <w:r>
              <w:br/>
            </w:r>
            <w:r>
              <w:rPr>
                <w:rFonts w:ascii="Consolas" w:hAnsi="Consolas" w:eastAsia="Consolas"/>
                <w:sz w:val="17"/>
              </w:rPr>
              <w:t xml:space="preserve">   |     * /traslados/nuevo (Wizard 4 pasos) | /traslados/masivo (Carga CSV B2B)       |</w:t>
            </w:r>
            <w:r>
              <w:br/>
            </w:r>
            <w:r>
              <w:rPr>
                <w:rFonts w:ascii="Consolas" w:hAnsi="Consolas" w:eastAsia="Consolas"/>
                <w:sz w:val="17"/>
              </w:rPr>
              <w:t xml:space="preserve">   |     * /mis-viajes (Dashboard 4 tabs)    | /traslados/[id] (Pasaporte Digital)     |</w:t>
            </w:r>
            <w:r>
              <w:br/>
            </w:r>
            <w:r>
              <w:rPr>
                <w:rFonts w:ascii="Consolas" w:hAnsi="Consolas" w:eastAsia="Consolas"/>
                <w:sz w:val="17"/>
              </w:rPr>
              <w:t xml:space="preserve">   |     * /verificacion (Didit / Manual)    | /cuenta/* (Perfil, Autos, Factura)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w:t>
            </w:r>
            <w:r>
              <w:br/>
            </w:r>
            <w:r>
              <w:rPr>
                <w:rFonts w:ascii="Consolas" w:hAnsi="Consolas" w:eastAsia="Consolas"/>
                <w:sz w:val="17"/>
              </w:rPr>
              <w:t xml:space="preserve">   |                MIDDLEWARE DE SEGURIDAD Y PERÍMETRO (middleware.ts)                |</w:t>
            </w:r>
            <w:r>
              <w:br/>
            </w:r>
            <w:r>
              <w:rPr>
                <w:rFonts w:ascii="Consolas" w:hAnsi="Consolas" w:eastAsia="Consolas"/>
                <w:sz w:val="17"/>
              </w:rPr>
              <w:t xml:space="preserve">   |  - Nonce criptografico 'strict-dynamic' CSP + HSTS (63072000s) + X-Frame-Options  |</w:t>
            </w:r>
            <w:r>
              <w:br/>
            </w:r>
            <w:r>
              <w:rPr>
                <w:rFonts w:ascii="Consolas" w:hAnsi="Consolas" w:eastAsia="Consolas"/>
                <w:sz w:val="17"/>
              </w:rPr>
              <w:t xml:space="preserve">   |  - Control de sesion mediante getUser() + Cookie Refresh de Supabase Auth         |</w:t>
            </w:r>
            <w:r>
              <w:br/>
            </w:r>
            <w:r>
              <w:rPr>
                <w:rFonts w:ascii="Consolas" w:hAnsi="Consolas" w:eastAsia="Consolas"/>
                <w:sz w:val="17"/>
              </w:rPr>
              <w:t xml:space="preserve">   |  - Redireccion a /login?reason=authentication_required con destino seguro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w:t>
            </w:r>
            <w:r>
              <w:br/>
            </w:r>
            <w:r>
              <w:rPr>
                <w:rFonts w:ascii="Consolas" w:hAnsi="Consolas" w:eastAsia="Consolas"/>
                <w:sz w:val="17"/>
              </w:rPr>
              <w:t xml:space="preserve">   |                      SHARED SERVICES LAYER (@ruum/api, @ruum/shared)              |</w:t>
            </w:r>
            <w:r>
              <w:br/>
            </w:r>
            <w:r>
              <w:rPr>
                <w:rFonts w:ascii="Consolas" w:hAnsi="Consolas" w:eastAsia="Consolas"/>
                <w:sz w:val="17"/>
              </w:rPr>
              <w:t xml:space="preserve">   |  - Servicios: traslados.ts, incidencias.ts, tarifas.ts, didit.ts, usuarios.ts     |</w:t>
            </w:r>
            <w:r>
              <w:br/>
            </w:r>
            <w:r>
              <w:rPr>
                <w:rFonts w:ascii="Consolas" w:hAnsi="Consolas" w:eastAsia="Consolas"/>
                <w:sz w:val="17"/>
              </w:rPr>
              <w:t xml:space="preserve">   |  - Logica de Negocio: calcularCargoCancelacion(), determinarMomentoPago()         |</w:t>
            </w:r>
            <w:r>
              <w:br/>
            </w:r>
            <w:r>
              <w:rPr>
                <w:rFonts w:ascii="Consolas" w:hAnsi="Consolas" w:eastAsia="Consolas"/>
                <w:sz w:val="17"/>
              </w:rPr>
              <w:t xml:space="preserve">   |  - Catalogos: vehiculos.ts (marcas, modelos, anos, autoclasificacion de tarifa)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                                         |</w:t>
            </w:r>
            <w:r>
              <w:br/>
            </w:r>
            <w:r>
              <w:rPr>
                <w:rFonts w:ascii="Consolas" w:hAnsi="Consolas" w:eastAsia="Consolas"/>
                <w:sz w:val="17"/>
              </w:rPr>
              <w:t xml:space="preserve">                      v                                         v</w:t>
            </w:r>
            <w:r>
              <w:br/>
            </w:r>
            <w:r>
              <w:rPr>
                <w:rFonts w:ascii="Consolas" w:hAnsi="Consolas" w:eastAsia="Consolas"/>
                <w:sz w:val="17"/>
              </w:rPr>
              <w:t xml:space="preserve">   +--------------------------------------+   +----------------------------------------+</w:t>
            </w:r>
            <w:r>
              <w:br/>
            </w:r>
            <w:r>
              <w:rPr>
                <w:rFonts w:ascii="Consolas" w:hAnsi="Consolas" w:eastAsia="Consolas"/>
                <w:sz w:val="17"/>
              </w:rPr>
              <w:t xml:space="preserve">   |      SUPABASE BACKEND (Postgres)     |   |          INTEGRACIONES EXTERNAS        |</w:t>
            </w:r>
            <w:r>
              <w:br/>
            </w:r>
            <w:r>
              <w:rPr>
                <w:rFonts w:ascii="Consolas" w:hAnsi="Consolas" w:eastAsia="Consolas"/>
                <w:sz w:val="17"/>
              </w:rPr>
              <w:t xml:space="preserve">   | - Tablas: usuarios, traslados, etc.  |   | - Stripe Elements: Setup / Pay Intents |</w:t>
            </w:r>
            <w:r>
              <w:br/>
            </w:r>
            <w:r>
              <w:rPr>
                <w:rFonts w:ascii="Consolas" w:hAnsi="Consolas" w:eastAsia="Consolas"/>
                <w:sz w:val="17"/>
              </w:rPr>
              <w:t xml:space="preserve">   | - RPCs: usuario_crea_traslado()      |   | - Mapbox GL: Geocoding &amp; Route Matrix  |</w:t>
            </w:r>
            <w:r>
              <w:br/>
            </w:r>
            <w:r>
              <w:rPr>
                <w:rFonts w:ascii="Consolas" w:hAnsi="Consolas" w:eastAsia="Consolas"/>
                <w:sz w:val="17"/>
              </w:rPr>
              <w:t xml:space="preserve">   | - Vista: pasaporte_digital           |   | - Didit Identity: Biometria &amp; KYC      |</w:t>
            </w:r>
            <w:r>
              <w:br/>
            </w:r>
            <w:r>
              <w:rPr>
                <w:rFonts w:ascii="Consolas" w:hAnsi="Consolas" w:eastAsia="Consolas"/>
                <w:sz w:val="17"/>
              </w:rPr>
              <w:t xml:space="preserve">   | - Storage: buckets evidencia/avatares|   | - Sentry &amp; Analytics: Telemetria UX    |</w:t>
            </w:r>
            <w:r>
              <w:br/>
            </w:r>
            <w:r>
              <w:rPr>
                <w:rFonts w:ascii="Consolas" w:hAnsi="Consolas" w:eastAsia="Consolas"/>
                <w:sz w:val="17"/>
              </w:rPr>
              <w:t xml:space="preserve">   +--------------------------------------+   +----------------------------------------+</w:t>
            </w:r>
          </w:p>
        </w:tc>
      </w:tr>
    </w:tbl>
    <w:p/>
    <w:p>
      <w:pPr>
        <w:pStyle w:val="Heading1"/>
      </w:pPr>
      <w:r>
        <w:t>3. Análisis Detallado de Flujos Arquitectónicos</w:t>
      </w:r>
    </w:p>
    <w:p>
      <w:pPr>
        <w:pStyle w:val="Heading2"/>
      </w:pPr>
      <w:r>
        <w:t>3.1 Flujos de Acceso, Autenticación y Onboarding</w:t>
      </w:r>
    </w:p>
    <w:p>
      <w:r>
        <w:t>El ciclo de acceso inicia en la Landing Page pública (app/page.tsx), optimizada bajo la esencia de marca (Brand Book V1, canvas #151515 y acento #FFC400). El usuario no autenticado dispone de dos llamadas de conversión: Crear cuenta y Cotizar traslado, ambas canalizadas a /registro.</w:t>
      </w:r>
    </w:p>
    <w:p>
      <w:pPr>
        <w:pStyle w:val="ListBullet"/>
        <w:spacing w:after="60" w:line="276" w:lineRule="auto"/>
      </w:pPr>
      <w:r>
        <w:t>Registro de Usuario (/registro): Implementado en LoginCliente.tsx con un flujo progresivo de 2 pasos. Paso 1 captura tipo de cuenta (personal vs empresa), nombre, apellido y teléfono validado estrictamente a 10 dígitos (regla mexicana +52). Paso 2 solicita correo, contraseña con medidor reactivo de robustez (mínimo 8 caracteres, mayúscula, minúscula y número) y aceptación mandatoria de términos vigentes.</w:t>
      </w:r>
    </w:p>
    <w:p>
      <w:pPr>
        <w:pStyle w:val="ListBullet"/>
        <w:spacing w:after="60" w:line="276" w:lineRule="auto"/>
      </w:pPr>
      <w:r>
        <w:t>Persistencia de Registro: Dispara cliente.auth.signUp() enviando en metadata el teléfono formateado, tipo de cuenta y versión de términos. Un trigger en Postgres (manejar_nuevo_usuario_auth) captura el auth_user_id y crea el registro correspondiente en la tabla usuarios.</w:t>
      </w:r>
    </w:p>
    <w:p>
      <w:pPr>
        <w:pStyle w:val="ListBullet"/>
        <w:spacing w:after="60" w:line="276" w:lineRule="auto"/>
      </w:pPr>
      <w:r>
        <w:t>Manejo de Enlace de Confirmación (/auth/callback): Procesa tanto deep links PKCE (código de intercambio) como hash tokens (#access_token=...). Incluye un fallback estático ultraligero (public/auth-callback-fallback.js) para asegurar la recuperación de sesión en entornos móviles o de red restringida.</w:t>
      </w:r>
    </w:p>
    <w:p>
      <w:pPr>
        <w:pStyle w:val="ListBullet"/>
        <w:spacing w:after="60" w:line="276" w:lineRule="auto"/>
      </w:pPr>
      <w:r>
        <w:t>Recuperación de Contraseña (/recuperar-password y /nueva-password): Utiliza un flujo hardened P0 con cookies de recuperación seguras httpOnly (COOKIE_RECOVERY_USUARIO) y verificación server-side (/api/recovery/verify) para evitar que enlaces expirados o manipulados permitan modificar contraseñas.</w:t>
      </w:r>
    </w:p>
    <w:p>
      <w:pPr>
        <w:pStyle w:val="ListBullet"/>
        <w:spacing w:after="60" w:line="276" w:lineRule="auto"/>
      </w:pPr>
      <w:r>
        <w:t>Onboarding (/onboarding): Despliega los 4 pilares de confianza (Conductores Certificados, Evidencia 360°, Trazabilidad Satelital y Cobertura Asegurada) y dirige al usuario a 'Solicitar mi primer traslado'.</w:t>
      </w:r>
    </w:p>
    <w:p>
      <w:pPr>
        <w:pStyle w:val="Heading2"/>
      </w:pPr>
      <w:r>
        <w:t>3.2 Flujo Principal de Creación de Traslados (Wizard de 4 Pasos)</w:t>
      </w:r>
    </w:p>
    <w:p>
      <w:r>
        <w:t>El componente NuevoTrasladoForm.tsx (2,637 líneas) gobierna la creación de solicitudes de traslado vehicular. Opera como un formulario multipaso con persistencia local de borrador (borrador-traslado.ts) que protege al usuario contra pérdida accidental de sesión o recargas del navegador:</w:t>
      </w:r>
    </w:p>
    <w:p>
      <w:pPr>
        <w:pStyle w:val="ListBullet"/>
        <w:spacing w:after="60" w:line="276" w:lineRule="auto"/>
      </w:pPr>
      <w:r>
        <w:t>Paso 0 - Identificación del Vehículo: Captura marca, modelo, año, transmisión, color, placas, VIN (17 caracteres), condición (nueva, seminueva, rescate) y estado general. Integra autoclasificación dinámica (catalogo-vehiculos.ts) deduciendo la gama y categoría tarifaria automáticamente.</w:t>
      </w:r>
    </w:p>
    <w:p>
      <w:pPr>
        <w:pStyle w:val="ListBullet"/>
        <w:spacing w:after="60" w:line="276" w:lineRule="auto"/>
      </w:pPr>
      <w:r>
        <w:t>Paso 1 - Ruta, Contactos y Escalas: Subpaso 1.1 captura origen (código postal con autocompletado de colonia/ciudad, calle, número, referencias). Subpaso 1.2 captura destino con la misma rigurosidad, sumando nombres y teléfonos validados de entrega y recepción. Soporta acordeón de paradas intermedias (hasta 8 escalas con tareas específicas).</w:t>
      </w:r>
    </w:p>
    <w:p>
      <w:pPr>
        <w:pStyle w:val="ListBullet"/>
        <w:spacing w:after="60" w:line="276" w:lineRule="auto"/>
      </w:pPr>
      <w:r>
        <w:t>Paso 2 - Programación y Previsualización de Tarifa: Permite elegir entre servicio 'Lo antes posible' o 'Programado' con selector de slots sugeridos (mañana, tarde, noche). Mediante un efecto con debounce (600ms), llama a previsualizarTarifaUsuario() invocando Mapbox Directions y la matriz de cálculo tarifario de la plataforma.</w:t>
      </w:r>
    </w:p>
    <w:p>
      <w:pPr>
        <w:pStyle w:val="ListBullet"/>
        <w:spacing w:after="60" w:line="276" w:lineRule="auto"/>
      </w:pPr>
      <w:r>
        <w:t>Paso 3 - Persistencia Atómica y Pago Inicial: Al pulsar 'Crear Traslado', useNuevoTraslado() ejecuta la RPC usuario_crea_traslado() garantizando que vehículo y traslado se creen en una sola transacción ACID indivisible. Si la cotización está disponible y es de pago anticipado, monta PagoStripe para liquidar con tarjeta.</w:t>
      </w:r>
    </w:p>
    <w:p>
      <w:pPr>
        <w:pStyle w:val="Heading2"/>
      </w:pPr>
      <w:r>
        <w:t>3.3 Flujo de Carga Masiva B2B (/traslados/masivo)</w:t>
      </w:r>
    </w:p>
    <w:p>
      <w:r>
        <w:t>Para clientes corporativos, agencias automotrices y flotillas, CargaMasivaForm.tsx provee un pipeline masivo de alta capacidad capaz de procesar hasta 100 traslados por lote. Incorpora descarga de plantilla CSV oficial (EJEMPLO_CSV_PLANTILLA), revisión sintáctica de encabezados obligatorios, cálculo de hash SHA-256 del archivo para auditoría, y geocodificación concurrente controlada (pLimit(3)) para no saturar los límites de tasa de la API de Mapbox antes de la creación en base de datos.</w:t>
      </w:r>
    </w:p>
    <w:p>
      <w:pPr>
        <w:pStyle w:val="Heading2"/>
      </w:pPr>
      <w:r>
        <w:t>3.4 Flujo de Consulta y Pasaporte Digital (/mis-viajes y /traslados/[id])</w:t>
      </w:r>
    </w:p>
    <w:p>
      <w:r>
        <w:t>Una vez creado el traslado, el usuario interactúa con dos interfaces centrales de seguimiento:</w:t>
      </w:r>
    </w:p>
    <w:p>
      <w:pPr>
        <w:pStyle w:val="ListBullet"/>
        <w:spacing w:after="60" w:line="276" w:lineRule="auto"/>
      </w:pPr>
      <w:r>
        <w:t>Dashboard Mis Viajes (/mis-viajes): Agrupa los expedientes en 4 pestañas: Activos (en recolección, tránsito o inspección), Programados (solicitudes pendientes de confirmación o asignación), Finalizados (servicios cerrados) y Cancelados. Traduce la taxonomía interna de 68 estados a 12 etiquetas claras para el cliente.</w:t>
      </w:r>
    </w:p>
    <w:p>
      <w:pPr>
        <w:pStyle w:val="ListBullet"/>
        <w:spacing w:after="60" w:line="276" w:lineRule="auto"/>
      </w:pPr>
      <w:r>
        <w:t>Pasaporte Digital (/traslados/[id]): Constituye el documento vivo del servicio. Presenta el folio oficial (#RM-XXXX), EstadoBadge dinámico, el bloque Hero Ansiedad Cero con el estado inmediato del vehículo y conductor, y tres pestañas fundamentales: (1) Trazabilidad con mapa satelital en vivo y timeline visual, (2) Evidencias fotográficas con comparador inicial vs final y bitácora de daños, y (3) Detalles de ruta, ficha técnica del auto, conductor certificado, pagos y soporte.</w:t>
      </w:r>
    </w:p>
    <w:p>
      <w:pPr>
        <w:pStyle w:val="Heading2"/>
      </w:pPr>
      <w:r>
        <w:t>3.5 Flujo de Verificación de Identidad (KYC - /verificacion)</w:t>
      </w:r>
    </w:p>
    <w:p>
      <w:r>
        <w:t>Ruum Ruum exige la validación de identidad del usuario antes de autorizar el movimiento de activos vehiculares de alto valor. El flujo de verificación (VerificacionForm.tsx) ofrece una arquitectura híbrida:</w:t>
      </w:r>
    </w:p>
    <w:p>
      <w:pPr>
        <w:pStyle w:val="ListBullet"/>
        <w:spacing w:after="60" w:line="276" w:lineRule="auto"/>
      </w:pPr>
      <w:r>
        <w:t>Verificación Biométrica en Tiempo Real (Didit): Inicia una sesión segura mediante Edge Function (iniciar-verificacion-didit) y despliega un modal responsivo con un iframe embebido apuntando a verify.didit.me. El componente valida mensajes mediante postMessage estricto (verificando el origen seguro) y ejecuta un sondeo de hasta 12 intentos para confirmar la aprobación en la base de datos.</w:t>
      </w:r>
    </w:p>
    <w:p>
      <w:pPr>
        <w:pStyle w:val="ListBullet"/>
        <w:spacing w:after="60" w:line="276" w:lineRule="auto"/>
      </w:pPr>
      <w:r>
        <w:t>Respaldo Manual: Si el usuario carece de cámara o experimenta fallos con el proveedor biométrico, la interfaz habilita la subida de fotografía de identificación oficial (INE, Pasaporte) y comprobante de domicilio a buckets privados de Supabase Storage, colocando la cuenta en estado 'en_revision' para validación del equipo de operaciones.</w:t>
      </w:r>
    </w:p>
    <w:p>
      <w:pPr>
        <w:pStyle w:val="Heading2"/>
      </w:pPr>
      <w:r>
        <w:t>3.6 Flujos de Comunicación, Cancelación, Incidencias y Soporte</w:t>
      </w:r>
    </w:p>
    <w:p>
      <w:r>
        <w:t>Durante la ejecución del traslado, el usuario dispone de canales de interacción en tiempo real y mecanismos de resolución de controversias:</w:t>
      </w:r>
    </w:p>
    <w:p>
      <w:pPr>
        <w:pStyle w:val="ListBullet"/>
        <w:spacing w:after="60" w:line="276" w:lineRule="auto"/>
      </w:pPr>
      <w:r>
        <w:t>Chat y Llamada Enmascarada (ChatTraslado.tsx): Habilitado exclusivamente en estados operativos autorizados (desde conductor asignado hasta llegada a destino). Utiliza Supabase Realtime para mensajería instantánea y una Edge Function (crear-llamada-enmascarada) que conecta al usuario y al conductor mediante números proxy sin revelar sus números telefónicos personales.</w:t>
      </w:r>
    </w:p>
    <w:p>
      <w:pPr>
        <w:pStyle w:val="ListBullet"/>
        <w:spacing w:after="60" w:line="276" w:lineRule="auto"/>
      </w:pPr>
      <w:r>
        <w:t>Reporte de Incidencias en Ruta (ReportarIncidencia.tsx): Permite reportar problemas clasificados (contacto no localizado, daños previos, pérdida de conectividad) vinculándolos automáticamente al expediente del traslado.</w:t>
      </w:r>
    </w:p>
    <w:p>
      <w:pPr>
        <w:pStyle w:val="ListBullet"/>
        <w:spacing w:after="60" w:line="276" w:lineRule="auto"/>
      </w:pPr>
      <w:r>
        <w:t>Cancelación con Penalización Gradual (CancelarTraslado.tsx): Evalúa las reglas de negocio (calcularCargoCancelacion): cancelación gratuita con &gt;24h de anticipación, cargo parcial si hay conductor asignado o &lt;24h, y cargo del 100% si el conductor ya se encuentra en el punto de recolección.</w:t>
      </w:r>
    </w:p>
    <w:p>
      <w:pPr>
        <w:pStyle w:val="ListBullet"/>
        <w:spacing w:after="60" w:line="276" w:lineRule="auto"/>
      </w:pPr>
      <w:r>
        <w:t>Apertura de Disputas (AbrirDisputa.tsx): Disponible hasta 72 horas posteriores al cierre del viaje para reclamos por cobros indebidos, retrasos injustificados o daños no reconocidos.</w:t>
      </w:r>
    </w:p>
    <w:p>
      <w:pPr>
        <w:pStyle w:val="Heading1"/>
      </w:pPr>
      <w:r>
        <w:t>4. Diagnóstico Profundo de Errores e Inconsistencias de Flujo</w:t>
      </w:r>
    </w:p>
    <w:p>
      <w:r>
        <w:t>Durante la inspección de código fuente y análisis estático de las rutas de app-usuario, se identificaron fallas de integridad que rompen la continuidad de la experiencia o impiden el cumplimiento de las reglas de negocio. A continuación se detallan los hallazgos técnicos ordenados por criticidad:</w:t>
      </w:r>
    </w:p>
    <w:p>
      <w:pPr>
        <w:pStyle w:val="Heading2"/>
      </w:pPr>
      <w:r>
        <w:t>4.1 [CRÍTICO] Deadlock Circular en Aceptación de Cotización y Componentes Huérfanos</w:t>
      </w:r>
    </w:p>
    <w:p>
      <w:r>
        <w:t>En el flujo de creación (NuevoTrasladoForm.tsx), si una cotización no puede generarse en tiempo real debido a la falta de una regla tarifaria específica, la solicitud se guarda con precio nulo en estado 'solicitud_creada'. En la pantalla de éxito (Paso 3, líneas 2560-2563), el sistema informa textualmente al usuario:</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E8EEF5"/>
          </w:tcPr>
          <w:p>
            <w:pPr>
              <w:spacing w:after="0" w:line="276" w:lineRule="auto"/>
            </w:pPr>
            <w:r>
              <w:rPr>
                <w:sz w:val="19"/>
              </w:rPr>
              <w:t>"Nuestro equipo aplicará la tarifa correspondiente. Te avisaremos y podrás aceptar la cotización desde tu Pasaporte Digital."</w:t>
            </w:r>
          </w:p>
        </w:tc>
      </w:tr>
    </w:tbl>
    <w:p/>
    <w:p>
      <w:r>
        <w:t>Sin embargo, cuando el equipo de operaciones emite la tarifa en el panel administrativo y el estado del traslado avanza a 'cotizacion_generada', el usuario ingresa a su Pasaporte Digital (/traslados/[id]/page.tsx, líneas 1037-1043) y se encuentra con un mensaje contradictorio:</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FFF9E6"/>
          </w:tcPr>
          <w:p>
            <w:pPr>
              <w:spacing w:after="0" w:line="276" w:lineRule="auto"/>
            </w:pPr>
            <w:r>
              <w:rPr>
                <w:sz w:val="19"/>
              </w:rPr>
              <w:t>"Tarifa enviada, pendiente de aceptación. La aceptación de la tarifa y el pago se realizan desde el flujo de creación del traslado."</w:t>
            </w:r>
          </w:p>
        </w:tc>
      </w:tr>
    </w:tbl>
    <w:p/>
    <w:p>
      <w:r>
        <w:t>CAUSA RAÍZ: En el directorio src/app/traslados/[id]/ existen los componentes AceptarCotizacion.tsx, PagoTraslado.tsx y PagoRecuperable.tsx. Estos componentes fueron desarrollados para resolver la aceptación y cobro post-creación, pero NUNCA FUERON IMPORTADOS NI MONTADOS en page.tsx. En su lugar, se colocó un banner estático de texto que remite al usuario de vuelta a /traslados/nuevo (que es un formulario en blanco para un viaje nuevo).</w:t>
      </w:r>
    </w:p>
    <w:p>
      <w:r>
        <w:t>IMPACTO OPERATIVO: Un usuario cuya cotización dependa de revisión manual queda imposibilitado para siempre de aceptar la tarifa y pagar. El traslado queda congelado en la base de datos a menos que operaciones lo modifique manualmente por base de datos.</w:t>
      </w:r>
    </w:p>
    <w:p>
      <w:pPr>
        <w:pStyle w:val="Heading2"/>
      </w:pPr>
      <w:r>
        <w:t>4.2 [CRÍTICO] Falla Total de Inserción en Formulario de Soporte por Esquema Inválido</w:t>
      </w:r>
    </w:p>
    <w:p>
      <w:r>
        <w:t>En src/app/soporte/FormularioSoporte.tsx (líneas 60-76), la función onSubmit intenta insertar un registro directamente en la tabla 'incidencias' cuando el usuario selecciona un viaje vinculado a su consulta:</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Código erróneo en FormularioSoporte.tsx (líneas 69-76):</w:t>
            </w:r>
            <w:r>
              <w:br/>
            </w:r>
            <w:r>
              <w:rPr>
                <w:rFonts w:ascii="Consolas" w:hAnsi="Consolas" w:eastAsia="Consolas"/>
                <w:sz w:val="17"/>
              </w:rPr>
              <w:t>const tipoMap: Record&lt;string, string&gt; = {</w:t>
            </w:r>
            <w:r>
              <w:br/>
            </w:r>
            <w:r>
              <w:rPr>
                <w:rFonts w:ascii="Consolas" w:hAnsi="Consolas" w:eastAsia="Consolas"/>
                <w:sz w:val="17"/>
              </w:rPr>
              <w:t xml:space="preserve">  "Reportar daño o incidente": "dano_visible",       // &lt;-- Enum inexistente en Postgres</w:t>
            </w:r>
            <w:r>
              <w:br/>
            </w:r>
            <w:r>
              <w:rPr>
                <w:rFonts w:ascii="Consolas" w:hAnsi="Consolas" w:eastAsia="Consolas"/>
                <w:sz w:val="17"/>
              </w:rPr>
              <w:t xml:space="preserve">  "Reportar problema con un viaje": "otro",</w:t>
            </w:r>
            <w:r>
              <w:br/>
            </w:r>
            <w:r>
              <w:rPr>
                <w:rFonts w:ascii="Consolas" w:hAnsi="Consolas" w:eastAsia="Consolas"/>
                <w:sz w:val="17"/>
              </w:rPr>
              <w:t xml:space="preserve">  "Ayuda con pagos": "pagos",                       // &lt;-- Enum inexistente en Postgres</w:t>
            </w:r>
            <w:r>
              <w:br/>
            </w:r>
            <w:r>
              <w:rPr>
                <w:rFonts w:ascii="Consolas" w:hAnsi="Consolas" w:eastAsia="Consolas"/>
                <w:sz w:val="17"/>
              </w:rPr>
              <w:t xml:space="preserve">  "Ayuda con evidencia": "evidencia",               // &lt;-- Enum inexistente en Postgres</w:t>
            </w:r>
            <w:r>
              <w:br/>
            </w:r>
            <w:r>
              <w:rPr>
                <w:rFonts w:ascii="Consolas" w:hAnsi="Consolas" w:eastAsia="Consolas"/>
                <w:sz w:val="17"/>
              </w:rPr>
              <w:t xml:space="preserve">  Cancelaciones: "cancelacion",                       // &lt;-- Enum inexistente en Postgres</w:t>
            </w:r>
            <w:r>
              <w:br/>
            </w:r>
            <w:r>
              <w:rPr>
                <w:rFonts w:ascii="Consolas" w:hAnsi="Consolas" w:eastAsia="Consolas"/>
                <w:sz w:val="17"/>
              </w:rPr>
              <w:t>};</w:t>
            </w:r>
            <w:r>
              <w:br/>
            </w:r>
            <w:r>
              <w:rPr>
                <w:rFonts w:ascii="Consolas" w:hAnsi="Consolas" w:eastAsia="Consolas"/>
                <w:sz w:val="17"/>
              </w:rPr>
              <w:t>const { error } = await cliente.from("incidencias").insert({</w:t>
            </w:r>
            <w:r>
              <w:br/>
            </w:r>
            <w:r>
              <w:rPr>
                <w:rFonts w:ascii="Consolas" w:hAnsi="Consolas" w:eastAsia="Consolas"/>
                <w:sz w:val="17"/>
              </w:rPr>
              <w:t xml:space="preserve">  traslado_id: viajeId,</w:t>
            </w:r>
            <w:r>
              <w:br/>
            </w:r>
            <w:r>
              <w:rPr>
                <w:rFonts w:ascii="Consolas" w:hAnsi="Consolas" w:eastAsia="Consolas"/>
                <w:sz w:val="17"/>
              </w:rPr>
              <w:t xml:space="preserve">  tipo,</w:t>
            </w:r>
            <w:r>
              <w:br/>
            </w:r>
            <w:r>
              <w:rPr>
                <w:rFonts w:ascii="Consolas" w:hAnsi="Consolas" w:eastAsia="Consolas"/>
                <w:sz w:val="17"/>
              </w:rPr>
              <w:t xml:space="preserve">  momento: "durante_traslado",</w:t>
            </w:r>
            <w:r>
              <w:br/>
            </w:r>
            <w:r>
              <w:rPr>
                <w:rFonts w:ascii="Consolas" w:hAnsi="Consolas" w:eastAsia="Consolas"/>
                <w:sz w:val="17"/>
              </w:rPr>
              <w:t xml:space="preserve">  descripcion: `[Soporte app-usuario] Motivo: ${motivo}\n${descripcion.trim()}`,</w:t>
            </w:r>
            <w:r>
              <w:br/>
            </w:r>
            <w:r>
              <w:rPr>
                <w:rFonts w:ascii="Consolas" w:hAnsi="Consolas" w:eastAsia="Consolas"/>
                <w:sz w:val="17"/>
              </w:rPr>
              <w:t xml:space="preserve">  eliminado: false,</w:t>
            </w:r>
            <w:r>
              <w:br/>
            </w:r>
            <w:r>
              <w:rPr>
                <w:rFonts w:ascii="Consolas" w:hAnsi="Consolas" w:eastAsia="Consolas"/>
                <w:sz w:val="17"/>
              </w:rPr>
              <w:t xml:space="preserve">  creado_por: "usuario",                              // &lt;-- COLUMNA INEXISTENTE (la real es 'reportada_por')</w:t>
            </w:r>
            <w:r>
              <w:br/>
            </w:r>
            <w:r>
              <w:rPr>
                <w:rFonts w:ascii="Consolas" w:hAnsi="Consolas" w:eastAsia="Consolas"/>
                <w:sz w:val="17"/>
              </w:rPr>
              <w:t>} as never);</w:t>
            </w:r>
          </w:p>
        </w:tc>
      </w:tr>
    </w:tbl>
    <w:p/>
    <w:p>
      <w:r>
        <w:t>CAUSA RAÍZ: La definición de la tabla 'incidencias' en PostgreSQL posee la columna 'reportada_por' (no 'creado_por'). Asimismo, el enum tipo_incidencia únicamente acepta: 'contacto_no_localizado', 'documentacion_incompleta', 'dano_previo_relevante', 'dano_no_reportado', 'retraso_recoleccion', 'retraso_entrega', 'vehiculo_no_arranca', 'inconsistencia_kilometraje', 'siniestro_vial', 'falla_mecanica', 'infraccion_transito', 'clima_adverso', 'perdida_conectividad' u 'otro'. Valores como 'pagos', 'evidencia', 'cancelacion' y 'dano_visible' provocan un error de violación de restricción en Postgres.</w:t>
      </w:r>
    </w:p>
    <w:p>
      <w:r>
        <w:t>IMPACTO OPERATIVO: El cliente cree que envió un reporte formal a soporte; sin embargo, Supabase rechaza el insert en el 100% de los casos. El código captura el error en un catch silencioso y abre el cliente de correo local (mailto:) sin que quede ningún registro en base de datos.</w:t>
      </w:r>
    </w:p>
    <w:p>
      <w:pPr>
        <w:pStyle w:val="Heading2"/>
      </w:pPr>
      <w:r>
        <w:t>4.3 [ALTO] Botón de Cancelación Habilitado en Fases Operativas No Cancelables</w:t>
      </w:r>
    </w:p>
    <w:p>
      <w:r>
        <w:t>En src/app/traslados/[id]/CancelarTraslado.tsx (línea 38), la visibilidad del botón de cancelación se restringe únicamente mediante:</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const terminal = ["servicio_cerrado", "servicio_cancelado", "traslado_fallido"].includes(estado);</w:t>
            </w:r>
            <w:r>
              <w:br/>
            </w:r>
            <w:r>
              <w:rPr>
                <w:rFonts w:ascii="Consolas" w:hAnsi="Consolas" w:eastAsia="Consolas"/>
                <w:sz w:val="17"/>
              </w:rPr>
              <w:t>if (terminal) return null;</w:t>
            </w:r>
          </w:p>
        </w:tc>
      </w:tr>
    </w:tbl>
    <w:p/>
    <w:p>
      <w:r>
        <w:t>CAUSA RAÍZ: Si un traslado se encuentra en estados avanzados como 'verificacion_vehiculo_en_proceso', 'evidencia_inicial_en_proceso', 'vehiculo_recibido', 'traslado_en_curso' o 'llegada_a_destino', el componente CancelarTraslado sigue mostrándose al usuario, calculando cargos y solicitando el motivo. Al confirmar la cancelación, el backend (packages/api/src/services/traslados.ts:309 y RPC Postgres) ejecuta usuarioPuedeCancelar(traslado.estado) y rechaza la petición con una excepción:</w:t>
      </w:r>
    </w:p>
    <w:tbl>
      <w:tblPr>
        <w:tblStyle w:val="TableGrid"/>
        <w:tblW w:type="dxa" w:w="9360"/>
        <w:jc w:val="left"/>
        <w:tblLook w:firstColumn="1" w:firstRow="1" w:lastColumn="0" w:lastRow="0" w:noHBand="0" w:noVBand="1" w:val="04A0"/>
        <w:tblInd w:type="dxa" w:w="120"/>
        <w:tblCellMar>
          <w:top w:w="100" w:type="dxa"/>
          <w:start w:w="160" w:type="dxa"/>
          <w:bottom w:w="100" w:type="dxa"/>
          <w:end w:w="160" w:type="dxa"/>
        </w:tblCellMar>
      </w:tblPr>
      <w:tblGrid>
        <w:gridCol w:w="9360"/>
      </w:tblGrid>
      <w:tr>
        <w:trPr>
          <w:tblHeader w:val="true"/>
        </w:trPr>
        <w:tc>
          <w:tcPr>
            <w:tcW w:type="dxa" w:w="9360"/>
            <w:vAlign w:val="center"/>
            <w:shd w:fill="FDE8E8"/>
          </w:tcPr>
          <w:p>
            <w:pPr>
              <w:spacing w:after="0" w:line="276" w:lineRule="auto"/>
            </w:pPr>
            <w:r>
              <w:rPr>
                <w:sz w:val="19"/>
              </w:rPr>
              <w:t>"Este traslado ya no puede cancelarse: el vehículo ya está en verificación o en tránsito. Solicita una revisión o reporta un problema."</w:t>
            </w:r>
          </w:p>
        </w:tc>
      </w:tr>
    </w:tbl>
    <w:p/>
    <w:p>
      <w:r>
        <w:t>IMPACTO OPERATIVO: Fricción severa de usuario. Se le permite interactuar con un modal de confirmación y aceptar penalizaciones de dinero, para luego ser bloqueado abruptamente por una validación que la UI debió anticipar ocultando o deshabilitando la acción.</w:t>
      </w:r>
    </w:p>
    <w:p>
      <w:pPr>
        <w:pStyle w:val="Heading2"/>
      </w:pPr>
      <w:r>
        <w:t>4.4 [ALTO] Bucle Infinito en Registro de Métodos de Pago (/cuenta/metodos-pago)</w:t>
      </w:r>
    </w:p>
    <w:p>
      <w:r>
        <w:t>En la sección de métodos de pago de la cuenta (apps/app-usuario/src/app/cuenta/cuenta-ui.tsx, líneas 418-425), el componente SeccionMetodosPago renderiza para usuarios sin tarjeta registrada el siguiente enlace:</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{!usuario.metodo_pago_registrado &amp;&amp; (</w:t>
            </w:r>
            <w:r>
              <w:br/>
            </w:r>
            <w:r>
              <w:rPr>
                <w:rFonts w:ascii="Consolas" w:hAnsi="Consolas" w:eastAsia="Consolas"/>
                <w:sz w:val="17"/>
              </w:rPr>
              <w:t xml:space="preserve">  &lt;Link</w:t>
            </w:r>
            <w:r>
              <w:br/>
            </w:r>
            <w:r>
              <w:rPr>
                <w:rFonts w:ascii="Consolas" w:hAnsi="Consolas" w:eastAsia="Consolas"/>
                <w:sz w:val="17"/>
              </w:rPr>
              <w:t xml:space="preserve">    href="/cuenta/metodos-pago"</w:t>
            </w:r>
            <w:r>
              <w:br/>
            </w:r>
            <w:r>
              <w:rPr>
                <w:rFonts w:ascii="Consolas" w:hAnsi="Consolas" w:eastAsia="Consolas"/>
                <w:sz w:val="17"/>
              </w:rPr>
              <w:t xml:space="preserve">    className="inline-flex min-h-9 items-center justify-center rounded-lg border border-ink/20 px-3 py-1.5 ..."&gt;</w:t>
            </w:r>
            <w:r>
              <w:br/>
            </w:r>
            <w:r>
              <w:rPr>
                <w:rFonts w:ascii="Consolas" w:hAnsi="Consolas" w:eastAsia="Consolas"/>
                <w:sz w:val="17"/>
              </w:rPr>
              <w:t xml:space="preserve">    Registrar tarjeta →</w:t>
            </w:r>
            <w:r>
              <w:br/>
            </w:r>
            <w:r>
              <w:rPr>
                <w:rFonts w:ascii="Consolas" w:hAnsi="Consolas" w:eastAsia="Consolas"/>
                <w:sz w:val="17"/>
              </w:rPr>
              <w:t xml:space="preserve">  &lt;/Link&gt;</w:t>
            </w:r>
            <w:r>
              <w:br/>
            </w:r>
            <w:r>
              <w:rPr>
                <w:rFonts w:ascii="Consolas" w:hAnsi="Consolas" w:eastAsia="Consolas"/>
                <w:sz w:val="17"/>
              </w:rPr>
              <w:t>)}</w:t>
            </w:r>
          </w:p>
        </w:tc>
      </w:tr>
    </w:tbl>
    <w:p/>
    <w:p>
      <w:r>
        <w:t>CAUSA RAÍZ: La página /cuenta/metodos-pago/page.tsx monta exactamente SeccionMetodosPago. Cuando el usuario pulsa 'Registrar tarjeta →', Next.js navega a la misma página /cuenta/metodos-pago, generando un ciclo de navegación idéntico sin formulario alguno de Stripe Elements ni SetupIntent para almacenar métodos de pago en el perfil.</w:t>
      </w:r>
    </w:p>
    <w:p>
      <w:pPr>
        <w:pStyle w:val="Heading2"/>
      </w:pPr>
      <w:r>
        <w:t>4.5 [MEDIO / BAJO] Inconsistencias de Navegación, Preferencias y Accesibilidad</w:t>
      </w:r>
    </w:p>
    <w:p>
      <w:pPr>
        <w:pStyle w:val="ListBullet"/>
        <w:spacing w:after="60" w:line="276" w:lineRule="auto"/>
      </w:pPr>
      <w:r>
        <w:t>Preferencias de Usuario Inertes (/cuenta/preferencias): Los interruptores de alertas (Push, Correo, WhatsApp, Pagos) son etiquetas estáticas &lt;span&gt;Activa / Pausada&lt;/span&gt;. No existen controladores ni endpoints para actualizar las preferencias del cliente.</w:t>
      </w:r>
    </w:p>
    <w:p>
      <w:pPr>
        <w:pStyle w:val="ListBullet"/>
        <w:spacing w:after="60" w:line="276" w:lineRule="auto"/>
      </w:pPr>
      <w:r>
        <w:t>Badge de Notificaciones Hardcodeado (NavegacionUsuario.tsx:100): El icono de campana en el header superior tiene grabado un '2' rígido en el markup ('Notificaciones (2 pendientes)') y su enlace apunta a /soporte. Un usuario que pulse la campana esperando alertas de su traslado es dirigido al centro de ayuda.</w:t>
      </w:r>
    </w:p>
    <w:p>
      <w:pPr>
        <w:pStyle w:val="ListBullet"/>
        <w:spacing w:after="60" w:line="276" w:lineRule="auto"/>
      </w:pPr>
      <w:r>
        <w:t>Ruta /onboarding Desprotegida en Middleware: La lista RUTAS_PROTEGIDAS_USUARIO en middleware.ts excluye /onboarding. Si un usuario sin sesión visita /onboarding?nuevo=1, la página intenta resolver obtenerUsuarioActual(), generando comportamientos híbridos de interfaz pública y privada.</w:t>
      </w:r>
    </w:p>
    <w:p>
      <w:pPr>
        <w:pStyle w:val="ListBullet"/>
        <w:spacing w:after="60" w:line="276" w:lineRule="auto"/>
      </w:pPr>
      <w:r>
        <w:t>Sobrecarga Cognitiva en Wizard de Creación: El Paso 0 solicita más de 15 campos obligatorios en un solo bloque vertical sin autocompletado inteligente por VIN o placas, generando fatiga cognitiva antes de que el usuario conozca la tarifa estimada.</w:t>
      </w:r>
    </w:p>
    <w:p>
      <w:pPr>
        <w:pStyle w:val="Heading1"/>
      </w:pPr>
      <w:r>
        <w:t>5. Plan de Remediación Inmediata y Código Sugerido</w:t>
      </w:r>
    </w:p>
    <w:p>
      <w:r>
        <w:t>Para restablecer la integridad de los flujos críticos afectados, se formuló el siguiente plan de intervención técnica priorizado con código de reemplazo listo para implementación:</w:t>
      </w:r>
    </w:p>
    <w:p>
      <w:pPr>
        <w:pStyle w:val="Heading2"/>
      </w:pPr>
      <w:r>
        <w:t>5.1 Solución al Deadlock de Cotización en Pasaporte Digital (/traslados/[id]/page.tsx)</w:t>
      </w:r>
    </w:p>
    <w:p>
      <w:r>
        <w:t>Importar y montar condicionalmente AceptarCotizacion y PagoRecuperable en la sección de 'Pago y soporte' del Pasaporte Digital:</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1. En src/app/traslados/[id]/page.tsx, añadir las importaciones:</w:t>
            </w:r>
            <w:r>
              <w:br/>
            </w:r>
            <w:r>
              <w:rPr>
                <w:rFonts w:ascii="Consolas" w:hAnsi="Consolas" w:eastAsia="Consolas"/>
                <w:sz w:val="17"/>
              </w:rPr>
              <w:t>import { AceptarCotizacion } from "./AceptarCotizacion";</w:t>
            </w:r>
            <w:r>
              <w:br/>
            </w:r>
            <w:r>
              <w:rPr>
                <w:rFonts w:ascii="Consolas" w:hAnsi="Consolas" w:eastAsia="Consolas"/>
                <w:sz w:val="17"/>
              </w:rPr>
              <w:t>import { PagoRecuperable } from "./PagoRecuperable";</w:t>
            </w:r>
            <w:r>
              <w:br/>
            </w:r>
            <w:r>
              <w:rPr>
                <w:rFonts w:ascii="Consolas" w:hAnsi="Consolas" w:eastAsia="Consolas"/>
                <w:sz w:val="17"/>
              </w:rPr>
              <w:t>import { PagoTraslado } from "./PagoTraslado";</w:t>
            </w:r>
            <w:r>
              <w:br/>
            </w:r>
            <w:r>
              <w:rPr>
                <w:rFonts w:ascii="Consolas" w:hAnsi="Consolas" w:eastAsia="Consolas"/>
                <w:sz w:val="17"/>
              </w:rPr>
            </w:r>
            <w:r>
              <w:br/>
            </w:r>
            <w:r>
              <w:rPr>
                <w:rFonts w:ascii="Consolas" w:hAnsi="Consolas" w:eastAsia="Consolas"/>
                <w:sz w:val="17"/>
              </w:rPr>
              <w:t>// 2. Reemplazar los avisos estáticos de líneas 1037-1050 por:</w:t>
            </w:r>
            <w:r>
              <w:br/>
            </w:r>
            <w:r>
              <w:rPr>
                <w:rFonts w:ascii="Consolas" w:hAnsi="Consolas" w:eastAsia="Consolas"/>
                <w:sz w:val="17"/>
              </w:rPr>
              <w:t>{pasaporte.estado === "cotizacion_generada" &amp;&amp; (</w:t>
            </w:r>
            <w:r>
              <w:br/>
            </w:r>
            <w:r>
              <w:rPr>
                <w:rFonts w:ascii="Consolas" w:hAnsi="Consolas" w:eastAsia="Consolas"/>
                <w:sz w:val="17"/>
              </w:rPr>
              <w:t xml:space="preserve">  &lt;div className="mt-6 rounded-xl border border-[#FFC400]/30 bg-[#FFC400]/10 p-4"&gt;</w:t>
            </w:r>
            <w:r>
              <w:br/>
            </w:r>
            <w:r>
              <w:rPr>
                <w:rFonts w:ascii="Consolas" w:hAnsi="Consolas" w:eastAsia="Consolas"/>
                <w:sz w:val="17"/>
              </w:rPr>
              <w:t xml:space="preserve">    &lt;p className="font-display text-sm font-bold text-white"&gt;Cotización lista para confirmación&lt;/p&gt;</w:t>
            </w:r>
            <w:r>
              <w:br/>
            </w:r>
            <w:r>
              <w:rPr>
                <w:rFonts w:ascii="Consolas" w:hAnsi="Consolas" w:eastAsia="Consolas"/>
                <w:sz w:val="17"/>
              </w:rPr>
              <w:t xml:space="preserve">    &lt;AceptarCotizacion trasladoId={pasaporte.traslado_id} tipoPago={pasaporte.tipo_pago ?? "anticipado"} /&gt;</w:t>
            </w:r>
            <w:r>
              <w:br/>
            </w:r>
            <w:r>
              <w:rPr>
                <w:rFonts w:ascii="Consolas" w:hAnsi="Consolas" w:eastAsia="Consolas"/>
                <w:sz w:val="17"/>
              </w:rPr>
              <w:t xml:space="preserve">  &lt;/div&gt;</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{pasaporte.estado === "cotizacion_aceptada" &amp;&amp; pasaporte.tipo_pago === "anticipado" &amp;&amp; precioBase &gt; 0 &amp;&amp; (</w:t>
            </w:r>
            <w:r>
              <w:br/>
            </w:r>
            <w:r>
              <w:rPr>
                <w:rFonts w:ascii="Consolas" w:hAnsi="Consolas" w:eastAsia="Consolas"/>
                <w:sz w:val="17"/>
              </w:rPr>
              <w:t xml:space="preserve">  &lt;div className="mt-6"&gt;</w:t>
            </w:r>
            <w:r>
              <w:br/>
            </w:r>
            <w:r>
              <w:rPr>
                <w:rFonts w:ascii="Consolas" w:hAnsi="Consolas" w:eastAsia="Consolas"/>
                <w:sz w:val="17"/>
              </w:rPr>
              <w:t xml:space="preserve">    {traslado?.cotizacion_expira_en ? (</w:t>
            </w:r>
            <w:r>
              <w:br/>
            </w:r>
            <w:r>
              <w:rPr>
                <w:rFonts w:ascii="Consolas" w:hAnsi="Consolas" w:eastAsia="Consolas"/>
                <w:sz w:val="17"/>
              </w:rPr>
              <w:t xml:space="preserve">      &lt;PagoRecuperable trasladoId={pasaporte.traslado_id} monto={precioBase} cotizacionExpiraEn={traslado.cotizacion_expira_en} /&gt;</w:t>
            </w:r>
            <w:r>
              <w:br/>
            </w:r>
            <w:r>
              <w:rPr>
                <w:rFonts w:ascii="Consolas" w:hAnsi="Consolas" w:eastAsia="Consolas"/>
                <w:sz w:val="17"/>
              </w:rPr>
              <w:t xml:space="preserve">    ) : (</w:t>
            </w:r>
            <w:r>
              <w:br/>
            </w:r>
            <w:r>
              <w:rPr>
                <w:rFonts w:ascii="Consolas" w:hAnsi="Consolas" w:eastAsia="Consolas"/>
                <w:sz w:val="17"/>
              </w:rPr>
              <w:t xml:space="preserve">      &lt;PagoTraslado trasladoId={pasaporte.traslado_id} monto={precioBase} /&gt;</w:t>
            </w:r>
            <w:r>
              <w:br/>
            </w:r>
            <w:r>
              <w:rPr>
                <w:rFonts w:ascii="Consolas" w:hAnsi="Consolas" w:eastAsia="Consolas"/>
                <w:sz w:val="17"/>
              </w:rPr>
              <w:t xml:space="preserve">    )}</w:t>
            </w:r>
            <w:r>
              <w:br/>
            </w:r>
            <w:r>
              <w:rPr>
                <w:rFonts w:ascii="Consolas" w:hAnsi="Consolas" w:eastAsia="Consolas"/>
                <w:sz w:val="17"/>
              </w:rPr>
              <w:t xml:space="preserve">  &lt;/div&gt;</w:t>
            </w:r>
            <w:r>
              <w:br/>
            </w:r>
            <w:r>
              <w:rPr>
                <w:rFonts w:ascii="Consolas" w:hAnsi="Consolas" w:eastAsia="Consolas"/>
                <w:sz w:val="17"/>
              </w:rPr>
              <w:t>)}</w:t>
            </w:r>
          </w:p>
        </w:tc>
      </w:tr>
    </w:tbl>
    <w:p/>
    <w:p>
      <w:pPr>
        <w:pStyle w:val="Heading2"/>
      </w:pPr>
      <w:r>
        <w:t>5.2 Corrección del Servicio de Soporte (FormularioSoporte.tsx)</w:t>
      </w:r>
    </w:p>
    <w:p>
      <w:r>
        <w:t>Utilizar el servicio canónico reportarIncidencia() de @ruum/api/services en lugar de una consulta manual a la tabla:</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En src/app/soporte/FormularioSoporte.tsx, reemplazar el bloque de insert directo:</w:t>
            </w:r>
            <w:r>
              <w:br/>
            </w:r>
            <w:r>
              <w:rPr>
                <w:rFonts w:ascii="Consolas" w:hAnsi="Consolas" w:eastAsia="Consolas"/>
                <w:sz w:val="17"/>
              </w:rPr>
              <w:t>import { reportarIncidencia } from "@ruum/api/services";</w:t>
            </w:r>
            <w:r>
              <w:br/>
            </w:r>
            <w:r>
              <w:rPr>
                <w:rFonts w:ascii="Consolas" w:hAnsi="Consolas" w:eastAsia="Consolas"/>
                <w:sz w:val="17"/>
              </w:rPr>
            </w:r>
            <w:r>
              <w:br/>
            </w:r>
            <w:r>
              <w:rPr>
                <w:rFonts w:ascii="Consolas" w:hAnsi="Consolas" w:eastAsia="Consolas"/>
                <w:sz w:val="17"/>
              </w:rPr>
              <w:t>// En onSubmit:</w:t>
            </w:r>
            <w:r>
              <w:br/>
            </w:r>
            <w:r>
              <w:rPr>
                <w:rFonts w:ascii="Consolas" w:hAnsi="Consolas" w:eastAsia="Consolas"/>
                <w:sz w:val="17"/>
              </w:rPr>
              <w:t>if (tieneSupabaseConfigurado() &amp;&amp; viajeId) {</w:t>
            </w:r>
            <w:r>
              <w:br/>
            </w:r>
            <w:r>
              <w:rPr>
                <w:rFonts w:ascii="Consolas" w:hAnsi="Consolas" w:eastAsia="Consolas"/>
                <w:sz w:val="17"/>
              </w:rPr>
              <w:t xml:space="preserve">  const cliente = crearClienteNavegador();</w:t>
            </w:r>
            <w:r>
              <w:br/>
            </w:r>
            <w:r>
              <w:rPr>
                <w:rFonts w:ascii="Consolas" w:hAnsi="Consolas" w:eastAsia="Consolas"/>
                <w:sz w:val="17"/>
              </w:rPr>
              <w:t xml:space="preserve">  // Mapear solo a enums válidos de Postgres:</w:t>
            </w:r>
            <w:r>
              <w:br/>
            </w:r>
            <w:r>
              <w:rPr>
                <w:rFonts w:ascii="Consolas" w:hAnsi="Consolas" w:eastAsia="Consolas"/>
                <w:sz w:val="17"/>
              </w:rPr>
              <w:t xml:space="preserve">  const tipoIncidencia = motivo === "Reportar daño o incidente" ? "dano_previo_relevante" : "otro";</w:t>
            </w:r>
            <w:r>
              <w:br/>
            </w:r>
            <w:r>
              <w:rPr>
                <w:rFonts w:ascii="Consolas" w:hAnsi="Consolas" w:eastAsia="Consolas"/>
                <w:sz w:val="17"/>
              </w:rPr>
              <w:t xml:space="preserve">  await reportarIncidencia(cliente, viajeId, tipoIncidencia, "durante_traslado", descripcion.trim());</w:t>
            </w:r>
            <w:r>
              <w:br/>
            </w:r>
            <w:r>
              <w:rPr>
                <w:rFonts w:ascii="Consolas" w:hAnsi="Consolas" w:eastAsia="Consolas"/>
                <w:sz w:val="17"/>
              </w:rPr>
              <w:t xml:space="preserve">  // Registro exitoso garantizado</w:t>
            </w:r>
            <w:r>
              <w:br/>
            </w:r>
            <w:r>
              <w:rPr>
                <w:rFonts w:ascii="Consolas" w:hAnsi="Consolas" w:eastAsia="Consolas"/>
                <w:sz w:val="17"/>
              </w:rPr>
              <w:t>}</w:t>
            </w:r>
          </w:p>
        </w:tc>
      </w:tr>
    </w:tbl>
    <w:p/>
    <w:p>
      <w:pPr>
        <w:pStyle w:val="Heading2"/>
      </w:pPr>
      <w:r>
        <w:t>5.3 Sincronización de Estados Cancelables en UI (CancelarTraslado.tsx)</w:t>
      </w:r>
    </w:p>
    <w:p>
      <w:r>
        <w:t>Validar contra el servicio usuarioPuedeCancelar para no mostrar el botón de cancelación en fases de recolección y tránsito:</w:t>
      </w:r>
    </w:p>
    <w:tbl>
      <w:tblPr>
        <w:tblStyle w:val="TableGrid"/>
        <w:tblW w:type="dxa" w:w="9360"/>
        <w:jc w:val="left"/>
        <w:tblLook w:firstColumn="1" w:firstRow="1" w:lastColumn="0" w:lastRow="0" w:noHBand="0" w:noVBand="1" w:val="04A0"/>
        <w:tblInd w:type="dxa" w:w="120"/>
        <w:tblCellMar>
          <w:top w:w="90" w:type="dxa"/>
          <w:start w:w="150" w:type="dxa"/>
          <w:bottom w:w="90" w:type="dxa"/>
          <w:end w:w="150" w:type="dxa"/>
        </w:tblCellMar>
      </w:tblPr>
      <w:tblGrid>
        <w:gridCol w:w="9360"/>
      </w:tblGrid>
      <w:tr>
        <w:trPr>
          <w:tblHeader w:val="true"/>
        </w:trPr>
        <w:tc>
          <w:tcPr>
            <w:tcW w:type="dxa" w:w="9360"/>
            <w:vAlign w:val="center"/>
            <w:shd w:fill="F4F6F9"/>
          </w:tcPr>
          <w:p>
            <w:pPr>
              <w:spacing w:after="0"/>
            </w:pPr>
            <w:r>
              <w:rPr>
                <w:rFonts w:ascii="Consolas" w:hAnsi="Consolas" w:eastAsia="Consolas"/>
                <w:sz w:val="17"/>
              </w:rPr>
              <w:t>// En src/app/traslados/[id]/CancelarTraslado.tsx:</w:t>
            </w:r>
            <w:r>
              <w:br/>
            </w:r>
            <w:r>
              <w:rPr>
                <w:rFonts w:ascii="Consolas" w:hAnsi="Consolas" w:eastAsia="Consolas"/>
                <w:sz w:val="17"/>
              </w:rPr>
              <w:t>import { usuarioPuedeCancelar } from "@ruum/api/services";</w:t>
            </w:r>
            <w:r>
              <w:br/>
            </w:r>
            <w:r>
              <w:rPr>
                <w:rFonts w:ascii="Consolas" w:hAnsi="Consolas" w:eastAsia="Consolas"/>
                <w:sz w:val="17"/>
              </w:rPr>
            </w:r>
            <w:r>
              <w:br/>
            </w:r>
            <w:r>
              <w:rPr>
                <w:rFonts w:ascii="Consolas" w:hAnsi="Consolas" w:eastAsia="Consolas"/>
                <w:sz w:val="17"/>
              </w:rPr>
              <w:t>// Reemplazar la validación en render:</w:t>
            </w:r>
            <w:r>
              <w:br/>
            </w:r>
            <w:r>
              <w:rPr>
                <w:rFonts w:ascii="Consolas" w:hAnsi="Consolas" w:eastAsia="Consolas"/>
                <w:sz w:val="17"/>
              </w:rPr>
              <w:t>if (!usuarioPuedeCancelar(estado)) {</w:t>
            </w:r>
            <w:r>
              <w:br/>
            </w:r>
            <w:r>
              <w:rPr>
                <w:rFonts w:ascii="Consolas" w:hAnsi="Consolas" w:eastAsia="Consolas"/>
                <w:sz w:val="17"/>
              </w:rPr>
              <w:t xml:space="preserve">  return null; // O mostrar un aviso informativo: 'Para cambios en ruta, contacta a Soporte'</w:t>
            </w:r>
            <w:r>
              <w:br/>
            </w:r>
            <w:r>
              <w:rPr>
                <w:rFonts w:ascii="Consolas" w:hAnsi="Consolas" w:eastAsia="Consolas"/>
                <w:sz w:val="17"/>
              </w:rPr>
              <w:t>}</w:t>
            </w:r>
          </w:p>
        </w:tc>
      </w:tr>
    </w:tbl>
    <w:p/>
    <w:p>
      <w:pPr>
        <w:pStyle w:val="Heading1"/>
      </w:pPr>
      <w:r>
        <w:t>6. Conclusiones y Hoja de Ruta de Madurez</w:t>
      </w:r>
    </w:p>
    <w:p>
      <w:r>
        <w:t>La aplicación de usuario de Ruum Ruum demuestra una excelencia sobresaliente en la adopción del Brand Book, la consistencia visual de componentes (@ruum/ui), el endurecimiento de cabeceras de seguridad CSP/HSTS, y el cumplimiento de los estándares de accesibilidad WCAG 2.2 AA. Sin embargo, su madurez en producción (Production Readiness) depende de la eliminación inmediata de los cuellos de botella identificados en este informe.</w:t>
      </w:r>
    </w:p>
    <w:p>
      <w:pPr>
        <w:pStyle w:val="ListBullet"/>
        <w:spacing w:after="60" w:line="276" w:lineRule="auto"/>
      </w:pPr>
      <w:r>
        <w:t>Fase 1 (Inmediata / Sprint P0): Desplegar las correcciones de AceptarCotizacion en el Pasaporte Digital, corregir el schema de FormularioSoporte, y sincronizar la regla de cancelación en CancelarTraslado.</w:t>
      </w:r>
    </w:p>
    <w:p>
      <w:pPr>
        <w:pStyle w:val="ListBullet"/>
        <w:spacing w:after="60" w:line="276" w:lineRule="auto"/>
      </w:pPr>
      <w:r>
        <w:t>Fase 2 (Corto Plazo / Sprint P1): Implementar el flujo de guardado de tarjetas mediante Stripe SetupIntents en /cuenta/metodos-pago, habilitar mutación en preferencias de notificaciones, y remover badges estáticos de la barra de navegación.</w:t>
      </w:r>
    </w:p>
    <w:p>
      <w:pPr>
        <w:pStyle w:val="ListBullet"/>
        <w:spacing w:after="60" w:line="276" w:lineRule="auto"/>
      </w:pPr>
      <w:r>
        <w:t>Fase 3 (Evolución UX / Sprint P2): Reestructurar el Paso 0 del wizard de creación permitiendo consulta por placas/VIN en un solo campo para prellenar marca, modelo y año automáticamente, minimizando el esfuerzo de captura del usuario.</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97D"/>
        <w:sz w:val="16"/>
      </w:rPr>
      <w:t>Ruum Ruum · Auditoría Técnica y Arquitectura de Flujos · App Usuario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B697D"/>
        <w:sz w:val="16"/>
      </w:rPr>
      <w:t>INFORME DE ARQUITECTURA DE FLUJOS Y ERRORES — APP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eastAsia="Calibri"/>
      <w:color w:val="19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