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BF0F5D" w14:textId="77777777" w:rsidR="00D35F3F" w:rsidRPr="006E3C99" w:rsidRDefault="00D35F3F" w:rsidP="00D35F3F">
      <w:pPr>
        <w:pStyle w:val="NormalWeb"/>
        <w:rPr>
          <w:b/>
          <w:bCs/>
          <w:sz w:val="32"/>
        </w:rPr>
      </w:pPr>
      <w:r w:rsidRPr="006E3C99">
        <w:rPr>
          <w:b/>
          <w:bCs/>
          <w:sz w:val="32"/>
        </w:rPr>
        <w:t>Assignment 1: Financial Time Series Analysis</w:t>
      </w:r>
    </w:p>
    <w:p w14:paraId="6EBD5952" w14:textId="77777777" w:rsidR="00D35F3F" w:rsidRPr="006E3C99" w:rsidRDefault="00D35F3F" w:rsidP="00D35F3F">
      <w:pPr>
        <w:pStyle w:val="NormalWeb"/>
        <w:rPr>
          <w:b/>
          <w:bCs/>
          <w:sz w:val="28"/>
        </w:rPr>
      </w:pPr>
      <w:r w:rsidRPr="006E3C99">
        <w:rPr>
          <w:b/>
          <w:bCs/>
          <w:sz w:val="28"/>
        </w:rPr>
        <w:t>Task 1: Multicollinearity in Financial Time Series Analysis</w:t>
      </w:r>
    </w:p>
    <w:p w14:paraId="71188643" w14:textId="77777777" w:rsidR="00D35F3F" w:rsidRPr="006C44F1" w:rsidRDefault="00D35F3F" w:rsidP="00D35F3F">
      <w:pPr>
        <w:pStyle w:val="NormalWeb"/>
        <w:rPr>
          <w:b/>
          <w:bCs/>
          <w:sz w:val="32"/>
        </w:rPr>
      </w:pPr>
      <w:r w:rsidRPr="006E3C99">
        <w:rPr>
          <w:b/>
          <w:bCs/>
          <w:sz w:val="28"/>
        </w:rPr>
        <w:t xml:space="preserve">Introduction </w:t>
      </w:r>
    </w:p>
    <w:p w14:paraId="54E3B2B2" w14:textId="77777777" w:rsidR="00D35F3F" w:rsidRDefault="00D35F3F" w:rsidP="006E3C99">
      <w:pPr>
        <w:pStyle w:val="NormalWeb"/>
      </w:pPr>
      <w:r w:rsidRPr="007054C4">
        <w:t xml:space="preserve">In econometrics, </w:t>
      </w:r>
      <w:proofErr w:type="spellStart"/>
      <w:r w:rsidRPr="007054C4">
        <w:t>multicollinearity</w:t>
      </w:r>
      <w:proofErr w:type="spellEnd"/>
      <w:r w:rsidRPr="007054C4">
        <w:t xml:space="preserve"> occurs when explanatory variables are highly correlated. This inflates standard errors, making it difficult to interpret individual regression coefficients, though the overall model may still fit well.</w:t>
      </w:r>
      <w:r w:rsidRPr="007054C4">
        <w:br/>
      </w:r>
      <w:r w:rsidRPr="007054C4">
        <w:br/>
        <w:t xml:space="preserve">The focus of this report is to investigate whether </w:t>
      </w:r>
      <w:proofErr w:type="spellStart"/>
      <w:r w:rsidRPr="007054C4">
        <w:t>multicollinearity</w:t>
      </w:r>
      <w:proofErr w:type="spellEnd"/>
      <w:r w:rsidRPr="007054C4">
        <w:t xml:space="preserve"> is a concern in financial time series regression. For this purpose, </w:t>
      </w:r>
      <w:proofErr w:type="gramStart"/>
      <w:r w:rsidRPr="007054C4">
        <w:t>daily adjusted</w:t>
      </w:r>
      <w:proofErr w:type="gramEnd"/>
      <w:r w:rsidRPr="007054C4">
        <w:t xml:space="preserve"> closing prices from Apple (AAPL), Microsoft (MSFT), and the S&amp;P 500 Index (SPY) covering January 2019 to January 2024 were obtained from Yahoo Finance.</w:t>
      </w:r>
      <w:r w:rsidRPr="007054C4">
        <w:br/>
      </w:r>
      <w:r w:rsidRPr="007054C4">
        <w:br/>
        <w:t xml:space="preserve">The data </w:t>
      </w:r>
      <w:proofErr w:type="gramStart"/>
      <w:r w:rsidRPr="007054C4">
        <w:t>were transformed</w:t>
      </w:r>
      <w:proofErr w:type="gramEnd"/>
      <w:r w:rsidRPr="007054C4">
        <w:t xml:space="preserve"> into logarithmic returns to ensure stationarity and comparability. A regression model </w:t>
      </w:r>
      <w:proofErr w:type="gramStart"/>
      <w:r w:rsidRPr="007054C4">
        <w:t>was estimated</w:t>
      </w:r>
      <w:proofErr w:type="gramEnd"/>
      <w:r w:rsidRPr="007054C4">
        <w:t xml:space="preserve"> where AAPL returns were explained by MSFT and SPY returns, with diagnostics including correlation matrices, OLS regression output, and Variance Inflation Factors (VIF) used to assess </w:t>
      </w:r>
      <w:proofErr w:type="spellStart"/>
      <w:r w:rsidRPr="007054C4">
        <w:t>multicollinearity</w:t>
      </w:r>
      <w:proofErr w:type="spellEnd"/>
      <w:r w:rsidRPr="007054C4">
        <w:t>.</w:t>
      </w:r>
    </w:p>
    <w:p w14:paraId="3E4B4855" w14:textId="77777777" w:rsidR="00D35F3F" w:rsidRPr="006C44F1" w:rsidRDefault="00D35F3F" w:rsidP="006E3C99">
      <w:pPr>
        <w:pStyle w:val="NormalWeb"/>
        <w:rPr>
          <w:b/>
        </w:rPr>
      </w:pPr>
      <w:r w:rsidRPr="006C44F1">
        <w:rPr>
          <w:b/>
        </w:rPr>
        <w:t>Empirical Findings</w:t>
      </w:r>
    </w:p>
    <w:p w14:paraId="6922AD68" w14:textId="77777777" w:rsidR="00D35F3F" w:rsidRPr="00EA4665" w:rsidRDefault="00D35F3F" w:rsidP="006E3C99">
      <w:pPr>
        <w:pStyle w:val="ListParagraph"/>
        <w:numPr>
          <w:ilvl w:val="0"/>
          <w:numId w:val="13"/>
        </w:numPr>
        <w:spacing w:after="200" w:line="276" w:lineRule="auto"/>
        <w:rPr>
          <w:rFonts w:ascii="Arial" w:hAnsi="Arial" w:cs="Arial"/>
          <w:b/>
          <w:bCs/>
        </w:rPr>
      </w:pPr>
      <w:r w:rsidRPr="00EA4665">
        <w:rPr>
          <w:rFonts w:ascii="Arial" w:hAnsi="Arial" w:cs="Arial"/>
          <w:b/>
          <w:bCs/>
        </w:rPr>
        <w:t xml:space="preserve">Correlation </w:t>
      </w:r>
      <w:proofErr w:type="spellStart"/>
      <w:r w:rsidRPr="00EA4665">
        <w:rPr>
          <w:rFonts w:ascii="Arial" w:hAnsi="Arial" w:cs="Arial"/>
          <w:b/>
          <w:bCs/>
        </w:rPr>
        <w:t>Heatmap</w:t>
      </w:r>
      <w:proofErr w:type="spellEnd"/>
      <w:r>
        <w:rPr>
          <w:rFonts w:ascii="Arial" w:hAnsi="Arial" w:cs="Arial"/>
          <w:b/>
          <w:bCs/>
        </w:rPr>
        <w:t xml:space="preserve"> : </w:t>
      </w:r>
      <w:r w:rsidRPr="00EA4665">
        <w:rPr>
          <w:rFonts w:ascii="Arial" w:hAnsi="Arial" w:cs="Arial"/>
        </w:rPr>
        <w:t xml:space="preserve">The correlation </w:t>
      </w:r>
      <w:proofErr w:type="spellStart"/>
      <w:r w:rsidRPr="00EA4665">
        <w:rPr>
          <w:rFonts w:ascii="Arial" w:hAnsi="Arial" w:cs="Arial"/>
        </w:rPr>
        <w:t>heatmap</w:t>
      </w:r>
      <w:proofErr w:type="spellEnd"/>
      <w:r w:rsidRPr="00EA4665">
        <w:rPr>
          <w:rFonts w:ascii="Arial" w:hAnsi="Arial" w:cs="Arial"/>
        </w:rPr>
        <w:t xml:space="preserve"> shows strong pairwise correlations:</w:t>
      </w:r>
    </w:p>
    <w:p w14:paraId="72636863" w14:textId="77777777" w:rsidR="00D35F3F" w:rsidRPr="00EA4665" w:rsidRDefault="00D35F3F" w:rsidP="006E3C99">
      <w:pPr>
        <w:numPr>
          <w:ilvl w:val="0"/>
          <w:numId w:val="10"/>
        </w:numPr>
        <w:spacing w:line="259" w:lineRule="auto"/>
        <w:rPr>
          <w:rFonts w:ascii="Arial" w:hAnsi="Arial" w:cs="Arial"/>
        </w:rPr>
      </w:pPr>
      <w:r w:rsidRPr="00EA4665">
        <w:rPr>
          <w:rFonts w:ascii="Arial" w:hAnsi="Arial" w:cs="Arial"/>
        </w:rPr>
        <w:t>AAPL–MSFT: ρ = 0.76</w:t>
      </w:r>
    </w:p>
    <w:p w14:paraId="6AA89699" w14:textId="77777777" w:rsidR="00D35F3F" w:rsidRPr="00EA4665" w:rsidRDefault="00D35F3F" w:rsidP="006E3C99">
      <w:pPr>
        <w:numPr>
          <w:ilvl w:val="0"/>
          <w:numId w:val="10"/>
        </w:numPr>
        <w:spacing w:line="259" w:lineRule="auto"/>
        <w:rPr>
          <w:rFonts w:ascii="Arial" w:hAnsi="Arial" w:cs="Arial"/>
        </w:rPr>
      </w:pPr>
      <w:r w:rsidRPr="00EA4665">
        <w:rPr>
          <w:rFonts w:ascii="Arial" w:hAnsi="Arial" w:cs="Arial"/>
        </w:rPr>
        <w:t>AAPL–SPY: ρ = 0.81</w:t>
      </w:r>
    </w:p>
    <w:p w14:paraId="60A65681" w14:textId="77777777" w:rsidR="00D35F3F" w:rsidRDefault="00D35F3F" w:rsidP="006E3C99">
      <w:pPr>
        <w:numPr>
          <w:ilvl w:val="0"/>
          <w:numId w:val="10"/>
        </w:numPr>
        <w:spacing w:line="259" w:lineRule="auto"/>
        <w:rPr>
          <w:rFonts w:ascii="Arial" w:hAnsi="Arial" w:cs="Arial"/>
        </w:rPr>
      </w:pPr>
      <w:r w:rsidRPr="00EA4665">
        <w:rPr>
          <w:rFonts w:ascii="Arial" w:hAnsi="Arial" w:cs="Arial"/>
        </w:rPr>
        <w:t>MSFT–SPY: ρ = 0.83</w:t>
      </w:r>
    </w:p>
    <w:p w14:paraId="6851746B" w14:textId="77777777" w:rsidR="00D35F3F" w:rsidRPr="006C44F1" w:rsidRDefault="00D35F3F" w:rsidP="006E3C99">
      <w:pPr>
        <w:ind w:firstLine="720"/>
        <w:rPr>
          <w:rFonts w:ascii="Arial" w:hAnsi="Arial" w:cs="Arial"/>
        </w:rPr>
      </w:pPr>
      <w:r w:rsidRPr="00EA4665">
        <w:rPr>
          <w:rFonts w:ascii="Arial" w:hAnsi="Arial" w:cs="Arial"/>
        </w:rPr>
        <w:t xml:space="preserve">This indicates strong co-movement and signals </w:t>
      </w:r>
      <w:proofErr w:type="spellStart"/>
      <w:r w:rsidRPr="00EA4665">
        <w:rPr>
          <w:rFonts w:ascii="Arial" w:hAnsi="Arial" w:cs="Arial"/>
        </w:rPr>
        <w:t>multicollinearity</w:t>
      </w:r>
      <w:proofErr w:type="spellEnd"/>
      <w:r w:rsidRPr="00EA4665">
        <w:rPr>
          <w:rFonts w:ascii="Arial" w:hAnsi="Arial" w:cs="Arial"/>
        </w:rPr>
        <w:t>.</w:t>
      </w:r>
    </w:p>
    <w:p w14:paraId="17EC19BF" w14:textId="77777777" w:rsidR="00D35F3F" w:rsidRPr="00EA4665" w:rsidRDefault="00D35F3F" w:rsidP="006E3C99">
      <w:pPr>
        <w:pStyle w:val="ListParagraph"/>
        <w:numPr>
          <w:ilvl w:val="0"/>
          <w:numId w:val="13"/>
        </w:numPr>
        <w:spacing w:after="200" w:line="276" w:lineRule="auto"/>
        <w:rPr>
          <w:rFonts w:ascii="Arial" w:hAnsi="Arial" w:cs="Arial"/>
          <w:b/>
          <w:bCs/>
        </w:rPr>
      </w:pPr>
      <w:r w:rsidRPr="00EA4665">
        <w:rPr>
          <w:rFonts w:ascii="Arial" w:hAnsi="Arial" w:cs="Arial"/>
          <w:b/>
          <w:bCs/>
        </w:rPr>
        <w:t>OLS Regression Results</w:t>
      </w:r>
      <w:r>
        <w:rPr>
          <w:rFonts w:ascii="Arial" w:hAnsi="Arial" w:cs="Arial"/>
          <w:b/>
          <w:bCs/>
        </w:rPr>
        <w:t xml:space="preserve"> : </w:t>
      </w:r>
      <w:r w:rsidRPr="00EA4665">
        <w:rPr>
          <w:rFonts w:ascii="Arial" w:hAnsi="Arial" w:cs="Arial"/>
        </w:rPr>
        <w:t>The regression of AAPL returns on MSFT and SPY yields:</w:t>
      </w:r>
    </w:p>
    <w:p w14:paraId="57A464F0" w14:textId="77777777" w:rsidR="00D35F3F" w:rsidRPr="00EA4665" w:rsidRDefault="00D35F3F" w:rsidP="006E3C99">
      <w:pPr>
        <w:numPr>
          <w:ilvl w:val="0"/>
          <w:numId w:val="11"/>
        </w:numPr>
        <w:spacing w:line="259" w:lineRule="auto"/>
        <w:rPr>
          <w:rFonts w:ascii="Arial" w:hAnsi="Arial" w:cs="Arial"/>
        </w:rPr>
      </w:pPr>
      <w:r w:rsidRPr="00EA4665">
        <w:rPr>
          <w:rFonts w:ascii="Arial" w:hAnsi="Arial" w:cs="Arial"/>
        </w:rPr>
        <w:t>R² = 0.678 (model explains 67.8% of AAPL variation)</w:t>
      </w:r>
    </w:p>
    <w:p w14:paraId="58C14000" w14:textId="77777777" w:rsidR="00D35F3F" w:rsidRPr="00EA4665" w:rsidRDefault="00D35F3F" w:rsidP="006E3C99">
      <w:pPr>
        <w:numPr>
          <w:ilvl w:val="0"/>
          <w:numId w:val="11"/>
        </w:numPr>
        <w:spacing w:line="259" w:lineRule="auto"/>
        <w:rPr>
          <w:rFonts w:ascii="Arial" w:hAnsi="Arial" w:cs="Arial"/>
        </w:rPr>
      </w:pPr>
      <w:r w:rsidRPr="00EA4665">
        <w:rPr>
          <w:rFonts w:ascii="Arial" w:hAnsi="Arial" w:cs="Arial"/>
        </w:rPr>
        <w:t>MSFT coefficient = 0.3172 (p &lt; 0.001)</w:t>
      </w:r>
    </w:p>
    <w:p w14:paraId="08C120A9" w14:textId="77777777" w:rsidR="00D35F3F" w:rsidRPr="00EA4665" w:rsidRDefault="00D35F3F" w:rsidP="006E3C99">
      <w:pPr>
        <w:numPr>
          <w:ilvl w:val="0"/>
          <w:numId w:val="11"/>
        </w:numPr>
        <w:spacing w:line="259" w:lineRule="auto"/>
        <w:rPr>
          <w:rFonts w:ascii="Arial" w:hAnsi="Arial" w:cs="Arial"/>
        </w:rPr>
      </w:pPr>
      <w:r w:rsidRPr="00EA4665">
        <w:rPr>
          <w:rFonts w:ascii="Arial" w:hAnsi="Arial" w:cs="Arial"/>
        </w:rPr>
        <w:t>SPY coefficient = 0.8536 (p &lt; 0.001)</w:t>
      </w:r>
    </w:p>
    <w:p w14:paraId="740EB301" w14:textId="77777777" w:rsidR="00D35F3F" w:rsidRPr="006C44F1" w:rsidRDefault="00D35F3F" w:rsidP="006E3C99">
      <w:pPr>
        <w:numPr>
          <w:ilvl w:val="0"/>
          <w:numId w:val="11"/>
        </w:numPr>
        <w:spacing w:line="259" w:lineRule="auto"/>
        <w:rPr>
          <w:rFonts w:ascii="Arial" w:hAnsi="Arial" w:cs="Arial"/>
        </w:rPr>
      </w:pPr>
      <w:r w:rsidRPr="00EA4665">
        <w:rPr>
          <w:rFonts w:ascii="Arial" w:hAnsi="Arial" w:cs="Arial"/>
        </w:rPr>
        <w:t>Condition Number = 156 (indicates collinearity)</w:t>
      </w:r>
    </w:p>
    <w:p w14:paraId="72F635BB" w14:textId="77777777" w:rsidR="00D35F3F" w:rsidRPr="00EA4665" w:rsidRDefault="00D35F3F" w:rsidP="006E3C99">
      <w:pPr>
        <w:pStyle w:val="ListParagraph"/>
        <w:numPr>
          <w:ilvl w:val="0"/>
          <w:numId w:val="13"/>
        </w:numPr>
        <w:spacing w:after="200" w:line="276" w:lineRule="auto"/>
        <w:rPr>
          <w:rFonts w:ascii="Arial" w:hAnsi="Arial" w:cs="Arial"/>
          <w:b/>
          <w:bCs/>
        </w:rPr>
      </w:pPr>
      <w:r w:rsidRPr="00EA4665">
        <w:rPr>
          <w:rFonts w:ascii="Arial" w:hAnsi="Arial" w:cs="Arial"/>
          <w:b/>
          <w:bCs/>
        </w:rPr>
        <w:t>Variance Inflation Factor (VIF)</w:t>
      </w:r>
    </w:p>
    <w:p w14:paraId="6A783740" w14:textId="77777777" w:rsidR="00D35F3F" w:rsidRPr="00EA4665" w:rsidRDefault="00D35F3F" w:rsidP="006E3C99">
      <w:pPr>
        <w:ind w:left="720"/>
        <w:rPr>
          <w:rFonts w:ascii="Arial" w:hAnsi="Arial" w:cs="Arial"/>
        </w:rPr>
      </w:pPr>
      <w:r w:rsidRPr="00EA4665">
        <w:rPr>
          <w:rFonts w:ascii="Arial" w:hAnsi="Arial" w:cs="Arial"/>
        </w:rPr>
        <w:t xml:space="preserve">Interpretation: MSFT and SPY both have VIF ≈ 3.1, suggesting moderate but not severe </w:t>
      </w:r>
      <w:proofErr w:type="spellStart"/>
      <w:r w:rsidRPr="00EA4665">
        <w:rPr>
          <w:rFonts w:ascii="Arial" w:hAnsi="Arial" w:cs="Arial"/>
        </w:rPr>
        <w:t>multicollinearity</w:t>
      </w:r>
      <w:proofErr w:type="spellEnd"/>
      <w:r w:rsidRPr="00EA4665">
        <w:rPr>
          <w:rFonts w:ascii="Arial" w:hAnsi="Arial" w:cs="Arial"/>
        </w:rPr>
        <w:t>.</w:t>
      </w:r>
    </w:p>
    <w:p w14:paraId="20EC76E2" w14:textId="77777777" w:rsidR="00D35F3F" w:rsidRPr="00EA4665" w:rsidRDefault="00D35F3F" w:rsidP="006E3C99">
      <w:pPr>
        <w:pStyle w:val="ListParagraph"/>
        <w:numPr>
          <w:ilvl w:val="0"/>
          <w:numId w:val="13"/>
        </w:numPr>
        <w:spacing w:after="200" w:line="276" w:lineRule="auto"/>
        <w:rPr>
          <w:rFonts w:ascii="Arial" w:hAnsi="Arial" w:cs="Arial"/>
          <w:b/>
          <w:bCs/>
        </w:rPr>
      </w:pPr>
      <w:r w:rsidRPr="00EA4665">
        <w:rPr>
          <w:rFonts w:ascii="Arial" w:hAnsi="Arial" w:cs="Arial"/>
          <w:b/>
          <w:bCs/>
        </w:rPr>
        <w:lastRenderedPageBreak/>
        <w:t>Line Graphs</w:t>
      </w:r>
      <w:r>
        <w:rPr>
          <w:rFonts w:ascii="Arial" w:hAnsi="Arial" w:cs="Arial"/>
          <w:b/>
          <w:bCs/>
        </w:rPr>
        <w:t xml:space="preserve"> : </w:t>
      </w:r>
      <w:r w:rsidRPr="00EA4665">
        <w:rPr>
          <w:rFonts w:ascii="Arial" w:hAnsi="Arial" w:cs="Arial"/>
        </w:rPr>
        <w:t>Two graphs were used to evaluate predictive accuracy:</w:t>
      </w:r>
    </w:p>
    <w:p w14:paraId="2A996D68" w14:textId="77777777" w:rsidR="00D35F3F" w:rsidRPr="00EA4665" w:rsidRDefault="00D35F3F" w:rsidP="006E3C99">
      <w:pPr>
        <w:numPr>
          <w:ilvl w:val="0"/>
          <w:numId w:val="12"/>
        </w:numPr>
        <w:spacing w:line="259" w:lineRule="auto"/>
        <w:rPr>
          <w:rFonts w:ascii="Arial" w:hAnsi="Arial" w:cs="Arial"/>
        </w:rPr>
      </w:pPr>
      <w:r w:rsidRPr="00EA4665">
        <w:rPr>
          <w:rFonts w:ascii="Arial" w:hAnsi="Arial" w:cs="Arial"/>
        </w:rPr>
        <w:t>Daily Returns: Predicted vs. actual AAPL returns track closely, though volatility spikes create deviations.</w:t>
      </w:r>
    </w:p>
    <w:p w14:paraId="5B06F630" w14:textId="77777777" w:rsidR="00D35F3F" w:rsidRPr="006C44F1" w:rsidRDefault="00D35F3F" w:rsidP="006E3C99">
      <w:pPr>
        <w:numPr>
          <w:ilvl w:val="0"/>
          <w:numId w:val="12"/>
        </w:numPr>
        <w:spacing w:line="259" w:lineRule="auto"/>
        <w:rPr>
          <w:rFonts w:ascii="Arial" w:hAnsi="Arial" w:cs="Arial"/>
        </w:rPr>
      </w:pPr>
      <w:r w:rsidRPr="00EA4665">
        <w:rPr>
          <w:rFonts w:ascii="Arial" w:hAnsi="Arial" w:cs="Arial"/>
        </w:rPr>
        <w:t>Cumulative Returns: Predicted series follows the overall trend, but underestimates AAPL’s firm-specific rallies.</w:t>
      </w:r>
    </w:p>
    <w:p w14:paraId="7FC48CD2" w14:textId="619CE592" w:rsidR="00D35F3F" w:rsidRPr="00EA4665" w:rsidRDefault="00D35F3F" w:rsidP="006E3C99">
      <w:pPr>
        <w:rPr>
          <w:rFonts w:ascii="Arial" w:hAnsi="Arial" w:cs="Arial"/>
          <w:b/>
          <w:bCs/>
        </w:rPr>
      </w:pPr>
      <w:r w:rsidRPr="00EA4665">
        <w:rPr>
          <w:rFonts w:ascii="Arial" w:hAnsi="Arial" w:cs="Arial"/>
          <w:b/>
          <w:bCs/>
        </w:rPr>
        <w:t>Discussion</w:t>
      </w:r>
    </w:p>
    <w:p w14:paraId="325B5CBC" w14:textId="42D6D8D8" w:rsidR="00D35F3F" w:rsidRPr="00EA4665" w:rsidRDefault="00D35F3F" w:rsidP="006E3C99">
      <w:pPr>
        <w:rPr>
          <w:rFonts w:ascii="Arial" w:hAnsi="Arial" w:cs="Arial"/>
        </w:rPr>
      </w:pPr>
      <w:r w:rsidRPr="00EA4665">
        <w:rPr>
          <w:rFonts w:ascii="Arial" w:hAnsi="Arial" w:cs="Arial"/>
        </w:rPr>
        <w:t>Multicollinearity makes inference difficult: it is hard to determine whether MSFT or SPY is the primary driver of AAPL’s returns. However, prediction remains strong since both variables together capture market-wide movements.</w:t>
      </w:r>
      <w:r w:rsidRPr="00EA4665">
        <w:rPr>
          <w:rFonts w:ascii="Arial" w:hAnsi="Arial" w:cs="Arial"/>
        </w:rPr>
        <w:br/>
      </w:r>
      <w:r w:rsidRPr="00EA4665">
        <w:rPr>
          <w:rFonts w:ascii="Arial" w:hAnsi="Arial" w:cs="Arial"/>
        </w:rPr>
        <w:br/>
        <w:t xml:space="preserve">The high condition number, strong correlations, and moderate VIF confirm </w:t>
      </w:r>
      <w:proofErr w:type="spellStart"/>
      <w:r w:rsidRPr="00EA4665">
        <w:rPr>
          <w:rFonts w:ascii="Arial" w:hAnsi="Arial" w:cs="Arial"/>
        </w:rPr>
        <w:t>multicollinearity</w:t>
      </w:r>
      <w:proofErr w:type="spellEnd"/>
      <w:r w:rsidRPr="00EA4665">
        <w:rPr>
          <w:rFonts w:ascii="Arial" w:hAnsi="Arial" w:cs="Arial"/>
        </w:rPr>
        <w:t xml:space="preserve"> is present. Although not severe enough to invalidate the mod</w:t>
      </w:r>
      <w:r w:rsidR="006E3C99">
        <w:rPr>
          <w:rFonts w:ascii="Arial" w:hAnsi="Arial" w:cs="Arial"/>
        </w:rPr>
        <w:t xml:space="preserve">el, it affects interpretation. </w:t>
      </w:r>
      <w:bookmarkStart w:id="0" w:name="_GoBack"/>
      <w:bookmarkEnd w:id="0"/>
      <w:r w:rsidRPr="00EA4665">
        <w:rPr>
          <w:rFonts w:ascii="Arial" w:hAnsi="Arial" w:cs="Arial"/>
        </w:rPr>
        <w:t>Common econometric remedies include Principal Component Analysis (PCA), factor models, or ridge regression, which reduce dimensionality and mitigate collinearity.</w:t>
      </w:r>
    </w:p>
    <w:p w14:paraId="7601694B" w14:textId="77777777" w:rsidR="00D35F3F" w:rsidRPr="006C44F1" w:rsidRDefault="00D35F3F" w:rsidP="006E3C99">
      <w:pPr>
        <w:rPr>
          <w:rFonts w:ascii="Arial" w:hAnsi="Arial" w:cs="Arial"/>
        </w:rPr>
      </w:pPr>
      <w:r w:rsidRPr="00EA4665">
        <w:rPr>
          <w:rFonts w:ascii="Arial" w:hAnsi="Arial" w:cs="Arial"/>
          <w:b/>
          <w:bCs/>
        </w:rPr>
        <w:t>Conclusion</w:t>
      </w:r>
    </w:p>
    <w:p w14:paraId="442B7C86" w14:textId="327BCB6A" w:rsidR="00D35F3F" w:rsidRDefault="00D35F3F" w:rsidP="006E3C99">
      <w:pPr>
        <w:rPr>
          <w:rFonts w:ascii="Arial" w:hAnsi="Arial" w:cs="Arial"/>
        </w:rPr>
      </w:pPr>
      <w:r w:rsidRPr="00EA4665">
        <w:rPr>
          <w:rFonts w:ascii="Arial" w:hAnsi="Arial" w:cs="Arial"/>
        </w:rPr>
        <w:t xml:space="preserve">This analysis shows that </w:t>
      </w:r>
      <w:proofErr w:type="spellStart"/>
      <w:r w:rsidRPr="00EA4665">
        <w:rPr>
          <w:rFonts w:ascii="Arial" w:hAnsi="Arial" w:cs="Arial"/>
        </w:rPr>
        <w:t>multicollinearity</w:t>
      </w:r>
      <w:proofErr w:type="spellEnd"/>
      <w:r w:rsidRPr="00EA4665">
        <w:rPr>
          <w:rFonts w:ascii="Arial" w:hAnsi="Arial" w:cs="Arial"/>
        </w:rPr>
        <w:t xml:space="preserve"> is a genuine concern in financial time series regressions. While it does not bias estimates, it inflates varia</w:t>
      </w:r>
      <w:r w:rsidR="006E3C99">
        <w:rPr>
          <w:rFonts w:ascii="Arial" w:hAnsi="Arial" w:cs="Arial"/>
        </w:rPr>
        <w:t xml:space="preserve">nces and undermines inference. </w:t>
      </w:r>
      <w:r w:rsidRPr="0049687B">
        <w:rPr>
          <w:rFonts w:ascii="Arial" w:hAnsi="Arial" w:cs="Arial"/>
        </w:rPr>
        <w:t xml:space="preserve">These results confirm that </w:t>
      </w:r>
      <w:proofErr w:type="spellStart"/>
      <w:r w:rsidRPr="0049687B">
        <w:rPr>
          <w:rFonts w:ascii="Arial" w:hAnsi="Arial" w:cs="Arial"/>
        </w:rPr>
        <w:t>multicollinearity</w:t>
      </w:r>
      <w:proofErr w:type="spellEnd"/>
      <w:r w:rsidRPr="0049687B">
        <w:rPr>
          <w:rFonts w:ascii="Arial" w:hAnsi="Arial" w:cs="Arial"/>
        </w:rPr>
        <w:t xml:space="preserve"> is present in the regression of AAPL on MSFT and SPY. Although not severe enough to invalidate the model, it complicates inference. For forecasting purposes, this degree of </w:t>
      </w:r>
      <w:proofErr w:type="spellStart"/>
      <w:r w:rsidRPr="0049687B">
        <w:rPr>
          <w:rFonts w:ascii="Arial" w:hAnsi="Arial" w:cs="Arial"/>
        </w:rPr>
        <w:t>multicollinearity</w:t>
      </w:r>
      <w:proofErr w:type="spellEnd"/>
      <w:r w:rsidRPr="0049687B">
        <w:rPr>
          <w:rFonts w:ascii="Arial" w:hAnsi="Arial" w:cs="Arial"/>
        </w:rPr>
        <w:t xml:space="preserve"> is unlikely to pose a major problem.</w:t>
      </w:r>
    </w:p>
    <w:p w14:paraId="5354EB4F" w14:textId="77777777" w:rsidR="00D35F3F" w:rsidRDefault="00D35F3F" w:rsidP="00D35F3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BD40C3D" w14:textId="77777777" w:rsidR="00D35F3F" w:rsidRPr="006E3C99" w:rsidRDefault="00D35F3F" w:rsidP="00D35F3F">
      <w:pPr>
        <w:spacing w:line="259" w:lineRule="auto"/>
        <w:rPr>
          <w:rFonts w:ascii="Arial" w:hAnsi="Arial" w:cs="Arial"/>
          <w:b/>
          <w:bCs/>
        </w:rPr>
      </w:pPr>
      <w:r w:rsidRPr="006E3C99">
        <w:rPr>
          <w:rFonts w:ascii="Arial" w:hAnsi="Arial" w:cs="Arial"/>
          <w:b/>
          <w:bCs/>
        </w:rPr>
        <w:lastRenderedPageBreak/>
        <w:t>Task 2: Time Series Regression on S&amp;P 500 Index</w:t>
      </w:r>
    </w:p>
    <w:p w14:paraId="10E67880" w14:textId="77777777" w:rsidR="00D35F3F" w:rsidRPr="006E3C99" w:rsidRDefault="00D35F3F" w:rsidP="00D35F3F">
      <w:pPr>
        <w:rPr>
          <w:rFonts w:ascii="Arial" w:hAnsi="Arial" w:cs="Arial"/>
        </w:rPr>
      </w:pPr>
    </w:p>
    <w:p w14:paraId="74A96F2F" w14:textId="77777777" w:rsidR="00D35F3F" w:rsidRPr="006E3C99" w:rsidRDefault="00D35F3F" w:rsidP="00D35F3F">
      <w:pPr>
        <w:spacing w:line="259" w:lineRule="auto"/>
        <w:rPr>
          <w:rFonts w:ascii="Arial" w:hAnsi="Arial" w:cs="Arial"/>
          <w:b/>
          <w:bCs/>
        </w:rPr>
      </w:pPr>
      <w:r w:rsidRPr="006E3C99">
        <w:rPr>
          <w:rFonts w:ascii="Arial" w:hAnsi="Arial" w:cs="Arial"/>
          <w:b/>
          <w:bCs/>
        </w:rPr>
        <w:t>Model Specification and Estimation</w:t>
      </w:r>
    </w:p>
    <w:p w14:paraId="231B501E" w14:textId="77777777" w:rsidR="00D35F3F" w:rsidRPr="006E3C99" w:rsidRDefault="00D35F3F" w:rsidP="00D35F3F">
      <w:pPr>
        <w:spacing w:line="259" w:lineRule="auto"/>
        <w:rPr>
          <w:rFonts w:ascii="Arial" w:hAnsi="Arial" w:cs="Arial"/>
        </w:rPr>
      </w:pPr>
      <w:r w:rsidRPr="006E3C99">
        <w:rPr>
          <w:rFonts w:ascii="Arial" w:hAnsi="Arial" w:cs="Arial"/>
        </w:rPr>
        <w:t>We regressed the annual level of the S&amp;P 500 Index (1980–2023) on Year to examine its long-term behavior:</w:t>
      </w:r>
      <w:r w:rsidRPr="006E3C99">
        <w:rPr>
          <w:rFonts w:ascii="Arial" w:hAnsi="Arial" w:cs="Arial"/>
        </w:rPr>
        <w:br/>
      </w:r>
      <w:r w:rsidRPr="006E3C99">
        <w:rPr>
          <w:rFonts w:ascii="Arial" w:hAnsi="Arial" w:cs="Arial"/>
        </w:rPr>
        <w:br/>
        <w:t xml:space="preserve"> SP500_t = β</w:t>
      </w:r>
      <w:r w:rsidRPr="006E3C99">
        <w:rPr>
          <w:rFonts w:ascii="Cambria Math" w:hAnsi="Cambria Math" w:cs="Cambria Math"/>
        </w:rPr>
        <w:t>₀</w:t>
      </w:r>
      <w:r w:rsidRPr="006E3C99">
        <w:rPr>
          <w:rFonts w:ascii="Arial" w:hAnsi="Arial" w:cs="Arial"/>
        </w:rPr>
        <w:t xml:space="preserve"> + β</w:t>
      </w:r>
      <w:r w:rsidRPr="006E3C99">
        <w:rPr>
          <w:rFonts w:ascii="Cambria Math" w:hAnsi="Cambria Math" w:cs="Cambria Math"/>
        </w:rPr>
        <w:t>₁</w:t>
      </w:r>
      <w:proofErr w:type="spellStart"/>
      <w:r w:rsidRPr="006E3C99">
        <w:rPr>
          <w:rFonts w:ascii="Arial" w:hAnsi="Arial" w:cs="Arial"/>
        </w:rPr>
        <w:t>Year_t</w:t>
      </w:r>
      <w:proofErr w:type="spellEnd"/>
      <w:r w:rsidRPr="006E3C99">
        <w:rPr>
          <w:rFonts w:ascii="Arial" w:hAnsi="Arial" w:cs="Arial"/>
        </w:rPr>
        <w:t xml:space="preserve"> + ε.</w:t>
      </w:r>
    </w:p>
    <w:p w14:paraId="69DD540E" w14:textId="77777777" w:rsidR="00D35F3F" w:rsidRPr="006E3C99" w:rsidRDefault="00D35F3F" w:rsidP="00D35F3F">
      <w:pPr>
        <w:spacing w:line="259" w:lineRule="auto"/>
        <w:rPr>
          <w:rFonts w:ascii="Arial" w:hAnsi="Arial" w:cs="Arial"/>
          <w:b/>
          <w:bCs/>
        </w:rPr>
      </w:pPr>
      <w:r w:rsidRPr="006E3C99">
        <w:rPr>
          <w:rFonts w:ascii="Arial" w:hAnsi="Arial" w:cs="Arial"/>
          <w:b/>
          <w:bCs/>
        </w:rPr>
        <w:t>Regression Results Interpretation</w:t>
      </w:r>
    </w:p>
    <w:p w14:paraId="6AEE9006" w14:textId="77777777" w:rsidR="00D35F3F" w:rsidRPr="006E3C99" w:rsidRDefault="00D35F3F" w:rsidP="00D35F3F">
      <w:pPr>
        <w:rPr>
          <w:rFonts w:ascii="Arial" w:hAnsi="Arial" w:cs="Arial"/>
        </w:rPr>
      </w:pPr>
      <w:r w:rsidRPr="006E3C99">
        <w:rPr>
          <w:rFonts w:ascii="Arial" w:hAnsi="Arial" w:cs="Arial"/>
        </w:rPr>
        <w:t xml:space="preserve">The regression yielded a significant positive slope (β ≈ 78.5, p &lt; 0.001) and R² = 0.798, suggesting a strong fit. </w:t>
      </w:r>
    </w:p>
    <w:p w14:paraId="5D182872" w14:textId="77777777" w:rsidR="00D35F3F" w:rsidRPr="006E3C99" w:rsidRDefault="00D35F3F" w:rsidP="00D35F3F">
      <w:pPr>
        <w:spacing w:line="259" w:lineRule="auto"/>
        <w:rPr>
          <w:rFonts w:ascii="Arial" w:hAnsi="Arial" w:cs="Arial"/>
        </w:rPr>
      </w:pPr>
      <w:r w:rsidRPr="006E3C99">
        <w:rPr>
          <w:rFonts w:ascii="Arial" w:hAnsi="Arial" w:cs="Arial"/>
        </w:rPr>
        <w:t>However, Durbin-Watson = 0.168 indicated strong autocorrelation, and the condition number (315,000) pointed to trend-induced collinearity. The fitted regression line under predicted recent exponential growth and implied negative index levels in the early 1980s. This is consistent with a spurious regression.</w:t>
      </w:r>
    </w:p>
    <w:p w14:paraId="02D47768" w14:textId="77777777" w:rsidR="00D35F3F" w:rsidRPr="006E3C99" w:rsidRDefault="00D35F3F" w:rsidP="00D35F3F">
      <w:pPr>
        <w:spacing w:line="259" w:lineRule="auto"/>
        <w:rPr>
          <w:rFonts w:ascii="Arial" w:hAnsi="Arial" w:cs="Arial"/>
          <w:b/>
          <w:bCs/>
        </w:rPr>
      </w:pPr>
      <w:r w:rsidRPr="006E3C99">
        <w:rPr>
          <w:rFonts w:ascii="Arial" w:hAnsi="Arial" w:cs="Arial"/>
          <w:b/>
          <w:bCs/>
        </w:rPr>
        <w:t>Identification of Issues</w:t>
      </w:r>
    </w:p>
    <w:p w14:paraId="2BF58A07" w14:textId="77777777" w:rsidR="00D35F3F" w:rsidRPr="006E3C99" w:rsidRDefault="00D35F3F" w:rsidP="00D35F3F">
      <w:pPr>
        <w:spacing w:line="259" w:lineRule="auto"/>
        <w:rPr>
          <w:rFonts w:ascii="Arial" w:hAnsi="Arial" w:cs="Arial"/>
        </w:rPr>
      </w:pPr>
      <w:r w:rsidRPr="006E3C99">
        <w:rPr>
          <w:rFonts w:ascii="Arial" w:hAnsi="Arial" w:cs="Arial"/>
        </w:rPr>
        <w:t xml:space="preserve">The model is economically implausible because it assumes linear growth with time. Both Year and SP500 are trending non-stationary variables, producing artificial correlation. OLS assumptions </w:t>
      </w:r>
      <w:proofErr w:type="gramStart"/>
      <w:r w:rsidRPr="006E3C99">
        <w:rPr>
          <w:rFonts w:ascii="Arial" w:hAnsi="Arial" w:cs="Arial"/>
        </w:rPr>
        <w:t>are violated</w:t>
      </w:r>
      <w:proofErr w:type="gramEnd"/>
      <w:r w:rsidRPr="006E3C99">
        <w:rPr>
          <w:rFonts w:ascii="Arial" w:hAnsi="Arial" w:cs="Arial"/>
        </w:rPr>
        <w:t xml:space="preserve"> due to serial correlation and non-stationarity. </w:t>
      </w:r>
    </w:p>
    <w:p w14:paraId="05BCFFB2" w14:textId="77777777" w:rsidR="00D35F3F" w:rsidRPr="006E3C99" w:rsidRDefault="00D35F3F" w:rsidP="00D35F3F">
      <w:pPr>
        <w:spacing w:line="259" w:lineRule="auto"/>
        <w:rPr>
          <w:rFonts w:ascii="Arial" w:hAnsi="Arial" w:cs="Arial"/>
          <w:b/>
          <w:bCs/>
        </w:rPr>
      </w:pPr>
      <w:r w:rsidRPr="006E3C99">
        <w:rPr>
          <w:rFonts w:ascii="Arial" w:hAnsi="Arial" w:cs="Arial"/>
          <w:b/>
          <w:bCs/>
        </w:rPr>
        <w:t>Proposed Resolution</w:t>
      </w:r>
    </w:p>
    <w:p w14:paraId="3EAA0F47" w14:textId="77777777" w:rsidR="00D35F3F" w:rsidRPr="006E3C99" w:rsidRDefault="00D35F3F" w:rsidP="00D35F3F">
      <w:pPr>
        <w:rPr>
          <w:rFonts w:ascii="Arial" w:hAnsi="Arial" w:cs="Arial"/>
        </w:rPr>
      </w:pPr>
      <w:r w:rsidRPr="006E3C99">
        <w:rPr>
          <w:rFonts w:ascii="Arial" w:hAnsi="Arial" w:cs="Arial"/>
        </w:rPr>
        <w:t>To address these issues:</w:t>
      </w:r>
    </w:p>
    <w:p w14:paraId="1D18F8CD" w14:textId="77777777" w:rsidR="00D35F3F" w:rsidRPr="006E3C99" w:rsidRDefault="00D35F3F" w:rsidP="00D35F3F">
      <w:pPr>
        <w:pStyle w:val="ListParagraph"/>
        <w:numPr>
          <w:ilvl w:val="0"/>
          <w:numId w:val="17"/>
        </w:numPr>
        <w:spacing w:after="200" w:line="276" w:lineRule="auto"/>
        <w:rPr>
          <w:rFonts w:ascii="Arial" w:hAnsi="Arial" w:cs="Arial"/>
        </w:rPr>
      </w:pPr>
      <w:r w:rsidRPr="006E3C99">
        <w:rPr>
          <w:rFonts w:ascii="Arial" w:hAnsi="Arial" w:cs="Arial"/>
        </w:rPr>
        <w:t>Transform index levels into annual log returns (stationary series).</w:t>
      </w:r>
    </w:p>
    <w:p w14:paraId="620D9A6D" w14:textId="77777777" w:rsidR="00D35F3F" w:rsidRPr="006E3C99" w:rsidRDefault="00D35F3F" w:rsidP="00D35F3F">
      <w:pPr>
        <w:pStyle w:val="ListParagraph"/>
        <w:numPr>
          <w:ilvl w:val="0"/>
          <w:numId w:val="17"/>
        </w:numPr>
        <w:spacing w:after="200" w:line="276" w:lineRule="auto"/>
        <w:rPr>
          <w:rFonts w:ascii="Arial" w:hAnsi="Arial" w:cs="Arial"/>
        </w:rPr>
      </w:pPr>
      <w:r w:rsidRPr="006E3C99">
        <w:rPr>
          <w:rFonts w:ascii="Arial" w:hAnsi="Arial" w:cs="Arial"/>
        </w:rPr>
        <w:t>Estimate models using ARIMA or GARCH to account for autocorrelation and volatility clustering.</w:t>
      </w:r>
    </w:p>
    <w:p w14:paraId="3EEA2C27" w14:textId="77777777" w:rsidR="00D35F3F" w:rsidRPr="006E3C99" w:rsidRDefault="00D35F3F" w:rsidP="00D35F3F">
      <w:pPr>
        <w:pStyle w:val="ListParagraph"/>
        <w:numPr>
          <w:ilvl w:val="0"/>
          <w:numId w:val="17"/>
        </w:numPr>
        <w:spacing w:after="200" w:line="276" w:lineRule="auto"/>
        <w:rPr>
          <w:rFonts w:ascii="Arial" w:hAnsi="Arial" w:cs="Arial"/>
        </w:rPr>
      </w:pPr>
      <w:r w:rsidRPr="006E3C99">
        <w:rPr>
          <w:rFonts w:ascii="Arial" w:hAnsi="Arial" w:cs="Arial"/>
        </w:rPr>
        <w:t>For long-run analysis, use co-integration techniques to link the S&amp;P 500 with economic fundamentals such as GDP or interest rates.</w:t>
      </w:r>
    </w:p>
    <w:p w14:paraId="38ACA4DE" w14:textId="77777777" w:rsidR="00D35F3F" w:rsidRPr="006E3C99" w:rsidRDefault="00D35F3F" w:rsidP="00D35F3F">
      <w:pPr>
        <w:spacing w:line="259" w:lineRule="auto"/>
        <w:rPr>
          <w:rFonts w:ascii="Arial" w:hAnsi="Arial" w:cs="Arial"/>
          <w:b/>
          <w:bCs/>
        </w:rPr>
      </w:pPr>
      <w:r w:rsidRPr="006E3C99">
        <w:rPr>
          <w:rFonts w:ascii="Arial" w:hAnsi="Arial" w:cs="Arial"/>
          <w:b/>
          <w:bCs/>
        </w:rPr>
        <w:t>Conclusion</w:t>
      </w:r>
    </w:p>
    <w:p w14:paraId="523DA42D" w14:textId="77777777" w:rsidR="00D35F3F" w:rsidRPr="006E3C99" w:rsidRDefault="00D35F3F" w:rsidP="00D35F3F">
      <w:pPr>
        <w:spacing w:line="259" w:lineRule="auto"/>
        <w:rPr>
          <w:rFonts w:ascii="Arial" w:hAnsi="Arial" w:cs="Arial"/>
        </w:rPr>
      </w:pPr>
      <w:r w:rsidRPr="006E3C99">
        <w:rPr>
          <w:rFonts w:ascii="Arial" w:hAnsi="Arial" w:cs="Arial"/>
        </w:rPr>
        <w:t>The regression of SP500 levels on Year appears statistically strong but is spurious. The high R² arises from shared upward trends, not a causal relationship. Transforming data into returns provides a more realistic modeling framework, ensuring stationarity and avoiding misleading inference.</w:t>
      </w:r>
    </w:p>
    <w:p w14:paraId="21D02FC9" w14:textId="77777777" w:rsidR="00D35F3F" w:rsidRPr="0049687B" w:rsidRDefault="00D35F3F" w:rsidP="00D35F3F">
      <w:pPr>
        <w:rPr>
          <w:rFonts w:ascii="Arial" w:hAnsi="Arial" w:cs="Arial"/>
        </w:rPr>
      </w:pPr>
    </w:p>
    <w:p w14:paraId="4AC5F8E7" w14:textId="77777777" w:rsidR="00D35F3F" w:rsidRPr="00EA4665" w:rsidRDefault="00D35F3F" w:rsidP="00D35F3F">
      <w:pPr>
        <w:rPr>
          <w:rFonts w:ascii="Arial" w:hAnsi="Arial" w:cs="Arial"/>
        </w:rPr>
      </w:pPr>
    </w:p>
    <w:p w14:paraId="27EA8951" w14:textId="77777777" w:rsidR="00D35F3F" w:rsidRPr="00EA4665" w:rsidRDefault="00D35F3F" w:rsidP="00D35F3F">
      <w:pPr>
        <w:rPr>
          <w:rFonts w:ascii="Arial" w:hAnsi="Arial" w:cs="Arial"/>
        </w:rPr>
      </w:pPr>
      <w:r w:rsidRPr="00EA4665">
        <w:rPr>
          <w:rFonts w:ascii="Arial" w:hAnsi="Arial" w:cs="Arial"/>
        </w:rPr>
        <w:br w:type="page"/>
      </w:r>
    </w:p>
    <w:p w14:paraId="6BA2A245" w14:textId="77777777" w:rsidR="00D35F3F" w:rsidRDefault="00D35F3F" w:rsidP="00D35F3F">
      <w:pPr>
        <w:rPr>
          <w:b/>
          <w:sz w:val="28"/>
        </w:rPr>
      </w:pPr>
      <w:r>
        <w:rPr>
          <w:b/>
          <w:sz w:val="28"/>
        </w:rPr>
        <w:lastRenderedPageBreak/>
        <w:t>Ref</w:t>
      </w:r>
      <w:r w:rsidRPr="0049687B">
        <w:rPr>
          <w:b/>
          <w:sz w:val="28"/>
        </w:rPr>
        <w:t>erences</w:t>
      </w:r>
    </w:p>
    <w:p w14:paraId="59381399" w14:textId="77777777" w:rsidR="00D35F3F" w:rsidRPr="0049687B" w:rsidRDefault="00D35F3F" w:rsidP="00D35F3F">
      <w:pPr>
        <w:pStyle w:val="ListParagraph"/>
        <w:numPr>
          <w:ilvl w:val="0"/>
          <w:numId w:val="16"/>
        </w:numPr>
        <w:spacing w:after="200" w:line="276" w:lineRule="auto"/>
        <w:rPr>
          <w:sz w:val="28"/>
        </w:rPr>
      </w:pPr>
      <w:r w:rsidRPr="0049687B">
        <w:rPr>
          <w:sz w:val="28"/>
        </w:rPr>
        <w:t xml:space="preserve">Brooks, C. (2019). </w:t>
      </w:r>
      <w:r w:rsidRPr="0049687B">
        <w:rPr>
          <w:i/>
          <w:iCs/>
          <w:sz w:val="28"/>
        </w:rPr>
        <w:t>Introductory econometrics for finance</w:t>
      </w:r>
      <w:r w:rsidRPr="0049687B">
        <w:rPr>
          <w:sz w:val="28"/>
        </w:rPr>
        <w:t xml:space="preserve"> (4th </w:t>
      </w:r>
      <w:proofErr w:type="gramStart"/>
      <w:r w:rsidRPr="0049687B">
        <w:rPr>
          <w:sz w:val="28"/>
        </w:rPr>
        <w:t>ed</w:t>
      </w:r>
      <w:proofErr w:type="gramEnd"/>
      <w:r w:rsidRPr="0049687B">
        <w:rPr>
          <w:sz w:val="28"/>
        </w:rPr>
        <w:t>.). Cambridge University Press.</w:t>
      </w:r>
    </w:p>
    <w:p w14:paraId="5754A906" w14:textId="77777777" w:rsidR="00D35F3F" w:rsidRPr="0049687B" w:rsidRDefault="00D35F3F" w:rsidP="00D35F3F">
      <w:pPr>
        <w:pStyle w:val="ListParagraph"/>
        <w:numPr>
          <w:ilvl w:val="0"/>
          <w:numId w:val="16"/>
        </w:numPr>
        <w:spacing w:after="200" w:line="276" w:lineRule="auto"/>
        <w:rPr>
          <w:sz w:val="28"/>
        </w:rPr>
      </w:pPr>
      <w:r w:rsidRPr="0049687B">
        <w:rPr>
          <w:sz w:val="28"/>
        </w:rPr>
        <w:t xml:space="preserve">Gujarati, D. N., &amp; Porter, D. C. (2009). </w:t>
      </w:r>
      <w:r w:rsidRPr="0049687B">
        <w:rPr>
          <w:i/>
          <w:iCs/>
          <w:sz w:val="28"/>
        </w:rPr>
        <w:t>Basic econometrics</w:t>
      </w:r>
      <w:r w:rsidRPr="0049687B">
        <w:rPr>
          <w:sz w:val="28"/>
        </w:rPr>
        <w:t xml:space="preserve"> (5th </w:t>
      </w:r>
      <w:proofErr w:type="gramStart"/>
      <w:r w:rsidRPr="0049687B">
        <w:rPr>
          <w:sz w:val="28"/>
        </w:rPr>
        <w:t>ed</w:t>
      </w:r>
      <w:proofErr w:type="gramEnd"/>
      <w:r w:rsidRPr="0049687B">
        <w:rPr>
          <w:sz w:val="28"/>
        </w:rPr>
        <w:t>.). McGraw-Hill.</w:t>
      </w:r>
    </w:p>
    <w:p w14:paraId="65E54037" w14:textId="77777777" w:rsidR="00D35F3F" w:rsidRPr="0049687B" w:rsidRDefault="00D35F3F" w:rsidP="00D35F3F">
      <w:pPr>
        <w:pStyle w:val="ListParagraph"/>
        <w:numPr>
          <w:ilvl w:val="0"/>
          <w:numId w:val="16"/>
        </w:numPr>
        <w:spacing w:after="200" w:line="276" w:lineRule="auto"/>
        <w:rPr>
          <w:sz w:val="28"/>
        </w:rPr>
      </w:pPr>
      <w:r w:rsidRPr="0049687B">
        <w:rPr>
          <w:sz w:val="28"/>
        </w:rPr>
        <w:t xml:space="preserve">Hamilton, J. D. (1994). </w:t>
      </w:r>
      <w:r w:rsidRPr="0049687B">
        <w:rPr>
          <w:i/>
          <w:iCs/>
          <w:sz w:val="28"/>
        </w:rPr>
        <w:t>Time series analysis</w:t>
      </w:r>
      <w:r w:rsidRPr="0049687B">
        <w:rPr>
          <w:sz w:val="28"/>
        </w:rPr>
        <w:t>. Princeton University Press.</w:t>
      </w:r>
    </w:p>
    <w:p w14:paraId="5A3F3F6F" w14:textId="6B9C7075" w:rsidR="00D35F3F" w:rsidRPr="00D35F3F" w:rsidRDefault="00D35F3F" w:rsidP="00D35F3F">
      <w:pPr>
        <w:pStyle w:val="ListParagraph"/>
        <w:numPr>
          <w:ilvl w:val="0"/>
          <w:numId w:val="16"/>
        </w:numPr>
        <w:spacing w:after="200" w:line="276" w:lineRule="auto"/>
        <w:rPr>
          <w:sz w:val="28"/>
        </w:rPr>
      </w:pPr>
      <w:proofErr w:type="spellStart"/>
      <w:r w:rsidRPr="0049687B">
        <w:rPr>
          <w:sz w:val="28"/>
        </w:rPr>
        <w:t>Tsay</w:t>
      </w:r>
      <w:proofErr w:type="spellEnd"/>
      <w:r w:rsidRPr="0049687B">
        <w:rPr>
          <w:sz w:val="28"/>
        </w:rPr>
        <w:t xml:space="preserve">, R. S. (2010). </w:t>
      </w:r>
      <w:r w:rsidRPr="0049687B">
        <w:rPr>
          <w:i/>
          <w:iCs/>
          <w:sz w:val="28"/>
        </w:rPr>
        <w:t>Analysis of financial time series</w:t>
      </w:r>
      <w:r w:rsidRPr="0049687B">
        <w:rPr>
          <w:sz w:val="28"/>
        </w:rPr>
        <w:t xml:space="preserve"> (3rd </w:t>
      </w:r>
      <w:proofErr w:type="gramStart"/>
      <w:r w:rsidRPr="0049687B">
        <w:rPr>
          <w:sz w:val="28"/>
        </w:rPr>
        <w:t>ed</w:t>
      </w:r>
      <w:proofErr w:type="gramEnd"/>
      <w:r w:rsidRPr="0049687B">
        <w:rPr>
          <w:sz w:val="28"/>
        </w:rPr>
        <w:t>.). Wiley.</w:t>
      </w:r>
    </w:p>
    <w:p w14:paraId="037DEDBB" w14:textId="30F8F798" w:rsidR="00D35F3F" w:rsidRPr="00D35F3F" w:rsidRDefault="00D35F3F" w:rsidP="00D35F3F">
      <w:pPr>
        <w:pStyle w:val="ListParagraph"/>
        <w:numPr>
          <w:ilvl w:val="0"/>
          <w:numId w:val="16"/>
        </w:numPr>
        <w:spacing w:after="200" w:line="276" w:lineRule="auto"/>
        <w:rPr>
          <w:sz w:val="28"/>
        </w:rPr>
      </w:pPr>
      <w:r w:rsidRPr="00D35F3F">
        <w:rPr>
          <w:sz w:val="28"/>
        </w:rPr>
        <w:t xml:space="preserve">Wooldridge, J. M. (2016). </w:t>
      </w:r>
      <w:r w:rsidRPr="00D35F3F">
        <w:rPr>
          <w:i/>
          <w:iCs/>
          <w:sz w:val="28"/>
        </w:rPr>
        <w:t>Introductory econometrics: A modern approach</w:t>
      </w:r>
      <w:r w:rsidRPr="00D35F3F">
        <w:rPr>
          <w:sz w:val="28"/>
        </w:rPr>
        <w:t xml:space="preserve"> (6th </w:t>
      </w:r>
      <w:proofErr w:type="gramStart"/>
      <w:r w:rsidRPr="00D35F3F">
        <w:rPr>
          <w:sz w:val="28"/>
        </w:rPr>
        <w:t>ed</w:t>
      </w:r>
      <w:proofErr w:type="gramEnd"/>
      <w:r w:rsidRPr="00D35F3F">
        <w:rPr>
          <w:sz w:val="28"/>
        </w:rPr>
        <w:t>.). Cengage Learning.</w:t>
      </w:r>
    </w:p>
    <w:p w14:paraId="0B4D2DCE" w14:textId="77777777" w:rsidR="00D35F3F" w:rsidRDefault="00D35F3F">
      <w:pPr>
        <w:rPr>
          <w:sz w:val="28"/>
        </w:rPr>
      </w:pPr>
      <w:r>
        <w:rPr>
          <w:sz w:val="28"/>
        </w:rPr>
        <w:br w:type="page"/>
      </w:r>
    </w:p>
    <w:p w14:paraId="73F5FFB4" w14:textId="1115C5AD" w:rsidR="00AF5410" w:rsidRDefault="00AF5410" w:rsidP="00D35F3F">
      <w:pPr>
        <w:rPr>
          <w:b/>
          <w:bCs/>
        </w:rPr>
      </w:pPr>
      <w:r w:rsidRPr="00AF5410">
        <w:rPr>
          <w:b/>
          <w:bCs/>
        </w:rPr>
        <w:lastRenderedPageBreak/>
        <w:t>Appendix: Empirical Analysis Output</w:t>
      </w:r>
    </w:p>
    <w:p w14:paraId="3DA9439E" w14:textId="19C98B7F" w:rsidR="00AF5410" w:rsidRPr="00AF5410" w:rsidRDefault="00AF5410" w:rsidP="00AF5410">
      <w:pPr>
        <w:rPr>
          <w:b/>
          <w:bCs/>
        </w:rPr>
      </w:pPr>
      <w:r>
        <w:rPr>
          <w:b/>
          <w:bCs/>
        </w:rPr>
        <w:t xml:space="preserve">Task </w:t>
      </w:r>
      <w:proofErr w:type="gramStart"/>
      <w:r>
        <w:rPr>
          <w:b/>
          <w:bCs/>
        </w:rPr>
        <w:t>1</w:t>
      </w:r>
      <w:proofErr w:type="gramEnd"/>
      <w:r>
        <w:rPr>
          <w:b/>
          <w:bCs/>
        </w:rPr>
        <w:t xml:space="preserve"> Code and results</w:t>
      </w:r>
    </w:p>
    <w:p w14:paraId="6A845BEA" w14:textId="77777777" w:rsidR="00D35F3F" w:rsidRDefault="00D35F3F">
      <w:pPr>
        <w:rPr>
          <w:b/>
          <w:bCs/>
        </w:rPr>
      </w:pPr>
      <w:r>
        <w:rPr>
          <w:b/>
          <w:bCs/>
        </w:rPr>
        <w:br w:type="page"/>
      </w:r>
    </w:p>
    <w:p w14:paraId="73FF8116" w14:textId="71F2986C" w:rsidR="00AF5410" w:rsidRPr="006E3C99" w:rsidRDefault="00AF5410" w:rsidP="006E3C99">
      <w:pPr>
        <w:rPr>
          <w:b/>
          <w:bCs/>
        </w:rPr>
      </w:pPr>
      <w:r w:rsidRPr="00AF5410">
        <w:rPr>
          <w:b/>
          <w:bCs/>
        </w:rPr>
        <w:lastRenderedPageBreak/>
        <w:t>Task 2 Code and Results</w:t>
      </w:r>
    </w:p>
    <w:sectPr w:rsidR="00AF5410" w:rsidRPr="006E3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E61A0"/>
    <w:multiLevelType w:val="hybridMultilevel"/>
    <w:tmpl w:val="13781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A2C84"/>
    <w:multiLevelType w:val="hybridMultilevel"/>
    <w:tmpl w:val="DA78C5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2B1FC2"/>
    <w:multiLevelType w:val="multilevel"/>
    <w:tmpl w:val="338A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32BA7"/>
    <w:multiLevelType w:val="multilevel"/>
    <w:tmpl w:val="DF8EF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84124D"/>
    <w:multiLevelType w:val="multilevel"/>
    <w:tmpl w:val="F7C28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0D11BE"/>
    <w:multiLevelType w:val="hybridMultilevel"/>
    <w:tmpl w:val="38E4F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A40C60"/>
    <w:multiLevelType w:val="hybridMultilevel"/>
    <w:tmpl w:val="38E4F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B7818"/>
    <w:multiLevelType w:val="multilevel"/>
    <w:tmpl w:val="E1BA1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C675AE"/>
    <w:multiLevelType w:val="multilevel"/>
    <w:tmpl w:val="E9E23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6C0472"/>
    <w:multiLevelType w:val="hybridMultilevel"/>
    <w:tmpl w:val="32C2C088"/>
    <w:lvl w:ilvl="0" w:tplc="CB249F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8053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B60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8437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B6E3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2A30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5EDC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B0C8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7221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F977706"/>
    <w:multiLevelType w:val="multilevel"/>
    <w:tmpl w:val="F7C28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F71B9C"/>
    <w:multiLevelType w:val="multilevel"/>
    <w:tmpl w:val="F7C28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FE1D48"/>
    <w:multiLevelType w:val="hybridMultilevel"/>
    <w:tmpl w:val="0324EF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52F1A15"/>
    <w:multiLevelType w:val="hybridMultilevel"/>
    <w:tmpl w:val="8808F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3414F2"/>
    <w:multiLevelType w:val="hybridMultilevel"/>
    <w:tmpl w:val="893642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B5F7752"/>
    <w:multiLevelType w:val="multilevel"/>
    <w:tmpl w:val="D29C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9F5445"/>
    <w:multiLevelType w:val="hybridMultilevel"/>
    <w:tmpl w:val="496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10"/>
  </w:num>
  <w:num w:numId="5">
    <w:abstractNumId w:val="7"/>
  </w:num>
  <w:num w:numId="6">
    <w:abstractNumId w:val="2"/>
  </w:num>
  <w:num w:numId="7">
    <w:abstractNumId w:val="11"/>
  </w:num>
  <w:num w:numId="8">
    <w:abstractNumId w:val="15"/>
  </w:num>
  <w:num w:numId="9">
    <w:abstractNumId w:val="4"/>
  </w:num>
  <w:num w:numId="10">
    <w:abstractNumId w:val="14"/>
  </w:num>
  <w:num w:numId="11">
    <w:abstractNumId w:val="1"/>
  </w:num>
  <w:num w:numId="12">
    <w:abstractNumId w:val="12"/>
  </w:num>
  <w:num w:numId="13">
    <w:abstractNumId w:val="5"/>
  </w:num>
  <w:num w:numId="14">
    <w:abstractNumId w:val="16"/>
  </w:num>
  <w:num w:numId="15">
    <w:abstractNumId w:val="0"/>
  </w:num>
  <w:num w:numId="16">
    <w:abstractNumId w:val="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8A7"/>
    <w:rsid w:val="000B6BE1"/>
    <w:rsid w:val="000D0686"/>
    <w:rsid w:val="000D7A66"/>
    <w:rsid w:val="004139E1"/>
    <w:rsid w:val="00496B37"/>
    <w:rsid w:val="006E3C99"/>
    <w:rsid w:val="00785C84"/>
    <w:rsid w:val="00AF5410"/>
    <w:rsid w:val="00B15BBE"/>
    <w:rsid w:val="00BA08A7"/>
    <w:rsid w:val="00CF1268"/>
    <w:rsid w:val="00D35F3F"/>
    <w:rsid w:val="00DC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B02A"/>
  <w15:chartTrackingRefBased/>
  <w15:docId w15:val="{AA30D441-EBBC-48CF-A8E9-C041CA938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410"/>
  </w:style>
  <w:style w:type="paragraph" w:styleId="Heading1">
    <w:name w:val="heading 1"/>
    <w:basedOn w:val="Normal"/>
    <w:next w:val="Normal"/>
    <w:link w:val="Heading1Char"/>
    <w:uiPriority w:val="9"/>
    <w:qFormat/>
    <w:rsid w:val="00BA0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8A7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AF5410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AF5410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D35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5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Bekithemba Nkomo</dc:creator>
  <cp:keywords/>
  <dc:description/>
  <cp:lastModifiedBy>Ruvarashe</cp:lastModifiedBy>
  <cp:revision>2</cp:revision>
  <dcterms:created xsi:type="dcterms:W3CDTF">2025-10-02T18:58:00Z</dcterms:created>
  <dcterms:modified xsi:type="dcterms:W3CDTF">2025-10-02T18:58:00Z</dcterms:modified>
</cp:coreProperties>
</file>