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FICTIONAL SAMPLE DOCUMENT FOR WORKSHOP USE. Blue Defence and the content of this document are fictional.</w:t>
      </w:r>
    </w:p>
    <w:p>
      <w:pPr>
        <w:pStyle w:val="Title"/>
      </w:pPr>
      <w:r>
        <w:t>Security Clearance Policy</w:t>
      </w:r>
    </w:p>
    <w:p>
      <w:r>
        <w:t>Blue Defence. POL-SEC-011 Revision 2. Effective 1 July 2026. Owner: Security Office.</w:t>
      </w:r>
    </w:p>
    <w:p>
      <w:pPr>
        <w:pStyle w:val="Heading1"/>
      </w:pPr>
      <w:r>
        <w:t>1. Scope</w:t>
      </w:r>
    </w:p>
    <w:p>
      <w:r>
        <w:t>This policy covers security clearances for Blue Defence employees and contractors who work with classified material.</w:t>
      </w:r>
    </w:p>
    <w:p>
      <w:pPr>
        <w:pStyle w:val="Heading1"/>
      </w:pPr>
      <w:r>
        <w:t>2. Sponsorship</w:t>
      </w:r>
    </w:p>
    <w:p>
      <w:r>
        <w:t>The applicant's Division Director sponsors each clearance application. The Security Office starts vetting within 10 working days of receiving it.</w:t>
      </w:r>
    </w:p>
    <w:p>
      <w:pPr>
        <w:pStyle w:val="Heading1"/>
      </w:pPr>
      <w:r>
        <w:t>3. Clearance levels</w:t>
      </w:r>
    </w:p>
    <w:p>
      <w:pPr>
        <w:pStyle w:val="ListBullet"/>
      </w:pPr>
      <w:r>
        <w:t>Staff who handle CONFIDENTIAL material need a CONFIDENTIAL clearance.</w:t>
      </w:r>
    </w:p>
    <w:p>
      <w:pPr>
        <w:pStyle w:val="ListBullet"/>
      </w:pPr>
      <w:r>
        <w:t>Staff who handle SECRET or TOP SECRET material need a clearance at that level.</w:t>
      </w:r>
    </w:p>
    <w:p>
      <w:pPr>
        <w:pStyle w:val="ListBullet"/>
      </w:pPr>
      <w:r>
        <w:t>Staff with remote access to the restricted network need at least a SECRET clearance.</w:t>
      </w:r>
    </w:p>
    <w:p>
      <w:pPr>
        <w:pStyle w:val="Heading1"/>
      </w:pPr>
      <w:r>
        <w:t>4. Validity and renewal</w:t>
      </w:r>
    </w:p>
    <w:p>
      <w:r>
        <w:t>A clearance is valid for the period below from the date it is granted. Submit the renewal application to the Security Office before the renewal date; a clearance that lapses is suspended until it is renewed.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Clearance level</w:t>
            </w:r>
          </w:p>
        </w:tc>
        <w:tc>
          <w:tcPr>
            <w:tcW w:type="dxa" w:w="2880"/>
          </w:tcPr>
          <w:p>
            <w:r>
              <w:t>Valid for</w:t>
            </w:r>
          </w:p>
        </w:tc>
        <w:tc>
          <w:tcPr>
            <w:tcW w:type="dxa" w:w="2880"/>
          </w:tcPr>
          <w:p>
            <w:r>
              <w:t>Apply for renewal before expiry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8 years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</w:tr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</w:tr>
      <w:tr>
        <w:tc>
          <w:tcPr>
            <w:tcW w:type="dxa" w:w="2880"/>
          </w:tcPr>
          <w:p>
            <w:r>
              <w:t>TOP SECRET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</w:tr>
    </w:tbl>
    <w:p>
      <w:pPr>
        <w:pStyle w:val="Heading1"/>
      </w:pPr>
      <w:r>
        <w:t>5. Security incidents</w:t>
      </w:r>
    </w:p>
    <w:p>
      <w:r>
        <w:t>Report a security incident to the Security Office within 24 hours of discovery. A security incident includes a lost classified document, an unauthorised disclosure and a breach of a restricted area. Preserve any evidence and do not investigate the incident yourself.</w:t>
      </w:r>
    </w:p>
    <w:p>
      <w:pPr>
        <w:pStyle w:val="Heading1"/>
      </w:pPr>
      <w:r>
        <w:t>6. Overseas travel</w:t>
      </w:r>
    </w:p>
    <w:p>
      <w:r>
        <w:t>Staff with a SECRET or TOP SECRET clearance declare overseas travel to the Security Office on form SEC-T3 at least 10 working days before departure.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Clearance Policy</dc:title>
  <dc:subject/>
  <dc:creator>Blue Defence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