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Master Services Agreement</w:t>
      </w:r>
    </w:p>
    <w:p>
      <w:r>
        <w:t>This Agreement is entered into by the parties as of the Effective Date.</w:t>
      </w:r>
    </w:p>
    <w:p>
      <w:pPr>
        <w:pStyle w:val="Heading2"/>
      </w:pPr>
      <w:r>
        <w:t>Definitions</w:t>
      </w:r>
    </w:p>
    <w:p>
      <w:r>
        <w:t>Confidential Information means all information disclosed by one party to the other.</w:t>
      </w:r>
    </w:p>
    <w:p>
      <w:r>
        <w:t>Each party shall protect Confidential Information with reasonable care.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