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720"/>
      </w:pPr>
      <w:r>
        <w:t xml:space="preserve"/>
      </w:r>
    </w:p>
    <w:p>
      <w:pPr>
        <w:spacing w:after="120" w:before="0"/>
        <w:jc w:val="center"/>
      </w:pPr>
      <w:r>
        <w:rPr>
          <w:rFonts w:ascii="Georgia" w:cs="Georgia" w:eastAsia="Georgia" w:hAnsi="Georgia"/>
          <w:b/>
          <w:bCs/>
          <w:color w:val="C8922A"/>
          <w:sz w:val="64"/>
          <w:szCs w:val="64"/>
        </w:rPr>
        <w:t xml:space="preserve">TRACEFORWARD</w:t>
      </w:r>
    </w:p>
    <w:p>
      <w:pPr>
        <w:spacing w:after="80" w:before="0"/>
        <w:jc w:val="center"/>
      </w:pPr>
      <w:r>
        <w:rPr>
          <w:rFonts w:ascii="Georgia" w:cs="Georgia" w:eastAsia="Georgia" w:hAnsi="Georgia"/>
          <w:i/>
          <w:iCs/>
          <w:color w:val="2C1810"/>
          <w:sz w:val="28"/>
          <w:szCs w:val="28"/>
        </w:rPr>
        <w:t xml:space="preserve">Saturday Branding Strategy Report</w:t>
      </w:r>
    </w:p>
    <w:p>
      <w:pPr>
        <w:spacing w:after="80" w:before="0"/>
        <w:jc w:val="center"/>
      </w:pPr>
      <w:r>
        <w:rPr>
          <w:rFonts w:ascii="Arial" w:cs="Arial" w:eastAsia="Arial" w:hAnsi="Arial"/>
          <w:color w:val="8B7355"/>
          <w:sz w:val="22"/>
          <w:szCs w:val="22"/>
        </w:rPr>
        <w:t xml:space="preserve">PreserveMy.World — Youth Heritage Project</w:t>
      </w:r>
    </w:p>
    <w:p>
      <w:pPr>
        <w:spacing w:after="480" w:before="0"/>
        <w:jc w:val="center"/>
      </w:pPr>
      <w:r>
        <w:rPr>
          <w:rFonts w:ascii="Arial" w:cs="Arial" w:eastAsia="Arial" w:hAnsi="Arial"/>
          <w:color w:val="8B7355"/>
          <w:sz w:val="20"/>
          <w:szCs w:val="20"/>
        </w:rPr>
        <w:t xml:space="preserve">Submitted: June 2025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DF6EB" w:val="clear"/>
            <w:tcMar>
              <w:top w:type="dxa" w:w="160"/>
              <w:left w:type="dxa" w:w="200"/>
              <w:bottom w:type="dxa" w:w="160"/>
              <w:right w:type="dxa" w:w="200"/>
            </w:tcMar>
          </w:tcPr>
          <w:p>
            <w:pPr>
              <w:jc w:val="center"/>
            </w:pPr>
            <w:r>
              <w:rPr>
                <w:rFonts w:ascii="Arial" w:cs="Arial" w:eastAsia="Arial" w:hAnsi="Arial"/>
                <w:i/>
                <w:iCs/>
                <w:color w:val="2C1810"/>
                <w:sz w:val="22"/>
                <w:szCs w:val="22"/>
              </w:rPr>
              <w:t xml:space="preserve">"The stories disappearing today are the history someone searches for tomorrow."</w:t>
            </w:r>
          </w:p>
        </w:tc>
      </w:tr>
    </w:tbl>
    <w:p>
      <w:pPr>
        <w:spacing w:after="0" w:before="480"/>
      </w:pPr>
      <w:r>
        <w:t xml:space="preserve"/>
      </w:r>
    </w:p>
    <w:p>
      <w:pPr>
        <w:pBdr>
          <w:bottom w:val="single" w:color="C8922A" w:sz="8" w:space="4"/>
        </w:pBdr>
        <w:spacing w:after="160" w:before="360"/>
      </w:pPr>
      <w:r>
        <w:rPr>
          <w:rFonts w:ascii="Georgia" w:cs="Georgia" w:eastAsia="Georgia" w:hAnsi="Georgia"/>
          <w:b/>
          <w:bCs/>
          <w:color w:val="2C1810"/>
          <w:sz w:val="32"/>
          <w:szCs w:val="32"/>
        </w:rPr>
        <w:t xml:space="preserve">1. Team Information</w:t>
      </w:r>
    </w:p>
    <w:p>
      <w:pPr>
        <w:spacing w:after="80" w:before="80"/>
      </w:pPr>
      <w:r>
        <w:rPr>
          <w:rFonts w:ascii="Arial" w:cs="Arial" w:eastAsia="Arial" w:hAnsi="Arial"/>
          <w:b/>
          <w:bCs/>
          <w:color w:val="A0522D"/>
          <w:sz w:val="22"/>
          <w:szCs w:val="22"/>
        </w:rPr>
        <w:t xml:space="preserve">Team Name: </w:t>
      </w:r>
      <w:r>
        <w:rPr>
          <w:rFonts w:ascii="Arial" w:cs="Arial" w:eastAsia="Arial" w:hAnsi="Arial"/>
          <w:color w:val="2C1810"/>
          <w:sz w:val="22"/>
          <w:szCs w:val="22"/>
        </w:rPr>
        <w:t xml:space="preserve">TraceForward</w:t>
      </w:r>
    </w:p>
    <w:p>
      <w:pPr>
        <w:spacing w:after="80" w:before="80"/>
      </w:pPr>
      <w:r>
        <w:rPr>
          <w:rFonts w:ascii="Arial" w:cs="Arial" w:eastAsia="Arial" w:hAnsi="Arial"/>
          <w:b/>
          <w:bCs/>
          <w:color w:val="A0522D"/>
          <w:sz w:val="22"/>
          <w:szCs w:val="22"/>
        </w:rPr>
        <w:t xml:space="preserve">Member: </w:t>
      </w:r>
      <w:r>
        <w:rPr>
          <w:rFonts w:ascii="Arial" w:cs="Arial" w:eastAsia="Arial" w:hAnsi="Arial"/>
          <w:color w:val="2C1810"/>
          <w:sz w:val="22"/>
          <w:szCs w:val="22"/>
        </w:rPr>
        <w:t xml:space="preserve">Solo project — individual submission</w:t>
      </w:r>
    </w:p>
    <w:p>
      <w:pPr>
        <w:spacing w:after="80" w:before="80"/>
      </w:pPr>
      <w:r>
        <w:rPr>
          <w:rFonts w:ascii="Arial" w:cs="Arial" w:eastAsia="Arial" w:hAnsi="Arial"/>
          <w:b/>
          <w:bCs/>
          <w:color w:val="A0522D"/>
          <w:sz w:val="22"/>
          <w:szCs w:val="22"/>
        </w:rPr>
        <w:t xml:space="preserve">Coordination: </w:t>
      </w:r>
      <w:r>
        <w:rPr>
          <w:rFonts w:ascii="Arial" w:cs="Arial" w:eastAsia="Arial" w:hAnsi="Arial"/>
          <w:color w:val="2C1810"/>
          <w:sz w:val="22"/>
          <w:szCs w:val="22"/>
        </w:rPr>
        <w:t xml:space="preserve">Self-managed; work documented via LinkedIn page and public webpage</w:t>
      </w:r>
    </w:p>
    <w:p>
      <w:pPr>
        <w:spacing w:after="80" w:before="80"/>
      </w:pPr>
      <w:r>
        <w:rPr>
          <w:rFonts w:ascii="Arial" w:cs="Arial" w:eastAsia="Arial" w:hAnsi="Arial"/>
          <w:b/>
          <w:bCs/>
          <w:color w:val="A0522D"/>
          <w:sz w:val="22"/>
          <w:szCs w:val="22"/>
        </w:rPr>
        <w:t xml:space="preserve">Project Track: </w:t>
      </w:r>
      <w:r>
        <w:rPr>
          <w:rFonts w:ascii="Arial" w:cs="Arial" w:eastAsia="Arial" w:hAnsi="Arial"/>
          <w:color w:val="2C1810"/>
          <w:sz w:val="22"/>
          <w:szCs w:val="22"/>
        </w:rPr>
        <w:t xml:space="preserve">PreserveMy.World — Youth Heritage</w:t>
      </w:r>
    </w:p>
    <w:p>
      <w:pPr>
        <w:spacing w:after="0" w:before="120"/>
      </w:pPr>
      <w:r>
        <w:t xml:space="preserve"/>
      </w:r>
    </w:p>
    <w:p>
      <w:pPr>
        <w:pBdr>
          <w:bottom w:val="single" w:color="C8922A" w:sz="8" w:space="4"/>
        </w:pBdr>
        <w:spacing w:after="160" w:before="360"/>
      </w:pPr>
      <w:r>
        <w:rPr>
          <w:rFonts w:ascii="Georgia" w:cs="Georgia" w:eastAsia="Georgia" w:hAnsi="Georgia"/>
          <w:b/>
          <w:bCs/>
          <w:color w:val="2C1810"/>
          <w:sz w:val="32"/>
          <w:szCs w:val="32"/>
        </w:rPr>
        <w:t xml:space="preserve">2. Selected Theme Directions</w:t>
      </w:r>
    </w:p>
    <w:p>
      <w:pPr>
        <w:spacing w:after="120" w:before="280"/>
      </w:pPr>
      <w:r>
        <w:rPr>
          <w:rFonts w:ascii="Arial" w:cs="Arial" w:eastAsia="Arial" w:hAnsi="Arial"/>
          <w:b/>
          <w:bCs/>
          <w:color w:val="A0522D"/>
          <w:sz w:val="24"/>
          <w:szCs w:val="24"/>
        </w:rPr>
        <w:t xml:space="preserve">Primary: Youth Culture Archive</w:t>
      </w:r>
    </w:p>
    <w:p>
      <w:pPr>
        <w:spacing w:after="80" w:before="80"/>
        <w:jc w:val="left"/>
      </w:pPr>
      <w:r>
        <w:rPr>
          <w:rFonts w:ascii="Arial" w:cs="Arial" w:eastAsia="Arial" w:hAnsi="Arial"/>
          <w:color w:val="2C1810"/>
          <w:sz w:val="22"/>
          <w:szCs w:val="22"/>
        </w:rPr>
        <w:t xml:space="preserve">TraceForward leads with human storytelling — oral histories, personal memories, community voices, and behind-the-scenes documentation. The Youth Culture Archive theme fits because the primary audience (Aisha, 22) discovers content through short-form video and values identity-driven narratives. Every piece of content asks the audience to contribute, share, or nominate a story.</w:t>
      </w:r>
    </w:p>
    <w:p>
      <w:pPr>
        <w:spacing w:after="0" w:before="80"/>
      </w:pPr>
      <w:r>
        <w:t xml:space="preserve"/>
      </w:r>
    </w:p>
    <w:p>
      <w:pPr>
        <w:spacing w:after="120" w:before="280"/>
      </w:pPr>
      <w:r>
        <w:rPr>
          <w:rFonts w:ascii="Arial" w:cs="Arial" w:eastAsia="Arial" w:hAnsi="Arial"/>
          <w:b/>
          <w:bCs/>
          <w:color w:val="A0522D"/>
          <w:sz w:val="24"/>
          <w:szCs w:val="24"/>
        </w:rPr>
        <w:t xml:space="preserve">Secondary: Future Heritage Studio</w:t>
      </w:r>
    </w:p>
    <w:p>
      <w:pPr>
        <w:spacing w:after="80" w:before="80"/>
        <w:jc w:val="left"/>
      </w:pPr>
      <w:r>
        <w:rPr>
          <w:rFonts w:ascii="Arial" w:cs="Arial" w:eastAsia="Arial" w:hAnsi="Arial"/>
          <w:color w:val="2C1810"/>
          <w:sz w:val="22"/>
          <w:szCs w:val="22"/>
        </w:rPr>
        <w:t xml:space="preserve">A secondary influence of Future Heritage Studio adds credibility with the researcher audience (Omar, 35) by signalling that the project uses modern tools intentionally — not just aesthetically. This is expressed through clean layout, structured documentation language, and evidence-based content.</w:t>
      </w:r>
    </w:p>
    <w:p>
      <w:pPr>
        <w:spacing w:after="0" w:before="80"/>
      </w:pPr>
      <w:r>
        <w:t xml:space="preserve"/>
      </w:r>
    </w:p>
    <w:p>
      <w:pPr>
        <w:spacing w:after="120" w:before="280"/>
      </w:pPr>
      <w:r>
        <w:rPr>
          <w:rFonts w:ascii="Arial" w:cs="Arial" w:eastAsia="Arial" w:hAnsi="Arial"/>
          <w:b/>
          <w:bCs/>
          <w:color w:val="A0522D"/>
          <w:sz w:val="24"/>
          <w:szCs w:val="24"/>
        </w:rPr>
        <w:t xml:space="preserve">Why this combination works</w:t>
      </w:r>
    </w:p>
    <w:p>
      <w:pPr>
        <w:pStyle w:val="ListParagraph"/>
        <w:numPr>
          <w:ilvl w:val="0"/>
          <w:numId w:val="2"/>
        </w:numPr>
        <w:spacing w:after="60" w:before="60"/>
      </w:pPr>
      <w:r>
        <w:rPr>
          <w:rFonts w:ascii="Arial" w:cs="Arial" w:eastAsia="Arial" w:hAnsi="Arial"/>
          <w:color w:val="2C1810"/>
          <w:sz w:val="22"/>
          <w:szCs w:val="22"/>
        </w:rPr>
        <w:t xml:space="preserve">Youth Culture Archive reaches the primary Gen Z audience with warmth and identity-driven storytelling</w:t>
      </w:r>
    </w:p>
    <w:p>
      <w:pPr>
        <w:pStyle w:val="ListParagraph"/>
        <w:numPr>
          <w:ilvl w:val="0"/>
          <w:numId w:val="2"/>
        </w:numPr>
        <w:spacing w:after="60" w:before="60"/>
      </w:pPr>
      <w:r>
        <w:rPr>
          <w:rFonts w:ascii="Arial" w:cs="Arial" w:eastAsia="Arial" w:hAnsi="Arial"/>
          <w:color w:val="2C1810"/>
          <w:sz w:val="22"/>
          <w:szCs w:val="22"/>
        </w:rPr>
        <w:t xml:space="preserve">Future Heritage Studio gives the project academic and professional credibility for secondary audiences</w:t>
      </w:r>
    </w:p>
    <w:p>
      <w:pPr>
        <w:pStyle w:val="ListParagraph"/>
        <w:numPr>
          <w:ilvl w:val="0"/>
          <w:numId w:val="2"/>
        </w:numPr>
        <w:spacing w:after="60" w:before="60"/>
      </w:pPr>
      <w:r>
        <w:rPr>
          <w:rFonts w:ascii="Arial" w:cs="Arial" w:eastAsia="Arial" w:hAnsi="Arial"/>
          <w:color w:val="2C1810"/>
          <w:sz w:val="22"/>
          <w:szCs w:val="22"/>
        </w:rPr>
        <w:t xml:space="preserve">The two themes share a common value: that heritage is active, not static — worth preserving now, not later</w:t>
      </w:r>
    </w:p>
    <w:p>
      <w:pPr>
        <w:pStyle w:val="ListParagraph"/>
        <w:numPr>
          <w:ilvl w:val="0"/>
          <w:numId w:val="2"/>
        </w:numPr>
        <w:spacing w:after="60" w:before="60"/>
      </w:pPr>
      <w:r>
        <w:rPr>
          <w:rFonts w:ascii="Arial" w:cs="Arial" w:eastAsia="Arial" w:hAnsi="Arial"/>
          <w:color w:val="2C1810"/>
          <w:sz w:val="22"/>
          <w:szCs w:val="22"/>
        </w:rPr>
        <w:t xml:space="preserve">Neither theme conflicts; the warm palette and human tone of Youth Culture Archive simply sets the visual register, while the structured content approach comes from Future Heritage Studio</w:t>
      </w:r>
    </w:p>
    <w:p>
      <w:pPr>
        <w:spacing w:after="0" w:before="120"/>
      </w:pPr>
      <w:r>
        <w:t xml:space="preserve"/>
      </w:r>
    </w:p>
    <w:p>
      <w:pPr>
        <w:pBdr>
          <w:bottom w:val="single" w:color="C8922A" w:sz="8" w:space="4"/>
        </w:pBdr>
        <w:spacing w:after="160" w:before="360"/>
      </w:pPr>
      <w:r>
        <w:rPr>
          <w:rFonts w:ascii="Georgia" w:cs="Georgia" w:eastAsia="Georgia" w:hAnsi="Georgia"/>
          <w:b/>
          <w:bCs/>
          <w:color w:val="2C1810"/>
          <w:sz w:val="32"/>
          <w:szCs w:val="32"/>
        </w:rPr>
        <w:t xml:space="preserve">3. Ideal Customer Profiles (ICP)</w:t>
      </w:r>
    </w:p>
    <w:p>
      <w:pPr>
        <w:spacing w:after="80" w:before="80"/>
        <w:jc w:val="left"/>
      </w:pPr>
      <w:r>
        <w:rPr>
          <w:rFonts w:ascii="Arial" w:cs="Arial" w:eastAsia="Arial" w:hAnsi="Arial"/>
          <w:color w:val="2C1810"/>
          <w:sz w:val="22"/>
          <w:szCs w:val="22"/>
        </w:rPr>
        <w:t xml:space="preserve">Three personas were developed using AI-assisted brand strategy prompts. Each represents a distinct motivation for engaging with TraceForward.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520"/>
        <w:gridCol w:w="2520"/>
      </w:tblGrid>
      <w:tr>
        <w:tc>
          <w:tcPr>
            <w:tcW w:type="dxa" w:w="1800"/>
            <w:tcBorders>
              <w:top w:val="single" w:color="E0D5C5" w:sz="1"/>
              <w:left w:val="single" w:color="E0D5C5" w:sz="1"/>
              <w:bottom w:val="single" w:color="E0D5C5" w:sz="1"/>
              <w:right w:val="single" w:color="E0D5C5" w:sz="1"/>
            </w:tcBorders>
            <w:shd w:fill="FDF6EB" w:val="clear"/>
            <w:tcMar>
              <w:top w:type="dxa" w:w="80"/>
              <w:left w:type="dxa" w:w="120"/>
              <w:bottom w:type="dxa" w:w="80"/>
              <w:right w:type="dxa" w:w="120"/>
            </w:tcMar>
          </w:tcPr>
          <w:p>
            <w:r>
              <w:rPr>
                <w:rFonts w:ascii="Arial" w:cs="Arial" w:eastAsia="Arial" w:hAnsi="Arial"/>
                <w:b/>
                <w:bCs/>
                <w:color w:val="A0522D"/>
                <w:sz w:val="18"/>
                <w:szCs w:val="18"/>
              </w:rPr>
              <w:t xml:space="preserve">Name</w:t>
            </w:r>
          </w:p>
        </w:tc>
        <w:tc>
          <w:tcPr>
            <w:tcW w:type="dxa" w:w="2520"/>
            <w:tcBorders>
              <w:top w:val="single" w:color="E0D5C5" w:sz="1"/>
              <w:left w:val="single" w:color="E0D5C5" w:sz="1"/>
              <w:bottom w:val="single" w:color="E0D5C5" w:sz="1"/>
              <w:right w:val="single" w:color="E0D5C5" w:sz="1"/>
            </w:tcBorders>
            <w:shd w:fill="FDF6EB" w:val="clear"/>
            <w:tcMar>
              <w:top w:type="dxa" w:w="80"/>
              <w:left w:type="dxa" w:w="120"/>
              <w:bottom w:type="dxa" w:w="80"/>
              <w:right w:type="dxa" w:w="120"/>
            </w:tcMar>
          </w:tcPr>
          <w:p>
            <w:r>
              <w:rPr>
                <w:rFonts w:ascii="Arial" w:cs="Arial" w:eastAsia="Arial" w:hAnsi="Arial"/>
                <w:b/>
                <w:bCs/>
                <w:color w:val="A0522D"/>
                <w:sz w:val="18"/>
                <w:szCs w:val="18"/>
              </w:rPr>
              <w:t xml:space="preserve">Aisha Khan</w:t>
            </w:r>
          </w:p>
        </w:tc>
        <w:tc>
          <w:tcPr>
            <w:tcW w:type="dxa" w:w="2520"/>
            <w:tcBorders>
              <w:top w:val="single" w:color="E0D5C5" w:sz="1"/>
              <w:left w:val="single" w:color="E0D5C5" w:sz="1"/>
              <w:bottom w:val="single" w:color="E0D5C5" w:sz="1"/>
              <w:right w:val="single" w:color="E0D5C5" w:sz="1"/>
            </w:tcBorders>
            <w:shd w:fill="FDF6EB" w:val="clear"/>
            <w:tcMar>
              <w:top w:type="dxa" w:w="80"/>
              <w:left w:type="dxa" w:w="120"/>
              <w:bottom w:type="dxa" w:w="80"/>
              <w:right w:type="dxa" w:w="120"/>
            </w:tcMar>
          </w:tcPr>
          <w:p>
            <w:r>
              <w:rPr>
                <w:rFonts w:ascii="Arial" w:cs="Arial" w:eastAsia="Arial" w:hAnsi="Arial"/>
                <w:b/>
                <w:bCs/>
                <w:color w:val="A0522D"/>
                <w:sz w:val="18"/>
                <w:szCs w:val="18"/>
              </w:rPr>
              <w:t xml:space="preserve">Omar Malik</w:t>
            </w:r>
          </w:p>
        </w:tc>
        <w:tc>
          <w:tcPr>
            <w:tcW w:type="dxa" w:w="2520"/>
            <w:tcBorders>
              <w:top w:val="single" w:color="E0D5C5" w:sz="1"/>
              <w:left w:val="single" w:color="E0D5C5" w:sz="1"/>
              <w:bottom w:val="single" w:color="E0D5C5" w:sz="1"/>
              <w:right w:val="single" w:color="E0D5C5" w:sz="1"/>
            </w:tcBorders>
            <w:shd w:fill="FDF6EB" w:val="clear"/>
            <w:tcMar>
              <w:top w:type="dxa" w:w="80"/>
              <w:left w:type="dxa" w:w="120"/>
              <w:bottom w:type="dxa" w:w="80"/>
              <w:right w:type="dxa" w:w="120"/>
            </w:tcMar>
          </w:tcPr>
          <w:p>
            <w:r>
              <w:rPr>
                <w:rFonts w:ascii="Arial" w:cs="Arial" w:eastAsia="Arial" w:hAnsi="Arial"/>
                <w:b/>
                <w:bCs/>
                <w:color w:val="A0522D"/>
                <w:sz w:val="18"/>
                <w:szCs w:val="18"/>
              </w:rPr>
              <w:t xml:space="preserve">Sarah Ahmed</w:t>
            </w:r>
          </w:p>
        </w:tc>
      </w:tr>
      <w:tr>
        <w:tc>
          <w:tcPr>
            <w:tcW w:type="dxa" w:w="1800"/>
            <w:tcBorders>
              <w:top w:val="single" w:color="E0D5C5" w:sz="1"/>
              <w:left w:val="single" w:color="E0D5C5" w:sz="1"/>
              <w:bottom w:val="single" w:color="E0D5C5" w:sz="1"/>
              <w:right w:val="single" w:color="E0D5C5" w:sz="1"/>
            </w:tcBorders>
            <w:shd w:fill="FDF6EB" w:val="clear"/>
            <w:tcMar>
              <w:top w:type="dxa" w:w="80"/>
              <w:left w:type="dxa" w:w="120"/>
              <w:bottom w:type="dxa" w:w="80"/>
              <w:right w:type="dxa" w:w="120"/>
            </w:tcMar>
          </w:tcPr>
          <w:p>
            <w:r>
              <w:rPr>
                <w:rFonts w:ascii="Arial" w:cs="Arial" w:eastAsia="Arial" w:hAnsi="Arial"/>
                <w:b/>
                <w:bCs/>
                <w:color w:val="2C1810"/>
                <w:sz w:val="18"/>
                <w:szCs w:val="18"/>
              </w:rPr>
              <w:t xml:space="preserve">Age</w:t>
            </w:r>
          </w:p>
        </w:tc>
        <w:tc>
          <w:tcPr>
            <w:tcW w:type="dxa" w:w="2520"/>
            <w:tcBorders>
              <w:top w:val="single" w:color="E0D5C5" w:sz="1"/>
              <w:left w:val="single" w:color="E0D5C5" w:sz="1"/>
              <w:bottom w:val="single" w:color="E0D5C5" w:sz="1"/>
              <w:right w:val="single" w:color="E0D5C5" w:sz="1"/>
            </w:tcBorders>
            <w:shd w:fill="FFFFFF" w:val="clear"/>
            <w:tcMar>
              <w:top w:type="dxa" w:w="80"/>
              <w:left w:type="dxa" w:w="120"/>
              <w:bottom w:type="dxa" w:w="80"/>
              <w:right w:type="dxa" w:w="120"/>
            </w:tcMar>
          </w:tcPr>
          <w:p>
            <w:r>
              <w:rPr>
                <w:rFonts w:ascii="Arial" w:cs="Arial" w:eastAsia="Arial" w:hAnsi="Arial"/>
                <w:b w:val="false"/>
                <w:bCs w:val="false"/>
                <w:color w:val="2C1810"/>
                <w:sz w:val="18"/>
                <w:szCs w:val="18"/>
              </w:rPr>
              <w:t xml:space="preserve">22</w:t>
            </w:r>
          </w:p>
        </w:tc>
        <w:tc>
          <w:tcPr>
            <w:tcW w:type="dxa" w:w="2520"/>
            <w:tcBorders>
              <w:top w:val="single" w:color="E0D5C5" w:sz="1"/>
              <w:left w:val="single" w:color="E0D5C5" w:sz="1"/>
              <w:bottom w:val="single" w:color="E0D5C5" w:sz="1"/>
              <w:right w:val="single" w:color="E0D5C5" w:sz="1"/>
            </w:tcBorders>
            <w:shd w:fill="FFFFFF" w:val="clear"/>
            <w:tcMar>
              <w:top w:type="dxa" w:w="80"/>
              <w:left w:type="dxa" w:w="120"/>
              <w:bottom w:type="dxa" w:w="80"/>
              <w:right w:type="dxa" w:w="120"/>
            </w:tcMar>
          </w:tcPr>
          <w:p>
            <w:r>
              <w:rPr>
                <w:rFonts w:ascii="Arial" w:cs="Arial" w:eastAsia="Arial" w:hAnsi="Arial"/>
                <w:b w:val="false"/>
                <w:bCs w:val="false"/>
                <w:color w:val="2C1810"/>
                <w:sz w:val="18"/>
                <w:szCs w:val="18"/>
              </w:rPr>
              <w:t xml:space="preserve">35</w:t>
            </w:r>
          </w:p>
        </w:tc>
        <w:tc>
          <w:tcPr>
            <w:tcW w:type="dxa" w:w="2520"/>
            <w:tcBorders>
              <w:top w:val="single" w:color="E0D5C5" w:sz="1"/>
              <w:left w:val="single" w:color="E0D5C5" w:sz="1"/>
              <w:bottom w:val="single" w:color="E0D5C5" w:sz="1"/>
              <w:right w:val="single" w:color="E0D5C5" w:sz="1"/>
            </w:tcBorders>
            <w:shd w:fill="FFFFFF" w:val="clear"/>
            <w:tcMar>
              <w:top w:type="dxa" w:w="80"/>
              <w:left w:type="dxa" w:w="120"/>
              <w:bottom w:type="dxa" w:w="80"/>
              <w:right w:type="dxa" w:w="120"/>
            </w:tcMar>
          </w:tcPr>
          <w:p>
            <w:r>
              <w:rPr>
                <w:rFonts w:ascii="Arial" w:cs="Arial" w:eastAsia="Arial" w:hAnsi="Arial"/>
                <w:b w:val="false"/>
                <w:bCs w:val="false"/>
                <w:color w:val="2C1810"/>
                <w:sz w:val="18"/>
                <w:szCs w:val="18"/>
              </w:rPr>
              <w:t xml:space="preserve">42</w:t>
            </w:r>
          </w:p>
        </w:tc>
      </w:tr>
      <w:tr>
        <w:tc>
          <w:tcPr>
            <w:tcW w:type="dxa" w:w="1800"/>
            <w:tcBorders>
              <w:top w:val="single" w:color="E0D5C5" w:sz="1"/>
              <w:left w:val="single" w:color="E0D5C5" w:sz="1"/>
              <w:bottom w:val="single" w:color="E0D5C5" w:sz="1"/>
              <w:right w:val="single" w:color="E0D5C5" w:sz="1"/>
            </w:tcBorders>
            <w:shd w:fill="FDF6EB" w:val="clear"/>
            <w:tcMar>
              <w:top w:type="dxa" w:w="80"/>
              <w:left w:type="dxa" w:w="120"/>
              <w:bottom w:type="dxa" w:w="80"/>
              <w:right w:type="dxa" w:w="120"/>
            </w:tcMar>
          </w:tcPr>
          <w:p>
            <w:r>
              <w:rPr>
                <w:rFonts w:ascii="Arial" w:cs="Arial" w:eastAsia="Arial" w:hAnsi="Arial"/>
                <w:b/>
                <w:bCs/>
                <w:color w:val="2C1810"/>
                <w:sz w:val="18"/>
                <w:szCs w:val="18"/>
              </w:rPr>
              <w:t xml:space="preserve">Role</w:t>
            </w:r>
          </w:p>
        </w:tc>
        <w:tc>
          <w:tcPr>
            <w:tcW w:type="dxa" w:w="2520"/>
            <w:tcBorders>
              <w:top w:val="single" w:color="E0D5C5" w:sz="1"/>
              <w:left w:val="single" w:color="E0D5C5" w:sz="1"/>
              <w:bottom w:val="single" w:color="E0D5C5" w:sz="1"/>
              <w:right w:val="single" w:color="E0D5C5" w:sz="1"/>
            </w:tcBorders>
            <w:shd w:fill="FFFFFF" w:val="clear"/>
            <w:tcMar>
              <w:top w:type="dxa" w:w="80"/>
              <w:left w:type="dxa" w:w="120"/>
              <w:bottom w:type="dxa" w:w="80"/>
              <w:right w:type="dxa" w:w="120"/>
            </w:tcMar>
          </w:tcPr>
          <w:p>
            <w:r>
              <w:rPr>
                <w:rFonts w:ascii="Arial" w:cs="Arial" w:eastAsia="Arial" w:hAnsi="Arial"/>
                <w:b w:val="false"/>
                <w:bCs w:val="false"/>
                <w:color w:val="2C1810"/>
                <w:sz w:val="18"/>
                <w:szCs w:val="18"/>
              </w:rPr>
              <w:t xml:space="preserve">University Student</w:t>
            </w:r>
          </w:p>
        </w:tc>
        <w:tc>
          <w:tcPr>
            <w:tcW w:type="dxa" w:w="2520"/>
            <w:tcBorders>
              <w:top w:val="single" w:color="E0D5C5" w:sz="1"/>
              <w:left w:val="single" w:color="E0D5C5" w:sz="1"/>
              <w:bottom w:val="single" w:color="E0D5C5" w:sz="1"/>
              <w:right w:val="single" w:color="E0D5C5" w:sz="1"/>
            </w:tcBorders>
            <w:shd w:fill="FFFFFF" w:val="clear"/>
            <w:tcMar>
              <w:top w:type="dxa" w:w="80"/>
              <w:left w:type="dxa" w:w="120"/>
              <w:bottom w:type="dxa" w:w="80"/>
              <w:right w:type="dxa" w:w="120"/>
            </w:tcMar>
          </w:tcPr>
          <w:p>
            <w:r>
              <w:rPr>
                <w:rFonts w:ascii="Arial" w:cs="Arial" w:eastAsia="Arial" w:hAnsi="Arial"/>
                <w:b w:val="false"/>
                <w:bCs w:val="false"/>
                <w:color w:val="2C1810"/>
                <w:sz w:val="18"/>
                <w:szCs w:val="18"/>
              </w:rPr>
              <w:t xml:space="preserve">Architect / Researcher</w:t>
            </w:r>
          </w:p>
        </w:tc>
        <w:tc>
          <w:tcPr>
            <w:tcW w:type="dxa" w:w="2520"/>
            <w:tcBorders>
              <w:top w:val="single" w:color="E0D5C5" w:sz="1"/>
              <w:left w:val="single" w:color="E0D5C5" w:sz="1"/>
              <w:bottom w:val="single" w:color="E0D5C5" w:sz="1"/>
              <w:right w:val="single" w:color="E0D5C5" w:sz="1"/>
            </w:tcBorders>
            <w:shd w:fill="FFFFFF" w:val="clear"/>
            <w:tcMar>
              <w:top w:type="dxa" w:w="80"/>
              <w:left w:type="dxa" w:w="120"/>
              <w:bottom w:type="dxa" w:w="80"/>
              <w:right w:type="dxa" w:w="120"/>
            </w:tcMar>
          </w:tcPr>
          <w:p>
            <w:r>
              <w:rPr>
                <w:rFonts w:ascii="Arial" w:cs="Arial" w:eastAsia="Arial" w:hAnsi="Arial"/>
                <w:b w:val="false"/>
                <w:bCs w:val="false"/>
                <w:color w:val="2C1810"/>
                <w:sz w:val="18"/>
                <w:szCs w:val="18"/>
              </w:rPr>
              <w:t xml:space="preserve">Teacher</w:t>
            </w:r>
          </w:p>
        </w:tc>
      </w:tr>
      <w:tr>
        <w:tc>
          <w:tcPr>
            <w:tcW w:type="dxa" w:w="1800"/>
            <w:tcBorders>
              <w:top w:val="single" w:color="E0D5C5" w:sz="1"/>
              <w:left w:val="single" w:color="E0D5C5" w:sz="1"/>
              <w:bottom w:val="single" w:color="E0D5C5" w:sz="1"/>
              <w:right w:val="single" w:color="E0D5C5" w:sz="1"/>
            </w:tcBorders>
            <w:shd w:fill="FDF6EB" w:val="clear"/>
            <w:tcMar>
              <w:top w:type="dxa" w:w="80"/>
              <w:left w:type="dxa" w:w="120"/>
              <w:bottom w:type="dxa" w:w="80"/>
              <w:right w:type="dxa" w:w="120"/>
            </w:tcMar>
          </w:tcPr>
          <w:p>
            <w:r>
              <w:rPr>
                <w:rFonts w:ascii="Arial" w:cs="Arial" w:eastAsia="Arial" w:hAnsi="Arial"/>
                <w:b/>
                <w:bCs/>
                <w:color w:val="2C1810"/>
                <w:sz w:val="18"/>
                <w:szCs w:val="18"/>
              </w:rPr>
              <w:t xml:space="preserve">Location</w:t>
            </w:r>
          </w:p>
        </w:tc>
        <w:tc>
          <w:tcPr>
            <w:tcW w:type="dxa" w:w="2520"/>
            <w:tcBorders>
              <w:top w:val="single" w:color="E0D5C5" w:sz="1"/>
              <w:left w:val="single" w:color="E0D5C5" w:sz="1"/>
              <w:bottom w:val="single" w:color="E0D5C5" w:sz="1"/>
              <w:right w:val="single" w:color="E0D5C5" w:sz="1"/>
            </w:tcBorders>
            <w:shd w:fill="FFFFFF" w:val="clear"/>
            <w:tcMar>
              <w:top w:type="dxa" w:w="80"/>
              <w:left w:type="dxa" w:w="120"/>
              <w:bottom w:type="dxa" w:w="80"/>
              <w:right w:type="dxa" w:w="120"/>
            </w:tcMar>
          </w:tcPr>
          <w:p>
            <w:r>
              <w:rPr>
                <w:rFonts w:ascii="Arial" w:cs="Arial" w:eastAsia="Arial" w:hAnsi="Arial"/>
                <w:b w:val="false"/>
                <w:bCs w:val="false"/>
                <w:color w:val="2C1810"/>
                <w:sz w:val="18"/>
                <w:szCs w:val="18"/>
              </w:rPr>
              <w:t xml:space="preserve">Urban (Pakistan)</w:t>
            </w:r>
          </w:p>
        </w:tc>
        <w:tc>
          <w:tcPr>
            <w:tcW w:type="dxa" w:w="2520"/>
            <w:tcBorders>
              <w:top w:val="single" w:color="E0D5C5" w:sz="1"/>
              <w:left w:val="single" w:color="E0D5C5" w:sz="1"/>
              <w:bottom w:val="single" w:color="E0D5C5" w:sz="1"/>
              <w:right w:val="single" w:color="E0D5C5" w:sz="1"/>
            </w:tcBorders>
            <w:shd w:fill="FFFFFF" w:val="clear"/>
            <w:tcMar>
              <w:top w:type="dxa" w:w="80"/>
              <w:left w:type="dxa" w:w="120"/>
              <w:bottom w:type="dxa" w:w="80"/>
              <w:right w:type="dxa" w:w="120"/>
            </w:tcMar>
          </w:tcPr>
          <w:p>
            <w:r>
              <w:rPr>
                <w:rFonts w:ascii="Arial" w:cs="Arial" w:eastAsia="Arial" w:hAnsi="Arial"/>
                <w:b w:val="false"/>
                <w:bCs w:val="false"/>
                <w:color w:val="2C1810"/>
                <w:sz w:val="18"/>
                <w:szCs w:val="18"/>
              </w:rPr>
              <w:t xml:space="preserve">Urban (Pakistan)</w:t>
            </w:r>
          </w:p>
        </w:tc>
        <w:tc>
          <w:tcPr>
            <w:tcW w:type="dxa" w:w="2520"/>
            <w:tcBorders>
              <w:top w:val="single" w:color="E0D5C5" w:sz="1"/>
              <w:left w:val="single" w:color="E0D5C5" w:sz="1"/>
              <w:bottom w:val="single" w:color="E0D5C5" w:sz="1"/>
              <w:right w:val="single" w:color="E0D5C5" w:sz="1"/>
            </w:tcBorders>
            <w:shd w:fill="FFFFFF" w:val="clear"/>
            <w:tcMar>
              <w:top w:type="dxa" w:w="80"/>
              <w:left w:type="dxa" w:w="120"/>
              <w:bottom w:type="dxa" w:w="80"/>
              <w:right w:type="dxa" w:w="120"/>
            </w:tcMar>
          </w:tcPr>
          <w:p>
            <w:r>
              <w:rPr>
                <w:rFonts w:ascii="Arial" w:cs="Arial" w:eastAsia="Arial" w:hAnsi="Arial"/>
                <w:b w:val="false"/>
                <w:bCs w:val="false"/>
                <w:color w:val="2C1810"/>
                <w:sz w:val="18"/>
                <w:szCs w:val="18"/>
              </w:rPr>
              <w:t xml:space="preserve">Urban (Pakistan)</w:t>
            </w:r>
          </w:p>
        </w:tc>
      </w:tr>
      <w:tr>
        <w:tc>
          <w:tcPr>
            <w:tcW w:type="dxa" w:w="1800"/>
            <w:tcBorders>
              <w:top w:val="single" w:color="E0D5C5" w:sz="1"/>
              <w:left w:val="single" w:color="E0D5C5" w:sz="1"/>
              <w:bottom w:val="single" w:color="E0D5C5" w:sz="1"/>
              <w:right w:val="single" w:color="E0D5C5" w:sz="1"/>
            </w:tcBorders>
            <w:shd w:fill="FDF6EB" w:val="clear"/>
            <w:tcMar>
              <w:top w:type="dxa" w:w="80"/>
              <w:left w:type="dxa" w:w="120"/>
              <w:bottom w:type="dxa" w:w="80"/>
              <w:right w:type="dxa" w:w="120"/>
            </w:tcMar>
          </w:tcPr>
          <w:p>
            <w:r>
              <w:rPr>
                <w:rFonts w:ascii="Arial" w:cs="Arial" w:eastAsia="Arial" w:hAnsi="Arial"/>
                <w:b/>
                <w:bCs/>
                <w:color w:val="2C1810"/>
                <w:sz w:val="18"/>
                <w:szCs w:val="18"/>
              </w:rPr>
              <w:t xml:space="preserve">Pain Point</w:t>
            </w:r>
          </w:p>
        </w:tc>
        <w:tc>
          <w:tcPr>
            <w:tcW w:type="dxa" w:w="2520"/>
            <w:tcBorders>
              <w:top w:val="single" w:color="E0D5C5" w:sz="1"/>
              <w:left w:val="single" w:color="E0D5C5" w:sz="1"/>
              <w:bottom w:val="single" w:color="E0D5C5" w:sz="1"/>
              <w:right w:val="single" w:color="E0D5C5" w:sz="1"/>
            </w:tcBorders>
            <w:shd w:fill="FFFFFF" w:val="clear"/>
            <w:tcMar>
              <w:top w:type="dxa" w:w="80"/>
              <w:left w:type="dxa" w:w="120"/>
              <w:bottom w:type="dxa" w:w="80"/>
              <w:right w:type="dxa" w:w="120"/>
            </w:tcMar>
          </w:tcPr>
          <w:p>
            <w:r>
              <w:rPr>
                <w:rFonts w:ascii="Arial" w:cs="Arial" w:eastAsia="Arial" w:hAnsi="Arial"/>
                <w:b w:val="false"/>
                <w:bCs w:val="false"/>
                <w:color w:val="2C1810"/>
                <w:sz w:val="18"/>
                <w:szCs w:val="18"/>
              </w:rPr>
              <w:t xml:space="preserve">Memories disappear in cloud storage; social media feels temporary</w:t>
            </w:r>
          </w:p>
        </w:tc>
        <w:tc>
          <w:tcPr>
            <w:tcW w:type="dxa" w:w="2520"/>
            <w:tcBorders>
              <w:top w:val="single" w:color="E0D5C5" w:sz="1"/>
              <w:left w:val="single" w:color="E0D5C5" w:sz="1"/>
              <w:bottom w:val="single" w:color="E0D5C5" w:sz="1"/>
              <w:right w:val="single" w:color="E0D5C5" w:sz="1"/>
            </w:tcBorders>
            <w:shd w:fill="FFFFFF" w:val="clear"/>
            <w:tcMar>
              <w:top w:type="dxa" w:w="80"/>
              <w:left w:type="dxa" w:w="120"/>
              <w:bottom w:type="dxa" w:w="80"/>
              <w:right w:type="dxa" w:w="120"/>
            </w:tcMar>
          </w:tcPr>
          <w:p>
            <w:r>
              <w:rPr>
                <w:rFonts w:ascii="Arial" w:cs="Arial" w:eastAsia="Arial" w:hAnsi="Arial"/>
                <w:b w:val="false"/>
                <w:bCs w:val="false"/>
                <w:color w:val="2C1810"/>
                <w:sz w:val="18"/>
                <w:szCs w:val="18"/>
              </w:rPr>
              <w:t xml:space="preserve">Historical records are fragmented; heritage lacks modern tools</w:t>
            </w:r>
          </w:p>
        </w:tc>
        <w:tc>
          <w:tcPr>
            <w:tcW w:type="dxa" w:w="2520"/>
            <w:tcBorders>
              <w:top w:val="single" w:color="E0D5C5" w:sz="1"/>
              <w:left w:val="single" w:color="E0D5C5" w:sz="1"/>
              <w:bottom w:val="single" w:color="E0D5C5" w:sz="1"/>
              <w:right w:val="single" w:color="E0D5C5" w:sz="1"/>
            </w:tcBorders>
            <w:shd w:fill="FFFFFF" w:val="clear"/>
            <w:tcMar>
              <w:top w:type="dxa" w:w="80"/>
              <w:left w:type="dxa" w:w="120"/>
              <w:bottom w:type="dxa" w:w="80"/>
              <w:right w:type="dxa" w:w="120"/>
            </w:tcMar>
          </w:tcPr>
          <w:p>
            <w:r>
              <w:rPr>
                <w:rFonts w:ascii="Arial" w:cs="Arial" w:eastAsia="Arial" w:hAnsi="Arial"/>
                <w:b w:val="false"/>
                <w:bCs w:val="false"/>
                <w:color w:val="2C1810"/>
                <w:sz w:val="18"/>
                <w:szCs w:val="18"/>
              </w:rPr>
              <w:t xml:space="preserve">Family stories lost when elders pass; limited technical skills</w:t>
            </w:r>
          </w:p>
        </w:tc>
      </w:tr>
      <w:tr>
        <w:tc>
          <w:tcPr>
            <w:tcW w:type="dxa" w:w="1800"/>
            <w:tcBorders>
              <w:top w:val="single" w:color="E0D5C5" w:sz="1"/>
              <w:left w:val="single" w:color="E0D5C5" w:sz="1"/>
              <w:bottom w:val="single" w:color="E0D5C5" w:sz="1"/>
              <w:right w:val="single" w:color="E0D5C5" w:sz="1"/>
            </w:tcBorders>
            <w:shd w:fill="FDF6EB" w:val="clear"/>
            <w:tcMar>
              <w:top w:type="dxa" w:w="80"/>
              <w:left w:type="dxa" w:w="120"/>
              <w:bottom w:type="dxa" w:w="80"/>
              <w:right w:type="dxa" w:w="120"/>
            </w:tcMar>
          </w:tcPr>
          <w:p>
            <w:r>
              <w:rPr>
                <w:rFonts w:ascii="Arial" w:cs="Arial" w:eastAsia="Arial" w:hAnsi="Arial"/>
                <w:b/>
                <w:bCs/>
                <w:color w:val="2C1810"/>
                <w:sz w:val="18"/>
                <w:szCs w:val="18"/>
              </w:rPr>
              <w:t xml:space="preserve">Motivation</w:t>
            </w:r>
          </w:p>
        </w:tc>
        <w:tc>
          <w:tcPr>
            <w:tcW w:type="dxa" w:w="2520"/>
            <w:tcBorders>
              <w:top w:val="single" w:color="E0D5C5" w:sz="1"/>
              <w:left w:val="single" w:color="E0D5C5" w:sz="1"/>
              <w:bottom w:val="single" w:color="E0D5C5" w:sz="1"/>
              <w:right w:val="single" w:color="E0D5C5" w:sz="1"/>
            </w:tcBorders>
            <w:shd w:fill="FFFFFF" w:val="clear"/>
            <w:tcMar>
              <w:top w:type="dxa" w:w="80"/>
              <w:left w:type="dxa" w:w="120"/>
              <w:bottom w:type="dxa" w:w="80"/>
              <w:right w:type="dxa" w:w="120"/>
            </w:tcMar>
          </w:tcPr>
          <w:p>
            <w:r>
              <w:rPr>
                <w:rFonts w:ascii="Arial" w:cs="Arial" w:eastAsia="Arial" w:hAnsi="Arial"/>
                <w:b w:val="false"/>
                <w:bCs w:val="false"/>
                <w:color w:val="2C1810"/>
                <w:sz w:val="18"/>
                <w:szCs w:val="18"/>
              </w:rPr>
              <w:t xml:space="preserve">Capture grandparents before it is too late; preserve cultural identity</w:t>
            </w:r>
          </w:p>
        </w:tc>
        <w:tc>
          <w:tcPr>
            <w:tcW w:type="dxa" w:w="2520"/>
            <w:tcBorders>
              <w:top w:val="single" w:color="E0D5C5" w:sz="1"/>
              <w:left w:val="single" w:color="E0D5C5" w:sz="1"/>
              <w:bottom w:val="single" w:color="E0D5C5" w:sz="1"/>
              <w:right w:val="single" w:color="E0D5C5" w:sz="1"/>
            </w:tcBorders>
            <w:shd w:fill="FFFFFF" w:val="clear"/>
            <w:tcMar>
              <w:top w:type="dxa" w:w="80"/>
              <w:left w:type="dxa" w:w="120"/>
              <w:bottom w:type="dxa" w:w="80"/>
              <w:right w:type="dxa" w:w="120"/>
            </w:tcMar>
          </w:tcPr>
          <w:p>
            <w:r>
              <w:rPr>
                <w:rFonts w:ascii="Arial" w:cs="Arial" w:eastAsia="Arial" w:hAnsi="Arial"/>
                <w:b w:val="false"/>
                <w:bCs w:val="false"/>
                <w:color w:val="2C1810"/>
                <w:sz w:val="18"/>
                <w:szCs w:val="18"/>
              </w:rPr>
              <w:t xml:space="preserve">Trusted platform combining technology with authentic preservation</w:t>
            </w:r>
          </w:p>
        </w:tc>
        <w:tc>
          <w:tcPr>
            <w:tcW w:type="dxa" w:w="2520"/>
            <w:tcBorders>
              <w:top w:val="single" w:color="E0D5C5" w:sz="1"/>
              <w:left w:val="single" w:color="E0D5C5" w:sz="1"/>
              <w:bottom w:val="single" w:color="E0D5C5" w:sz="1"/>
              <w:right w:val="single" w:color="E0D5C5" w:sz="1"/>
            </w:tcBorders>
            <w:shd w:fill="FFFFFF" w:val="clear"/>
            <w:tcMar>
              <w:top w:type="dxa" w:w="80"/>
              <w:left w:type="dxa" w:w="120"/>
              <w:bottom w:type="dxa" w:w="80"/>
              <w:right w:type="dxa" w:w="120"/>
            </w:tcMar>
          </w:tcPr>
          <w:p>
            <w:r>
              <w:rPr>
                <w:rFonts w:ascii="Arial" w:cs="Arial" w:eastAsia="Arial" w:hAnsi="Arial"/>
                <w:b w:val="false"/>
                <w:bCs w:val="false"/>
                <w:color w:val="2C1810"/>
                <w:sz w:val="18"/>
                <w:szCs w:val="18"/>
              </w:rPr>
              <w:t xml:space="preserve">Peace of mind knowing family history will never be lost</w:t>
            </w:r>
          </w:p>
        </w:tc>
      </w:tr>
      <w:tr>
        <w:tc>
          <w:tcPr>
            <w:tcW w:type="dxa" w:w="1800"/>
            <w:tcBorders>
              <w:top w:val="single" w:color="E0D5C5" w:sz="1"/>
              <w:left w:val="single" w:color="E0D5C5" w:sz="1"/>
              <w:bottom w:val="single" w:color="E0D5C5" w:sz="1"/>
              <w:right w:val="single" w:color="E0D5C5" w:sz="1"/>
            </w:tcBorders>
            <w:shd w:fill="FDF6EB" w:val="clear"/>
            <w:tcMar>
              <w:top w:type="dxa" w:w="80"/>
              <w:left w:type="dxa" w:w="120"/>
              <w:bottom w:type="dxa" w:w="80"/>
              <w:right w:type="dxa" w:w="120"/>
            </w:tcMar>
          </w:tcPr>
          <w:p>
            <w:r>
              <w:rPr>
                <w:rFonts w:ascii="Arial" w:cs="Arial" w:eastAsia="Arial" w:hAnsi="Arial"/>
                <w:b/>
                <w:bCs/>
                <w:color w:val="2C1810"/>
                <w:sz w:val="18"/>
                <w:szCs w:val="18"/>
              </w:rPr>
              <w:t xml:space="preserve">Platform</w:t>
            </w:r>
          </w:p>
        </w:tc>
        <w:tc>
          <w:tcPr>
            <w:tcW w:type="dxa" w:w="2520"/>
            <w:tcBorders>
              <w:top w:val="single" w:color="E0D5C5" w:sz="1"/>
              <w:left w:val="single" w:color="E0D5C5" w:sz="1"/>
              <w:bottom w:val="single" w:color="E0D5C5" w:sz="1"/>
              <w:right w:val="single" w:color="E0D5C5" w:sz="1"/>
            </w:tcBorders>
            <w:shd w:fill="FFFFFF" w:val="clear"/>
            <w:tcMar>
              <w:top w:type="dxa" w:w="80"/>
              <w:left w:type="dxa" w:w="120"/>
              <w:bottom w:type="dxa" w:w="80"/>
              <w:right w:type="dxa" w:w="120"/>
            </w:tcMar>
          </w:tcPr>
          <w:p>
            <w:r>
              <w:rPr>
                <w:rFonts w:ascii="Arial" w:cs="Arial" w:eastAsia="Arial" w:hAnsi="Arial"/>
                <w:b w:val="false"/>
                <w:bCs w:val="false"/>
                <w:color w:val="2C1810"/>
                <w:sz w:val="18"/>
                <w:szCs w:val="18"/>
              </w:rPr>
              <w:t xml:space="preserve">TikTok, Instagram, Discord</w:t>
            </w:r>
          </w:p>
        </w:tc>
        <w:tc>
          <w:tcPr>
            <w:tcW w:type="dxa" w:w="2520"/>
            <w:tcBorders>
              <w:top w:val="single" w:color="E0D5C5" w:sz="1"/>
              <w:left w:val="single" w:color="E0D5C5" w:sz="1"/>
              <w:bottom w:val="single" w:color="E0D5C5" w:sz="1"/>
              <w:right w:val="single" w:color="E0D5C5" w:sz="1"/>
            </w:tcBorders>
            <w:shd w:fill="FFFFFF" w:val="clear"/>
            <w:tcMar>
              <w:top w:type="dxa" w:w="80"/>
              <w:left w:type="dxa" w:w="120"/>
              <w:bottom w:type="dxa" w:w="80"/>
              <w:right w:type="dxa" w:w="120"/>
            </w:tcMar>
          </w:tcPr>
          <w:p>
            <w:r>
              <w:rPr>
                <w:rFonts w:ascii="Arial" w:cs="Arial" w:eastAsia="Arial" w:hAnsi="Arial"/>
                <w:b w:val="false"/>
                <w:bCs w:val="false"/>
                <w:color w:val="2C1810"/>
                <w:sz w:val="18"/>
                <w:szCs w:val="18"/>
              </w:rPr>
              <w:t xml:space="preserve">LinkedIn, Podcasts, Newsletters</w:t>
            </w:r>
          </w:p>
        </w:tc>
        <w:tc>
          <w:tcPr>
            <w:tcW w:type="dxa" w:w="2520"/>
            <w:tcBorders>
              <w:top w:val="single" w:color="E0D5C5" w:sz="1"/>
              <w:left w:val="single" w:color="E0D5C5" w:sz="1"/>
              <w:bottom w:val="single" w:color="E0D5C5" w:sz="1"/>
              <w:right w:val="single" w:color="E0D5C5" w:sz="1"/>
            </w:tcBorders>
            <w:shd w:fill="FFFFFF" w:val="clear"/>
            <w:tcMar>
              <w:top w:type="dxa" w:w="80"/>
              <w:left w:type="dxa" w:w="120"/>
              <w:bottom w:type="dxa" w:w="80"/>
              <w:right w:type="dxa" w:w="120"/>
            </w:tcMar>
          </w:tcPr>
          <w:p>
            <w:r>
              <w:rPr>
                <w:rFonts w:ascii="Arial" w:cs="Arial" w:eastAsia="Arial" w:hAnsi="Arial"/>
                <w:b w:val="false"/>
                <w:bCs w:val="false"/>
                <w:color w:val="2C1810"/>
                <w:sz w:val="18"/>
                <w:szCs w:val="18"/>
              </w:rPr>
              <w:t xml:space="preserve">Facebook, Instagram, Email</w:t>
            </w:r>
          </w:p>
        </w:tc>
      </w:tr>
      <w:tr>
        <w:tc>
          <w:tcPr>
            <w:tcW w:type="dxa" w:w="1800"/>
            <w:tcBorders>
              <w:top w:val="single" w:color="E0D5C5" w:sz="1"/>
              <w:left w:val="single" w:color="E0D5C5" w:sz="1"/>
              <w:bottom w:val="single" w:color="E0D5C5" w:sz="1"/>
              <w:right w:val="single" w:color="E0D5C5" w:sz="1"/>
            </w:tcBorders>
            <w:shd w:fill="FDF6EB" w:val="clear"/>
            <w:tcMar>
              <w:top w:type="dxa" w:w="80"/>
              <w:left w:type="dxa" w:w="120"/>
              <w:bottom w:type="dxa" w:w="80"/>
              <w:right w:type="dxa" w:w="120"/>
            </w:tcMar>
          </w:tcPr>
          <w:p>
            <w:r>
              <w:rPr>
                <w:rFonts w:ascii="Arial" w:cs="Arial" w:eastAsia="Arial" w:hAnsi="Arial"/>
                <w:b/>
                <w:bCs/>
                <w:color w:val="2C1810"/>
                <w:sz w:val="18"/>
                <w:szCs w:val="18"/>
              </w:rPr>
              <w:t xml:space="preserve">Priority</w:t>
            </w:r>
          </w:p>
        </w:tc>
        <w:tc>
          <w:tcPr>
            <w:tcW w:type="dxa" w:w="2520"/>
            <w:tcBorders>
              <w:top w:val="single" w:color="E0D5C5" w:sz="1"/>
              <w:left w:val="single" w:color="E0D5C5" w:sz="1"/>
              <w:bottom w:val="single" w:color="E0D5C5" w:sz="1"/>
              <w:right w:val="single" w:color="E0D5C5" w:sz="1"/>
            </w:tcBorders>
            <w:shd w:fill="FFFFFF" w:val="clear"/>
            <w:tcMar>
              <w:top w:type="dxa" w:w="80"/>
              <w:left w:type="dxa" w:w="120"/>
              <w:bottom w:type="dxa" w:w="80"/>
              <w:right w:type="dxa" w:w="120"/>
            </w:tcMar>
          </w:tcPr>
          <w:p>
            <w:r>
              <w:rPr>
                <w:rFonts w:ascii="Arial" w:cs="Arial" w:eastAsia="Arial" w:hAnsi="Arial"/>
                <w:b w:val="false"/>
                <w:bCs w:val="false"/>
                <w:color w:val="2C1810"/>
                <w:sz w:val="18"/>
                <w:szCs w:val="18"/>
              </w:rPr>
              <w:t xml:space="preserve">Primary audience</w:t>
            </w:r>
          </w:p>
        </w:tc>
        <w:tc>
          <w:tcPr>
            <w:tcW w:type="dxa" w:w="2520"/>
            <w:tcBorders>
              <w:top w:val="single" w:color="E0D5C5" w:sz="1"/>
              <w:left w:val="single" w:color="E0D5C5" w:sz="1"/>
              <w:bottom w:val="single" w:color="E0D5C5" w:sz="1"/>
              <w:right w:val="single" w:color="E0D5C5" w:sz="1"/>
            </w:tcBorders>
            <w:shd w:fill="FFFFFF" w:val="clear"/>
            <w:tcMar>
              <w:top w:type="dxa" w:w="80"/>
              <w:left w:type="dxa" w:w="120"/>
              <w:bottom w:type="dxa" w:w="80"/>
              <w:right w:type="dxa" w:w="120"/>
            </w:tcMar>
          </w:tcPr>
          <w:p>
            <w:r>
              <w:rPr>
                <w:rFonts w:ascii="Arial" w:cs="Arial" w:eastAsia="Arial" w:hAnsi="Arial"/>
                <w:b w:val="false"/>
                <w:bCs w:val="false"/>
                <w:color w:val="2C1810"/>
                <w:sz w:val="18"/>
                <w:szCs w:val="18"/>
              </w:rPr>
              <w:t xml:space="preserve">Secondary / credibility audience</w:t>
            </w:r>
          </w:p>
        </w:tc>
        <w:tc>
          <w:tcPr>
            <w:tcW w:type="dxa" w:w="2520"/>
            <w:tcBorders>
              <w:top w:val="single" w:color="E0D5C5" w:sz="1"/>
              <w:left w:val="single" w:color="E0D5C5" w:sz="1"/>
              <w:bottom w:val="single" w:color="E0D5C5" w:sz="1"/>
              <w:right w:val="single" w:color="E0D5C5" w:sz="1"/>
            </w:tcBorders>
            <w:shd w:fill="FFFFFF" w:val="clear"/>
            <w:tcMar>
              <w:top w:type="dxa" w:w="80"/>
              <w:left w:type="dxa" w:w="120"/>
              <w:bottom w:type="dxa" w:w="80"/>
              <w:right w:type="dxa" w:w="120"/>
            </w:tcMar>
          </w:tcPr>
          <w:p>
            <w:r>
              <w:rPr>
                <w:rFonts w:ascii="Arial" w:cs="Arial" w:eastAsia="Arial" w:hAnsi="Arial"/>
                <w:b w:val="false"/>
                <w:bCs w:val="false"/>
                <w:color w:val="2C1810"/>
                <w:sz w:val="18"/>
                <w:szCs w:val="18"/>
              </w:rPr>
              <w:t xml:space="preserve">Tertiary audience</w:t>
            </w:r>
          </w:p>
        </w:tc>
      </w:tr>
    </w:tbl>
    <w:p>
      <w:pPr>
        <w:spacing w:after="0" w:before="160"/>
      </w:pPr>
      <w:r>
        <w:t xml:space="preserve"/>
      </w:r>
    </w:p>
    <w:p>
      <w:pPr>
        <w:spacing w:after="120" w:before="280"/>
      </w:pPr>
      <w:r>
        <w:rPr>
          <w:rFonts w:ascii="Arial" w:cs="Arial" w:eastAsia="Arial" w:hAnsi="Arial"/>
          <w:b/>
          <w:bCs/>
          <w:color w:val="A0522D"/>
          <w:sz w:val="24"/>
          <w:szCs w:val="24"/>
        </w:rPr>
        <w:t xml:space="preserve">Demographic assumptions</w:t>
      </w:r>
    </w:p>
    <w:p>
      <w:pPr>
        <w:pStyle w:val="ListParagraph"/>
        <w:numPr>
          <w:ilvl w:val="0"/>
          <w:numId w:val="2"/>
        </w:numPr>
        <w:spacing w:after="60" w:before="60"/>
      </w:pPr>
      <w:r>
        <w:rPr>
          <w:rFonts w:ascii="Arial" w:cs="Arial" w:eastAsia="Arial" w:hAnsi="Arial"/>
          <w:color w:val="2C1810"/>
          <w:sz w:val="22"/>
          <w:szCs w:val="22"/>
        </w:rPr>
        <w:t xml:space="preserve">Age range: 18–45, with primary content optimised for 20–28 year olds</w:t>
      </w:r>
    </w:p>
    <w:p>
      <w:pPr>
        <w:pStyle w:val="ListParagraph"/>
        <w:numPr>
          <w:ilvl w:val="0"/>
          <w:numId w:val="2"/>
        </w:numPr>
        <w:spacing w:after="60" w:before="60"/>
      </w:pPr>
      <w:r>
        <w:rPr>
          <w:rFonts w:ascii="Arial" w:cs="Arial" w:eastAsia="Arial" w:hAnsi="Arial"/>
          <w:color w:val="2C1810"/>
          <w:sz w:val="22"/>
          <w:szCs w:val="22"/>
        </w:rPr>
        <w:t xml:space="preserve">Location: Urban Pakistan (Lahore, Karachi, Islamabad) — where heritage is both visible and under threat</w:t>
      </w:r>
    </w:p>
    <w:p>
      <w:pPr>
        <w:pStyle w:val="ListParagraph"/>
        <w:numPr>
          <w:ilvl w:val="0"/>
          <w:numId w:val="2"/>
        </w:numPr>
        <w:spacing w:after="60" w:before="60"/>
      </w:pPr>
      <w:r>
        <w:rPr>
          <w:rFonts w:ascii="Arial" w:cs="Arial" w:eastAsia="Arial" w:hAnsi="Arial"/>
          <w:color w:val="2C1810"/>
          <w:sz w:val="22"/>
          <w:szCs w:val="22"/>
        </w:rPr>
        <w:t xml:space="preserve">Education: University-educated or currently studying; digitally fluent</w:t>
      </w:r>
    </w:p>
    <w:p>
      <w:pPr>
        <w:pStyle w:val="ListParagraph"/>
        <w:numPr>
          <w:ilvl w:val="0"/>
          <w:numId w:val="2"/>
        </w:numPr>
        <w:spacing w:after="60" w:before="60"/>
      </w:pPr>
      <w:r>
        <w:rPr>
          <w:rFonts w:ascii="Arial" w:cs="Arial" w:eastAsia="Arial" w:hAnsi="Arial"/>
          <w:color w:val="2C1810"/>
          <w:sz w:val="22"/>
          <w:szCs w:val="22"/>
        </w:rPr>
        <w:t xml:space="preserve">Psychographic: Values identity, legacy, and technology used for cultural good — not purely for entertainment</w:t>
      </w:r>
    </w:p>
    <w:p>
      <w:pPr>
        <w:spacing w:after="0" w:before="120"/>
      </w:pPr>
      <w:r>
        <w:t xml:space="preserve"/>
      </w:r>
    </w:p>
    <w:p>
      <w:pPr>
        <w:pBdr>
          <w:bottom w:val="single" w:color="C8922A" w:sz="8" w:space="4"/>
        </w:pBdr>
        <w:spacing w:after="160" w:before="360"/>
      </w:pPr>
      <w:r>
        <w:rPr>
          <w:rFonts w:ascii="Georgia" w:cs="Georgia" w:eastAsia="Georgia" w:hAnsi="Georgia"/>
          <w:b/>
          <w:bCs/>
          <w:color w:val="2C1810"/>
          <w:sz w:val="32"/>
          <w:szCs w:val="32"/>
        </w:rPr>
        <w:t xml:space="preserve">4. Team Name &amp; Rationale</w:t>
      </w:r>
    </w:p>
    <w:p>
      <w:pPr>
        <w:spacing w:after="120" w:before="280"/>
      </w:pPr>
      <w:r>
        <w:rPr>
          <w:rFonts w:ascii="Arial" w:cs="Arial" w:eastAsia="Arial" w:hAnsi="Arial"/>
          <w:b/>
          <w:bCs/>
          <w:color w:val="A0522D"/>
          <w:sz w:val="24"/>
          <w:szCs w:val="24"/>
        </w:rPr>
        <w:t xml:space="preserve">Chosen name: TraceForward</w:t>
      </w:r>
    </w:p>
    <w:p>
      <w:pPr>
        <w:spacing w:after="80" w:before="80"/>
        <w:jc w:val="left"/>
      </w:pPr>
      <w:r>
        <w:rPr>
          <w:rFonts w:ascii="Arial" w:cs="Arial" w:eastAsia="Arial" w:hAnsi="Arial"/>
          <w:color w:val="2C1810"/>
          <w:sz w:val="22"/>
          <w:szCs w:val="22"/>
        </w:rPr>
        <w:t xml:space="preserve">Selected from a shortlist of 10 AI-generated names. The name was chosen over alternatives (StoryVault, RootFrame, EchoArchive) for the following reasons:</w:t>
      </w:r>
    </w:p>
    <w:p>
      <w:pPr>
        <w:pStyle w:val="ListParagraph"/>
        <w:numPr>
          <w:ilvl w:val="0"/>
          <w:numId w:val="2"/>
        </w:numPr>
        <w:spacing w:after="60" w:before="60"/>
      </w:pPr>
      <w:r>
        <w:rPr>
          <w:rFonts w:ascii="Arial" w:cs="Arial" w:eastAsia="Arial" w:hAnsi="Arial"/>
          <w:color w:val="2C1810"/>
          <w:sz w:val="22"/>
          <w:szCs w:val="22"/>
        </w:rPr>
        <w:t xml:space="preserve">Dual meaning: 'trace' refers to documentation and research; 'forward' signals movement and mission</w:t>
      </w:r>
    </w:p>
    <w:p>
      <w:pPr>
        <w:pStyle w:val="ListParagraph"/>
        <w:numPr>
          <w:ilvl w:val="0"/>
          <w:numId w:val="2"/>
        </w:numPr>
        <w:spacing w:after="60" w:before="60"/>
      </w:pPr>
      <w:r>
        <w:rPr>
          <w:rFonts w:ascii="Arial" w:cs="Arial" w:eastAsia="Arial" w:hAnsi="Arial"/>
          <w:color w:val="2C1810"/>
          <w:sz w:val="22"/>
          <w:szCs w:val="22"/>
        </w:rPr>
        <w:t xml:space="preserve">Memorable and short — works as a username, hashtag (#TraceForward), and spoken brand</w:t>
      </w:r>
    </w:p>
    <w:p>
      <w:pPr>
        <w:pStyle w:val="ListParagraph"/>
        <w:numPr>
          <w:ilvl w:val="0"/>
          <w:numId w:val="2"/>
        </w:numPr>
        <w:spacing w:after="60" w:before="60"/>
      </w:pPr>
      <w:r>
        <w:rPr>
          <w:rFonts w:ascii="Arial" w:cs="Arial" w:eastAsia="Arial" w:hAnsi="Arial"/>
          <w:color w:val="2C1810"/>
          <w:sz w:val="22"/>
          <w:szCs w:val="22"/>
        </w:rPr>
        <w:t xml:space="preserve">Appeals to both personas: Aisha hears energy and direction; Omar hears rigor and purpose</w:t>
      </w:r>
    </w:p>
    <w:p>
      <w:pPr>
        <w:pStyle w:val="ListParagraph"/>
        <w:numPr>
          <w:ilvl w:val="0"/>
          <w:numId w:val="2"/>
        </w:numPr>
        <w:spacing w:after="60" w:before="60"/>
      </w:pPr>
      <w:r>
        <w:rPr>
          <w:rFonts w:ascii="Arial" w:cs="Arial" w:eastAsia="Arial" w:hAnsi="Arial"/>
          <w:color w:val="2C1810"/>
          <w:sz w:val="22"/>
          <w:szCs w:val="22"/>
        </w:rPr>
        <w:t xml:space="preserve">Not generic — avoids common heritage clichés like 'roots', 'legacy', or 'archive' as the primary word</w:t>
      </w:r>
    </w:p>
    <w:p>
      <w:pPr>
        <w:spacing w:after="0" w:before="120"/>
      </w:pPr>
      <w:r>
        <w:t xml:space="preserve"/>
      </w:r>
    </w:p>
    <w:p>
      <w:pPr>
        <w:pBdr>
          <w:bottom w:val="single" w:color="C8922A" w:sz="8" w:space="4"/>
        </w:pBdr>
        <w:spacing w:after="160" w:before="360"/>
      </w:pPr>
      <w:r>
        <w:rPr>
          <w:rFonts w:ascii="Georgia" w:cs="Georgia" w:eastAsia="Georgia" w:hAnsi="Georgia"/>
          <w:b/>
          <w:bCs/>
          <w:color w:val="2C1810"/>
          <w:sz w:val="32"/>
          <w:szCs w:val="32"/>
        </w:rPr>
        <w:t xml:space="preserve">5. Logo &amp; Visual Direction</w:t>
      </w:r>
    </w:p>
    <w:p>
      <w:pPr>
        <w:spacing w:after="120" w:before="280"/>
      </w:pPr>
      <w:r>
        <w:rPr>
          <w:rFonts w:ascii="Arial" w:cs="Arial" w:eastAsia="Arial" w:hAnsi="Arial"/>
          <w:b/>
          <w:bCs/>
          <w:color w:val="A0522D"/>
          <w:sz w:val="24"/>
          <w:szCs w:val="24"/>
        </w:rPr>
        <w:t xml:space="preserve">Chosen direction: Root Arrow</w:t>
      </w:r>
    </w:p>
    <w:p>
      <w:pPr>
        <w:spacing w:after="80" w:before="80"/>
        <w:jc w:val="left"/>
      </w:pPr>
      <w:r>
        <w:rPr>
          <w:rFonts w:ascii="Arial" w:cs="Arial" w:eastAsia="Arial" w:hAnsi="Arial"/>
          <w:color w:val="2C1810"/>
          <w:sz w:val="22"/>
          <w:szCs w:val="22"/>
        </w:rPr>
        <w:t xml:space="preserve">A downward root shape that curves upward into a forward-pointing arrow. This single mark tells the project's entire story: we go deep into the past (roots), then carry it forward (arrow). The concept was selected over four other options — Thread Line, Archive Grid, Fingerprint Path, and Stacked Wordmark — because it is the most conceptually precise match for the TraceForward mission.</w:t>
      </w:r>
    </w:p>
    <w:p>
      <w:pPr>
        <w:spacing w:after="0" w:before="80"/>
      </w:pPr>
      <w:r>
        <w:t xml:space="preserve"/>
      </w:r>
    </w:p>
    <w:p>
      <w:pPr>
        <w:spacing w:after="120" w:before="280"/>
      </w:pPr>
      <w:r>
        <w:rPr>
          <w:rFonts w:ascii="Arial" w:cs="Arial" w:eastAsia="Arial" w:hAnsi="Arial"/>
          <w:b/>
          <w:bCs/>
          <w:color w:val="A0522D"/>
          <w:sz w:val="24"/>
          <w:szCs w:val="24"/>
        </w:rPr>
        <w:t xml:space="preserve">Typography</w:t>
      </w:r>
    </w:p>
    <w:p>
      <w:pPr>
        <w:spacing w:after="80" w:before="80"/>
      </w:pPr>
      <w:r>
        <w:rPr>
          <w:rFonts w:ascii="Arial" w:cs="Arial" w:eastAsia="Arial" w:hAnsi="Arial"/>
          <w:b/>
          <w:bCs/>
          <w:color w:val="A0522D"/>
          <w:sz w:val="22"/>
          <w:szCs w:val="22"/>
        </w:rPr>
        <w:t xml:space="preserve">Display / Headlines: </w:t>
      </w:r>
      <w:r>
        <w:rPr>
          <w:rFonts w:ascii="Arial" w:cs="Arial" w:eastAsia="Arial" w:hAnsi="Arial"/>
          <w:color w:val="2C1810"/>
          <w:sz w:val="22"/>
          <w:szCs w:val="22"/>
        </w:rPr>
        <w:t xml:space="preserve">Playfair Display (serif) — editorial authority, heritage feel</w:t>
      </w:r>
    </w:p>
    <w:p>
      <w:pPr>
        <w:spacing w:after="80" w:before="80"/>
      </w:pPr>
      <w:r>
        <w:rPr>
          <w:rFonts w:ascii="Arial" w:cs="Arial" w:eastAsia="Arial" w:hAnsi="Arial"/>
          <w:b/>
          <w:bCs/>
          <w:color w:val="A0522D"/>
          <w:sz w:val="22"/>
          <w:szCs w:val="22"/>
        </w:rPr>
        <w:t xml:space="preserve">Body / UI: </w:t>
      </w:r>
      <w:r>
        <w:rPr>
          <w:rFonts w:ascii="Arial" w:cs="Arial" w:eastAsia="Arial" w:hAnsi="Arial"/>
          <w:color w:val="2C1810"/>
          <w:sz w:val="22"/>
          <w:szCs w:val="22"/>
        </w:rPr>
        <w:t xml:space="preserve">Inter (sans-serif) — clean, modern, readable at small sizes</w:t>
      </w:r>
    </w:p>
    <w:p>
      <w:pPr>
        <w:spacing w:after="80" w:before="80"/>
      </w:pPr>
      <w:r>
        <w:rPr>
          <w:rFonts w:ascii="Arial" w:cs="Arial" w:eastAsia="Arial" w:hAnsi="Arial"/>
          <w:b/>
          <w:bCs/>
          <w:color w:val="A0522D"/>
          <w:sz w:val="22"/>
          <w:szCs w:val="22"/>
        </w:rPr>
        <w:t xml:space="preserve">Pairing logic: </w:t>
      </w:r>
      <w:r>
        <w:rPr>
          <w:rFonts w:ascii="Arial" w:cs="Arial" w:eastAsia="Arial" w:hAnsi="Arial"/>
          <w:color w:val="2C1810"/>
          <w:sz w:val="22"/>
          <w:szCs w:val="22"/>
        </w:rPr>
        <w:t xml:space="preserve">The serif headline signals cultural weight; the sans body keeps the content accessible</w:t>
      </w:r>
    </w:p>
    <w:p>
      <w:pPr>
        <w:spacing w:after="0" w:before="80"/>
      </w:pPr>
      <w:r>
        <w:t xml:space="preserve"/>
      </w:r>
    </w:p>
    <w:p>
      <w:pPr>
        <w:spacing w:after="120" w:before="280"/>
      </w:pPr>
      <w:r>
        <w:rPr>
          <w:rFonts w:ascii="Arial" w:cs="Arial" w:eastAsia="Arial" w:hAnsi="Arial"/>
          <w:b/>
          <w:bCs/>
          <w:color w:val="A0522D"/>
          <w:sz w:val="24"/>
          <w:szCs w:val="24"/>
        </w:rPr>
        <w:t xml:space="preserve">Color palette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E0D5C5" w:sz="1"/>
              <w:left w:val="single" w:color="E0D5C5" w:sz="1"/>
              <w:bottom w:val="single" w:color="E0D5C5" w:sz="1"/>
              <w:right w:val="single" w:color="E0D5C5" w:sz="1"/>
            </w:tcBorders>
            <w:shd w:fill="C8922A" w:val="clear"/>
            <w:tcMar>
              <w:top w:type="dxa" w:w="80"/>
              <w:left w:type="dxa" w:w="120"/>
              <w:bottom w:type="dxa" w:w="80"/>
              <w:right w:type="dxa" w:w="120"/>
            </w:tcMar>
          </w:tcPr>
          <w:p>
            <w:r>
              <w:rPr>
                <w:rFonts w:ascii="Arial" w:cs="Arial" w:eastAsia="Arial" w:hAnsi="Arial"/>
                <w:b/>
                <w:bCs/>
                <w:color w:val="FFFFFF"/>
                <w:sz w:val="20"/>
                <w:szCs w:val="20"/>
              </w:rPr>
              <w:t xml:space="preserve">Color Role</w:t>
            </w:r>
          </w:p>
        </w:tc>
        <w:tc>
          <w:tcPr>
            <w:tcW w:type="dxa" w:w="2340"/>
            <w:tcBorders>
              <w:top w:val="single" w:color="E0D5C5" w:sz="1"/>
              <w:left w:val="single" w:color="E0D5C5" w:sz="1"/>
              <w:bottom w:val="single" w:color="E0D5C5" w:sz="1"/>
              <w:right w:val="single" w:color="E0D5C5" w:sz="1"/>
            </w:tcBorders>
            <w:shd w:fill="C8922A" w:val="clear"/>
            <w:tcMar>
              <w:top w:type="dxa" w:w="80"/>
              <w:left w:type="dxa" w:w="120"/>
              <w:bottom w:type="dxa" w:w="80"/>
              <w:right w:type="dxa" w:w="120"/>
            </w:tcMar>
          </w:tcPr>
          <w:p>
            <w:r>
              <w:rPr>
                <w:rFonts w:ascii="Arial" w:cs="Arial" w:eastAsia="Arial" w:hAnsi="Arial"/>
                <w:b/>
                <w:bCs/>
                <w:color w:val="FFFFFF"/>
                <w:sz w:val="20"/>
                <w:szCs w:val="20"/>
              </w:rPr>
              <w:t xml:space="preserve">Hex Code</w:t>
            </w:r>
          </w:p>
        </w:tc>
        <w:tc>
          <w:tcPr>
            <w:tcW w:type="dxa" w:w="2340"/>
            <w:tcBorders>
              <w:top w:val="single" w:color="E0D5C5" w:sz="1"/>
              <w:left w:val="single" w:color="E0D5C5" w:sz="1"/>
              <w:bottom w:val="single" w:color="E0D5C5" w:sz="1"/>
              <w:right w:val="single" w:color="E0D5C5" w:sz="1"/>
            </w:tcBorders>
            <w:shd w:fill="C8922A" w:val="clear"/>
            <w:tcMar>
              <w:top w:type="dxa" w:w="80"/>
              <w:left w:type="dxa" w:w="120"/>
              <w:bottom w:type="dxa" w:w="80"/>
              <w:right w:type="dxa" w:w="120"/>
            </w:tcMar>
          </w:tcPr>
          <w:p>
            <w:r>
              <w:rPr>
                <w:rFonts w:ascii="Arial" w:cs="Arial" w:eastAsia="Arial" w:hAnsi="Arial"/>
                <w:b/>
                <w:bCs/>
                <w:color w:val="FFFFFF"/>
                <w:sz w:val="20"/>
                <w:szCs w:val="20"/>
              </w:rPr>
              <w:t xml:space="preserve">Swatch</w:t>
            </w:r>
          </w:p>
        </w:tc>
      </w:tr>
      <w:tr>
        <w:tc>
          <w:tcPr>
            <w:tcW w:type="dxa" w:w="4680"/>
            <w:tcBorders>
              <w:top w:val="single" w:color="E0D5C5" w:sz="1"/>
              <w:left w:val="single" w:color="E0D5C5" w:sz="1"/>
              <w:bottom w:val="single" w:color="E0D5C5" w:sz="1"/>
              <w:right w:val="single" w:color="E0D5C5" w:sz="1"/>
            </w:tcBorders>
            <w:tcMar>
              <w:top w:type="dxa" w:w="80"/>
              <w:left w:type="dxa" w:w="120"/>
              <w:bottom w:type="dxa" w:w="80"/>
              <w:right w:type="dxa" w:w="120"/>
            </w:tcMar>
          </w:tcPr>
          <w:p>
            <w:r>
              <w:rPr>
                <w:rFonts w:ascii="Arial" w:cs="Arial" w:eastAsia="Arial" w:hAnsi="Arial"/>
                <w:color w:val="2C1810"/>
                <w:sz w:val="20"/>
                <w:szCs w:val="20"/>
              </w:rPr>
              <w:t xml:space="preserve">Primary — Ochre</w:t>
            </w:r>
          </w:p>
        </w:tc>
        <w:tc>
          <w:tcPr>
            <w:tcW w:type="dxa" w:w="2340"/>
            <w:tcBorders>
              <w:top w:val="single" w:color="E0D5C5" w:sz="1"/>
              <w:left w:val="single" w:color="E0D5C5" w:sz="1"/>
              <w:bottom w:val="single" w:color="E0D5C5" w:sz="1"/>
              <w:right w:val="single" w:color="E0D5C5" w:sz="1"/>
            </w:tcBorders>
            <w:tcMar>
              <w:top w:type="dxa" w:w="80"/>
              <w:left w:type="dxa" w:w="120"/>
              <w:bottom w:type="dxa" w:w="80"/>
              <w:right w:type="dxa" w:w="120"/>
            </w:tcMar>
          </w:tcPr>
          <w:p>
            <w:r>
              <w:rPr>
                <w:rFonts w:ascii="Courier New" w:cs="Courier New" w:eastAsia="Courier New" w:hAnsi="Courier New"/>
                <w:color w:val="8B7355"/>
                <w:sz w:val="20"/>
                <w:szCs w:val="20"/>
              </w:rPr>
              <w:t xml:space="preserve">#C8922A</w:t>
            </w:r>
          </w:p>
        </w:tc>
        <w:tc>
          <w:tcPr>
            <w:tcW w:type="dxa" w:w="2340"/>
            <w:tcBorders>
              <w:top w:val="single" w:color="E0D5C5" w:sz="1"/>
              <w:left w:val="single" w:color="E0D5C5" w:sz="1"/>
              <w:bottom w:val="single" w:color="E0D5C5" w:sz="1"/>
              <w:right w:val="single" w:color="E0D5C5" w:sz="1"/>
            </w:tcBorders>
            <w:shd w:fill="C8922A" w:val="clear"/>
            <w:tcMar>
              <w:top w:type="dxa" w:w="80"/>
              <w:left w:type="dxa" w:w="120"/>
              <w:bottom w:type="dxa" w:w="80"/>
              <w:right w:type="dxa" w:w="120"/>
            </w:tcMar>
          </w:tcPr>
          <w:p>
            <w:r>
              <w:rPr>
                <w:rFonts w:ascii="Arial" w:cs="Arial" w:eastAsia="Arial" w:hAnsi="Arial"/>
                <w:color w:val="FFFFFF"/>
                <w:sz w:val="20"/>
                <w:szCs w:val="20"/>
              </w:rPr>
              <w:t xml:space="preserve"> </w:t>
            </w:r>
          </w:p>
        </w:tc>
      </w:tr>
      <w:tr>
        <w:tc>
          <w:tcPr>
            <w:tcW w:type="dxa" w:w="4680"/>
            <w:tcBorders>
              <w:top w:val="single" w:color="E0D5C5" w:sz="1"/>
              <w:left w:val="single" w:color="E0D5C5" w:sz="1"/>
              <w:bottom w:val="single" w:color="E0D5C5" w:sz="1"/>
              <w:right w:val="single" w:color="E0D5C5" w:sz="1"/>
            </w:tcBorders>
            <w:tcMar>
              <w:top w:type="dxa" w:w="80"/>
              <w:left w:type="dxa" w:w="120"/>
              <w:bottom w:type="dxa" w:w="80"/>
              <w:right w:type="dxa" w:w="120"/>
            </w:tcMar>
          </w:tcPr>
          <w:p>
            <w:r>
              <w:rPr>
                <w:rFonts w:ascii="Arial" w:cs="Arial" w:eastAsia="Arial" w:hAnsi="Arial"/>
                <w:color w:val="2C1810"/>
                <w:sz w:val="20"/>
                <w:szCs w:val="20"/>
              </w:rPr>
              <w:t xml:space="preserve">Secondary — Terracotta</w:t>
            </w:r>
          </w:p>
        </w:tc>
        <w:tc>
          <w:tcPr>
            <w:tcW w:type="dxa" w:w="2340"/>
            <w:tcBorders>
              <w:top w:val="single" w:color="E0D5C5" w:sz="1"/>
              <w:left w:val="single" w:color="E0D5C5" w:sz="1"/>
              <w:bottom w:val="single" w:color="E0D5C5" w:sz="1"/>
              <w:right w:val="single" w:color="E0D5C5" w:sz="1"/>
            </w:tcBorders>
            <w:tcMar>
              <w:top w:type="dxa" w:w="80"/>
              <w:left w:type="dxa" w:w="120"/>
              <w:bottom w:type="dxa" w:w="80"/>
              <w:right w:type="dxa" w:w="120"/>
            </w:tcMar>
          </w:tcPr>
          <w:p>
            <w:r>
              <w:rPr>
                <w:rFonts w:ascii="Courier New" w:cs="Courier New" w:eastAsia="Courier New" w:hAnsi="Courier New"/>
                <w:color w:val="8B7355"/>
                <w:sz w:val="20"/>
                <w:szCs w:val="20"/>
              </w:rPr>
              <w:t xml:space="preserve">#A0522D</w:t>
            </w:r>
          </w:p>
        </w:tc>
        <w:tc>
          <w:tcPr>
            <w:tcW w:type="dxa" w:w="2340"/>
            <w:tcBorders>
              <w:top w:val="single" w:color="E0D5C5" w:sz="1"/>
              <w:left w:val="single" w:color="E0D5C5" w:sz="1"/>
              <w:bottom w:val="single" w:color="E0D5C5" w:sz="1"/>
              <w:right w:val="single" w:color="E0D5C5" w:sz="1"/>
            </w:tcBorders>
            <w:shd w:fill="A0522D" w:val="clear"/>
            <w:tcMar>
              <w:top w:type="dxa" w:w="80"/>
              <w:left w:type="dxa" w:w="120"/>
              <w:bottom w:type="dxa" w:w="80"/>
              <w:right w:type="dxa" w:w="120"/>
            </w:tcMar>
          </w:tcPr>
          <w:p>
            <w:r>
              <w:rPr>
                <w:rFonts w:ascii="Arial" w:cs="Arial" w:eastAsia="Arial" w:hAnsi="Arial"/>
                <w:color w:val="FFFFFF"/>
                <w:sz w:val="20"/>
                <w:szCs w:val="20"/>
              </w:rPr>
              <w:t xml:space="preserve"> </w:t>
            </w:r>
          </w:p>
        </w:tc>
      </w:tr>
      <w:tr>
        <w:tc>
          <w:tcPr>
            <w:tcW w:type="dxa" w:w="4680"/>
            <w:tcBorders>
              <w:top w:val="single" w:color="E0D5C5" w:sz="1"/>
              <w:left w:val="single" w:color="E0D5C5" w:sz="1"/>
              <w:bottom w:val="single" w:color="E0D5C5" w:sz="1"/>
              <w:right w:val="single" w:color="E0D5C5" w:sz="1"/>
            </w:tcBorders>
            <w:tcMar>
              <w:top w:type="dxa" w:w="80"/>
              <w:left w:type="dxa" w:w="120"/>
              <w:bottom w:type="dxa" w:w="80"/>
              <w:right w:type="dxa" w:w="120"/>
            </w:tcMar>
          </w:tcPr>
          <w:p>
            <w:r>
              <w:rPr>
                <w:rFonts w:ascii="Arial" w:cs="Arial" w:eastAsia="Arial" w:hAnsi="Arial"/>
                <w:color w:val="2C1810"/>
                <w:sz w:val="20"/>
                <w:szCs w:val="20"/>
              </w:rPr>
              <w:t xml:space="preserve">Background — Cream</w:t>
            </w:r>
          </w:p>
        </w:tc>
        <w:tc>
          <w:tcPr>
            <w:tcW w:type="dxa" w:w="2340"/>
            <w:tcBorders>
              <w:top w:val="single" w:color="E0D5C5" w:sz="1"/>
              <w:left w:val="single" w:color="E0D5C5" w:sz="1"/>
              <w:bottom w:val="single" w:color="E0D5C5" w:sz="1"/>
              <w:right w:val="single" w:color="E0D5C5" w:sz="1"/>
            </w:tcBorders>
            <w:tcMar>
              <w:top w:type="dxa" w:w="80"/>
              <w:left w:type="dxa" w:w="120"/>
              <w:bottom w:type="dxa" w:w="80"/>
              <w:right w:type="dxa" w:w="120"/>
            </w:tcMar>
          </w:tcPr>
          <w:p>
            <w:r>
              <w:rPr>
                <w:rFonts w:ascii="Courier New" w:cs="Courier New" w:eastAsia="Courier New" w:hAnsi="Courier New"/>
                <w:color w:val="8B7355"/>
                <w:sz w:val="20"/>
                <w:szCs w:val="20"/>
              </w:rPr>
              <w:t xml:space="preserve">#F5F0E8</w:t>
            </w:r>
          </w:p>
        </w:tc>
        <w:tc>
          <w:tcPr>
            <w:tcW w:type="dxa" w:w="2340"/>
            <w:tcBorders>
              <w:top w:val="single" w:color="E0D5C5" w:sz="1"/>
              <w:left w:val="single" w:color="E0D5C5" w:sz="1"/>
              <w:bottom w:val="single" w:color="E0D5C5" w:sz="1"/>
              <w:right w:val="single" w:color="E0D5C5" w:sz="1"/>
            </w:tcBorders>
            <w:shd w:fill="F5F0E8" w:val="clear"/>
            <w:tcMar>
              <w:top w:type="dxa" w:w="80"/>
              <w:left w:type="dxa" w:w="120"/>
              <w:bottom w:type="dxa" w:w="80"/>
              <w:right w:type="dxa" w:w="120"/>
            </w:tcMar>
          </w:tcPr>
          <w:p>
            <w:r>
              <w:rPr>
                <w:rFonts w:ascii="Arial" w:cs="Arial" w:eastAsia="Arial" w:hAnsi="Arial"/>
                <w:color w:val="2C1810"/>
                <w:sz w:val="20"/>
                <w:szCs w:val="20"/>
              </w:rPr>
              <w:t xml:space="preserve"> </w:t>
            </w:r>
          </w:p>
        </w:tc>
      </w:tr>
      <w:tr>
        <w:tc>
          <w:tcPr>
            <w:tcW w:type="dxa" w:w="4680"/>
            <w:tcBorders>
              <w:top w:val="single" w:color="E0D5C5" w:sz="1"/>
              <w:left w:val="single" w:color="E0D5C5" w:sz="1"/>
              <w:bottom w:val="single" w:color="E0D5C5" w:sz="1"/>
              <w:right w:val="single" w:color="E0D5C5" w:sz="1"/>
            </w:tcBorders>
            <w:tcMar>
              <w:top w:type="dxa" w:w="80"/>
              <w:left w:type="dxa" w:w="120"/>
              <w:bottom w:type="dxa" w:w="80"/>
              <w:right w:type="dxa" w:w="120"/>
            </w:tcMar>
          </w:tcPr>
          <w:p>
            <w:r>
              <w:rPr>
                <w:rFonts w:ascii="Arial" w:cs="Arial" w:eastAsia="Arial" w:hAnsi="Arial"/>
                <w:color w:val="2C1810"/>
                <w:sz w:val="20"/>
                <w:szCs w:val="20"/>
              </w:rPr>
              <w:t xml:space="preserve">Text — Deep Brown</w:t>
            </w:r>
          </w:p>
        </w:tc>
        <w:tc>
          <w:tcPr>
            <w:tcW w:type="dxa" w:w="2340"/>
            <w:tcBorders>
              <w:top w:val="single" w:color="E0D5C5" w:sz="1"/>
              <w:left w:val="single" w:color="E0D5C5" w:sz="1"/>
              <w:bottom w:val="single" w:color="E0D5C5" w:sz="1"/>
              <w:right w:val="single" w:color="E0D5C5" w:sz="1"/>
            </w:tcBorders>
            <w:tcMar>
              <w:top w:type="dxa" w:w="80"/>
              <w:left w:type="dxa" w:w="120"/>
              <w:bottom w:type="dxa" w:w="80"/>
              <w:right w:type="dxa" w:w="120"/>
            </w:tcMar>
          </w:tcPr>
          <w:p>
            <w:r>
              <w:rPr>
                <w:rFonts w:ascii="Courier New" w:cs="Courier New" w:eastAsia="Courier New" w:hAnsi="Courier New"/>
                <w:color w:val="8B7355"/>
                <w:sz w:val="20"/>
                <w:szCs w:val="20"/>
              </w:rPr>
              <w:t xml:space="preserve">#2C1810</w:t>
            </w:r>
          </w:p>
        </w:tc>
        <w:tc>
          <w:tcPr>
            <w:tcW w:type="dxa" w:w="2340"/>
            <w:tcBorders>
              <w:top w:val="single" w:color="E0D5C5" w:sz="1"/>
              <w:left w:val="single" w:color="E0D5C5" w:sz="1"/>
              <w:bottom w:val="single" w:color="E0D5C5" w:sz="1"/>
              <w:right w:val="single" w:color="E0D5C5" w:sz="1"/>
            </w:tcBorders>
            <w:shd w:fill="2C1810" w:val="clear"/>
            <w:tcMar>
              <w:top w:type="dxa" w:w="80"/>
              <w:left w:type="dxa" w:w="120"/>
              <w:bottom w:type="dxa" w:w="80"/>
              <w:right w:type="dxa" w:w="120"/>
            </w:tcMar>
          </w:tcPr>
          <w:p>
            <w:r>
              <w:rPr>
                <w:rFonts w:ascii="Arial" w:cs="Arial" w:eastAsia="Arial" w:hAnsi="Arial"/>
                <w:color w:val="FFFFFF"/>
                <w:sz w:val="20"/>
                <w:szCs w:val="20"/>
              </w:rPr>
              <w:t xml:space="preserve"> </w:t>
            </w:r>
          </w:p>
        </w:tc>
      </w:tr>
      <w:tr>
        <w:tc>
          <w:tcPr>
            <w:tcW w:type="dxa" w:w="4680"/>
            <w:tcBorders>
              <w:top w:val="single" w:color="E0D5C5" w:sz="1"/>
              <w:left w:val="single" w:color="E0D5C5" w:sz="1"/>
              <w:bottom w:val="single" w:color="E0D5C5" w:sz="1"/>
              <w:right w:val="single" w:color="E0D5C5" w:sz="1"/>
            </w:tcBorders>
            <w:tcMar>
              <w:top w:type="dxa" w:w="80"/>
              <w:left w:type="dxa" w:w="120"/>
              <w:bottom w:type="dxa" w:w="80"/>
              <w:right w:type="dxa" w:w="120"/>
            </w:tcMar>
          </w:tcPr>
          <w:p>
            <w:r>
              <w:rPr>
                <w:rFonts w:ascii="Arial" w:cs="Arial" w:eastAsia="Arial" w:hAnsi="Arial"/>
                <w:color w:val="2C1810"/>
                <w:sz w:val="20"/>
                <w:szCs w:val="20"/>
              </w:rPr>
              <w:t xml:space="preserve">Accent — Warm Stone</w:t>
            </w:r>
          </w:p>
        </w:tc>
        <w:tc>
          <w:tcPr>
            <w:tcW w:type="dxa" w:w="2340"/>
            <w:tcBorders>
              <w:top w:val="single" w:color="E0D5C5" w:sz="1"/>
              <w:left w:val="single" w:color="E0D5C5" w:sz="1"/>
              <w:bottom w:val="single" w:color="E0D5C5" w:sz="1"/>
              <w:right w:val="single" w:color="E0D5C5" w:sz="1"/>
            </w:tcBorders>
            <w:tcMar>
              <w:top w:type="dxa" w:w="80"/>
              <w:left w:type="dxa" w:w="120"/>
              <w:bottom w:type="dxa" w:w="80"/>
              <w:right w:type="dxa" w:w="120"/>
            </w:tcMar>
          </w:tcPr>
          <w:p>
            <w:r>
              <w:rPr>
                <w:rFonts w:ascii="Courier New" w:cs="Courier New" w:eastAsia="Courier New" w:hAnsi="Courier New"/>
                <w:color w:val="8B7355"/>
                <w:sz w:val="20"/>
                <w:szCs w:val="20"/>
              </w:rPr>
              <w:t xml:space="preserve">#8B7355</w:t>
            </w:r>
          </w:p>
        </w:tc>
        <w:tc>
          <w:tcPr>
            <w:tcW w:type="dxa" w:w="2340"/>
            <w:tcBorders>
              <w:top w:val="single" w:color="E0D5C5" w:sz="1"/>
              <w:left w:val="single" w:color="E0D5C5" w:sz="1"/>
              <w:bottom w:val="single" w:color="E0D5C5" w:sz="1"/>
              <w:right w:val="single" w:color="E0D5C5" w:sz="1"/>
            </w:tcBorders>
            <w:shd w:fill="8B7355" w:val="clear"/>
            <w:tcMar>
              <w:top w:type="dxa" w:w="80"/>
              <w:left w:type="dxa" w:w="120"/>
              <w:bottom w:type="dxa" w:w="80"/>
              <w:right w:type="dxa" w:w="120"/>
            </w:tcMar>
          </w:tcPr>
          <w:p>
            <w:r>
              <w:rPr>
                <w:rFonts w:ascii="Arial" w:cs="Arial" w:eastAsia="Arial" w:hAnsi="Arial"/>
                <w:color w:val="FFFFFF"/>
                <w:sz w:val="20"/>
                <w:szCs w:val="20"/>
              </w:rPr>
              <w:t xml:space="preserve"> </w:t>
            </w:r>
          </w:p>
        </w:tc>
      </w:tr>
    </w:tbl>
    <w:p>
      <w:pPr>
        <w:spacing w:after="0" w:before="160"/>
      </w:pPr>
      <w:r>
        <w:t xml:space="preserve"/>
      </w:r>
    </w:p>
    <w:p>
      <w:pPr>
        <w:spacing w:after="120" w:before="280"/>
      </w:pPr>
      <w:r>
        <w:rPr>
          <w:rFonts w:ascii="Arial" w:cs="Arial" w:eastAsia="Arial" w:hAnsi="Arial"/>
          <w:b/>
          <w:bCs/>
          <w:color w:val="A0522D"/>
          <w:sz w:val="24"/>
          <w:szCs w:val="24"/>
        </w:rPr>
        <w:t xml:space="preserve">Tone and visual language</w:t>
      </w:r>
    </w:p>
    <w:p>
      <w:pPr>
        <w:pStyle w:val="ListParagraph"/>
        <w:numPr>
          <w:ilvl w:val="0"/>
          <w:numId w:val="2"/>
        </w:numPr>
        <w:spacing w:after="60" w:before="60"/>
      </w:pPr>
      <w:r>
        <w:rPr>
          <w:rFonts w:ascii="Arial" w:cs="Arial" w:eastAsia="Arial" w:hAnsi="Arial"/>
          <w:color w:val="2C1810"/>
          <w:sz w:val="22"/>
          <w:szCs w:val="22"/>
        </w:rPr>
        <w:t xml:space="preserve">Warm documentary photography — real people, real places, real moments</w:t>
      </w:r>
    </w:p>
    <w:p>
      <w:pPr>
        <w:pStyle w:val="ListParagraph"/>
        <w:numPr>
          <w:ilvl w:val="0"/>
          <w:numId w:val="2"/>
        </w:numPr>
        <w:spacing w:after="60" w:before="60"/>
      </w:pPr>
      <w:r>
        <w:rPr>
          <w:rFonts w:ascii="Arial" w:cs="Arial" w:eastAsia="Arial" w:hAnsi="Arial"/>
          <w:color w:val="2C1810"/>
          <w:sz w:val="22"/>
          <w:szCs w:val="22"/>
        </w:rPr>
        <w:t xml:space="preserve">No stock images; no generic monuments or tourism-style visuals</w:t>
      </w:r>
    </w:p>
    <w:p>
      <w:pPr>
        <w:pStyle w:val="ListParagraph"/>
        <w:numPr>
          <w:ilvl w:val="0"/>
          <w:numId w:val="2"/>
        </w:numPr>
        <w:spacing w:after="60" w:before="60"/>
      </w:pPr>
      <w:r>
        <w:rPr>
          <w:rFonts w:ascii="Arial" w:cs="Arial" w:eastAsia="Arial" w:hAnsi="Arial"/>
          <w:color w:val="2C1810"/>
          <w:sz w:val="22"/>
          <w:szCs w:val="22"/>
        </w:rPr>
        <w:t xml:space="preserve">Typographic pull quotes in Playfair Display to anchor key messages</w:t>
      </w:r>
    </w:p>
    <w:p>
      <w:pPr>
        <w:pStyle w:val="ListParagraph"/>
        <w:numPr>
          <w:ilvl w:val="0"/>
          <w:numId w:val="2"/>
        </w:numPr>
        <w:spacing w:after="60" w:before="60"/>
      </w:pPr>
      <w:r>
        <w:rPr>
          <w:rFonts w:ascii="Arial" w:cs="Arial" w:eastAsia="Arial" w:hAnsi="Arial"/>
          <w:color w:val="2C1810"/>
          <w:sz w:val="22"/>
          <w:szCs w:val="22"/>
        </w:rPr>
        <w:t xml:space="preserve">Layouts are editorial and spacious — cream background, generous whitespace</w:t>
      </w:r>
    </w:p>
    <w:p>
      <w:pPr>
        <w:pStyle w:val="ListParagraph"/>
        <w:numPr>
          <w:ilvl w:val="0"/>
          <w:numId w:val="2"/>
        </w:numPr>
        <w:spacing w:after="60" w:before="60"/>
      </w:pPr>
      <w:r>
        <w:rPr>
          <w:rFonts w:ascii="Arial" w:cs="Arial" w:eastAsia="Arial" w:hAnsi="Arial"/>
          <w:color w:val="2C1810"/>
          <w:sz w:val="22"/>
          <w:szCs w:val="22"/>
        </w:rPr>
        <w:t xml:space="preserve">Avoid: cold blues, neon accents, generic tech gradients, or anything that reads as a startup pitch</w:t>
      </w:r>
    </w:p>
    <w:p>
      <w:pPr>
        <w:spacing w:after="0" w:before="120"/>
      </w:pPr>
      <w:r>
        <w:t xml:space="preserve"/>
      </w:r>
    </w:p>
    <w:p>
      <w:pPr>
        <w:pBdr>
          <w:bottom w:val="single" w:color="C8922A" w:sz="8" w:space="4"/>
        </w:pBdr>
        <w:spacing w:after="160" w:before="360"/>
      </w:pPr>
      <w:r>
        <w:rPr>
          <w:rFonts w:ascii="Georgia" w:cs="Georgia" w:eastAsia="Georgia" w:hAnsi="Georgia"/>
          <w:b/>
          <w:bCs/>
          <w:color w:val="2C1810"/>
          <w:sz w:val="32"/>
          <w:szCs w:val="32"/>
        </w:rPr>
        <w:t xml:space="preserve">6. Public Presence</w:t>
      </w:r>
    </w:p>
    <w:p>
      <w:pPr>
        <w:spacing w:after="120" w:before="280"/>
      </w:pPr>
      <w:r>
        <w:rPr>
          <w:rFonts w:ascii="Arial" w:cs="Arial" w:eastAsia="Arial" w:hAnsi="Arial"/>
          <w:b/>
          <w:bCs/>
          <w:color w:val="A0522D"/>
          <w:sz w:val="24"/>
          <w:szCs w:val="24"/>
        </w:rPr>
        <w:t xml:space="preserve">Platform: LinkedIn Organization Page</w:t>
      </w:r>
    </w:p>
    <w:p>
      <w:pPr>
        <w:spacing w:after="80" w:before="80"/>
        <w:jc w:val="left"/>
      </w:pPr>
      <w:r>
        <w:rPr>
          <w:rFonts w:ascii="Arial" w:cs="Arial" w:eastAsia="Arial" w:hAnsi="Arial"/>
          <w:color w:val="2C1810"/>
          <w:sz w:val="22"/>
          <w:szCs w:val="22"/>
        </w:rPr>
        <w:t xml:space="preserve">LinkedIn was chosen as the launch platform for TraceForward based on the audience analysis. While Aisha (22) is primarily on Instagram and TikTok, the single-person capacity of this project means maintaining a platform that also reaches Omar (35) and professional audiences provides more strategic value per post. LinkedIn also positions TraceForward as a credible, mission-driven initiative rather than a student society.</w:t>
      </w:r>
    </w:p>
    <w:p>
      <w:pPr>
        <w:spacing w:after="0" w:before="80"/>
      </w:pPr>
      <w:r>
        <w:t xml:space="preserve"/>
      </w:r>
    </w:p>
    <w:p>
      <w:pPr>
        <w:spacing w:after="120" w:before="280"/>
      </w:pPr>
      <w:r>
        <w:rPr>
          <w:rFonts w:ascii="Arial" w:cs="Arial" w:eastAsia="Arial" w:hAnsi="Arial"/>
          <w:b/>
          <w:bCs/>
          <w:color w:val="A0522D"/>
          <w:sz w:val="24"/>
          <w:szCs w:val="24"/>
        </w:rPr>
        <w:t xml:space="preserve">LinkedIn page details</w:t>
      </w:r>
    </w:p>
    <w:p>
      <w:pPr>
        <w:spacing w:after="80" w:before="80"/>
      </w:pPr>
      <w:r>
        <w:rPr>
          <w:rFonts w:ascii="Arial" w:cs="Arial" w:eastAsia="Arial" w:hAnsi="Arial"/>
          <w:b/>
          <w:bCs/>
          <w:color w:val="A0522D"/>
          <w:sz w:val="22"/>
          <w:szCs w:val="22"/>
        </w:rPr>
        <w:t xml:space="preserve">Page name: </w:t>
      </w:r>
      <w:r>
        <w:rPr>
          <w:rFonts w:ascii="Arial" w:cs="Arial" w:eastAsia="Arial" w:hAnsi="Arial"/>
          <w:color w:val="2C1810"/>
          <w:sz w:val="22"/>
          <w:szCs w:val="22"/>
        </w:rPr>
        <w:t xml:space="preserve">TraceForward</w:t>
      </w:r>
    </w:p>
    <w:p>
      <w:pPr>
        <w:spacing w:after="80" w:before="80"/>
      </w:pPr>
      <w:r>
        <w:rPr>
          <w:rFonts w:ascii="Arial" w:cs="Arial" w:eastAsia="Arial" w:hAnsi="Arial"/>
          <w:b/>
          <w:bCs/>
          <w:color w:val="A0522D"/>
          <w:sz w:val="22"/>
          <w:szCs w:val="22"/>
        </w:rPr>
        <w:t xml:space="preserve">Tagline / Bio: </w:t>
      </w:r>
      <w:r>
        <w:rPr>
          <w:rFonts w:ascii="Arial" w:cs="Arial" w:eastAsia="Arial" w:hAnsi="Arial"/>
          <w:color w:val="2C1810"/>
          <w:sz w:val="22"/>
          <w:szCs w:val="22"/>
        </w:rPr>
        <w:t xml:space="preserve">We document, preserve, and share cultural heritage before it disappears. Combining storytelling, technology, and community memory — one trace at a time.</w:t>
      </w:r>
    </w:p>
    <w:p>
      <w:pPr>
        <w:spacing w:after="80" w:before="80"/>
      </w:pPr>
      <w:r>
        <w:rPr>
          <w:rFonts w:ascii="Arial" w:cs="Arial" w:eastAsia="Arial" w:hAnsi="Arial"/>
          <w:b/>
          <w:bCs/>
          <w:color w:val="A0522D"/>
          <w:sz w:val="22"/>
          <w:szCs w:val="22"/>
        </w:rPr>
        <w:t xml:space="preserve">Header color: </w:t>
      </w:r>
      <w:r>
        <w:rPr>
          <w:rFonts w:ascii="Arial" w:cs="Arial" w:eastAsia="Arial" w:hAnsi="Arial"/>
          <w:color w:val="2C1810"/>
          <w:sz w:val="22"/>
          <w:szCs w:val="22"/>
        </w:rPr>
        <w:t xml:space="preserve">#C8922A (Ochre)</w:t>
      </w:r>
    </w:p>
    <w:p>
      <w:pPr>
        <w:spacing w:after="80" w:before="80"/>
      </w:pPr>
      <w:r>
        <w:rPr>
          <w:rFonts w:ascii="Arial" w:cs="Arial" w:eastAsia="Arial" w:hAnsi="Arial"/>
          <w:b/>
          <w:bCs/>
          <w:color w:val="A0522D"/>
          <w:sz w:val="22"/>
          <w:szCs w:val="22"/>
        </w:rPr>
        <w:t xml:space="preserve">Hashtags: </w:t>
      </w:r>
      <w:r>
        <w:rPr>
          <w:rFonts w:ascii="Arial" w:cs="Arial" w:eastAsia="Arial" w:hAnsi="Arial"/>
          <w:color w:val="2C1810"/>
          <w:sz w:val="22"/>
          <w:szCs w:val="22"/>
        </w:rPr>
        <w:t xml:space="preserve">#TraceForward  #HeritagePreservation  #CulturalMemory  #YouthAndHeritage  #PreserveMyWorld</w:t>
      </w:r>
    </w:p>
    <w:p>
      <w:pPr>
        <w:spacing w:after="0" w:before="80"/>
      </w:pPr>
      <w:r>
        <w:t xml:space="preserve"/>
      </w:r>
    </w:p>
    <w:p>
      <w:pPr>
        <w:spacing w:after="120" w:before="280"/>
      </w:pPr>
      <w:r>
        <w:rPr>
          <w:rFonts w:ascii="Arial" w:cs="Arial" w:eastAsia="Arial" w:hAnsi="Arial"/>
          <w:b/>
          <w:bCs/>
          <w:color w:val="A0522D"/>
          <w:sz w:val="24"/>
          <w:szCs w:val="24"/>
        </w:rPr>
        <w:t xml:space="preserve">Launch post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DF6EB" w:val="clear"/>
            <w:tcMar>
              <w:top w:type="dxa" w:w="160"/>
              <w:left w:type="dxa" w:w="200"/>
              <w:bottom w:type="dxa" w:w="160"/>
              <w:right w:type="dxa" w:w="200"/>
            </w:tcMar>
          </w:tcPr>
          <w:p>
            <w:pPr>
              <w:jc w:val="center"/>
            </w:pPr>
            <w:r>
              <w:rPr>
                <w:rFonts w:ascii="Arial" w:cs="Arial" w:eastAsia="Arial" w:hAnsi="Arial"/>
                <w:i/>
                <w:iCs/>
                <w:color w:val="2C1810"/>
                <w:sz w:val="22"/>
                <w:szCs w:val="22"/>
              </w:rPr>
              <w:t xml:space="preserve">Every family has a story. Every city has a memory. Every culture has something worth saving.
TraceForward was built on one belief: the stories disappearing around us today are the history someone will search for tomorrow.
We are here to change that — one trace at a time.</w:t>
            </w:r>
          </w:p>
        </w:tc>
      </w:tr>
    </w:tbl>
    <w:p>
      <w:pPr>
        <w:spacing w:after="0" w:before="160"/>
      </w:pPr>
      <w:r>
        <w:t xml:space="preserve"/>
      </w:r>
    </w:p>
    <w:p>
      <w:pPr>
        <w:spacing w:after="120" w:before="280"/>
      </w:pPr>
      <w:r>
        <w:rPr>
          <w:rFonts w:ascii="Arial" w:cs="Arial" w:eastAsia="Arial" w:hAnsi="Arial"/>
          <w:b/>
          <w:bCs/>
          <w:color w:val="A0522D"/>
          <w:sz w:val="24"/>
          <w:szCs w:val="24"/>
        </w:rPr>
        <w:t xml:space="preserve">Web presence</w:t>
      </w:r>
    </w:p>
    <w:p>
      <w:pPr>
        <w:spacing w:after="80" w:before="80"/>
        <w:jc w:val="left"/>
      </w:pPr>
      <w:r>
        <w:rPr>
          <w:rFonts w:ascii="Arial" w:cs="Arial" w:eastAsia="Arial" w:hAnsi="Arial"/>
          <w:color w:val="2C1810"/>
          <w:sz w:val="22"/>
          <w:szCs w:val="22"/>
        </w:rPr>
        <w:t xml:space="preserve">A public webpage was also created using HTML/CSS, incorporating the full TraceForward brand system: Playfair Display headings, ochre and cream palette, the three-pillar structure (Document, Preserve, Share), and all three persona cards. The page serves as a portfolio-ready artifact demonstrating visual identity execution.</w:t>
      </w:r>
    </w:p>
    <w:p>
      <w:pPr>
        <w:spacing w:after="0" w:before="120"/>
      </w:pPr>
      <w:r>
        <w:t xml:space="preserve"/>
      </w:r>
    </w:p>
    <w:p>
      <w:pPr>
        <w:pBdr>
          <w:bottom w:val="single" w:color="C8922A" w:sz="8" w:space="4"/>
        </w:pBdr>
        <w:spacing w:after="160" w:before="360"/>
      </w:pPr>
      <w:r>
        <w:rPr>
          <w:rFonts w:ascii="Georgia" w:cs="Georgia" w:eastAsia="Georgia" w:hAnsi="Georgia"/>
          <w:b/>
          <w:bCs/>
          <w:color w:val="2C1810"/>
          <w:sz w:val="32"/>
          <w:szCs w:val="32"/>
        </w:rPr>
        <w:t xml:space="preserve">7. AI-Assisted Thinking</w:t>
      </w:r>
    </w:p>
    <w:p>
      <w:pPr>
        <w:spacing w:after="80" w:before="80"/>
        <w:jc w:val="left"/>
      </w:pPr>
      <w:r>
        <w:rPr>
          <w:rFonts w:ascii="Arial" w:cs="Arial" w:eastAsia="Arial" w:hAnsi="Arial"/>
          <w:color w:val="2C1810"/>
          <w:sz w:val="22"/>
          <w:szCs w:val="22"/>
        </w:rPr>
        <w:t xml:space="preserve">The following prompts were used strategically — not to paste generic output, but to accelerate and sharpen decisions at each stage of the branding process.</w:t>
      </w:r>
    </w:p>
    <w:p>
      <w:pPr>
        <w:spacing w:after="0" w:before="80"/>
      </w:pPr>
      <w:r>
        <w:t xml:space="preserve"/>
      </w:r>
    </w:p>
    <w:p>
      <w:pPr>
        <w:spacing w:after="120" w:before="280"/>
      </w:pPr>
      <w:r>
        <w:rPr>
          <w:rFonts w:ascii="Arial" w:cs="Arial" w:eastAsia="Arial" w:hAnsi="Arial"/>
          <w:b/>
          <w:bCs/>
          <w:color w:val="A0522D"/>
          <w:sz w:val="24"/>
          <w:szCs w:val="24"/>
        </w:rPr>
        <w:t xml:space="preserve">Prompts used</w:t>
      </w:r>
    </w:p>
    <w:p>
      <w:pPr>
        <w:pStyle w:val="ListParagraph"/>
        <w:numPr>
          <w:ilvl w:val="0"/>
          <w:numId w:val="2"/>
        </w:numPr>
        <w:spacing w:after="60" w:before="60"/>
      </w:pPr>
      <w:r>
        <w:rPr>
          <w:rFonts w:ascii="Arial" w:cs="Arial" w:eastAsia="Arial" w:hAnsi="Arial"/>
          <w:color w:val="2C1810"/>
          <w:sz w:val="22"/>
          <w:szCs w:val="22"/>
        </w:rPr>
        <w:t xml:space="preserve">ICP Builder: Generated 3 persona profiles (Sarah, Aisha, Omar) with age, motivation, pain points, and platform preference. Used to anchor all subsequent brand decisions.</w:t>
      </w:r>
    </w:p>
    <w:p>
      <w:pPr>
        <w:pStyle w:val="ListParagraph"/>
        <w:numPr>
          <w:ilvl w:val="0"/>
          <w:numId w:val="2"/>
        </w:numPr>
        <w:spacing w:after="60" w:before="60"/>
      </w:pPr>
      <w:r>
        <w:rPr>
          <w:rFonts w:ascii="Arial" w:cs="Arial" w:eastAsia="Arial" w:hAnsi="Arial"/>
          <w:color w:val="2C1810"/>
          <w:sz w:val="22"/>
          <w:szCs w:val="22"/>
        </w:rPr>
        <w:t xml:space="preserve">Age demographic analysis: Compared teenagers, university students, young professionals, and heritage enthusiasts to determine that 18–28 is the primary content target with 30–45 as a credibility audience.</w:t>
      </w:r>
    </w:p>
    <w:p>
      <w:pPr>
        <w:pStyle w:val="ListParagraph"/>
        <w:numPr>
          <w:ilvl w:val="0"/>
          <w:numId w:val="2"/>
        </w:numPr>
        <w:spacing w:after="60" w:before="60"/>
      </w:pPr>
      <w:r>
        <w:rPr>
          <w:rFonts w:ascii="Arial" w:cs="Arial" w:eastAsia="Arial" w:hAnsi="Arial"/>
          <w:color w:val="2C1810"/>
          <w:sz w:val="22"/>
          <w:szCs w:val="22"/>
        </w:rPr>
        <w:t xml:space="preserve">Design theme explorer: Generated 5 visual identity directions from which 'Youth Culture Archive' and 'Future Heritage Studio' were selected and combined.</w:t>
      </w:r>
    </w:p>
    <w:p>
      <w:pPr>
        <w:pStyle w:val="ListParagraph"/>
        <w:numPr>
          <w:ilvl w:val="0"/>
          <w:numId w:val="2"/>
        </w:numPr>
        <w:spacing w:after="60" w:before="60"/>
      </w:pPr>
      <w:r>
        <w:rPr>
          <w:rFonts w:ascii="Arial" w:cs="Arial" w:eastAsia="Arial" w:hAnsi="Arial"/>
          <w:color w:val="2C1810"/>
          <w:sz w:val="22"/>
          <w:szCs w:val="22"/>
        </w:rPr>
        <w:t xml:space="preserve">Team name generation: Produced 10 name candidates within the chosen theme. TraceForward was selected based on dual meaning, memorability, and audience resonance.</w:t>
      </w:r>
    </w:p>
    <w:p>
      <w:pPr>
        <w:pStyle w:val="ListParagraph"/>
        <w:numPr>
          <w:ilvl w:val="0"/>
          <w:numId w:val="2"/>
        </w:numPr>
        <w:spacing w:after="60" w:before="60"/>
      </w:pPr>
      <w:r>
        <w:rPr>
          <w:rFonts w:ascii="Arial" w:cs="Arial" w:eastAsia="Arial" w:hAnsi="Arial"/>
          <w:color w:val="2C1810"/>
          <w:sz w:val="22"/>
          <w:szCs w:val="22"/>
        </w:rPr>
        <w:t xml:space="preserve">Logo direction generation: Five logo concepts were evaluated. 'Root Arrow' was selected as the strongest conceptual match for the TraceForward mission.</w:t>
      </w:r>
    </w:p>
    <w:p>
      <w:pPr>
        <w:pStyle w:val="ListParagraph"/>
        <w:numPr>
          <w:ilvl w:val="0"/>
          <w:numId w:val="2"/>
        </w:numPr>
        <w:spacing w:after="60" w:before="60"/>
      </w:pPr>
      <w:r>
        <w:rPr>
          <w:rFonts w:ascii="Arial" w:cs="Arial" w:eastAsia="Arial" w:hAnsi="Arial"/>
          <w:color w:val="2C1810"/>
          <w:sz w:val="22"/>
          <w:szCs w:val="22"/>
        </w:rPr>
        <w:t xml:space="preserve">Social bio and launch post: Draft bio and launch post were generated then refined to remove generic phrasing and ensure the voice matched the warm-but-credible tone.</w:t>
      </w:r>
    </w:p>
    <w:p>
      <w:pPr>
        <w:spacing w:after="0" w:before="80"/>
      </w:pPr>
      <w:r>
        <w:t xml:space="preserve"/>
      </w:r>
    </w:p>
    <w:p>
      <w:pPr>
        <w:spacing w:after="120" w:before="280"/>
      </w:pPr>
      <w:r>
        <w:rPr>
          <w:rFonts w:ascii="Arial" w:cs="Arial" w:eastAsia="Arial" w:hAnsi="Arial"/>
          <w:b/>
          <w:bCs/>
          <w:color w:val="A0522D"/>
          <w:sz w:val="24"/>
          <w:szCs w:val="24"/>
        </w:rPr>
        <w:t xml:space="preserve">How AI improved the strategy</w:t>
      </w:r>
    </w:p>
    <w:p>
      <w:pPr>
        <w:spacing w:after="80" w:before="80"/>
        <w:jc w:val="left"/>
      </w:pPr>
      <w:r>
        <w:rPr>
          <w:rFonts w:ascii="Arial" w:cs="Arial" w:eastAsia="Arial" w:hAnsi="Arial"/>
          <w:color w:val="2C1810"/>
          <w:sz w:val="22"/>
          <w:szCs w:val="22"/>
        </w:rPr>
        <w:t xml:space="preserve">AI was used to expand the option space quickly (10 names vs. guessing 2–3), then human judgment was applied to evaluate and select. The ICP exercise in particular prevented common branding mistakes — choosing colors before understanding the audience, or picking a name that sounds creative but has no strategic fit.</w:t>
      </w:r>
    </w:p>
    <w:p>
      <w:pPr>
        <w:spacing w:after="0" w:before="120"/>
      </w:pPr>
      <w:r>
        <w:t xml:space="preserve"/>
      </w:r>
    </w:p>
    <w:p>
      <w:pPr>
        <w:pBdr>
          <w:bottom w:val="single" w:color="C8922A" w:sz="8" w:space="4"/>
        </w:pBdr>
        <w:spacing w:after="160" w:before="360"/>
      </w:pPr>
      <w:r>
        <w:rPr>
          <w:rFonts w:ascii="Georgia" w:cs="Georgia" w:eastAsia="Georgia" w:hAnsi="Georgia"/>
          <w:b/>
          <w:bCs/>
          <w:color w:val="2C1810"/>
          <w:sz w:val="32"/>
          <w:szCs w:val="32"/>
        </w:rPr>
        <w:t xml:space="preserve">8. Branding Strategy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E0D5C5" w:sz="1"/>
              <w:left w:val="single" w:color="E0D5C5" w:sz="1"/>
              <w:bottom w:val="single" w:color="E0D5C5" w:sz="1"/>
              <w:right w:val="single" w:color="E0D5C5" w:sz="1"/>
            </w:tcBorders>
            <w:shd w:fill="FDF6EB" w:val="clear"/>
            <w:tcMar>
              <w:top w:type="dxa" w:w="80"/>
              <w:left w:type="dxa" w:w="120"/>
              <w:bottom w:type="dxa" w:w="80"/>
              <w:right w:type="dxa" w:w="120"/>
            </w:tcMar>
          </w:tcPr>
          <w:p>
            <w:r>
              <w:rPr>
                <w:rFonts w:ascii="Arial" w:cs="Arial" w:eastAsia="Arial" w:hAnsi="Arial"/>
                <w:b/>
                <w:bCs/>
                <w:color w:val="A0522D"/>
                <w:sz w:val="20"/>
                <w:szCs w:val="20"/>
              </w:rPr>
              <w:t xml:space="preserve">Team name</w:t>
            </w:r>
          </w:p>
        </w:tc>
        <w:tc>
          <w:tcPr>
            <w:tcW w:type="dxa" w:w="6240"/>
            <w:tcBorders>
              <w:top w:val="single" w:color="E0D5C5" w:sz="1"/>
              <w:left w:val="single" w:color="E0D5C5" w:sz="1"/>
              <w:bottom w:val="single" w:color="E0D5C5" w:sz="1"/>
              <w:right w:val="single" w:color="E0D5C5" w:sz="1"/>
            </w:tcBorders>
            <w:tcMar>
              <w:top w:type="dxa" w:w="80"/>
              <w:left w:type="dxa" w:w="120"/>
              <w:bottom w:type="dxa" w:w="80"/>
              <w:right w:type="dxa" w:w="120"/>
            </w:tcMar>
          </w:tcPr>
          <w:p>
            <w:r>
              <w:rPr>
                <w:rFonts w:ascii="Arial" w:cs="Arial" w:eastAsia="Arial" w:hAnsi="Arial"/>
                <w:color w:val="2C1810"/>
                <w:sz w:val="20"/>
                <w:szCs w:val="20"/>
              </w:rPr>
              <w:t xml:space="preserve">TraceForward</w:t>
            </w:r>
          </w:p>
        </w:tc>
      </w:tr>
      <w:tr>
        <w:tc>
          <w:tcPr>
            <w:tcW w:type="dxa" w:w="3120"/>
            <w:tcBorders>
              <w:top w:val="single" w:color="E0D5C5" w:sz="1"/>
              <w:left w:val="single" w:color="E0D5C5" w:sz="1"/>
              <w:bottom w:val="single" w:color="E0D5C5" w:sz="1"/>
              <w:right w:val="single" w:color="E0D5C5" w:sz="1"/>
            </w:tcBorders>
            <w:shd w:fill="FDF6EB" w:val="clear"/>
            <w:tcMar>
              <w:top w:type="dxa" w:w="80"/>
              <w:left w:type="dxa" w:w="120"/>
              <w:bottom w:type="dxa" w:w="80"/>
              <w:right w:type="dxa" w:w="120"/>
            </w:tcMar>
          </w:tcPr>
          <w:p>
            <w:r>
              <w:rPr>
                <w:rFonts w:ascii="Arial" w:cs="Arial" w:eastAsia="Arial" w:hAnsi="Arial"/>
                <w:b/>
                <w:bCs/>
                <w:color w:val="A0522D"/>
                <w:sz w:val="20"/>
                <w:szCs w:val="20"/>
              </w:rPr>
              <w:t xml:space="preserve">Theme(s)</w:t>
            </w:r>
          </w:p>
        </w:tc>
        <w:tc>
          <w:tcPr>
            <w:tcW w:type="dxa" w:w="6240"/>
            <w:tcBorders>
              <w:top w:val="single" w:color="E0D5C5" w:sz="1"/>
              <w:left w:val="single" w:color="E0D5C5" w:sz="1"/>
              <w:bottom w:val="single" w:color="E0D5C5" w:sz="1"/>
              <w:right w:val="single" w:color="E0D5C5" w:sz="1"/>
            </w:tcBorders>
            <w:tcMar>
              <w:top w:type="dxa" w:w="80"/>
              <w:left w:type="dxa" w:w="120"/>
              <w:bottom w:type="dxa" w:w="80"/>
              <w:right w:type="dxa" w:w="120"/>
            </w:tcMar>
          </w:tcPr>
          <w:p>
            <w:r>
              <w:rPr>
                <w:rFonts w:ascii="Arial" w:cs="Arial" w:eastAsia="Arial" w:hAnsi="Arial"/>
                <w:color w:val="2C1810"/>
                <w:sz w:val="20"/>
                <w:szCs w:val="20"/>
              </w:rPr>
              <w:t xml:space="preserve">Youth Culture Archive (primary) + Future Heritage Studio (secondary)</w:t>
            </w:r>
          </w:p>
        </w:tc>
      </w:tr>
      <w:tr>
        <w:tc>
          <w:tcPr>
            <w:tcW w:type="dxa" w:w="3120"/>
            <w:tcBorders>
              <w:top w:val="single" w:color="E0D5C5" w:sz="1"/>
              <w:left w:val="single" w:color="E0D5C5" w:sz="1"/>
              <w:bottom w:val="single" w:color="E0D5C5" w:sz="1"/>
              <w:right w:val="single" w:color="E0D5C5" w:sz="1"/>
            </w:tcBorders>
            <w:shd w:fill="FDF6EB" w:val="clear"/>
            <w:tcMar>
              <w:top w:type="dxa" w:w="80"/>
              <w:left w:type="dxa" w:w="120"/>
              <w:bottom w:type="dxa" w:w="80"/>
              <w:right w:type="dxa" w:w="120"/>
            </w:tcMar>
          </w:tcPr>
          <w:p>
            <w:r>
              <w:rPr>
                <w:rFonts w:ascii="Arial" w:cs="Arial" w:eastAsia="Arial" w:hAnsi="Arial"/>
                <w:b/>
                <w:bCs/>
                <w:color w:val="A0522D"/>
                <w:sz w:val="20"/>
                <w:szCs w:val="20"/>
              </w:rPr>
              <w:t xml:space="preserve">Primary audience</w:t>
            </w:r>
          </w:p>
        </w:tc>
        <w:tc>
          <w:tcPr>
            <w:tcW w:type="dxa" w:w="6240"/>
            <w:tcBorders>
              <w:top w:val="single" w:color="E0D5C5" w:sz="1"/>
              <w:left w:val="single" w:color="E0D5C5" w:sz="1"/>
              <w:bottom w:val="single" w:color="E0D5C5" w:sz="1"/>
              <w:right w:val="single" w:color="E0D5C5" w:sz="1"/>
            </w:tcBorders>
            <w:tcMar>
              <w:top w:type="dxa" w:w="80"/>
              <w:left w:type="dxa" w:w="120"/>
              <w:bottom w:type="dxa" w:w="80"/>
              <w:right w:type="dxa" w:w="120"/>
            </w:tcMar>
          </w:tcPr>
          <w:p>
            <w:r>
              <w:rPr>
                <w:rFonts w:ascii="Arial" w:cs="Arial" w:eastAsia="Arial" w:hAnsi="Arial"/>
                <w:color w:val="2C1810"/>
                <w:sz w:val="20"/>
                <w:szCs w:val="20"/>
              </w:rPr>
              <w:t xml:space="preserve">Aisha Khan — 22, university student, Gen Z memory keeper</w:t>
            </w:r>
          </w:p>
        </w:tc>
      </w:tr>
      <w:tr>
        <w:tc>
          <w:tcPr>
            <w:tcW w:type="dxa" w:w="3120"/>
            <w:tcBorders>
              <w:top w:val="single" w:color="E0D5C5" w:sz="1"/>
              <w:left w:val="single" w:color="E0D5C5" w:sz="1"/>
              <w:bottom w:val="single" w:color="E0D5C5" w:sz="1"/>
              <w:right w:val="single" w:color="E0D5C5" w:sz="1"/>
            </w:tcBorders>
            <w:shd w:fill="FDF6EB" w:val="clear"/>
            <w:tcMar>
              <w:top w:type="dxa" w:w="80"/>
              <w:left w:type="dxa" w:w="120"/>
              <w:bottom w:type="dxa" w:w="80"/>
              <w:right w:type="dxa" w:w="120"/>
            </w:tcMar>
          </w:tcPr>
          <w:p>
            <w:r>
              <w:rPr>
                <w:rFonts w:ascii="Arial" w:cs="Arial" w:eastAsia="Arial" w:hAnsi="Arial"/>
                <w:b/>
                <w:bCs/>
                <w:color w:val="A0522D"/>
                <w:sz w:val="20"/>
                <w:szCs w:val="20"/>
              </w:rPr>
              <w:t xml:space="preserve">Secondary audience</w:t>
            </w:r>
          </w:p>
        </w:tc>
        <w:tc>
          <w:tcPr>
            <w:tcW w:type="dxa" w:w="6240"/>
            <w:tcBorders>
              <w:top w:val="single" w:color="E0D5C5" w:sz="1"/>
              <w:left w:val="single" w:color="E0D5C5" w:sz="1"/>
              <w:bottom w:val="single" w:color="E0D5C5" w:sz="1"/>
              <w:right w:val="single" w:color="E0D5C5" w:sz="1"/>
            </w:tcBorders>
            <w:tcMar>
              <w:top w:type="dxa" w:w="80"/>
              <w:left w:type="dxa" w:w="120"/>
              <w:bottom w:type="dxa" w:w="80"/>
              <w:right w:type="dxa" w:w="120"/>
            </w:tcMar>
          </w:tcPr>
          <w:p>
            <w:r>
              <w:rPr>
                <w:rFonts w:ascii="Arial" w:cs="Arial" w:eastAsia="Arial" w:hAnsi="Arial"/>
                <w:color w:val="2C1810"/>
                <w:sz w:val="20"/>
                <w:szCs w:val="20"/>
              </w:rPr>
              <w:t xml:space="preserve">Omar Malik — 35, architect / heritage researcher</w:t>
            </w:r>
          </w:p>
        </w:tc>
      </w:tr>
      <w:tr>
        <w:tc>
          <w:tcPr>
            <w:tcW w:type="dxa" w:w="3120"/>
            <w:tcBorders>
              <w:top w:val="single" w:color="E0D5C5" w:sz="1"/>
              <w:left w:val="single" w:color="E0D5C5" w:sz="1"/>
              <w:bottom w:val="single" w:color="E0D5C5" w:sz="1"/>
              <w:right w:val="single" w:color="E0D5C5" w:sz="1"/>
            </w:tcBorders>
            <w:shd w:fill="FDF6EB" w:val="clear"/>
            <w:tcMar>
              <w:top w:type="dxa" w:w="80"/>
              <w:left w:type="dxa" w:w="120"/>
              <w:bottom w:type="dxa" w:w="80"/>
              <w:right w:type="dxa" w:w="120"/>
            </w:tcMar>
          </w:tcPr>
          <w:p>
            <w:r>
              <w:rPr>
                <w:rFonts w:ascii="Arial" w:cs="Arial" w:eastAsia="Arial" w:hAnsi="Arial"/>
                <w:b/>
                <w:bCs/>
                <w:color w:val="A0522D"/>
                <w:sz w:val="20"/>
                <w:szCs w:val="20"/>
              </w:rPr>
              <w:t xml:space="preserve">Platform</w:t>
            </w:r>
          </w:p>
        </w:tc>
        <w:tc>
          <w:tcPr>
            <w:tcW w:type="dxa" w:w="6240"/>
            <w:tcBorders>
              <w:top w:val="single" w:color="E0D5C5" w:sz="1"/>
              <w:left w:val="single" w:color="E0D5C5" w:sz="1"/>
              <w:bottom w:val="single" w:color="E0D5C5" w:sz="1"/>
              <w:right w:val="single" w:color="E0D5C5" w:sz="1"/>
            </w:tcBorders>
            <w:tcMar>
              <w:top w:type="dxa" w:w="80"/>
              <w:left w:type="dxa" w:w="120"/>
              <w:bottom w:type="dxa" w:w="80"/>
              <w:right w:type="dxa" w:w="120"/>
            </w:tcMar>
          </w:tcPr>
          <w:p>
            <w:r>
              <w:rPr>
                <w:rFonts w:ascii="Arial" w:cs="Arial" w:eastAsia="Arial" w:hAnsi="Arial"/>
                <w:color w:val="2C1810"/>
                <w:sz w:val="20"/>
                <w:szCs w:val="20"/>
              </w:rPr>
              <w:t xml:space="preserve">LinkedIn organization page</w:t>
            </w:r>
          </w:p>
        </w:tc>
      </w:tr>
      <w:tr>
        <w:tc>
          <w:tcPr>
            <w:tcW w:type="dxa" w:w="3120"/>
            <w:tcBorders>
              <w:top w:val="single" w:color="E0D5C5" w:sz="1"/>
              <w:left w:val="single" w:color="E0D5C5" w:sz="1"/>
              <w:bottom w:val="single" w:color="E0D5C5" w:sz="1"/>
              <w:right w:val="single" w:color="E0D5C5" w:sz="1"/>
            </w:tcBorders>
            <w:shd w:fill="FDF6EB" w:val="clear"/>
            <w:tcMar>
              <w:top w:type="dxa" w:w="80"/>
              <w:left w:type="dxa" w:w="120"/>
              <w:bottom w:type="dxa" w:w="80"/>
              <w:right w:type="dxa" w:w="120"/>
            </w:tcMar>
          </w:tcPr>
          <w:p>
            <w:r>
              <w:rPr>
                <w:rFonts w:ascii="Arial" w:cs="Arial" w:eastAsia="Arial" w:hAnsi="Arial"/>
                <w:b/>
                <w:bCs/>
                <w:color w:val="A0522D"/>
                <w:sz w:val="20"/>
                <w:szCs w:val="20"/>
              </w:rPr>
              <w:t xml:space="preserve">Logo direction</w:t>
            </w:r>
          </w:p>
        </w:tc>
        <w:tc>
          <w:tcPr>
            <w:tcW w:type="dxa" w:w="6240"/>
            <w:tcBorders>
              <w:top w:val="single" w:color="E0D5C5" w:sz="1"/>
              <w:left w:val="single" w:color="E0D5C5" w:sz="1"/>
              <w:bottom w:val="single" w:color="E0D5C5" w:sz="1"/>
              <w:right w:val="single" w:color="E0D5C5" w:sz="1"/>
            </w:tcBorders>
            <w:tcMar>
              <w:top w:type="dxa" w:w="80"/>
              <w:left w:type="dxa" w:w="120"/>
              <w:bottom w:type="dxa" w:w="80"/>
              <w:right w:type="dxa" w:w="120"/>
            </w:tcMar>
          </w:tcPr>
          <w:p>
            <w:r>
              <w:rPr>
                <w:rFonts w:ascii="Arial" w:cs="Arial" w:eastAsia="Arial" w:hAnsi="Arial"/>
                <w:color w:val="2C1810"/>
                <w:sz w:val="20"/>
                <w:szCs w:val="20"/>
              </w:rPr>
              <w:t xml:space="preserve">Root Arrow — downward root curving upward into a forward arrow</w:t>
            </w:r>
          </w:p>
        </w:tc>
      </w:tr>
      <w:tr>
        <w:tc>
          <w:tcPr>
            <w:tcW w:type="dxa" w:w="3120"/>
            <w:tcBorders>
              <w:top w:val="single" w:color="E0D5C5" w:sz="1"/>
              <w:left w:val="single" w:color="E0D5C5" w:sz="1"/>
              <w:bottom w:val="single" w:color="E0D5C5" w:sz="1"/>
              <w:right w:val="single" w:color="E0D5C5" w:sz="1"/>
            </w:tcBorders>
            <w:shd w:fill="FDF6EB" w:val="clear"/>
            <w:tcMar>
              <w:top w:type="dxa" w:w="80"/>
              <w:left w:type="dxa" w:w="120"/>
              <w:bottom w:type="dxa" w:w="80"/>
              <w:right w:type="dxa" w:w="120"/>
            </w:tcMar>
          </w:tcPr>
          <w:p>
            <w:r>
              <w:rPr>
                <w:rFonts w:ascii="Arial" w:cs="Arial" w:eastAsia="Arial" w:hAnsi="Arial"/>
                <w:b/>
                <w:bCs/>
                <w:color w:val="A0522D"/>
                <w:sz w:val="20"/>
                <w:szCs w:val="20"/>
              </w:rPr>
              <w:t xml:space="preserve">Color palette</w:t>
            </w:r>
          </w:p>
        </w:tc>
        <w:tc>
          <w:tcPr>
            <w:tcW w:type="dxa" w:w="6240"/>
            <w:tcBorders>
              <w:top w:val="single" w:color="E0D5C5" w:sz="1"/>
              <w:left w:val="single" w:color="E0D5C5" w:sz="1"/>
              <w:bottom w:val="single" w:color="E0D5C5" w:sz="1"/>
              <w:right w:val="single" w:color="E0D5C5" w:sz="1"/>
            </w:tcBorders>
            <w:tcMar>
              <w:top w:type="dxa" w:w="80"/>
              <w:left w:type="dxa" w:w="120"/>
              <w:bottom w:type="dxa" w:w="80"/>
              <w:right w:type="dxa" w:w="120"/>
            </w:tcMar>
          </w:tcPr>
          <w:p>
            <w:r>
              <w:rPr>
                <w:rFonts w:ascii="Arial" w:cs="Arial" w:eastAsia="Arial" w:hAnsi="Arial"/>
                <w:color w:val="2C1810"/>
                <w:sz w:val="20"/>
                <w:szCs w:val="20"/>
              </w:rPr>
              <w:t xml:space="preserve">Ochre #C8922A · Terracotta #A0522D · Cream #F5F0E8 · Deep Brown #2C1810</w:t>
            </w:r>
          </w:p>
        </w:tc>
      </w:tr>
      <w:tr>
        <w:tc>
          <w:tcPr>
            <w:tcW w:type="dxa" w:w="3120"/>
            <w:tcBorders>
              <w:top w:val="single" w:color="E0D5C5" w:sz="1"/>
              <w:left w:val="single" w:color="E0D5C5" w:sz="1"/>
              <w:bottom w:val="single" w:color="E0D5C5" w:sz="1"/>
              <w:right w:val="single" w:color="E0D5C5" w:sz="1"/>
            </w:tcBorders>
            <w:shd w:fill="FDF6EB" w:val="clear"/>
            <w:tcMar>
              <w:top w:type="dxa" w:w="80"/>
              <w:left w:type="dxa" w:w="120"/>
              <w:bottom w:type="dxa" w:w="80"/>
              <w:right w:type="dxa" w:w="120"/>
            </w:tcMar>
          </w:tcPr>
          <w:p>
            <w:r>
              <w:rPr>
                <w:rFonts w:ascii="Arial" w:cs="Arial" w:eastAsia="Arial" w:hAnsi="Arial"/>
                <w:b/>
                <w:bCs/>
                <w:color w:val="A0522D"/>
                <w:sz w:val="20"/>
                <w:szCs w:val="20"/>
              </w:rPr>
              <w:t xml:space="preserve">Typography</w:t>
            </w:r>
          </w:p>
        </w:tc>
        <w:tc>
          <w:tcPr>
            <w:tcW w:type="dxa" w:w="6240"/>
            <w:tcBorders>
              <w:top w:val="single" w:color="E0D5C5" w:sz="1"/>
              <w:left w:val="single" w:color="E0D5C5" w:sz="1"/>
              <w:bottom w:val="single" w:color="E0D5C5" w:sz="1"/>
              <w:right w:val="single" w:color="E0D5C5" w:sz="1"/>
            </w:tcBorders>
            <w:tcMar>
              <w:top w:type="dxa" w:w="80"/>
              <w:left w:type="dxa" w:w="120"/>
              <w:bottom w:type="dxa" w:w="80"/>
              <w:right w:type="dxa" w:w="120"/>
            </w:tcMar>
          </w:tcPr>
          <w:p>
            <w:r>
              <w:rPr>
                <w:rFonts w:ascii="Arial" w:cs="Arial" w:eastAsia="Arial" w:hAnsi="Arial"/>
                <w:color w:val="2C1810"/>
                <w:sz w:val="20"/>
                <w:szCs w:val="20"/>
              </w:rPr>
              <w:t xml:space="preserve">Playfair Display (display) + Inter (body)</w:t>
            </w:r>
          </w:p>
        </w:tc>
      </w:tr>
      <w:tr>
        <w:tc>
          <w:tcPr>
            <w:tcW w:type="dxa" w:w="3120"/>
            <w:tcBorders>
              <w:top w:val="single" w:color="E0D5C5" w:sz="1"/>
              <w:left w:val="single" w:color="E0D5C5" w:sz="1"/>
              <w:bottom w:val="single" w:color="E0D5C5" w:sz="1"/>
              <w:right w:val="single" w:color="E0D5C5" w:sz="1"/>
            </w:tcBorders>
            <w:shd w:fill="FDF6EB" w:val="clear"/>
            <w:tcMar>
              <w:top w:type="dxa" w:w="80"/>
              <w:left w:type="dxa" w:w="120"/>
              <w:bottom w:type="dxa" w:w="80"/>
              <w:right w:type="dxa" w:w="120"/>
            </w:tcMar>
          </w:tcPr>
          <w:p>
            <w:r>
              <w:rPr>
                <w:rFonts w:ascii="Arial" w:cs="Arial" w:eastAsia="Arial" w:hAnsi="Arial"/>
                <w:b/>
                <w:bCs/>
                <w:color w:val="A0522D"/>
                <w:sz w:val="20"/>
                <w:szCs w:val="20"/>
              </w:rPr>
              <w:t xml:space="preserve">Tone</w:t>
            </w:r>
          </w:p>
        </w:tc>
        <w:tc>
          <w:tcPr>
            <w:tcW w:type="dxa" w:w="6240"/>
            <w:tcBorders>
              <w:top w:val="single" w:color="E0D5C5" w:sz="1"/>
              <w:left w:val="single" w:color="E0D5C5" w:sz="1"/>
              <w:bottom w:val="single" w:color="E0D5C5" w:sz="1"/>
              <w:right w:val="single" w:color="E0D5C5" w:sz="1"/>
            </w:tcBorders>
            <w:tcMar>
              <w:top w:type="dxa" w:w="80"/>
              <w:left w:type="dxa" w:w="120"/>
              <w:bottom w:type="dxa" w:w="80"/>
              <w:right w:type="dxa" w:w="120"/>
            </w:tcMar>
          </w:tcPr>
          <w:p>
            <w:r>
              <w:rPr>
                <w:rFonts w:ascii="Arial" w:cs="Arial" w:eastAsia="Arial" w:hAnsi="Arial"/>
                <w:color w:val="2C1810"/>
                <w:sz w:val="20"/>
                <w:szCs w:val="20"/>
              </w:rPr>
              <w:t xml:space="preserve">Warm, documentary, credible — human-first without being casual</w:t>
            </w:r>
          </w:p>
        </w:tc>
      </w:tr>
      <w:tr>
        <w:tc>
          <w:tcPr>
            <w:tcW w:type="dxa" w:w="3120"/>
            <w:tcBorders>
              <w:top w:val="single" w:color="E0D5C5" w:sz="1"/>
              <w:left w:val="single" w:color="E0D5C5" w:sz="1"/>
              <w:bottom w:val="single" w:color="E0D5C5" w:sz="1"/>
              <w:right w:val="single" w:color="E0D5C5" w:sz="1"/>
            </w:tcBorders>
            <w:shd w:fill="FDF6EB" w:val="clear"/>
            <w:tcMar>
              <w:top w:type="dxa" w:w="80"/>
              <w:left w:type="dxa" w:w="120"/>
              <w:bottom w:type="dxa" w:w="80"/>
              <w:right w:type="dxa" w:w="120"/>
            </w:tcMar>
          </w:tcPr>
          <w:p>
            <w:r>
              <w:rPr>
                <w:rFonts w:ascii="Arial" w:cs="Arial" w:eastAsia="Arial" w:hAnsi="Arial"/>
                <w:b/>
                <w:bCs/>
                <w:color w:val="A0522D"/>
                <w:sz w:val="20"/>
                <w:szCs w:val="20"/>
              </w:rPr>
              <w:t xml:space="preserve">Tagline</w:t>
            </w:r>
          </w:p>
        </w:tc>
        <w:tc>
          <w:tcPr>
            <w:tcW w:type="dxa" w:w="6240"/>
            <w:tcBorders>
              <w:top w:val="single" w:color="E0D5C5" w:sz="1"/>
              <w:left w:val="single" w:color="E0D5C5" w:sz="1"/>
              <w:bottom w:val="single" w:color="E0D5C5" w:sz="1"/>
              <w:right w:val="single" w:color="E0D5C5" w:sz="1"/>
            </w:tcBorders>
            <w:tcMar>
              <w:top w:type="dxa" w:w="80"/>
              <w:left w:type="dxa" w:w="120"/>
              <w:bottom w:type="dxa" w:w="80"/>
              <w:right w:type="dxa" w:w="120"/>
            </w:tcMar>
          </w:tcPr>
          <w:p>
            <w:r>
              <w:rPr>
                <w:rFonts w:ascii="Arial" w:cs="Arial" w:eastAsia="Arial" w:hAnsi="Arial"/>
                <w:color w:val="2C1810"/>
                <w:sz w:val="20"/>
                <w:szCs w:val="20"/>
              </w:rPr>
              <w:t xml:space="preserve">Your memories deserve more than disappearing stories.</w:t>
            </w:r>
          </w:p>
        </w:tc>
      </w:tr>
      <w:tr>
        <w:tc>
          <w:tcPr>
            <w:tcW w:type="dxa" w:w="3120"/>
            <w:tcBorders>
              <w:top w:val="single" w:color="E0D5C5" w:sz="1"/>
              <w:left w:val="single" w:color="E0D5C5" w:sz="1"/>
              <w:bottom w:val="single" w:color="E0D5C5" w:sz="1"/>
              <w:right w:val="single" w:color="E0D5C5" w:sz="1"/>
            </w:tcBorders>
            <w:shd w:fill="FDF6EB" w:val="clear"/>
            <w:tcMar>
              <w:top w:type="dxa" w:w="80"/>
              <w:left w:type="dxa" w:w="120"/>
              <w:bottom w:type="dxa" w:w="80"/>
              <w:right w:type="dxa" w:w="120"/>
            </w:tcMar>
          </w:tcPr>
          <w:p>
            <w:r>
              <w:rPr>
                <w:rFonts w:ascii="Arial" w:cs="Arial" w:eastAsia="Arial" w:hAnsi="Arial"/>
                <w:b/>
                <w:bCs/>
                <w:color w:val="A0522D"/>
                <w:sz w:val="20"/>
                <w:szCs w:val="20"/>
              </w:rPr>
              <w:t xml:space="preserve">Hashtags</w:t>
            </w:r>
          </w:p>
        </w:tc>
        <w:tc>
          <w:tcPr>
            <w:tcW w:type="dxa" w:w="6240"/>
            <w:tcBorders>
              <w:top w:val="single" w:color="E0D5C5" w:sz="1"/>
              <w:left w:val="single" w:color="E0D5C5" w:sz="1"/>
              <w:bottom w:val="single" w:color="E0D5C5" w:sz="1"/>
              <w:right w:val="single" w:color="E0D5C5" w:sz="1"/>
            </w:tcBorders>
            <w:tcMar>
              <w:top w:type="dxa" w:w="80"/>
              <w:left w:type="dxa" w:w="120"/>
              <w:bottom w:type="dxa" w:w="80"/>
              <w:right w:type="dxa" w:w="120"/>
            </w:tcMar>
          </w:tcPr>
          <w:p>
            <w:r>
              <w:rPr>
                <w:rFonts w:ascii="Arial" w:cs="Arial" w:eastAsia="Arial" w:hAnsi="Arial"/>
                <w:color w:val="2C1810"/>
                <w:sz w:val="20"/>
                <w:szCs w:val="20"/>
              </w:rPr>
              <w:t xml:space="preserve">#TraceForward #HeritagePreservation #CulturalMemory #YouthAndHeritage #PreserveMyWorld</w:t>
            </w:r>
          </w:p>
        </w:tc>
      </w:tr>
      <w:tr>
        <w:tc>
          <w:tcPr>
            <w:tcW w:type="dxa" w:w="3120"/>
            <w:tcBorders>
              <w:top w:val="single" w:color="E0D5C5" w:sz="1"/>
              <w:left w:val="single" w:color="E0D5C5" w:sz="1"/>
              <w:bottom w:val="single" w:color="E0D5C5" w:sz="1"/>
              <w:right w:val="single" w:color="E0D5C5" w:sz="1"/>
            </w:tcBorders>
            <w:shd w:fill="FDF6EB" w:val="clear"/>
            <w:tcMar>
              <w:top w:type="dxa" w:w="80"/>
              <w:left w:type="dxa" w:w="120"/>
              <w:bottom w:type="dxa" w:w="80"/>
              <w:right w:type="dxa" w:w="120"/>
            </w:tcMar>
          </w:tcPr>
          <w:p>
            <w:r>
              <w:rPr>
                <w:rFonts w:ascii="Arial" w:cs="Arial" w:eastAsia="Arial" w:hAnsi="Arial"/>
                <w:b/>
                <w:bCs/>
                <w:color w:val="A0522D"/>
                <w:sz w:val="20"/>
                <w:szCs w:val="20"/>
              </w:rPr>
              <w:t xml:space="preserve">Why this theme fits</w:t>
            </w:r>
          </w:p>
        </w:tc>
        <w:tc>
          <w:tcPr>
            <w:tcW w:type="dxa" w:w="6240"/>
            <w:tcBorders>
              <w:top w:val="single" w:color="E0D5C5" w:sz="1"/>
              <w:left w:val="single" w:color="E0D5C5" w:sz="1"/>
              <w:bottom w:val="single" w:color="E0D5C5" w:sz="1"/>
              <w:right w:val="single" w:color="E0D5C5" w:sz="1"/>
            </w:tcBorders>
            <w:tcMar>
              <w:top w:type="dxa" w:w="80"/>
              <w:left w:type="dxa" w:w="120"/>
              <w:bottom w:type="dxa" w:w="80"/>
              <w:right w:type="dxa" w:w="120"/>
            </w:tcMar>
          </w:tcPr>
          <w:p>
            <w:r>
              <w:rPr>
                <w:rFonts w:ascii="Arial" w:cs="Arial" w:eastAsia="Arial" w:hAnsi="Arial"/>
                <w:color w:val="2C1810"/>
                <w:sz w:val="20"/>
                <w:szCs w:val="20"/>
              </w:rPr>
              <w:t xml:space="preserve">The Youth Culture Archive theme matches the primary audience's values (identity, storytelling, technology for good) while the Future Heritage Studio secondary layer adds the research credibility the project needs to be taken seriously by professionals and academics.</w:t>
            </w:r>
          </w:p>
        </w:tc>
      </w:tr>
    </w:tbl>
    <w:p>
      <w:pPr>
        <w:spacing w:after="0" w:before="4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DF6EB" w:val="clear"/>
            <w:tcMar>
              <w:top w:type="dxa" w:w="160"/>
              <w:left w:type="dxa" w:w="200"/>
              <w:bottom w:type="dxa" w:w="160"/>
              <w:right w:type="dxa" w:w="200"/>
            </w:tcMar>
          </w:tcPr>
          <w:p>
            <w:pPr>
              <w:jc w:val="center"/>
            </w:pPr>
            <w:r>
              <w:rPr>
                <w:rFonts w:ascii="Arial" w:cs="Arial" w:eastAsia="Arial" w:hAnsi="Arial"/>
                <w:i/>
                <w:iCs/>
                <w:color w:val="2C1810"/>
                <w:sz w:val="22"/>
                <w:szCs w:val="22"/>
              </w:rPr>
              <w:t xml:space="preserve">TraceForward — tracing the past, moving heritage forward.</w:t>
            </w:r>
          </w:p>
        </w:tc>
      </w:tr>
    </w:tbl>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B7355"/>
        <w:sz w:val="18"/>
        <w:szCs w:val="18"/>
      </w:rPr>
      <w:t xml:space="preserve">TraceForward — Saturday Branding Strategy Report  |  PreserveMy.World  |  Page </w:t>
    </w:r>
    <w:r>
      <w:rPr>
        <w:rFonts w:ascii="Arial" w:cs="Arial" w:eastAsia="Arial" w:hAnsi="Arial"/>
        <w:color w:val="8B73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2026-06-27T14:38:14.553Z</dcterms:created>
  <dcterms:modified xsi:type="dcterms:W3CDTF">2026-06-27T14:38:14.553Z</dcterms:modified>
</cp:coreProperties>
</file>

<file path=docProps/custom.xml><?xml version="1.0" encoding="utf-8"?>
<Properties xmlns="http://schemas.openxmlformats.org/officeDocument/2006/custom-properties" xmlns:vt="http://schemas.openxmlformats.org/officeDocument/2006/docPropsVTypes"/>
</file>