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bidi="si-LK"/>
          <w14:ligatures w14:val="standardContextual"/>
        </w:rPr>
        <w:id w:val="650638839"/>
        <w:docPartObj>
          <w:docPartGallery w:val="Cover Pages"/>
          <w:docPartUnique/>
        </w:docPartObj>
      </w:sdtPr>
      <w:sdtEndPr>
        <w:rPr>
          <w:caps/>
          <w:sz w:val="64"/>
          <w:szCs w:val="64"/>
        </w:rPr>
      </w:sdtEndPr>
      <w:sdtContent>
        <w:p w14:paraId="1643412C" w14:textId="13984585" w:rsidR="00410718" w:rsidRDefault="00410718">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මාතෘකාව"/>
            <w:tag w:val=""/>
            <w:id w:val="1735040861"/>
            <w:placeholder>
              <w:docPart w:val="BED99DDD166D411B96A31818960D331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A1F9232" w14:textId="770F46D1" w:rsidR="008C2F4F" w:rsidRDefault="008C2F4F" w:rsidP="008C2F4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LiteraTure review</w:t>
              </w:r>
            </w:p>
          </w:sdtContent>
        </w:sdt>
        <w:p w14:paraId="564656B7" w14:textId="77777777" w:rsidR="008C2F4F" w:rsidRDefault="008C2F4F" w:rsidP="008C2F4F">
          <w:pPr>
            <w:pStyle w:val="NoSpacing"/>
            <w:jc w:val="center"/>
            <w:rPr>
              <w:color w:val="156082" w:themeColor="accent1"/>
            </w:rPr>
          </w:pPr>
          <w:r w:rsidRPr="00D70C03">
            <w:rPr>
              <w:color w:val="156082" w:themeColor="accent1"/>
              <w:sz w:val="28"/>
              <w:szCs w:val="28"/>
            </w:rPr>
            <w:t>Explainable AI for Short-Term Wind-Power Forecasting: Evaluating SHAP Explanation Stability Across Wind Regimes and Temporal Periods</w:t>
          </w:r>
          <w:r>
            <w:rPr>
              <w:noProof/>
              <w:color w:val="156082" w:themeColor="accent1"/>
            </w:rPr>
            <mc:AlternateContent>
              <mc:Choice Requires="wps">
                <w:drawing>
                  <wp:anchor distT="0" distB="0" distL="114300" distR="114300" simplePos="0" relativeHeight="251661312" behindDoc="0" locked="0" layoutInCell="1" allowOverlap="1" wp14:anchorId="478B52D3" wp14:editId="46F53A1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2" name="පෙළ කොටුව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දිනය"/>
                                  <w:tag w:val=""/>
                                  <w:id w:val="-2058073492"/>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7B9547A" w14:textId="77777777" w:rsidR="008C2F4F" w:rsidRDefault="008C2F4F" w:rsidP="008C2F4F">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BEAB97E" w14:textId="2FCDBB4A" w:rsidR="008C2F4F" w:rsidRDefault="00000000" w:rsidP="008C2F4F">
                                <w:pPr>
                                  <w:pStyle w:val="NoSpacing"/>
                                  <w:jc w:val="center"/>
                                  <w:rPr>
                                    <w:color w:val="156082" w:themeColor="accent1"/>
                                  </w:rPr>
                                </w:pPr>
                                <w:sdt>
                                  <w:sdtPr>
                                    <w:rPr>
                                      <w:caps/>
                                      <w:color w:val="156082" w:themeColor="accent1"/>
                                    </w:rPr>
                                    <w:alias w:val="ආයතනය"/>
                                    <w:tag w:val=""/>
                                    <w:id w:val="2008943601"/>
                                    <w:dataBinding w:prefixMappings="xmlns:ns0='http://schemas.openxmlformats.org/officeDocument/2006/extended-properties' " w:xpath="/ns0:Properties[1]/ns0:Company[1]" w:storeItemID="{6668398D-A668-4E3E-A5EB-62B293D839F1}"/>
                                    <w:text/>
                                  </w:sdtPr>
                                  <w:sdtContent>
                                    <w:r w:rsidR="008C2F4F">
                                      <w:rPr>
                                        <w:caps/>
                                        <w:color w:val="156082" w:themeColor="accent1"/>
                                      </w:rPr>
                                      <w:t>R.J. Wijayasundara</w:t>
                                    </w:r>
                                  </w:sdtContent>
                                </w:sdt>
                              </w:p>
                              <w:p w14:paraId="06DAE334" w14:textId="2C71C886" w:rsidR="008C2F4F" w:rsidRDefault="00000000" w:rsidP="008C2F4F">
                                <w:pPr>
                                  <w:pStyle w:val="NoSpacing"/>
                                  <w:jc w:val="center"/>
                                  <w:rPr>
                                    <w:color w:val="156082" w:themeColor="accent1"/>
                                  </w:rPr>
                                </w:pPr>
                                <w:sdt>
                                  <w:sdtPr>
                                    <w:rPr>
                                      <w:color w:val="156082" w:themeColor="accent1"/>
                                    </w:rPr>
                                    <w:alias w:val="ලිපිනය"/>
                                    <w:tag w:val=""/>
                                    <w:id w:val="1657185446"/>
                                    <w:dataBinding w:prefixMappings="xmlns:ns0='http://schemas.microsoft.com/office/2006/coverPageProps' " w:xpath="/ns0:CoverPageProperties[1]/ns0:CompanyAddress[1]" w:storeItemID="{55AF091B-3C7A-41E3-B477-F2FDAA23CFDA}"/>
                                    <w:text/>
                                  </w:sdtPr>
                                  <w:sdtContent>
                                    <w:r w:rsidR="008C2F4F">
                                      <w:rPr>
                                        <w:color w:val="156082" w:themeColor="accent1"/>
                                      </w:rPr>
                                      <w:t>FACULTY OF APPLIED SCIENCES , WAYAMBA UNIVERSITY OF SRI LANKA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8B52D3" id="_x0000_t202" coordsize="21600,21600" o:spt="202" path="m,l,21600r21600,l21600,xe">
                    <v:stroke joinstyle="miter"/>
                    <v:path gradientshapeok="t" o:connecttype="rect"/>
                  </v:shapetype>
                  <v:shape id="පෙළ කොටුව142"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දිනය"/>
                            <w:tag w:val=""/>
                            <w:id w:val="-2058073492"/>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7B9547A" w14:textId="77777777" w:rsidR="008C2F4F" w:rsidRDefault="008C2F4F" w:rsidP="008C2F4F">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BEAB97E" w14:textId="2FCDBB4A" w:rsidR="008C2F4F" w:rsidRDefault="00000000" w:rsidP="008C2F4F">
                          <w:pPr>
                            <w:pStyle w:val="NoSpacing"/>
                            <w:jc w:val="center"/>
                            <w:rPr>
                              <w:color w:val="156082" w:themeColor="accent1"/>
                            </w:rPr>
                          </w:pPr>
                          <w:sdt>
                            <w:sdtPr>
                              <w:rPr>
                                <w:caps/>
                                <w:color w:val="156082" w:themeColor="accent1"/>
                              </w:rPr>
                              <w:alias w:val="ආයතනය"/>
                              <w:tag w:val=""/>
                              <w:id w:val="2008943601"/>
                              <w:dataBinding w:prefixMappings="xmlns:ns0='http://schemas.openxmlformats.org/officeDocument/2006/extended-properties' " w:xpath="/ns0:Properties[1]/ns0:Company[1]" w:storeItemID="{6668398D-A668-4E3E-A5EB-62B293D839F1}"/>
                              <w:text/>
                            </w:sdtPr>
                            <w:sdtContent>
                              <w:r w:rsidR="008C2F4F">
                                <w:rPr>
                                  <w:caps/>
                                  <w:color w:val="156082" w:themeColor="accent1"/>
                                </w:rPr>
                                <w:t>R.J. Wijayasundara</w:t>
                              </w:r>
                            </w:sdtContent>
                          </w:sdt>
                        </w:p>
                        <w:p w14:paraId="06DAE334" w14:textId="2C71C886" w:rsidR="008C2F4F" w:rsidRDefault="00000000" w:rsidP="008C2F4F">
                          <w:pPr>
                            <w:pStyle w:val="NoSpacing"/>
                            <w:jc w:val="center"/>
                            <w:rPr>
                              <w:color w:val="156082" w:themeColor="accent1"/>
                            </w:rPr>
                          </w:pPr>
                          <w:sdt>
                            <w:sdtPr>
                              <w:rPr>
                                <w:color w:val="156082" w:themeColor="accent1"/>
                              </w:rPr>
                              <w:alias w:val="ලිපිනය"/>
                              <w:tag w:val=""/>
                              <w:id w:val="1657185446"/>
                              <w:dataBinding w:prefixMappings="xmlns:ns0='http://schemas.microsoft.com/office/2006/coverPageProps' " w:xpath="/ns0:CoverPageProperties[1]/ns0:CompanyAddress[1]" w:storeItemID="{55AF091B-3C7A-41E3-B477-F2FDAA23CFDA}"/>
                              <w:text/>
                            </w:sdtPr>
                            <w:sdtContent>
                              <w:r w:rsidR="008C2F4F">
                                <w:rPr>
                                  <w:color w:val="156082" w:themeColor="accent1"/>
                                </w:rPr>
                                <w:t>FACULTY OF APPLIED SCIENCES , WAYAMBA UNIVERSITY OF SRI LANKA</w:t>
                              </w:r>
                            </w:sdtContent>
                          </w:sdt>
                        </w:p>
                      </w:txbxContent>
                    </v:textbox>
                    <w10:wrap anchorx="margin" anchory="page"/>
                  </v:shape>
                </w:pict>
              </mc:Fallback>
            </mc:AlternateContent>
          </w:r>
        </w:p>
        <w:p w14:paraId="668B2179" w14:textId="6379825F" w:rsidR="00410718" w:rsidRDefault="00410718" w:rsidP="008C2F4F">
          <w:pPr>
            <w:pStyle w:val="NoSpacing"/>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9822F95" wp14:editId="226838B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පෙළ කොටුව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දිනය"/>
                                  <w:tag w:val=""/>
                                  <w:id w:val="197127006"/>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26F115E" w14:textId="71A5E55C" w:rsidR="00410718" w:rsidRDefault="00233DB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9FA33D7" w14:textId="350A1822" w:rsidR="00410718" w:rsidRDefault="00000000">
                                <w:pPr>
                                  <w:pStyle w:val="NoSpacing"/>
                                  <w:jc w:val="center"/>
                                  <w:rPr>
                                    <w:color w:val="156082" w:themeColor="accent1"/>
                                  </w:rPr>
                                </w:pPr>
                                <w:sdt>
                                  <w:sdtPr>
                                    <w:rPr>
                                      <w:caps/>
                                      <w:color w:val="156082" w:themeColor="accent1"/>
                                    </w:rPr>
                                    <w:alias w:val="ආයතනය"/>
                                    <w:tag w:val=""/>
                                    <w:id w:val="1390145197"/>
                                    <w:dataBinding w:prefixMappings="xmlns:ns0='http://schemas.openxmlformats.org/officeDocument/2006/extended-properties' " w:xpath="/ns0:Properties[1]/ns0:Company[1]" w:storeItemID="{6668398D-A668-4E3E-A5EB-62B293D839F1}"/>
                                    <w:text/>
                                  </w:sdtPr>
                                  <w:sdtContent>
                                    <w:r w:rsidR="008C2F4F">
                                      <w:rPr>
                                        <w:caps/>
                                        <w:color w:val="156082" w:themeColor="accent1"/>
                                      </w:rPr>
                                      <w:t>R.J. Wijayasundara</w:t>
                                    </w:r>
                                  </w:sdtContent>
                                </w:sdt>
                              </w:p>
                              <w:p w14:paraId="6EA3A023" w14:textId="6224F5E9" w:rsidR="00410718" w:rsidRDefault="00000000">
                                <w:pPr>
                                  <w:pStyle w:val="NoSpacing"/>
                                  <w:jc w:val="center"/>
                                  <w:rPr>
                                    <w:color w:val="156082" w:themeColor="accent1"/>
                                  </w:rPr>
                                </w:pPr>
                                <w:sdt>
                                  <w:sdtPr>
                                    <w:rPr>
                                      <w:color w:val="156082" w:themeColor="accent1"/>
                                    </w:rPr>
                                    <w:alias w:val="ලිපිනය"/>
                                    <w:tag w:val=""/>
                                    <w:id w:val="-726379553"/>
                                    <w:dataBinding w:prefixMappings="xmlns:ns0='http://schemas.microsoft.com/office/2006/coverPageProps' " w:xpath="/ns0:CoverPageProperties[1]/ns0:CompanyAddress[1]" w:storeItemID="{55AF091B-3C7A-41E3-B477-F2FDAA23CFDA}"/>
                                    <w:text/>
                                  </w:sdtPr>
                                  <w:sdtContent>
                                    <w:r w:rsidR="00233DBB">
                                      <w:rPr>
                                        <w:color w:val="156082" w:themeColor="accent1"/>
                                      </w:rPr>
                                      <w:t>FACULTY OF APPLIED SCIENCES , WAYAMBA UNIVERSITY OF SRI LANKA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9822F95" 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දිනය"/>
                            <w:tag w:val=""/>
                            <w:id w:val="197127006"/>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26F115E" w14:textId="71A5E55C" w:rsidR="00410718" w:rsidRDefault="00233DB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9FA33D7" w14:textId="350A1822" w:rsidR="00410718" w:rsidRDefault="00000000">
                          <w:pPr>
                            <w:pStyle w:val="NoSpacing"/>
                            <w:jc w:val="center"/>
                            <w:rPr>
                              <w:color w:val="156082" w:themeColor="accent1"/>
                            </w:rPr>
                          </w:pPr>
                          <w:sdt>
                            <w:sdtPr>
                              <w:rPr>
                                <w:caps/>
                                <w:color w:val="156082" w:themeColor="accent1"/>
                              </w:rPr>
                              <w:alias w:val="ආයතනය"/>
                              <w:tag w:val=""/>
                              <w:id w:val="1390145197"/>
                              <w:dataBinding w:prefixMappings="xmlns:ns0='http://schemas.openxmlformats.org/officeDocument/2006/extended-properties' " w:xpath="/ns0:Properties[1]/ns0:Company[1]" w:storeItemID="{6668398D-A668-4E3E-A5EB-62B293D839F1}"/>
                              <w:text/>
                            </w:sdtPr>
                            <w:sdtContent>
                              <w:r w:rsidR="008C2F4F">
                                <w:rPr>
                                  <w:caps/>
                                  <w:color w:val="156082" w:themeColor="accent1"/>
                                </w:rPr>
                                <w:t>R.J. Wijayasundara</w:t>
                              </w:r>
                            </w:sdtContent>
                          </w:sdt>
                        </w:p>
                        <w:p w14:paraId="6EA3A023" w14:textId="6224F5E9" w:rsidR="00410718" w:rsidRDefault="00000000">
                          <w:pPr>
                            <w:pStyle w:val="NoSpacing"/>
                            <w:jc w:val="center"/>
                            <w:rPr>
                              <w:color w:val="156082" w:themeColor="accent1"/>
                            </w:rPr>
                          </w:pPr>
                          <w:sdt>
                            <w:sdtPr>
                              <w:rPr>
                                <w:color w:val="156082" w:themeColor="accent1"/>
                              </w:rPr>
                              <w:alias w:val="ලිපිනය"/>
                              <w:tag w:val=""/>
                              <w:id w:val="-726379553"/>
                              <w:dataBinding w:prefixMappings="xmlns:ns0='http://schemas.microsoft.com/office/2006/coverPageProps' " w:xpath="/ns0:CoverPageProperties[1]/ns0:CompanyAddress[1]" w:storeItemID="{55AF091B-3C7A-41E3-B477-F2FDAA23CFDA}"/>
                              <w:text/>
                            </w:sdtPr>
                            <w:sdtContent>
                              <w:r w:rsidR="00233DBB">
                                <w:rPr>
                                  <w:color w:val="156082" w:themeColor="accent1"/>
                                </w:rPr>
                                <w:t>FACULTY OF APPLIED SCIENCES , WAYAMBA UNIVERSITY OF SRI LANKA</w:t>
                              </w:r>
                            </w:sdtContent>
                          </w:sdt>
                        </w:p>
                      </w:txbxContent>
                    </v:textbox>
                    <w10:wrap anchorx="margin" anchory="page"/>
                  </v:shape>
                </w:pict>
              </mc:Fallback>
            </mc:AlternateContent>
          </w:r>
        </w:p>
        <w:p w14:paraId="0B6951AD" w14:textId="15E47A7F" w:rsidR="00410718" w:rsidRDefault="00410718">
          <w:pPr>
            <w:rPr>
              <w:caps/>
              <w:color w:val="156082" w:themeColor="accent1"/>
              <w:sz w:val="64"/>
              <w:szCs w:val="64"/>
            </w:rPr>
          </w:pPr>
          <w:r>
            <w:rPr>
              <w:caps/>
              <w:color w:val="156082" w:themeColor="accent1"/>
              <w:sz w:val="64"/>
              <w:szCs w:val="64"/>
            </w:rPr>
            <w:br w:type="page"/>
          </w:r>
        </w:p>
      </w:sdtContent>
    </w:sdt>
    <w:sdt>
      <w:sdtPr>
        <w:rPr>
          <w:rFonts w:ascii="Times New Roman" w:eastAsiaTheme="minorHAnsi" w:hAnsi="Times New Roman" w:cs="Times New Roman"/>
          <w:color w:val="auto"/>
          <w:kern w:val="2"/>
          <w:sz w:val="24"/>
          <w:szCs w:val="24"/>
          <w:lang w:bidi="si-LK"/>
          <w14:ligatures w14:val="standardContextual"/>
        </w:rPr>
        <w:id w:val="218957487"/>
        <w:docPartObj>
          <w:docPartGallery w:val="Table of Contents"/>
          <w:docPartUnique/>
        </w:docPartObj>
      </w:sdtPr>
      <w:sdtEndPr>
        <w:rPr>
          <w:rFonts w:asciiTheme="minorHAnsi" w:hAnsiTheme="minorHAnsi" w:cstheme="minorBidi"/>
        </w:rPr>
      </w:sdtEndPr>
      <w:sdtContent>
        <w:p w14:paraId="1EE5B0B5" w14:textId="7DB10713" w:rsidR="006C0198" w:rsidRPr="00B8344E" w:rsidRDefault="00A4284C" w:rsidP="008C2F4F">
          <w:pPr>
            <w:pStyle w:val="TOCHeading"/>
            <w:numPr>
              <w:ilvl w:val="0"/>
              <w:numId w:val="0"/>
            </w:numPr>
            <w:ind w:left="432" w:hanging="432"/>
            <w:rPr>
              <w:rFonts w:ascii="Times New Roman" w:hAnsi="Times New Roman" w:cs="Times New Roman"/>
            </w:rPr>
          </w:pPr>
          <w:r w:rsidRPr="00B8344E">
            <w:rPr>
              <w:rFonts w:ascii="Times New Roman" w:hAnsi="Times New Roman" w:cs="Times New Roman"/>
            </w:rPr>
            <w:t>Table of Content</w:t>
          </w:r>
        </w:p>
        <w:p w14:paraId="0991BD3C" w14:textId="3DF3A1A8" w:rsidR="00076D10" w:rsidRDefault="006C0198">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242855796" w:history="1">
            <w:r w:rsidR="00076D10" w:rsidRPr="00690F82">
              <w:rPr>
                <w:rStyle w:val="Hyperlink"/>
              </w:rPr>
              <w:t>Abstract</w:t>
            </w:r>
            <w:r w:rsidR="00076D10">
              <w:rPr>
                <w:webHidden/>
              </w:rPr>
              <w:tab/>
            </w:r>
            <w:r w:rsidR="00076D10">
              <w:rPr>
                <w:rStyle w:val="Hyperlink"/>
              </w:rPr>
              <w:fldChar w:fldCharType="begin"/>
            </w:r>
            <w:r w:rsidR="00076D10">
              <w:rPr>
                <w:webHidden/>
              </w:rPr>
              <w:instrText xml:space="preserve"> PAGEREF _Toc242855796 \h </w:instrText>
            </w:r>
            <w:r w:rsidR="00076D10">
              <w:rPr>
                <w:rStyle w:val="Hyperlink"/>
              </w:rPr>
            </w:r>
            <w:r w:rsidR="00076D10">
              <w:rPr>
                <w:rStyle w:val="Hyperlink"/>
              </w:rPr>
              <w:fldChar w:fldCharType="separate"/>
            </w:r>
            <w:r w:rsidR="00076D10">
              <w:rPr>
                <w:webHidden/>
              </w:rPr>
              <w:t>1</w:t>
            </w:r>
            <w:r w:rsidR="00076D10">
              <w:rPr>
                <w:rStyle w:val="Hyperlink"/>
              </w:rPr>
              <w:fldChar w:fldCharType="end"/>
            </w:r>
          </w:hyperlink>
        </w:p>
        <w:p w14:paraId="37156942" w14:textId="141FD1A9" w:rsidR="00076D10" w:rsidRDefault="00076D10">
          <w:pPr>
            <w:pStyle w:val="TOC1"/>
            <w:rPr>
              <w:rFonts w:asciiTheme="minorHAnsi" w:eastAsiaTheme="minorEastAsia" w:hAnsiTheme="minorHAnsi" w:cstheme="minorBidi"/>
            </w:rPr>
          </w:pPr>
          <w:hyperlink w:anchor="_Toc242855797" w:history="1">
            <w:r w:rsidRPr="00690F82">
              <w:rPr>
                <w:rStyle w:val="Hyperlink"/>
              </w:rPr>
              <w:t>1</w:t>
            </w:r>
            <w:r>
              <w:rPr>
                <w:rFonts w:asciiTheme="minorHAnsi" w:eastAsiaTheme="minorEastAsia" w:hAnsiTheme="minorHAnsi" w:cstheme="minorBidi"/>
              </w:rPr>
              <w:tab/>
            </w:r>
            <w:r w:rsidRPr="00690F82">
              <w:rPr>
                <w:rStyle w:val="Hyperlink"/>
              </w:rPr>
              <w:t>Introduction and Scope</w:t>
            </w:r>
            <w:r>
              <w:rPr>
                <w:webHidden/>
              </w:rPr>
              <w:tab/>
            </w:r>
            <w:r>
              <w:rPr>
                <w:rStyle w:val="Hyperlink"/>
              </w:rPr>
              <w:fldChar w:fldCharType="begin"/>
            </w:r>
            <w:r>
              <w:rPr>
                <w:webHidden/>
              </w:rPr>
              <w:instrText xml:space="preserve"> PAGEREF _Toc242855797 \h </w:instrText>
            </w:r>
            <w:r>
              <w:rPr>
                <w:rStyle w:val="Hyperlink"/>
              </w:rPr>
            </w:r>
            <w:r>
              <w:rPr>
                <w:rStyle w:val="Hyperlink"/>
              </w:rPr>
              <w:fldChar w:fldCharType="separate"/>
            </w:r>
            <w:r>
              <w:rPr>
                <w:webHidden/>
              </w:rPr>
              <w:t>2</w:t>
            </w:r>
            <w:r>
              <w:rPr>
                <w:rStyle w:val="Hyperlink"/>
              </w:rPr>
              <w:fldChar w:fldCharType="end"/>
            </w:r>
          </w:hyperlink>
        </w:p>
        <w:p w14:paraId="4B73E73C" w14:textId="55C02878" w:rsidR="00076D10" w:rsidRDefault="00076D10">
          <w:pPr>
            <w:pStyle w:val="TOC1"/>
            <w:rPr>
              <w:rFonts w:asciiTheme="minorHAnsi" w:eastAsiaTheme="minorEastAsia" w:hAnsiTheme="minorHAnsi" w:cstheme="minorBidi"/>
            </w:rPr>
          </w:pPr>
          <w:hyperlink w:anchor="_Toc242855798" w:history="1">
            <w:r w:rsidRPr="00690F82">
              <w:rPr>
                <w:rStyle w:val="Hyperlink"/>
              </w:rPr>
              <w:t>2</w:t>
            </w:r>
            <w:r>
              <w:rPr>
                <w:rFonts w:asciiTheme="minorHAnsi" w:eastAsiaTheme="minorEastAsia" w:hAnsiTheme="minorHAnsi" w:cstheme="minorBidi"/>
              </w:rPr>
              <w:tab/>
            </w:r>
            <w:r w:rsidRPr="00690F82">
              <w:rPr>
                <w:rStyle w:val="Hyperlink"/>
              </w:rPr>
              <w:t>Wind-Power Forecasting and Selected Model Families</w:t>
            </w:r>
            <w:r>
              <w:rPr>
                <w:webHidden/>
              </w:rPr>
              <w:tab/>
            </w:r>
            <w:r>
              <w:rPr>
                <w:rStyle w:val="Hyperlink"/>
              </w:rPr>
              <w:fldChar w:fldCharType="begin"/>
            </w:r>
            <w:r>
              <w:rPr>
                <w:webHidden/>
              </w:rPr>
              <w:instrText xml:space="preserve"> PAGEREF _Toc242855798 \h </w:instrText>
            </w:r>
            <w:r>
              <w:rPr>
                <w:rStyle w:val="Hyperlink"/>
              </w:rPr>
            </w:r>
            <w:r>
              <w:rPr>
                <w:rStyle w:val="Hyperlink"/>
              </w:rPr>
              <w:fldChar w:fldCharType="separate"/>
            </w:r>
            <w:r>
              <w:rPr>
                <w:webHidden/>
              </w:rPr>
              <w:t>3</w:t>
            </w:r>
            <w:r>
              <w:rPr>
                <w:rStyle w:val="Hyperlink"/>
              </w:rPr>
              <w:fldChar w:fldCharType="end"/>
            </w:r>
          </w:hyperlink>
        </w:p>
        <w:p w14:paraId="387AD5F8" w14:textId="121F9F75" w:rsidR="00076D10" w:rsidRDefault="00076D10">
          <w:pPr>
            <w:pStyle w:val="TOC2"/>
            <w:tabs>
              <w:tab w:val="left" w:pos="960"/>
              <w:tab w:val="right" w:leader="dot" w:pos="9016"/>
            </w:tabs>
            <w:rPr>
              <w:rFonts w:eastAsiaTheme="minorEastAsia"/>
              <w:noProof/>
            </w:rPr>
          </w:pPr>
          <w:hyperlink w:anchor="_Toc242855799" w:history="1">
            <w:r w:rsidRPr="00690F82">
              <w:rPr>
                <w:rStyle w:val="Hyperlink"/>
                <w:rFonts w:ascii="Times New Roman" w:hAnsi="Times New Roman" w:cs="Times New Roman"/>
                <w:noProof/>
              </w:rPr>
              <w:t>2.1</w:t>
            </w:r>
            <w:r>
              <w:rPr>
                <w:rFonts w:eastAsiaTheme="minorEastAsia"/>
                <w:noProof/>
              </w:rPr>
              <w:tab/>
            </w:r>
            <w:r w:rsidRPr="00690F82">
              <w:rPr>
                <w:rStyle w:val="Hyperlink"/>
                <w:rFonts w:ascii="Times New Roman" w:hAnsi="Times New Roman" w:cs="Times New Roman"/>
                <w:noProof/>
              </w:rPr>
              <w:t>Recent forecasting approaches</w:t>
            </w:r>
            <w:r>
              <w:rPr>
                <w:noProof/>
                <w:webHidden/>
              </w:rPr>
              <w:tab/>
            </w:r>
            <w:r>
              <w:rPr>
                <w:rStyle w:val="Hyperlink"/>
                <w:noProof/>
              </w:rPr>
              <w:fldChar w:fldCharType="begin"/>
            </w:r>
            <w:r>
              <w:rPr>
                <w:noProof/>
                <w:webHidden/>
              </w:rPr>
              <w:instrText xml:space="preserve"> PAGEREF _Toc242855799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B6F5785" w14:textId="2651D2EB" w:rsidR="00076D10" w:rsidRDefault="00076D10">
          <w:pPr>
            <w:pStyle w:val="TOC2"/>
            <w:tabs>
              <w:tab w:val="left" w:pos="960"/>
              <w:tab w:val="right" w:leader="dot" w:pos="9016"/>
            </w:tabs>
            <w:rPr>
              <w:rFonts w:eastAsiaTheme="minorEastAsia"/>
              <w:noProof/>
            </w:rPr>
          </w:pPr>
          <w:hyperlink w:anchor="_Toc242855800" w:history="1">
            <w:r w:rsidRPr="00690F82">
              <w:rPr>
                <w:rStyle w:val="Hyperlink"/>
                <w:rFonts w:ascii="Times New Roman" w:hAnsi="Times New Roman" w:cs="Times New Roman"/>
                <w:noProof/>
              </w:rPr>
              <w:t>2.2</w:t>
            </w:r>
            <w:r>
              <w:rPr>
                <w:rFonts w:eastAsiaTheme="minorEastAsia"/>
                <w:noProof/>
              </w:rPr>
              <w:tab/>
            </w:r>
            <w:r w:rsidRPr="00690F82">
              <w:rPr>
                <w:rStyle w:val="Hyperlink"/>
                <w:rFonts w:ascii="Times New Roman" w:hAnsi="Times New Roman" w:cs="Times New Roman"/>
                <w:noProof/>
              </w:rPr>
              <w:t>Rationale for LR, XGBoost, and LSTM</w:t>
            </w:r>
            <w:r>
              <w:rPr>
                <w:noProof/>
                <w:webHidden/>
              </w:rPr>
              <w:tab/>
            </w:r>
            <w:r>
              <w:rPr>
                <w:rStyle w:val="Hyperlink"/>
                <w:noProof/>
              </w:rPr>
              <w:fldChar w:fldCharType="begin"/>
            </w:r>
            <w:r>
              <w:rPr>
                <w:noProof/>
                <w:webHidden/>
              </w:rPr>
              <w:instrText xml:space="preserve"> PAGEREF _Toc242855800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97D6DA5" w14:textId="46C4018B" w:rsidR="00076D10" w:rsidRDefault="00076D10">
          <w:pPr>
            <w:pStyle w:val="TOC2"/>
            <w:tabs>
              <w:tab w:val="left" w:pos="960"/>
              <w:tab w:val="right" w:leader="dot" w:pos="9016"/>
            </w:tabs>
            <w:rPr>
              <w:rFonts w:eastAsiaTheme="minorEastAsia"/>
              <w:noProof/>
            </w:rPr>
          </w:pPr>
          <w:hyperlink w:anchor="_Toc242855801" w:history="1">
            <w:r w:rsidRPr="00690F82">
              <w:rPr>
                <w:rStyle w:val="Hyperlink"/>
                <w:rFonts w:ascii="Times New Roman" w:hAnsi="Times New Roman" w:cs="Times New Roman"/>
                <w:noProof/>
              </w:rPr>
              <w:t>2.3</w:t>
            </w:r>
            <w:r>
              <w:rPr>
                <w:rFonts w:eastAsiaTheme="minorEastAsia"/>
                <w:noProof/>
              </w:rPr>
              <w:tab/>
            </w:r>
            <w:r w:rsidRPr="00690F82">
              <w:rPr>
                <w:rStyle w:val="Hyperlink"/>
                <w:rFonts w:ascii="Times New Roman" w:hAnsi="Times New Roman" w:cs="Times New Roman"/>
                <w:noProof/>
              </w:rPr>
              <w:t>SCADA Inputs and Forecast-Time Availability</w:t>
            </w:r>
            <w:r>
              <w:rPr>
                <w:noProof/>
                <w:webHidden/>
              </w:rPr>
              <w:tab/>
            </w:r>
            <w:r>
              <w:rPr>
                <w:rStyle w:val="Hyperlink"/>
                <w:noProof/>
              </w:rPr>
              <w:fldChar w:fldCharType="begin"/>
            </w:r>
            <w:r>
              <w:rPr>
                <w:noProof/>
                <w:webHidden/>
              </w:rPr>
              <w:instrText xml:space="preserve"> PAGEREF _Toc242855801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3BE43519" w14:textId="7B4442F8" w:rsidR="00076D10" w:rsidRDefault="00076D10">
          <w:pPr>
            <w:pStyle w:val="TOC2"/>
            <w:tabs>
              <w:tab w:val="left" w:pos="960"/>
              <w:tab w:val="right" w:leader="dot" w:pos="9016"/>
            </w:tabs>
            <w:rPr>
              <w:rFonts w:eastAsiaTheme="minorEastAsia"/>
              <w:noProof/>
            </w:rPr>
          </w:pPr>
          <w:hyperlink w:anchor="_Toc242855802" w:history="1">
            <w:r w:rsidRPr="00690F82">
              <w:rPr>
                <w:rStyle w:val="Hyperlink"/>
                <w:rFonts w:ascii="Times New Roman" w:hAnsi="Times New Roman" w:cs="Times New Roman"/>
                <w:noProof/>
              </w:rPr>
              <w:t>2.4</w:t>
            </w:r>
            <w:r>
              <w:rPr>
                <w:rFonts w:eastAsiaTheme="minorEastAsia"/>
                <w:noProof/>
              </w:rPr>
              <w:tab/>
            </w:r>
            <w:r w:rsidRPr="00690F82">
              <w:rPr>
                <w:rStyle w:val="Hyperlink"/>
                <w:rFonts w:ascii="Times New Roman" w:hAnsi="Times New Roman" w:cs="Times New Roman"/>
                <w:noProof/>
              </w:rPr>
              <w:t>Recent Comparator Studies</w:t>
            </w:r>
            <w:r>
              <w:rPr>
                <w:noProof/>
                <w:webHidden/>
              </w:rPr>
              <w:tab/>
            </w:r>
            <w:r>
              <w:rPr>
                <w:rStyle w:val="Hyperlink"/>
                <w:noProof/>
              </w:rPr>
              <w:fldChar w:fldCharType="begin"/>
            </w:r>
            <w:r>
              <w:rPr>
                <w:noProof/>
                <w:webHidden/>
              </w:rPr>
              <w:instrText xml:space="preserve"> PAGEREF _Toc242855802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CD5D7F9" w14:textId="5963AED7" w:rsidR="00076D10" w:rsidRDefault="00076D10">
          <w:pPr>
            <w:pStyle w:val="TOC1"/>
            <w:rPr>
              <w:rFonts w:asciiTheme="minorHAnsi" w:eastAsiaTheme="minorEastAsia" w:hAnsiTheme="minorHAnsi" w:cstheme="minorBidi"/>
            </w:rPr>
          </w:pPr>
          <w:hyperlink w:anchor="_Toc242855803" w:history="1">
            <w:r w:rsidRPr="00690F82">
              <w:rPr>
                <w:rStyle w:val="Hyperlink"/>
              </w:rPr>
              <w:t>3</w:t>
            </w:r>
            <w:r>
              <w:rPr>
                <w:rFonts w:asciiTheme="minorHAnsi" w:eastAsiaTheme="minorEastAsia" w:hAnsiTheme="minorHAnsi" w:cstheme="minorBidi"/>
              </w:rPr>
              <w:tab/>
            </w:r>
            <w:r w:rsidRPr="00690F82">
              <w:rPr>
                <w:rStyle w:val="Hyperlink"/>
              </w:rPr>
              <w:t>Data Provenance, Chronological Protocol, and Metrics</w:t>
            </w:r>
            <w:r>
              <w:rPr>
                <w:webHidden/>
              </w:rPr>
              <w:tab/>
            </w:r>
            <w:r>
              <w:rPr>
                <w:rStyle w:val="Hyperlink"/>
              </w:rPr>
              <w:fldChar w:fldCharType="begin"/>
            </w:r>
            <w:r>
              <w:rPr>
                <w:webHidden/>
              </w:rPr>
              <w:instrText xml:space="preserve"> PAGEREF _Toc242855803 \h </w:instrText>
            </w:r>
            <w:r>
              <w:rPr>
                <w:rStyle w:val="Hyperlink"/>
              </w:rPr>
            </w:r>
            <w:r>
              <w:rPr>
                <w:rStyle w:val="Hyperlink"/>
              </w:rPr>
              <w:fldChar w:fldCharType="separate"/>
            </w:r>
            <w:r>
              <w:rPr>
                <w:webHidden/>
              </w:rPr>
              <w:t>5</w:t>
            </w:r>
            <w:r>
              <w:rPr>
                <w:rStyle w:val="Hyperlink"/>
              </w:rPr>
              <w:fldChar w:fldCharType="end"/>
            </w:r>
          </w:hyperlink>
        </w:p>
        <w:p w14:paraId="72CB47C4" w14:textId="474DD85E" w:rsidR="00076D10" w:rsidRDefault="00076D10">
          <w:pPr>
            <w:pStyle w:val="TOC1"/>
            <w:rPr>
              <w:rFonts w:asciiTheme="minorHAnsi" w:eastAsiaTheme="minorEastAsia" w:hAnsiTheme="minorHAnsi" w:cstheme="minorBidi"/>
            </w:rPr>
          </w:pPr>
          <w:hyperlink w:anchor="_Toc242855804" w:history="1">
            <w:r w:rsidRPr="00690F82">
              <w:rPr>
                <w:rStyle w:val="Hyperlink"/>
              </w:rPr>
              <w:t>4</w:t>
            </w:r>
            <w:r>
              <w:rPr>
                <w:rFonts w:asciiTheme="minorHAnsi" w:eastAsiaTheme="minorEastAsia" w:hAnsiTheme="minorHAnsi" w:cstheme="minorBidi"/>
              </w:rPr>
              <w:tab/>
            </w:r>
            <w:r w:rsidRPr="00690F82">
              <w:rPr>
                <w:rStyle w:val="Hyperlink"/>
              </w:rPr>
              <w:t>Explainable AI and SHAP in Wind Forecasting</w:t>
            </w:r>
            <w:r>
              <w:rPr>
                <w:webHidden/>
              </w:rPr>
              <w:tab/>
            </w:r>
            <w:r>
              <w:rPr>
                <w:rStyle w:val="Hyperlink"/>
              </w:rPr>
              <w:fldChar w:fldCharType="begin"/>
            </w:r>
            <w:r>
              <w:rPr>
                <w:webHidden/>
              </w:rPr>
              <w:instrText xml:space="preserve"> PAGEREF _Toc242855804 \h </w:instrText>
            </w:r>
            <w:r>
              <w:rPr>
                <w:rStyle w:val="Hyperlink"/>
              </w:rPr>
            </w:r>
            <w:r>
              <w:rPr>
                <w:rStyle w:val="Hyperlink"/>
              </w:rPr>
              <w:fldChar w:fldCharType="separate"/>
            </w:r>
            <w:r>
              <w:rPr>
                <w:webHidden/>
              </w:rPr>
              <w:t>6</w:t>
            </w:r>
            <w:r>
              <w:rPr>
                <w:rStyle w:val="Hyperlink"/>
              </w:rPr>
              <w:fldChar w:fldCharType="end"/>
            </w:r>
          </w:hyperlink>
        </w:p>
        <w:p w14:paraId="7B8D2203" w14:textId="0DA22264" w:rsidR="00076D10" w:rsidRDefault="00076D10">
          <w:pPr>
            <w:pStyle w:val="TOC1"/>
            <w:rPr>
              <w:rFonts w:asciiTheme="minorHAnsi" w:eastAsiaTheme="minorEastAsia" w:hAnsiTheme="minorHAnsi" w:cstheme="minorBidi"/>
            </w:rPr>
          </w:pPr>
          <w:hyperlink w:anchor="_Toc242855805" w:history="1">
            <w:r w:rsidRPr="00690F82">
              <w:rPr>
                <w:rStyle w:val="Hyperlink"/>
              </w:rPr>
              <w:t>5</w:t>
            </w:r>
            <w:r>
              <w:rPr>
                <w:rFonts w:asciiTheme="minorHAnsi" w:eastAsiaTheme="minorEastAsia" w:hAnsiTheme="minorHAnsi" w:cstheme="minorBidi"/>
              </w:rPr>
              <w:tab/>
            </w:r>
            <w:r w:rsidRPr="00690F82">
              <w:rPr>
                <w:rStyle w:val="Hyperlink"/>
              </w:rPr>
              <w:t>Explanation Stability and Time-Series Evaluation</w:t>
            </w:r>
            <w:r>
              <w:rPr>
                <w:webHidden/>
              </w:rPr>
              <w:tab/>
            </w:r>
            <w:r>
              <w:rPr>
                <w:rStyle w:val="Hyperlink"/>
              </w:rPr>
              <w:fldChar w:fldCharType="begin"/>
            </w:r>
            <w:r>
              <w:rPr>
                <w:webHidden/>
              </w:rPr>
              <w:instrText xml:space="preserve"> PAGEREF _Toc242855805 \h </w:instrText>
            </w:r>
            <w:r>
              <w:rPr>
                <w:rStyle w:val="Hyperlink"/>
              </w:rPr>
            </w:r>
            <w:r>
              <w:rPr>
                <w:rStyle w:val="Hyperlink"/>
              </w:rPr>
              <w:fldChar w:fldCharType="separate"/>
            </w:r>
            <w:r>
              <w:rPr>
                <w:webHidden/>
              </w:rPr>
              <w:t>7</w:t>
            </w:r>
            <w:r>
              <w:rPr>
                <w:rStyle w:val="Hyperlink"/>
              </w:rPr>
              <w:fldChar w:fldCharType="end"/>
            </w:r>
          </w:hyperlink>
        </w:p>
        <w:p w14:paraId="705EB803" w14:textId="56168FF2" w:rsidR="00076D10" w:rsidRDefault="00076D10">
          <w:pPr>
            <w:pStyle w:val="TOC1"/>
            <w:rPr>
              <w:rFonts w:asciiTheme="minorHAnsi" w:eastAsiaTheme="minorEastAsia" w:hAnsiTheme="minorHAnsi" w:cstheme="minorBidi"/>
            </w:rPr>
          </w:pPr>
          <w:hyperlink w:anchor="_Toc242855806" w:history="1">
            <w:r w:rsidRPr="00690F82">
              <w:rPr>
                <w:rStyle w:val="Hyperlink"/>
              </w:rPr>
              <w:t>6</w:t>
            </w:r>
            <w:r>
              <w:rPr>
                <w:rFonts w:asciiTheme="minorHAnsi" w:eastAsiaTheme="minorEastAsia" w:hAnsiTheme="minorHAnsi" w:cstheme="minorBidi"/>
              </w:rPr>
              <w:tab/>
            </w:r>
            <w:r w:rsidRPr="00690F82">
              <w:rPr>
                <w:rStyle w:val="Hyperlink"/>
              </w:rPr>
              <w:t>Synthesis, Bounded Research Gap, and Novelty</w:t>
            </w:r>
            <w:r>
              <w:rPr>
                <w:webHidden/>
              </w:rPr>
              <w:tab/>
            </w:r>
            <w:r>
              <w:rPr>
                <w:rStyle w:val="Hyperlink"/>
              </w:rPr>
              <w:fldChar w:fldCharType="begin"/>
            </w:r>
            <w:r>
              <w:rPr>
                <w:webHidden/>
              </w:rPr>
              <w:instrText xml:space="preserve"> PAGEREF _Toc242855806 \h </w:instrText>
            </w:r>
            <w:r>
              <w:rPr>
                <w:rStyle w:val="Hyperlink"/>
              </w:rPr>
            </w:r>
            <w:r>
              <w:rPr>
                <w:rStyle w:val="Hyperlink"/>
              </w:rPr>
              <w:fldChar w:fldCharType="separate"/>
            </w:r>
            <w:r>
              <w:rPr>
                <w:webHidden/>
              </w:rPr>
              <w:t>8</w:t>
            </w:r>
            <w:r>
              <w:rPr>
                <w:rStyle w:val="Hyperlink"/>
              </w:rPr>
              <w:fldChar w:fldCharType="end"/>
            </w:r>
          </w:hyperlink>
        </w:p>
        <w:p w14:paraId="7CC62CB8" w14:textId="38B7D558" w:rsidR="00076D10" w:rsidRDefault="00076D10">
          <w:pPr>
            <w:pStyle w:val="TOC1"/>
            <w:rPr>
              <w:rFonts w:asciiTheme="minorHAnsi" w:eastAsiaTheme="minorEastAsia" w:hAnsiTheme="minorHAnsi" w:cstheme="minorBidi"/>
            </w:rPr>
          </w:pPr>
          <w:hyperlink w:anchor="_Toc242855807" w:history="1">
            <w:r w:rsidRPr="00690F82">
              <w:rPr>
                <w:rStyle w:val="Hyperlink"/>
              </w:rPr>
              <w:t>References</w:t>
            </w:r>
            <w:r>
              <w:rPr>
                <w:webHidden/>
              </w:rPr>
              <w:tab/>
            </w:r>
            <w:r>
              <w:rPr>
                <w:rStyle w:val="Hyperlink"/>
              </w:rPr>
              <w:fldChar w:fldCharType="begin"/>
            </w:r>
            <w:r>
              <w:rPr>
                <w:webHidden/>
              </w:rPr>
              <w:instrText xml:space="preserve"> PAGEREF _Toc242855807 \h </w:instrText>
            </w:r>
            <w:r>
              <w:rPr>
                <w:rStyle w:val="Hyperlink"/>
              </w:rPr>
            </w:r>
            <w:r>
              <w:rPr>
                <w:rStyle w:val="Hyperlink"/>
              </w:rPr>
              <w:fldChar w:fldCharType="separate"/>
            </w:r>
            <w:r>
              <w:rPr>
                <w:webHidden/>
              </w:rPr>
              <w:t>9</w:t>
            </w:r>
            <w:r>
              <w:rPr>
                <w:rStyle w:val="Hyperlink"/>
              </w:rPr>
              <w:fldChar w:fldCharType="end"/>
            </w:r>
          </w:hyperlink>
        </w:p>
        <w:p w14:paraId="6CB8C254" w14:textId="59AE82C2" w:rsidR="006C0198" w:rsidRDefault="006C0198">
          <w:r>
            <w:rPr>
              <w:b/>
              <w:bCs/>
              <w:noProof/>
            </w:rPr>
            <w:fldChar w:fldCharType="end"/>
          </w:r>
        </w:p>
      </w:sdtContent>
    </w:sdt>
    <w:p w14:paraId="2D47BC41" w14:textId="0F77F9E3" w:rsidR="006D5C70" w:rsidRPr="008C2F4F" w:rsidRDefault="006D5C70" w:rsidP="008C2F4F">
      <w:pPr>
        <w:sectPr w:rsidR="006D5C70" w:rsidRPr="008C2F4F" w:rsidSect="00100231">
          <w:footerReference w:type="default" r:id="rId9"/>
          <w:pgSz w:w="11906" w:h="16838"/>
          <w:pgMar w:top="1440" w:right="1440" w:bottom="1440" w:left="1440" w:header="720" w:footer="720" w:gutter="0"/>
          <w:pgNumType w:fmt="lowerRoman" w:start="0"/>
          <w:cols w:space="720"/>
          <w:titlePg/>
          <w:docGrid w:linePitch="360"/>
        </w:sectPr>
      </w:pPr>
    </w:p>
    <w:p w14:paraId="386995F8" w14:textId="1F713160" w:rsidR="008C2F4F" w:rsidRPr="00B8344E" w:rsidRDefault="008C2F4F" w:rsidP="00E01037">
      <w:pPr>
        <w:pStyle w:val="Heading1"/>
        <w:numPr>
          <w:ilvl w:val="0"/>
          <w:numId w:val="0"/>
        </w:numPr>
        <w:ind w:left="432" w:hanging="432"/>
        <w:rPr>
          <w:rFonts w:ascii="Times New Roman" w:hAnsi="Times New Roman" w:cs="Times New Roman"/>
        </w:rPr>
      </w:pPr>
      <w:bookmarkStart w:id="0" w:name="_Toc242822210"/>
      <w:bookmarkStart w:id="1" w:name="_Toc242855796"/>
      <w:r w:rsidRPr="00B8344E">
        <w:rPr>
          <w:rFonts w:ascii="Times New Roman" w:hAnsi="Times New Roman" w:cs="Times New Roman"/>
        </w:rPr>
        <w:lastRenderedPageBreak/>
        <w:t>Abstract</w:t>
      </w:r>
      <w:bookmarkEnd w:id="0"/>
      <w:bookmarkEnd w:id="1"/>
    </w:p>
    <w:p w14:paraId="19BDA6DA" w14:textId="77777777" w:rsidR="004A5F5A" w:rsidRDefault="004A5F5A" w:rsidP="008C2F4F">
      <w:pPr>
        <w:jc w:val="both"/>
        <w:rPr>
          <w:rFonts w:ascii="Times New Roman" w:hAnsi="Times New Roman" w:cs="Times New Roman"/>
          <w:b/>
        </w:rPr>
      </w:pPr>
      <w:r w:rsidRPr="004A5F5A">
        <w:rPr>
          <w:rFonts w:ascii="Times New Roman" w:hAnsi="Times New Roman" w:cs="Times New Roman"/>
        </w:rPr>
        <w:t xml:space="preserve">Short-term wind-power forecasting has developed across statistical, machine-learning, deep-learning, hybrid, and data-driven approaches. This review synthesizes recent literature on 10-minute-scale forecasting, turbine SCADA data, Linear Regression (LR), XGBoost and Long Short-Term Memory (LSTM) models, wind-energy explainable artificial intelligence (XAI), SHAP attribution, explanation evaluation, and data provenance. The reviewed work already includes wind-specific SHAP applications, trustworthiness assessment, temporal explanation tools, and recent turbine-level forecasting comparisons. The research gap is therefore bounded: a reproducible assessment is needed of how SHAP attributions vary across predefined wind-speed regimes and chronological test windows, and how that variation relates to forecast accuracy when the models are evaluated on common observations and audited data. The proposed contribution is an empirical evaluation protocol, not a new forecasting algorithm, a causal explanation method, or a universal claim about trustworthy AI. No empirical findings are asserted in this review. </w:t>
      </w:r>
    </w:p>
    <w:p w14:paraId="4F61B144" w14:textId="4C70AE2B" w:rsidR="008C2F4F" w:rsidRPr="00871143" w:rsidRDefault="008C2F4F" w:rsidP="008C2F4F">
      <w:pPr>
        <w:jc w:val="both"/>
        <w:rPr>
          <w:rFonts w:ascii="Times New Roman" w:hAnsi="Times New Roman" w:cs="Times New Roman"/>
        </w:rPr>
      </w:pPr>
      <w:r w:rsidRPr="00B76C5A">
        <w:rPr>
          <w:rFonts w:ascii="Times New Roman" w:hAnsi="Times New Roman" w:cs="Times New Roman"/>
          <w:b/>
        </w:rPr>
        <w:t>Keywords—</w:t>
      </w:r>
      <w:r w:rsidRPr="00B76C5A">
        <w:rPr>
          <w:rFonts w:ascii="Times New Roman" w:hAnsi="Times New Roman" w:cs="Times New Roman"/>
        </w:rPr>
        <w:t xml:space="preserve"> </w:t>
      </w:r>
      <w:r w:rsidR="004A5F5A" w:rsidRPr="004A5F5A">
        <w:rPr>
          <w:rFonts w:ascii="Times New Roman" w:hAnsi="Times New Roman" w:cs="Times New Roman"/>
        </w:rPr>
        <w:t>wind-power forecasting, SCADA, XGBoost, LSTM, SHAP, explainable AI, explanation stability, chronological validation, data provenance.</w:t>
      </w:r>
    </w:p>
    <w:p w14:paraId="71DA6028" w14:textId="77777777" w:rsidR="008C2F4F" w:rsidRDefault="008C2F4F" w:rsidP="008C2F4F">
      <w:r>
        <w:br w:type="page"/>
      </w:r>
    </w:p>
    <w:p w14:paraId="61A7D24B" w14:textId="77777777" w:rsidR="008C2F4F" w:rsidRPr="00B8344E" w:rsidRDefault="008C2F4F" w:rsidP="00B8344E">
      <w:pPr>
        <w:pStyle w:val="Heading1"/>
        <w:numPr>
          <w:ilvl w:val="0"/>
          <w:numId w:val="18"/>
        </w:numPr>
        <w:rPr>
          <w:rFonts w:ascii="Times New Roman" w:hAnsi="Times New Roman" w:cs="Times New Roman"/>
        </w:rPr>
      </w:pPr>
      <w:bookmarkStart w:id="2" w:name="_Toc242822211"/>
      <w:bookmarkStart w:id="3" w:name="_Toc242855797"/>
      <w:r w:rsidRPr="00B8344E">
        <w:rPr>
          <w:rFonts w:ascii="Times New Roman" w:hAnsi="Times New Roman" w:cs="Times New Roman"/>
        </w:rPr>
        <w:lastRenderedPageBreak/>
        <w:t>Introduction and Scope</w:t>
      </w:r>
      <w:bookmarkEnd w:id="2"/>
      <w:bookmarkEnd w:id="3"/>
    </w:p>
    <w:p w14:paraId="22B58DA3" w14:textId="781D762A" w:rsidR="007644BF" w:rsidRDefault="007644BF" w:rsidP="007644BF">
      <w:pPr>
        <w:jc w:val="both"/>
        <w:rPr>
          <w:rFonts w:ascii="Times New Roman" w:hAnsi="Times New Roman" w:cs="Times New Roman"/>
        </w:rPr>
      </w:pPr>
      <w:r w:rsidRPr="007644BF">
        <w:rPr>
          <w:rFonts w:ascii="Times New Roman" w:hAnsi="Times New Roman" w:cs="Times New Roman"/>
        </w:rPr>
        <w:t xml:space="preserve">Wind generation is variable across time and operating conditions, making short-term forecasts relevant to scheduling, balancing, and the operational </w:t>
      </w:r>
      <w:r w:rsidR="00EB4430">
        <w:rPr>
          <w:rFonts w:ascii="Times New Roman" w:hAnsi="Times New Roman" w:cs="Times New Roman"/>
        </w:rPr>
        <w:t>I</w:t>
      </w:r>
      <w:r w:rsidRPr="007644BF">
        <w:rPr>
          <w:rFonts w:ascii="Times New Roman" w:hAnsi="Times New Roman" w:cs="Times New Roman"/>
        </w:rPr>
        <w:t xml:space="preserve">ntegration of renewable generation. Recent reviews describe a diverse forecasting landscape that includes conventional statistical approaches, machine learning and deep-learning models, signal-processing pipelines, hybrid methods, and newer attention- or Transformer-based architectures [1]–[10]. They also show that reported accuracy depends on the forecast horizon, turbine or farm scale, available meteorological and operating inputs, preprocessing, feature design, and test protocol. Consequently, results from different sites and studies should not be read as a universal ranking of algorithms. </w:t>
      </w:r>
    </w:p>
    <w:p w14:paraId="7733CB08" w14:textId="77777777" w:rsidR="007644BF" w:rsidRDefault="007644BF" w:rsidP="007644BF">
      <w:pPr>
        <w:jc w:val="both"/>
        <w:rPr>
          <w:rFonts w:ascii="Times New Roman" w:hAnsi="Times New Roman" w:cs="Times New Roman"/>
        </w:rPr>
      </w:pPr>
      <w:r w:rsidRPr="007644BF">
        <w:rPr>
          <w:rFonts w:ascii="Times New Roman" w:hAnsi="Times New Roman" w:cs="Times New Roman"/>
        </w:rPr>
        <w:t xml:space="preserve">The present review is tailored to a 10-minute-ahead turbine active-power target and a common comparison of LR, XGBoost, and LSTM. The central methodological concern is to evaluate predictive accuracy and the reliability of model attributions together. Forecast results should be compared on the same held-out timestamps, with a common target definition and documented input availability. Recent wind-power evaluation research underscores that error metrics and reporting choices affect how studies can be interpreted and compared [11]. </w:t>
      </w:r>
    </w:p>
    <w:p w14:paraId="717F7321" w14:textId="2A075AD1" w:rsidR="008C2F4F" w:rsidRDefault="007644BF" w:rsidP="007644BF">
      <w:pPr>
        <w:jc w:val="both"/>
      </w:pPr>
      <w:r w:rsidRPr="007644BF">
        <w:rPr>
          <w:rFonts w:ascii="Times New Roman" w:hAnsi="Times New Roman" w:cs="Times New Roman"/>
        </w:rPr>
        <w:t>The review does not treat explainability as absent from wind research. Instead, it asks a narrower question: how can SHAP attribution variation be measured separately across operating regimes and across chronological windows within comparable regimes, and how does that variation align with forecast errors? SHAP outputs are interpreted as model attributions under specified assumptions; they are not treated as physical causes.</w:t>
      </w:r>
      <w:r w:rsidR="008C2F4F">
        <w:br w:type="page"/>
      </w:r>
    </w:p>
    <w:p w14:paraId="67199A39" w14:textId="77777777" w:rsidR="002E5F03" w:rsidRDefault="002E5F03" w:rsidP="002E5F03">
      <w:pPr>
        <w:pStyle w:val="Heading1"/>
        <w:numPr>
          <w:ilvl w:val="0"/>
          <w:numId w:val="18"/>
        </w:numPr>
        <w:rPr>
          <w:rFonts w:ascii="Times New Roman" w:hAnsi="Times New Roman" w:cs="Times New Roman"/>
        </w:rPr>
      </w:pPr>
      <w:bookmarkStart w:id="4" w:name="_Toc242855798"/>
      <w:r w:rsidRPr="002E5F03">
        <w:rPr>
          <w:rFonts w:ascii="Times New Roman" w:hAnsi="Times New Roman" w:cs="Times New Roman"/>
        </w:rPr>
        <w:lastRenderedPageBreak/>
        <w:t>Wind-Power Forecasting and Selected Model Families</w:t>
      </w:r>
      <w:bookmarkEnd w:id="4"/>
      <w:r w:rsidRPr="002E5F03">
        <w:rPr>
          <w:rFonts w:ascii="Times New Roman" w:hAnsi="Times New Roman" w:cs="Times New Roman"/>
        </w:rPr>
        <w:t xml:space="preserve"> </w:t>
      </w:r>
    </w:p>
    <w:p w14:paraId="6CA08ED5" w14:textId="62580DE3" w:rsidR="00EB4430" w:rsidRPr="00EB4430" w:rsidRDefault="00EB4430" w:rsidP="00EB4430">
      <w:pPr>
        <w:pStyle w:val="Heading2"/>
        <w:rPr>
          <w:rFonts w:ascii="Times New Roman" w:hAnsi="Times New Roman" w:cs="Times New Roman"/>
        </w:rPr>
      </w:pPr>
      <w:bookmarkStart w:id="5" w:name="_Toc242855799"/>
      <w:r w:rsidRPr="00EB4430">
        <w:rPr>
          <w:rFonts w:ascii="Times New Roman" w:hAnsi="Times New Roman" w:cs="Times New Roman"/>
        </w:rPr>
        <w:t>Recent forecasting approaches</w:t>
      </w:r>
      <w:bookmarkStart w:id="6" w:name="_Toc242822213"/>
      <w:bookmarkEnd w:id="5"/>
    </w:p>
    <w:p w14:paraId="7605CA0F" w14:textId="77777777" w:rsidR="005D085F" w:rsidRDefault="00EB4430" w:rsidP="005D085F">
      <w:pPr>
        <w:jc w:val="both"/>
        <w:rPr>
          <w:rFonts w:ascii="Times New Roman" w:hAnsi="Times New Roman" w:cs="Times New Roman"/>
        </w:rPr>
      </w:pPr>
      <w:r w:rsidRPr="00EB4430">
        <w:rPr>
          <w:rFonts w:ascii="Times New Roman" w:hAnsi="Times New Roman" w:cs="Times New Roman"/>
        </w:rPr>
        <w:t xml:space="preserve">Recent reviews organize short-term wind-power forecasting around data preparation, feature engineering, model choice, parameter tuning, and evaluation [1]–[10]. Individual studies illustrate this range: XGBoost has been optimized for wind-power prediction [12]; LSTM-based systems have been combined with preprocessing and optimization strategies [13]; and temporal-convolutional models have been paired with clustering or meteorological inputs [14]. </w:t>
      </w:r>
      <w:r w:rsidR="005D085F" w:rsidRPr="005D085F">
        <w:rPr>
          <w:rFonts w:ascii="Times New Roman" w:hAnsi="Times New Roman" w:cs="Times New Roman"/>
        </w:rPr>
        <w:t>The literature also includes attention- and Transformer-based designs, hybrid methods, and comparative studies using different forecast horizons. Section 2.4 summarizes recent comparator evidence. Because datasets, horizons, feature sets, and validation procedures vary, reported results do not support a universal ranking of algorithms.</w:t>
      </w:r>
      <w:r w:rsidR="005D085F" w:rsidRPr="005D085F">
        <w:rPr>
          <w:rFonts w:ascii="Times New Roman" w:hAnsi="Times New Roman" w:cs="Times New Roman"/>
        </w:rPr>
        <w:t xml:space="preserve"> </w:t>
      </w:r>
    </w:p>
    <w:p w14:paraId="2CF4F23E" w14:textId="6AC72C92" w:rsidR="00EB4430" w:rsidRDefault="00EB4430" w:rsidP="005D085F">
      <w:pPr>
        <w:pStyle w:val="Heading2"/>
        <w:rPr>
          <w:rFonts w:ascii="Times New Roman" w:hAnsi="Times New Roman" w:cs="Times New Roman"/>
        </w:rPr>
      </w:pPr>
      <w:bookmarkStart w:id="7" w:name="_Toc242855800"/>
      <w:r w:rsidRPr="00EB4430">
        <w:rPr>
          <w:rFonts w:ascii="Times New Roman" w:hAnsi="Times New Roman" w:cs="Times New Roman"/>
        </w:rPr>
        <w:t>Rationale for LR, XGBoost, and LSTM</w:t>
      </w:r>
      <w:bookmarkEnd w:id="7"/>
    </w:p>
    <w:p w14:paraId="085B9BD9" w14:textId="3DBA4838" w:rsidR="00F172BC" w:rsidRDefault="00EB4430" w:rsidP="00EB4430">
      <w:pPr>
        <w:jc w:val="both"/>
        <w:rPr>
          <w:rFonts w:ascii="Times New Roman" w:hAnsi="Times New Roman" w:cs="Times New Roman"/>
        </w:rPr>
      </w:pPr>
      <w:r w:rsidRPr="00EB4430">
        <w:rPr>
          <w:rFonts w:ascii="Times New Roman" w:hAnsi="Times New Roman" w:cs="Times New Roman"/>
        </w:rPr>
        <w:t>The three-model design represents distinct forecasting roles. LR provides a transparent reference for testing whether more flexible predictors add value beyond a linear mapping. XGBoost supplies a boosted tree learner suited to structured SCADA features and nonlinear feature interactions; wind-specific work has examined its use and hyperparameter optimization [12]. LSTM provides a sequence-modeling comparator, and wind-power studies continue to adapt recurrent architectures to temporal inputs [13]. These choices make a compact comparison possible, but the review does not presume that one family will dominate for every turbine, horizon, or operating regime. Model performance must be established on the selected data and split rather than inferred from reports on other farms.</w:t>
      </w:r>
    </w:p>
    <w:p w14:paraId="23CA951C" w14:textId="01A463D3" w:rsidR="005D085F" w:rsidRPr="005D085F" w:rsidRDefault="005D085F" w:rsidP="005D085F">
      <w:pPr>
        <w:pStyle w:val="Heading2"/>
        <w:rPr>
          <w:rFonts w:ascii="Times New Roman" w:hAnsi="Times New Roman" w:cs="Times New Roman"/>
        </w:rPr>
      </w:pPr>
      <w:bookmarkStart w:id="8" w:name="_Toc242855801"/>
      <w:r w:rsidRPr="005D085F">
        <w:rPr>
          <w:rFonts w:ascii="Times New Roman" w:hAnsi="Times New Roman" w:cs="Times New Roman"/>
        </w:rPr>
        <w:t>SCADA Inputs and Forecast-Time Availability</w:t>
      </w:r>
      <w:bookmarkEnd w:id="8"/>
    </w:p>
    <w:p w14:paraId="306990DF" w14:textId="1A96387F" w:rsidR="005D085F" w:rsidRDefault="005D085F" w:rsidP="005D085F">
      <w:pPr>
        <w:jc w:val="both"/>
        <w:rPr>
          <w:rFonts w:ascii="Times New Roman" w:hAnsi="Times New Roman" w:cs="Times New Roman"/>
        </w:rPr>
      </w:pPr>
      <w:r w:rsidRPr="005D085F">
        <w:rPr>
          <w:rFonts w:ascii="Times New Roman" w:hAnsi="Times New Roman" w:cs="Times New Roman"/>
        </w:rPr>
        <w:t>Wind-farm SCADA records combine active-power, meteorological, and turbine-operating channels, but usable feature sets depend on signal coverage and on whether each value is available at the forecast origin. Kelmarsh v4 provides multiyear 10-minute SCADA and event records [15], while the companion audit materials document reconstruction, signal onset, and quality flags for the recent files [16]. Penmanshiel provides a second 10-minute site with time-varying signal coverage [17]. SDWPF offers a distinct large-array setting [18], and recent cross-site work examines model-calibration portability [19]. For a 10-minute-ahead target, predictors should be derived strictly from readings available by the forecast issue time; post-issue observations must be excluded, and target alignment and any lag history should be stated explicitly. The selected wind-speed signal and regime variable should also be available at forecast time. Timestamp alignment, signal onset, event or quality flags, missingness, curtailment-related states, and reconstruction choices require an explicit audit because they can affect both forecast errors and SHAP distributions [15]–[17]. These resources motivate a documented feature-availability audit and careful distinction between within-site evaluation and external validation.</w:t>
      </w:r>
    </w:p>
    <w:p w14:paraId="3D608C8F" w14:textId="50945052" w:rsidR="005D085F" w:rsidRPr="005D085F" w:rsidRDefault="005D085F" w:rsidP="005D085F">
      <w:pPr>
        <w:pStyle w:val="Heading2"/>
        <w:rPr>
          <w:rFonts w:ascii="Times New Roman" w:hAnsi="Times New Roman" w:cs="Times New Roman"/>
        </w:rPr>
      </w:pPr>
      <w:bookmarkStart w:id="9" w:name="_Toc242855802"/>
      <w:r w:rsidRPr="005D085F">
        <w:rPr>
          <w:rFonts w:ascii="Times New Roman" w:hAnsi="Times New Roman" w:cs="Times New Roman"/>
        </w:rPr>
        <w:lastRenderedPageBreak/>
        <w:t>Recent Comparator Studies</w:t>
      </w:r>
      <w:bookmarkEnd w:id="9"/>
    </w:p>
    <w:p w14:paraId="55D73FE0" w14:textId="65446CA6" w:rsidR="00076D10" w:rsidRDefault="005D085F" w:rsidP="005D085F">
      <w:pPr>
        <w:jc w:val="both"/>
        <w:rPr>
          <w:rFonts w:ascii="Times New Roman" w:hAnsi="Times New Roman" w:cs="Times New Roman"/>
        </w:rPr>
      </w:pPr>
      <w:r w:rsidRPr="005D085F">
        <w:rPr>
          <w:rFonts w:ascii="Times New Roman" w:hAnsi="Times New Roman" w:cs="Times New Roman"/>
        </w:rPr>
        <w:t>Recent comparator studies include Transformer-based wind-power forecasting [20], an integrated boosting approach [21], and an LSTM method that explicitly reconstructs missing data [22]. Of particular relevance, a 2026 turbine-level comparison uses 10-minute data, lag- and rolling-based feature engineering, chronological splitting, and models including Ridge, Lasso, and XGBoost [23]. This is a close comparator for short-horizon model benchmarking, so the contribution should not be framed as the first turbine-level 10-minute comparison. Its reported scope does not, however, establish the proposed joint assessment of SHAP stability across wind regimes and chronological windows.</w:t>
      </w:r>
    </w:p>
    <w:p w14:paraId="59607A65" w14:textId="60499960" w:rsidR="00EB4430" w:rsidRPr="00EB4430" w:rsidRDefault="00076D10" w:rsidP="00076D10">
      <w:pPr>
        <w:rPr>
          <w:rFonts w:ascii="Times New Roman" w:hAnsi="Times New Roman" w:cs="Times New Roman"/>
        </w:rPr>
      </w:pPr>
      <w:r>
        <w:rPr>
          <w:rFonts w:ascii="Times New Roman" w:hAnsi="Times New Roman" w:cs="Times New Roman"/>
        </w:rPr>
        <w:br w:type="page"/>
      </w:r>
    </w:p>
    <w:p w14:paraId="74B9CFAA" w14:textId="77777777" w:rsidR="005D085F" w:rsidRDefault="005D085F" w:rsidP="005D085F">
      <w:pPr>
        <w:pStyle w:val="Heading1"/>
        <w:numPr>
          <w:ilvl w:val="0"/>
          <w:numId w:val="18"/>
        </w:numPr>
        <w:rPr>
          <w:rFonts w:ascii="Times New Roman" w:hAnsi="Times New Roman" w:cs="Times New Roman"/>
        </w:rPr>
      </w:pPr>
      <w:bookmarkStart w:id="10" w:name="_Toc242822214"/>
      <w:bookmarkStart w:id="11" w:name="_Toc242855803"/>
      <w:bookmarkEnd w:id="6"/>
      <w:r w:rsidRPr="005D085F">
        <w:rPr>
          <w:rFonts w:ascii="Times New Roman" w:hAnsi="Times New Roman" w:cs="Times New Roman"/>
        </w:rPr>
        <w:lastRenderedPageBreak/>
        <w:t>Data Provenance, Chronological Protocol, and Metrics</w:t>
      </w:r>
      <w:bookmarkEnd w:id="11"/>
      <w:r w:rsidRPr="005D085F">
        <w:rPr>
          <w:rFonts w:ascii="Times New Roman" w:hAnsi="Times New Roman" w:cs="Times New Roman"/>
        </w:rPr>
        <w:t xml:space="preserve"> </w:t>
      </w:r>
    </w:p>
    <w:p w14:paraId="4A1006BF" w14:textId="77777777" w:rsidR="005D085F" w:rsidRPr="005D085F" w:rsidRDefault="005D085F" w:rsidP="005D085F">
      <w:pPr>
        <w:jc w:val="both"/>
        <w:rPr>
          <w:rFonts w:ascii="Times New Roman" w:hAnsi="Times New Roman" w:cs="Times New Roman"/>
        </w:rPr>
      </w:pPr>
      <w:r w:rsidRPr="005D085F">
        <w:rPr>
          <w:rFonts w:ascii="Times New Roman" w:hAnsi="Times New Roman" w:cs="Times New Roman"/>
        </w:rPr>
        <w:t>The proposed primary dataset is the Kelmarsh wind-farm v4 release, which provides 10-minute SCADA and event records for six turbines over multiple years [15]. For 2023–2024, the Park audit deposit supplies reconstructed files, a signal-onset manifest, and flags, and documents repeated cumulative blocks in the original exports [16]. The reconstruction and timestamp treatment should therefore be verified before modelling; a generic “keep last duplicate” rule should not be applied without checking the audit. The source release and any derived files should be tracked separately so that the data lineage remains reproducible.</w:t>
      </w:r>
    </w:p>
    <w:p w14:paraId="63DFAC05" w14:textId="77777777" w:rsidR="005D085F" w:rsidRPr="005D085F" w:rsidRDefault="005D085F" w:rsidP="005D085F">
      <w:pPr>
        <w:jc w:val="both"/>
        <w:rPr>
          <w:rFonts w:ascii="Times New Roman" w:hAnsi="Times New Roman" w:cs="Times New Roman"/>
        </w:rPr>
      </w:pPr>
      <w:r w:rsidRPr="005D085F">
        <w:rPr>
          <w:rFonts w:ascii="Times New Roman" w:hAnsi="Times New Roman" w:cs="Times New Roman"/>
        </w:rPr>
        <w:t>Penmanshiel [17] can serve as a secondary site for external validation, while SDWPF [18] represents a different large-array context. Cross-site portability work [19] reinforces that transfer performance depends on site and calibration; results from a secondary dataset should be reported separately rather than pooled indiscriminately with Kelmarsh. Differences in turbine type, signal coverage, and operating distributions should be described before interpreting any apparent transfer.</w:t>
      </w:r>
    </w:p>
    <w:p w14:paraId="16D72578" w14:textId="77777777" w:rsidR="005D085F" w:rsidRPr="005D085F" w:rsidRDefault="005D085F" w:rsidP="005D085F">
      <w:pPr>
        <w:jc w:val="both"/>
        <w:rPr>
          <w:rFonts w:ascii="Times New Roman" w:hAnsi="Times New Roman" w:cs="Times New Roman"/>
        </w:rPr>
      </w:pPr>
      <w:r w:rsidRPr="005D085F">
        <w:rPr>
          <w:rFonts w:ascii="Times New Roman" w:hAnsi="Times New Roman" w:cs="Times New Roman"/>
        </w:rPr>
        <w:t>The modelling protocol should use chronological training, validation, and final-test periods, with boundaries set only after confirming data integrity and channel coverage. Calculate metrics on common held-out timestamps: report MAE and RMSE in target units and R² as a supplementary measure; qualify comparisons across farms or differently scaled targets [11].</w:t>
      </w:r>
    </w:p>
    <w:p w14:paraId="152972A5" w14:textId="3460BE37" w:rsidR="00E01037" w:rsidRPr="00E01037" w:rsidRDefault="00F172BC" w:rsidP="00F172BC">
      <w:pPr>
        <w:rPr>
          <w:rFonts w:ascii="Times New Roman" w:hAnsi="Times New Roman" w:cs="Times New Roman"/>
        </w:rPr>
      </w:pPr>
      <w:r>
        <w:rPr>
          <w:rFonts w:ascii="Times New Roman" w:hAnsi="Times New Roman" w:cs="Times New Roman"/>
        </w:rPr>
        <w:br w:type="page"/>
      </w:r>
    </w:p>
    <w:p w14:paraId="5C855579" w14:textId="77777777" w:rsidR="00384B61" w:rsidRDefault="00384B61" w:rsidP="00384B61">
      <w:pPr>
        <w:pStyle w:val="Heading1"/>
        <w:numPr>
          <w:ilvl w:val="0"/>
          <w:numId w:val="18"/>
        </w:numPr>
        <w:rPr>
          <w:rFonts w:ascii="Times New Roman" w:hAnsi="Times New Roman" w:cs="Times New Roman"/>
        </w:rPr>
      </w:pPr>
      <w:bookmarkStart w:id="12" w:name="_Toc242855804"/>
      <w:bookmarkEnd w:id="10"/>
      <w:r w:rsidRPr="00384B61">
        <w:rPr>
          <w:rFonts w:ascii="Times New Roman" w:hAnsi="Times New Roman" w:cs="Times New Roman"/>
        </w:rPr>
        <w:lastRenderedPageBreak/>
        <w:t>Explainable AI and SHAP in Wind Forecasting</w:t>
      </w:r>
      <w:bookmarkEnd w:id="12"/>
      <w:r w:rsidRPr="00384B61">
        <w:rPr>
          <w:rFonts w:ascii="Times New Roman" w:hAnsi="Times New Roman" w:cs="Times New Roman"/>
        </w:rPr>
        <w:t xml:space="preserve"> </w:t>
      </w:r>
    </w:p>
    <w:p w14:paraId="1B72923C" w14:textId="501873A3" w:rsidR="00384B61" w:rsidRDefault="00384B61" w:rsidP="00384B61">
      <w:pPr>
        <w:jc w:val="both"/>
        <w:rPr>
          <w:rFonts w:ascii="Times New Roman" w:hAnsi="Times New Roman" w:cs="Times New Roman"/>
        </w:rPr>
      </w:pPr>
      <w:r w:rsidRPr="00384B61">
        <w:rPr>
          <w:rFonts w:ascii="Times New Roman" w:hAnsi="Times New Roman" w:cs="Times New Roman"/>
        </w:rPr>
        <w:t xml:space="preserve">Wind-energy XAI is already an established research area. Recent examples use SHAP to interpret data-driven ensemble predictions of turbine power [24] and to examine the contribution of meteorological factors to wind-farm power production [25]. </w:t>
      </w:r>
      <w:r>
        <w:rPr>
          <w:rFonts w:ascii="Times New Roman" w:hAnsi="Times New Roman" w:cs="Times New Roman"/>
        </w:rPr>
        <w:t>[26]</w:t>
      </w:r>
      <w:r w:rsidRPr="00384B61">
        <w:rPr>
          <w:rFonts w:ascii="Times New Roman" w:hAnsi="Times New Roman" w:cs="Times New Roman"/>
        </w:rPr>
        <w:t xml:space="preserve">. directly examine trust in explainable wind-power forecasts and compare explanation approaches at global and instance levels [26]. A complementary line of work builds interpretability into a glass-box forecasting model rather than relying only on post-hoc attribution [27]. These studies establish that feature attribution and interpretability have already been applied to wind forecasting; a new study should not present XAI or SHAP itself as the research gap. </w:t>
      </w:r>
    </w:p>
    <w:p w14:paraId="3DC33E29" w14:textId="77777777" w:rsidR="00384B61" w:rsidRDefault="00384B61" w:rsidP="00384B61">
      <w:pPr>
        <w:jc w:val="both"/>
        <w:rPr>
          <w:rFonts w:ascii="Times New Roman" w:hAnsi="Times New Roman" w:cs="Times New Roman"/>
        </w:rPr>
      </w:pPr>
      <w:r w:rsidRPr="00384B61">
        <w:rPr>
          <w:rFonts w:ascii="Times New Roman" w:hAnsi="Times New Roman" w:cs="Times New Roman"/>
        </w:rPr>
        <w:t xml:space="preserve">More recent work extends this evidence to recurrent and hybrid systems. An XAI-LSTM forecasting model uses SHAP to identify features associated with predictions [28], while a wind-energy review surveys model-agnostic and model-specific techniques and notes unresolved issues such as limited temporal explanation and benchmark-data limitations [29]. A system-level review of trustworthy renewable-energy forecasting treats explanation alongside robustness, data quality, and lifecycle considerations [30]. TimeSHAP has also been applied to a wind-turbine time-series model [31]. A 2026 multivariate wind-power study combines SHAP with a stacked bidirectional LSTM and reports repeated model-training rounds [32]; the distinction remains that reporting performance across initializations is not the same as measuring attribution-rank or attribution-magnitude stability across chronological windows and operating regimes. A physics-inspired hybrid forecasting study likewise uses SHAP for a residual model while assessing uncertainty [33]. </w:t>
      </w:r>
    </w:p>
    <w:p w14:paraId="72386B0D" w14:textId="1560CDC8" w:rsidR="008C2F4F" w:rsidRDefault="00384B61" w:rsidP="00384B61">
      <w:pPr>
        <w:jc w:val="both"/>
      </w:pPr>
      <w:r w:rsidRPr="00384B61">
        <w:rPr>
          <w:rFonts w:ascii="Times New Roman" w:hAnsi="Times New Roman" w:cs="Times New Roman"/>
        </w:rPr>
        <w:t>In this study, SHAP should be used to summarize model behaviour relative to a stated background or reference sample. Global mean-absolute attributions, signed contributions, and individual explanations answer different questions and should not be conflated. Feature dependence and background selection can influence attribution allocation, so the feature set, reference data, model-specific explainer, and aggregation procedure should be fixed or explicitly varied in sensitivity checks [26], [29], [32].</w:t>
      </w:r>
      <w:r w:rsidR="008C2F4F">
        <w:br w:type="page"/>
      </w:r>
    </w:p>
    <w:p w14:paraId="73BA04AF" w14:textId="77777777" w:rsidR="00CB57B8" w:rsidRDefault="00CB57B8" w:rsidP="00CB57B8">
      <w:pPr>
        <w:pStyle w:val="Heading1"/>
        <w:numPr>
          <w:ilvl w:val="0"/>
          <w:numId w:val="18"/>
        </w:numPr>
        <w:rPr>
          <w:rFonts w:ascii="Times New Roman" w:hAnsi="Times New Roman" w:cs="Times New Roman"/>
        </w:rPr>
      </w:pPr>
      <w:bookmarkStart w:id="13" w:name="_Toc242855805"/>
      <w:r w:rsidRPr="00CB57B8">
        <w:rPr>
          <w:rFonts w:ascii="Times New Roman" w:hAnsi="Times New Roman" w:cs="Times New Roman"/>
        </w:rPr>
        <w:lastRenderedPageBreak/>
        <w:t>Explanation Stability and Time-Series Evaluation</w:t>
      </w:r>
      <w:bookmarkEnd w:id="13"/>
      <w:r w:rsidRPr="00CB57B8">
        <w:rPr>
          <w:rFonts w:ascii="Times New Roman" w:hAnsi="Times New Roman" w:cs="Times New Roman"/>
        </w:rPr>
        <w:t xml:space="preserve"> </w:t>
      </w:r>
    </w:p>
    <w:p w14:paraId="5D032C8E" w14:textId="77777777" w:rsidR="00CB57B8" w:rsidRDefault="00CB57B8" w:rsidP="00CB57B8">
      <w:pPr>
        <w:jc w:val="both"/>
        <w:rPr>
          <w:rFonts w:ascii="Times New Roman" w:hAnsi="Times New Roman" w:cs="Times New Roman"/>
        </w:rPr>
      </w:pPr>
      <w:r w:rsidRPr="00CB57B8">
        <w:rPr>
          <w:rFonts w:ascii="Times New Roman" w:hAnsi="Times New Roman" w:cs="Times New Roman"/>
        </w:rPr>
        <w:t xml:space="preserve">Recent time-series XAI work distinguishes explanations over time points, subsequences, or instances and highlights the difficulty of evaluating temporal explanations consistently [34]. A systematic review of XAI evaluation likewise treats explanation quality as multidimensional: stability, faithfulness, and other properties are related but not interchangeable, and no single score establishes that an explanation is reliable for every purpose [35]. Feature-attribution stability has been formalized and tested in broader settings [36], while later work shows that sampling and neighbour-selection choices can affect the repeatability of SHAP estimates [37]. These methods are not wind-specific, but they provide relevant methodological cautions for a SCADA application. </w:t>
      </w:r>
    </w:p>
    <w:p w14:paraId="409F224D" w14:textId="77777777" w:rsidR="00CB57B8" w:rsidRDefault="00CB57B8" w:rsidP="00CB57B8">
      <w:pPr>
        <w:jc w:val="both"/>
        <w:rPr>
          <w:rFonts w:ascii="Times New Roman" w:hAnsi="Times New Roman" w:cs="Times New Roman"/>
        </w:rPr>
      </w:pPr>
      <w:r w:rsidRPr="00CB57B8">
        <w:rPr>
          <w:rFonts w:ascii="Times New Roman" w:hAnsi="Times New Roman" w:cs="Times New Roman"/>
        </w:rPr>
        <w:t xml:space="preserve">Time-series attribution methods also address the temporal structure of explanations. WindowSHAP groups consecutive time steps to reduce the explanation problem for long sequences [38], and evaluation work on multivariate time-series attribution compares methods using perturbation and task-based criteria [39]. Research on meaningful perturbations warns that unrealistic or out-of-distribution masking can produce misleading importance assessments [40]. Because these studies largely address time-series classification or other domains, their procedures should be adapted cautiously to forecasting rather than copied as if already validated for wind-power regression. </w:t>
      </w:r>
    </w:p>
    <w:p w14:paraId="5B0CB467" w14:textId="77777777" w:rsidR="005D085F" w:rsidRPr="005D085F" w:rsidRDefault="005D085F" w:rsidP="005D085F">
      <w:pPr>
        <w:jc w:val="both"/>
        <w:rPr>
          <w:rFonts w:ascii="Times New Roman" w:hAnsi="Times New Roman" w:cs="Times New Roman"/>
        </w:rPr>
      </w:pPr>
      <w:r w:rsidRPr="005D085F">
        <w:rPr>
          <w:rFonts w:ascii="Times New Roman" w:hAnsi="Times New Roman" w:cs="Times New Roman"/>
        </w:rPr>
        <w:t>Operationally, keep four questions distinct: forecast accuracy, regime dependence, within-regime temporal stability, and the relationship between accuracy and stability. Compare LR, XGBoost, and LSTM on the same chronological held-out observations. For regime dependence, compare SHAP attribution profiles across prespecified low-, medium-, and high-wind-speed groups, with thresholds fixed from training data or a documented domain basis. For temporal stability, divide the held-out period into fixed chronological windows and compare each model’s attribution ranks or vectors across windows within the same regime. Use pairwise Spearman rank agreement as the primary stability measure, with top-k overlap and attribution dispersion as secondary measures. For the accuracy–stability relationship, examine paired window-level error and stability summaries, including an exploratory Spearman association; do not assume a direction or infer causality. Before analysis, specify the forecast-time wind-speed signal, regime thresholds, window boundaries and minimum coverage, common feature mapping, model seeds, SHAP explainer, aggregation procedure, and a fixed training-data background/reference sample. Compute explanations on common test observations. A between-regime attribution difference represents condition dependence and is not, by itself, temporal instability.</w:t>
      </w:r>
    </w:p>
    <w:p w14:paraId="6A41C5C9" w14:textId="31E17757" w:rsidR="00CD01AC" w:rsidRPr="005D085F" w:rsidRDefault="005D085F" w:rsidP="005D085F">
      <w:pPr>
        <w:jc w:val="both"/>
        <w:rPr>
          <w:rFonts w:ascii="Times New Roman" w:hAnsi="Times New Roman" w:cs="Times New Roman"/>
        </w:rPr>
      </w:pPr>
      <w:r w:rsidRPr="005D085F">
        <w:rPr>
          <w:rFonts w:ascii="Times New Roman" w:hAnsi="Times New Roman" w:cs="Times New Roman"/>
        </w:rPr>
        <w:t>A limited perturbation or grouped-ablation check can complement the stability metrics by testing whether highly attributed feature groups influence model output. The altered inputs should remain plausible for the SCADA data distribution; feature groups, replacement rules, and background samples should be specified in advance because arbitrary masking can create unrealistic inputs [37], [40]. These checks address aspects of model reliance or explanation faithfulness; they do not demonstrate that a sensor variable physically causes a power change.</w:t>
      </w:r>
      <w:r w:rsidR="00CD01AC">
        <w:br w:type="page"/>
      </w:r>
    </w:p>
    <w:p w14:paraId="7F5DB3F2" w14:textId="77777777" w:rsidR="00CD01AC" w:rsidRDefault="00CD01AC" w:rsidP="00CD01AC">
      <w:pPr>
        <w:pStyle w:val="Heading1"/>
        <w:numPr>
          <w:ilvl w:val="0"/>
          <w:numId w:val="18"/>
        </w:numPr>
      </w:pPr>
      <w:bookmarkStart w:id="14" w:name="_Toc242855806"/>
      <w:r w:rsidRPr="00CD01AC">
        <w:rPr>
          <w:rFonts w:ascii="Times New Roman" w:hAnsi="Times New Roman" w:cs="Times New Roman"/>
        </w:rPr>
        <w:lastRenderedPageBreak/>
        <w:t>Synthesis, Bounded Research Gap, and Novelty</w:t>
      </w:r>
      <w:bookmarkEnd w:id="14"/>
      <w:r w:rsidRPr="00CD01AC">
        <w:t xml:space="preserve"> </w:t>
      </w:r>
    </w:p>
    <w:p w14:paraId="6BCCAAF7" w14:textId="77777777" w:rsidR="00CD01AC" w:rsidRDefault="00CD01AC" w:rsidP="00CD01AC">
      <w:pPr>
        <w:jc w:val="both"/>
        <w:rPr>
          <w:rFonts w:ascii="Times New Roman" w:hAnsi="Times New Roman" w:cs="Times New Roman"/>
        </w:rPr>
      </w:pPr>
      <w:r w:rsidRPr="00CD01AC">
        <w:rPr>
          <w:rFonts w:ascii="Times New Roman" w:hAnsi="Times New Roman" w:cs="Times New Roman"/>
        </w:rPr>
        <w:t xml:space="preserve">The recent evidence establishes a substantial base for short-term wind-power forecasting, including boosted-tree, recurrent, convolutional, attention-based, and hybrid approaches [1]–[14], [20]–[23]. Wind specific explainability is also represented by SHAP studies, trustworthiness assessment, glass-box models, temporal explanation applications, and hybrid XAI work [24]–[33]. In addition, general time-series XAI research has proposed stability, faithfulness, and perturbation-based evaluation strategies [34]–[40]. The gap is therefore not a wholesale absence of wind-energy XAI, SHAP, or explanation-stability concepts. </w:t>
      </w:r>
    </w:p>
    <w:p w14:paraId="718043E8" w14:textId="77777777" w:rsidR="005D085F" w:rsidRPr="005D085F" w:rsidRDefault="005D085F" w:rsidP="005D085F">
      <w:pPr>
        <w:jc w:val="both"/>
        <w:rPr>
          <w:rFonts w:ascii="Times New Roman" w:hAnsi="Times New Roman" w:cs="Times New Roman"/>
        </w:rPr>
      </w:pPr>
      <w:r w:rsidRPr="005D085F">
        <w:rPr>
          <w:rFonts w:ascii="Times New Roman" w:hAnsi="Times New Roman" w:cs="Times New Roman"/>
        </w:rPr>
        <w:t>Within the reviewed 2022–2026 sources, the narrower opportunity is to integrate four strands in one auditable experiment: comparative forecasting provides the LR, XGBoost, and LSTM model set; SCADA provenance and chronological validation protect the validity of the forecast test; wind-specific XAI supplies the application context for SHAP; and time-series explanation evaluation supplies candidate stability and faithfulness measures. The proposed experiment would use a common 10-minute-ahead turbine active-power target and common chronological test observations, quantify SHAP variation between predefined wind regimes and across chronological windows within comparable regimes, then examine how accuracy and explanation stability relate without presuming they co-vary. The Kelmarsh provenance audit makes explicit data reconstruction and signal-availability checks necessary [15], [16].</w:t>
      </w:r>
    </w:p>
    <w:p w14:paraId="700B61F2" w14:textId="25C7A903" w:rsidR="008C2F4F" w:rsidRDefault="00CD01AC" w:rsidP="00CD01AC">
      <w:pPr>
        <w:jc w:val="both"/>
      </w:pPr>
      <w:r w:rsidRPr="00CD01AC">
        <w:rPr>
          <w:rFonts w:ascii="Times New Roman" w:hAnsi="Times New Roman" w:cs="Times New Roman"/>
        </w:rPr>
        <w:t>The defensible contribution is therefore a dataset-specific empirical assessment and reproducible evaluation protocol, not a new forecasting architecture, a causal explanation method, or a confirmed “first” claim. The distinction between condition dependence and temporal instability should be maintained throughout analysis and reporting. A final systematic search in scholarly databases is still needed before asserting that no closely matching regime-by-time SHAP study exists. Empirical answers to the research questions must be based on the study’s observed results; this review supplies no findings in advance.</w:t>
      </w:r>
      <w:r w:rsidRPr="00CD01AC">
        <w:rPr>
          <w:rFonts w:ascii="Times New Roman" w:hAnsi="Times New Roman" w:cs="Times New Roman"/>
        </w:rPr>
        <w:t xml:space="preserve"> </w:t>
      </w:r>
      <w:r w:rsidR="008C2F4F">
        <w:br w:type="page"/>
      </w:r>
    </w:p>
    <w:p w14:paraId="7FB97221" w14:textId="77777777" w:rsidR="008C2F4F" w:rsidRDefault="008C2F4F" w:rsidP="008C2F4F">
      <w:pPr>
        <w:pStyle w:val="Heading1"/>
        <w:numPr>
          <w:ilvl w:val="0"/>
          <w:numId w:val="0"/>
        </w:numPr>
        <w:ind w:left="432" w:hanging="432"/>
      </w:pPr>
      <w:bookmarkStart w:id="15" w:name="_Toc242822216"/>
      <w:bookmarkStart w:id="16" w:name="_Toc242855807"/>
      <w:r>
        <w:lastRenderedPageBreak/>
        <w:t>References</w:t>
      </w:r>
      <w:bookmarkEnd w:id="15"/>
      <w:bookmarkEnd w:id="16"/>
    </w:p>
    <w:p w14:paraId="2F2A61E1"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 Z. Wu, G. Luo, Z. Yang, Y. Guo, K. Li, and Y. Xue, “A comprehensive review on deep learning approaches in wind forecasting applications,” CAAI Trans. Intell. Technol., vol. 7, no. 2, pp. 129–143, 2022, doi: 10.1049/cit2.12076. </w:t>
      </w:r>
    </w:p>
    <w:p w14:paraId="158DD468"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 M. Sawant, R. Patil, T. Shikhare, S. Nagle, S. Chavan, S. Negi, and N. D. Bokde, “A selective review on recent advancements in long, short and ultra-short-term wind power prediction,” Energies, vol. 15, no. 21, Art. no. 8107, 2022, doi: 10.3390/en15218107. </w:t>
      </w:r>
    </w:p>
    <w:p w14:paraId="75D0661C"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 Y. Chen, X. Hu, and L. Zhang, “A review of ultra-short-term forecasting of wind power based on data decomposition forecasting technology combination model,” Energy Rep., vol. 8, pp. 14200–14219, 2022, doi: 10.1016/j.egyr.2022.10.342. </w:t>
      </w:r>
    </w:p>
    <w:p w14:paraId="731EFB58"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[4] Y. Liu, Y. Wang, Q. Wang, K. Zhang, W. Qiang, and Q.-H. Wen, “Recent advances in data-driven prediction for wind power,” Front. Energy Res., vol. 11, Art. no. 1204343, 2023, doi: 10.3389/fenrg.2023.1204343. </w:t>
      </w:r>
    </w:p>
    <w:p w14:paraId="5CF19CF8"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[5] E. A. Tuncar, Ş. Sağlam, and B. Oral, “A review of short-term wind power generation forecasting methods in recent technological trends,” Energy Rep., vol. 12, pp. 197–209, 2024, doi: 10.1016/j.egyr.2024.06.006. </w:t>
      </w:r>
    </w:p>
    <w:p w14:paraId="2B2821E6"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[6] Y. Yang, H. Lou, J. Wu, S. Zhang, and S. Gao, “A survey on wind power forecasting with machine learning approaches,” Neural Comput. Appl., vol. 36, pp. 12753–12773, 2024, doi: 10.1007/s00521-024-09923-4. </w:t>
      </w:r>
    </w:p>
    <w:p w14:paraId="1E2C642D"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[7] H. Liu and Z. Zhang, “Development and trending of deep learning methods for wind power predictions,” Artif. Intell. Rev., vol. 57, no. 5, Art. no. 112, 2024, doi: 10.1007/s10462-024-10728-z. </w:t>
      </w:r>
    </w:p>
    <w:p w14:paraId="66B9A0EF"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[8] X. Guo, P. Zeng, X. Xiong, G. Wang, and Y. Cui, “Short-term wind power forecasting methods based on machine learning: A review and case study,” Energy Rep., vol. 14, pp. 3753–3782, 2025, doi: 10.1016/j.egyr.2025.10.040. </w:t>
      </w:r>
    </w:p>
    <w:p w14:paraId="4BC2E154"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[9] I. U. Haq, A. Kumar, and P. S. Rathore, “Machine learning approaches for wind power forecasting: A comprehensive review,” Discov. Appl. Sci., vol. 7, Art. no. 1139, 2025, doi: 10.1007/s42452-025-07675-x. </w:t>
      </w:r>
    </w:p>
    <w:p w14:paraId="7728B5EE"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[10] F. Li, H. Wang, D. Wang, D. Liu, and K. Sun, “A review of wind power prediction methods based on multi-time scales,” Energies, vol. 18, no. 7, Art. no. 1713, 2025, doi: 10.3390/en18071713. </w:t>
      </w:r>
    </w:p>
    <w:p w14:paraId="5DEEDBC3"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[11] P. Piotrowski, I. Rutyna, D. Baczyński, and M. Kopyt, “Evaluation metrics for wind power forecasts: A comprehensive review and statistical analysis of errors,” Energies, vol. 15, no. 24, Art. no. 9657, 2022, doi: 10.3390/en15249657. </w:t>
      </w:r>
    </w:p>
    <w:p w14:paraId="34E726CC"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[12] X. Xiong, X. Guo, P. Zeng, R. Zou, and X. Wang, “A short-term wind power forecast method via XGBoost hyper parameters optimization,” Front. Energy Res., vol. 10, Art. no. 905155, 2022, doi: 10.3389/fenrg.2022.905155. </w:t>
      </w:r>
    </w:p>
    <w:p w14:paraId="76CB6C4A"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[13] Z. Li, X. Luo, M. Liu, X. Cao, S. Du, and H. Sun, “Short-term prediction of the power of a new wind turbine based on IAO-LSTM,” Energy Rep., vol. 8, pp. 9025–9037, 2022, doi: 10.1016/j.egyr.2022.07.030. </w:t>
      </w:r>
    </w:p>
    <w:p w14:paraId="0F607CB9"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[14] Y. Sheng, H. Wang, J. Yan, Y. Liu, and S. Han, “Short-term wind power prediction method based on deep clustering improved temporal convolutional network,” Energy Rep., vol. 9, pp. 2118–2129, 2023, doi: 10.1016/j.egyr.2023.01.015. </w:t>
      </w:r>
    </w:p>
    <w:p w14:paraId="4E1CC15D"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[15] C. Plumley and R. Takeuchi, “Kelmarsh wind farm data (Version 4),” Zenodo, Aug. 12, 2025, doi: 10.5281/zenodo.16807551. </w:t>
      </w:r>
    </w:p>
    <w:p w14:paraId="7AE06424"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[16] A. Park, L. Yin, C. Lee, A. Wong, and Y. Choi, “Kelmarsh wind farm SCADA data (v4): Reconstructed 2023–2024 files, signal onset manifest and flag table,” Zenodo, Oct. 5, 2026, doi: 10.5281/zenodo.23171808. </w:t>
      </w:r>
    </w:p>
    <w:p w14:paraId="695FAC94"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[17] C. Plumley and R. Takeuchi, “Penmanshiel wind farm data (Version 3),” Zenodo, Aug. 13, 2025, doi: 10.5281/zenodo.16807304. </w:t>
      </w:r>
    </w:p>
    <w:p w14:paraId="5CEA7881"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[18] J. Zhou, X. Lu, Y. Xiao, J. Tang, J. Su, Y. Li, J. Liu, J. Lyu, Y. Ma, and D. Dou, “SDWPF: A dataset for spatial dynamic wind power forecasting over a large turbine array,” Sci. Data, vol. 11, Art. no. 649, 2024, doi: 10.1038/s41597-024-03427-5. </w:t>
      </w:r>
    </w:p>
    <w:p w14:paraId="5503460D"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[19] C. Deignan, J. M. González Sopeña, B. Ghosh, and V. Pakrashi, “Portability of short term wind power forecasting: Investigating model calibration using wind power data from Ireland and UK,” Sci. Rep., vol. 15, Art. no. 33891, 2025, doi: 10.1038/s41598-025-08751-3. </w:t>
      </w:r>
    </w:p>
    <w:p w14:paraId="072CCAED"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[20] S. Huang, C. Yan, and Y. Qu, “Deep learning model-transformer based wind power forecasting approach,” Front. Energy Res., vol. 10, Art. no. 1055683, 2023, doi: 10.3389/fenrg.2022.1055683. </w:t>
      </w:r>
    </w:p>
    <w:p w14:paraId="0DEC64C4"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[21] U. Ahmed, R. Muhammad, S. S. Abbas, I. Aziz, and A. Mahmood, “Short-term wind power forecasting using integrated boosting approach,” Front. Energy Res., vol. 12, Art. no. 1401978, 2024, doi: 10.3389/fenrg.2024.1401978. </w:t>
      </w:r>
    </w:p>
    <w:p w14:paraId="49FFA212"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lastRenderedPageBreak/>
        <w:t xml:space="preserve">[22] Z. Xin, X. Liu, H. Zhang, Q. Wang, Z. An, and H. Liu, “An enhanced feature extraction based long short-term memory neural network for wind power forecasting via considering the missing data reconstruction,” Energy Rep., vol. 11, pp. 97–114, 2024, doi: 10.1016/j.egyr.2023.11.040. </w:t>
      </w:r>
    </w:p>
    <w:p w14:paraId="70FBE75B"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[23] E. Demir and S. Akkaya Oy, “Short-term wind power forecasting with lag-based feature engineering: A turbine-level machine learning comparison,” Neural Comput. Appl., vol. 38, Art. no. 613, 2026, doi: 10.1007/s00521-026-12356 w. </w:t>
      </w:r>
    </w:p>
    <w:p w14:paraId="33CAEECD"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[24] C. Cakiroglu, S. Demir, M. H. Ozdemir, B. L. Aylak, G. Sariisik, and L. Abualigah, “Data-driven interpretable ensemble learning methods for the prediction of wind turbine power incorporating SHAP analysis,” Expert Syst. Appl., vol. 237, Art. no. 121464, 2024, doi: 10.1016/j.eswa.2023.121464.  </w:t>
      </w:r>
    </w:p>
    <w:p w14:paraId="7FE8B3A0"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[25] D.-Y. Kim and B.-S. Kim, “Contribution of meteorological factors based on explainable artificial intelligence in predicting wind farm power production using machine learning algorithms,” J. Renewable Sustainable Energy, vol. 15, no. 1, Art. no. 013307, 2023, doi: 10.1063/5.0127519. </w:t>
      </w:r>
    </w:p>
    <w:p w14:paraId="3DDB6A1B"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[26] W. Liao, J. Fang, L. Ye, B. Bak-Jensen, Z. Yang, and F. Porté-Agel, “Can we trust explainable artificial intelligence in wind power forecasting?,” Appl. Energy, vol. 376, Art. no. 124273, 2024, doi: 10.1016/j.apenergy.2024.124273. </w:t>
      </w:r>
    </w:p>
    <w:p w14:paraId="149316B7"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[27] W. Liao, J. Fang, B. Bak-Jensen, G. Ruan, Z. Yang, and F. Porté-Agel, “Explainable modeling for wind power forecasting: A glass-box model with high accuracy,” Int. J. Electr. Power Energy Syst., vol. 167, Art. no. 110643, 2025, doi: 10.1016/j.ijepes.2025.110643. </w:t>
      </w:r>
    </w:p>
    <w:p w14:paraId="1832997F"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[28] M. A. Yassen, E.-S. M. El-Kenawy, M. G. Abdel-Fattah, I. Ismail, and H. E.-D. S. Mostafa, “Explainable artificial intelligence for wind power forecasting model based on long short-term memory,” Neural Comput. Appl., vol. 37, pp. 14589–14611, 2025, doi: 10.1007/s00521-025-11230-5. </w:t>
      </w:r>
    </w:p>
    <w:p w14:paraId="2C89CF4E"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[29] J. T. Dandamudi, R. Kandula, R. D. A. Raj, R. M. R. Yanamala, and K. K. Prakasha, “Explainable AI for wind energy systems: State-of-the-art techniques, challenges, and future directions,” Energy Convers. Manage.: X, vol. 28, Art. no. 101277, 2025, doi: 10.1016/j.ecmx.2025.101277. </w:t>
      </w:r>
    </w:p>
    <w:p w14:paraId="3B6F7C53"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[30] P. V. Matrenin, I. F. Iumanova, and A. I. Khalyasmaa, “Conceptual architecture of a trustworthy wind and photovoltaic power forecasting system: A systematic review and design,” Inventions, vol. 11, no. 1, Art. no. 15, 2026, doi: 10.3390/inventions11010015. </w:t>
      </w:r>
    </w:p>
    <w:p w14:paraId="331B8E20"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[31] V. S. Masampally, R. Verma, and K. Mitra, “Application of TimeSHAP, an explainable AI tool, for interpreting time series model of wind turbines,” in Optimization, Uncertainty and Machine Learning in Wind Energy Conversion Systems, K. Mitra, R. Everson, and J. Fieldsend, Eds. Singapore: Springer, 2025, pp. 243–266, doi: 10.1007/978-981 97-7909-3_14. </w:t>
      </w:r>
    </w:p>
    <w:p w14:paraId="77BACA34"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[32] E. Kandemir, D. K. Prasad, A. Hasan, T. Kvamsdal, and S. Abdel-Afou Alaliyat, “Explainable deep learning with Shapley additive explanations for multivariate wind power forecasting,” Energy Convers. Manage.: X, vol. 30, Art. no. 101901, 2026, doi: 10.1016/j.ecmx.2026.101901. </w:t>
      </w:r>
    </w:p>
    <w:p w14:paraId="25B32D18"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[33] A. Gijón, S. Eiraudo, A. Manjavacas, D. S. Schiera, M. Molina-Solana, and J. Gómez-Romero, “Integrating physics and data-driven approaches: An explainable and uncertainty-aware hybrid model for wind turbine power prediction,” Comput. Phys. Commun., vol. 316, Art. no. 109761, 2025, doi: 10.1016/j.cpc.2025.109761. </w:t>
      </w:r>
    </w:p>
    <w:p w14:paraId="50715DDC"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[34] A. Theissler, F. Spinnato, U. Schlegel, and R. Guidotti, “Explainable AI for time series classification: A review, taxonomy and research directions,” IEEE Access, vol. 10, pp. 100700–100724, 2022, doi: 10.1109/ACCESS.2022.3207765. </w:t>
      </w:r>
    </w:p>
    <w:p w14:paraId="0879BA3E"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[35] M. Nauta, J. Trienes, S. Pathak, E. Nguyen, M. Peters, Y. Schmitt, J. Schlötterer, M. van Keulen, and C. Seifert, “From anecdotal evidence to quantitative evaluation methods: A systematic review on evaluating explainable AI,” ACM Comput. Surv., vol. 55, no. 13s, Art. no. 295, 2023, doi: 10.1145/3583558. </w:t>
      </w:r>
    </w:p>
    <w:p w14:paraId="04A29F25"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[36] Y. Gan, Y. Mao, X. Zhang, S. Ji, Y. Pu, M. Han, J. Yin, and T. Wang, “Is your explanation stable?: A robustness evaluation framework for feature attribution,” in Proc. ACM SIGSAC Conf. Comput. Commun. Secur. (CCS), Los Angeles, CA, USA, 2022, pp. 1157–1171, doi: 10.1145/3548606.3559392. </w:t>
      </w:r>
    </w:p>
    <w:p w14:paraId="7BD9B1BC"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[37] G. Kelodjou, L. Rozé, V. Masson, L. Galárraga, R. Gaudel, M. Tchuente, and A. Termier, “Shaping up SHAP: Enhancing stability through layer-wise neighbor selection,” in Proc. AAAI Conf. Artif. Intell., vol. 38, no. 12, 2024, pp. 13094–13103, doi: 10.1609/aaai.v38i12.29208. </w:t>
      </w:r>
    </w:p>
    <w:p w14:paraId="1AEDECF9"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[38] A. Nayebi, S. Tipirneni, C. K. Reddy, B. Foreman, and V. Subbian, “WindowSHAP: An efficient framework for explaining time-series classifiers based on Shapley values,” J. Biomed. Inform., vol. 144, Art. no. 104438, 2023, doi: 10.1016/j.jbi.2023.104438. </w:t>
      </w:r>
    </w:p>
    <w:p w14:paraId="4A8A11F8" w14:textId="77777777" w:rsidR="00C3170E" w:rsidRDefault="00C3170E" w:rsidP="00C3170E">
      <w:pPr>
        <w:spacing w:after="62" w:line="240" w:lineRule="auto"/>
        <w:ind w:left="432" w:hanging="432"/>
        <w:jc w:val="both"/>
        <w:rPr>
          <w:rFonts w:ascii="Times New Roman" w:eastAsia="Times New Roman" w:hAnsi="Times New Roman"/>
          <w:sz w:val="20"/>
          <w:szCs w:val="20"/>
        </w:rPr>
      </w:pPr>
      <w:r w:rsidRPr="00C3170E">
        <w:rPr>
          <w:rFonts w:ascii="Times New Roman" w:eastAsia="Times New Roman" w:hAnsi="Times New Roman"/>
          <w:sz w:val="20"/>
          <w:szCs w:val="20"/>
        </w:rPr>
        <w:t xml:space="preserve">[39] D. I. Serramazza, T. L. Nguyen, and G. Ifrim, “Improving the evaluation and actionability of explanation methods for multivariate time series classification,” in Machine Learning and Knowledge Discovery in </w:t>
      </w:r>
      <w:r w:rsidRPr="00C3170E">
        <w:rPr>
          <w:rFonts w:ascii="Times New Roman" w:eastAsia="Times New Roman" w:hAnsi="Times New Roman"/>
          <w:sz w:val="20"/>
          <w:szCs w:val="20"/>
        </w:rPr>
        <w:lastRenderedPageBreak/>
        <w:t xml:space="preserve">Databases: Research Track. ECML PKDD 2024, Lecture Notes in Computer Science, vol. 14944. Cham, Switzerland: Springer, 2024, pp. 177–195, doi: 10.1007/978-3-031-70359-1_11. </w:t>
      </w:r>
    </w:p>
    <w:p w14:paraId="45D9662A" w14:textId="34A8CB3F" w:rsidR="00195486" w:rsidRPr="008C2F4F" w:rsidRDefault="00C3170E" w:rsidP="00C3170E">
      <w:pPr>
        <w:spacing w:after="62" w:line="240" w:lineRule="auto"/>
        <w:ind w:left="432" w:hanging="432"/>
        <w:jc w:val="both"/>
        <w:rPr>
          <w:sz w:val="20"/>
          <w:szCs w:val="20"/>
        </w:rPr>
      </w:pPr>
      <w:r w:rsidRPr="00C3170E">
        <w:rPr>
          <w:rFonts w:ascii="Times New Roman" w:eastAsia="Times New Roman" w:hAnsi="Times New Roman"/>
          <w:sz w:val="20"/>
          <w:szCs w:val="20"/>
        </w:rPr>
        <w:t>[40] H. Meng, C. Wagner, and I. Triguero, “Explaining time series classifiers through meaningful perturbation and optimisation,” Inf. Sci., vol. 645, Art. no. 119334, 2023, doi: 10.1016/j.ins.2023.119334.</w:t>
      </w:r>
    </w:p>
    <w:sectPr w:rsidR="00195486" w:rsidRPr="008C2F4F" w:rsidSect="006D5C70">
      <w:footerReference w:type="first" r:id="rId10"/>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B2383" w14:textId="77777777" w:rsidR="00954405" w:rsidRDefault="00954405" w:rsidP="00A4284C">
      <w:pPr>
        <w:spacing w:after="0" w:line="240" w:lineRule="auto"/>
      </w:pPr>
      <w:r>
        <w:separator/>
      </w:r>
    </w:p>
  </w:endnote>
  <w:endnote w:type="continuationSeparator" w:id="0">
    <w:p w14:paraId="0477D91E" w14:textId="77777777" w:rsidR="00954405" w:rsidRDefault="00954405" w:rsidP="00A42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856616"/>
      <w:docPartObj>
        <w:docPartGallery w:val="Page Numbers (Bottom of Page)"/>
        <w:docPartUnique/>
      </w:docPartObj>
    </w:sdtPr>
    <w:sdtContent>
      <w:p w14:paraId="0F891EDF" w14:textId="31F718C9" w:rsidR="006D5C70" w:rsidRDefault="006D5C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0BD27" w14:textId="77777777" w:rsidR="00100231" w:rsidRDefault="00100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371330"/>
      <w:docPartObj>
        <w:docPartGallery w:val="Page Numbers (Bottom of Page)"/>
        <w:docPartUnique/>
      </w:docPartObj>
    </w:sdtPr>
    <w:sdtEndPr>
      <w:rPr>
        <w:noProof/>
      </w:rPr>
    </w:sdtEndPr>
    <w:sdtContent>
      <w:p w14:paraId="4E246DA8" w14:textId="05BB31B8" w:rsidR="006D5C70" w:rsidRDefault="006D5C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DDAA01" w14:textId="77777777" w:rsidR="006D5C70" w:rsidRDefault="006D5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9C613" w14:textId="77777777" w:rsidR="00954405" w:rsidRDefault="00954405" w:rsidP="00A4284C">
      <w:pPr>
        <w:spacing w:after="0" w:line="240" w:lineRule="auto"/>
      </w:pPr>
      <w:r>
        <w:separator/>
      </w:r>
    </w:p>
  </w:footnote>
  <w:footnote w:type="continuationSeparator" w:id="0">
    <w:p w14:paraId="065686A2" w14:textId="77777777" w:rsidR="00954405" w:rsidRDefault="00954405" w:rsidP="00A42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664E9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1FADC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D7135E"/>
    <w:multiLevelType w:val="hybridMultilevel"/>
    <w:tmpl w:val="628E6F7A"/>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D008C1"/>
    <w:multiLevelType w:val="hybridMultilevel"/>
    <w:tmpl w:val="DB1C5828"/>
    <w:lvl w:ilvl="0" w:tplc="2578C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E647C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8A60A20"/>
    <w:multiLevelType w:val="hybridMultilevel"/>
    <w:tmpl w:val="317CE1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D40AF1"/>
    <w:multiLevelType w:val="hybridMultilevel"/>
    <w:tmpl w:val="D35C1C90"/>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18237FA"/>
    <w:multiLevelType w:val="hybridMultilevel"/>
    <w:tmpl w:val="629EBC74"/>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E694F"/>
    <w:multiLevelType w:val="hybridMultilevel"/>
    <w:tmpl w:val="863E7004"/>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8B44918"/>
    <w:multiLevelType w:val="hybridMultilevel"/>
    <w:tmpl w:val="E9D430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C35B3E"/>
    <w:multiLevelType w:val="hybridMultilevel"/>
    <w:tmpl w:val="59128B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DBB0E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81000A5"/>
    <w:multiLevelType w:val="hybridMultilevel"/>
    <w:tmpl w:val="EB62BBE0"/>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5020A8"/>
    <w:multiLevelType w:val="hybridMultilevel"/>
    <w:tmpl w:val="04044C22"/>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B54C11"/>
    <w:multiLevelType w:val="hybridMultilevel"/>
    <w:tmpl w:val="D534A204"/>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43F587D"/>
    <w:multiLevelType w:val="hybridMultilevel"/>
    <w:tmpl w:val="D4C06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752597">
    <w:abstractNumId w:val="11"/>
  </w:num>
  <w:num w:numId="2" w16cid:durableId="239368208">
    <w:abstractNumId w:val="9"/>
  </w:num>
  <w:num w:numId="3" w16cid:durableId="676620485">
    <w:abstractNumId w:val="3"/>
  </w:num>
  <w:num w:numId="4" w16cid:durableId="357241895">
    <w:abstractNumId w:val="1"/>
  </w:num>
  <w:num w:numId="5" w16cid:durableId="1944072464">
    <w:abstractNumId w:val="12"/>
  </w:num>
  <w:num w:numId="6" w16cid:durableId="1009988017">
    <w:abstractNumId w:val="2"/>
  </w:num>
  <w:num w:numId="7" w16cid:durableId="932468271">
    <w:abstractNumId w:val="0"/>
  </w:num>
  <w:num w:numId="8" w16cid:durableId="775520046">
    <w:abstractNumId w:val="10"/>
  </w:num>
  <w:num w:numId="9" w16cid:durableId="1015159110">
    <w:abstractNumId w:val="8"/>
  </w:num>
  <w:num w:numId="10" w16cid:durableId="383794916">
    <w:abstractNumId w:val="15"/>
  </w:num>
  <w:num w:numId="11" w16cid:durableId="2051221432">
    <w:abstractNumId w:val="13"/>
  </w:num>
  <w:num w:numId="12" w16cid:durableId="665985408">
    <w:abstractNumId w:val="7"/>
  </w:num>
  <w:num w:numId="13" w16cid:durableId="1216357762">
    <w:abstractNumId w:val="5"/>
  </w:num>
  <w:num w:numId="14" w16cid:durableId="1869836493">
    <w:abstractNumId w:val="6"/>
  </w:num>
  <w:num w:numId="15" w16cid:durableId="1296109270">
    <w:abstractNumId w:val="14"/>
  </w:num>
  <w:num w:numId="16" w16cid:durableId="1909535978">
    <w:abstractNumId w:val="4"/>
  </w:num>
  <w:num w:numId="17" w16cid:durableId="1690714220">
    <w:abstractNumId w:val="4"/>
    <w:lvlOverride w:ilvl="0">
      <w:startOverride w:val="1"/>
    </w:lvlOverride>
  </w:num>
  <w:num w:numId="18" w16cid:durableId="859856069">
    <w:abstractNumId w:val="4"/>
    <w:lvlOverride w:ilvl="0">
      <w:startOverride w:val="1"/>
    </w:lvlOverride>
  </w:num>
  <w:num w:numId="19" w16cid:durableId="1556504732">
    <w:abstractNumId w:val="4"/>
  </w:num>
  <w:num w:numId="20" w16cid:durableId="524638731">
    <w:abstractNumId w:val="4"/>
  </w:num>
  <w:num w:numId="21" w16cid:durableId="1125662018">
    <w:abstractNumId w:val="4"/>
  </w:num>
  <w:num w:numId="22" w16cid:durableId="1353140889">
    <w:abstractNumId w:val="4"/>
  </w:num>
  <w:num w:numId="23" w16cid:durableId="883711449">
    <w:abstractNumId w:val="4"/>
  </w:num>
  <w:num w:numId="24" w16cid:durableId="1982684745">
    <w:abstractNumId w:val="4"/>
  </w:num>
  <w:num w:numId="25" w16cid:durableId="1603537973">
    <w:abstractNumId w:val="4"/>
  </w:num>
  <w:num w:numId="26" w16cid:durableId="840970539">
    <w:abstractNumId w:val="4"/>
  </w:num>
  <w:num w:numId="27" w16cid:durableId="171576271">
    <w:abstractNumId w:val="4"/>
  </w:num>
  <w:num w:numId="28" w16cid:durableId="876700463">
    <w:abstractNumId w:val="4"/>
  </w:num>
  <w:num w:numId="29" w16cid:durableId="1310161653">
    <w:abstractNumId w:val="4"/>
  </w:num>
  <w:num w:numId="30" w16cid:durableId="65081371">
    <w:abstractNumId w:val="4"/>
  </w:num>
  <w:num w:numId="31" w16cid:durableId="835191974">
    <w:abstractNumId w:val="4"/>
  </w:num>
  <w:num w:numId="32" w16cid:durableId="142239703">
    <w:abstractNumId w:val="4"/>
  </w:num>
  <w:num w:numId="33" w16cid:durableId="1987978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98"/>
    <w:rsid w:val="00076D10"/>
    <w:rsid w:val="000A5382"/>
    <w:rsid w:val="00100231"/>
    <w:rsid w:val="00146070"/>
    <w:rsid w:val="00195486"/>
    <w:rsid w:val="001A11E1"/>
    <w:rsid w:val="001B4570"/>
    <w:rsid w:val="00233DBB"/>
    <w:rsid w:val="00235382"/>
    <w:rsid w:val="00290EB8"/>
    <w:rsid w:val="002E5F03"/>
    <w:rsid w:val="003749D1"/>
    <w:rsid w:val="00376B0C"/>
    <w:rsid w:val="00383BA2"/>
    <w:rsid w:val="00384B61"/>
    <w:rsid w:val="00410718"/>
    <w:rsid w:val="0041219D"/>
    <w:rsid w:val="004210DE"/>
    <w:rsid w:val="0043076B"/>
    <w:rsid w:val="00465218"/>
    <w:rsid w:val="004A5F5A"/>
    <w:rsid w:val="005D085F"/>
    <w:rsid w:val="005D10D7"/>
    <w:rsid w:val="00663631"/>
    <w:rsid w:val="0068232F"/>
    <w:rsid w:val="00684723"/>
    <w:rsid w:val="006C0198"/>
    <w:rsid w:val="006D5C70"/>
    <w:rsid w:val="007644BF"/>
    <w:rsid w:val="007A6255"/>
    <w:rsid w:val="00813DBD"/>
    <w:rsid w:val="00815F62"/>
    <w:rsid w:val="008C2F4F"/>
    <w:rsid w:val="008D0E85"/>
    <w:rsid w:val="008F244F"/>
    <w:rsid w:val="009050A2"/>
    <w:rsid w:val="00922639"/>
    <w:rsid w:val="00954405"/>
    <w:rsid w:val="0098051E"/>
    <w:rsid w:val="009A5306"/>
    <w:rsid w:val="009C1492"/>
    <w:rsid w:val="00A4284C"/>
    <w:rsid w:val="00A75A76"/>
    <w:rsid w:val="00A85270"/>
    <w:rsid w:val="00A9144E"/>
    <w:rsid w:val="00B8344E"/>
    <w:rsid w:val="00B96DE8"/>
    <w:rsid w:val="00BB2DC5"/>
    <w:rsid w:val="00C3170E"/>
    <w:rsid w:val="00C35FA5"/>
    <w:rsid w:val="00C91F82"/>
    <w:rsid w:val="00CB57B8"/>
    <w:rsid w:val="00CB7DAA"/>
    <w:rsid w:val="00CC2D8D"/>
    <w:rsid w:val="00CD01AC"/>
    <w:rsid w:val="00CD365E"/>
    <w:rsid w:val="00CD5DB8"/>
    <w:rsid w:val="00D148B2"/>
    <w:rsid w:val="00D6238E"/>
    <w:rsid w:val="00E01037"/>
    <w:rsid w:val="00E02EEF"/>
    <w:rsid w:val="00E82F03"/>
    <w:rsid w:val="00EB4430"/>
    <w:rsid w:val="00EC5756"/>
    <w:rsid w:val="00F172BC"/>
    <w:rsid w:val="00F20276"/>
    <w:rsid w:val="00FA68E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A0D7E"/>
  <w15:chartTrackingRefBased/>
  <w15:docId w15:val="{DF82445B-8E32-4EAC-8D7A-90D03663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198"/>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198"/>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198"/>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198"/>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198"/>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198"/>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98"/>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98"/>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98"/>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98"/>
    <w:rPr>
      <w:rFonts w:eastAsiaTheme="majorEastAsia" w:cstheme="majorBidi"/>
      <w:color w:val="272727" w:themeColor="text1" w:themeTint="D8"/>
    </w:rPr>
  </w:style>
  <w:style w:type="paragraph" w:styleId="Title">
    <w:name w:val="Title"/>
    <w:basedOn w:val="Normal"/>
    <w:next w:val="Normal"/>
    <w:link w:val="TitleChar"/>
    <w:uiPriority w:val="10"/>
    <w:qFormat/>
    <w:rsid w:val="006C0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98"/>
    <w:pPr>
      <w:spacing w:before="160"/>
      <w:jc w:val="center"/>
    </w:pPr>
    <w:rPr>
      <w:i/>
      <w:iCs/>
      <w:color w:val="404040" w:themeColor="text1" w:themeTint="BF"/>
    </w:rPr>
  </w:style>
  <w:style w:type="character" w:customStyle="1" w:styleId="QuoteChar">
    <w:name w:val="Quote Char"/>
    <w:basedOn w:val="DefaultParagraphFont"/>
    <w:link w:val="Quote"/>
    <w:uiPriority w:val="29"/>
    <w:rsid w:val="006C0198"/>
    <w:rPr>
      <w:i/>
      <w:iCs/>
      <w:color w:val="404040" w:themeColor="text1" w:themeTint="BF"/>
    </w:rPr>
  </w:style>
  <w:style w:type="paragraph" w:styleId="ListParagraph">
    <w:name w:val="List Paragraph"/>
    <w:basedOn w:val="Normal"/>
    <w:uiPriority w:val="34"/>
    <w:qFormat/>
    <w:rsid w:val="006C0198"/>
    <w:pPr>
      <w:ind w:left="720"/>
      <w:contextualSpacing/>
    </w:pPr>
  </w:style>
  <w:style w:type="character" w:styleId="IntenseEmphasis">
    <w:name w:val="Intense Emphasis"/>
    <w:basedOn w:val="DefaultParagraphFont"/>
    <w:uiPriority w:val="21"/>
    <w:qFormat/>
    <w:rsid w:val="006C0198"/>
    <w:rPr>
      <w:i/>
      <w:iCs/>
      <w:color w:val="0F4761" w:themeColor="accent1" w:themeShade="BF"/>
    </w:rPr>
  </w:style>
  <w:style w:type="paragraph" w:styleId="IntenseQuote">
    <w:name w:val="Intense Quote"/>
    <w:basedOn w:val="Normal"/>
    <w:next w:val="Normal"/>
    <w:link w:val="IntenseQuoteChar"/>
    <w:uiPriority w:val="30"/>
    <w:qFormat/>
    <w:rsid w:val="006C0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198"/>
    <w:rPr>
      <w:i/>
      <w:iCs/>
      <w:color w:val="0F4761" w:themeColor="accent1" w:themeShade="BF"/>
    </w:rPr>
  </w:style>
  <w:style w:type="character" w:styleId="IntenseReference">
    <w:name w:val="Intense Reference"/>
    <w:basedOn w:val="DefaultParagraphFont"/>
    <w:uiPriority w:val="32"/>
    <w:qFormat/>
    <w:rsid w:val="006C0198"/>
    <w:rPr>
      <w:b/>
      <w:bCs/>
      <w:smallCaps/>
      <w:color w:val="0F4761" w:themeColor="accent1" w:themeShade="BF"/>
      <w:spacing w:val="5"/>
    </w:rPr>
  </w:style>
  <w:style w:type="paragraph" w:styleId="NoSpacing">
    <w:name w:val="No Spacing"/>
    <w:link w:val="NoSpacingChar"/>
    <w:uiPriority w:val="1"/>
    <w:qFormat/>
    <w:rsid w:val="006C0198"/>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6C0198"/>
    <w:rPr>
      <w:rFonts w:eastAsiaTheme="minorEastAsia"/>
      <w:kern w:val="0"/>
      <w:sz w:val="22"/>
      <w:szCs w:val="22"/>
      <w:lang w:bidi="ar-SA"/>
      <w14:ligatures w14:val="none"/>
    </w:rPr>
  </w:style>
  <w:style w:type="paragraph" w:styleId="TOCHeading">
    <w:name w:val="TOC Heading"/>
    <w:basedOn w:val="Heading1"/>
    <w:next w:val="Normal"/>
    <w:uiPriority w:val="39"/>
    <w:unhideWhenUsed/>
    <w:qFormat/>
    <w:rsid w:val="006C0198"/>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8C2F4F"/>
    <w:pPr>
      <w:tabs>
        <w:tab w:val="left" w:pos="480"/>
        <w:tab w:val="right" w:leader="dot" w:pos="9016"/>
      </w:tabs>
      <w:spacing w:after="100"/>
    </w:pPr>
    <w:rPr>
      <w:rFonts w:ascii="Times New Roman" w:hAnsi="Times New Roman" w:cs="Times New Roman"/>
      <w:noProof/>
    </w:rPr>
  </w:style>
  <w:style w:type="character" w:styleId="Hyperlink">
    <w:name w:val="Hyperlink"/>
    <w:basedOn w:val="DefaultParagraphFont"/>
    <w:uiPriority w:val="99"/>
    <w:unhideWhenUsed/>
    <w:rsid w:val="006C0198"/>
    <w:rPr>
      <w:color w:val="467886" w:themeColor="hyperlink"/>
      <w:u w:val="single"/>
    </w:rPr>
  </w:style>
  <w:style w:type="paragraph" w:styleId="ListBullet">
    <w:name w:val="List Bullet"/>
    <w:basedOn w:val="Normal"/>
    <w:uiPriority w:val="99"/>
    <w:unhideWhenUsed/>
    <w:rsid w:val="00BB2DC5"/>
    <w:pPr>
      <w:numPr>
        <w:numId w:val="4"/>
      </w:numPr>
      <w:spacing w:after="120" w:line="269" w:lineRule="auto"/>
      <w:contextualSpacing/>
    </w:pPr>
    <w:rPr>
      <w:rFonts w:ascii="Aptos" w:eastAsiaTheme="minorEastAsia" w:hAnsi="Aptos"/>
      <w:color w:val="263746"/>
      <w:kern w:val="0"/>
      <w:sz w:val="21"/>
      <w:szCs w:val="22"/>
      <w:lang w:bidi="ar-SA"/>
      <w14:ligatures w14:val="none"/>
    </w:rPr>
  </w:style>
  <w:style w:type="table" w:styleId="TableGrid">
    <w:name w:val="Table Grid"/>
    <w:basedOn w:val="TableNormal"/>
    <w:uiPriority w:val="59"/>
    <w:rsid w:val="001A1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11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284C"/>
    <w:pPr>
      <w:spacing w:after="0"/>
    </w:pPr>
  </w:style>
  <w:style w:type="paragraph" w:styleId="Header">
    <w:name w:val="header"/>
    <w:basedOn w:val="Normal"/>
    <w:link w:val="HeaderChar"/>
    <w:uiPriority w:val="99"/>
    <w:unhideWhenUsed/>
    <w:rsid w:val="00A42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84C"/>
  </w:style>
  <w:style w:type="paragraph" w:styleId="Footer">
    <w:name w:val="footer"/>
    <w:basedOn w:val="Normal"/>
    <w:link w:val="FooterChar"/>
    <w:uiPriority w:val="99"/>
    <w:unhideWhenUsed/>
    <w:rsid w:val="00A42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84C"/>
  </w:style>
  <w:style w:type="paragraph" w:styleId="ListNumber">
    <w:name w:val="List Number"/>
    <w:basedOn w:val="Normal"/>
    <w:uiPriority w:val="99"/>
    <w:unhideWhenUsed/>
    <w:rsid w:val="009050A2"/>
    <w:pPr>
      <w:numPr>
        <w:numId w:val="7"/>
      </w:numPr>
      <w:spacing w:after="120" w:line="269" w:lineRule="auto"/>
      <w:contextualSpacing/>
    </w:pPr>
    <w:rPr>
      <w:rFonts w:ascii="Aptos" w:eastAsiaTheme="minorEastAsia" w:hAnsi="Aptos"/>
      <w:color w:val="263746"/>
      <w:kern w:val="0"/>
      <w:sz w:val="21"/>
      <w:szCs w:val="22"/>
      <w:lang w:bidi="ar-SA"/>
      <w14:ligatures w14:val="none"/>
    </w:rPr>
  </w:style>
  <w:style w:type="paragraph" w:styleId="TOC2">
    <w:name w:val="toc 2"/>
    <w:basedOn w:val="Normal"/>
    <w:next w:val="Normal"/>
    <w:autoRedefine/>
    <w:uiPriority w:val="39"/>
    <w:unhideWhenUsed/>
    <w:rsid w:val="00F172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51022">
      <w:bodyDiv w:val="1"/>
      <w:marLeft w:val="0"/>
      <w:marRight w:val="0"/>
      <w:marTop w:val="0"/>
      <w:marBottom w:val="0"/>
      <w:divBdr>
        <w:top w:val="none" w:sz="0" w:space="0" w:color="auto"/>
        <w:left w:val="none" w:sz="0" w:space="0" w:color="auto"/>
        <w:bottom w:val="none" w:sz="0" w:space="0" w:color="auto"/>
        <w:right w:val="none" w:sz="0" w:space="0" w:color="auto"/>
      </w:divBdr>
    </w:div>
    <w:div w:id="759446969">
      <w:bodyDiv w:val="1"/>
      <w:marLeft w:val="0"/>
      <w:marRight w:val="0"/>
      <w:marTop w:val="0"/>
      <w:marBottom w:val="0"/>
      <w:divBdr>
        <w:top w:val="none" w:sz="0" w:space="0" w:color="auto"/>
        <w:left w:val="none" w:sz="0" w:space="0" w:color="auto"/>
        <w:bottom w:val="none" w:sz="0" w:space="0" w:color="auto"/>
        <w:right w:val="none" w:sz="0" w:space="0" w:color="auto"/>
      </w:divBdr>
    </w:div>
    <w:div w:id="1186136685">
      <w:bodyDiv w:val="1"/>
      <w:marLeft w:val="0"/>
      <w:marRight w:val="0"/>
      <w:marTop w:val="0"/>
      <w:marBottom w:val="0"/>
      <w:divBdr>
        <w:top w:val="none" w:sz="0" w:space="0" w:color="auto"/>
        <w:left w:val="none" w:sz="0" w:space="0" w:color="auto"/>
        <w:bottom w:val="none" w:sz="0" w:space="0" w:color="auto"/>
        <w:right w:val="none" w:sz="0" w:space="0" w:color="auto"/>
      </w:divBdr>
    </w:div>
    <w:div w:id="1267269921">
      <w:bodyDiv w:val="1"/>
      <w:marLeft w:val="0"/>
      <w:marRight w:val="0"/>
      <w:marTop w:val="0"/>
      <w:marBottom w:val="0"/>
      <w:divBdr>
        <w:top w:val="none" w:sz="0" w:space="0" w:color="auto"/>
        <w:left w:val="none" w:sz="0" w:space="0" w:color="auto"/>
        <w:bottom w:val="none" w:sz="0" w:space="0" w:color="auto"/>
        <w:right w:val="none" w:sz="0" w:space="0" w:color="auto"/>
      </w:divBdr>
    </w:div>
    <w:div w:id="1458911713">
      <w:bodyDiv w:val="1"/>
      <w:marLeft w:val="0"/>
      <w:marRight w:val="0"/>
      <w:marTop w:val="0"/>
      <w:marBottom w:val="0"/>
      <w:divBdr>
        <w:top w:val="none" w:sz="0" w:space="0" w:color="auto"/>
        <w:left w:val="none" w:sz="0" w:space="0" w:color="auto"/>
        <w:bottom w:val="none" w:sz="0" w:space="0" w:color="auto"/>
        <w:right w:val="none" w:sz="0" w:space="0" w:color="auto"/>
      </w:divBdr>
    </w:div>
    <w:div w:id="1662156065">
      <w:bodyDiv w:val="1"/>
      <w:marLeft w:val="0"/>
      <w:marRight w:val="0"/>
      <w:marTop w:val="0"/>
      <w:marBottom w:val="0"/>
      <w:divBdr>
        <w:top w:val="none" w:sz="0" w:space="0" w:color="auto"/>
        <w:left w:val="none" w:sz="0" w:space="0" w:color="auto"/>
        <w:bottom w:val="none" w:sz="0" w:space="0" w:color="auto"/>
        <w:right w:val="none" w:sz="0" w:space="0" w:color="auto"/>
      </w:divBdr>
    </w:div>
    <w:div w:id="1710765942">
      <w:bodyDiv w:val="1"/>
      <w:marLeft w:val="0"/>
      <w:marRight w:val="0"/>
      <w:marTop w:val="0"/>
      <w:marBottom w:val="0"/>
      <w:divBdr>
        <w:top w:val="none" w:sz="0" w:space="0" w:color="auto"/>
        <w:left w:val="none" w:sz="0" w:space="0" w:color="auto"/>
        <w:bottom w:val="none" w:sz="0" w:space="0" w:color="auto"/>
        <w:right w:val="none" w:sz="0" w:space="0" w:color="auto"/>
      </w:divBdr>
    </w:div>
    <w:div w:id="204612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ED99DDD166D411B96A31818960D3310"/>
        <w:category>
          <w:name w:val="General"/>
          <w:gallery w:val="placeholder"/>
        </w:category>
        <w:types>
          <w:type w:val="bbPlcHdr"/>
        </w:types>
        <w:behaviors>
          <w:behavior w:val="content"/>
        </w:behaviors>
        <w:guid w:val="{234C74AE-2060-4961-BE72-1BBCEFE74837}"/>
      </w:docPartPr>
      <w:docPartBody>
        <w:p w:rsidR="00592300" w:rsidRDefault="00FB767E" w:rsidP="00FB767E">
          <w:pPr>
            <w:pStyle w:val="BED99DDD166D411B96A31818960D3310"/>
          </w:pPr>
          <w:r>
            <w:rPr>
              <w:rFonts w:asciiTheme="majorHAnsi" w:eastAsiaTheme="majorEastAsia" w:hAnsiTheme="majorHAnsi" w:cstheme="majorBidi"/>
              <w:caps/>
              <w:color w:val="156082" w:themeColor="accent1"/>
              <w:sz w:val="80"/>
              <w:szCs w:val="80"/>
              <w:lang w:val="si-LK"/>
            </w:rPr>
            <w:t>[ලේඛන මාතෘකාව]</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1C"/>
    <w:rsid w:val="00290EB8"/>
    <w:rsid w:val="00391DE2"/>
    <w:rsid w:val="00592300"/>
    <w:rsid w:val="0068232F"/>
    <w:rsid w:val="00815F62"/>
    <w:rsid w:val="00A960D5"/>
    <w:rsid w:val="00B4671C"/>
    <w:rsid w:val="00CC2D8D"/>
    <w:rsid w:val="00DB6AB2"/>
    <w:rsid w:val="00FB767E"/>
    <w:rsid w:val="00FE27E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D99DDD166D411B96A31818960D3310">
    <w:name w:val="BED99DDD166D411B96A31818960D3310"/>
    <w:rsid w:val="00FB7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FACULTY OF APPLIED SCIENCES , WAYAMBA UNIVERSITY OF SRI LANKA</CompanyAddress>
  <CompanyPhone/>
  <CompanyFax/>
  <CompanyEmail>ruwanwijayasundara@gmail.com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C0E30B-7A57-4AC0-B3FE-4910EE58A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13</Pages>
  <Words>4111</Words>
  <Characters>23435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LiteraTure review</vt:lpstr>
    </vt:vector>
  </TitlesOfParts>
  <Company>R.J. Wijayasundara</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subject>Evaluating SHAP Explanation Stability Across Wind Regimes and Temporal Periods</dc:subject>
  <dc:creator>192149 -  RJ Wijayasundara</dc:creator>
  <cp:keywords/>
  <dc:description/>
  <cp:lastModifiedBy>192149 -  RJ Wijayasundara</cp:lastModifiedBy>
  <cp:revision>42</cp:revision>
  <cp:lastPrinted>2026-10-14T02:06:00Z</cp:lastPrinted>
  <dcterms:created xsi:type="dcterms:W3CDTF">2026-10-10T02:04:00Z</dcterms:created>
  <dcterms:modified xsi:type="dcterms:W3CDTF">2026-10-14T02:07:00Z</dcterms:modified>
</cp:coreProperties>
</file>