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onsolas" w:cs="Consolas" w:eastAsia="Consolas" w:hAnsi="Consolas"/>
          <w:b/>
          <w:bCs/>
          <w:color w:val="E85102"/>
          <w:sz w:val="18"/>
          <w:szCs w:val="18"/>
        </w:rPr>
        <w:t xml:space="preserve">GUIA INTERNO · TBO OS</w:t>
      </w:r>
    </w:p>
    <w:p>
      <w:pPr>
        <w:pStyle w:val="Title"/>
        <w:spacing w:after="120" w:before="0"/>
        <w:jc w:val="left"/>
      </w:pPr>
      <w:r>
        <w:rPr>
          <w:rFonts w:ascii="Helvetica" w:cs="Helvetica" w:eastAsia="Helvetica" w:hAnsi="Helvetica"/>
          <w:b/>
          <w:bCs/>
          <w:color w:val="0A0A0A"/>
          <w:sz w:val="56"/>
          <w:szCs w:val="56"/>
        </w:rPr>
        <w:t xml:space="preserve">Geração de emails por etapa do funil</w:t>
      </w:r>
    </w:p>
    <w:p>
      <w:pPr>
        <w:spacing w:after="400" w:before="0"/>
        <w:jc w:val="left"/>
      </w:pPr>
      <w:r>
        <w:rPr>
          <w:rFonts w:ascii="Helvetica" w:cs="Helvetica" w:eastAsia="Helvetica" w:hAnsi="Helvetica"/>
          <w:color w:val="525252"/>
          <w:sz w:val="24"/>
          <w:szCs w:val="24"/>
        </w:rPr>
        <w:t xml:space="preserve">Como usar a IA do TBO OS para gerar emails personalizados em cada estágio do pipeline comercial — do login ao disparo do rascunho.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Comercial / Pipeline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Rota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A0A0A"/>
                <w:sz w:val="20"/>
                <w:szCs w:val="20"/>
                <w:shd w:fill="F4F4F5" w:val="clear"/>
              </w:rPr>
              <w:t xml:space="preserve">/comercial/pipeline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Rascunhos de e-mail com IA (drawer lateral)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1 por deal (email 1-a-1, não campanha em massa)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Quem pode usar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Founder, Diretoria, Líder, Colaborador (conforme RBAC)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Visão geral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TBO OS gera automaticamente 3 variações de email para cada deal, adaptadas à etapa do funil em que o deal está. Cada etapa tem um playbook próprio (labels, tons, ângulos, placeholders). Você escolhe a variação, revisa, edita se precisar, e dispara.</w:t>
      </w:r>
    </w:p>
    <w:p>
      <w:pPr>
        <w:spacing w:after="80" w:before="80" w:line="30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O sistema é contextual: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mesmo deal em “Lead” e em “Proposta em Aberto” recebe abordagens completamente diferentes. A IA considera nome do deal (escopo), empresa, valor estimado, origem, histórico de atividades e posts recentes do blog TBO.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Variações disponíveis por etapa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3 variações geradas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Foco editorial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Lead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Consultivo · Observação · Provocação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Aquecer contato frio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Qualificação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Diagnóstico · Case/Prova · Próximo Passo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Aprofundar entendimento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Proposta em Aberto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Reforço de Valor · Resposta a Objeção · Case Similar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Sustentar valor sem pressionar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Negociação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Segurança na Escolha · Diferenciação · ROI Percebido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Reduzir atrito final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Fechado Ganho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Alinhamento · Próxima Frente · Ponte pra Indicação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Relacionamento e expansão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Fechado Perdido</w:t>
            </w:r>
          </w:p>
        </w:tc>
        <w:tc>
          <w:tcPr>
            <w:tcW w:type="dxa" w:w="3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Observação Recente · Mudança de Cenário · Diagnóstico</w:t>
            </w:r>
          </w:p>
        </w:tc>
        <w:tc>
          <w:tcPr>
            <w:tcW w:type="dxa" w:w="33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Re-engajamento discreto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Passo a passo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1. Acessar o TBO 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Abra </w:t>
      </w:r>
      <w:hyperlink w:history="1" r:id="rIddbzqvnjdhbssdr9tkqdaw">
        <w:r>
          <w:rPr>
            <w:rFonts w:ascii="Helvetica" w:cs="Helvetica" w:eastAsia="Helvetica" w:hAnsi="Helvetica"/>
            <w:color w:val="E85102"/>
            <w:sz w:val="22"/>
            <w:szCs w:val="22"/>
            <w:u w:val="single"/>
          </w:rPr>
          <w:t xml:space="preserve">https://tbo-dashboard-main.vercel.app</w:t>
        </w:r>
      </w:hyperlink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(ou o domínio de produção que o time usar).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Faça login com Google usando seu email @agenciatbo.com.br ou @wearetbo.com.br.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FF5EE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DICA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Se o login não aparecer com Google, confirme com o admin se sua conta foi adicionada ao RBAC. O TBO OS é </w:t>
            </w: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single-tenant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 — só esses dois domínios têm acesso.</w:t>
            </w:r>
          </w:p>
        </w:tc>
      </w:tr>
    </w:tbl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2. Navegar até o Pipeline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No menu superior (topbar), clique no ícone do grupo Comercial.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Pipeline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submenu. A URL muda para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/comercial/pipeline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Você vai ver o kanban de deals agrupados por etapa, KPIs no topo (Pipeline Ativo, Forecast Ponderado, Ganhos, Conversão) e filtros por busca, etapa e responsável.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3. Localizar ou criar o deal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Deal existente: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use a busca no topo ou filtros. Clique no card do deal para abrir o detalhe lateral.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Deal novo: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+ Novo Deal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canto superior direito e preencha nome, empresa, contato, email, valor e etapa inicial.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EF3C7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ATENÇÃO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O campo </w:t>
            </w: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email do contato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 é obrigatório pra geração de IA funcionar bem. Sem ele, a IA ainda gera texto, mas você não consegue enviar depois.</w:t>
            </w:r>
          </w:p>
        </w:tc>
      </w:tr>
    </w:tbl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4. Abrir o drawer de rascunhos com IA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Com o deal aberto (drawer de detalhe visível à direita), localize a aba ou botão que diz “Rascunhos de email com IA” (ícone de estrela/sparkles).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para expandir o painel lateral de rascunhos. Esse é o cockpit da feature.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drawer mostra o nome do deal e da empresa no topo, um botão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Gerar rascunhos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e abaixo uma lista vazia (ou com rascunhos de gerações anteriores, se houver).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5. Gerar os 3 rascunhos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Gerar rascunhos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(ou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Gerar novos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se já houver rascunho anterior).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Aguarde 15-25s. Um banner violeta indica que a IA está montando o contexto e consultando Claude.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Quando terminar, um cartão novo aparece no topo do drawer com 3 abas — uma por variação (ex.: Reforço de Valor / Resposta a Objeção / Case Similar para um deal em Proposta).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FF5EE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DICA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O que a IA usa como contexto: 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nome do deal (escopo do projeto), empresa, contato, valor, origem, últimas atividades, posts recentes do blog TBO (para não repetir), cases featured do portfólio e o playbook da etapa atual.</w:t>
            </w:r>
          </w:p>
        </w:tc>
      </w:tr>
    </w:tbl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6. Navegar entre as variações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Cada aba mostra uma variação com tom e ângulo distintos. Clique na aba pra alternar. A variação selecionada fica marcada com um check verde — é a que será editada e, eventualmente, enviada.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O que ver em cada variação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Assunto: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em capitalização natural, sem pontuação final.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Corpo: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até 180 palavras, com saudação humana usando o primeiro nome em negrito.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Placeholders de mídia: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{{imagem}}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{{video}}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{{gif}}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aparecem como blocos visuais tracejados no preview.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Tipografia: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negrito em dados/nomes/conceitos, itálico em termos estrangeiros, separador decorativo . . . . entre blocos.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7. Preview e edição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Modo Preview (padrão)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Mostra o email renderizado com o template TBO completo — eyebrow (ex.: BOA TARDE), logo, H1, corpo formatado e rodapé oficial. É o que o destinatário vai ver.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Modo Texto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Mostra o corpo em markdown cru. Útil pra ver a estrutura exata (bolds, itálicos, separadores, placeholders) antes de editar.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Editar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Editar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rodapé da variação ativa.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assunto vira input e o corpo vira textarea. A toolbar acima do corpo mostra botões de ação.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Edite à vontade. A saudação já usa {{primeiro_nome}} — o Mailchimp troca pelo nome real no envio.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Quando terminar, 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Salvar edição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 O status do draft muda de rascunho para “editado”.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8. Inserir mídia (imagem, GIF, vídeo)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IA insere placeholders automaticamente onde faz sentido (ex.: depois do parágrafo do case). Você troca por mídia real de duas formas: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Opção A — Drag and drop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Arraste um arquivo de imagem/vídeo da sua área de trabalho direto sobre o textarea do corpo.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 houver um placeholder do tipo correspondente (ex.: placeholder de imagem e você arrastou uma imagem), ele é substituído automaticamente.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 não houver placeholder, a mídia é inserida na posição do cursor.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Opção B — Toolbar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Imagem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GIF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ou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Vídeo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na toolbar.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dialog abre. Escolha upload local (até 10 MB) ou cole uma URL externa (YouTube/Vimeo pra vídeo).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Adicione um </w:t>
      </w: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texto alt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curto e 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Inserir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Adicionar novo placeholder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Use o botão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+ Placeholder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(dropdown) se quiser adicionar um token extra de mídia no corpo. Pessoa enche depois.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FF5EE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DICA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Importante: 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placeholders que ficarem </w:t>
            </w: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não preenchidos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 até o envio são removidos automaticamente. O destinatário nunca vê o token </w:t>
            </w:r>
            <w:r>
              <w:rPr>
                <w:rFonts w:ascii="Consolas" w:cs="Consolas" w:eastAsia="Consolas" w:hAnsi="Consolas"/>
                <w:color w:val="0A0A0A"/>
                <w:sz w:val="20"/>
                <w:szCs w:val="20"/>
                <w:shd w:fill="F4F4F5" w:val="clear"/>
              </w:rPr>
              <w:t xml:space="preserve">{{imagem}}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9. Salvar ou descartar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Salvar: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mantém o rascunho no histórico. Fica disponível pra edição e envio mais tarde.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Descartar: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rascunho vai pro histórico com status “descartado” e some da lista ativa.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Gerar novos: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cria outro cartão com 3 variações frescas, usando ângulos diferentes dos já tentados (anti-repetição).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10. Enviar (1-a-1)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EF3C7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ATENÇÃO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Neste momento, o botão Enviar mostra um toast “em breve” — a integração de envio 1-a-1 via Mailchimp está na próxima iteração. Por enquanto, copie o conteúdo final e envie manualmente pela sua caixa ou use o módulo Newsletter (pra campanha em lote).</w:t>
            </w:r>
          </w:p>
        </w:tc>
      </w:tr>
    </w:tbl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Bônus: gerar em lote por etapa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No topo da página Pipeline há um botão Gerar emails IA que dispara geração para múltiplos deals de uma mesma etapa ao mesmo tempo.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Gerar emails IA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header da página.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Escolha a etapa (ex.: Proposta em Aberto) no dropdown do modal.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Selecione os deals que devem receber (curadoria manual — não precisa gerar pra todos).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Gerar. Uma barra de progresso mostra concurrency 3 — 3 deals em paralelo.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Rascunhos ficam salvos por deal e podem ser revisados individualmente depois.</w:t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Perguntas frequentes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Por que a IA gerou 3 variações com ângulos parecidos?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Pode ser que o deal esteja numa etapa com playbook apertado (ex.: Negociação). Tente “Gerar novos” — a IA recebe os ângulos já usados e escolhe abordagens diferentes.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Posso mudar o playbook de uma etapa?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Sim, mas é alteração de código. Os playbooks ficam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supabase/functions/generate-ai-email-drafts/stage-playbooks.ts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 Cada etapa tem 3 variações com label, tom, objetivo e pool de ângulos. Alinhe com o time comercial antes de mudar.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A IA pode inventar casos que não existem?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prompt instrui a IA a usar apenas cases do portfólio real fornecidos no contexto (tabela portfolio_items, itens featured). Mesmo assim, sempre revise antes de enviar. Se algum caso soa invenção, é.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Posso pausar a cadência quando o lead responder?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lógica de scheduler automático (cadência com pausa em resposta) ainda não foi implementada. Por enquanto, cada geração é manual. Roadmap: tabela crm_deal_cadence + cron diário + badge no card do deal.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Posso usar isso em inglês?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Não — o sistema é especializado em português brasileiro com tom editorial executivo. Se precisar de outro idioma, alinhe com o time de produto.</w:t>
      </w:r>
    </w:p>
    <w:p>
      <w:pPr>
        <w:pBdr>
          <w:bottom w:val="single" w:color="E5E5E5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80" w:before="80" w:line="30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Dúvidas técnicas: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time de produto / </w:t>
      </w:r>
      <w:hyperlink w:history="1" r:id="rIdi2gydysabwgyzvq9varge">
        <w:r>
          <w:rPr>
            <w:rFonts w:ascii="Helvetica" w:cs="Helvetica" w:eastAsia="Helvetica" w:hAnsi="Helvetica"/>
            <w:color w:val="E85102"/>
            <w:sz w:val="22"/>
            <w:szCs w:val="22"/>
            <w:u w:val="single"/>
          </w:rPr>
          <w:t xml:space="preserve">contato@agenciatbo.com.br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nsolas" w:cs="Consolas" w:eastAsia="Consolas" w:hAnsi="Consolas"/>
        <w:color w:val="525252"/>
        <w:sz w:val="16"/>
        <w:szCs w:val="16"/>
      </w:rPr>
      <w:t xml:space="preserve">Página </w:t>
    </w:r>
    <w:r>
      <w:rPr>
        <w:rFonts w:ascii="Consolas" w:cs="Consolas" w:eastAsia="Consolas" w:hAnsi="Consolas"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onsolas" w:cs="Consolas" w:eastAsia="Consolas" w:hAnsi="Consolas"/>
        <w:color w:val="525252"/>
        <w:sz w:val="16"/>
        <w:szCs w:val="16"/>
      </w:rPr>
      <w:t xml:space="preserve">TBO OS — Guia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  <w:lvl w:ilvl="1" w15:tentative="1">
      <w:start w:val="1"/>
      <w:numFmt w:val="bullet"/>
      <w:lvlText w:val="◦"/>
      <w:lvlJc w:val="left"/>
      <w:pPr>
        <w:ind w:left="10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717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" w:cs="Helvetica" w:eastAsia="Helvetica" w:hAnsi="Helvetica"/>
      <w:b/>
      <w:bCs/>
      <w:color w:val="E8510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" w:cs="Helvetica" w:eastAsia="Helvetica" w:hAnsi="Helvetica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" w:cs="Helvetica" w:eastAsia="Helvetica" w:hAnsi="Helvetica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bzqvnjdhbssdr9tkqdaw" Type="http://schemas.openxmlformats.org/officeDocument/2006/relationships/hyperlink" Target="https://tbo-dashboard-main.vercel.app" TargetMode="External"/><Relationship Id="rIdi2gydysabwgyzvq9varge" Type="http://schemas.openxmlformats.org/officeDocument/2006/relationships/hyperlink" Target="mailto:contato@agenciatbo.com.b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Guia: Emails por etapa do funil</dc:title>
  <dc:creator>TBO OS</dc:creator>
  <cp:lastModifiedBy>Un-named</cp:lastModifiedBy>
  <cp:revision>1</cp:revision>
  <dcterms:created xsi:type="dcterms:W3CDTF">2026-04-17T03:23:14.211Z</dcterms:created>
  <dcterms:modified xsi:type="dcterms:W3CDTF">2026-04-17T03:23:14.212Z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