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Consolas" w:cs="Consolas" w:eastAsia="Consolas" w:hAnsi="Consolas"/>
          <w:b/>
          <w:bCs/>
          <w:color w:val="E85102"/>
          <w:sz w:val="18"/>
          <w:szCs w:val="18"/>
        </w:rPr>
        <w:t xml:space="preserve">GUIA INTERNO · TBO OS</w:t>
      </w:r>
    </w:p>
    <w:p>
      <w:pPr>
        <w:pStyle w:val="Title"/>
        <w:spacing w:after="120" w:before="0"/>
        <w:jc w:val="left"/>
      </w:pPr>
      <w:r>
        <w:rPr>
          <w:rFonts w:ascii="Helvetica" w:cs="Helvetica" w:eastAsia="Helvetica" w:hAnsi="Helvetica"/>
          <w:b/>
          <w:bCs/>
          <w:color w:val="0A0A0A"/>
          <w:sz w:val="56"/>
          <w:szCs w:val="56"/>
        </w:rPr>
        <w:t xml:space="preserve">Geração de Newsletter com IA</w:t>
      </w:r>
    </w:p>
    <w:p>
      <w:pPr>
        <w:spacing w:after="400" w:before="0"/>
        <w:jc w:val="left"/>
      </w:pPr>
      <w:r>
        <w:rPr>
          <w:rFonts w:ascii="Helvetica" w:cs="Helvetica" w:eastAsia="Helvetica" w:hAnsi="Helvetica"/>
          <w:color w:val="525252"/>
          <w:sz w:val="24"/>
          <w:szCs w:val="24"/>
        </w:rPr>
        <w:t xml:space="preserve">Como usar a curadoria + IA do TBO OS pra gerar a newsletter editorial enviada pra toda a base (clientes, leads e inscritos).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Módulo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Marketing / Newsletter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Rota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A0A0A"/>
                <w:sz w:val="20"/>
                <w:szCs w:val="20"/>
                <w:shd w:fill="F4F4F5" w:val="clear"/>
              </w:rPr>
              <w:t xml:space="preserve">/marketing/newsletter/gerar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Feature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Gerar Newsletter com IA (curadoria web + redação)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Modelos de IA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Haiku 4.5 (curadoria) · Sonnet 4.6 (redação)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Broadcast — toda a base ou segmento específico</w:t>
            </w:r>
          </w:p>
        </w:tc>
      </w:tr>
      <w:tr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0A0A0A"/>
                <w:sz w:val="20"/>
                <w:szCs w:val="20"/>
              </w:rPr>
              <w:t xml:space="preserve">Frequência sugerida</w:t>
            </w:r>
          </w:p>
        </w:tc>
        <w:tc>
          <w:tcPr>
            <w:tcW w:type="dxa" w:w="60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2-3 edições por semana (seguindo padrão editorial)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Visão geral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newsletter do TBO OS é um canal editorial — não comercial. A graça é conteúdo denso e relevante no estilo de publicações como The News Business, Morning Brew, Monocle e Wallpaper. Zero pitch, zero CTA de venda.</w:t>
      </w:r>
    </w:p>
    <w:p>
      <w:pPr>
        <w:spacing w:after="80" w:before="80" w:line="30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Cada edição tem estrutura fixa: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abertura com hook (storytelling), preview em blockquote, seção Trending Now opcional, 1-2 blocos principais, aspas do dia e fechamento leve. Máximo 600 palavras.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Diferença entre Newsletter e email outbound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Email Outbound (pipeline)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0A0A0A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Newsletter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Público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1 lead específico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Base inteira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Tom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Consultivo, executivo pra executivo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Editorial, coluna denso-coloquial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Objetivo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Fazer o lead avançar no funil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Criar familiaridade e autoridade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Personalização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Nome, empresa, escopo do projeto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Apenas FNAME (primeiro nome)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CTA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Pergunta aberta sobre o negócio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Nenhum — é editorial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Tamanho</w:t>
            </w:r>
          </w:p>
        </w:tc>
        <w:tc>
          <w:tcPr>
            <w:tcW w:type="dxa" w:w="3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Até 180 palavras</w:t>
            </w:r>
          </w:p>
        </w:tc>
        <w:tc>
          <w:tcPr>
            <w:tcW w:type="dxa" w:w="342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Helvetica" w:cs="Helvetica" w:eastAsia="Helvetica" w:hAnsi="Helvetica"/>
                <w:color w:val="171717"/>
                <w:sz w:val="20"/>
                <w:szCs w:val="20"/>
              </w:rPr>
              <w:t xml:space="preserve">Até 600 palavras</w:t>
            </w:r>
          </w:p>
        </w:tc>
      </w:tr>
    </w:tbl>
    <w:p>
      <w:pPr>
        <w:spacing w:after="150" w:before="150"/>
      </w:pPr>
      <w:r>
        <w:t xml:space="preserve"/>
      </w:r>
    </w:p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Passo a passo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1. Acessar o TBO OS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Abra </w:t>
      </w:r>
      <w:hyperlink w:history="1" r:id="rIdpdojmrrcfuexl_voxatua">
        <w:r>
          <w:rPr>
            <w:rFonts w:ascii="Helvetica" w:cs="Helvetica" w:eastAsia="Helvetica" w:hAnsi="Helvetica"/>
            <w:color w:val="E85102"/>
            <w:sz w:val="22"/>
            <w:szCs w:val="22"/>
            <w:u w:val="single"/>
          </w:rPr>
          <w:t xml:space="preserve">https://tbo-dashboard-main.vercel.app</w:t>
        </w:r>
      </w:hyperlink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e faça login com seu Google @agenciatbo.com.br ou @wearetbo.com.br.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2. Navegar até Newsletter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No topbar, clique no grupo Marketing.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Newsletter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submenu. A URL muda para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/marketing/newsletter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home do módulo mostra KPIs (Templates, Segmentos, Campanhas, Enviadas, Envios) e um card destacado “Gerar Newsletter com IA” no topo, com badge “Novo” em laranja.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3. Iniciar a geração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no card laranja </w:t>
      </w: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Gerar Newsletter com IA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 A URL muda para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/marketing/newsletter/gerar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tela abre em layout split: painel de briefing à esquerda (400px), preview à direita. Abaixo do briefing fica o histórico de rascunhos recentes.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4. Preencher o briefing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4.1 Tema principal (obrigatório)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Textarea no topo. Descreva o ângulo editorial em 1-3 frases — não só a palavra-chave. Quanto mais específico, melhor o output.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FF5EE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DICA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Exemplo ruim: 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“arquitetura”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. </w:t>
            </w: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Exemplo bom: 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“marcas próprias virando protagonistas no varejo de luxo — e o que isso ensina pra incorporação premium”.</w:t>
            </w:r>
          </w:p>
        </w:tc>
      </w:tr>
    </w:tbl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4.2 Sugerir temas do dia (atalho)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 você não tem um tema pronto, clique no botão </w:t>
      </w: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✨ Sugerir temas do dia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acima do textarea.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modal “Sugestões do editor-chefe IA” abre. Clique em “Buscar temas do dia”.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Aguarde 30-60s. A IA (Haiku 4.5) faz 5 buscas web em fontes curadas (ArchDaily, Dezeen, Wallpaper, Casa Vogue, Valor, Metro Quadrado, Monocle, Mansion Global, Knight Frank e +40 outras), cruza com artigos já publicados no blog TBO nos últimos 30 dias e retorna 4-5 temas novos.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Cada card de tema mostra: título, universos cruzados (badges), ângulo completo, POV sugerido (caixa destacada em laranja), why now (gatilho temporal), SEO keyword e fontes linkadas.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Usar este tema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card desejado. O textarea é preenchido automaticamente com ângulo + POV + fontes.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FF5EE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DICA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b/>
                <w:bCs/>
                <w:color w:val="0A0A0A"/>
                <w:sz w:val="22"/>
                <w:szCs w:val="22"/>
              </w:rPr>
              <w:t xml:space="preserve">Regenerar: </w:t>
            </w: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se nenhum tema agradar, clique em “Regenerar” no canto superior direito do modal. A IA faz nova rodada com ângulos diferentes.</w:t>
            </w:r>
          </w:p>
        </w:tc>
      </w:tr>
    </w:tbl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4.3 Tom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Select com 5 opções: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Informativo denso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— padrão. Newsletter factual com profundidade.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Provocativo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— questiona consensos do mercado.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Reflexivo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— convida à pausa e análise.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Curioso/descontraído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— humor mais presente.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Analítico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— dados e gráficos em primeiro plano.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4.4 Horário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Define o eyebrow que aparece acima do título: BOM DIA (até 12h), BOA TARDE (12-18h) ou BOA NOITE (depois das 18h). Escolha o horário REAL em que vai enviar, não o de geração.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4.5 Público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Define o tom da audiência esperada, não o segmento de envio. As 4 opções são: Toda a base, Apenas clientes ativos, Apenas leads em nutrição, Incorporadoras no radar (outbound).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4.6 Destaques (opcional, até 3)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 você quer GARANTIR que a edição desenvolva temas específicos (ex.: “Walmart redesenha Great Value”, “Brasil volta ao mercado de euros”), adicione aqui. A IA usa como âncoras dos blocos principais.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+ Adicionar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pra incluir destaque. Clique no ícone de lixeira pra remover.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4.7 Toggle Trending Now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Quando ligado (padrão), a IA inclui uma seção “### Trending Now” com 3 bullets curtos de tendências/observações recentes, incluindo links reais do blog TBO. Quando desligado, a edição vai mais enxuta, focada no tema principal.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5. Gerar a edição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no botão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Gerar edição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final do painel de briefing.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Aguarde 10-20s. Um estado de loading com spinner laranja aparece no preview. A IA (Sonnet 4.6) redige a edição completa seguindo a estrutura obrigatória.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Quando terminar, o preview aparece à direita com o template TBO completo — eyebrow, logo, H1, corpo formatado, footer oficial.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rascunho aparece no histórico (lado esquerdo, abaixo do briefing) com status “rascunho”.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6. Revisar e editar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6.1 Modos de visualização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Preview: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HTML renderizado como o destinatário vai ver (padrão).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Markdown: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corpo em markdown cru — útil pra revisar estrutura.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6.2 Editar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Editar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topo direito do preview.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Os 4 campos viram editáveis: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Eyebrow: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label caps laranja no topo (ex.: BOA TARDE).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Assunto: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o que aparece no inbox. Mantenha em minúscula ou capitalização natural, sem pontuação final.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Preheader: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80-120 chars que complementam o assunto (preview do inbox).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Corpo (markdown):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edite o conteúdo. Suporta **bold**, *itálico*, &gt; blockquote, separador . . . ., `### Trending now` e placeholders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{{imagem}}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Clique em </w:t>
      </w:r>
      <w:r>
        <w:rPr>
          <w:rFonts w:ascii="Consolas" w:cs="Consolas" w:eastAsia="Consolas" w:hAnsi="Consolas"/>
          <w:color w:val="0A0A0A"/>
          <w:sz w:val="20"/>
          <w:szCs w:val="20"/>
          <w:shd w:fill="F4F4F5" w:val="clear"/>
        </w:rPr>
        <w:t xml:space="preserve">Salvar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 no topo. O status muda pra “editado”.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6.3 Regenerar se necessário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 o resultado não agradou, volte ao briefing (a cópia fica preservada), ajuste tema/tom/destaques e clique em Gerar edição novamente. Cada rascunho é salvo separadamente — nada é perdido.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7. Histórico de rascunhos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No lado esquerdo, abaixo do briefing, lista até 8 rascunhos recentes. Cada item mostra título, assunto, tempo relativo e status badge (rascunho / editado / enviado / descartado).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Clicar em um rascunho antigo: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abre no painel direito pra revisar/editar.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Descartar: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botão no topo do preview. Sai do histórico ativo.</w:t>
      </w:r>
    </w:p>
    <w:p>
      <w:pPr>
        <w:pStyle w:val="Heading2"/>
        <w:spacing w:after="140" w:before="280"/>
      </w:pPr>
      <w:r>
        <w:rPr>
          <w:rFonts w:ascii="Helvetica" w:cs="Helvetica" w:eastAsia="Helvetica" w:hAnsi="Helvetica"/>
          <w:b/>
          <w:bCs/>
          <w:color w:val="0A0A0A"/>
          <w:sz w:val="28"/>
          <w:szCs w:val="28"/>
        </w:rPr>
        <w:t xml:space="preserve">8. Enviar pra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102" w:sz="16"/>
              <w:left w:val="single" w:color="E85102" w:sz="32"/>
              <w:bottom w:val="single" w:color="E5E5E5" w:sz="4"/>
              <w:right w:val="single" w:color="E5E5E5" w:sz="4"/>
            </w:tcBorders>
            <w:shd w:fill="FEF3C7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102"/>
                <w:sz w:val="18"/>
                <w:szCs w:val="18"/>
              </w:rPr>
              <w:t xml:space="preserve">ATENÇÃO</w:t>
            </w:r>
          </w:p>
          <w:p>
            <w:pPr>
              <w:spacing w:after="0" w:before="0" w:line="280"/>
            </w:pPr>
            <w:r>
              <w:rPr>
                <w:rFonts w:ascii="Helvetica" w:cs="Helvetica" w:eastAsia="Helvetica" w:hAnsi="Helvetica"/>
                <w:color w:val="171717"/>
                <w:sz w:val="22"/>
                <w:szCs w:val="22"/>
              </w:rPr>
              <w:t xml:space="preserve">Neste momento, o botão Enviar pra base mostra um toast “em breve” — a integração de envio broadcast via Mailchimp está na próxima iteração. Por enquanto, copie o assunto + HTML (modo Preview → view source, ou exporte via ferramenta) e crie a campanha manualmente no módulo /marketing/newsletter/campanhas.</w:t>
            </w:r>
          </w:p>
        </w:tc>
      </w:tr>
    </w:tbl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Checklist editorial antes de enviar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Rodar essa checklist em cada edição antes de disparar pra base: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Abertura tem HOOK real (storytelling, fato histórico, dado surpreendente) e não saudação genérica tipo “Olá!”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Preview em blockquote resume a edição sem spoiler total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Separadores . . . . estão entre blocos editoriais grandes (não entre parágrafos)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Seção Trending Now (se incluída) tem 2-3 bullets com emoji + LABEL em caps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Bloco principal tem dados em negrito e pelo menos 1 frase em blockquote de peso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Aspas do dia é citação real, com atribuição (nome + cargo/empresa em itálico)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Fechamento é leve, editorial (“Até a próxima.” / “Semana que vem tem mais.”) — nunca “cordialmente”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Não tem linguagem de agência, “premium”, clichês ou fórmulas coaching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Acentuação pt-BR completa (ç, ã, õ, acentos agudos e circunflexos) sem erro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Máximo 600 palavras — densa mas não longa</w:t>
      </w:r>
    </w:p>
    <w:p>
      <w:pPr>
        <w:pStyle w:val="Heading1"/>
        <w:spacing w:after="180" w:before="360"/>
      </w:pPr>
      <w:r>
        <w:rPr>
          <w:rFonts w:ascii="Helvetica" w:cs="Helvetica" w:eastAsia="Helvetica" w:hAnsi="Helvetica"/>
          <w:b/>
          <w:bCs/>
          <w:color w:val="E85102"/>
          <w:sz w:val="36"/>
          <w:szCs w:val="36"/>
        </w:rPr>
        <w:t xml:space="preserve">Perguntas frequentes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Quantas buscas web a IA faz por edição?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curadoria de temas (botão Sugerir temas) faz 5 buscas agrupadas — uma por universo (Arquitetura, Interiores/Arte, Mercado BR, Branding, UHNW global). Cada busca combina 6-10 sites via operador OR. A redação da edição em si não faz busca web; usa o briefing + conhecimento interno do modelo.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Por que às vezes a curadoria trava ou demora?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Pode ser rate limit da Anthropic API (limite de tokens por minuto). Se aparecer mensagem “RATE_LIMIT: aguarde ~1 minuto”, é isso. Aguarde 60s e tente novamente. O sistema tem prompt caching ativo, então chamadas subsequentes ficam mais baratas/rápidas.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Posso salvar rascunho e voltar depois?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Sim. Todos os rascunhos ficam salvos automaticamente em ai_newsletter_drafts. O histórico mostra os 8 mais recentes. Rascunhos descartados saem do histórico ativo mas não são deletados do banco.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O que o eyebrow controla?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É o label caps acima do título (ex.: BOM DIA / BOA TARDE / BOA NOITE), renderizado em laranja TBO. Define tom do cumprimento. Você pode editar livremente — não precisa ser saudação, pode ser “EDIÇÃO #42” ou “TRENDING”.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Como saber se a IA está repetindo temas já publicados?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A curadoria consulta blog_posts (últimos 30 dias, status=publicado) e passa a lista pro modelo com instrução explícita de não repetir. Mesmo assim, sempre revise os temas sugeridos — se soar familiar, descarte e regenere.</w:t>
      </w:r>
    </w:p>
    <w:p>
      <w:pPr>
        <w:pStyle w:val="Heading3"/>
        <w:spacing w:after="100" w:before="200"/>
      </w:pPr>
      <w:r>
        <w:rPr>
          <w:rFonts w:ascii="Helvetica" w:cs="Helvetica" w:eastAsia="Helvetica" w:hAnsi="Helvetica"/>
          <w:b/>
          <w:bCs/>
          <w:color w:val="171717"/>
          <w:sz w:val="24"/>
          <w:szCs w:val="24"/>
        </w:rPr>
        <w:t xml:space="preserve">A newsletter vai pra quem exatamente?</w:t>
      </w:r>
    </w:p>
    <w:p>
      <w:pPr>
        <w:spacing w:after="80" w:before="80" w:line="300"/>
      </w:pP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Por padrão, toda a base da audience Mailchimp “TBO - Prospeccao Outbound” (ID 3b6d78581f, account us21). Você pode escolher segmento específico no campo Público (ainda funciona só como contexto pra IA — segmentação real de envio é configurada no momento do disparo Mailchimp).</w:t>
      </w:r>
    </w:p>
    <w:p>
      <w:pPr>
        <w:pBdr>
          <w:bottom w:val="single" w:color="E5E5E5" w:sz="6" w:space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80" w:before="80" w:line="300"/>
      </w:pPr>
      <w:r>
        <w:rPr>
          <w:rFonts w:ascii="Helvetica" w:cs="Helvetica" w:eastAsia="Helvetica" w:hAnsi="Helvetica"/>
          <w:b/>
          <w:bCs/>
          <w:color w:val="0A0A0A"/>
          <w:sz w:val="22"/>
          <w:szCs w:val="22"/>
        </w:rPr>
        <w:t xml:space="preserve">Dúvidas técnicas: </w:t>
      </w:r>
      <w:r>
        <w:rPr>
          <w:rFonts w:ascii="Helvetica" w:cs="Helvetica" w:eastAsia="Helvetica" w:hAnsi="Helvetica"/>
          <w:color w:val="171717"/>
          <w:sz w:val="22"/>
          <w:szCs w:val="22"/>
        </w:rPr>
        <w:t xml:space="preserve">time de produto / </w:t>
      </w:r>
      <w:hyperlink w:history="1" r:id="rIdhec5_pqjivts_3mfa6xki">
        <w:r>
          <w:rPr>
            <w:rFonts w:ascii="Helvetica" w:cs="Helvetica" w:eastAsia="Helvetica" w:hAnsi="Helvetica"/>
            <w:color w:val="E85102"/>
            <w:sz w:val="22"/>
            <w:szCs w:val="22"/>
            <w:u w:val="single"/>
          </w:rPr>
          <w:t xml:space="preserve">contato@agenciatbo.com.br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nsolas" w:cs="Consolas" w:eastAsia="Consolas" w:hAnsi="Consolas"/>
        <w:color w:val="525252"/>
        <w:sz w:val="16"/>
        <w:szCs w:val="16"/>
      </w:rPr>
      <w:t xml:space="preserve">Página </w:t>
    </w:r>
    <w:r>
      <w:rPr>
        <w:rFonts w:ascii="Consolas" w:cs="Consolas" w:eastAsia="Consolas" w:hAnsi="Consolas"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onsolas" w:cs="Consolas" w:eastAsia="Consolas" w:hAnsi="Consolas"/>
        <w:color w:val="525252"/>
        <w:sz w:val="16"/>
        <w:szCs w:val="16"/>
      </w:rPr>
      <w:t xml:space="preserve">TBO OS — Guia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  <w:lvl w:ilvl="1" w15:tentative="1">
      <w:start w:val="1"/>
      <w:numFmt w:val="bullet"/>
      <w:lvlText w:val="◦"/>
      <w:lvlJc w:val="left"/>
      <w:pPr>
        <w:ind w:left="10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717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Helvetica" w:cs="Helvetica" w:eastAsia="Helvetica" w:hAnsi="Helvetica"/>
      <w:b/>
      <w:bCs/>
      <w:color w:val="E8510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Helvetica" w:cs="Helvetica" w:eastAsia="Helvetica" w:hAnsi="Helvetica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Helvetica" w:cs="Helvetica" w:eastAsia="Helvetica" w:hAnsi="Helvetica"/>
      <w:b/>
      <w:bCs/>
      <w:color w:val="1717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dojmrrcfuexl_voxatua" Type="http://schemas.openxmlformats.org/officeDocument/2006/relationships/hyperlink" Target="https://tbo-dashboard-main.vercel.app" TargetMode="External"/><Relationship Id="rIdhec5_pqjivts_3mfa6xki" Type="http://schemas.openxmlformats.org/officeDocument/2006/relationships/hyperlink" Target="mailto:contato@agenciatbo.com.b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Guia: Newsletter com IA</dc:title>
  <dc:creator>TBO OS</dc:creator>
  <cp:lastModifiedBy>Un-named</cp:lastModifiedBy>
  <cp:revision>1</cp:revision>
  <dcterms:created xsi:type="dcterms:W3CDTF">2026-04-17T03:23:14.293Z</dcterms:created>
  <dcterms:modified xsi:type="dcterms:W3CDTF">2026-04-17T03:23:14.293Z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