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Phần 1 - Hai hướng gán nhãn MoSCoW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00" w:right="4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Cách 1: Chiều theo chiến dịch kinh doanh (Marketing-Driven)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05" w:right="42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highlight w:val="white"/>
          <w:rtl w:val="0"/>
        </w:rPr>
        <w:t xml:space="preserve">Mô tả: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Đặt ưu tiên cao nhất cho các yêu cầu giao diện, hình ảnh phục vụ sự kiện để chiều lòng Marketing và các bên kinh doanh.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00" w:right="4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Cách 2: Quản trị rủi ro &amp; Giá trị cốt lõi (Value &amp; Risk-Driven)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305" w:right="42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highlight w:val="white"/>
          <w:rtl w:val="0"/>
        </w:rPr>
        <w:t xml:space="preserve">Mô tả: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Ưu tiên xử lý dứt điểm lỗi tài chính, tính năng cốt lõi của giao dịch; các hạng mục giao diện hoặc tiện ích phụ sẽ xếp sau.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Phần 2 - So sánh nhanh 2 cách gán nhãn</w:t>
      </w:r>
    </w:p>
    <w:tbl>
      <w:tblPr>
        <w:tblStyle w:val="Table1"/>
        <w:tblW w:w="8520.0" w:type="dxa"/>
        <w:jc w:val="left"/>
        <w:tblInd w:w="42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840"/>
        <w:gridCol w:w="2840"/>
        <w:gridCol w:w="2840"/>
        <w:tblGridChange w:id="0">
          <w:tblGrid>
            <w:gridCol w:w="2840"/>
            <w:gridCol w:w="2840"/>
            <w:gridCol w:w="2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Tiêu chí so sánh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Cách 1: Hướng theo Kinh doanh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Cách 2: Hướng theo Giá trị &amp; Rủi 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Tính khách quan khi các bộ phận tranh chấp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(-)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Dễ bị chi phối bởi áp lực nội bộ, thiếu dữ liệu đánh giá rủi ro kỹ thuật và tài chính thực tế.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(+)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Dựa trên tiêu chí thực tế về rủi ro tiền bạc/pháp lý, giúp PO dễ dàng từ chối các yêu cầu cảm tính.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Bảo vệ hạng mục tối quan trọng (#1)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(-)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Việc sửa lỗi sai cước có thể bị đẩy xuống nhóm dưới nếu nhường chỗ cho giao diện chiến dịch.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(+)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Đưa hạng mục sửa lỗi hiển thị sai cước (#1) lên nhóm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Must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đầu tiên vì liên quan trực tiếp đến uy tín và tiền của khách hàng.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Phần 3 - Lựa chọn phương án và Chốt danh sách Sprint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Lựa chọn: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Chúng ta chọn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Cách 2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để đảm bảo RikkeiGo vận hành an toàn, minh bạch tài chính và sử dụng hiệu quả quỹ 10 điểm của đội trong Sprint.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Bảng gán nhãn MoSCoW chi tiết cho 6 hạng mục:</w:t>
      </w:r>
    </w:p>
    <w:tbl>
      <w:tblPr>
        <w:tblStyle w:val="Table2"/>
        <w:tblW w:w="8520.0" w:type="dxa"/>
        <w:jc w:val="left"/>
        <w:tblInd w:w="42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Hạng mục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Điểm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Nhãn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Lý do cho bản phát 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Sửa lỗi hiển thị sai cước sau khuyến mãi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Đang làm sai tiền khách, phải vá ngay để tránh khiếu nại và mất uy tín.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Áp mã khuyến mãi khi đặt xe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Đây là cốt lõi của chương trình "Tháng khuyến mãi", thiếu cái này coi như hỏng chiến dịch.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Thanh toán bằng ví RikkeiPay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Should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Rất tiện nhưng khách vẫn dùng tiền mặt được, có thể linh hoạt nếu thiếu giờ.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Hẹn giờ đặt xe trước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Won't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Tính năng nâng cao, không đủ sức chứa trong giới hạn 10 điểm của Sprint này.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Chat với tài xế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Could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Hữu ích nhưng khách vẫn có thể gọi điện trực tiếp, tạm hoãn lại được.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Giao diện trang trí khuyến mãi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Should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Giúp sinh động sự kiện nhưng không có thì hệ thống vẫn chạy bình thường.</w:t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