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-72389</wp:posOffset>
            </wp:positionH>
            <wp:positionV relativeFrom="page">
              <wp:posOffset>16490</wp:posOffset>
            </wp:positionV>
            <wp:extent cx="7610475" cy="834390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9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834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C.I. nº: </w:t>
      </w:r>
      <w:r w:rsidDel="00000000" w:rsidR="00000000" w:rsidRPr="00000000">
        <w:rPr>
          <w:sz w:val="22"/>
          <w:szCs w:val="22"/>
          <w:rtl w:val="0"/>
        </w:rPr>
        <w:t xml:space="preserve">DFCOM0135/2024</w:t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9.00000000000034" w:tblpY="634.2265625000003"/>
        <w:tblW w:w="104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34"/>
        <w:gridCol w:w="3398"/>
        <w:tblGridChange w:id="0">
          <w:tblGrid>
            <w:gridCol w:w="3668"/>
            <w:gridCol w:w="6796"/>
          </w:tblGrid>
        </w:tblGridChange>
        <w:gridCol w:w="2616"/>
        <w:gridCol w:w="2616"/>
      </w:tblGrid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Solicitante (Remetente): 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MARCIO DE CASTRO SILVA                                       </w:t>
            </w:r>
            <w:r w:rsidDel="00000000" w:rsidR="00000000" w:rsidRPr="00000000">
              <w:rPr>
                <w:rFonts w:ascii="Aptos" w:cs="Aptos" w:eastAsia="Aptos" w:hAnsi="Aptos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highlight w:val="white"/>
                <w:rtl w:val="0"/>
              </w:rPr>
              <w:t xml:space="preserve">Brasília, 03 de outubro, , 2024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Destinatário: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DF - ALMOX APOIO  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da solicitação: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Manutenção/Engenharia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Compras Material de Limpeza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Material Gráfico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Outros: </w:t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 total: R$ 2.300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474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Forma de pagamento: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BOLETO    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PAGAMENTO COM CARTÃO 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DEPOSITO       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Prazo de execução: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IMEDIATO</w:t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Som da IURD Jardim Paquetá Não está funcionando como deveria Equipamento está bem gasto pelo tempo de uso assim com alto falantes e peritécios do hack E necessário a substituição de alguns componentes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Motivo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Som da IURD Jardim Paquetá Não está funcionando como deveria Equipamento está bem gasto pelo tempo de uso assim com alto falantes e peritécios do hack E necessário a substituição de alguns componentes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8"/>
              <w:tblGridChange w:id="0">
                <w:tblGrid>
                  <w:gridCol w:w="102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D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Descrição da Compra</w:t>
                  </w:r>
                </w:p>
              </w:tc>
            </w:tr>
            <w:tr>
              <w:trPr>
                <w:cantSplit w:val="0"/>
                <w:trHeight w:val="53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0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Ordem de Compra –  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REQDF-0006213 - 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REQDF-0006213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0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3"/>
              <w:tblGridChange w:id="0">
                <w:tblGrid>
                  <w:gridCol w:w="102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4">
                  <w:pPr>
                    <w:tabs>
                      <w:tab w:val="left" w:leader="none" w:pos="9691"/>
                    </w:tabs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Orçamento Vencedor: 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3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18"/>
              <w:gridCol w:w="2855"/>
              <w:gridCol w:w="2102"/>
              <w:gridCol w:w="2863"/>
              <w:tblGridChange w:id="0">
                <w:tblGrid>
                  <w:gridCol w:w="2418"/>
                  <w:gridCol w:w="2855"/>
                  <w:gridCol w:w="2102"/>
                  <w:gridCol w:w="2863"/>
                </w:tblGrid>
              </w:tblGridChange>
            </w:tblGrid>
            <w:tr>
              <w:trPr>
                <w:cantSplit w:val="0"/>
                <w:trHeight w:val="37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8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Empresa: A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Valor: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R$ 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2.300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Justificativa: 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Conforme orientação, do Setor de Compras até que o Oracle esteja plenamente operacional, nos foi solicitamos que prossigamos com a utilização das Comunicações Internas (CI's) físicas. O Setor de Compras (Procurement) solicitou a elaboração da Comunicação Interna referente ao item da Ordem de Compra em anexo.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34125" cy="1114425"/>
                      <wp:effectExtent b="0" l="0" r="0" t="0"/>
                      <wp:wrapSquare wrapText="bothSides" distB="45720" distT="45720" distL="114300" distR="114300"/>
                      <wp:docPr id="100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183700" y="322755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_______________________________                                                         ______________________________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Direção Administrativa Brasília-DF                                                                       Direção Espiritual Brasília-DF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      Nome: Bp. Sidney Costa                                                                                                             Nome: Bp. Sidnei Marques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34125" cy="1114425"/>
                      <wp:effectExtent b="0" l="0" r="0" t="0"/>
                      <wp:wrapSquare wrapText="bothSides" distB="45720" distT="45720" distL="114300" distR="114300"/>
                      <wp:docPr id="100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34125" cy="1114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UF: DF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 w:orient="portrait"/>
      <w:pgMar w:bottom="0" w:top="426" w:left="426" w:right="5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S Gothic"/>
  <w:font w:name="Aptos"/>
  <w:font w:name="Helvetica Neue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bold.ttf"/><Relationship Id="rId2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2024-10-04T00:56:46Z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