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8514" w14:textId="44468AB6" w:rsidR="00600EB8" w:rsidRPr="00563A99" w:rsidRDefault="00B70AB2" w:rsidP="00600EB8">
      <w:pPr>
        <w:rPr>
          <w:rFonts w:ascii="Century Gothic" w:hAnsi="Century Gothic"/>
          <w:b/>
          <w:bCs/>
        </w:rPr>
      </w:pPr>
      <w:proofErr w:type="spellStart"/>
      <w:r>
        <w:rPr>
          <w:rFonts w:ascii="Century Gothic" w:hAnsi="Century Gothic"/>
          <w:b/>
          <w:bCs/>
        </w:rPr>
        <w:t>Disclaimer</w:t>
      </w:r>
      <w:proofErr w:type="spellEnd"/>
      <w:r w:rsidR="00600EB8" w:rsidRPr="00563A99">
        <w:rPr>
          <w:rFonts w:ascii="Century Gothic" w:hAnsi="Century Gothic"/>
          <w:b/>
          <w:bCs/>
        </w:rPr>
        <w:t xml:space="preserve"> </w:t>
      </w:r>
      <w:r w:rsidR="00B96E4A">
        <w:rPr>
          <w:rFonts w:ascii="Century Gothic" w:hAnsi="Century Gothic"/>
          <w:b/>
          <w:bCs/>
        </w:rPr>
        <w:t>- A</w:t>
      </w:r>
      <w:r w:rsidR="00600EB8" w:rsidRPr="00563A99">
        <w:rPr>
          <w:rFonts w:ascii="Century Gothic" w:hAnsi="Century Gothic"/>
          <w:b/>
          <w:bCs/>
        </w:rPr>
        <w:t>viso de responsabilidad</w:t>
      </w:r>
    </w:p>
    <w:p w14:paraId="0ACCF60B" w14:textId="5542B773" w:rsidR="00600EB8" w:rsidRPr="00563A99" w:rsidRDefault="00600EB8" w:rsidP="00600EB8">
      <w:pPr>
        <w:rPr>
          <w:rFonts w:ascii="Century Gothic" w:hAnsi="Century Gothic"/>
        </w:rPr>
      </w:pPr>
      <w:r w:rsidRPr="00E237E7">
        <w:rPr>
          <w:rFonts w:ascii="Century Gothic" w:hAnsi="Century Gothic"/>
          <w:b/>
          <w:bCs/>
        </w:rPr>
        <w:t>ETFNexo.com es un medio de información, análisis y educación financiera especializado en ETFs y otros instrumentos de inversión</w:t>
      </w:r>
      <w:r w:rsidRPr="00563A99">
        <w:rPr>
          <w:rFonts w:ascii="Century Gothic" w:hAnsi="Century Gothic"/>
        </w:rPr>
        <w:t>.</w:t>
      </w:r>
      <w:r w:rsidR="00E237E7">
        <w:rPr>
          <w:rFonts w:ascii="Century Gothic" w:hAnsi="Century Gothic"/>
        </w:rPr>
        <w:t xml:space="preserve"> </w:t>
      </w:r>
      <w:r w:rsidRPr="00563A99">
        <w:rPr>
          <w:rFonts w:ascii="Century Gothic" w:hAnsi="Century Gothic"/>
        </w:rPr>
        <w:t>Los contenidos publicados en este sitio web tienen exclusivamente carácter informativo, divulgativo y educativo y no constituyen, en ningún caso, asesoramiento financiero, recomendación de inversión, oferta, invitación o solicitud para comprar, vender o mantener valores, ETFs, fondos de inversión u otros instrumentos financieros, ni para adoptar una determinada estrategia de inversión.</w:t>
      </w:r>
    </w:p>
    <w:p w14:paraId="67EE04ED" w14:textId="374F7256" w:rsidR="00600EB8" w:rsidRPr="00563A99" w:rsidRDefault="00600EB8" w:rsidP="00600EB8">
      <w:pPr>
        <w:rPr>
          <w:rFonts w:ascii="Century Gothic" w:hAnsi="Century Gothic"/>
        </w:rPr>
      </w:pPr>
      <w:r w:rsidRPr="00563A99">
        <w:rPr>
          <w:rFonts w:ascii="Century Gothic" w:hAnsi="Century Gothic"/>
        </w:rPr>
        <w:t xml:space="preserve">La información, opiniones, análisis, ejemplos y estimaciones publicados por ETFNexo.com reflejan el criterio de sus autores en el momento de su elaboración y pueden cambiar en función de la evolución de los mercados, de las condiciones económicas y de cualquier otra circunstancia relevante. </w:t>
      </w:r>
      <w:r w:rsidRPr="00E237E7">
        <w:rPr>
          <w:rFonts w:ascii="Century Gothic" w:hAnsi="Century Gothic"/>
          <w:b/>
          <w:bCs/>
        </w:rPr>
        <w:t>ETFNexo.com no se compromete a actualizar de forma permanente los contenidos publicados ni garantiza que la información continúe siendo válida en una fecha posterior a su publicación</w:t>
      </w:r>
      <w:r w:rsidRPr="00563A99">
        <w:rPr>
          <w:rFonts w:ascii="Century Gothic" w:hAnsi="Century Gothic"/>
        </w:rPr>
        <w:t>.</w:t>
      </w:r>
    </w:p>
    <w:p w14:paraId="7DC3B80A" w14:textId="28889EA5" w:rsidR="00600EB8" w:rsidRPr="00563A99" w:rsidRDefault="00600EB8" w:rsidP="00600EB8">
      <w:pPr>
        <w:rPr>
          <w:rFonts w:ascii="Century Gothic" w:hAnsi="Century Gothic"/>
        </w:rPr>
      </w:pPr>
      <w:r w:rsidRPr="00563A99">
        <w:rPr>
          <w:rFonts w:ascii="Century Gothic" w:hAnsi="Century Gothic"/>
        </w:rPr>
        <w:t xml:space="preserve">Los contenidos pueden basarse tanto en información propia como en datos procedentes de fuentes públicas, proveedores de información, entidades financieras, gestoras, emisores y otros terceros. Aunque ETFNexo.com procura utilizar fuentes que considera fiables y mantener unos estándares razonables de calidad editorial, </w:t>
      </w:r>
      <w:r w:rsidRPr="00E237E7">
        <w:rPr>
          <w:rFonts w:ascii="Century Gothic" w:hAnsi="Century Gothic"/>
          <w:b/>
          <w:bCs/>
        </w:rPr>
        <w:t>no garantiza la exactitud, integridad, actualidad o fiabilidad de toda la información publicada</w:t>
      </w:r>
      <w:r w:rsidRPr="00563A99">
        <w:rPr>
          <w:rFonts w:ascii="Century Gothic" w:hAnsi="Century Gothic"/>
        </w:rPr>
        <w:t xml:space="preserve"> y no asume responsabilidad por posibles errores, omisiones o inexactitudes.</w:t>
      </w:r>
    </w:p>
    <w:p w14:paraId="19BD964A" w14:textId="23FACE93" w:rsidR="00600EB8" w:rsidRPr="00563A99" w:rsidRDefault="00600EB8" w:rsidP="00600EB8">
      <w:pPr>
        <w:rPr>
          <w:rFonts w:ascii="Century Gothic" w:hAnsi="Century Gothic"/>
        </w:rPr>
      </w:pPr>
      <w:r w:rsidRPr="00563A99">
        <w:rPr>
          <w:rFonts w:ascii="Century Gothic" w:hAnsi="Century Gothic"/>
        </w:rPr>
        <w:t>Las referencias a determinados ETFs, fondos, índices, compañías, gestoras, productos o estrategias de inversión no deben interpretarse como una recomendación de inversión ni como una garantía sobre su comportamiento futuro</w:t>
      </w:r>
      <w:r w:rsidR="00E237E7">
        <w:rPr>
          <w:rFonts w:ascii="Century Gothic" w:hAnsi="Century Gothic"/>
        </w:rPr>
        <w:t>.</w:t>
      </w:r>
      <w:r w:rsidRPr="00563A99">
        <w:rPr>
          <w:rFonts w:ascii="Century Gothic" w:hAnsi="Century Gothic"/>
        </w:rPr>
        <w:t xml:space="preserve"> </w:t>
      </w:r>
      <w:r w:rsidRPr="00E237E7">
        <w:rPr>
          <w:rFonts w:ascii="Century Gothic" w:hAnsi="Century Gothic"/>
          <w:b/>
          <w:bCs/>
        </w:rPr>
        <w:t>La inclusión de un producto o entidad en un contenido responde a criterios editoriales, informativos o educativos y no implica necesariamente una valoración positiva del mismo</w:t>
      </w:r>
      <w:r w:rsidRPr="00563A99">
        <w:rPr>
          <w:rFonts w:ascii="Century Gothic" w:hAnsi="Century Gothic"/>
        </w:rPr>
        <w:t>.</w:t>
      </w:r>
    </w:p>
    <w:p w14:paraId="11F4E75D" w14:textId="166E6EBF" w:rsidR="00600EB8" w:rsidRPr="00563A99" w:rsidRDefault="00600EB8" w:rsidP="00600EB8">
      <w:pPr>
        <w:rPr>
          <w:rFonts w:ascii="Century Gothic" w:hAnsi="Century Gothic"/>
        </w:rPr>
      </w:pPr>
      <w:r w:rsidRPr="00E237E7">
        <w:rPr>
          <w:rFonts w:ascii="Century Gothic" w:hAnsi="Century Gothic"/>
          <w:b/>
          <w:bCs/>
        </w:rPr>
        <w:t>La rentabilidad obtenida en el pasado no constituye un indicador fiable de resultados futuros</w:t>
      </w:r>
      <w:r w:rsidRPr="00563A99">
        <w:rPr>
          <w:rFonts w:ascii="Century Gothic" w:hAnsi="Century Gothic"/>
        </w:rPr>
        <w:t>. El valor de las inversiones puede subir o bajar y existe el riesgo de pérdida parcial o total del capital invertido. Algunos instrumentos financieros pueden implicar riesgos adicionales, como riesgo de mercado, divisa, liquidez, crédito, contraparte o seguimiento del índice, entre otros.</w:t>
      </w:r>
    </w:p>
    <w:p w14:paraId="2BDB2EB5" w14:textId="4C08E01A" w:rsidR="00600EB8" w:rsidRPr="00563A99" w:rsidRDefault="00600EB8" w:rsidP="00600EB8">
      <w:pPr>
        <w:rPr>
          <w:rFonts w:ascii="Century Gothic" w:hAnsi="Century Gothic"/>
        </w:rPr>
      </w:pPr>
      <w:r w:rsidRPr="00563A99">
        <w:rPr>
          <w:rFonts w:ascii="Century Gothic" w:hAnsi="Century Gothic"/>
        </w:rPr>
        <w:t>Antes de tomar cualquier decisión de inversión, el lector debe analizar su situación financiera, objetivos de inversión, horizonte temporal y tolerancia al riesgo y, cuando resulte necesario, consultar con un profesional financiero debidamente cualificado e independiente.</w:t>
      </w:r>
    </w:p>
    <w:p w14:paraId="77BDC222" w14:textId="4FE2AA88" w:rsidR="00600EB8" w:rsidRPr="00563A99" w:rsidRDefault="00600EB8" w:rsidP="00600EB8">
      <w:pPr>
        <w:rPr>
          <w:rFonts w:ascii="Century Gothic" w:hAnsi="Century Gothic"/>
        </w:rPr>
      </w:pPr>
      <w:r w:rsidRPr="00E237E7">
        <w:rPr>
          <w:rFonts w:ascii="Century Gothic" w:hAnsi="Century Gothic"/>
          <w:b/>
          <w:bCs/>
        </w:rPr>
        <w:t>El acceso y uso de la información publicada en ETFNexo.com queda bajo la responsabilidad exclusiva del usuario</w:t>
      </w:r>
      <w:r w:rsidRPr="00563A99">
        <w:rPr>
          <w:rFonts w:ascii="Century Gothic" w:hAnsi="Century Gothic"/>
        </w:rPr>
        <w:t>. ETFNexo.com, sus colaboradores, autores, directivos, empleados o agentes no serán responsables de las decisiones de inversión que puedan adoptarse basándose, directa o indirectamente, en los contenidos publicados en este sitio web.</w:t>
      </w:r>
    </w:p>
    <w:p w14:paraId="776886C4" w14:textId="33874BF4" w:rsidR="00600EB8" w:rsidRPr="00563A99" w:rsidRDefault="00600EB8" w:rsidP="00600EB8">
      <w:pPr>
        <w:rPr>
          <w:rFonts w:ascii="Century Gothic" w:hAnsi="Century Gothic"/>
        </w:rPr>
      </w:pPr>
      <w:r w:rsidRPr="00563A99">
        <w:rPr>
          <w:rFonts w:ascii="Century Gothic" w:hAnsi="Century Gothic"/>
        </w:rPr>
        <w:lastRenderedPageBreak/>
        <w:t xml:space="preserve">Asimismo, algunos contenidos de ETFNexo.com pueden incluir </w:t>
      </w:r>
      <w:r w:rsidRPr="00E237E7">
        <w:rPr>
          <w:rFonts w:ascii="Century Gothic" w:hAnsi="Century Gothic"/>
          <w:b/>
          <w:bCs/>
        </w:rPr>
        <w:t xml:space="preserve">contenidos patrocinados, colaboraciones comerciales, </w:t>
      </w:r>
      <w:proofErr w:type="spellStart"/>
      <w:r w:rsidRPr="00E237E7">
        <w:rPr>
          <w:rFonts w:ascii="Century Gothic" w:hAnsi="Century Gothic"/>
          <w:b/>
          <w:bCs/>
        </w:rPr>
        <w:t>branded</w:t>
      </w:r>
      <w:proofErr w:type="spellEnd"/>
      <w:r w:rsidRPr="00E237E7">
        <w:rPr>
          <w:rFonts w:ascii="Century Gothic" w:hAnsi="Century Gothic"/>
          <w:b/>
          <w:bCs/>
        </w:rPr>
        <w:t xml:space="preserve"> </w:t>
      </w:r>
      <w:proofErr w:type="spellStart"/>
      <w:r w:rsidRPr="00E237E7">
        <w:rPr>
          <w:rFonts w:ascii="Century Gothic" w:hAnsi="Century Gothic"/>
          <w:b/>
          <w:bCs/>
        </w:rPr>
        <w:t>content</w:t>
      </w:r>
      <w:proofErr w:type="spellEnd"/>
      <w:r w:rsidRPr="00E237E7">
        <w:rPr>
          <w:rFonts w:ascii="Century Gothic" w:hAnsi="Century Gothic"/>
          <w:b/>
          <w:bCs/>
        </w:rPr>
        <w:t>, enlaces de afiliación o información proporcionada por terceros</w:t>
      </w:r>
      <w:r w:rsidRPr="00563A99">
        <w:rPr>
          <w:rFonts w:ascii="Century Gothic" w:hAnsi="Century Gothic"/>
        </w:rPr>
        <w:t>. Cuando corresponda, este tipo de contenidos será identificado de forma clara de acuerdo con los criterios editoriales y la normativa aplicable. La existencia de una relación comercial no debe interpretarse como una recomendación personalizada de inversión.</w:t>
      </w:r>
    </w:p>
    <w:p w14:paraId="27529AB5" w14:textId="41F2621E" w:rsidR="00600EB8" w:rsidRPr="00563A99" w:rsidRDefault="00600EB8" w:rsidP="00600EB8">
      <w:pPr>
        <w:rPr>
          <w:rFonts w:ascii="Century Gothic" w:hAnsi="Century Gothic"/>
        </w:rPr>
      </w:pPr>
      <w:r w:rsidRPr="00563A99">
        <w:rPr>
          <w:rFonts w:ascii="Century Gothic" w:hAnsi="Century Gothic"/>
        </w:rPr>
        <w:t xml:space="preserve">Los contenidos de ETFNexo.com tienen como finalidad </w:t>
      </w:r>
      <w:r w:rsidRPr="00E237E7">
        <w:rPr>
          <w:rFonts w:ascii="Century Gothic" w:hAnsi="Century Gothic"/>
          <w:b/>
          <w:bCs/>
        </w:rPr>
        <w:t>ayudar al lector a comprender mejor el funcionamiento de los ETFs y de los mercados financieros</w:t>
      </w:r>
      <w:r w:rsidRPr="00563A99">
        <w:rPr>
          <w:rFonts w:ascii="Century Gothic" w:hAnsi="Century Gothic"/>
        </w:rPr>
        <w:t>, pero no sustituyen la lectura de la documentación legal y financiera correspondiente a cada producto, incluyendo, cuando resulte aplicable, su folleto, Documento de Datos Fundamentales (KID/KIID), información sobre riesgos y demás documentación oficial del emisor o proveedor.</w:t>
      </w:r>
    </w:p>
    <w:p w14:paraId="5470EA75" w14:textId="141FE21B" w:rsidR="002A1313" w:rsidRDefault="00600EB8" w:rsidP="00600EB8">
      <w:pPr>
        <w:pBdr>
          <w:bottom w:val="single" w:sz="6" w:space="1" w:color="auto"/>
        </w:pBdr>
        <w:rPr>
          <w:rFonts w:ascii="Century Gothic" w:hAnsi="Century Gothic"/>
        </w:rPr>
      </w:pPr>
      <w:r w:rsidRPr="00E237E7">
        <w:rPr>
          <w:rFonts w:ascii="Century Gothic" w:hAnsi="Century Gothic"/>
          <w:b/>
          <w:bCs/>
        </w:rPr>
        <w:t>La decisión de confiar en la información publicada en ETFNexo.com corresponde exclusivamente al lector</w:t>
      </w:r>
      <w:r w:rsidRPr="00563A99">
        <w:rPr>
          <w:rFonts w:ascii="Century Gothic" w:hAnsi="Century Gothic"/>
        </w:rPr>
        <w:t>. Cada inversor debe realizar su propia evaluación antes de tomar una decisión de inversión.</w:t>
      </w:r>
    </w:p>
    <w:p w14:paraId="76B38257" w14:textId="77777777" w:rsidR="007041D2" w:rsidRPr="00563A99" w:rsidRDefault="007041D2" w:rsidP="00600EB8">
      <w:pPr>
        <w:pBdr>
          <w:bottom w:val="single" w:sz="6" w:space="1" w:color="auto"/>
        </w:pBdr>
        <w:rPr>
          <w:rFonts w:ascii="Century Gothic" w:hAnsi="Century Gothic"/>
        </w:rPr>
      </w:pPr>
    </w:p>
    <w:p w14:paraId="5CA0BFE7" w14:textId="0A25137A" w:rsidR="00563A99" w:rsidRPr="00563A99" w:rsidRDefault="007041D2" w:rsidP="00600EB8">
      <w:pPr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>Corto para cada artículo:</w:t>
      </w:r>
      <w:r>
        <w:rPr>
          <w:rFonts w:ascii="Century Gothic" w:hAnsi="Century Gothic"/>
          <w:b/>
          <w:bCs/>
        </w:rPr>
        <w:br/>
      </w:r>
      <w:r>
        <w:rPr>
          <w:rFonts w:ascii="Century Gothic" w:hAnsi="Century Gothic"/>
          <w:b/>
          <w:bCs/>
        </w:rPr>
        <w:br/>
      </w:r>
      <w:r w:rsidR="00563A99" w:rsidRPr="00563A99">
        <w:rPr>
          <w:rFonts w:ascii="Century Gothic" w:hAnsi="Century Gothic"/>
          <w:b/>
          <w:bCs/>
        </w:rPr>
        <w:t>Aviso:</w:t>
      </w:r>
      <w:r w:rsidR="00563A99" w:rsidRPr="00563A99">
        <w:rPr>
          <w:rFonts w:ascii="Century Gothic" w:hAnsi="Century Gothic"/>
        </w:rPr>
        <w:t xml:space="preserve"> El contenido de este artículo tiene carácter exclusivamente informativo y educativo y no constituye asesoramiento ni recomendación de inversión. La rentabilidad pasada no garantiza resultados futuros y toda inversión implica riesgos, incluida la posible pérdida de capital. Antes de invertir, consulte la documentación oficial del producto y valore su situación financiera y perfil de riesgo.</w:t>
      </w:r>
    </w:p>
    <w:sectPr w:rsidR="00563A99" w:rsidRPr="00563A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5B"/>
    <w:rsid w:val="00057279"/>
    <w:rsid w:val="002A1313"/>
    <w:rsid w:val="00513EC2"/>
    <w:rsid w:val="00563A99"/>
    <w:rsid w:val="00600EB8"/>
    <w:rsid w:val="007041D2"/>
    <w:rsid w:val="00791F5B"/>
    <w:rsid w:val="00A12256"/>
    <w:rsid w:val="00B70AB2"/>
    <w:rsid w:val="00B96E4A"/>
    <w:rsid w:val="00BC365B"/>
    <w:rsid w:val="00E2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21D00"/>
  <w15:chartTrackingRefBased/>
  <w15:docId w15:val="{97F436BF-C551-4EFE-871C-C749375DA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91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91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680</Words>
  <Characters>3744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Ramirez Ramirez</dc:creator>
  <cp:keywords/>
  <dc:description/>
  <cp:lastModifiedBy>Ricardo Ramirez Ramirez</cp:lastModifiedBy>
  <cp:revision>7</cp:revision>
  <dcterms:created xsi:type="dcterms:W3CDTF">2026-08-31T11:03:00Z</dcterms:created>
  <dcterms:modified xsi:type="dcterms:W3CDTF">2026-09-16T12:02:00Z</dcterms:modified>
</cp:coreProperties>
</file>