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5F"/>
          <w:sz w:val="48"/>
        </w:rPr>
        <w:t>How to get application logs using the Anypoint Platform APIs</w:t>
      </w:r>
    </w:p>
    <w:p>
      <w:pPr>
        <w:spacing w:after="80"/>
        <w:pBdr>
          <w:bottom w:val="single" w:sz="12" w:space="1" w:color="3B82C4"/>
        </w:pBdr>
      </w:pPr>
      <w:r>
        <w:rPr>
          <w:i/>
          <w:color w:val="666666"/>
          <w:sz w:val="24"/>
        </w:rPr>
        <w:t>A practical, Postman-based walkthrough for technical readers</w:t>
      </w:r>
    </w:p>
    <w:p>
      <w:pPr>
        <w:spacing w:before="400" w:after="160"/>
        <w:pBdr>
          <w:bottom w:val="single" w:sz="8" w:space="1" w:color="3B82C4"/>
        </w:pBdr>
      </w:pPr>
      <w:r>
        <w:rPr>
          <w:rFonts w:ascii="Calibri" w:hAnsi="Calibri"/>
          <w:b/>
          <w:color w:val="1F3A5F"/>
          <w:sz w:val="40"/>
        </w:rPr>
        <w:t>Context</w:t>
      </w:r>
    </w:p>
    <w:p>
      <w:pPr>
        <w:spacing w:after="120" w:line="300" w:lineRule="auto"/>
      </w:pPr>
      <w:r>
        <w:rPr>
          <w:b w:val="0"/>
          <w:i w:val="0"/>
          <w:color w:val="333333"/>
          <w:sz w:val="22"/>
        </w:rPr>
        <w:t>Anypoint Platform comes with built-in options for monitoring and log search. Anypoint Monitoring (Advanced) provides full log search across applications in a Business Group, with filters, time-range selection, saved queries, and dashboards. Runtime Manager exposes a per-deployment log search and download in the UI. For most interactive troubleshooting, those two tools are enough.</w:t>
      </w:r>
    </w:p>
    <w:p>
      <w:pPr>
        <w:spacing w:after="120" w:line="300" w:lineRule="auto"/>
      </w:pPr>
      <w:r>
        <w:rPr>
          <w:b w:val="0"/>
          <w:i w:val="0"/>
          <w:color w:val="333333"/>
          <w:sz w:val="22"/>
        </w:rPr>
        <w:t>However, the platform applies a log retention policy. After a deployment's retention window passes, records are no longer available through either the UI or the APIs. The documented limits are:</w:t>
      </w:r>
    </w:p>
    <w:tbl>
      <w:tblPr>
        <w:tblW w:type="auto" w:w="0"/>
        <w:tblLayout w:type="autofit"/>
        <w:tblLook w:firstColumn="1" w:firstRow="1" w:lastColumn="0" w:lastRow="0" w:noHBand="0" w:noVBand="1" w:val="04A0"/>
      </w:tblPr>
      <w:tblGrid>
        <w:gridCol w:w="4759"/>
        <w:gridCol w:w="4759"/>
      </w:tblGrid>
      <w:tr>
        <w:tc>
          <w:tcPr>
            <w:tcW w:type="dxa" w:w="2268"/>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Runtime</w:t>
            </w:r>
          </w:p>
        </w:tc>
        <w:tc>
          <w:tcPr>
            <w:tcW w:type="dxa" w:w="7143"/>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Retention policy</w:t>
            </w:r>
          </w:p>
        </w:tc>
      </w:tr>
      <w:tr>
        <w:tc>
          <w:tcPr>
            <w:tcW w:type="dxa" w:w="2268"/>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CloudHub 1.0</w:t>
            </w:r>
          </w:p>
        </w:tc>
        <w:tc>
          <w:tcPr>
            <w:tcW w:type="dxa" w:w="7143"/>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Each application retains the last 100 MB of logs or 30 days of data, whichever comes first. Excess data is purged automatically, oldest first. Individual log files larger than 25 MB are not viewable in the UI.</w:t>
            </w:r>
          </w:p>
        </w:tc>
      </w:tr>
      <w:tr>
        <w:tc>
          <w:tcPr>
            <w:tcW w:type="dxa" w:w="2268"/>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CloudHub 2.0</w:t>
            </w:r>
          </w:p>
        </w:tc>
        <w:tc>
          <w:tcPr>
            <w:tcW w:type="dxa" w:w="7143"/>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Each deployment retains application logs for 30 days. After that period, records are no longer available through either the APIs or the UI.</w:t>
            </w:r>
          </w:p>
        </w:tc>
      </w:tr>
    </w:tbl>
    <w:p>
      <w:pPr>
        <w:spacing w:after="40"/>
      </w:pPr>
    </w:p>
    <w:p>
      <w:pPr>
        <w:spacing w:after="120" w:line="300" w:lineRule="auto"/>
      </w:pPr>
      <w:r>
        <w:rPr>
          <w:b w:val="0"/>
          <w:i w:val="0"/>
          <w:color w:val="333333"/>
          <w:sz w:val="22"/>
        </w:rPr>
        <w:t>Because of those limits, the best practice for large-scale enterprises running MuleSoft in production is log forwarding. Anypoint Platform supports forwarding application logs in real time to dedicated observability platforms such as Elastic, Datadog, Splunk, Sumo Logic, and New Relic. Once forwarding is configured, logs are searchable, alertable, and retained for as long as the destination tool keeps them, independently of Anypoint's own retention window.</w:t>
      </w:r>
    </w:p>
    <w:p>
      <w:pPr>
        <w:spacing w:after="120" w:line="300" w:lineRule="auto"/>
      </w:pPr>
      <w:r>
        <w:rPr>
          <w:b w:val="0"/>
          <w:i w:val="0"/>
          <w:color w:val="333333"/>
          <w:sz w:val="22"/>
        </w:rPr>
        <w:t>Even with forwarding in place, there are use cases where you need to pull logs programmatically through the platform APIs. Common examples include non-production environments without forwarding configured, ad-hoc backfills outside what the UI lets you export, automated archival or audit jobs, and one-off scripts where standing up a forwarder is overkill.</w:t>
      </w:r>
    </w:p>
    <w:p>
      <w:pPr>
        <w:spacing w:after="120" w:line="300" w:lineRule="auto"/>
      </w:pPr>
      <w:r>
        <w:rPr>
          <w:b w:val="0"/>
          <w:i w:val="0"/>
          <w:color w:val="333333"/>
          <w:sz w:val="22"/>
        </w:rPr>
        <w:t>This document covers how to do that: authenticate against the Anypoint Platform, discover the IDs that identify your environment and your application, run a log search with date and level filters, page through large result sets cleanly, and download the entire raw log file when needed. All examples use Postman.</w:t>
      </w:r>
    </w:p>
    <w:p>
      <w:pPr>
        <w:spacing w:before="400" w:after="160"/>
        <w:pBdr>
          <w:bottom w:val="single" w:sz="8" w:space="1" w:color="3B82C4"/>
        </w:pBdr>
      </w:pPr>
      <w:r>
        <w:rPr>
          <w:rFonts w:ascii="Calibri" w:hAnsi="Calibri"/>
          <w:b/>
          <w:color w:val="1F3A5F"/>
          <w:sz w:val="40"/>
        </w:rPr>
        <w:t>Prerequisites</w:t>
      </w:r>
    </w:p>
    <w:p>
      <w:pPr>
        <w:spacing w:after="120" w:line="300" w:lineRule="auto"/>
      </w:pPr>
      <w:r>
        <w:rPr>
          <w:b w:val="0"/>
          <w:i w:val="0"/>
          <w:color w:val="333333"/>
          <w:sz w:val="22"/>
        </w:rPr>
        <w:t>You do not need to know anything about your platform yet. You just need a few values, and they all come from your Anypoint Platform administrator. Send them this section if it helps.</w:t>
      </w:r>
    </w:p>
    <w:p>
      <w:pPr>
        <w:spacing w:before="200" w:after="40"/>
      </w:pPr>
      <w:r>
        <w:rPr>
          <w:rFonts w:ascii="Calibri" w:hAnsi="Calibri"/>
          <w:b/>
          <w:color w:val="1F3A5F"/>
          <w:sz w:val="24"/>
        </w:rPr>
        <w:t>Connected App credentials</w:t>
      </w:r>
    </w:p>
    <w:p>
      <w:pPr>
        <w:spacing w:after="120" w:line="300" w:lineRule="auto"/>
      </w:pPr>
      <w:r>
        <w:rPr>
          <w:b w:val="0"/>
          <w:i w:val="0"/>
          <w:color w:val="333333"/>
          <w:sz w:val="22"/>
        </w:rPr>
        <w:t>Your administrator will create a Connected App on your behalf. This is how machines authenticate to MuleSoft. The administrator will give you two values: a Client ID (a long hexadecimal string) and a Client Secret (treat this like a password).</w:t>
      </w:r>
    </w:p>
    <w:p>
      <w:pPr>
        <w:spacing w:after="120" w:line="300" w:lineRule="auto"/>
      </w:pPr>
      <w:r>
        <w:rPr>
          <w:b w:val="0"/>
          <w:i w:val="0"/>
          <w:color w:val="333333"/>
          <w:sz w:val="22"/>
        </w:rPr>
        <w:t>Ask your administrator to grant the Connected App the right permissions to read Environments, Logs, and Applications on the environment you need. Read-only is enough for everything in this document. Write or deploy permissions are not required and should not be granted.</w:t>
      </w:r>
    </w:p>
    <w:p>
      <w:pPr>
        <w:spacing w:before="200" w:after="40"/>
      </w:pPr>
      <w:r>
        <w:rPr>
          <w:rFonts w:ascii="Calibri" w:hAnsi="Calibri"/>
          <w:b/>
          <w:color w:val="1F3A5F"/>
          <w:sz w:val="24"/>
        </w:rPr>
        <w:t>Organization ID</w:t>
      </w:r>
    </w:p>
    <w:p>
      <w:pPr>
        <w:spacing w:after="120" w:line="300" w:lineRule="auto"/>
      </w:pPr>
      <w:r>
        <w:rPr>
          <w:b w:val="0"/>
          <w:i w:val="0"/>
          <w:color w:val="333333"/>
          <w:sz w:val="22"/>
        </w:rPr>
        <w:t>This is the UUID of your Business Group. Ask your administrator for it. It looks like 7fac6f25-f41f-4050-8828-42443645bc0c.</w:t>
      </w:r>
    </w:p>
    <w:p>
      <w:pPr>
        <w:spacing w:before="200" w:after="40"/>
      </w:pPr>
      <w:r>
        <w:rPr>
          <w:rFonts w:ascii="Calibri" w:hAnsi="Calibri"/>
          <w:b/>
          <w:color w:val="1F3A5F"/>
          <w:sz w:val="24"/>
        </w:rPr>
        <w:t>Region</w:t>
      </w:r>
    </w:p>
    <w:p>
      <w:pPr>
        <w:spacing w:after="120" w:line="300" w:lineRule="auto"/>
      </w:pPr>
      <w:r>
        <w:rPr>
          <w:b w:val="0"/>
          <w:i w:val="0"/>
          <w:color w:val="333333"/>
          <w:sz w:val="22"/>
        </w:rPr>
        <w:t>Anypoint Platform is hosted in several regions. The host you use in every URL depends on which one. If you log into the platform through eu1.anypoint.mulesoft.com, use the EU host throughout this guide. If you log in through plain anypoint.mulesoft.com, use the US host. The OAuth tokens are region-bound, so mixing regions returns 401.</w:t>
      </w:r>
    </w:p>
    <w:tbl>
      <w:tblPr>
        <w:tblW w:type="auto" w:w="0"/>
        <w:tblLayout w:type="autofit"/>
        <w:tblLook w:firstColumn="1" w:firstRow="1" w:lastColumn="0" w:lastRow="0" w:noHBand="0" w:noVBand="1" w:val="04A0"/>
      </w:tblPr>
      <w:tblGrid>
        <w:gridCol w:w="4759"/>
        <w:gridCol w:w="4759"/>
      </w:tblGrid>
      <w:tr>
        <w:tc>
          <w:tcPr>
            <w:tcW w:type="dxa" w:w="2835"/>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Region</w:t>
            </w:r>
          </w:p>
        </w:tc>
        <w:tc>
          <w:tcPr>
            <w:tcW w:type="dxa" w:w="6576"/>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Base host</w:t>
            </w:r>
          </w:p>
        </w:tc>
      </w:tr>
      <w:tr>
        <w:tc>
          <w:tcPr>
            <w:tcW w:type="dxa" w:w="2835"/>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United States</w:t>
            </w:r>
          </w:p>
        </w:tc>
        <w:tc>
          <w:tcPr>
            <w:tcW w:type="dxa" w:w="6576"/>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https://anypoint.mulesoft.com</w:t>
            </w:r>
          </w:p>
        </w:tc>
      </w:tr>
      <w:tr>
        <w:tc>
          <w:tcPr>
            <w:tcW w:type="dxa" w:w="2835"/>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European Union</w:t>
            </w:r>
          </w:p>
        </w:tc>
        <w:tc>
          <w:tcPr>
            <w:tcW w:type="dxa" w:w="6576"/>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https://eu1.anypoint.mulesoft.com</w:t>
            </w:r>
          </w:p>
        </w:tc>
      </w:tr>
    </w:tbl>
    <w:p>
      <w:pPr>
        <w:spacing w:after="40"/>
      </w:pPr>
    </w:p>
    <w:p>
      <w:pPr>
        <w:spacing w:after="120" w:line="300" w:lineRule="auto"/>
      </w:pPr>
      <w:r>
        <w:rPr>
          <w:b w:val="0"/>
          <w:i w:val="0"/>
          <w:color w:val="333333"/>
          <w:sz w:val="22"/>
        </w:rPr>
        <w:t>All examples in this document use the EU host. Substitute your region's host throughout.</w:t>
      </w:r>
    </w:p>
    <w:tbl>
      <w:tblPr>
        <w:tblW w:type="auto" w:w="0"/>
        <w:tblLook w:firstColumn="1" w:firstRow="1" w:lastColumn="0" w:lastRow="0" w:noHBand="0" w:noVBand="1" w:val="04A0"/>
      </w:tblPr>
      <w:tblGrid>
        <w:gridCol w:w="9518"/>
      </w:tblGrid>
      <w:tr>
        <w:tc>
          <w:tcPr>
            <w:tcW w:type="dxa" w:w="9518"/>
            <w:shd w:val="clear" w:color="auto" w:fill="EAF1F8"/>
            <w:tcBorders>
              <w:left w:val="single" w:sz="18" w:color="3B82C4"/>
              <w:top w:val="single" w:sz="4" w:color="D6DCE4"/>
              <w:bottom w:val="single" w:sz="4" w:color="D6DCE4"/>
              <w:right w:val="single" w:sz="4" w:color="D6DCE4"/>
            </w:tcBorders>
          </w:tcPr>
          <w:p>
            <w:pPr>
              <w:spacing w:after="40"/>
            </w:pPr>
            <w:r/>
            <w:r>
              <w:rPr>
                <w:b/>
                <w:color w:val="1F3A5F"/>
                <w:sz w:val="22"/>
              </w:rPr>
              <w:t>What the administrator provides</w:t>
            </w:r>
          </w:p>
          <w:p>
            <w:pPr>
              <w:spacing w:after="0"/>
            </w:pPr>
            <w:r>
              <w:rPr>
                <w:color w:val="333333"/>
                <w:sz w:val="21"/>
              </w:rPr>
              <w:t>Client ID, Client Secret, Organization ID, and the region. The Environment ID, Deployment ID, and Spec ID are all discovered through the API in the steps below.</w:t>
            </w:r>
          </w:p>
        </w:tc>
      </w:tr>
    </w:tbl>
    <w:p>
      <w:pPr>
        <w:spacing w:after="40"/>
      </w:pPr>
    </w:p>
    <w:p>
      <w:pPr>
        <w:spacing w:before="400" w:after="160"/>
        <w:pBdr>
          <w:bottom w:val="single" w:sz="8" w:space="1" w:color="3B82C4"/>
        </w:pBdr>
      </w:pPr>
      <w:r>
        <w:rPr>
          <w:rFonts w:ascii="Calibri" w:hAnsi="Calibri"/>
          <w:b/>
          <w:color w:val="1F3A5F"/>
          <w:sz w:val="40"/>
        </w:rPr>
        <w:t>Set up a Postman collection</w:t>
      </w:r>
    </w:p>
    <w:p>
      <w:pPr>
        <w:spacing w:after="120" w:line="300" w:lineRule="auto"/>
      </w:pPr>
      <w:r>
        <w:rPr>
          <w:b w:val="0"/>
          <w:i w:val="0"/>
          <w:color w:val="333333"/>
          <w:sz w:val="22"/>
        </w:rPr>
        <w:t>Before running anything, create a new collection in Postman to keep all of these requests together. A clean setup makes the rest of this document easy to follow and easy to reuse.</w:t>
      </w:r>
    </w:p>
    <w:p>
      <w:pPr>
        <w:pStyle w:val="ListNumber"/>
        <w:spacing w:after="40" w:line="288" w:lineRule="auto"/>
      </w:pPr>
      <w:r>
        <w:rPr>
          <w:color w:val="333333"/>
          <w:sz w:val="22"/>
        </w:rPr>
        <w:t>In Postman, click Collections in the left sidebar, then New, and choose Collection. Name it Anypoint Platform Logs.</w:t>
      </w:r>
    </w:p>
    <w:p>
      <w:pPr>
        <w:pStyle w:val="ListNumber"/>
        <w:spacing w:after="40" w:line="288" w:lineRule="auto"/>
      </w:pPr>
      <w:r>
        <w:rPr>
          <w:color w:val="333333"/>
          <w:sz w:val="22"/>
        </w:rPr>
        <w:t>Open the collection, go to the Variables tab, and add the variables in the table below. Set the same value in both the Initial value and Current value columns.</w:t>
      </w:r>
    </w:p>
    <w:p>
      <w:pPr>
        <w:pStyle w:val="ListNumber"/>
        <w:spacing w:after="40" w:line="288" w:lineRule="auto"/>
      </w:pPr>
      <w:r>
        <w:rPr>
          <w:color w:val="333333"/>
          <w:sz w:val="22"/>
        </w:rPr>
        <w:t>Save the collection. Every request you create in the next steps should live inside this collection so it inherits the variables.</w:t>
      </w:r>
    </w:p>
    <w:tbl>
      <w:tblPr>
        <w:tblW w:type="auto" w:w="0"/>
        <w:tblLayout w:type="autofit"/>
        <w:tblLook w:firstColumn="1" w:firstRow="1" w:lastColumn="0" w:lastRow="0" w:noHBand="0" w:noVBand="1" w:val="04A0"/>
      </w:tblPr>
      <w:tblGrid>
        <w:gridCol w:w="3173"/>
        <w:gridCol w:w="3173"/>
        <w:gridCol w:w="3173"/>
      </w:tblGrid>
      <w:tr>
        <w:tc>
          <w:tcPr>
            <w:tcW w:type="dxa" w:w="1928"/>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Variable</w:t>
            </w:r>
          </w:p>
        </w:tc>
        <w:tc>
          <w:tcPr>
            <w:tcW w:type="dxa" w:w="3402"/>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Example value</w:t>
            </w:r>
          </w:p>
        </w:tc>
        <w:tc>
          <w:tcPr>
            <w:tcW w:type="dxa" w:w="4082"/>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What it is</w:t>
            </w:r>
          </w:p>
        </w:tc>
      </w:tr>
      <w:tr>
        <w:tc>
          <w:tcPr>
            <w:tcW w:type="dxa" w:w="1928"/>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host</w:t>
            </w:r>
          </w:p>
        </w:tc>
        <w:tc>
          <w:tcPr>
            <w:tcW w:type="dxa" w:w="3402"/>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eu1.anypoint.mulesoft.com</w:t>
            </w:r>
          </w:p>
        </w:tc>
        <w:tc>
          <w:tcPr>
            <w:tcW w:type="dxa" w:w="4082"/>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Anypoint Platform host for your region.</w:t>
            </w:r>
          </w:p>
        </w:tc>
      </w:tr>
      <w:tr>
        <w:tc>
          <w:tcPr>
            <w:tcW w:type="dxa" w:w="1928"/>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client_id</w:t>
            </w:r>
          </w:p>
        </w:tc>
        <w:tc>
          <w:tcPr>
            <w:tcW w:type="dxa" w:w="3402"/>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3e1bf8ce12ba42cbaeb4b32bdaab9feb</w:t>
            </w:r>
          </w:p>
        </w:tc>
        <w:tc>
          <w:tcPr>
            <w:tcW w:type="dxa" w:w="4082"/>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From your administrator.</w:t>
            </w:r>
          </w:p>
        </w:tc>
      </w:tr>
      <w:tr>
        <w:tc>
          <w:tcPr>
            <w:tcW w:type="dxa" w:w="1928"/>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client_secret</w:t>
            </w:r>
          </w:p>
        </w:tc>
        <w:tc>
          <w:tcPr>
            <w:tcW w:type="dxa" w:w="3402"/>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b3A45eCef243445CbEb8EcCCb75f4550</w:t>
            </w:r>
          </w:p>
        </w:tc>
        <w:tc>
          <w:tcPr>
            <w:tcW w:type="dxa" w:w="4082"/>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From your administrator. Keep this private.</w:t>
            </w:r>
          </w:p>
        </w:tc>
      </w:tr>
      <w:tr>
        <w:tc>
          <w:tcPr>
            <w:tcW w:type="dxa" w:w="1928"/>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organization_id</w:t>
            </w:r>
          </w:p>
        </w:tc>
        <w:tc>
          <w:tcPr>
            <w:tcW w:type="dxa" w:w="3402"/>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7fac6f25-f41f-4050-8828-42443645bc0c</w:t>
            </w:r>
          </w:p>
        </w:tc>
        <w:tc>
          <w:tcPr>
            <w:tcW w:type="dxa" w:w="4082"/>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From your administrator.</w:t>
            </w:r>
          </w:p>
        </w:tc>
      </w:tr>
      <w:tr>
        <w:tc>
          <w:tcPr>
            <w:tcW w:type="dxa" w:w="1928"/>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access_token</w:t>
            </w:r>
          </w:p>
        </w:tc>
        <w:tc>
          <w:tcPr>
            <w:tcW w:type="dxa" w:w="3402"/>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(leave blank for now)</w:t>
            </w:r>
          </w:p>
        </w:tc>
        <w:tc>
          <w:tcPr>
            <w:tcW w:type="dxa" w:w="4082"/>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Will be filled in by Step 1.</w:t>
            </w:r>
          </w:p>
        </w:tc>
      </w:tr>
      <w:tr>
        <w:tc>
          <w:tcPr>
            <w:tcW w:type="dxa" w:w="1928"/>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environment_id</w:t>
            </w:r>
          </w:p>
        </w:tc>
        <w:tc>
          <w:tcPr>
            <w:tcW w:type="dxa" w:w="3402"/>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(leave blank for now)</w:t>
            </w:r>
          </w:p>
        </w:tc>
        <w:tc>
          <w:tcPr>
            <w:tcW w:type="dxa" w:w="4082"/>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Will be discovered in Step 2.</w:t>
            </w:r>
          </w:p>
        </w:tc>
      </w:tr>
      <w:tr>
        <w:tc>
          <w:tcPr>
            <w:tcW w:type="dxa" w:w="1928"/>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deployment_id</w:t>
            </w:r>
          </w:p>
        </w:tc>
        <w:tc>
          <w:tcPr>
            <w:tcW w:type="dxa" w:w="3402"/>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(leave blank for now)</w:t>
            </w:r>
          </w:p>
        </w:tc>
        <w:tc>
          <w:tcPr>
            <w:tcW w:type="dxa" w:w="4082"/>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Will be discovered in Step 3.</w:t>
            </w:r>
          </w:p>
        </w:tc>
      </w:tr>
      <w:tr>
        <w:tc>
          <w:tcPr>
            <w:tcW w:type="dxa" w:w="1928"/>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spec_id</w:t>
            </w:r>
          </w:p>
        </w:tc>
        <w:tc>
          <w:tcPr>
            <w:tcW w:type="dxa" w:w="3402"/>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(leave blank for now)</w:t>
            </w:r>
          </w:p>
        </w:tc>
        <w:tc>
          <w:tcPr>
            <w:tcW w:type="dxa" w:w="4082"/>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Will be discovered in Step 4.</w:t>
            </w:r>
          </w:p>
        </w:tc>
      </w:tr>
    </w:tbl>
    <w:p>
      <w:pPr>
        <w:spacing w:after="40"/>
      </w:pPr>
    </w:p>
    <w:p>
      <w:pPr>
        <w:spacing w:after="120" w:line="300" w:lineRule="auto"/>
      </w:pPr>
      <w:r>
        <w:rPr>
          <w:b w:val="0"/>
          <w:i w:val="0"/>
          <w:color w:val="333333"/>
          <w:sz w:val="22"/>
        </w:rPr>
        <w:t>From this point on, every URL in the document is written using these variables. Postman expands {{variable_name}} when it sends the request, so you only have to type the URL once, and you can switch environments simply by changing the values.</w:t>
      </w:r>
    </w:p>
    <w:p>
      <w:pPr>
        <w:spacing w:before="400" w:after="160"/>
        <w:pBdr>
          <w:bottom w:val="single" w:sz="8" w:space="1" w:color="3B82C4"/>
        </w:pBdr>
      </w:pPr>
      <w:r>
        <w:rPr>
          <w:rFonts w:ascii="Calibri" w:hAnsi="Calibri"/>
          <w:b/>
          <w:color w:val="1F3A5F"/>
          <w:sz w:val="40"/>
        </w:rPr>
        <w:t>Step 1: Get an access token</w:t>
      </w:r>
    </w:p>
    <w:p>
      <w:pPr>
        <w:spacing w:after="120" w:line="300" w:lineRule="auto"/>
      </w:pPr>
      <w:r>
        <w:rPr>
          <w:b w:val="0"/>
          <w:i w:val="0"/>
          <w:color w:val="333333"/>
          <w:sz w:val="22"/>
        </w:rPr>
        <w:t>Every call to the Anypoint Platform requires an access token. You exchange your Client ID and Client Secret for a token using the OAuth 2.0 client_credentials grant. The token is valid for about an hour.</w:t>
      </w:r>
    </w:p>
    <w:p>
      <w:pPr>
        <w:spacing w:after="120" w:line="300" w:lineRule="auto"/>
      </w:pPr>
      <w:r>
        <w:rPr>
          <w:b w:val="0"/>
          <w:i w:val="0"/>
          <w:color w:val="333333"/>
          <w:sz w:val="22"/>
        </w:rPr>
        <w:t>Create a new request inside the Anypoint Platform Logs collection and configure it as follows.</w:t>
      </w:r>
    </w:p>
    <w:tbl>
      <w:tblPr>
        <w:tblW w:type="auto" w:w="0"/>
        <w:tblLayout w:type="autofit"/>
        <w:tblLook w:firstColumn="1" w:firstRow="1" w:lastColumn="0" w:lastRow="0" w:noHBand="0" w:noVBand="1" w:val="04A0"/>
      </w:tblPr>
      <w:tblGrid>
        <w:gridCol w:w="4759"/>
        <w:gridCol w:w="4759"/>
      </w:tblGrid>
      <w:tr>
        <w:tc>
          <w:tcPr>
            <w:tcW w:type="dxa" w:w="2041"/>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Field</w:t>
            </w:r>
          </w:p>
        </w:tc>
        <w:tc>
          <w:tcPr>
            <w:tcW w:type="dxa" w:w="7370"/>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Value</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Method</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POST</w:t>
            </w:r>
          </w:p>
        </w:tc>
      </w:tr>
      <w:tr>
        <w:tc>
          <w:tcPr>
            <w:tcW w:type="dxa" w:w="2041"/>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URL</w:t>
            </w:r>
          </w:p>
        </w:tc>
        <w:tc>
          <w:tcPr>
            <w:tcW w:type="dxa" w:w="7370"/>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https://{{host}}/accounts/api/v2/oauth2/token</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Headers</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Content-Type: application/json</w:t>
            </w:r>
          </w:p>
        </w:tc>
      </w:tr>
      <w:tr>
        <w:tc>
          <w:tcPr>
            <w:tcW w:type="dxa" w:w="2041"/>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Body type</w:t>
            </w:r>
          </w:p>
        </w:tc>
        <w:tc>
          <w:tcPr>
            <w:tcW w:type="dxa" w:w="7370"/>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raw, then JSON</w:t>
            </w:r>
          </w:p>
        </w:tc>
      </w:tr>
    </w:tbl>
    <w:p>
      <w:pPr>
        <w:spacing w:after="40"/>
      </w:pPr>
    </w:p>
    <w:p>
      <w:pPr>
        <w:spacing w:after="120" w:line="300" w:lineRule="auto"/>
      </w:pPr>
      <w:r>
        <w:rPr>
          <w:b w:val="0"/>
          <w:i w:val="0"/>
          <w:color w:val="333333"/>
          <w:sz w:val="22"/>
        </w:rPr>
        <w:t>Body content:</w:t>
      </w:r>
    </w:p>
    <w:tbl>
      <w:tblPr>
        <w:tblW w:type="auto" w:w="0"/>
        <w:tblLayout w:type="autofit"/>
        <w:tblLook w:firstColumn="1" w:firstRow="1" w:lastColumn="0" w:lastRow="0" w:noHBand="0" w:noVBand="1" w:val="04A0"/>
      </w:tblPr>
      <w:tblGrid>
        <w:gridCol w:w="9518"/>
      </w:tblGrid>
      <w:tr>
        <w:tc>
          <w:tcPr>
            <w:tcW w:type="dxa" w:w="9518"/>
            <w:shd w:val="clear" w:color="auto" w:fill="F5F7FA"/>
            <w:tcBorders>
              <w:top w:val="single" w:sz="4" w:color="D6DCE4"/>
              <w:left w:val="single" w:sz="4" w:color="D6DCE4"/>
              <w:bottom w:val="single" w:sz="4" w:color="D6DCE4"/>
              <w:right w:val="single" w:sz="4" w:color="D6DCE4"/>
            </w:tcBorders>
          </w:tcPr>
          <w:p>
            <w:pPr>
              <w:spacing w:after="0" w:before="0"/>
            </w:pPr>
            <w:r/>
            <w:r>
              <w:rPr>
                <w:rFonts w:ascii="Consolas" w:hAnsi="Consolas"/>
                <w:color w:val="333333"/>
                <w:sz w:val="19"/>
              </w:rPr>
              <w:t>{</w:t>
            </w:r>
          </w:p>
          <w:p>
            <w:pPr>
              <w:spacing w:after="0" w:before="0"/>
            </w:pPr>
            <w:r>
              <w:rPr>
                <w:rFonts w:ascii="Consolas" w:hAnsi="Consolas"/>
                <w:color w:val="333333"/>
                <w:sz w:val="19"/>
              </w:rPr>
              <w:t xml:space="preserve">  "grant_type": "client_credentials",</w:t>
            </w:r>
          </w:p>
          <w:p>
            <w:pPr>
              <w:spacing w:after="0" w:before="0"/>
            </w:pPr>
            <w:r>
              <w:rPr>
                <w:rFonts w:ascii="Consolas" w:hAnsi="Consolas"/>
                <w:color w:val="333333"/>
                <w:sz w:val="19"/>
              </w:rPr>
              <w:t xml:space="preserve">  "client_id": "{{client_id}}",</w:t>
            </w:r>
          </w:p>
          <w:p>
            <w:pPr>
              <w:spacing w:after="0" w:before="0"/>
            </w:pPr>
            <w:r>
              <w:rPr>
                <w:rFonts w:ascii="Consolas" w:hAnsi="Consolas"/>
                <w:color w:val="333333"/>
                <w:sz w:val="19"/>
              </w:rPr>
              <w:t xml:space="preserve">  "client_secret": "{{client_secret}}"</w:t>
            </w:r>
          </w:p>
          <w:p>
            <w:pPr>
              <w:spacing w:after="0" w:before="0"/>
            </w:pPr>
            <w:r>
              <w:rPr>
                <w:rFonts w:ascii="Consolas" w:hAnsi="Consolas"/>
                <w:color w:val="333333"/>
                <w:sz w:val="19"/>
              </w:rPr>
              <w:t>}</w:t>
            </w:r>
          </w:p>
        </w:tc>
      </w:tr>
    </w:tbl>
    <w:p>
      <w:pPr>
        <w:spacing w:after="80"/>
      </w:pPr>
    </w:p>
    <w:p>
      <w:pPr>
        <w:spacing w:after="120" w:line="300" w:lineRule="auto"/>
      </w:pPr>
      <w:r>
        <w:rPr>
          <w:b w:val="0"/>
          <w:i w:val="0"/>
          <w:color w:val="333333"/>
          <w:sz w:val="22"/>
        </w:rPr>
        <w:t>Click Send. The response looks like this:</w:t>
      </w:r>
    </w:p>
    <w:tbl>
      <w:tblPr>
        <w:tblW w:type="auto" w:w="0"/>
        <w:tblLayout w:type="autofit"/>
        <w:tblLook w:firstColumn="1" w:firstRow="1" w:lastColumn="0" w:lastRow="0" w:noHBand="0" w:noVBand="1" w:val="04A0"/>
      </w:tblPr>
      <w:tblGrid>
        <w:gridCol w:w="9518"/>
      </w:tblGrid>
      <w:tr>
        <w:tc>
          <w:tcPr>
            <w:tcW w:type="dxa" w:w="9518"/>
            <w:shd w:val="clear" w:color="auto" w:fill="F5F7FA"/>
            <w:tcBorders>
              <w:top w:val="single" w:sz="4" w:color="D6DCE4"/>
              <w:left w:val="single" w:sz="4" w:color="D6DCE4"/>
              <w:bottom w:val="single" w:sz="4" w:color="D6DCE4"/>
              <w:right w:val="single" w:sz="4" w:color="D6DCE4"/>
            </w:tcBorders>
          </w:tcPr>
          <w:p>
            <w:pPr>
              <w:spacing w:after="0" w:before="0"/>
            </w:pPr>
            <w:r/>
            <w:r>
              <w:rPr>
                <w:rFonts w:ascii="Consolas" w:hAnsi="Consolas"/>
                <w:color w:val="333333"/>
                <w:sz w:val="19"/>
              </w:rPr>
              <w:t>{</w:t>
            </w:r>
          </w:p>
          <w:p>
            <w:pPr>
              <w:spacing w:after="0" w:before="0"/>
            </w:pPr>
            <w:r>
              <w:rPr>
                <w:rFonts w:ascii="Consolas" w:hAnsi="Consolas"/>
                <w:color w:val="333333"/>
                <w:sz w:val="19"/>
              </w:rPr>
              <w:t xml:space="preserve">  "access_token": "eyJraWQiOiI...long opaque string...",</w:t>
            </w:r>
          </w:p>
          <w:p>
            <w:pPr>
              <w:spacing w:after="0" w:before="0"/>
            </w:pPr>
            <w:r>
              <w:rPr>
                <w:rFonts w:ascii="Consolas" w:hAnsi="Consolas"/>
                <w:color w:val="333333"/>
                <w:sz w:val="19"/>
              </w:rPr>
              <w:t xml:space="preserve">  "token_type": "bearer",</w:t>
            </w:r>
          </w:p>
          <w:p>
            <w:pPr>
              <w:spacing w:after="0" w:before="0"/>
            </w:pPr>
            <w:r>
              <w:rPr>
                <w:rFonts w:ascii="Consolas" w:hAnsi="Consolas"/>
                <w:color w:val="333333"/>
                <w:sz w:val="19"/>
              </w:rPr>
              <w:t xml:space="preserve">  "expires_in": 3216</w:t>
            </w:r>
          </w:p>
          <w:p>
            <w:pPr>
              <w:spacing w:after="0" w:before="0"/>
            </w:pPr>
            <w:r>
              <w:rPr>
                <w:rFonts w:ascii="Consolas" w:hAnsi="Consolas"/>
                <w:color w:val="333333"/>
                <w:sz w:val="19"/>
              </w:rPr>
              <w:t>}</w:t>
            </w:r>
          </w:p>
        </w:tc>
      </w:tr>
    </w:tbl>
    <w:p>
      <w:pPr>
        <w:spacing w:after="80"/>
      </w:pPr>
    </w:p>
    <w:p>
      <w:pPr>
        <w:spacing w:after="120" w:line="300" w:lineRule="auto"/>
      </w:pPr>
      <w:r>
        <w:rPr>
          <w:b w:val="0"/>
          <w:i w:val="0"/>
          <w:color w:val="333333"/>
          <w:sz w:val="22"/>
        </w:rPr>
        <w:t>Copy the value of access_token and paste it into the access_token collection variable (both Initial value and Current value). Every other request will reference it as {{access_token}} so you do not have to paste it again.</w:t>
      </w:r>
    </w:p>
    <w:tbl>
      <w:tblPr>
        <w:tblW w:type="auto" w:w="0"/>
        <w:tblLook w:firstColumn="1" w:firstRow="1" w:lastColumn="0" w:lastRow="0" w:noHBand="0" w:noVBand="1" w:val="04A0"/>
      </w:tblPr>
      <w:tblGrid>
        <w:gridCol w:w="9518"/>
      </w:tblGrid>
      <w:tr>
        <w:tc>
          <w:tcPr>
            <w:tcW w:type="dxa" w:w="9518"/>
            <w:shd w:val="clear" w:color="auto" w:fill="EAF1F8"/>
            <w:tcBorders>
              <w:left w:val="single" w:sz="18" w:color="3B82C4"/>
              <w:top w:val="single" w:sz="4" w:color="D6DCE4"/>
              <w:bottom w:val="single" w:sz="4" w:color="D6DCE4"/>
              <w:right w:val="single" w:sz="4" w:color="D6DCE4"/>
            </w:tcBorders>
          </w:tcPr>
          <w:p>
            <w:pPr>
              <w:spacing w:after="40"/>
            </w:pPr>
            <w:r/>
            <w:r>
              <w:rPr>
                <w:b/>
                <w:color w:val="1F3A5F"/>
                <w:sz w:val="22"/>
              </w:rPr>
              <w:t>Automating the token capture</w:t>
            </w:r>
          </w:p>
          <w:p>
            <w:pPr>
              <w:spacing w:after="0"/>
            </w:pPr>
            <w:r>
              <w:rPr>
                <w:color w:val="333333"/>
                <w:sz w:val="21"/>
              </w:rPr>
              <w:t>Optional: in the request's Tests tab, paste this snippet so Postman fills the variable automatically every time you click Send: pm.collectionVariables.set('access_token', pm.response.json().access_token);</w:t>
            </w:r>
          </w:p>
        </w:tc>
      </w:tr>
    </w:tbl>
    <w:p>
      <w:pPr>
        <w:spacing w:after="40"/>
      </w:pPr>
    </w:p>
    <w:p>
      <w:pPr>
        <w:spacing w:before="400" w:after="160"/>
        <w:pBdr>
          <w:bottom w:val="single" w:sz="8" w:space="1" w:color="3B82C4"/>
        </w:pBdr>
      </w:pPr>
      <w:r>
        <w:rPr>
          <w:rFonts w:ascii="Calibri" w:hAnsi="Calibri"/>
          <w:b/>
          <w:color w:val="1F3A5F"/>
          <w:sz w:val="40"/>
        </w:rPr>
        <w:t>Step 2: Find your Environment ID</w:t>
      </w:r>
    </w:p>
    <w:p>
      <w:pPr>
        <w:spacing w:after="120" w:line="300" w:lineRule="auto"/>
      </w:pPr>
      <w:r>
        <w:rPr>
          <w:b w:val="0"/>
          <w:i w:val="0"/>
          <w:color w:val="333333"/>
          <w:sz w:val="22"/>
        </w:rPr>
        <w:t>Your organization is divided into environments such as Sandbox, Staging, and Production. Each one has a UUID, and you need the one for the environment your application is deployed to. The platform exposes a list-environments endpoint.</w:t>
      </w:r>
    </w:p>
    <w:p>
      <w:pPr>
        <w:spacing w:after="120" w:line="300" w:lineRule="auto"/>
      </w:pPr>
      <w:r>
        <w:rPr>
          <w:b w:val="0"/>
          <w:i w:val="0"/>
          <w:color w:val="333333"/>
          <w:sz w:val="22"/>
        </w:rPr>
        <w:t>Add a new request to the collection.</w:t>
      </w:r>
    </w:p>
    <w:tbl>
      <w:tblPr>
        <w:tblW w:type="auto" w:w="0"/>
        <w:tblLayout w:type="autofit"/>
        <w:tblLook w:firstColumn="1" w:firstRow="1" w:lastColumn="0" w:lastRow="0" w:noHBand="0" w:noVBand="1" w:val="04A0"/>
      </w:tblPr>
      <w:tblGrid>
        <w:gridCol w:w="4759"/>
        <w:gridCol w:w="4759"/>
      </w:tblGrid>
      <w:tr>
        <w:tc>
          <w:tcPr>
            <w:tcW w:type="dxa" w:w="2041"/>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Field</w:t>
            </w:r>
          </w:p>
        </w:tc>
        <w:tc>
          <w:tcPr>
            <w:tcW w:type="dxa" w:w="7370"/>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Value</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Method</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GET</w:t>
            </w:r>
          </w:p>
        </w:tc>
      </w:tr>
      <w:tr>
        <w:tc>
          <w:tcPr>
            <w:tcW w:type="dxa" w:w="2041"/>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URL</w:t>
            </w:r>
          </w:p>
        </w:tc>
        <w:tc>
          <w:tcPr>
            <w:tcW w:type="dxa" w:w="7370"/>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https://{{host}}/accounts/api/organizations/{{organization_id}}/environments</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Headers</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Authorization: Bearer {{access_token}}</w:t>
            </w:r>
          </w:p>
        </w:tc>
      </w:tr>
    </w:tbl>
    <w:p>
      <w:pPr>
        <w:spacing w:after="40"/>
      </w:pPr>
    </w:p>
    <w:p>
      <w:pPr>
        <w:spacing w:after="120" w:line="300" w:lineRule="auto"/>
      </w:pPr>
      <w:r>
        <w:rPr>
          <w:b w:val="0"/>
          <w:i w:val="0"/>
          <w:color w:val="333333"/>
          <w:sz w:val="22"/>
        </w:rPr>
        <w:t>Click Send. The response looks like this:</w:t>
      </w:r>
    </w:p>
    <w:tbl>
      <w:tblPr>
        <w:tblW w:type="auto" w:w="0"/>
        <w:tblLayout w:type="autofit"/>
        <w:tblLook w:firstColumn="1" w:firstRow="1" w:lastColumn="0" w:lastRow="0" w:noHBand="0" w:noVBand="1" w:val="04A0"/>
      </w:tblPr>
      <w:tblGrid>
        <w:gridCol w:w="9518"/>
      </w:tblGrid>
      <w:tr>
        <w:tc>
          <w:tcPr>
            <w:tcW w:type="dxa" w:w="9518"/>
            <w:shd w:val="clear" w:color="auto" w:fill="F5F7FA"/>
            <w:tcBorders>
              <w:top w:val="single" w:sz="4" w:color="D6DCE4"/>
              <w:left w:val="single" w:sz="4" w:color="D6DCE4"/>
              <w:bottom w:val="single" w:sz="4" w:color="D6DCE4"/>
              <w:right w:val="single" w:sz="4" w:color="D6DCE4"/>
            </w:tcBorders>
          </w:tcPr>
          <w:p>
            <w:pPr>
              <w:spacing w:after="0" w:before="0"/>
            </w:pPr>
            <w:r/>
            <w:r>
              <w:rPr>
                <w:rFonts w:ascii="Consolas" w:hAnsi="Consolas"/>
                <w:color w:val="333333"/>
                <w:sz w:val="19"/>
              </w:rPr>
              <w:t>{</w:t>
            </w:r>
          </w:p>
          <w:p>
            <w:pPr>
              <w:spacing w:after="0" w:before="0"/>
            </w:pPr>
            <w:r>
              <w:rPr>
                <w:rFonts w:ascii="Consolas" w:hAnsi="Consolas"/>
                <w:color w:val="333333"/>
                <w:sz w:val="19"/>
              </w:rPr>
              <w:t xml:space="preserve">  "data": [</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"id": "7c15763b-22fb-4877-b4df-6162dea35ce1",</w:t>
            </w:r>
          </w:p>
          <w:p>
            <w:pPr>
              <w:spacing w:after="0" w:before="0"/>
            </w:pPr>
            <w:r>
              <w:rPr>
                <w:rFonts w:ascii="Consolas" w:hAnsi="Consolas"/>
                <w:color w:val="333333"/>
                <w:sz w:val="19"/>
              </w:rPr>
              <w:t xml:space="preserve">      "name": "Production",</w:t>
            </w:r>
          </w:p>
          <w:p>
            <w:pPr>
              <w:spacing w:after="0" w:before="0"/>
            </w:pPr>
            <w:r>
              <w:rPr>
                <w:rFonts w:ascii="Consolas" w:hAnsi="Consolas"/>
                <w:color w:val="333333"/>
                <w:sz w:val="19"/>
              </w:rPr>
              <w:t xml:space="preserve">      "isProduction": true,</w:t>
            </w:r>
          </w:p>
          <w:p>
            <w:pPr>
              <w:spacing w:after="0" w:before="0"/>
            </w:pPr>
            <w:r>
              <w:rPr>
                <w:rFonts w:ascii="Consolas" w:hAnsi="Consolas"/>
                <w:color w:val="333333"/>
                <w:sz w:val="19"/>
              </w:rPr>
              <w:t xml:space="preserve">      "type": "production"</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"id": "abc12345-...",</w:t>
            </w:r>
          </w:p>
          <w:p>
            <w:pPr>
              <w:spacing w:after="0" w:before="0"/>
            </w:pPr>
            <w:r>
              <w:rPr>
                <w:rFonts w:ascii="Consolas" w:hAnsi="Consolas"/>
                <w:color w:val="333333"/>
                <w:sz w:val="19"/>
              </w:rPr>
              <w:t xml:space="preserve">      "name": "Sandbox",</w:t>
            </w:r>
          </w:p>
          <w:p>
            <w:pPr>
              <w:spacing w:after="0" w:before="0"/>
            </w:pPr>
            <w:r>
              <w:rPr>
                <w:rFonts w:ascii="Consolas" w:hAnsi="Consolas"/>
                <w:color w:val="333333"/>
                <w:sz w:val="19"/>
              </w:rPr>
              <w:t xml:space="preserve">      "isProduction": false,</w:t>
            </w:r>
          </w:p>
          <w:p>
            <w:pPr>
              <w:spacing w:after="0" w:before="0"/>
            </w:pPr>
            <w:r>
              <w:rPr>
                <w:rFonts w:ascii="Consolas" w:hAnsi="Consolas"/>
                <w:color w:val="333333"/>
                <w:sz w:val="19"/>
              </w:rPr>
              <w:t xml:space="preserve">      "type": "sandbox"</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"total": 2</w:t>
            </w:r>
          </w:p>
          <w:p>
            <w:pPr>
              <w:spacing w:after="0" w:before="0"/>
            </w:pPr>
            <w:r>
              <w:rPr>
                <w:rFonts w:ascii="Consolas" w:hAnsi="Consolas"/>
                <w:color w:val="333333"/>
                <w:sz w:val="19"/>
              </w:rPr>
              <w:t>}</w:t>
            </w:r>
          </w:p>
        </w:tc>
      </w:tr>
    </w:tbl>
    <w:p>
      <w:pPr>
        <w:spacing w:after="80"/>
      </w:pPr>
    </w:p>
    <w:p>
      <w:pPr>
        <w:spacing w:after="120" w:line="300" w:lineRule="auto"/>
      </w:pPr>
      <w:r>
        <w:rPr>
          <w:b w:val="0"/>
          <w:i w:val="0"/>
          <w:color w:val="333333"/>
          <w:sz w:val="22"/>
        </w:rPr>
        <w:t>Find the environment whose logs you want and copy its id field into the environment_id collection variable.</w:t>
      </w:r>
    </w:p>
    <w:p>
      <w:pPr>
        <w:spacing w:before="400" w:after="160"/>
        <w:pBdr>
          <w:bottom w:val="single" w:sz="8" w:space="1" w:color="3B82C4"/>
        </w:pBdr>
      </w:pPr>
      <w:r>
        <w:rPr>
          <w:rFonts w:ascii="Calibri" w:hAnsi="Calibri"/>
          <w:b/>
          <w:color w:val="1F3A5F"/>
          <w:sz w:val="40"/>
        </w:rPr>
        <w:t>Step 3: Find your application</w:t>
      </w:r>
    </w:p>
    <w:p>
      <w:pPr>
        <w:spacing w:after="120" w:line="300" w:lineRule="auto"/>
      </w:pPr>
      <w:r>
        <w:rPr>
          <w:b w:val="0"/>
          <w:i w:val="0"/>
          <w:color w:val="333333"/>
          <w:sz w:val="22"/>
        </w:rPr>
        <w:t>Each application running in an environment is called a deployment. Listing deployments returns the ID for the application whose logs you want, plus useful context such as its current status.</w:t>
      </w:r>
    </w:p>
    <w:p>
      <w:pPr>
        <w:spacing w:after="120" w:line="300" w:lineRule="auto"/>
      </w:pPr>
      <w:r>
        <w:rPr>
          <w:b w:val="0"/>
          <w:i w:val="0"/>
          <w:color w:val="333333"/>
          <w:sz w:val="22"/>
        </w:rPr>
        <w:t>Add a new request to the collection.</w:t>
      </w:r>
    </w:p>
    <w:tbl>
      <w:tblPr>
        <w:tblW w:type="auto" w:w="0"/>
        <w:tblLayout w:type="autofit"/>
        <w:tblLook w:firstColumn="1" w:firstRow="1" w:lastColumn="0" w:lastRow="0" w:noHBand="0" w:noVBand="1" w:val="04A0"/>
      </w:tblPr>
      <w:tblGrid>
        <w:gridCol w:w="4759"/>
        <w:gridCol w:w="4759"/>
      </w:tblGrid>
      <w:tr>
        <w:tc>
          <w:tcPr>
            <w:tcW w:type="dxa" w:w="2041"/>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Field</w:t>
            </w:r>
          </w:p>
        </w:tc>
        <w:tc>
          <w:tcPr>
            <w:tcW w:type="dxa" w:w="7370"/>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Value</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Method</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GET</w:t>
            </w:r>
          </w:p>
        </w:tc>
      </w:tr>
      <w:tr>
        <w:tc>
          <w:tcPr>
            <w:tcW w:type="dxa" w:w="2041"/>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URL</w:t>
            </w:r>
          </w:p>
        </w:tc>
        <w:tc>
          <w:tcPr>
            <w:tcW w:type="dxa" w:w="7370"/>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https://{{host}}/amc/application-manager/api/v2/organizations/{{organization_id}}/environments/{{environment_id}}/deployments</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Headers</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Authorization: Bearer {{access_token}}</w:t>
            </w:r>
          </w:p>
        </w:tc>
      </w:tr>
    </w:tbl>
    <w:p>
      <w:pPr>
        <w:spacing w:after="40"/>
      </w:pPr>
    </w:p>
    <w:p>
      <w:pPr>
        <w:spacing w:after="120" w:line="300" w:lineRule="auto"/>
      </w:pPr>
      <w:r>
        <w:rPr>
          <w:b w:val="0"/>
          <w:i w:val="0"/>
          <w:color w:val="333333"/>
          <w:sz w:val="22"/>
        </w:rPr>
        <w:t>Click Send. The response contains an items array with one entry per application:</w:t>
      </w:r>
    </w:p>
    <w:tbl>
      <w:tblPr>
        <w:tblW w:type="auto" w:w="0"/>
        <w:tblLayout w:type="autofit"/>
        <w:tblLook w:firstColumn="1" w:firstRow="1" w:lastColumn="0" w:lastRow="0" w:noHBand="0" w:noVBand="1" w:val="04A0"/>
      </w:tblPr>
      <w:tblGrid>
        <w:gridCol w:w="9518"/>
      </w:tblGrid>
      <w:tr>
        <w:tc>
          <w:tcPr>
            <w:tcW w:type="dxa" w:w="9518"/>
            <w:shd w:val="clear" w:color="auto" w:fill="F5F7FA"/>
            <w:tcBorders>
              <w:top w:val="single" w:sz="4" w:color="D6DCE4"/>
              <w:left w:val="single" w:sz="4" w:color="D6DCE4"/>
              <w:bottom w:val="single" w:sz="4" w:color="D6DCE4"/>
              <w:right w:val="single" w:sz="4" w:color="D6DCE4"/>
            </w:tcBorders>
          </w:tcPr>
          <w:p>
            <w:pPr>
              <w:spacing w:after="0" w:before="0"/>
            </w:pPr>
            <w:r/>
            <w:r>
              <w:rPr>
                <w:rFonts w:ascii="Consolas" w:hAnsi="Consolas"/>
                <w:color w:val="333333"/>
                <w:sz w:val="19"/>
              </w:rPr>
              <w:t>{</w:t>
            </w:r>
          </w:p>
          <w:p>
            <w:pPr>
              <w:spacing w:after="0" w:before="0"/>
            </w:pPr>
            <w:r>
              <w:rPr>
                <w:rFonts w:ascii="Consolas" w:hAnsi="Consolas"/>
                <w:color w:val="333333"/>
                <w:sz w:val="19"/>
              </w:rPr>
              <w:t xml:space="preserve">  "items": [</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"id": "a833322c-09a3-433a-924d-9bc54ce8b067",</w:t>
            </w:r>
          </w:p>
          <w:p>
            <w:pPr>
              <w:spacing w:after="0" w:before="0"/>
            </w:pPr>
            <w:r>
              <w:rPr>
                <w:rFonts w:ascii="Consolas" w:hAnsi="Consolas"/>
                <w:color w:val="333333"/>
                <w:sz w:val="19"/>
              </w:rPr>
              <w:t xml:space="preserve">      "name": "lloyds-financials-sync",</w:t>
            </w:r>
          </w:p>
          <w:p>
            <w:pPr>
              <w:spacing w:after="0" w:before="0"/>
            </w:pPr>
            <w:r>
              <w:rPr>
                <w:rFonts w:ascii="Consolas" w:hAnsi="Consolas"/>
                <w:color w:val="333333"/>
                <w:sz w:val="19"/>
              </w:rPr>
              <w:t xml:space="preserve">      "status": "RUNNING",</w:t>
            </w:r>
          </w:p>
          <w:p>
            <w:pPr>
              <w:spacing w:after="0" w:before="0"/>
            </w:pPr>
            <w:r>
              <w:rPr>
                <w:rFonts w:ascii="Consolas" w:hAnsi="Consolas"/>
                <w:color w:val="333333"/>
                <w:sz w:val="19"/>
              </w:rPr>
              <w:t xml:space="preserve">      "application": {</w:t>
            </w:r>
          </w:p>
          <w:p>
            <w:pPr>
              <w:spacing w:after="0" w:before="0"/>
            </w:pPr>
            <w:r>
              <w:rPr>
                <w:rFonts w:ascii="Consolas" w:hAnsi="Consolas"/>
                <w:color w:val="333333"/>
                <w:sz w:val="19"/>
              </w:rPr>
              <w:t xml:space="preserve">        "ref": { "groupId": "...", "artifactId": "...", "version": "1.4.2" }</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"total": 1</w:t>
            </w:r>
          </w:p>
          <w:p>
            <w:pPr>
              <w:spacing w:after="0" w:before="0"/>
            </w:pPr>
            <w:r>
              <w:rPr>
                <w:rFonts w:ascii="Consolas" w:hAnsi="Consolas"/>
                <w:color w:val="333333"/>
                <w:sz w:val="19"/>
              </w:rPr>
              <w:t>}</w:t>
            </w:r>
          </w:p>
        </w:tc>
      </w:tr>
    </w:tbl>
    <w:p>
      <w:pPr>
        <w:spacing w:after="80"/>
      </w:pPr>
    </w:p>
    <w:p>
      <w:pPr>
        <w:spacing w:after="120" w:line="300" w:lineRule="auto"/>
      </w:pPr>
      <w:r>
        <w:rPr>
          <w:b w:val="0"/>
          <w:i w:val="0"/>
          <w:color w:val="333333"/>
          <w:sz w:val="22"/>
        </w:rPr>
        <w:t>Find the application by name, copy its id, and paste it into the deployment_id collection variable.</w:t>
      </w:r>
    </w:p>
    <w:p>
      <w:pPr>
        <w:spacing w:before="400" w:after="160"/>
        <w:pBdr>
          <w:bottom w:val="single" w:sz="8" w:space="1" w:color="3B82C4"/>
        </w:pBdr>
      </w:pPr>
      <w:r>
        <w:rPr>
          <w:rFonts w:ascii="Calibri" w:hAnsi="Calibri"/>
          <w:b/>
          <w:color w:val="1F3A5F"/>
          <w:sz w:val="40"/>
        </w:rPr>
        <w:t>Step 4: Find your Spec ID</w:t>
      </w:r>
    </w:p>
    <w:p>
      <w:pPr>
        <w:spacing w:after="120" w:line="300" w:lineRule="auto"/>
      </w:pPr>
      <w:r>
        <w:rPr>
          <w:b w:val="0"/>
          <w:i w:val="0"/>
          <w:color w:val="333333"/>
          <w:sz w:val="22"/>
        </w:rPr>
        <w:t>Every time an application is deployed or redeployed, Anypoint Platform creates a spec, a snapshot of that revision. Logs are stored against specs, so you need the spec ID of the revision whose logs you want. In day-to-day usage you will want the latest spec, which is the one currently running.</w:t>
      </w:r>
    </w:p>
    <w:p>
      <w:pPr>
        <w:spacing w:after="120" w:line="300" w:lineRule="auto"/>
      </w:pPr>
      <w:r>
        <w:rPr>
          <w:b w:val="0"/>
          <w:i w:val="0"/>
          <w:color w:val="333333"/>
          <w:sz w:val="22"/>
        </w:rPr>
        <w:t>Add a new request to the collection.</w:t>
      </w:r>
    </w:p>
    <w:tbl>
      <w:tblPr>
        <w:tblW w:type="auto" w:w="0"/>
        <w:tblLayout w:type="autofit"/>
        <w:tblLook w:firstColumn="1" w:firstRow="1" w:lastColumn="0" w:lastRow="0" w:noHBand="0" w:noVBand="1" w:val="04A0"/>
      </w:tblPr>
      <w:tblGrid>
        <w:gridCol w:w="4759"/>
        <w:gridCol w:w="4759"/>
      </w:tblGrid>
      <w:tr>
        <w:tc>
          <w:tcPr>
            <w:tcW w:type="dxa" w:w="2041"/>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Field</w:t>
            </w:r>
          </w:p>
        </w:tc>
        <w:tc>
          <w:tcPr>
            <w:tcW w:type="dxa" w:w="7370"/>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Value</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Method</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GET</w:t>
            </w:r>
          </w:p>
        </w:tc>
      </w:tr>
      <w:tr>
        <w:tc>
          <w:tcPr>
            <w:tcW w:type="dxa" w:w="2041"/>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URL</w:t>
            </w:r>
          </w:p>
        </w:tc>
        <w:tc>
          <w:tcPr>
            <w:tcW w:type="dxa" w:w="7370"/>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https://{{host}}/amc/application-manager/api/v2/organizations/{{organization_id}}/environments/{{environment_id}}/deployments/{{deployment_id}}</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Headers</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Authorization: Bearer {{access_token}}</w:t>
            </w:r>
          </w:p>
        </w:tc>
      </w:tr>
    </w:tbl>
    <w:p>
      <w:pPr>
        <w:spacing w:after="40"/>
      </w:pPr>
    </w:p>
    <w:p>
      <w:pPr>
        <w:spacing w:after="120" w:line="300" w:lineRule="auto"/>
      </w:pPr>
      <w:r>
        <w:rPr>
          <w:b w:val="0"/>
          <w:i w:val="0"/>
          <w:color w:val="333333"/>
          <w:sz w:val="22"/>
        </w:rPr>
        <w:t>In the response, look at the replicas array. Each replica reports the spec it is running:</w:t>
      </w:r>
    </w:p>
    <w:tbl>
      <w:tblPr>
        <w:tblW w:type="auto" w:w="0"/>
        <w:tblLayout w:type="autofit"/>
        <w:tblLook w:firstColumn="1" w:firstRow="1" w:lastColumn="0" w:lastRow="0" w:noHBand="0" w:noVBand="1" w:val="04A0"/>
      </w:tblPr>
      <w:tblGrid>
        <w:gridCol w:w="9518"/>
      </w:tblGrid>
      <w:tr>
        <w:tc>
          <w:tcPr>
            <w:tcW w:type="dxa" w:w="9518"/>
            <w:shd w:val="clear" w:color="auto" w:fill="F5F7FA"/>
            <w:tcBorders>
              <w:top w:val="single" w:sz="4" w:color="D6DCE4"/>
              <w:left w:val="single" w:sz="4" w:color="D6DCE4"/>
              <w:bottom w:val="single" w:sz="4" w:color="D6DCE4"/>
              <w:right w:val="single" w:sz="4" w:color="D6DCE4"/>
            </w:tcBorders>
          </w:tcPr>
          <w:p>
            <w:pPr>
              <w:spacing w:after="0" w:before="0"/>
            </w:pPr>
            <w:r/>
            <w:r>
              <w:rPr>
                <w:rFonts w:ascii="Consolas" w:hAnsi="Consolas"/>
                <w:color w:val="333333"/>
                <w:sz w:val="19"/>
              </w:rPr>
              <w:t>{</w:t>
            </w:r>
          </w:p>
          <w:p>
            <w:pPr>
              <w:spacing w:after="0" w:before="0"/>
            </w:pPr>
            <w:r>
              <w:rPr>
                <w:rFonts w:ascii="Consolas" w:hAnsi="Consolas"/>
                <w:color w:val="333333"/>
                <w:sz w:val="19"/>
              </w:rPr>
              <w:t xml:space="preserve">  "id": "a833322c-09a3-433a-924d-9bc54ce8b067",</w:t>
            </w:r>
          </w:p>
          <w:p>
            <w:pPr>
              <w:spacing w:after="0" w:before="0"/>
            </w:pPr>
            <w:r>
              <w:rPr>
                <w:rFonts w:ascii="Consolas" w:hAnsi="Consolas"/>
                <w:color w:val="333333"/>
                <w:sz w:val="19"/>
              </w:rPr>
              <w:t xml:space="preserve">  "name": "lloyds-financials-sync",</w:t>
            </w:r>
          </w:p>
          <w:p>
            <w:pPr>
              <w:spacing w:after="0" w:before="0"/>
            </w:pPr>
            <w:r>
              <w:rPr>
                <w:rFonts w:ascii="Consolas" w:hAnsi="Consolas"/>
                <w:color w:val="333333"/>
                <w:sz w:val="19"/>
              </w:rPr>
              <w:t xml:space="preserve">  "status": "RUNNING",</w:t>
            </w:r>
          </w:p>
          <w:p>
            <w:pPr>
              <w:spacing w:after="0" w:before="0"/>
            </w:pPr>
            <w:r>
              <w:rPr>
                <w:rFonts w:ascii="Consolas" w:hAnsi="Consolas"/>
                <w:color w:val="333333"/>
                <w:sz w:val="19"/>
              </w:rPr>
              <w:t xml:space="preserve">  "replicas": [</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"specId": "d5318e94-32db-4cb8-ba3a-86ed71cbe86d",</w:t>
            </w:r>
          </w:p>
          <w:p>
            <w:pPr>
              <w:spacing w:after="0" w:before="0"/>
            </w:pPr>
            <w:r>
              <w:rPr>
                <w:rFonts w:ascii="Consolas" w:hAnsi="Consolas"/>
                <w:color w:val="333333"/>
                <w:sz w:val="19"/>
              </w:rPr>
              <w:t xml:space="preserve">      "state": "RUNNING",</w:t>
            </w:r>
          </w:p>
          <w:p>
            <w:pPr>
              <w:spacing w:after="0" w:before="0"/>
            </w:pPr>
            <w:r>
              <w:rPr>
                <w:rFonts w:ascii="Consolas" w:hAnsi="Consolas"/>
                <w:color w:val="333333"/>
                <w:sz w:val="19"/>
              </w:rPr>
              <w:t xml:space="preserve">      "currentDeploymentVersion": "v1"</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w:t>
            </w:r>
          </w:p>
          <w:p>
            <w:pPr>
              <w:spacing w:after="0" w:before="0"/>
            </w:pPr>
            <w:r>
              <w:rPr>
                <w:rFonts w:ascii="Consolas" w:hAnsi="Consolas"/>
                <w:color w:val="333333"/>
                <w:sz w:val="19"/>
              </w:rPr>
              <w:t>}</w:t>
            </w:r>
          </w:p>
        </w:tc>
      </w:tr>
    </w:tbl>
    <w:p>
      <w:pPr>
        <w:spacing w:after="80"/>
      </w:pPr>
    </w:p>
    <w:p>
      <w:pPr>
        <w:spacing w:after="120" w:line="300" w:lineRule="auto"/>
      </w:pPr>
      <w:r>
        <w:rPr>
          <w:b w:val="0"/>
          <w:i w:val="0"/>
          <w:color w:val="333333"/>
          <w:sz w:val="22"/>
        </w:rPr>
        <w:t>Copy the specId value into the spec_id collection variable.</w:t>
      </w:r>
    </w:p>
    <w:tbl>
      <w:tblPr>
        <w:tblW w:type="auto" w:w="0"/>
        <w:tblLook w:firstColumn="1" w:firstRow="1" w:lastColumn="0" w:lastRow="0" w:noHBand="0" w:noVBand="1" w:val="04A0"/>
      </w:tblPr>
      <w:tblGrid>
        <w:gridCol w:w="9518"/>
      </w:tblGrid>
      <w:tr>
        <w:tc>
          <w:tcPr>
            <w:tcW w:type="dxa" w:w="9518"/>
            <w:shd w:val="clear" w:color="auto" w:fill="EAF1F8"/>
            <w:tcBorders>
              <w:left w:val="single" w:sz="18" w:color="3B82C4"/>
              <w:top w:val="single" w:sz="4" w:color="D6DCE4"/>
              <w:bottom w:val="single" w:sz="4" w:color="D6DCE4"/>
              <w:right w:val="single" w:sz="4" w:color="D6DCE4"/>
            </w:tcBorders>
          </w:tcPr>
          <w:p>
            <w:pPr>
              <w:spacing w:after="40"/>
            </w:pPr>
            <w:r/>
            <w:r>
              <w:rPr>
                <w:b/>
                <w:color w:val="1F3A5F"/>
                <w:sz w:val="22"/>
              </w:rPr>
              <w:t>Multiple replicas</w:t>
            </w:r>
          </w:p>
          <w:p>
            <w:pPr>
              <w:spacing w:after="0"/>
            </w:pPr>
            <w:r>
              <w:rPr>
                <w:color w:val="333333"/>
                <w:sz w:val="21"/>
              </w:rPr>
              <w:t>If your application runs more than one replica, they all share the same spec at any given moment, so reading replicas[0].specId is safe.</w:t>
            </w:r>
          </w:p>
        </w:tc>
      </w:tr>
    </w:tbl>
    <w:p>
      <w:pPr>
        <w:spacing w:after="40"/>
      </w:pPr>
    </w:p>
    <w:p>
      <w:pPr>
        <w:spacing w:before="400" w:after="160"/>
        <w:pBdr>
          <w:bottom w:val="single" w:sz="8" w:space="1" w:color="3B82C4"/>
        </w:pBdr>
      </w:pPr>
      <w:r>
        <w:rPr>
          <w:rFonts w:ascii="Calibri" w:hAnsi="Calibri"/>
          <w:b/>
          <w:color w:val="1F3A5F"/>
          <w:sz w:val="40"/>
        </w:rPr>
        <w:t>Step 5: Understand the date format</w:t>
      </w:r>
    </w:p>
    <w:p>
      <w:pPr>
        <w:spacing w:after="120" w:line="300" w:lineRule="auto"/>
      </w:pPr>
      <w:r>
        <w:rPr>
          <w:b w:val="0"/>
          <w:i w:val="0"/>
          <w:color w:val="333333"/>
          <w:sz w:val="22"/>
        </w:rPr>
        <w:t>The logs endpoint accepts times as Unix epoch milliseconds in UTC, a 13-digit integer. It does not accept ISO 8601 strings. Whenever you have a human-readable date, you must convert it to epoch milliseconds first.</w:t>
      </w:r>
    </w:p>
    <w:tbl>
      <w:tblPr>
        <w:tblW w:type="auto" w:w="0"/>
        <w:tblLayout w:type="autofit"/>
        <w:tblLook w:firstColumn="1" w:firstRow="1" w:lastColumn="0" w:lastRow="0" w:noHBand="0" w:noVBand="1" w:val="04A0"/>
      </w:tblPr>
      <w:tblGrid>
        <w:gridCol w:w="4759"/>
        <w:gridCol w:w="4759"/>
      </w:tblGrid>
      <w:tr>
        <w:tc>
          <w:tcPr>
            <w:tcW w:type="dxa" w:w="3402"/>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Date and time (UTC)</w:t>
            </w:r>
          </w:p>
        </w:tc>
        <w:tc>
          <w:tcPr>
            <w:tcW w:type="dxa" w:w="3402"/>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Epoch milliseconds</w:t>
            </w:r>
          </w:p>
        </w:tc>
      </w:tr>
      <w:tr>
        <w:tc>
          <w:tcPr>
            <w:tcW w:type="dxa" w:w="3402"/>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2026-04-01 00:00:00</w:t>
            </w:r>
          </w:p>
        </w:tc>
        <w:tc>
          <w:tcPr>
            <w:tcW w:type="dxa" w:w="3402"/>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1774915200000</w:t>
            </w:r>
          </w:p>
        </w:tc>
      </w:tr>
      <w:tr>
        <w:tc>
          <w:tcPr>
            <w:tcW w:type="dxa" w:w="3402"/>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2026-04-01 12:30:00</w:t>
            </w:r>
          </w:p>
        </w:tc>
        <w:tc>
          <w:tcPr>
            <w:tcW w:type="dxa" w:w="3402"/>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1774960200000</w:t>
            </w:r>
          </w:p>
        </w:tc>
      </w:tr>
      <w:tr>
        <w:tc>
          <w:tcPr>
            <w:tcW w:type="dxa" w:w="3402"/>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2026-05-01 00:00:00</w:t>
            </w:r>
          </w:p>
        </w:tc>
        <w:tc>
          <w:tcPr>
            <w:tcW w:type="dxa" w:w="3402"/>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1777593600000</w:t>
            </w:r>
          </w:p>
        </w:tc>
      </w:tr>
    </w:tbl>
    <w:p>
      <w:pPr>
        <w:spacing w:after="40"/>
      </w:pPr>
    </w:p>
    <w:p>
      <w:pPr>
        <w:spacing w:after="120" w:line="300" w:lineRule="auto"/>
      </w:pPr>
      <w:r>
        <w:rPr>
          <w:b w:val="0"/>
          <w:i w:val="0"/>
          <w:color w:val="333333"/>
          <w:sz w:val="22"/>
        </w:rPr>
        <w:t>Any online epoch converter (for example, epochconverter.com) will produce these values. Make sure you choose milliseconds, not seconds: a 10-digit value will be silently interpreted as a date in 1970 and return zero results.</w:t>
      </w:r>
    </w:p>
    <w:p>
      <w:pPr>
        <w:spacing w:before="400" w:after="160"/>
        <w:pBdr>
          <w:bottom w:val="single" w:sz="8" w:space="1" w:color="3B82C4"/>
        </w:pBdr>
      </w:pPr>
      <w:r>
        <w:rPr>
          <w:rFonts w:ascii="Calibri" w:hAnsi="Calibri"/>
          <w:b/>
          <w:color w:val="1F3A5F"/>
          <w:sz w:val="40"/>
        </w:rPr>
        <w:t>Step 6: Search the logs</w:t>
      </w:r>
    </w:p>
    <w:p>
      <w:pPr>
        <w:spacing w:after="120" w:line="300" w:lineRule="auto"/>
      </w:pPr>
      <w:r>
        <w:rPr>
          <w:b w:val="0"/>
          <w:i w:val="0"/>
          <w:color w:val="333333"/>
          <w:sz w:val="22"/>
        </w:rPr>
        <w:t>You now have everything you need: an access token, and the four IDs that identify the deployment. The logs endpoint accepts a handful of query parameters. The single most important rule is this: each parameter must be sent as its own query parameter. Do not pack them into a JSON object inside ?search=...</w:t>
      </w:r>
    </w:p>
    <w:p>
      <w:pPr>
        <w:spacing w:after="120" w:line="300" w:lineRule="auto"/>
      </w:pPr>
      <w:r>
        <w:rPr>
          <w:b w:val="0"/>
          <w:i w:val="0"/>
          <w:color w:val="333333"/>
          <w:sz w:val="22"/>
        </w:rPr>
        <w:t>If you put a JSON object inside search, the platform treats the entire string as a free-text search against the message field. Your filters are ignored and you only get the default 10 records. The search parameter is for free-text matching, not a wrapper for other parameters.</w:t>
      </w:r>
    </w:p>
    <w:p>
      <w:pPr>
        <w:spacing w:before="200" w:after="40"/>
      </w:pPr>
      <w:r>
        <w:rPr>
          <w:rFonts w:ascii="Calibri" w:hAnsi="Calibri"/>
          <w:b/>
          <w:color w:val="1F3A5F"/>
          <w:sz w:val="24"/>
        </w:rPr>
        <w:t>The parameters you can send</w:t>
      </w:r>
    </w:p>
    <w:tbl>
      <w:tblPr>
        <w:tblW w:type="auto" w:w="0"/>
        <w:tblLayout w:type="autofit"/>
        <w:tblLook w:firstColumn="1" w:firstRow="1" w:lastColumn="0" w:lastRow="0" w:noHBand="0" w:noVBand="1" w:val="04A0"/>
      </w:tblPr>
      <w:tblGrid>
        <w:gridCol w:w="4759"/>
        <w:gridCol w:w="4759"/>
      </w:tblGrid>
      <w:tr>
        <w:tc>
          <w:tcPr>
            <w:tcW w:type="dxa" w:w="1928"/>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Parameter</w:t>
            </w:r>
          </w:p>
        </w:tc>
        <w:tc>
          <w:tcPr>
            <w:tcW w:type="dxa" w:w="7483"/>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Description</w:t>
            </w:r>
          </w:p>
        </w:tc>
      </w:tr>
      <w:tr>
        <w:tc>
          <w:tcPr>
            <w:tcW w:type="dxa" w:w="1928"/>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length</w:t>
            </w:r>
          </w:p>
        </w:tc>
        <w:tc>
          <w:tcPr>
            <w:tcW w:type="dxa" w:w="7483"/>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Number of records per page. Maximum is 1000. Default is 10, so always set this explicitly.</w:t>
            </w:r>
          </w:p>
        </w:tc>
      </w:tr>
      <w:tr>
        <w:tc>
          <w:tcPr>
            <w:tcW w:type="dxa" w:w="1928"/>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startTime</w:t>
            </w:r>
          </w:p>
        </w:tc>
        <w:tc>
          <w:tcPr>
            <w:tcW w:type="dxa" w:w="7483"/>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Start of the time window, in epoch milliseconds (UTC). Inclusive.</w:t>
            </w:r>
          </w:p>
        </w:tc>
      </w:tr>
      <w:tr>
        <w:tc>
          <w:tcPr>
            <w:tcW w:type="dxa" w:w="1928"/>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endTime</w:t>
            </w:r>
          </w:p>
        </w:tc>
        <w:tc>
          <w:tcPr>
            <w:tcW w:type="dxa" w:w="7483"/>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End of the time window, in epoch milliseconds (UTC). Inclusive.</w:t>
            </w:r>
          </w:p>
        </w:tc>
      </w:tr>
      <w:tr>
        <w:tc>
          <w:tcPr>
            <w:tcW w:type="dxa" w:w="1928"/>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descending</w:t>
            </w:r>
          </w:p>
        </w:tc>
        <w:tc>
          <w:tcPr>
            <w:tcW w:type="dxa" w:w="7483"/>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true means newest first, false means oldest first. Use false when paginating forward.</w:t>
            </w:r>
          </w:p>
        </w:tc>
      </w:tr>
      <w:tr>
        <w:tc>
          <w:tcPr>
            <w:tcW w:type="dxa" w:w="1928"/>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logLevel</w:t>
            </w:r>
          </w:p>
        </w:tc>
        <w:tc>
          <w:tcPr>
            <w:tcW w:type="dxa" w:w="7483"/>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Filter by log level. Repeat the parameter for multiple levels. Valid values: DEBUG, INFO, WARN, ERROR.</w:t>
            </w:r>
          </w:p>
        </w:tc>
      </w:tr>
      <w:tr>
        <w:tc>
          <w:tcPr>
            <w:tcW w:type="dxa" w:w="1928"/>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search</w:t>
            </w:r>
          </w:p>
        </w:tc>
        <w:tc>
          <w:tcPr>
            <w:tcW w:type="dxa" w:w="7483"/>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Free-text search across the message field. Optional.</w:t>
            </w:r>
          </w:p>
        </w:tc>
      </w:tr>
      <w:tr>
        <w:tc>
          <w:tcPr>
            <w:tcW w:type="dxa" w:w="1928"/>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afterDocId</w:t>
            </w:r>
          </w:p>
        </w:tc>
        <w:tc>
          <w:tcPr>
            <w:tcW w:type="dxa" w:w="7483"/>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Pagination cursor. Pass the docId of the last record from the previous page to fetch the next page.</w:t>
            </w:r>
          </w:p>
        </w:tc>
      </w:tr>
    </w:tbl>
    <w:p>
      <w:pPr>
        <w:spacing w:after="40"/>
      </w:pPr>
    </w:p>
    <w:p>
      <w:pPr>
        <w:spacing w:after="120" w:line="300" w:lineRule="auto"/>
      </w:pPr>
      <w:r>
        <w:rPr>
          <w:b w:val="0"/>
          <w:i w:val="0"/>
          <w:color w:val="333333"/>
          <w:sz w:val="22"/>
        </w:rPr>
        <w:t>Add a new request to the collection.</w:t>
      </w:r>
    </w:p>
    <w:tbl>
      <w:tblPr>
        <w:tblW w:type="auto" w:w="0"/>
        <w:tblLayout w:type="autofit"/>
        <w:tblLook w:firstColumn="1" w:firstRow="1" w:lastColumn="0" w:lastRow="0" w:noHBand="0" w:noVBand="1" w:val="04A0"/>
      </w:tblPr>
      <w:tblGrid>
        <w:gridCol w:w="4759"/>
        <w:gridCol w:w="4759"/>
      </w:tblGrid>
      <w:tr>
        <w:tc>
          <w:tcPr>
            <w:tcW w:type="dxa" w:w="2041"/>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Field</w:t>
            </w:r>
          </w:p>
        </w:tc>
        <w:tc>
          <w:tcPr>
            <w:tcW w:type="dxa" w:w="7370"/>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Value</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Method</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GET</w:t>
            </w:r>
          </w:p>
        </w:tc>
      </w:tr>
      <w:tr>
        <w:tc>
          <w:tcPr>
            <w:tcW w:type="dxa" w:w="2041"/>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URL</w:t>
            </w:r>
          </w:p>
        </w:tc>
        <w:tc>
          <w:tcPr>
            <w:tcW w:type="dxa" w:w="7370"/>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https://{{host}}/amc/application-manager/api/v2/organizations/{{organization_id}}/environments/{{environment_id}}/deployments/{{deployment_id}}/specs/{{spec_id}}/logs</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Headers</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Authorization: Bearer {{access_token}}</w:t>
            </w:r>
          </w:p>
        </w:tc>
      </w:tr>
    </w:tbl>
    <w:p>
      <w:pPr>
        <w:spacing w:after="40"/>
      </w:pPr>
    </w:p>
    <w:p>
      <w:pPr>
        <w:spacing w:after="120" w:line="300" w:lineRule="auto"/>
      </w:pPr>
      <w:r>
        <w:rPr>
          <w:b w:val="0"/>
          <w:i w:val="0"/>
          <w:color w:val="333333"/>
          <w:sz w:val="22"/>
        </w:rPr>
        <w:t>Go to the Params tab and add each parameter as its own row. To pass multiple log levels, add three separate logLevel rows. Postman supports repeated parameter names natively and will build the query string correctly.</w:t>
      </w:r>
    </w:p>
    <w:tbl>
      <w:tblPr>
        <w:tblW w:type="auto" w:w="0"/>
        <w:tblLayout w:type="autofit"/>
        <w:tblLook w:firstColumn="1" w:firstRow="1" w:lastColumn="0" w:lastRow="0" w:noHBand="0" w:noVBand="1" w:val="04A0"/>
      </w:tblPr>
      <w:tblGrid>
        <w:gridCol w:w="4759"/>
        <w:gridCol w:w="4759"/>
      </w:tblGrid>
      <w:tr>
        <w:tc>
          <w:tcPr>
            <w:tcW w:type="dxa" w:w="2835"/>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Key</w:t>
            </w:r>
          </w:p>
        </w:tc>
        <w:tc>
          <w:tcPr>
            <w:tcW w:type="dxa" w:w="6576"/>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Value</w:t>
            </w:r>
          </w:p>
        </w:tc>
      </w:tr>
      <w:tr>
        <w:tc>
          <w:tcPr>
            <w:tcW w:type="dxa" w:w="2835"/>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length</w:t>
            </w:r>
          </w:p>
        </w:tc>
        <w:tc>
          <w:tcPr>
            <w:tcW w:type="dxa" w:w="6576"/>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1000</w:t>
            </w:r>
          </w:p>
        </w:tc>
      </w:tr>
      <w:tr>
        <w:tc>
          <w:tcPr>
            <w:tcW w:type="dxa" w:w="2835"/>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startTime</w:t>
            </w:r>
          </w:p>
        </w:tc>
        <w:tc>
          <w:tcPr>
            <w:tcW w:type="dxa" w:w="6576"/>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1777677167000</w:t>
            </w:r>
          </w:p>
        </w:tc>
      </w:tr>
      <w:tr>
        <w:tc>
          <w:tcPr>
            <w:tcW w:type="dxa" w:w="2835"/>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endTime</w:t>
            </w:r>
          </w:p>
        </w:tc>
        <w:tc>
          <w:tcPr>
            <w:tcW w:type="dxa" w:w="6576"/>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1777680767000</w:t>
            </w:r>
          </w:p>
        </w:tc>
      </w:tr>
      <w:tr>
        <w:tc>
          <w:tcPr>
            <w:tcW w:type="dxa" w:w="2835"/>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descending</w:t>
            </w:r>
          </w:p>
        </w:tc>
        <w:tc>
          <w:tcPr>
            <w:tcW w:type="dxa" w:w="6576"/>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false</w:t>
            </w:r>
          </w:p>
        </w:tc>
      </w:tr>
      <w:tr>
        <w:tc>
          <w:tcPr>
            <w:tcW w:type="dxa" w:w="2835"/>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logLevel</w:t>
            </w:r>
          </w:p>
        </w:tc>
        <w:tc>
          <w:tcPr>
            <w:tcW w:type="dxa" w:w="6576"/>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INFO</w:t>
            </w:r>
          </w:p>
        </w:tc>
      </w:tr>
      <w:tr>
        <w:tc>
          <w:tcPr>
            <w:tcW w:type="dxa" w:w="2835"/>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logLevel</w:t>
            </w:r>
          </w:p>
        </w:tc>
        <w:tc>
          <w:tcPr>
            <w:tcW w:type="dxa" w:w="6576"/>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WARN</w:t>
            </w:r>
          </w:p>
        </w:tc>
      </w:tr>
      <w:tr>
        <w:tc>
          <w:tcPr>
            <w:tcW w:type="dxa" w:w="2835"/>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logLevel</w:t>
            </w:r>
          </w:p>
        </w:tc>
        <w:tc>
          <w:tcPr>
            <w:tcW w:type="dxa" w:w="6576"/>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ERROR</w:t>
            </w:r>
          </w:p>
        </w:tc>
      </w:tr>
    </w:tbl>
    <w:p>
      <w:pPr>
        <w:spacing w:after="40"/>
      </w:pPr>
    </w:p>
    <w:p>
      <w:pPr>
        <w:spacing w:after="120" w:line="300" w:lineRule="auto"/>
      </w:pPr>
      <w:r>
        <w:rPr>
          <w:b w:val="0"/>
          <w:i w:val="0"/>
          <w:color w:val="333333"/>
          <w:sz w:val="22"/>
        </w:rPr>
        <w:t>Click Send. The response is a JSON array of log records:</w:t>
      </w:r>
    </w:p>
    <w:tbl>
      <w:tblPr>
        <w:tblW w:type="auto" w:w="0"/>
        <w:tblLayout w:type="autofit"/>
        <w:tblLook w:firstColumn="1" w:firstRow="1" w:lastColumn="0" w:lastRow="0" w:noHBand="0" w:noVBand="1" w:val="04A0"/>
      </w:tblPr>
      <w:tblGrid>
        <w:gridCol w:w="9518"/>
      </w:tblGrid>
      <w:tr>
        <w:tc>
          <w:tcPr>
            <w:tcW w:type="dxa" w:w="9518"/>
            <w:shd w:val="clear" w:color="auto" w:fill="F5F7FA"/>
            <w:tcBorders>
              <w:top w:val="single" w:sz="4" w:color="D6DCE4"/>
              <w:left w:val="single" w:sz="4" w:color="D6DCE4"/>
              <w:bottom w:val="single" w:sz="4" w:color="D6DCE4"/>
              <w:right w:val="single" w:sz="4" w:color="D6DCE4"/>
            </w:tcBorders>
          </w:tcPr>
          <w:p>
            <w:pPr>
              <w:spacing w:after="0" w:before="0"/>
            </w:pPr>
            <w:r/>
            <w:r>
              <w:rPr>
                <w:rFonts w:ascii="Consolas" w:hAnsi="Consolas"/>
                <w:color w:val="333333"/>
                <w:sz w:val="19"/>
              </w:rPr>
              <w:t>[</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"docId": "1676331169798218676",</w:t>
            </w:r>
          </w:p>
          <w:p>
            <w:pPr>
              <w:spacing w:after="0" w:before="0"/>
            </w:pPr>
            <w:r>
              <w:rPr>
                <w:rFonts w:ascii="Consolas" w:hAnsi="Consolas"/>
                <w:color w:val="333333"/>
                <w:sz w:val="19"/>
              </w:rPr>
              <w:t xml:space="preserve">    "timestamp": 1777671047803,</w:t>
            </w:r>
          </w:p>
          <w:p>
            <w:pPr>
              <w:spacing w:after="0" w:before="0"/>
            </w:pPr>
            <w:r>
              <w:rPr>
                <w:rFonts w:ascii="Consolas" w:hAnsi="Consolas"/>
                <w:color w:val="333333"/>
                <w:sz w:val="19"/>
              </w:rPr>
              <w:t xml:space="preserve">    "logLevel": "INFO",</w:t>
            </w:r>
          </w:p>
          <w:p>
            <w:pPr>
              <w:spacing w:after="0" w:before="0"/>
            </w:pPr>
            <w:r>
              <w:rPr>
                <w:rFonts w:ascii="Consolas" w:hAnsi="Consolas"/>
                <w:color w:val="333333"/>
                <w:sz w:val="19"/>
              </w:rPr>
              <w:t xml:space="preserve">    "message": "Application started successfully",</w:t>
            </w:r>
          </w:p>
          <w:p>
            <w:pPr>
              <w:spacing w:after="0" w:before="0"/>
            </w:pPr>
            <w:r>
              <w:rPr>
                <w:rFonts w:ascii="Consolas" w:hAnsi="Consolas"/>
                <w:color w:val="333333"/>
                <w:sz w:val="19"/>
              </w:rPr>
              <w:t xml:space="preserve">    "replicaId": "lloyds-financials-sync-5669d64f97-tb5kw",</w:t>
            </w:r>
          </w:p>
          <w:p>
            <w:pPr>
              <w:spacing w:after="0" w:before="0"/>
            </w:pPr>
            <w:r>
              <w:rPr>
                <w:rFonts w:ascii="Consolas" w:hAnsi="Consolas"/>
                <w:color w:val="333333"/>
                <w:sz w:val="19"/>
              </w:rPr>
              <w:t xml:space="preserve">    "context": {</w:t>
            </w:r>
          </w:p>
          <w:p>
            <w:pPr>
              <w:spacing w:after="0" w:before="0"/>
            </w:pPr>
            <w:r>
              <w:rPr>
                <w:rFonts w:ascii="Consolas" w:hAnsi="Consolas"/>
                <w:color w:val="333333"/>
                <w:sz w:val="19"/>
              </w:rPr>
              <w:t xml:space="preserve">      "logger": "org.mule.runtime...",</w:t>
            </w:r>
          </w:p>
          <w:p>
            <w:pPr>
              <w:spacing w:after="0" w:before="0"/>
            </w:pPr>
            <w:r>
              <w:rPr>
                <w:rFonts w:ascii="Consolas" w:hAnsi="Consolas"/>
                <w:color w:val="333333"/>
                <w:sz w:val="19"/>
              </w:rPr>
              <w:t xml:space="preserve">      "class": "[MuleRuntime]..."</w:t>
            </w:r>
          </w:p>
          <w:p>
            <w:pPr>
              <w:spacing w:after="0" w:before="0"/>
            </w:pPr>
            <w:r>
              <w:rPr>
                <w:rFonts w:ascii="Consolas" w:hAnsi="Consolas"/>
                <w:color w:val="333333"/>
                <w:sz w:val="19"/>
              </w:rPr>
              <w:t xml:space="preserve">    }</w:t>
            </w:r>
          </w:p>
          <w:p>
            <w:pPr>
              <w:spacing w:after="0" w:before="0"/>
            </w:pPr>
            <w:r>
              <w:rPr>
                <w:rFonts w:ascii="Consolas" w:hAnsi="Consolas"/>
                <w:color w:val="333333"/>
                <w:sz w:val="19"/>
              </w:rPr>
              <w:t xml:space="preserve">  }</w:t>
            </w:r>
          </w:p>
          <w:p>
            <w:pPr>
              <w:spacing w:after="0" w:before="0"/>
            </w:pPr>
            <w:r>
              <w:rPr>
                <w:rFonts w:ascii="Consolas" w:hAnsi="Consolas"/>
                <w:color w:val="333333"/>
                <w:sz w:val="19"/>
              </w:rPr>
              <w:t>]</w:t>
            </w:r>
          </w:p>
        </w:tc>
      </w:tr>
    </w:tbl>
    <w:p>
      <w:pPr>
        <w:spacing w:after="80"/>
      </w:pPr>
    </w:p>
    <w:p>
      <w:pPr>
        <w:spacing w:before="400" w:after="160"/>
        <w:pBdr>
          <w:bottom w:val="single" w:sz="8" w:space="1" w:color="3B82C4"/>
        </w:pBdr>
      </w:pPr>
      <w:r>
        <w:rPr>
          <w:rFonts w:ascii="Calibri" w:hAnsi="Calibri"/>
          <w:b/>
          <w:color w:val="1F3A5F"/>
          <w:sz w:val="40"/>
        </w:rPr>
        <w:t>Step 7: Page through every record</w:t>
      </w:r>
    </w:p>
    <w:p>
      <w:pPr>
        <w:spacing w:after="120" w:line="300" w:lineRule="auto"/>
      </w:pPr>
      <w:r>
        <w:rPr>
          <w:b w:val="0"/>
          <w:i w:val="0"/>
          <w:color w:val="333333"/>
          <w:sz w:val="22"/>
        </w:rPr>
        <w:t>A single call returns at most 1000 records. To retrieve every record in a time window, use the afterDocId cursor. The pattern is straightforward.</w:t>
      </w:r>
    </w:p>
    <w:p>
      <w:pPr>
        <w:pStyle w:val="ListNumber"/>
        <w:spacing w:after="40" w:line="288" w:lineRule="auto"/>
      </w:pPr>
      <w:r>
        <w:rPr>
          <w:color w:val="333333"/>
          <w:sz w:val="22"/>
        </w:rPr>
        <w:t>Run the request from Step 6. Capture the response.</w:t>
      </w:r>
    </w:p>
    <w:p>
      <w:pPr>
        <w:pStyle w:val="ListNumber"/>
        <w:spacing w:after="40" w:line="288" w:lineRule="auto"/>
      </w:pPr>
      <w:r>
        <w:rPr>
          <w:color w:val="333333"/>
          <w:sz w:val="22"/>
        </w:rPr>
        <w:t>If the response has 1000 records, take the docId of the last record in the array.</w:t>
      </w:r>
    </w:p>
    <w:p>
      <w:pPr>
        <w:pStyle w:val="ListNumber"/>
        <w:spacing w:after="40" w:line="288" w:lineRule="auto"/>
      </w:pPr>
      <w:r>
        <w:rPr>
          <w:color w:val="333333"/>
          <w:sz w:val="22"/>
        </w:rPr>
        <w:t>Run the same request again, but add one more parameter to the Params tab: afterDocId, set to the docId you just captured.</w:t>
      </w:r>
    </w:p>
    <w:p>
      <w:pPr>
        <w:pStyle w:val="ListNumber"/>
        <w:spacing w:after="40" w:line="288" w:lineRule="auto"/>
      </w:pPr>
      <w:r>
        <w:rPr>
          <w:color w:val="333333"/>
          <w:sz w:val="22"/>
        </w:rPr>
        <w:t>Repeat until a response returns fewer than 1000 records. That is the last page.</w:t>
      </w:r>
    </w:p>
    <w:tbl>
      <w:tblPr>
        <w:tblW w:type="auto" w:w="0"/>
        <w:tblLook w:firstColumn="1" w:firstRow="1" w:lastColumn="0" w:lastRow="0" w:noHBand="0" w:noVBand="1" w:val="04A0"/>
      </w:tblPr>
      <w:tblGrid>
        <w:gridCol w:w="9518"/>
      </w:tblGrid>
      <w:tr>
        <w:tc>
          <w:tcPr>
            <w:tcW w:type="dxa" w:w="9518"/>
            <w:shd w:val="clear" w:color="auto" w:fill="EAF1F8"/>
            <w:tcBorders>
              <w:left w:val="single" w:sz="18" w:color="3B82C4"/>
              <w:top w:val="single" w:sz="4" w:color="D6DCE4"/>
              <w:bottom w:val="single" w:sz="4" w:color="D6DCE4"/>
              <w:right w:val="single" w:sz="4" w:color="D6DCE4"/>
            </w:tcBorders>
          </w:tcPr>
          <w:p>
            <w:pPr>
              <w:spacing w:after="40"/>
            </w:pPr>
            <w:r/>
            <w:r>
              <w:rPr>
                <w:b/>
                <w:color w:val="1F3A5F"/>
                <w:sz w:val="22"/>
              </w:rPr>
              <w:t>Why fewer than 1000 and not zero</w:t>
            </w:r>
          </w:p>
          <w:p>
            <w:pPr>
              <w:spacing w:after="0"/>
            </w:pPr>
            <w:r>
              <w:rPr>
                <w:color w:val="333333"/>
                <w:sz w:val="21"/>
              </w:rPr>
              <w:t>An empty response can occur mid-stream under certain backend conditions. A page that is strictly shorter than the requested length is the safe and reliable end-of-stream signal.</w:t>
            </w:r>
          </w:p>
        </w:tc>
      </w:tr>
    </w:tbl>
    <w:p>
      <w:pPr>
        <w:spacing w:after="40"/>
      </w:pPr>
    </w:p>
    <w:p>
      <w:pPr>
        <w:spacing w:after="120" w:line="300" w:lineRule="auto"/>
      </w:pPr>
      <w:r>
        <w:rPr>
          <w:b w:val="0"/>
          <w:i w:val="0"/>
          <w:color w:val="333333"/>
          <w:sz w:val="22"/>
        </w:rPr>
        <w:t>If you are pulling a large window, two practical tips: keep descending set to false so the cursor is stable and predictable, and remember that the access token expires after about an hour. For long pulls, run Step 1 again and refresh the access_token variable before resuming.</w:t>
      </w:r>
    </w:p>
    <w:p>
      <w:pPr>
        <w:spacing w:before="400" w:after="160"/>
        <w:pBdr>
          <w:bottom w:val="single" w:sz="8" w:space="1" w:color="3B82C4"/>
        </w:pBdr>
      </w:pPr>
      <w:r>
        <w:rPr>
          <w:rFonts w:ascii="Calibri" w:hAnsi="Calibri"/>
          <w:b/>
          <w:color w:val="1F3A5F"/>
          <w:sz w:val="40"/>
        </w:rPr>
        <w:t>Step 8: Download the full raw log file</w:t>
      </w:r>
    </w:p>
    <w:p>
      <w:pPr>
        <w:spacing w:after="120" w:line="300" w:lineRule="auto"/>
      </w:pPr>
      <w:r>
        <w:rPr>
          <w:b w:val="0"/>
          <w:i w:val="0"/>
          <w:color w:val="333333"/>
          <w:sz w:val="22"/>
        </w:rPr>
        <w:t>When you want the exact text file the runtime wrote, the same one you would download from the Runtime Manager UI, there is a separate endpoint. The response is plaintext, not JSON, and includes every log line the runtime emitted regardless of level. For chatty applications this can be tens of megabytes.</w:t>
      </w:r>
    </w:p>
    <w:p>
      <w:pPr>
        <w:spacing w:after="120" w:line="300" w:lineRule="auto"/>
      </w:pPr>
      <w:r>
        <w:rPr>
          <w:b w:val="0"/>
          <w:i w:val="0"/>
          <w:color w:val="333333"/>
          <w:sz w:val="22"/>
        </w:rPr>
        <w:t>Add a new request to the collection.</w:t>
      </w:r>
    </w:p>
    <w:tbl>
      <w:tblPr>
        <w:tblW w:type="auto" w:w="0"/>
        <w:tblLayout w:type="autofit"/>
        <w:tblLook w:firstColumn="1" w:firstRow="1" w:lastColumn="0" w:lastRow="0" w:noHBand="0" w:noVBand="1" w:val="04A0"/>
      </w:tblPr>
      <w:tblGrid>
        <w:gridCol w:w="4759"/>
        <w:gridCol w:w="4759"/>
      </w:tblGrid>
      <w:tr>
        <w:tc>
          <w:tcPr>
            <w:tcW w:type="dxa" w:w="2041"/>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Field</w:t>
            </w:r>
          </w:p>
        </w:tc>
        <w:tc>
          <w:tcPr>
            <w:tcW w:type="dxa" w:w="7370"/>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Value</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Method</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GET</w:t>
            </w:r>
          </w:p>
        </w:tc>
      </w:tr>
      <w:tr>
        <w:tc>
          <w:tcPr>
            <w:tcW w:type="dxa" w:w="2041"/>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URL</w:t>
            </w:r>
          </w:p>
        </w:tc>
        <w:tc>
          <w:tcPr>
            <w:tcW w:type="dxa" w:w="7370"/>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https://{{host}}/amc/application-manager/api/v2/organizations/{{organization_id}}/environments/{{environment_id}}/deployments/{{deployment_id}}/specs/{{spec_id}}/logs/file</w:t>
            </w:r>
          </w:p>
        </w:tc>
      </w:tr>
      <w:tr>
        <w:tc>
          <w:tcPr>
            <w:tcW w:type="dxa" w:w="204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Headers</w:t>
            </w:r>
          </w:p>
        </w:tc>
        <w:tc>
          <w:tcPr>
            <w:tcW w:type="dxa" w:w="737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Authorization: Bearer {{access_token}}</w:t>
            </w:r>
          </w:p>
        </w:tc>
      </w:tr>
    </w:tbl>
    <w:p>
      <w:pPr>
        <w:spacing w:after="40"/>
      </w:pPr>
    </w:p>
    <w:p>
      <w:pPr>
        <w:spacing w:after="120" w:line="300" w:lineRule="auto"/>
      </w:pPr>
      <w:r>
        <w:rPr>
          <w:b w:val="0"/>
          <w:i w:val="0"/>
          <w:color w:val="333333"/>
          <w:sz w:val="22"/>
        </w:rPr>
        <w:t>Click Send. Postman downloads the file and shows the body. To save it to disk, click the Save Response dropdown next to the response and choose Save to a file. Pick a name such as application.log.</w:t>
      </w:r>
    </w:p>
    <w:tbl>
      <w:tblPr>
        <w:tblW w:type="auto" w:w="0"/>
        <w:tblLook w:firstColumn="1" w:firstRow="1" w:lastColumn="0" w:lastRow="0" w:noHBand="0" w:noVBand="1" w:val="04A0"/>
      </w:tblPr>
      <w:tblGrid>
        <w:gridCol w:w="9518"/>
      </w:tblGrid>
      <w:tr>
        <w:tc>
          <w:tcPr>
            <w:tcW w:type="dxa" w:w="9518"/>
            <w:shd w:val="clear" w:color="auto" w:fill="EAF1F8"/>
            <w:tcBorders>
              <w:left w:val="single" w:sz="18" w:color="3B82C4"/>
              <w:top w:val="single" w:sz="4" w:color="D6DCE4"/>
              <w:bottom w:val="single" w:sz="4" w:color="D6DCE4"/>
              <w:right w:val="single" w:sz="4" w:color="D6DCE4"/>
            </w:tcBorders>
          </w:tcPr>
          <w:p>
            <w:pPr>
              <w:spacing w:after="40"/>
            </w:pPr>
            <w:r/>
            <w:r>
              <w:rPr>
                <w:b/>
                <w:color w:val="1F3A5F"/>
                <w:sz w:val="22"/>
              </w:rPr>
              <w:t>When to use which endpoint</w:t>
            </w:r>
          </w:p>
          <w:p>
            <w:pPr>
              <w:spacing w:after="0"/>
            </w:pPr>
            <w:r>
              <w:rPr>
                <w:color w:val="333333"/>
                <w:sz w:val="21"/>
              </w:rPr>
              <w:t>Use the search endpoint (Steps 6 and 7) when you want filtered, structured records, for analytics, dashboards, or shipping into another system. Use the file endpoint (Step 8) when you want the raw, unfiltered text exactly as the runtime emitted it, for forensics, archival, or sharing with someone else.</w:t>
            </w:r>
          </w:p>
        </w:tc>
      </w:tr>
    </w:tbl>
    <w:p>
      <w:pPr>
        <w:spacing w:after="40"/>
      </w:pPr>
    </w:p>
    <w:p>
      <w:pPr>
        <w:spacing w:before="400" w:after="160"/>
        <w:pBdr>
          <w:bottom w:val="single" w:sz="8" w:space="1" w:color="3B82C4"/>
        </w:pBdr>
      </w:pPr>
      <w:r>
        <w:rPr>
          <w:rFonts w:ascii="Calibri" w:hAnsi="Calibri"/>
          <w:b/>
          <w:color w:val="1F3A5F"/>
          <w:sz w:val="40"/>
        </w:rPr>
        <w:t>Common problems and what they mean</w:t>
      </w:r>
    </w:p>
    <w:p>
      <w:pPr>
        <w:spacing w:after="120" w:line="300" w:lineRule="auto"/>
      </w:pPr>
      <w:r>
        <w:rPr>
          <w:b w:val="0"/>
          <w:i w:val="0"/>
          <w:color w:val="333333"/>
          <w:sz w:val="22"/>
        </w:rPr>
        <w:t>If something does not work, the symptom usually points clearly at the cause. These are the issues you are most likely to hit.</w:t>
      </w:r>
    </w:p>
    <w:tbl>
      <w:tblPr>
        <w:tblW w:type="auto" w:w="0"/>
        <w:tblLayout w:type="autofit"/>
        <w:tblLook w:firstColumn="1" w:firstRow="1" w:lastColumn="0" w:lastRow="0" w:noHBand="0" w:noVBand="1" w:val="04A0"/>
      </w:tblPr>
      <w:tblGrid>
        <w:gridCol w:w="4759"/>
        <w:gridCol w:w="4759"/>
      </w:tblGrid>
      <w:tr>
        <w:tc>
          <w:tcPr>
            <w:tcW w:type="dxa" w:w="3061"/>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Symptom</w:t>
            </w:r>
          </w:p>
        </w:tc>
        <w:tc>
          <w:tcPr>
            <w:tcW w:type="dxa" w:w="6350"/>
            <w:shd w:val="clear" w:color="auto" w:fill="1F3A5F"/>
            <w:tcBorders>
              <w:top w:val="single" w:sz="4" w:color="D6DCE4"/>
              <w:left w:val="single" w:sz="4" w:color="D6DCE4"/>
              <w:bottom w:val="single" w:sz="4" w:color="D6DCE4"/>
              <w:right w:val="single" w:sz="4" w:color="D6DCE4"/>
            </w:tcBorders>
          </w:tcPr>
          <w:p>
            <w:pPr>
              <w:spacing w:after="0"/>
            </w:pPr>
            <w:r/>
            <w:r>
              <w:rPr>
                <w:b/>
                <w:color w:val="FFFFFF"/>
                <w:sz w:val="21"/>
              </w:rPr>
              <w:t>Likely cause and fix</w:t>
            </w:r>
          </w:p>
        </w:tc>
      </w:tr>
      <w:tr>
        <w:tc>
          <w:tcPr>
            <w:tcW w:type="dxa" w:w="306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401 Unauthorized</w:t>
            </w:r>
          </w:p>
        </w:tc>
        <w:tc>
          <w:tcPr>
            <w:tcW w:type="dxa" w:w="635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The token is missing, expired, or was issued from the wrong region. Confirm the token endpoint and the API endpoint use the same host (both anypoint.mulesoft.com or both eu1.anypoint.mulesoft.com).</w:t>
            </w:r>
          </w:p>
        </w:tc>
      </w:tr>
      <w:tr>
        <w:tc>
          <w:tcPr>
            <w:tcW w:type="dxa" w:w="3061"/>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403 Forbidden</w:t>
            </w:r>
          </w:p>
        </w:tc>
        <w:tc>
          <w:tcPr>
            <w:tcW w:type="dxa" w:w="6350"/>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The Connected App is authenticated but does not have permission for this environment. Ask your administrator to confirm read permissions on Environments, Logs, and Applications for the target environment.</w:t>
            </w:r>
          </w:p>
        </w:tc>
      </w:tr>
      <w:tr>
        <w:tc>
          <w:tcPr>
            <w:tcW w:type="dxa" w:w="306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404 Not Found</w:t>
            </w:r>
          </w:p>
        </w:tc>
        <w:tc>
          <w:tcPr>
            <w:tcW w:type="dxa" w:w="635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One of the IDs is wrong, or the application has been redeployed and the spec ID has changed. Repeat Steps 2 to 4 to refresh the IDs.</w:t>
            </w:r>
          </w:p>
        </w:tc>
      </w:tr>
      <w:tr>
        <w:tc>
          <w:tcPr>
            <w:tcW w:type="dxa" w:w="3061"/>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Only 10 records returned even though length=1000</w:t>
            </w:r>
          </w:p>
        </w:tc>
        <w:tc>
          <w:tcPr>
            <w:tcW w:type="dxa" w:w="6350"/>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Classic symptom of packing parameters into ?search=&lt;json&gt;. Send each parameter as its own query parameter.</w:t>
            </w:r>
          </w:p>
        </w:tc>
      </w:tr>
      <w:tr>
        <w:tc>
          <w:tcPr>
            <w:tcW w:type="dxa" w:w="3061"/>
            <w:shd w:val="clear" w:color="auto" w:fill="FFFFFF"/>
            <w:tcBorders>
              <w:top w:val="single" w:sz="4" w:color="D6DCE4"/>
              <w:left w:val="single" w:sz="4" w:color="D6DCE4"/>
              <w:bottom w:val="single" w:sz="4" w:color="D6DCE4"/>
              <w:right w:val="single" w:sz="4" w:color="D6DCE4"/>
            </w:tcBorders>
          </w:tcPr>
          <w:p>
            <w:pPr>
              <w:spacing w:after="0"/>
            </w:pPr>
            <w:r/>
            <w:r>
              <w:rPr>
                <w:b/>
                <w:color w:val="1F3A5F"/>
                <w:sz w:val="20"/>
              </w:rPr>
              <w:t>Filtered by INFO/WARN/ERROR and got zero records</w:t>
            </w:r>
          </w:p>
        </w:tc>
        <w:tc>
          <w:tcPr>
            <w:tcW w:type="dxa" w:w="6350"/>
            <w:shd w:val="clear" w:color="auto" w:fill="FFFFFF"/>
            <w:tcBorders>
              <w:top w:val="single" w:sz="4" w:color="D6DCE4"/>
              <w:left w:val="single" w:sz="4" w:color="D6DCE4"/>
              <w:bottom w:val="single" w:sz="4" w:color="D6DCE4"/>
              <w:right w:val="single" w:sz="4" w:color="D6DCE4"/>
            </w:tcBorders>
          </w:tcPr>
          <w:p>
            <w:pPr>
              <w:spacing w:after="0"/>
            </w:pPr>
            <w:r/>
            <w:r>
              <w:rPr>
                <w:color w:val="333333"/>
                <w:sz w:val="20"/>
              </w:rPr>
              <w:t>The runtime might be configured at DEBUG level only, so no INFO/WARN/ERROR records exist in that window. Drop the logLevel filter to see what is actually being emitted.</w:t>
            </w:r>
          </w:p>
        </w:tc>
      </w:tr>
      <w:tr>
        <w:tc>
          <w:tcPr>
            <w:tcW w:type="dxa" w:w="3061"/>
            <w:shd w:val="clear" w:color="auto" w:fill="F2F4F7"/>
            <w:tcBorders>
              <w:top w:val="single" w:sz="4" w:color="D6DCE4"/>
              <w:left w:val="single" w:sz="4" w:color="D6DCE4"/>
              <w:bottom w:val="single" w:sz="4" w:color="D6DCE4"/>
              <w:right w:val="single" w:sz="4" w:color="D6DCE4"/>
            </w:tcBorders>
          </w:tcPr>
          <w:p>
            <w:pPr>
              <w:spacing w:after="0"/>
            </w:pPr>
            <w:r/>
            <w:r>
              <w:rPr>
                <w:b/>
                <w:color w:val="1F3A5F"/>
                <w:sz w:val="20"/>
              </w:rPr>
              <w:t>Empty response on a time window you know contains data</w:t>
            </w:r>
          </w:p>
        </w:tc>
        <w:tc>
          <w:tcPr>
            <w:tcW w:type="dxa" w:w="6350"/>
            <w:shd w:val="clear" w:color="auto" w:fill="F2F4F7"/>
            <w:tcBorders>
              <w:top w:val="single" w:sz="4" w:color="D6DCE4"/>
              <w:left w:val="single" w:sz="4" w:color="D6DCE4"/>
              <w:bottom w:val="single" w:sz="4" w:color="D6DCE4"/>
              <w:right w:val="single" w:sz="4" w:color="D6DCE4"/>
            </w:tcBorders>
          </w:tcPr>
          <w:p>
            <w:pPr>
              <w:spacing w:after="0"/>
            </w:pPr>
            <w:r/>
            <w:r>
              <w:rPr>
                <w:color w:val="333333"/>
                <w:sz w:val="20"/>
              </w:rPr>
              <w:t>Verify your timestamps are in milliseconds (13 digits), not seconds (10 digits). Also check the retention window: CloudHub 1.0 keeps the last 100 MB or 30 days; CloudHub 2.0 keeps 30 days.</w:t>
            </w:r>
          </w:p>
        </w:tc>
      </w:tr>
    </w:tbl>
    <w:p>
      <w:pPr>
        <w:spacing w:after="40"/>
      </w:pPr>
    </w:p>
    <w:p>
      <w:pPr>
        <w:spacing w:before="400" w:after="160"/>
        <w:pBdr>
          <w:bottom w:val="single" w:sz="8" w:space="1" w:color="3B82C4"/>
        </w:pBdr>
      </w:pPr>
      <w:r>
        <w:rPr>
          <w:rFonts w:ascii="Calibri" w:hAnsi="Calibri"/>
          <w:b/>
          <w:color w:val="1F3A5F"/>
          <w:sz w:val="40"/>
        </w:rPr>
        <w:t>Conclusion</w:t>
      </w:r>
    </w:p>
    <w:p>
      <w:pPr>
        <w:spacing w:after="120" w:line="300" w:lineRule="auto"/>
      </w:pPr>
      <w:r>
        <w:rPr>
          <w:b w:val="0"/>
          <w:i w:val="0"/>
          <w:color w:val="333333"/>
          <w:sz w:val="22"/>
        </w:rPr>
        <w:t>For day-to-day work, Anypoint Monitoring and Runtime Manager cover most needs, and a production-grade log forwarder covers the rest. The platform APIs come into play for the cases those tools do not solve: pulling logs from a non-production environment without a forwarder, automating an archival or audit job, or extracting a specific window for analysis.</w:t>
      </w:r>
    </w:p>
    <w:p>
      <w:pPr>
        <w:spacing w:after="120" w:line="300" w:lineRule="auto"/>
      </w:pPr>
      <w:r>
        <w:rPr>
          <w:b w:val="0"/>
          <w:i w:val="0"/>
          <w:color w:val="333333"/>
          <w:sz w:val="22"/>
        </w:rPr>
        <w:t>The recipe is the same every time: authenticate, walk the IDs from organization to environment to deployment to spec, then read. The single most common mistake is packing search parameters into a JSON object inside ?search=... That parameter is for free-text matching only. Send each filter as its own query parameter and the API behaves as expected.</w:t>
      </w:r>
    </w:p>
    <w:p>
      <w:pPr>
        <w:spacing w:after="120" w:line="300" w:lineRule="auto"/>
      </w:pPr>
      <w:r>
        <w:rPr>
          <w:b w:val="0"/>
          <w:i w:val="0"/>
          <w:color w:val="333333"/>
          <w:sz w:val="22"/>
        </w:rPr>
        <w:t>Build the Postman collection once, save the variables, and you have a reusable kit that works against any environment by changing four values.</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Anypoint Platform | Application Logs API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