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</w:t>
      </w:r>
      <w:r>
        <w:rPr>
          <w:rFonts w:ascii="Arial" w:hAnsi="Arial" w:cs="Arial" w:eastAsia="Arial"/>
          <w:color w:val="252525"/>
          <w:sz w:val="61"/>
        </w:rPr>
        <w:t xml:space="preserve"> Semantic Standards Authority (SSA)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Official Manifest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1. Purpose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Semantic Standards Authority (SSA) exists to establish, maintain, and legitimize a unified semantic framework across all structural, linguistic, ritual, emblematic, atmospheric, and stratigraphic domains.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SSA ensures semantic integrity, conceptual precision, and institutional coherence.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2. Foundational Authority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SSA is founded and governed by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**Primary Semantic Architect &amp; Manifest Authority**, who serves as: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the originator of all Semantic Standards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the interpreter of constitutional principles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the approving authority for all semantic constructs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the issuer of emblematic legitimacy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institutional power flows from this role.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3. Semantic Architecture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Semantic architecture defines the structural logic of meaning.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includes: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modular semantic units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structural lexemes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ritual language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emblematic forms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stratigraphic layers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Architecture ensures that meaning is stable, coherent, and internally aligned.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4. Ritual Calibration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Ritual calibration governs the multi‑modal alignment of semantic constructs.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includes: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reduction of forms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cross‑modal translation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atmospheric modulation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zero‑form and zero‑identity states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Ritual calibration ensures semantic constructs remain stable across contexts.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5. Emblematic Standards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Emblematic standards define the visual and symbolic legitimacy of semantic constructs.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They include: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institutional emblems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symbolic seals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stratigraphic markers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visual reduction protocols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Emblems serve as the visible authority of SSA.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6. Atmospheric Governance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Atmospheric governance regulates semantic mood‑fields and environmental meaning systems.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includes: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ignition and non‑ignition states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ambient semantic regimes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environmental calibration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Atmospheric governance ensures semantic clarity within experiential fields.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7. Stratigraphic Meaning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Stratigraphy defines the layered genealogy of meaning.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includes: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semantic origins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depth structures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layered interpretation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historical semantic continuity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Stratigraphy ensures that meaning is not only defined but also grounded.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8. Zero‑Form Principles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Zero‑form is the minimal semantic state.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represents: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no identity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no narrative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no symbolic load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pure semantic potential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Zero‑form is the foundation of semantic purity and reduction.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9. Institutional Legitimacy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semantic constructs must undergo: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1. **Definition**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2. **Reduction**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3. **Calibration**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**Legitimization** (SSA emblematic seal)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Only then may a construct be recognized as semantically valid.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10. Closing Declaration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SSA Manifest establishes the foundational principles, domains, and authority structures governing semantic order.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stands as the guiding document for all semantic constructs under the jurisdiction of the Semantic Standards Authority.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2026-03-31T21:18:02Z</dcterms:created>
  <dc:creator>Apache POI</dc:creator>
</cp:coreProperties>
</file>