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CD15F" w14:textId="24AB85F7" w:rsidR="00A2785A" w:rsidRPr="001C4BEF" w:rsidRDefault="00A2785A" w:rsidP="00784FF4">
      <w:pPr>
        <w:spacing w:line="276" w:lineRule="auto"/>
        <w:jc w:val="both"/>
        <w:rPr>
          <w:b/>
          <w:bCs/>
        </w:rPr>
      </w:pPr>
      <w:r w:rsidRPr="00A2785A">
        <w:rPr>
          <w:b/>
          <w:bCs/>
        </w:rPr>
        <w:t xml:space="preserve"> </w:t>
      </w:r>
      <w:r w:rsidRPr="001C4BEF">
        <w:rPr>
          <w:b/>
          <w:bCs/>
        </w:rPr>
        <w:t>INFORME</w:t>
      </w:r>
    </w:p>
    <w:p w14:paraId="08434F79" w14:textId="07FEDED4" w:rsidR="00A2785A" w:rsidRPr="001C4BEF" w:rsidRDefault="00A2785A" w:rsidP="00784FF4">
      <w:pPr>
        <w:spacing w:line="276" w:lineRule="auto"/>
        <w:jc w:val="both"/>
        <w:rPr>
          <w:b/>
          <w:bCs/>
        </w:rPr>
      </w:pPr>
      <w:r w:rsidRPr="001C4BEF">
        <w:rPr>
          <w:b/>
          <w:bCs/>
        </w:rPr>
        <w:t xml:space="preserve">Transformación estratégica de Transbank mediante Open </w:t>
      </w:r>
      <w:proofErr w:type="spellStart"/>
      <w:r w:rsidRPr="001C4BEF">
        <w:rPr>
          <w:b/>
          <w:bCs/>
        </w:rPr>
        <w:t>Finance</w:t>
      </w:r>
      <w:proofErr w:type="spellEnd"/>
      <w:r w:rsidRPr="001C4BEF">
        <w:rPr>
          <w:b/>
          <w:bCs/>
        </w:rPr>
        <w:t>, Inteligencia Artificial y modelos de plataforma</w:t>
      </w:r>
    </w:p>
    <w:p w14:paraId="194C9D31" w14:textId="77777777" w:rsidR="00A2785A" w:rsidRPr="001C4BEF" w:rsidRDefault="00A2785A" w:rsidP="00784FF4">
      <w:pPr>
        <w:spacing w:line="276" w:lineRule="auto"/>
        <w:jc w:val="both"/>
        <w:rPr>
          <w:b/>
          <w:bCs/>
        </w:rPr>
      </w:pPr>
      <w:r w:rsidRPr="001C4BEF">
        <w:rPr>
          <w:b/>
          <w:bCs/>
        </w:rPr>
        <w:t>1. Introducción</w:t>
      </w:r>
    </w:p>
    <w:p w14:paraId="2B37182D" w14:textId="77777777" w:rsidR="00A2785A" w:rsidRPr="001C4BEF" w:rsidRDefault="00A2785A" w:rsidP="00784FF4">
      <w:pPr>
        <w:spacing w:line="276" w:lineRule="auto"/>
        <w:jc w:val="both"/>
      </w:pPr>
      <w:r w:rsidRPr="001C4BEF">
        <w:t>La industria de servicios financieros se encuentra en medio de una transformación estructural profunda, impulsada por la digitalización, la irrupción de nuevas tecnologías y un cambio significativo en las expectativas de los consumidores. En particular, el segmento de pagos ha evolucionado desde un rol operacional y transaccional hacia una posición estratégica dentro de los ecosistemas digitales, convirtiéndose en un punto clave de interacción con el cliente.</w:t>
      </w:r>
    </w:p>
    <w:p w14:paraId="7BA732BD" w14:textId="77777777" w:rsidR="00A2785A" w:rsidRPr="001C4BEF" w:rsidRDefault="00A2785A" w:rsidP="00784FF4">
      <w:pPr>
        <w:spacing w:line="276" w:lineRule="auto"/>
        <w:jc w:val="both"/>
      </w:pPr>
      <w:r w:rsidRPr="001C4BEF">
        <w:t xml:space="preserve">Este cambio no es incremental, sino disruptivo. La aparición de </w:t>
      </w:r>
      <w:proofErr w:type="spellStart"/>
      <w:r w:rsidRPr="001C4BEF">
        <w:t>fintechs</w:t>
      </w:r>
      <w:proofErr w:type="spellEnd"/>
      <w:r w:rsidRPr="001C4BEF">
        <w:t xml:space="preserve">, </w:t>
      </w:r>
      <w:proofErr w:type="spellStart"/>
      <w:r w:rsidRPr="001C4BEF">
        <w:t>neobancos</w:t>
      </w:r>
      <w:proofErr w:type="spellEnd"/>
      <w:r w:rsidRPr="001C4BEF">
        <w:t xml:space="preserve"> y grandes empresas tecnológicas ha alterado las reglas de competencia, introduciendo modelos de negocio más ágiles, centrados en la experiencia del usuario y altamente basados en datos. Como consecuencia, los actores tradicionales enfrentan el desafío de redefinir su propuesta de valor y su posicionamiento dentro del ecosistema financiero.</w:t>
      </w:r>
    </w:p>
    <w:p w14:paraId="585265EF" w14:textId="77777777" w:rsidR="00A2785A" w:rsidRPr="001C4BEF" w:rsidRDefault="00A2785A" w:rsidP="00784FF4">
      <w:pPr>
        <w:spacing w:line="276" w:lineRule="auto"/>
        <w:jc w:val="both"/>
      </w:pPr>
      <w:r w:rsidRPr="001C4BEF">
        <w:t xml:space="preserve">En este contexto, Transbank, como principal adquirente de pagos en Chile, se encuentra en una posición estratégica única. Su rol histórico como proveedor de infraestructura de pagos le ha permitido construir una red sólida y confiable. Sin embargo, su modelo de negocio enfrenta presiones crecientes derivadas de la </w:t>
      </w:r>
      <w:proofErr w:type="spellStart"/>
      <w:r w:rsidRPr="001C4BEF">
        <w:t>commoditización</w:t>
      </w:r>
      <w:proofErr w:type="spellEnd"/>
      <w:r w:rsidRPr="001C4BEF">
        <w:t xml:space="preserve"> del procesamiento de pagos, la entrada de nuevos competidores y la necesidad de capturar valor más allá de la intermediación.</w:t>
      </w:r>
    </w:p>
    <w:p w14:paraId="6C1D639A" w14:textId="77777777" w:rsidR="00A2785A" w:rsidRPr="001C4BEF" w:rsidRDefault="00A2785A" w:rsidP="00784FF4">
      <w:pPr>
        <w:spacing w:line="276" w:lineRule="auto"/>
        <w:jc w:val="both"/>
      </w:pPr>
      <w:r w:rsidRPr="001C4BEF">
        <w:t>Según McKinsey &amp; Company (2023), la industria global de pagos continúa expandiéndose, pero está siendo redefinida por la digitalización, la competencia y la innovación tecnológica, lo que obliga a las empresas a evolucionar hacia modelos más sofisticados y orientados al cliente.</w:t>
      </w:r>
    </w:p>
    <w:p w14:paraId="3E830CB9" w14:textId="57B72C34" w:rsidR="00A2785A" w:rsidRPr="001C4BEF" w:rsidRDefault="00A2785A" w:rsidP="00784FF4">
      <w:pPr>
        <w:spacing w:line="276" w:lineRule="auto"/>
        <w:jc w:val="both"/>
      </w:pPr>
    </w:p>
    <w:p w14:paraId="448BDFC3" w14:textId="77777777" w:rsidR="00A2785A" w:rsidRPr="001C4BEF" w:rsidRDefault="00A2785A" w:rsidP="00784FF4">
      <w:pPr>
        <w:spacing w:line="276" w:lineRule="auto"/>
        <w:jc w:val="both"/>
        <w:rPr>
          <w:b/>
          <w:bCs/>
        </w:rPr>
      </w:pPr>
      <w:r w:rsidRPr="001C4BEF">
        <w:rPr>
          <w:b/>
          <w:bCs/>
        </w:rPr>
        <w:t>2. Descripción de la empresa y estado de la industria</w:t>
      </w:r>
    </w:p>
    <w:p w14:paraId="45140B6A" w14:textId="77777777" w:rsidR="00A2785A" w:rsidRPr="001C4BEF" w:rsidRDefault="00A2785A" w:rsidP="00784FF4">
      <w:pPr>
        <w:spacing w:line="276" w:lineRule="auto"/>
        <w:jc w:val="both"/>
        <w:rPr>
          <w:b/>
          <w:bCs/>
        </w:rPr>
      </w:pPr>
      <w:r w:rsidRPr="001C4BEF">
        <w:rPr>
          <w:b/>
          <w:bCs/>
        </w:rPr>
        <w:t>2.1 Modelo de negocio de Transbank</w:t>
      </w:r>
    </w:p>
    <w:p w14:paraId="2D06B79A" w14:textId="77777777" w:rsidR="00A2785A" w:rsidRPr="001C4BEF" w:rsidRDefault="00A2785A" w:rsidP="00784FF4">
      <w:pPr>
        <w:spacing w:line="276" w:lineRule="auto"/>
        <w:jc w:val="both"/>
      </w:pPr>
      <w:r w:rsidRPr="001C4BEF">
        <w:t>Transbank opera como el principal adquirente de pagos electrónicos en Chile, actuando como intermediario entre comercios, bancos emisores y consumidores. Su modelo de negocio se basa en tres pilares principales:</w:t>
      </w:r>
    </w:p>
    <w:p w14:paraId="75BE5D78" w14:textId="77777777" w:rsidR="00A2785A" w:rsidRPr="001C4BEF" w:rsidRDefault="00A2785A" w:rsidP="00784FF4">
      <w:pPr>
        <w:numPr>
          <w:ilvl w:val="0"/>
          <w:numId w:val="1"/>
        </w:numPr>
        <w:spacing w:line="276" w:lineRule="auto"/>
        <w:jc w:val="both"/>
      </w:pPr>
      <w:r w:rsidRPr="001C4BEF">
        <w:t>Procesamiento de pagos electrónicos</w:t>
      </w:r>
    </w:p>
    <w:p w14:paraId="2314AC39" w14:textId="77777777" w:rsidR="00A2785A" w:rsidRPr="001C4BEF" w:rsidRDefault="00A2785A" w:rsidP="00784FF4">
      <w:pPr>
        <w:numPr>
          <w:ilvl w:val="0"/>
          <w:numId w:val="1"/>
        </w:numPr>
        <w:spacing w:line="276" w:lineRule="auto"/>
        <w:jc w:val="both"/>
      </w:pPr>
      <w:r w:rsidRPr="001C4BEF">
        <w:lastRenderedPageBreak/>
        <w:t>Cobro de comisiones por transacción</w:t>
      </w:r>
    </w:p>
    <w:p w14:paraId="6B1FC246" w14:textId="77777777" w:rsidR="00A2785A" w:rsidRPr="001C4BEF" w:rsidRDefault="00A2785A" w:rsidP="00784FF4">
      <w:pPr>
        <w:numPr>
          <w:ilvl w:val="0"/>
          <w:numId w:val="1"/>
        </w:numPr>
        <w:spacing w:line="276" w:lineRule="auto"/>
        <w:jc w:val="both"/>
      </w:pPr>
      <w:r w:rsidRPr="001C4BEF">
        <w:t>Provisión de infraestructura tecnológica (POS, plataformas digitales)</w:t>
      </w:r>
    </w:p>
    <w:p w14:paraId="3C6CE0C8" w14:textId="77777777" w:rsidR="00A2785A" w:rsidRPr="001C4BEF" w:rsidRDefault="00A2785A" w:rsidP="00784FF4">
      <w:pPr>
        <w:spacing w:line="276" w:lineRule="auto"/>
        <w:jc w:val="both"/>
      </w:pPr>
      <w:r w:rsidRPr="001C4BEF">
        <w:t>El valor generado por Transbank radica en su capacidad de ofrecer una red confiable, segura y eficiente, que permite la ejecución de millones de transacciones diarias. Esta posición le ha permitido consolidarse como un actor central dentro del sistema financiero chileno.</w:t>
      </w:r>
    </w:p>
    <w:p w14:paraId="37F81B1E" w14:textId="77777777" w:rsidR="00A2785A" w:rsidRPr="001C4BEF" w:rsidRDefault="00A2785A" w:rsidP="00784FF4">
      <w:pPr>
        <w:spacing w:line="276" w:lineRule="auto"/>
        <w:jc w:val="both"/>
        <w:rPr>
          <w:b/>
          <w:bCs/>
        </w:rPr>
      </w:pPr>
      <w:r w:rsidRPr="001C4BEF">
        <w:rPr>
          <w:b/>
          <w:bCs/>
        </w:rPr>
        <w:t>2.2 Evolución de la industria de pagos</w:t>
      </w:r>
    </w:p>
    <w:p w14:paraId="44352C29" w14:textId="77777777" w:rsidR="00A2785A" w:rsidRPr="001C4BEF" w:rsidRDefault="00A2785A" w:rsidP="00784FF4">
      <w:pPr>
        <w:spacing w:line="276" w:lineRule="auto"/>
        <w:jc w:val="both"/>
      </w:pPr>
      <w:r w:rsidRPr="001C4BEF">
        <w:t>La industria de pagos ha experimentado un crecimiento sostenido a nivel global, impulsado por el comercio electrónico, la digitalización de servicios y la inclusión financiera. Sin embargo, este crecimiento viene acompañado de una creciente fragmentación y competencia.</w:t>
      </w:r>
    </w:p>
    <w:p w14:paraId="46EBE7B4" w14:textId="77777777" w:rsidR="00A2785A" w:rsidRPr="001C4BEF" w:rsidRDefault="00A2785A" w:rsidP="00784FF4">
      <w:pPr>
        <w:spacing w:line="276" w:lineRule="auto"/>
        <w:jc w:val="both"/>
      </w:pPr>
      <w:r w:rsidRPr="001C4BEF">
        <w:t xml:space="preserve">De acuerdo con Accenture (2024), la industria se está volviendo “más rápida, </w:t>
      </w:r>
      <w:proofErr w:type="gramStart"/>
      <w:r w:rsidRPr="001C4BEF">
        <w:t>más inteligente y más fragmentada</w:t>
      </w:r>
      <w:proofErr w:type="gramEnd"/>
      <w:r w:rsidRPr="001C4BEF">
        <w:t>”, debido a la entrada de nuevos actores que redefinen la propuesta de valor mediante experiencias digitales superiores.</w:t>
      </w:r>
    </w:p>
    <w:p w14:paraId="6324B0D1" w14:textId="77777777" w:rsidR="00A2785A" w:rsidRPr="001C4BEF" w:rsidRDefault="00A2785A" w:rsidP="00784FF4">
      <w:pPr>
        <w:spacing w:line="276" w:lineRule="auto"/>
        <w:jc w:val="both"/>
      </w:pPr>
      <w:r w:rsidRPr="001C4BEF">
        <w:t>Entre las principales tendencias destacan:</w:t>
      </w:r>
    </w:p>
    <w:p w14:paraId="11A02642" w14:textId="77777777" w:rsidR="00A2785A" w:rsidRPr="001C4BEF" w:rsidRDefault="00A2785A" w:rsidP="00784FF4">
      <w:pPr>
        <w:numPr>
          <w:ilvl w:val="0"/>
          <w:numId w:val="2"/>
        </w:numPr>
        <w:spacing w:line="276" w:lineRule="auto"/>
        <w:jc w:val="both"/>
      </w:pPr>
      <w:r w:rsidRPr="001C4BEF">
        <w:t xml:space="preserve">Expansión de </w:t>
      </w:r>
      <w:proofErr w:type="spellStart"/>
      <w:r w:rsidRPr="001C4BEF">
        <w:t>fintechs</w:t>
      </w:r>
      <w:proofErr w:type="spellEnd"/>
      <w:r w:rsidRPr="001C4BEF">
        <w:t xml:space="preserve"> con modelos ágiles</w:t>
      </w:r>
    </w:p>
    <w:p w14:paraId="47E86DC5" w14:textId="77777777" w:rsidR="00A2785A" w:rsidRPr="001C4BEF" w:rsidRDefault="00A2785A" w:rsidP="00784FF4">
      <w:pPr>
        <w:numPr>
          <w:ilvl w:val="0"/>
          <w:numId w:val="2"/>
        </w:numPr>
        <w:spacing w:line="276" w:lineRule="auto"/>
        <w:jc w:val="both"/>
      </w:pPr>
      <w:r w:rsidRPr="001C4BEF">
        <w:t>Participación de Big Tech en servicios financieros</w:t>
      </w:r>
    </w:p>
    <w:p w14:paraId="3AC7F675" w14:textId="77777777" w:rsidR="00A2785A" w:rsidRPr="001C4BEF" w:rsidRDefault="00A2785A" w:rsidP="00784FF4">
      <w:pPr>
        <w:numPr>
          <w:ilvl w:val="0"/>
          <w:numId w:val="2"/>
        </w:numPr>
        <w:spacing w:line="276" w:lineRule="auto"/>
        <w:jc w:val="both"/>
      </w:pPr>
      <w:r w:rsidRPr="001C4BEF">
        <w:t xml:space="preserve">Desarrollo de Open </w:t>
      </w:r>
      <w:proofErr w:type="spellStart"/>
      <w:r w:rsidRPr="001C4BEF">
        <w:t>Banking</w:t>
      </w:r>
      <w:proofErr w:type="spellEnd"/>
      <w:r w:rsidRPr="001C4BEF">
        <w:t xml:space="preserve"> y Open </w:t>
      </w:r>
      <w:proofErr w:type="spellStart"/>
      <w:r w:rsidRPr="001C4BEF">
        <w:t>Finance</w:t>
      </w:r>
      <w:proofErr w:type="spellEnd"/>
    </w:p>
    <w:p w14:paraId="2446C2D1" w14:textId="77777777" w:rsidR="00A2785A" w:rsidRPr="001C4BEF" w:rsidRDefault="00A2785A" w:rsidP="00784FF4">
      <w:pPr>
        <w:numPr>
          <w:ilvl w:val="0"/>
          <w:numId w:val="2"/>
        </w:numPr>
        <w:spacing w:line="276" w:lineRule="auto"/>
        <w:jc w:val="both"/>
      </w:pPr>
      <w:r w:rsidRPr="001C4BEF">
        <w:t>Crecimiento de pagos digitales y billeteras electrónicas</w:t>
      </w:r>
    </w:p>
    <w:p w14:paraId="49AC9D5F" w14:textId="77777777" w:rsidR="00A2785A" w:rsidRPr="001C4BEF" w:rsidRDefault="00A2785A" w:rsidP="00784FF4">
      <w:pPr>
        <w:spacing w:line="276" w:lineRule="auto"/>
        <w:jc w:val="both"/>
        <w:rPr>
          <w:b/>
          <w:bCs/>
        </w:rPr>
      </w:pPr>
      <w:r w:rsidRPr="001C4BEF">
        <w:rPr>
          <w:b/>
          <w:bCs/>
        </w:rPr>
        <w:t>2.3 Limitaciones del modelo actual</w:t>
      </w:r>
    </w:p>
    <w:p w14:paraId="7E1E305B" w14:textId="77777777" w:rsidR="00A2785A" w:rsidRPr="001C4BEF" w:rsidRDefault="00A2785A" w:rsidP="00784FF4">
      <w:pPr>
        <w:spacing w:line="276" w:lineRule="auto"/>
        <w:jc w:val="both"/>
      </w:pPr>
      <w:r w:rsidRPr="001C4BEF">
        <w:t>A pesar de su liderazgo, Transbank enfrenta limitaciones estructurales relevantes:</w:t>
      </w:r>
    </w:p>
    <w:p w14:paraId="67321402" w14:textId="77777777" w:rsidR="00A2785A" w:rsidRPr="001C4BEF" w:rsidRDefault="00A2785A" w:rsidP="00784FF4">
      <w:pPr>
        <w:numPr>
          <w:ilvl w:val="0"/>
          <w:numId w:val="3"/>
        </w:numPr>
        <w:spacing w:line="276" w:lineRule="auto"/>
        <w:jc w:val="both"/>
      </w:pPr>
      <w:r w:rsidRPr="001C4BEF">
        <w:t>Dependencia del volumen transaccional como principal fuente de ingresos</w:t>
      </w:r>
    </w:p>
    <w:p w14:paraId="073681CC" w14:textId="77777777" w:rsidR="00A2785A" w:rsidRPr="001C4BEF" w:rsidRDefault="00A2785A" w:rsidP="00784FF4">
      <w:pPr>
        <w:numPr>
          <w:ilvl w:val="0"/>
          <w:numId w:val="3"/>
        </w:numPr>
        <w:spacing w:line="276" w:lineRule="auto"/>
        <w:jc w:val="both"/>
      </w:pPr>
      <w:r w:rsidRPr="001C4BEF">
        <w:t>Baja diferenciación en un mercado cada vez más competitivo</w:t>
      </w:r>
    </w:p>
    <w:p w14:paraId="511E2642" w14:textId="77777777" w:rsidR="00A2785A" w:rsidRPr="001C4BEF" w:rsidRDefault="00A2785A" w:rsidP="00784FF4">
      <w:pPr>
        <w:numPr>
          <w:ilvl w:val="0"/>
          <w:numId w:val="3"/>
        </w:numPr>
        <w:spacing w:line="276" w:lineRule="auto"/>
        <w:jc w:val="both"/>
      </w:pPr>
      <w:r w:rsidRPr="001C4BEF">
        <w:t>Escasa monetización de datos transaccionales</w:t>
      </w:r>
    </w:p>
    <w:p w14:paraId="0CAE7FD5" w14:textId="77777777" w:rsidR="00A2785A" w:rsidRPr="001C4BEF" w:rsidRDefault="00A2785A" w:rsidP="00784FF4">
      <w:pPr>
        <w:numPr>
          <w:ilvl w:val="0"/>
          <w:numId w:val="3"/>
        </w:numPr>
        <w:spacing w:line="276" w:lineRule="auto"/>
        <w:jc w:val="both"/>
      </w:pPr>
      <w:r w:rsidRPr="001C4BEF">
        <w:t>Vulnerabilidad frente a modelos digitales más integrados</w:t>
      </w:r>
    </w:p>
    <w:p w14:paraId="1D6AB74B" w14:textId="77777777" w:rsidR="00A2785A" w:rsidRPr="001C4BEF" w:rsidRDefault="00A2785A" w:rsidP="00784FF4">
      <w:pPr>
        <w:spacing w:line="276" w:lineRule="auto"/>
        <w:jc w:val="both"/>
      </w:pPr>
      <w:r w:rsidRPr="001C4BEF">
        <w:t>Estas limitaciones reflejan la necesidad de evolucionar hacia un modelo más sofisticado, basado en la generación de valor a través de datos, servicios y experiencia de usuario.</w:t>
      </w:r>
    </w:p>
    <w:p w14:paraId="22067278" w14:textId="2927A1C8" w:rsidR="00A2785A" w:rsidRPr="001C4BEF" w:rsidRDefault="00A2785A" w:rsidP="00784FF4">
      <w:pPr>
        <w:spacing w:line="276" w:lineRule="auto"/>
        <w:jc w:val="both"/>
      </w:pPr>
    </w:p>
    <w:p w14:paraId="6C621E3D" w14:textId="77777777" w:rsidR="00A2785A" w:rsidRPr="001C4BEF" w:rsidRDefault="00A2785A" w:rsidP="00784FF4">
      <w:pPr>
        <w:spacing w:line="276" w:lineRule="auto"/>
        <w:jc w:val="both"/>
        <w:rPr>
          <w:b/>
          <w:bCs/>
        </w:rPr>
      </w:pPr>
      <w:r w:rsidRPr="001C4BEF">
        <w:rPr>
          <w:b/>
          <w:bCs/>
        </w:rPr>
        <w:lastRenderedPageBreak/>
        <w:t>3. Cambios en expectativas de clientes impulsados por tecnologías emergentes</w:t>
      </w:r>
    </w:p>
    <w:p w14:paraId="0B2EF04A" w14:textId="77777777" w:rsidR="00A2785A" w:rsidRPr="001C4BEF" w:rsidRDefault="00A2785A" w:rsidP="00784FF4">
      <w:pPr>
        <w:spacing w:line="276" w:lineRule="auto"/>
        <w:jc w:val="both"/>
      </w:pPr>
      <w:r w:rsidRPr="001C4BEF">
        <w:t>El avance de tecnologías emergentes ha transformado profundamente las expectativas de los consumidores en el ámbito financiero.</w:t>
      </w:r>
    </w:p>
    <w:p w14:paraId="22C5108A" w14:textId="77777777" w:rsidR="00A2785A" w:rsidRPr="001C4BEF" w:rsidRDefault="00A2785A" w:rsidP="00784FF4">
      <w:pPr>
        <w:spacing w:line="276" w:lineRule="auto"/>
        <w:jc w:val="both"/>
        <w:rPr>
          <w:b/>
          <w:bCs/>
        </w:rPr>
      </w:pPr>
      <w:r w:rsidRPr="001C4BEF">
        <w:rPr>
          <w:b/>
          <w:bCs/>
        </w:rPr>
        <w:t>3.1 Experiencias sin fricción</w:t>
      </w:r>
    </w:p>
    <w:p w14:paraId="7D1846CF" w14:textId="77777777" w:rsidR="00A2785A" w:rsidRPr="001C4BEF" w:rsidRDefault="00A2785A" w:rsidP="00784FF4">
      <w:pPr>
        <w:spacing w:line="276" w:lineRule="auto"/>
        <w:jc w:val="both"/>
      </w:pPr>
      <w:r w:rsidRPr="001C4BEF">
        <w:t xml:space="preserve">Los usuarios esperan experiencias rápidas, simples e integradas. El pago ya no es percibido como una transacción aislada, sino como una parte invisible dentro del proceso de compra. Esto ha impulsado el desarrollo de soluciones como pagos </w:t>
      </w:r>
      <w:proofErr w:type="spellStart"/>
      <w:r w:rsidRPr="001C4BEF">
        <w:t>contactless</w:t>
      </w:r>
      <w:proofErr w:type="spellEnd"/>
      <w:r w:rsidRPr="001C4BEF">
        <w:t>, billeteras digitales y autenticación biométrica.</w:t>
      </w:r>
    </w:p>
    <w:p w14:paraId="27617ABF" w14:textId="77777777" w:rsidR="00A2785A" w:rsidRPr="001C4BEF" w:rsidRDefault="00A2785A" w:rsidP="00784FF4">
      <w:pPr>
        <w:spacing w:line="276" w:lineRule="auto"/>
        <w:jc w:val="both"/>
        <w:rPr>
          <w:b/>
          <w:bCs/>
        </w:rPr>
      </w:pPr>
      <w:r w:rsidRPr="001C4BEF">
        <w:rPr>
          <w:b/>
          <w:bCs/>
        </w:rPr>
        <w:t>3.2 Personalización basada en datos</w:t>
      </w:r>
    </w:p>
    <w:p w14:paraId="61AEBB7D" w14:textId="77777777" w:rsidR="00A2785A" w:rsidRPr="001C4BEF" w:rsidRDefault="00A2785A" w:rsidP="00784FF4">
      <w:pPr>
        <w:spacing w:line="276" w:lineRule="auto"/>
        <w:jc w:val="both"/>
      </w:pPr>
      <w:r w:rsidRPr="001C4BEF">
        <w:t>La disponibilidad de grandes volúmenes de datos ha permitido desarrollar experiencias altamente personalizadas. Los usuarios esperan recibir ofertas, recomendaciones y productos financieros adaptados a su comportamiento.</w:t>
      </w:r>
    </w:p>
    <w:p w14:paraId="075B9CE8" w14:textId="77777777" w:rsidR="00A2785A" w:rsidRPr="001C4BEF" w:rsidRDefault="00A2785A" w:rsidP="00784FF4">
      <w:pPr>
        <w:spacing w:line="276" w:lineRule="auto"/>
        <w:jc w:val="both"/>
      </w:pPr>
      <w:r w:rsidRPr="001C4BEF">
        <w:t xml:space="preserve">Según Accenture y </w:t>
      </w:r>
      <w:proofErr w:type="spellStart"/>
      <w:r w:rsidRPr="001C4BEF">
        <w:t>Plaid</w:t>
      </w:r>
      <w:proofErr w:type="spellEnd"/>
      <w:r w:rsidRPr="001C4BEF">
        <w:t xml:space="preserve"> (2022), la personalización es un elemento clave para mejorar la experiencia del cliente y aumentar la fidelización en servicios financieros.</w:t>
      </w:r>
    </w:p>
    <w:p w14:paraId="609F125F" w14:textId="77777777" w:rsidR="00A2785A" w:rsidRPr="001C4BEF" w:rsidRDefault="00A2785A" w:rsidP="00784FF4">
      <w:pPr>
        <w:spacing w:line="276" w:lineRule="auto"/>
        <w:jc w:val="both"/>
        <w:rPr>
          <w:b/>
          <w:bCs/>
        </w:rPr>
      </w:pPr>
      <w:r w:rsidRPr="001C4BEF">
        <w:rPr>
          <w:b/>
          <w:bCs/>
        </w:rPr>
        <w:t xml:space="preserve">3.3 Ecosistemas integrados y </w:t>
      </w:r>
      <w:proofErr w:type="spellStart"/>
      <w:r w:rsidRPr="001C4BEF">
        <w:rPr>
          <w:b/>
          <w:bCs/>
        </w:rPr>
        <w:t>embedded</w:t>
      </w:r>
      <w:proofErr w:type="spellEnd"/>
      <w:r w:rsidRPr="001C4BEF">
        <w:rPr>
          <w:b/>
          <w:bCs/>
        </w:rPr>
        <w:t xml:space="preserve"> </w:t>
      </w:r>
      <w:proofErr w:type="spellStart"/>
      <w:r w:rsidRPr="001C4BEF">
        <w:rPr>
          <w:b/>
          <w:bCs/>
        </w:rPr>
        <w:t>finance</w:t>
      </w:r>
      <w:proofErr w:type="spellEnd"/>
    </w:p>
    <w:p w14:paraId="5190B927" w14:textId="77777777" w:rsidR="00A2785A" w:rsidRPr="001C4BEF" w:rsidRDefault="00A2785A" w:rsidP="00784FF4">
      <w:pPr>
        <w:spacing w:line="276" w:lineRule="auto"/>
        <w:jc w:val="both"/>
      </w:pPr>
      <w:r w:rsidRPr="001C4BEF">
        <w:t xml:space="preserve">El concepto de </w:t>
      </w:r>
      <w:proofErr w:type="spellStart"/>
      <w:r w:rsidRPr="001C4BEF">
        <w:rPr>
          <w:i/>
          <w:iCs/>
        </w:rPr>
        <w:t>embedded</w:t>
      </w:r>
      <w:proofErr w:type="spellEnd"/>
      <w:r w:rsidRPr="001C4BEF">
        <w:rPr>
          <w:i/>
          <w:iCs/>
        </w:rPr>
        <w:t xml:space="preserve"> </w:t>
      </w:r>
      <w:proofErr w:type="spellStart"/>
      <w:r w:rsidRPr="001C4BEF">
        <w:rPr>
          <w:i/>
          <w:iCs/>
        </w:rPr>
        <w:t>finance</w:t>
      </w:r>
      <w:proofErr w:type="spellEnd"/>
      <w:r w:rsidRPr="001C4BEF">
        <w:t xml:space="preserve"> permite integrar servicios financieros directamente dentro de plataformas no financieras, eliminando fricciones y mejorando la experiencia del usuario.</w:t>
      </w:r>
    </w:p>
    <w:p w14:paraId="381BE390" w14:textId="77777777" w:rsidR="00A2785A" w:rsidRPr="001C4BEF" w:rsidRDefault="00A2785A" w:rsidP="00784FF4">
      <w:pPr>
        <w:spacing w:line="276" w:lineRule="auto"/>
        <w:jc w:val="both"/>
      </w:pPr>
      <w:r w:rsidRPr="001C4BEF">
        <w:t>Este modelo transforma la forma en que los consumidores acceden a servicios financieros, permitiendo que estos se integren de manera natural en su vida cotidiana.</w:t>
      </w:r>
    </w:p>
    <w:p w14:paraId="20F5CF5A" w14:textId="77777777" w:rsidR="00A2785A" w:rsidRPr="001C4BEF" w:rsidRDefault="00A2785A" w:rsidP="00784FF4">
      <w:pPr>
        <w:spacing w:line="276" w:lineRule="auto"/>
        <w:jc w:val="both"/>
        <w:rPr>
          <w:b/>
          <w:bCs/>
        </w:rPr>
      </w:pPr>
      <w:r w:rsidRPr="001C4BEF">
        <w:rPr>
          <w:b/>
          <w:bCs/>
        </w:rPr>
        <w:t>3.4 Confianza y uso de datos</w:t>
      </w:r>
    </w:p>
    <w:p w14:paraId="1120607A" w14:textId="77777777" w:rsidR="00A2785A" w:rsidRPr="001C4BEF" w:rsidRDefault="00A2785A" w:rsidP="00784FF4">
      <w:pPr>
        <w:spacing w:line="276" w:lineRule="auto"/>
        <w:jc w:val="both"/>
      </w:pPr>
      <w:r w:rsidRPr="001C4BEF">
        <w:t>El uso intensivo de datos ha generado una mayor preocupación por la privacidad y la seguridad. Los consumidores exigen transparencia, control sobre su información y altos estándares de protección.</w:t>
      </w:r>
    </w:p>
    <w:p w14:paraId="2221E550" w14:textId="707635CB" w:rsidR="00A2785A" w:rsidRPr="001C4BEF" w:rsidRDefault="00A2785A" w:rsidP="00784FF4">
      <w:pPr>
        <w:spacing w:line="276" w:lineRule="auto"/>
        <w:jc w:val="both"/>
      </w:pPr>
    </w:p>
    <w:p w14:paraId="0967025C" w14:textId="77777777" w:rsidR="00A2785A" w:rsidRPr="001C4BEF" w:rsidRDefault="00A2785A" w:rsidP="00784FF4">
      <w:pPr>
        <w:spacing w:line="276" w:lineRule="auto"/>
        <w:jc w:val="both"/>
        <w:rPr>
          <w:b/>
          <w:bCs/>
        </w:rPr>
      </w:pPr>
      <w:r w:rsidRPr="001C4BEF">
        <w:rPr>
          <w:b/>
          <w:bCs/>
        </w:rPr>
        <w:t>4. Identificación de la oportunidad disruptiva</w:t>
      </w:r>
    </w:p>
    <w:p w14:paraId="4FD24429" w14:textId="77777777" w:rsidR="00A2785A" w:rsidRPr="001C4BEF" w:rsidRDefault="00A2785A" w:rsidP="00784FF4">
      <w:pPr>
        <w:spacing w:line="276" w:lineRule="auto"/>
        <w:jc w:val="both"/>
      </w:pPr>
      <w:r w:rsidRPr="001C4BEF">
        <w:t xml:space="preserve">A partir del análisis anterior, se identifica una oportunidad estratégica clara: transformar a Transbank en una plataforma de Open </w:t>
      </w:r>
      <w:proofErr w:type="spellStart"/>
      <w:r w:rsidRPr="001C4BEF">
        <w:t>Finance</w:t>
      </w:r>
      <w:proofErr w:type="spellEnd"/>
      <w:r w:rsidRPr="001C4BEF">
        <w:t xml:space="preserve"> basada en datos e inteligencia artificial.</w:t>
      </w:r>
    </w:p>
    <w:p w14:paraId="508DB056" w14:textId="77777777" w:rsidR="00A2785A" w:rsidRPr="001C4BEF" w:rsidRDefault="00A2785A" w:rsidP="00784FF4">
      <w:pPr>
        <w:spacing w:line="276" w:lineRule="auto"/>
        <w:jc w:val="both"/>
      </w:pPr>
      <w:r w:rsidRPr="001C4BEF">
        <w:lastRenderedPageBreak/>
        <w:t xml:space="preserve">Esta transformación implica redefinir el mercado en el que compite la empresa, pasando de un modelo centrado en la </w:t>
      </w:r>
      <w:proofErr w:type="spellStart"/>
      <w:r w:rsidRPr="001C4BEF">
        <w:t>adquirencia</w:t>
      </w:r>
      <w:proofErr w:type="spellEnd"/>
      <w:r w:rsidRPr="001C4BEF">
        <w:t xml:space="preserve"> de pagos a un ecosistema financiero digital integrado.</w:t>
      </w:r>
    </w:p>
    <w:p w14:paraId="66B2AC1B" w14:textId="77777777" w:rsidR="00A2785A" w:rsidRPr="001C4BEF" w:rsidRDefault="00A2785A" w:rsidP="00784FF4">
      <w:pPr>
        <w:spacing w:line="276" w:lineRule="auto"/>
        <w:jc w:val="both"/>
      </w:pPr>
      <w:r w:rsidRPr="001C4BEF">
        <w:t>Según Bain &amp; Company (2023), las industrias están migrando hacia modelos de plataformas que generan valor a través de la interacción entre múltiples actores y la creación de efectos de red.</w:t>
      </w:r>
    </w:p>
    <w:p w14:paraId="6F8171FB" w14:textId="77777777" w:rsidR="00A2785A" w:rsidRPr="001C4BEF" w:rsidRDefault="00A2785A" w:rsidP="00784FF4">
      <w:pPr>
        <w:spacing w:line="276" w:lineRule="auto"/>
        <w:jc w:val="both"/>
      </w:pPr>
      <w:r w:rsidRPr="001C4BEF">
        <w:t>En este contexto, el modelo tradicional de Transbank corre el riesgo de volverse obsoleto, ya que el valor ya no se concentra en el procesamiento de pagos, sino en la capacidad de integrar servicios, analizar datos y ofrecer experiencias diferenciadas.</w:t>
      </w:r>
    </w:p>
    <w:p w14:paraId="53FE92C8" w14:textId="01FA992C" w:rsidR="00A2785A" w:rsidRPr="001C4BEF" w:rsidRDefault="00A2785A" w:rsidP="00784FF4">
      <w:pPr>
        <w:spacing w:line="276" w:lineRule="auto"/>
        <w:jc w:val="both"/>
      </w:pPr>
    </w:p>
    <w:p w14:paraId="6851F25F" w14:textId="77777777" w:rsidR="00A2785A" w:rsidRPr="001C4BEF" w:rsidRDefault="00A2785A" w:rsidP="00784FF4">
      <w:pPr>
        <w:spacing w:line="276" w:lineRule="auto"/>
        <w:jc w:val="both"/>
        <w:rPr>
          <w:b/>
          <w:bCs/>
        </w:rPr>
      </w:pPr>
      <w:r w:rsidRPr="001C4BEF">
        <w:rPr>
          <w:b/>
          <w:bCs/>
        </w:rPr>
        <w:t>5. Diseño de la innovación</w:t>
      </w:r>
    </w:p>
    <w:p w14:paraId="2ACC200C" w14:textId="77777777" w:rsidR="00A2785A" w:rsidRPr="001C4BEF" w:rsidRDefault="00A2785A" w:rsidP="00784FF4">
      <w:pPr>
        <w:spacing w:line="276" w:lineRule="auto"/>
        <w:jc w:val="both"/>
      </w:pPr>
      <w:r w:rsidRPr="001C4BEF">
        <w:t>La innovación propuesta consiste en el desarrollo de una plataforma digital que integre servicios financieros avanzados para comercios y consumidores.</w:t>
      </w:r>
    </w:p>
    <w:p w14:paraId="73F637A9" w14:textId="77777777" w:rsidR="00A2785A" w:rsidRPr="001C4BEF" w:rsidRDefault="00A2785A" w:rsidP="00784FF4">
      <w:pPr>
        <w:spacing w:line="276" w:lineRule="auto"/>
        <w:jc w:val="both"/>
        <w:rPr>
          <w:b/>
          <w:bCs/>
        </w:rPr>
      </w:pPr>
      <w:r w:rsidRPr="001C4BEF">
        <w:rPr>
          <w:b/>
          <w:bCs/>
        </w:rPr>
        <w:t>5.1 Propuesta de valor</w:t>
      </w:r>
    </w:p>
    <w:p w14:paraId="47C23D4A" w14:textId="77777777" w:rsidR="00A2785A" w:rsidRPr="001C4BEF" w:rsidRDefault="00A2785A" w:rsidP="00784FF4">
      <w:pPr>
        <w:spacing w:line="276" w:lineRule="auto"/>
        <w:jc w:val="both"/>
      </w:pPr>
      <w:r w:rsidRPr="001C4BEF">
        <w:t>Para comercios:</w:t>
      </w:r>
    </w:p>
    <w:p w14:paraId="01B61322" w14:textId="77777777" w:rsidR="00A2785A" w:rsidRPr="001C4BEF" w:rsidRDefault="00A2785A" w:rsidP="00784FF4">
      <w:pPr>
        <w:numPr>
          <w:ilvl w:val="0"/>
          <w:numId w:val="4"/>
        </w:numPr>
        <w:spacing w:line="276" w:lineRule="auto"/>
        <w:jc w:val="both"/>
      </w:pPr>
      <w:r w:rsidRPr="001C4BEF">
        <w:t>Acceso a financiamiento basado en flujo de ventas</w:t>
      </w:r>
    </w:p>
    <w:p w14:paraId="4108AB43" w14:textId="77777777" w:rsidR="00A2785A" w:rsidRPr="001C4BEF" w:rsidRDefault="00A2785A" w:rsidP="00784FF4">
      <w:pPr>
        <w:numPr>
          <w:ilvl w:val="0"/>
          <w:numId w:val="4"/>
        </w:numPr>
        <w:spacing w:line="276" w:lineRule="auto"/>
        <w:jc w:val="both"/>
      </w:pPr>
      <w:r w:rsidRPr="001C4BEF">
        <w:t>Herramientas de analítica avanzada</w:t>
      </w:r>
    </w:p>
    <w:p w14:paraId="049EEDC1" w14:textId="77777777" w:rsidR="00A2785A" w:rsidRPr="001C4BEF" w:rsidRDefault="00A2785A" w:rsidP="00784FF4">
      <w:pPr>
        <w:numPr>
          <w:ilvl w:val="0"/>
          <w:numId w:val="4"/>
        </w:numPr>
        <w:spacing w:line="276" w:lineRule="auto"/>
        <w:jc w:val="both"/>
      </w:pPr>
      <w:r w:rsidRPr="001C4BEF">
        <w:t>Optimización de precios y promociones</w:t>
      </w:r>
    </w:p>
    <w:p w14:paraId="6013C95F" w14:textId="77777777" w:rsidR="00A2785A" w:rsidRPr="001C4BEF" w:rsidRDefault="00A2785A" w:rsidP="00784FF4">
      <w:pPr>
        <w:spacing w:line="276" w:lineRule="auto"/>
        <w:jc w:val="both"/>
      </w:pPr>
      <w:r w:rsidRPr="001C4BEF">
        <w:t>Para consumidores:</w:t>
      </w:r>
    </w:p>
    <w:p w14:paraId="72212D8E" w14:textId="77777777" w:rsidR="00A2785A" w:rsidRPr="001C4BEF" w:rsidRDefault="00A2785A" w:rsidP="00784FF4">
      <w:pPr>
        <w:numPr>
          <w:ilvl w:val="0"/>
          <w:numId w:val="5"/>
        </w:numPr>
        <w:spacing w:line="276" w:lineRule="auto"/>
        <w:jc w:val="both"/>
      </w:pPr>
      <w:r w:rsidRPr="001C4BEF">
        <w:t>Billetera digital integrada</w:t>
      </w:r>
    </w:p>
    <w:p w14:paraId="7DDD9DF0" w14:textId="77777777" w:rsidR="00A2785A" w:rsidRPr="001C4BEF" w:rsidRDefault="00A2785A" w:rsidP="00784FF4">
      <w:pPr>
        <w:numPr>
          <w:ilvl w:val="0"/>
          <w:numId w:val="5"/>
        </w:numPr>
        <w:spacing w:line="276" w:lineRule="auto"/>
        <w:jc w:val="both"/>
      </w:pPr>
      <w:r w:rsidRPr="001C4BEF">
        <w:t>Recomendaciones personalizadas</w:t>
      </w:r>
    </w:p>
    <w:p w14:paraId="3A00FC0B" w14:textId="77777777" w:rsidR="00A2785A" w:rsidRPr="001C4BEF" w:rsidRDefault="00A2785A" w:rsidP="00784FF4">
      <w:pPr>
        <w:numPr>
          <w:ilvl w:val="0"/>
          <w:numId w:val="5"/>
        </w:numPr>
        <w:spacing w:line="276" w:lineRule="auto"/>
        <w:jc w:val="both"/>
      </w:pPr>
      <w:r w:rsidRPr="001C4BEF">
        <w:t>Acceso a productos financieros embebidos</w:t>
      </w:r>
    </w:p>
    <w:p w14:paraId="52D21593" w14:textId="77777777" w:rsidR="00A2785A" w:rsidRPr="001C4BEF" w:rsidRDefault="00A2785A" w:rsidP="00784FF4">
      <w:pPr>
        <w:spacing w:line="276" w:lineRule="auto"/>
        <w:jc w:val="both"/>
        <w:rPr>
          <w:b/>
          <w:bCs/>
        </w:rPr>
      </w:pPr>
      <w:r w:rsidRPr="001C4BEF">
        <w:rPr>
          <w:b/>
          <w:bCs/>
        </w:rPr>
        <w:t xml:space="preserve">5.2 </w:t>
      </w:r>
      <w:proofErr w:type="spellStart"/>
      <w:r w:rsidRPr="001C4BEF">
        <w:rPr>
          <w:b/>
          <w:bCs/>
        </w:rPr>
        <w:t>Embedded</w:t>
      </w:r>
      <w:proofErr w:type="spellEnd"/>
      <w:r w:rsidRPr="001C4BEF">
        <w:rPr>
          <w:b/>
          <w:bCs/>
        </w:rPr>
        <w:t xml:space="preserve"> </w:t>
      </w:r>
      <w:proofErr w:type="spellStart"/>
      <w:r w:rsidRPr="001C4BEF">
        <w:rPr>
          <w:b/>
          <w:bCs/>
        </w:rPr>
        <w:t>finance</w:t>
      </w:r>
      <w:proofErr w:type="spellEnd"/>
      <w:r w:rsidRPr="001C4BEF">
        <w:rPr>
          <w:b/>
          <w:bCs/>
        </w:rPr>
        <w:t xml:space="preserve"> como núcleo</w:t>
      </w:r>
    </w:p>
    <w:p w14:paraId="6092919A" w14:textId="77777777" w:rsidR="00A2785A" w:rsidRPr="001C4BEF" w:rsidRDefault="00A2785A" w:rsidP="00784FF4">
      <w:pPr>
        <w:spacing w:line="276" w:lineRule="auto"/>
        <w:jc w:val="both"/>
      </w:pPr>
      <w:r w:rsidRPr="001C4BEF">
        <w:t xml:space="preserve">El concepto de </w:t>
      </w:r>
      <w:proofErr w:type="spellStart"/>
      <w:r w:rsidRPr="001C4BEF">
        <w:t>embedded</w:t>
      </w:r>
      <w:proofErr w:type="spellEnd"/>
      <w:r w:rsidRPr="001C4BEF">
        <w:t xml:space="preserve"> </w:t>
      </w:r>
      <w:proofErr w:type="spellStart"/>
      <w:r w:rsidRPr="001C4BEF">
        <w:t>finance</w:t>
      </w:r>
      <w:proofErr w:type="spellEnd"/>
      <w:r w:rsidRPr="001C4BEF">
        <w:t xml:space="preserve"> permite integrar servicios financieros dentro de la experiencia del usuario, eliminando fricciones y generando nuevas oportunidades de monetización.</w:t>
      </w:r>
    </w:p>
    <w:p w14:paraId="71E89BAE" w14:textId="77777777" w:rsidR="00A2785A" w:rsidRPr="001C4BEF" w:rsidRDefault="00A2785A" w:rsidP="00784FF4">
      <w:pPr>
        <w:spacing w:line="276" w:lineRule="auto"/>
        <w:jc w:val="both"/>
        <w:rPr>
          <w:b/>
          <w:bCs/>
        </w:rPr>
      </w:pPr>
      <w:r w:rsidRPr="001C4BEF">
        <w:rPr>
          <w:b/>
          <w:bCs/>
        </w:rPr>
        <w:t>5.3 Efectos de red</w:t>
      </w:r>
    </w:p>
    <w:p w14:paraId="03A96125" w14:textId="77777777" w:rsidR="00A2785A" w:rsidRPr="001C4BEF" w:rsidRDefault="00A2785A" w:rsidP="00784FF4">
      <w:pPr>
        <w:spacing w:line="276" w:lineRule="auto"/>
        <w:jc w:val="both"/>
      </w:pPr>
      <w:r w:rsidRPr="001C4BEF">
        <w:t>La plataforma se basa en efectos de red:</w:t>
      </w:r>
    </w:p>
    <w:p w14:paraId="14007088" w14:textId="77777777" w:rsidR="00A2785A" w:rsidRPr="001C4BEF" w:rsidRDefault="00A2785A" w:rsidP="00784FF4">
      <w:pPr>
        <w:numPr>
          <w:ilvl w:val="0"/>
          <w:numId w:val="6"/>
        </w:numPr>
        <w:spacing w:line="276" w:lineRule="auto"/>
        <w:jc w:val="both"/>
      </w:pPr>
      <w:r w:rsidRPr="001C4BEF">
        <w:t>Más comercios → más transacciones</w:t>
      </w:r>
    </w:p>
    <w:p w14:paraId="6FE9CBB3" w14:textId="77777777" w:rsidR="00A2785A" w:rsidRPr="001C4BEF" w:rsidRDefault="00A2785A" w:rsidP="00784FF4">
      <w:pPr>
        <w:numPr>
          <w:ilvl w:val="0"/>
          <w:numId w:val="6"/>
        </w:numPr>
        <w:spacing w:line="276" w:lineRule="auto"/>
        <w:jc w:val="both"/>
      </w:pPr>
      <w:r w:rsidRPr="001C4BEF">
        <w:lastRenderedPageBreak/>
        <w:t>Más transacciones → más datos</w:t>
      </w:r>
    </w:p>
    <w:p w14:paraId="77387800" w14:textId="77777777" w:rsidR="00A2785A" w:rsidRPr="001C4BEF" w:rsidRDefault="00A2785A" w:rsidP="00784FF4">
      <w:pPr>
        <w:numPr>
          <w:ilvl w:val="0"/>
          <w:numId w:val="6"/>
        </w:numPr>
        <w:spacing w:line="276" w:lineRule="auto"/>
        <w:jc w:val="both"/>
      </w:pPr>
      <w:r w:rsidRPr="001C4BEF">
        <w:t>Más datos → mejores servicios</w:t>
      </w:r>
    </w:p>
    <w:p w14:paraId="4C60A072" w14:textId="77777777" w:rsidR="00A2785A" w:rsidRPr="001C4BEF" w:rsidRDefault="00A2785A" w:rsidP="00784FF4">
      <w:pPr>
        <w:numPr>
          <w:ilvl w:val="0"/>
          <w:numId w:val="6"/>
        </w:numPr>
        <w:spacing w:line="276" w:lineRule="auto"/>
        <w:jc w:val="both"/>
      </w:pPr>
      <w:r w:rsidRPr="001C4BEF">
        <w:t>Mejores servicios → más usuarios</w:t>
      </w:r>
    </w:p>
    <w:p w14:paraId="31F8066A" w14:textId="77777777" w:rsidR="00A2785A" w:rsidRPr="001C4BEF" w:rsidRDefault="00A2785A" w:rsidP="00784FF4">
      <w:pPr>
        <w:spacing w:line="276" w:lineRule="auto"/>
        <w:jc w:val="both"/>
      </w:pPr>
      <w:r w:rsidRPr="001C4BEF">
        <w:t>Este ciclo genera una ventaja competitiva acumulativa difícil de replicar.</w:t>
      </w:r>
    </w:p>
    <w:p w14:paraId="131AD18C" w14:textId="77777777" w:rsidR="00A2785A" w:rsidRPr="001C4BEF" w:rsidRDefault="00A2785A" w:rsidP="00784FF4">
      <w:pPr>
        <w:spacing w:line="276" w:lineRule="auto"/>
        <w:jc w:val="both"/>
        <w:rPr>
          <w:b/>
          <w:bCs/>
        </w:rPr>
      </w:pPr>
      <w:r w:rsidRPr="001C4BEF">
        <w:rPr>
          <w:b/>
          <w:bCs/>
        </w:rPr>
        <w:t>5.4 Masa crítica inicial</w:t>
      </w:r>
    </w:p>
    <w:p w14:paraId="06E5B4D1" w14:textId="77777777" w:rsidR="00A2785A" w:rsidRPr="001C4BEF" w:rsidRDefault="00A2785A" w:rsidP="00784FF4">
      <w:pPr>
        <w:spacing w:line="276" w:lineRule="auto"/>
        <w:jc w:val="both"/>
      </w:pPr>
      <w:r w:rsidRPr="001C4BEF">
        <w:t>Para superar el problema de adopción inicial, se pueden implementar estrategias como:</w:t>
      </w:r>
    </w:p>
    <w:p w14:paraId="355657F2" w14:textId="77777777" w:rsidR="00A2785A" w:rsidRPr="001C4BEF" w:rsidRDefault="00A2785A" w:rsidP="00784FF4">
      <w:pPr>
        <w:numPr>
          <w:ilvl w:val="0"/>
          <w:numId w:val="7"/>
        </w:numPr>
        <w:spacing w:line="276" w:lineRule="auto"/>
        <w:jc w:val="both"/>
      </w:pPr>
      <w:r w:rsidRPr="001C4BEF">
        <w:t>Incentivos económicos</w:t>
      </w:r>
    </w:p>
    <w:p w14:paraId="4C78A439" w14:textId="77777777" w:rsidR="00A2785A" w:rsidRPr="001C4BEF" w:rsidRDefault="00A2785A" w:rsidP="00784FF4">
      <w:pPr>
        <w:numPr>
          <w:ilvl w:val="0"/>
          <w:numId w:val="7"/>
        </w:numPr>
        <w:spacing w:line="276" w:lineRule="auto"/>
        <w:jc w:val="both"/>
      </w:pPr>
      <w:r w:rsidRPr="001C4BEF">
        <w:t>Alianzas estratégicas</w:t>
      </w:r>
    </w:p>
    <w:p w14:paraId="4B40F938" w14:textId="77777777" w:rsidR="00A2785A" w:rsidRPr="001C4BEF" w:rsidRDefault="00A2785A" w:rsidP="00784FF4">
      <w:pPr>
        <w:numPr>
          <w:ilvl w:val="0"/>
          <w:numId w:val="7"/>
        </w:numPr>
        <w:spacing w:line="276" w:lineRule="auto"/>
        <w:jc w:val="both"/>
      </w:pPr>
      <w:r w:rsidRPr="001C4BEF">
        <w:t>Programas de adopción temprana</w:t>
      </w:r>
    </w:p>
    <w:p w14:paraId="16A5C35F" w14:textId="05D2DA2C" w:rsidR="00A2785A" w:rsidRPr="001C4BEF" w:rsidRDefault="00A2785A" w:rsidP="00784FF4">
      <w:pPr>
        <w:spacing w:line="276" w:lineRule="auto"/>
        <w:jc w:val="both"/>
      </w:pPr>
    </w:p>
    <w:p w14:paraId="7044C7CF" w14:textId="77777777" w:rsidR="00A2785A" w:rsidRPr="001C4BEF" w:rsidRDefault="00A2785A" w:rsidP="00784FF4">
      <w:pPr>
        <w:spacing w:line="276" w:lineRule="auto"/>
        <w:jc w:val="both"/>
        <w:rPr>
          <w:b/>
          <w:bCs/>
        </w:rPr>
      </w:pPr>
      <w:r w:rsidRPr="001C4BEF">
        <w:rPr>
          <w:b/>
          <w:bCs/>
        </w:rPr>
        <w:t>6. Evaluación estratégica de la innovación</w:t>
      </w:r>
    </w:p>
    <w:p w14:paraId="19B24829" w14:textId="77777777" w:rsidR="00A2785A" w:rsidRPr="001C4BEF" w:rsidRDefault="00A2785A" w:rsidP="00784FF4">
      <w:pPr>
        <w:spacing w:line="276" w:lineRule="auto"/>
        <w:jc w:val="both"/>
      </w:pPr>
      <w:r w:rsidRPr="001C4BEF">
        <w:t>La propuesta es disruptiva porque redefine el modelo de negocio de la empresa.</w:t>
      </w:r>
    </w:p>
    <w:p w14:paraId="67871F63" w14:textId="77777777" w:rsidR="00A2785A" w:rsidRPr="001C4BEF" w:rsidRDefault="00A2785A" w:rsidP="00784FF4">
      <w:pPr>
        <w:spacing w:line="276" w:lineRule="auto"/>
        <w:jc w:val="both"/>
        <w:rPr>
          <w:b/>
          <w:bCs/>
        </w:rPr>
      </w:pPr>
      <w:r w:rsidRPr="001C4BEF">
        <w:rPr>
          <w:b/>
          <w:bCs/>
        </w:rPr>
        <w:t>6.1 Fuente de ventaja competitiva</w:t>
      </w:r>
    </w:p>
    <w:p w14:paraId="45CC18A5" w14:textId="77777777" w:rsidR="00A2785A" w:rsidRPr="001C4BEF" w:rsidRDefault="00A2785A" w:rsidP="00784FF4">
      <w:pPr>
        <w:spacing w:line="276" w:lineRule="auto"/>
        <w:jc w:val="both"/>
      </w:pPr>
      <w:r w:rsidRPr="001C4BEF">
        <w:t>La ventaja se construye sobre:</w:t>
      </w:r>
    </w:p>
    <w:p w14:paraId="41DA3933" w14:textId="77777777" w:rsidR="00A2785A" w:rsidRPr="001C4BEF" w:rsidRDefault="00A2785A" w:rsidP="00784FF4">
      <w:pPr>
        <w:numPr>
          <w:ilvl w:val="0"/>
          <w:numId w:val="8"/>
        </w:numPr>
        <w:spacing w:line="276" w:lineRule="auto"/>
        <w:jc w:val="both"/>
      </w:pPr>
      <w:r w:rsidRPr="001C4BEF">
        <w:t>Escala: red existente de comercios</w:t>
      </w:r>
    </w:p>
    <w:p w14:paraId="6BD12966" w14:textId="77777777" w:rsidR="00A2785A" w:rsidRPr="001C4BEF" w:rsidRDefault="00A2785A" w:rsidP="00784FF4">
      <w:pPr>
        <w:numPr>
          <w:ilvl w:val="0"/>
          <w:numId w:val="8"/>
        </w:numPr>
        <w:spacing w:line="276" w:lineRule="auto"/>
        <w:jc w:val="both"/>
      </w:pPr>
      <w:r w:rsidRPr="001C4BEF">
        <w:t>Datos: información transaccional valiosa</w:t>
      </w:r>
    </w:p>
    <w:p w14:paraId="522E2005" w14:textId="77777777" w:rsidR="00A2785A" w:rsidRPr="001C4BEF" w:rsidRDefault="00A2785A" w:rsidP="00784FF4">
      <w:pPr>
        <w:numPr>
          <w:ilvl w:val="0"/>
          <w:numId w:val="8"/>
        </w:numPr>
        <w:spacing w:line="276" w:lineRule="auto"/>
        <w:jc w:val="both"/>
      </w:pPr>
      <w:r w:rsidRPr="001C4BEF">
        <w:t>Infraestructura: capacidad tecnológica instalada</w:t>
      </w:r>
    </w:p>
    <w:p w14:paraId="4E8F444B" w14:textId="77777777" w:rsidR="00A2785A" w:rsidRPr="001C4BEF" w:rsidRDefault="00A2785A" w:rsidP="00784FF4">
      <w:pPr>
        <w:spacing w:line="276" w:lineRule="auto"/>
        <w:jc w:val="both"/>
      </w:pPr>
      <w:r w:rsidRPr="001C4BEF">
        <w:t>Según Accenture (2024), el uso estratégico de datos permite aumentar la fidelización, mejorar la experiencia del cliente y generar nuevas fuentes de ingreso.</w:t>
      </w:r>
    </w:p>
    <w:p w14:paraId="693BE156" w14:textId="77777777" w:rsidR="00A2785A" w:rsidRPr="001C4BEF" w:rsidRDefault="00A2785A" w:rsidP="00784FF4">
      <w:pPr>
        <w:spacing w:line="276" w:lineRule="auto"/>
        <w:jc w:val="both"/>
        <w:rPr>
          <w:b/>
          <w:bCs/>
        </w:rPr>
      </w:pPr>
      <w:r w:rsidRPr="001C4BEF">
        <w:rPr>
          <w:b/>
          <w:bCs/>
        </w:rPr>
        <w:t>6.2 Sostenibilidad en el tiempo</w:t>
      </w:r>
    </w:p>
    <w:p w14:paraId="39409641" w14:textId="77777777" w:rsidR="00A2785A" w:rsidRPr="001C4BEF" w:rsidRDefault="00A2785A" w:rsidP="00784FF4">
      <w:pPr>
        <w:spacing w:line="276" w:lineRule="auto"/>
        <w:jc w:val="both"/>
      </w:pPr>
      <w:r w:rsidRPr="001C4BEF">
        <w:t>Los modelos de plataforma generan barreras de entrada dinámicas, ya que el valor de la red aumenta con cada nuevo participante, dificultando la entrada de competidores.</w:t>
      </w:r>
    </w:p>
    <w:p w14:paraId="67212BDF" w14:textId="598B577A" w:rsidR="00A2785A" w:rsidRPr="001C4BEF" w:rsidRDefault="00A2785A" w:rsidP="00784FF4">
      <w:pPr>
        <w:spacing w:line="276" w:lineRule="auto"/>
        <w:jc w:val="both"/>
        <w:rPr>
          <w:b/>
          <w:bCs/>
        </w:rPr>
      </w:pPr>
    </w:p>
    <w:p w14:paraId="7E9CF694" w14:textId="77777777" w:rsidR="00A2785A" w:rsidRPr="001C4BEF" w:rsidRDefault="00A2785A" w:rsidP="00784FF4">
      <w:pPr>
        <w:spacing w:line="276" w:lineRule="auto"/>
        <w:jc w:val="both"/>
        <w:rPr>
          <w:b/>
          <w:bCs/>
        </w:rPr>
      </w:pPr>
      <w:r w:rsidRPr="001C4BEF">
        <w:rPr>
          <w:b/>
          <w:bCs/>
        </w:rPr>
        <w:t>7. Riesgos del nuevo modelo y métricas clave</w:t>
      </w:r>
    </w:p>
    <w:p w14:paraId="66AC9389" w14:textId="77777777" w:rsidR="00A2785A" w:rsidRPr="001C4BEF" w:rsidRDefault="00A2785A" w:rsidP="00784FF4">
      <w:pPr>
        <w:spacing w:line="276" w:lineRule="auto"/>
        <w:jc w:val="both"/>
        <w:rPr>
          <w:b/>
          <w:bCs/>
        </w:rPr>
      </w:pPr>
      <w:r w:rsidRPr="001C4BEF">
        <w:rPr>
          <w:b/>
          <w:bCs/>
        </w:rPr>
        <w:t>7.1 Riesgos principales</w:t>
      </w:r>
    </w:p>
    <w:p w14:paraId="05A4CDB5" w14:textId="77777777" w:rsidR="00A2785A" w:rsidRPr="001C4BEF" w:rsidRDefault="00A2785A" w:rsidP="00784FF4">
      <w:pPr>
        <w:numPr>
          <w:ilvl w:val="0"/>
          <w:numId w:val="12"/>
        </w:numPr>
        <w:spacing w:line="276" w:lineRule="auto"/>
        <w:jc w:val="both"/>
      </w:pPr>
      <w:r w:rsidRPr="001C4BEF">
        <w:t xml:space="preserve">Regulatorio: evolución del Open </w:t>
      </w:r>
      <w:proofErr w:type="spellStart"/>
      <w:r w:rsidRPr="001C4BEF">
        <w:t>Finance</w:t>
      </w:r>
      <w:proofErr w:type="spellEnd"/>
    </w:p>
    <w:p w14:paraId="1E74518D" w14:textId="77777777" w:rsidR="00A2785A" w:rsidRPr="001C4BEF" w:rsidRDefault="00A2785A" w:rsidP="00784FF4">
      <w:pPr>
        <w:numPr>
          <w:ilvl w:val="0"/>
          <w:numId w:val="12"/>
        </w:numPr>
        <w:spacing w:line="276" w:lineRule="auto"/>
        <w:jc w:val="both"/>
      </w:pPr>
      <w:r w:rsidRPr="001C4BEF">
        <w:lastRenderedPageBreak/>
        <w:t xml:space="preserve">Competitivo: entrada de </w:t>
      </w:r>
      <w:proofErr w:type="spellStart"/>
      <w:r w:rsidRPr="001C4BEF">
        <w:t>fintechs</w:t>
      </w:r>
      <w:proofErr w:type="spellEnd"/>
      <w:r w:rsidRPr="001C4BEF">
        <w:t xml:space="preserve"> y Big Tech</w:t>
      </w:r>
    </w:p>
    <w:p w14:paraId="6F695BEC" w14:textId="77777777" w:rsidR="00A2785A" w:rsidRPr="001C4BEF" w:rsidRDefault="00A2785A" w:rsidP="00784FF4">
      <w:pPr>
        <w:numPr>
          <w:ilvl w:val="0"/>
          <w:numId w:val="12"/>
        </w:numPr>
        <w:spacing w:line="276" w:lineRule="auto"/>
        <w:jc w:val="both"/>
      </w:pPr>
      <w:r w:rsidRPr="001C4BEF">
        <w:t>Reputacional: uso de datos y ciberseguridad</w:t>
      </w:r>
    </w:p>
    <w:p w14:paraId="37F85470" w14:textId="4F4DBB04" w:rsidR="00A2785A" w:rsidRPr="001C4BEF" w:rsidRDefault="00A2785A" w:rsidP="00784FF4">
      <w:pPr>
        <w:spacing w:line="276" w:lineRule="auto"/>
        <w:jc w:val="both"/>
        <w:rPr>
          <w:b/>
          <w:bCs/>
        </w:rPr>
      </w:pPr>
    </w:p>
    <w:p w14:paraId="4CCC0F26" w14:textId="77777777" w:rsidR="00A2785A" w:rsidRPr="001C4BEF" w:rsidRDefault="00A2785A" w:rsidP="00784FF4">
      <w:pPr>
        <w:spacing w:line="276" w:lineRule="auto"/>
        <w:jc w:val="both"/>
        <w:rPr>
          <w:b/>
          <w:bCs/>
        </w:rPr>
      </w:pPr>
      <w:r w:rsidRPr="001C4BEF">
        <w:rPr>
          <w:b/>
          <w:bCs/>
        </w:rPr>
        <w:t>7.2 Métricas clave y justificación estratégica</w:t>
      </w:r>
    </w:p>
    <w:p w14:paraId="4B6E0310" w14:textId="77777777" w:rsidR="00A2785A" w:rsidRPr="001C4BEF" w:rsidRDefault="00A2785A" w:rsidP="00784FF4">
      <w:pPr>
        <w:spacing w:line="276" w:lineRule="auto"/>
        <w:jc w:val="both"/>
      </w:pPr>
      <w:r w:rsidRPr="001C4BEF">
        <w:t>Para evaluar el éxito de la implementación del modelo propuesto, no es suficiente medir indicadores financieros tradicionales. Dado que la innovación se basa en un modelo de plataforma digital con efectos de red, es fundamental utilizar métricas que reflejen la adopción, el crecimiento del ecosistema y la generación de valor en el tiempo.</w:t>
      </w:r>
    </w:p>
    <w:p w14:paraId="567869FB" w14:textId="77777777" w:rsidR="00A2785A" w:rsidRPr="001C4BEF" w:rsidRDefault="00A2785A" w:rsidP="00784FF4">
      <w:pPr>
        <w:spacing w:line="276" w:lineRule="auto"/>
        <w:jc w:val="both"/>
      </w:pPr>
      <w:r w:rsidRPr="001C4BEF">
        <w:t>A continuación, se presentan las métricas clave junto con su justificación estratégica:</w:t>
      </w:r>
    </w:p>
    <w:p w14:paraId="6486B4F9" w14:textId="740C6D9A" w:rsidR="00A2785A" w:rsidRPr="001C4BEF" w:rsidRDefault="00A2785A" w:rsidP="00784FF4">
      <w:pPr>
        <w:spacing w:line="276" w:lineRule="auto"/>
        <w:jc w:val="both"/>
        <w:rPr>
          <w:b/>
          <w:bCs/>
        </w:rPr>
      </w:pPr>
    </w:p>
    <w:p w14:paraId="1ED998CA" w14:textId="77777777" w:rsidR="00A2785A" w:rsidRPr="001C4BEF" w:rsidRDefault="00A2785A" w:rsidP="00784FF4">
      <w:pPr>
        <w:spacing w:line="276" w:lineRule="auto"/>
        <w:jc w:val="both"/>
        <w:rPr>
          <w:b/>
          <w:bCs/>
        </w:rPr>
      </w:pPr>
      <w:r w:rsidRPr="001C4BEF">
        <w:rPr>
          <w:b/>
          <w:bCs/>
        </w:rPr>
        <w:t>1. Usuarios activos (</w:t>
      </w:r>
      <w:proofErr w:type="spellStart"/>
      <w:r w:rsidRPr="001C4BEF">
        <w:rPr>
          <w:b/>
          <w:bCs/>
        </w:rPr>
        <w:t>Monthly</w:t>
      </w:r>
      <w:proofErr w:type="spellEnd"/>
      <w:r w:rsidRPr="001C4BEF">
        <w:rPr>
          <w:b/>
          <w:bCs/>
        </w:rPr>
        <w:t xml:space="preserve"> Active </w:t>
      </w:r>
      <w:proofErr w:type="spellStart"/>
      <w:r w:rsidRPr="001C4BEF">
        <w:rPr>
          <w:b/>
          <w:bCs/>
        </w:rPr>
        <w:t>Users</w:t>
      </w:r>
      <w:proofErr w:type="spellEnd"/>
      <w:r w:rsidRPr="001C4BEF">
        <w:rPr>
          <w:b/>
          <w:bCs/>
        </w:rPr>
        <w:t xml:space="preserve"> - MAU)</w:t>
      </w:r>
    </w:p>
    <w:p w14:paraId="1CC7392E" w14:textId="77777777" w:rsidR="00A2785A" w:rsidRPr="001C4BEF" w:rsidRDefault="00A2785A" w:rsidP="00784FF4">
      <w:pPr>
        <w:spacing w:line="276" w:lineRule="auto"/>
        <w:jc w:val="both"/>
      </w:pPr>
      <w:r w:rsidRPr="001C4BEF">
        <w:t>Esta métrica mide la cantidad de usuarios que interactúan activamente con la plataforma en un período determinado.</w:t>
      </w:r>
    </w:p>
    <w:p w14:paraId="21E94B3E" w14:textId="77777777" w:rsidR="00A2785A" w:rsidRPr="001C4BEF" w:rsidRDefault="00A2785A" w:rsidP="00784FF4">
      <w:pPr>
        <w:spacing w:line="276" w:lineRule="auto"/>
        <w:jc w:val="both"/>
      </w:pPr>
      <w:r w:rsidRPr="001C4BEF">
        <w:t xml:space="preserve">Su relevancia radica en que permite evaluar el nivel de adopción y </w:t>
      </w:r>
      <w:proofErr w:type="spellStart"/>
      <w:r w:rsidRPr="001C4BEF">
        <w:t>engagement</w:t>
      </w:r>
      <w:proofErr w:type="spellEnd"/>
      <w:r w:rsidRPr="001C4BEF">
        <w:t xml:space="preserve"> de la solución. En modelos de plataforma, el valor depende directamente del número de usuarios activos, ya que estos son los que generan datos, transacciones y, en última instancia, valor económico.</w:t>
      </w:r>
    </w:p>
    <w:p w14:paraId="0DF83F7A" w14:textId="77777777" w:rsidR="00A2785A" w:rsidRPr="001C4BEF" w:rsidRDefault="00A2785A" w:rsidP="00784FF4">
      <w:pPr>
        <w:spacing w:line="276" w:lineRule="auto"/>
        <w:jc w:val="both"/>
      </w:pPr>
      <w:r w:rsidRPr="001C4BEF">
        <w:t>Un crecimiento sostenido en usuarios activos indica que la propuesta de valor es relevante y que la plataforma está logrando tracción en el mercado.</w:t>
      </w:r>
    </w:p>
    <w:p w14:paraId="07A7D668" w14:textId="1BD5B564" w:rsidR="00A2785A" w:rsidRPr="001C4BEF" w:rsidRDefault="00A2785A" w:rsidP="00784FF4">
      <w:pPr>
        <w:spacing w:line="276" w:lineRule="auto"/>
        <w:jc w:val="both"/>
      </w:pPr>
    </w:p>
    <w:p w14:paraId="4CD91844" w14:textId="77777777" w:rsidR="00A2785A" w:rsidRPr="001C4BEF" w:rsidRDefault="00A2785A" w:rsidP="00784FF4">
      <w:pPr>
        <w:spacing w:line="276" w:lineRule="auto"/>
        <w:jc w:val="both"/>
        <w:rPr>
          <w:b/>
          <w:bCs/>
        </w:rPr>
      </w:pPr>
      <w:r w:rsidRPr="001C4BEF">
        <w:rPr>
          <w:b/>
          <w:bCs/>
        </w:rPr>
        <w:t>2. Número de comercios afiliados</w:t>
      </w:r>
    </w:p>
    <w:p w14:paraId="3F84C34B" w14:textId="77777777" w:rsidR="00A2785A" w:rsidRPr="001C4BEF" w:rsidRDefault="00A2785A" w:rsidP="00784FF4">
      <w:pPr>
        <w:spacing w:line="276" w:lineRule="auto"/>
        <w:jc w:val="both"/>
      </w:pPr>
      <w:r w:rsidRPr="001C4BEF">
        <w:t>Esta métrica mide la cantidad de comercios integrados a la plataforma.</w:t>
      </w:r>
    </w:p>
    <w:p w14:paraId="6344DEDF" w14:textId="77777777" w:rsidR="00A2785A" w:rsidRPr="001C4BEF" w:rsidRDefault="00A2785A" w:rsidP="00784FF4">
      <w:pPr>
        <w:spacing w:line="276" w:lineRule="auto"/>
        <w:jc w:val="both"/>
      </w:pPr>
      <w:r w:rsidRPr="001C4BEF">
        <w:t>Es clave porque los comercios constituyen el lado de la oferta dentro del modelo de plataforma. A mayor cantidad de comercios, mayor diversidad de servicios y mayor volumen de transacciones, lo que incrementa el valor de la red.</w:t>
      </w:r>
    </w:p>
    <w:p w14:paraId="64270DEA" w14:textId="77777777" w:rsidR="00A2785A" w:rsidRPr="001C4BEF" w:rsidRDefault="00A2785A" w:rsidP="00784FF4">
      <w:pPr>
        <w:spacing w:line="276" w:lineRule="auto"/>
        <w:jc w:val="both"/>
      </w:pPr>
      <w:r w:rsidRPr="001C4BEF">
        <w:t>Además, esta métrica permite evaluar la capacidad de Transbank para apalancar su red existente y expandir su ecosistema.</w:t>
      </w:r>
    </w:p>
    <w:p w14:paraId="494DC258" w14:textId="709C8E53" w:rsidR="00A2785A" w:rsidRPr="001C4BEF" w:rsidRDefault="00A2785A" w:rsidP="00784FF4">
      <w:pPr>
        <w:spacing w:line="276" w:lineRule="auto"/>
        <w:jc w:val="both"/>
        <w:rPr>
          <w:b/>
          <w:bCs/>
        </w:rPr>
      </w:pPr>
    </w:p>
    <w:p w14:paraId="472578DE" w14:textId="77777777" w:rsidR="00A2785A" w:rsidRPr="001C4BEF" w:rsidRDefault="00A2785A" w:rsidP="00784FF4">
      <w:pPr>
        <w:spacing w:line="276" w:lineRule="auto"/>
        <w:jc w:val="both"/>
        <w:rPr>
          <w:b/>
          <w:bCs/>
        </w:rPr>
      </w:pPr>
      <w:r w:rsidRPr="001C4BEF">
        <w:rPr>
          <w:b/>
          <w:bCs/>
        </w:rPr>
        <w:t>3. Ingresos por usuario (</w:t>
      </w:r>
      <w:proofErr w:type="spellStart"/>
      <w:r w:rsidRPr="001C4BEF">
        <w:rPr>
          <w:b/>
          <w:bCs/>
        </w:rPr>
        <w:t>Average</w:t>
      </w:r>
      <w:proofErr w:type="spellEnd"/>
      <w:r w:rsidRPr="001C4BEF">
        <w:rPr>
          <w:b/>
          <w:bCs/>
        </w:rPr>
        <w:t xml:space="preserve"> </w:t>
      </w:r>
      <w:proofErr w:type="spellStart"/>
      <w:r w:rsidRPr="001C4BEF">
        <w:rPr>
          <w:b/>
          <w:bCs/>
        </w:rPr>
        <w:t>Revenue</w:t>
      </w:r>
      <w:proofErr w:type="spellEnd"/>
      <w:r w:rsidRPr="001C4BEF">
        <w:rPr>
          <w:b/>
          <w:bCs/>
        </w:rPr>
        <w:t xml:space="preserve"> Per User - ARPU)</w:t>
      </w:r>
    </w:p>
    <w:p w14:paraId="039AC0C2" w14:textId="77777777" w:rsidR="00A2785A" w:rsidRPr="001C4BEF" w:rsidRDefault="00A2785A" w:rsidP="00784FF4">
      <w:pPr>
        <w:spacing w:line="276" w:lineRule="auto"/>
        <w:jc w:val="both"/>
      </w:pPr>
      <w:r w:rsidRPr="001C4BEF">
        <w:lastRenderedPageBreak/>
        <w:t>El ARPU mide el ingreso promedio generado por cada usuario.</w:t>
      </w:r>
    </w:p>
    <w:p w14:paraId="62E1795D" w14:textId="77777777" w:rsidR="00A2785A" w:rsidRPr="001C4BEF" w:rsidRDefault="00A2785A" w:rsidP="00784FF4">
      <w:pPr>
        <w:spacing w:line="276" w:lineRule="auto"/>
        <w:jc w:val="both"/>
      </w:pPr>
      <w:r w:rsidRPr="001C4BEF">
        <w:t xml:space="preserve">Esta métrica es fundamental para evaluar la capacidad de monetización del modelo. En este caso, permite analizar si la estrategia de </w:t>
      </w:r>
      <w:proofErr w:type="spellStart"/>
      <w:r w:rsidRPr="001C4BEF">
        <w:t>embedded</w:t>
      </w:r>
      <w:proofErr w:type="spellEnd"/>
      <w:r w:rsidRPr="001C4BEF">
        <w:t xml:space="preserve"> </w:t>
      </w:r>
      <w:proofErr w:type="spellStart"/>
      <w:r w:rsidRPr="001C4BEF">
        <w:t>finance</w:t>
      </w:r>
      <w:proofErr w:type="spellEnd"/>
      <w:r w:rsidRPr="001C4BEF">
        <w:t xml:space="preserve"> y servicios adicionales está logrando capturar valor más allá del procesamiento de pagos.</w:t>
      </w:r>
    </w:p>
    <w:p w14:paraId="7EF9C909" w14:textId="77777777" w:rsidR="00A2785A" w:rsidRPr="001C4BEF" w:rsidRDefault="00A2785A" w:rsidP="00784FF4">
      <w:pPr>
        <w:spacing w:line="276" w:lineRule="auto"/>
        <w:jc w:val="both"/>
      </w:pPr>
      <w:r w:rsidRPr="001C4BEF">
        <w:t>Un aumento en el ARPU indica que los usuarios están adoptando servicios de mayor valor agregado.</w:t>
      </w:r>
    </w:p>
    <w:p w14:paraId="4FA25FD2" w14:textId="410CED8E" w:rsidR="00A2785A" w:rsidRPr="001C4BEF" w:rsidRDefault="00A2785A" w:rsidP="00784FF4">
      <w:pPr>
        <w:spacing w:line="276" w:lineRule="auto"/>
        <w:jc w:val="both"/>
      </w:pPr>
    </w:p>
    <w:p w14:paraId="2342D761" w14:textId="77777777" w:rsidR="00A2785A" w:rsidRPr="001C4BEF" w:rsidRDefault="00A2785A" w:rsidP="00784FF4">
      <w:pPr>
        <w:spacing w:line="276" w:lineRule="auto"/>
        <w:jc w:val="both"/>
        <w:rPr>
          <w:b/>
          <w:bCs/>
        </w:rPr>
      </w:pPr>
      <w:r w:rsidRPr="001C4BEF">
        <w:rPr>
          <w:b/>
          <w:bCs/>
        </w:rPr>
        <w:t>4. Tasa de adopción de servicios adicionales</w:t>
      </w:r>
    </w:p>
    <w:p w14:paraId="564D60C8" w14:textId="77777777" w:rsidR="00A2785A" w:rsidRPr="001C4BEF" w:rsidRDefault="00A2785A" w:rsidP="00784FF4">
      <w:pPr>
        <w:spacing w:line="276" w:lineRule="auto"/>
        <w:jc w:val="both"/>
      </w:pPr>
      <w:r w:rsidRPr="001C4BEF">
        <w:t>Esta métrica mide el porcentaje de usuarios que utilizan servicios más allá del pago básico (por ejemplo, crédito, recomendaciones, analítica).</w:t>
      </w:r>
    </w:p>
    <w:p w14:paraId="7186A980" w14:textId="77777777" w:rsidR="00A2785A" w:rsidRPr="001C4BEF" w:rsidRDefault="00A2785A" w:rsidP="00784FF4">
      <w:pPr>
        <w:spacing w:line="276" w:lineRule="auto"/>
        <w:jc w:val="both"/>
      </w:pPr>
      <w:r w:rsidRPr="001C4BEF">
        <w:t>Es especialmente relevante porque el éxito de la innovación depende de la capacidad de migrar desde un modelo transaccional hacia uno basado en servicios. Una alta tasa de adopción refleja que la plataforma está logrando diversificar su propuesta de valor.</w:t>
      </w:r>
    </w:p>
    <w:p w14:paraId="56219354" w14:textId="28022D8A" w:rsidR="00A2785A" w:rsidRPr="001C4BEF" w:rsidRDefault="00A2785A" w:rsidP="00784FF4">
      <w:pPr>
        <w:spacing w:line="276" w:lineRule="auto"/>
        <w:jc w:val="both"/>
        <w:rPr>
          <w:b/>
          <w:bCs/>
        </w:rPr>
      </w:pPr>
    </w:p>
    <w:p w14:paraId="611DD2DB" w14:textId="77777777" w:rsidR="00A2785A" w:rsidRPr="001C4BEF" w:rsidRDefault="00A2785A" w:rsidP="00784FF4">
      <w:pPr>
        <w:spacing w:line="276" w:lineRule="auto"/>
        <w:jc w:val="both"/>
        <w:rPr>
          <w:b/>
          <w:bCs/>
        </w:rPr>
      </w:pPr>
      <w:r w:rsidRPr="001C4BEF">
        <w:rPr>
          <w:b/>
          <w:bCs/>
        </w:rPr>
        <w:t>5. Relación CAC / LTV (Costo de Adquisición vs Valor del Cliente)</w:t>
      </w:r>
    </w:p>
    <w:p w14:paraId="502F177D" w14:textId="77777777" w:rsidR="00A2785A" w:rsidRPr="001C4BEF" w:rsidRDefault="00A2785A" w:rsidP="00784FF4">
      <w:pPr>
        <w:spacing w:line="276" w:lineRule="auto"/>
        <w:jc w:val="both"/>
      </w:pPr>
      <w:r w:rsidRPr="001C4BEF">
        <w:t>Esta métrica compara el costo de adquirir un cliente (CAC) con el valor total que genera en el tiempo (LTV).</w:t>
      </w:r>
    </w:p>
    <w:p w14:paraId="39A500E2" w14:textId="77777777" w:rsidR="00A2785A" w:rsidRPr="001C4BEF" w:rsidRDefault="00A2785A" w:rsidP="00784FF4">
      <w:pPr>
        <w:spacing w:line="276" w:lineRule="auto"/>
        <w:jc w:val="both"/>
      </w:pPr>
      <w:r w:rsidRPr="001C4BEF">
        <w:t>Es clave para evaluar la sostenibilidad económica del modelo. En plataformas digitales, es común incurrir en altos costos iniciales de adquisición, pero estos deben ser compensados por un alto valor en el tiempo.</w:t>
      </w:r>
    </w:p>
    <w:p w14:paraId="0A1FBC37" w14:textId="77777777" w:rsidR="00A2785A" w:rsidRPr="001C4BEF" w:rsidRDefault="00A2785A" w:rsidP="00784FF4">
      <w:pPr>
        <w:spacing w:line="276" w:lineRule="auto"/>
        <w:jc w:val="both"/>
      </w:pPr>
      <w:proofErr w:type="gramStart"/>
      <w:r w:rsidRPr="001C4BEF">
        <w:t>Un ratio saludable</w:t>
      </w:r>
      <w:proofErr w:type="gramEnd"/>
      <w:r w:rsidRPr="001C4BEF">
        <w:t xml:space="preserve"> (LTV significativamente mayor que CAC) indica que el modelo es rentable y escalable.</w:t>
      </w:r>
    </w:p>
    <w:p w14:paraId="7E8442D9" w14:textId="7699CF83" w:rsidR="00A2785A" w:rsidRPr="001C4BEF" w:rsidRDefault="00A2785A" w:rsidP="00784FF4">
      <w:pPr>
        <w:spacing w:line="276" w:lineRule="auto"/>
        <w:jc w:val="both"/>
        <w:rPr>
          <w:b/>
          <w:bCs/>
        </w:rPr>
      </w:pPr>
    </w:p>
    <w:p w14:paraId="330579DE" w14:textId="77777777" w:rsidR="00A2785A" w:rsidRPr="001C4BEF" w:rsidRDefault="00A2785A" w:rsidP="00784FF4">
      <w:pPr>
        <w:spacing w:line="276" w:lineRule="auto"/>
        <w:jc w:val="both"/>
        <w:rPr>
          <w:b/>
          <w:bCs/>
        </w:rPr>
      </w:pPr>
      <w:r w:rsidRPr="001C4BEF">
        <w:rPr>
          <w:b/>
          <w:bCs/>
        </w:rPr>
        <w:t>7.3 Enfoque integral de medición</w:t>
      </w:r>
    </w:p>
    <w:p w14:paraId="7420F703" w14:textId="77777777" w:rsidR="00A2785A" w:rsidRPr="001C4BEF" w:rsidRDefault="00A2785A" w:rsidP="00784FF4">
      <w:pPr>
        <w:spacing w:line="276" w:lineRule="auto"/>
        <w:jc w:val="both"/>
      </w:pPr>
      <w:r w:rsidRPr="001C4BEF">
        <w:t>En conjunto, estas métricas permiten evaluar tres dimensiones clave del modelo:</w:t>
      </w:r>
    </w:p>
    <w:p w14:paraId="2FB1253A" w14:textId="77777777" w:rsidR="00A2785A" w:rsidRPr="001C4BEF" w:rsidRDefault="00A2785A" w:rsidP="00784FF4">
      <w:pPr>
        <w:numPr>
          <w:ilvl w:val="0"/>
          <w:numId w:val="13"/>
        </w:numPr>
        <w:spacing w:line="276" w:lineRule="auto"/>
        <w:jc w:val="both"/>
      </w:pPr>
      <w:r w:rsidRPr="001C4BEF">
        <w:t>Crecimiento: usuarios activos y comercios afiliados</w:t>
      </w:r>
    </w:p>
    <w:p w14:paraId="39EDF4B8" w14:textId="77777777" w:rsidR="00A2785A" w:rsidRPr="001C4BEF" w:rsidRDefault="00A2785A" w:rsidP="00784FF4">
      <w:pPr>
        <w:numPr>
          <w:ilvl w:val="0"/>
          <w:numId w:val="13"/>
        </w:numPr>
        <w:spacing w:line="276" w:lineRule="auto"/>
        <w:jc w:val="both"/>
      </w:pPr>
      <w:r w:rsidRPr="001C4BEF">
        <w:t>Monetización: ARPU y adopción de servicios</w:t>
      </w:r>
    </w:p>
    <w:p w14:paraId="78D1F7BA" w14:textId="77777777" w:rsidR="00A2785A" w:rsidRPr="001C4BEF" w:rsidRDefault="00A2785A" w:rsidP="00784FF4">
      <w:pPr>
        <w:numPr>
          <w:ilvl w:val="0"/>
          <w:numId w:val="13"/>
        </w:numPr>
        <w:spacing w:line="276" w:lineRule="auto"/>
        <w:jc w:val="both"/>
      </w:pPr>
      <w:r w:rsidRPr="001C4BEF">
        <w:t>Sostenibilidad: relación CAC/LTV</w:t>
      </w:r>
    </w:p>
    <w:p w14:paraId="2A19A650" w14:textId="77777777" w:rsidR="00A2785A" w:rsidRPr="001C4BEF" w:rsidRDefault="00A2785A" w:rsidP="00784FF4">
      <w:pPr>
        <w:spacing w:line="276" w:lineRule="auto"/>
        <w:jc w:val="both"/>
      </w:pPr>
      <w:r w:rsidRPr="001C4BEF">
        <w:lastRenderedPageBreak/>
        <w:t xml:space="preserve">Este enfoque integral es consistente con lo planteado por Accenture, que destaca la importancia de medir no solo ingresos, sino también adopción, </w:t>
      </w:r>
      <w:proofErr w:type="spellStart"/>
      <w:r w:rsidRPr="001C4BEF">
        <w:t>engagement</w:t>
      </w:r>
      <w:proofErr w:type="spellEnd"/>
      <w:r w:rsidRPr="001C4BEF">
        <w:t xml:space="preserve"> y valor del cliente en modelos digitales.</w:t>
      </w:r>
    </w:p>
    <w:p w14:paraId="1E2D9C70" w14:textId="71C773EF" w:rsidR="00A2785A" w:rsidRPr="001C4BEF" w:rsidRDefault="00A2785A" w:rsidP="00784FF4">
      <w:pPr>
        <w:spacing w:line="276" w:lineRule="auto"/>
        <w:jc w:val="both"/>
      </w:pPr>
      <w:r w:rsidRPr="001C4BEF">
        <w:t xml:space="preserve">Esto es consistente con Gartner (2023), que enfatiza la importancia de medir no solo indicadores financieros, sino también métricas de adopción, </w:t>
      </w:r>
      <w:proofErr w:type="spellStart"/>
      <w:r w:rsidRPr="001C4BEF">
        <w:t>engagement</w:t>
      </w:r>
      <w:proofErr w:type="spellEnd"/>
      <w:r w:rsidRPr="001C4BEF">
        <w:t xml:space="preserve"> y valor del cliente en modelos digitales.</w:t>
      </w:r>
    </w:p>
    <w:p w14:paraId="56D749F5" w14:textId="77777777" w:rsidR="00A2785A" w:rsidRPr="001C4BEF" w:rsidRDefault="00A2785A" w:rsidP="00784FF4">
      <w:pPr>
        <w:spacing w:line="276" w:lineRule="auto"/>
        <w:jc w:val="both"/>
        <w:rPr>
          <w:b/>
          <w:bCs/>
        </w:rPr>
      </w:pPr>
      <w:r w:rsidRPr="001C4BEF">
        <w:rPr>
          <w:b/>
          <w:bCs/>
        </w:rPr>
        <w:t>8. Conclusión</w:t>
      </w:r>
    </w:p>
    <w:p w14:paraId="1C3D219C" w14:textId="77777777" w:rsidR="00A2785A" w:rsidRPr="001C4BEF" w:rsidRDefault="00A2785A" w:rsidP="00784FF4">
      <w:pPr>
        <w:spacing w:line="276" w:lineRule="auto"/>
        <w:jc w:val="both"/>
      </w:pPr>
      <w:r w:rsidRPr="001C4BEF">
        <w:t>Transbank se encuentra en una posición estratégica privilegiada para liderar la transformación del ecosistema de pagos en Chile. Sin embargo, para capturar esta oportunidad, es necesario evolucionar hacia un modelo basado en plataformas digitales, datos e inteligencia artificial.</w:t>
      </w:r>
    </w:p>
    <w:p w14:paraId="703F1CD5" w14:textId="77777777" w:rsidR="00A2785A" w:rsidRPr="001C4BEF" w:rsidRDefault="00A2785A" w:rsidP="00784FF4">
      <w:pPr>
        <w:spacing w:line="276" w:lineRule="auto"/>
        <w:jc w:val="both"/>
      </w:pPr>
      <w:r w:rsidRPr="001C4BEF">
        <w:t xml:space="preserve">La implementación de una plataforma de Open </w:t>
      </w:r>
      <w:proofErr w:type="spellStart"/>
      <w:r w:rsidRPr="001C4BEF">
        <w:t>Finance</w:t>
      </w:r>
      <w:proofErr w:type="spellEnd"/>
      <w:r w:rsidRPr="001C4BEF">
        <w:t xml:space="preserve"> permitiría diversificar ingresos, mejorar la experiencia del cliente y construir una ventaja competitiva sostenible.</w:t>
      </w:r>
    </w:p>
    <w:p w14:paraId="40421C4D" w14:textId="77777777" w:rsidR="00A2785A" w:rsidRPr="001C4BEF" w:rsidRDefault="00A2785A" w:rsidP="00784FF4">
      <w:pPr>
        <w:spacing w:line="276" w:lineRule="auto"/>
        <w:jc w:val="both"/>
      </w:pPr>
      <w:r w:rsidRPr="001C4BEF">
        <w:t>Se recomienda avanzar de manera progresiva, priorizando el desarrollo tecnológico, las alianzas estratégicas y el cumplimiento regulatorio.</w:t>
      </w:r>
    </w:p>
    <w:p w14:paraId="434498CE" w14:textId="2A519930" w:rsidR="00A2785A" w:rsidRPr="001C4BEF" w:rsidRDefault="00A2785A" w:rsidP="00784FF4">
      <w:pPr>
        <w:spacing w:line="276" w:lineRule="auto"/>
        <w:jc w:val="both"/>
      </w:pPr>
    </w:p>
    <w:p w14:paraId="39A6E0B7" w14:textId="77777777" w:rsidR="00A2785A" w:rsidRPr="001C4BEF" w:rsidRDefault="00A2785A" w:rsidP="00784FF4">
      <w:pPr>
        <w:spacing w:line="276" w:lineRule="auto"/>
        <w:jc w:val="both"/>
        <w:rPr>
          <w:b/>
          <w:bCs/>
        </w:rPr>
      </w:pPr>
      <w:r w:rsidRPr="001C4BEF">
        <w:rPr>
          <w:rFonts w:ascii="Segoe UI Emoji" w:hAnsi="Segoe UI Emoji" w:cs="Segoe UI Emoji"/>
          <w:b/>
          <w:bCs/>
        </w:rPr>
        <w:t>📚</w:t>
      </w:r>
      <w:r w:rsidRPr="001C4BEF">
        <w:rPr>
          <w:b/>
          <w:bCs/>
        </w:rPr>
        <w:t xml:space="preserve"> Bibliografía (APA)</w:t>
      </w:r>
    </w:p>
    <w:p w14:paraId="5207AA11" w14:textId="77777777" w:rsidR="00A2785A" w:rsidRPr="001C4BEF" w:rsidRDefault="00A2785A" w:rsidP="00784FF4">
      <w:pPr>
        <w:numPr>
          <w:ilvl w:val="0"/>
          <w:numId w:val="11"/>
        </w:numPr>
        <w:spacing w:line="276" w:lineRule="auto"/>
        <w:jc w:val="both"/>
      </w:pPr>
      <w:r w:rsidRPr="001C4BEF">
        <w:t xml:space="preserve">McKinsey &amp; Company. (2023). </w:t>
      </w:r>
      <w:r w:rsidRPr="001C4BEF">
        <w:rPr>
          <w:i/>
          <w:iCs/>
        </w:rPr>
        <w:t xml:space="preserve">Global </w:t>
      </w:r>
      <w:proofErr w:type="spellStart"/>
      <w:r w:rsidRPr="001C4BEF">
        <w:rPr>
          <w:i/>
          <w:iCs/>
        </w:rPr>
        <w:t>Payments</w:t>
      </w:r>
      <w:proofErr w:type="spellEnd"/>
      <w:r w:rsidRPr="001C4BEF">
        <w:rPr>
          <w:i/>
          <w:iCs/>
        </w:rPr>
        <w:t xml:space="preserve"> </w:t>
      </w:r>
      <w:proofErr w:type="spellStart"/>
      <w:r w:rsidRPr="001C4BEF">
        <w:rPr>
          <w:i/>
          <w:iCs/>
        </w:rPr>
        <w:t>Report</w:t>
      </w:r>
      <w:proofErr w:type="spellEnd"/>
      <w:r w:rsidRPr="001C4BEF">
        <w:t>.</w:t>
      </w:r>
      <w:r w:rsidRPr="001C4BEF">
        <w:br/>
      </w:r>
      <w:hyperlink r:id="rId5" w:history="1">
        <w:r w:rsidRPr="001C4BEF">
          <w:rPr>
            <w:rStyle w:val="Hipervnculo"/>
          </w:rPr>
          <w:t>https://www.mckinsey.com/industries/financial-services/our-insights/global-payments-report</w:t>
        </w:r>
      </w:hyperlink>
    </w:p>
    <w:p w14:paraId="0B142300" w14:textId="77777777" w:rsidR="00A2785A" w:rsidRPr="001C4BEF" w:rsidRDefault="00A2785A" w:rsidP="00784FF4">
      <w:pPr>
        <w:numPr>
          <w:ilvl w:val="0"/>
          <w:numId w:val="11"/>
        </w:numPr>
        <w:spacing w:line="276" w:lineRule="auto"/>
        <w:jc w:val="both"/>
      </w:pPr>
      <w:r w:rsidRPr="001C4BEF">
        <w:t xml:space="preserve">Accenture. (2024). </w:t>
      </w:r>
      <w:proofErr w:type="spellStart"/>
      <w:r w:rsidRPr="001C4BEF">
        <w:rPr>
          <w:i/>
          <w:iCs/>
        </w:rPr>
        <w:t>Banking</w:t>
      </w:r>
      <w:proofErr w:type="spellEnd"/>
      <w:r w:rsidRPr="001C4BEF">
        <w:rPr>
          <w:i/>
          <w:iCs/>
        </w:rPr>
        <w:t xml:space="preserve"> &amp; </w:t>
      </w:r>
      <w:proofErr w:type="spellStart"/>
      <w:r w:rsidRPr="001C4BEF">
        <w:rPr>
          <w:i/>
          <w:iCs/>
        </w:rPr>
        <w:t>payments</w:t>
      </w:r>
      <w:proofErr w:type="spellEnd"/>
      <w:r w:rsidRPr="001C4BEF">
        <w:rPr>
          <w:i/>
          <w:iCs/>
        </w:rPr>
        <w:t xml:space="preserve"> </w:t>
      </w:r>
      <w:proofErr w:type="spellStart"/>
      <w:r w:rsidRPr="001C4BEF">
        <w:rPr>
          <w:i/>
          <w:iCs/>
        </w:rPr>
        <w:t>insights</w:t>
      </w:r>
      <w:proofErr w:type="spellEnd"/>
      <w:r w:rsidRPr="001C4BEF">
        <w:t>.</w:t>
      </w:r>
      <w:r w:rsidRPr="001C4BEF">
        <w:br/>
      </w:r>
      <w:hyperlink r:id="rId6" w:history="1">
        <w:r w:rsidRPr="001C4BEF">
          <w:rPr>
            <w:rStyle w:val="Hipervnculo"/>
          </w:rPr>
          <w:t>https://www.accenture.com/us-en/insights-index</w:t>
        </w:r>
      </w:hyperlink>
    </w:p>
    <w:p w14:paraId="1E8F5BCB" w14:textId="77777777" w:rsidR="00A2785A" w:rsidRPr="001C4BEF" w:rsidRDefault="00A2785A" w:rsidP="00784FF4">
      <w:pPr>
        <w:numPr>
          <w:ilvl w:val="0"/>
          <w:numId w:val="11"/>
        </w:numPr>
        <w:spacing w:line="276" w:lineRule="auto"/>
        <w:jc w:val="both"/>
      </w:pPr>
      <w:r w:rsidRPr="001C4BEF">
        <w:t xml:space="preserve">Accenture, &amp; </w:t>
      </w:r>
      <w:proofErr w:type="spellStart"/>
      <w:r w:rsidRPr="001C4BEF">
        <w:t>Plaid</w:t>
      </w:r>
      <w:proofErr w:type="spellEnd"/>
      <w:r w:rsidRPr="001C4BEF">
        <w:t xml:space="preserve">. (2022). </w:t>
      </w:r>
      <w:proofErr w:type="spellStart"/>
      <w:r w:rsidRPr="001C4BEF">
        <w:rPr>
          <w:i/>
          <w:iCs/>
        </w:rPr>
        <w:t>Embedded</w:t>
      </w:r>
      <w:proofErr w:type="spellEnd"/>
      <w:r w:rsidRPr="001C4BEF">
        <w:rPr>
          <w:i/>
          <w:iCs/>
        </w:rPr>
        <w:t xml:space="preserve"> </w:t>
      </w:r>
      <w:proofErr w:type="spellStart"/>
      <w:r w:rsidRPr="001C4BEF">
        <w:rPr>
          <w:i/>
          <w:iCs/>
        </w:rPr>
        <w:t>Finance</w:t>
      </w:r>
      <w:proofErr w:type="spellEnd"/>
      <w:r w:rsidRPr="001C4BEF">
        <w:rPr>
          <w:i/>
          <w:iCs/>
        </w:rPr>
        <w:t xml:space="preserve"> </w:t>
      </w:r>
      <w:proofErr w:type="spellStart"/>
      <w:r w:rsidRPr="001C4BEF">
        <w:rPr>
          <w:i/>
          <w:iCs/>
        </w:rPr>
        <w:t>Report</w:t>
      </w:r>
      <w:proofErr w:type="spellEnd"/>
      <w:r w:rsidRPr="001C4BEF">
        <w:t>.</w:t>
      </w:r>
      <w:r w:rsidRPr="001C4BEF">
        <w:br/>
      </w:r>
      <w:hyperlink r:id="rId7" w:history="1">
        <w:r w:rsidRPr="001C4BEF">
          <w:rPr>
            <w:rStyle w:val="Hipervnculo"/>
          </w:rPr>
          <w:t>https://plaid.com/accenture-report-embedded-finance/</w:t>
        </w:r>
      </w:hyperlink>
    </w:p>
    <w:p w14:paraId="14DB1090" w14:textId="77777777" w:rsidR="00C92ED7" w:rsidRPr="001C4BEF" w:rsidRDefault="00A2785A" w:rsidP="00784FF4">
      <w:pPr>
        <w:numPr>
          <w:ilvl w:val="0"/>
          <w:numId w:val="11"/>
        </w:numPr>
        <w:spacing w:line="276" w:lineRule="auto"/>
        <w:jc w:val="both"/>
      </w:pPr>
      <w:r w:rsidRPr="001C4BEF">
        <w:t xml:space="preserve">Bain &amp; Company. (2023). </w:t>
      </w:r>
      <w:proofErr w:type="spellStart"/>
      <w:r w:rsidRPr="001C4BEF">
        <w:rPr>
          <w:i/>
          <w:iCs/>
        </w:rPr>
        <w:t>Insights</w:t>
      </w:r>
      <w:proofErr w:type="spellEnd"/>
      <w:r w:rsidRPr="001C4BEF">
        <w:rPr>
          <w:i/>
          <w:iCs/>
        </w:rPr>
        <w:t xml:space="preserve"> </w:t>
      </w:r>
      <w:proofErr w:type="spellStart"/>
      <w:r w:rsidRPr="001C4BEF">
        <w:rPr>
          <w:i/>
          <w:iCs/>
        </w:rPr>
        <w:t>on</w:t>
      </w:r>
      <w:proofErr w:type="spellEnd"/>
      <w:r w:rsidRPr="001C4BEF">
        <w:rPr>
          <w:i/>
          <w:iCs/>
        </w:rPr>
        <w:t xml:space="preserve"> digital </w:t>
      </w:r>
      <w:proofErr w:type="spellStart"/>
      <w:r w:rsidRPr="001C4BEF">
        <w:rPr>
          <w:i/>
          <w:iCs/>
        </w:rPr>
        <w:t>platforms</w:t>
      </w:r>
      <w:proofErr w:type="spellEnd"/>
      <w:r w:rsidRPr="001C4BEF">
        <w:rPr>
          <w:i/>
          <w:iCs/>
        </w:rPr>
        <w:t xml:space="preserve"> and </w:t>
      </w:r>
      <w:proofErr w:type="spellStart"/>
      <w:r w:rsidRPr="001C4BEF">
        <w:rPr>
          <w:i/>
          <w:iCs/>
        </w:rPr>
        <w:t>ecosystems</w:t>
      </w:r>
      <w:proofErr w:type="spellEnd"/>
      <w:r w:rsidRPr="001C4BEF">
        <w:t>.</w:t>
      </w:r>
      <w:r w:rsidRPr="001C4BEF">
        <w:br/>
      </w:r>
      <w:hyperlink r:id="rId8" w:history="1">
        <w:r w:rsidRPr="001C4BEF">
          <w:rPr>
            <w:rStyle w:val="Hipervnculo"/>
          </w:rPr>
          <w:t>https://www.bain.com/insights/</w:t>
        </w:r>
      </w:hyperlink>
    </w:p>
    <w:p w14:paraId="5D61CFEC" w14:textId="5E2D8F30" w:rsidR="00A2785A" w:rsidRPr="001C4BEF" w:rsidRDefault="00A2785A" w:rsidP="00784FF4">
      <w:pPr>
        <w:numPr>
          <w:ilvl w:val="0"/>
          <w:numId w:val="11"/>
        </w:numPr>
        <w:spacing w:line="276" w:lineRule="auto"/>
        <w:jc w:val="both"/>
      </w:pPr>
      <w:r w:rsidRPr="001C4BEF">
        <w:t xml:space="preserve">Gartner. (2023). </w:t>
      </w:r>
      <w:r w:rsidRPr="001C4BEF">
        <w:rPr>
          <w:i/>
          <w:iCs/>
        </w:rPr>
        <w:t xml:space="preserve">Top </w:t>
      </w:r>
      <w:proofErr w:type="spellStart"/>
      <w:r w:rsidRPr="001C4BEF">
        <w:rPr>
          <w:i/>
          <w:iCs/>
        </w:rPr>
        <w:t>Strategic</w:t>
      </w:r>
      <w:proofErr w:type="spellEnd"/>
      <w:r w:rsidRPr="001C4BEF">
        <w:rPr>
          <w:i/>
          <w:iCs/>
        </w:rPr>
        <w:t xml:space="preserve"> </w:t>
      </w:r>
      <w:proofErr w:type="spellStart"/>
      <w:r w:rsidRPr="001C4BEF">
        <w:rPr>
          <w:i/>
          <w:iCs/>
        </w:rPr>
        <w:t>Technology</w:t>
      </w:r>
      <w:proofErr w:type="spellEnd"/>
      <w:r w:rsidRPr="001C4BEF">
        <w:rPr>
          <w:i/>
          <w:iCs/>
        </w:rPr>
        <w:t xml:space="preserve"> </w:t>
      </w:r>
      <w:proofErr w:type="spellStart"/>
      <w:r w:rsidRPr="001C4BEF">
        <w:rPr>
          <w:i/>
          <w:iCs/>
        </w:rPr>
        <w:t>Trends</w:t>
      </w:r>
      <w:proofErr w:type="spellEnd"/>
      <w:r w:rsidRPr="001C4BEF">
        <w:rPr>
          <w:i/>
          <w:iCs/>
        </w:rPr>
        <w:t xml:space="preserve"> in </w:t>
      </w:r>
      <w:proofErr w:type="spellStart"/>
      <w:r w:rsidRPr="001C4BEF">
        <w:rPr>
          <w:i/>
          <w:iCs/>
        </w:rPr>
        <w:t>Financial</w:t>
      </w:r>
      <w:proofErr w:type="spellEnd"/>
      <w:r w:rsidRPr="001C4BEF">
        <w:rPr>
          <w:i/>
          <w:iCs/>
        </w:rPr>
        <w:t xml:space="preserve"> </w:t>
      </w:r>
      <w:proofErr w:type="spellStart"/>
      <w:r w:rsidRPr="001C4BEF">
        <w:rPr>
          <w:i/>
          <w:iCs/>
        </w:rPr>
        <w:t>Services</w:t>
      </w:r>
      <w:proofErr w:type="spellEnd"/>
      <w:r w:rsidRPr="001C4BEF">
        <w:t>.</w:t>
      </w:r>
      <w:r w:rsidRPr="001C4BEF">
        <w:br/>
      </w:r>
      <w:hyperlink r:id="rId9" w:tgtFrame="_new" w:history="1">
        <w:r w:rsidRPr="001C4BEF">
          <w:rPr>
            <w:rStyle w:val="Hipervnculo"/>
          </w:rPr>
          <w:t>https://www.gartner.com/en/insights</w:t>
        </w:r>
      </w:hyperlink>
    </w:p>
    <w:p w14:paraId="663B2013" w14:textId="77777777" w:rsidR="001E2F9C" w:rsidRPr="001C4BEF" w:rsidRDefault="001E2F9C" w:rsidP="00784FF4">
      <w:pPr>
        <w:spacing w:line="276" w:lineRule="auto"/>
        <w:jc w:val="both"/>
      </w:pPr>
    </w:p>
    <w:sectPr w:rsidR="001E2F9C" w:rsidRPr="001C4B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46EB"/>
    <w:multiLevelType w:val="multilevel"/>
    <w:tmpl w:val="E3EA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63DE3"/>
    <w:multiLevelType w:val="multilevel"/>
    <w:tmpl w:val="E740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73F40"/>
    <w:multiLevelType w:val="multilevel"/>
    <w:tmpl w:val="7644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07937"/>
    <w:multiLevelType w:val="multilevel"/>
    <w:tmpl w:val="ECA2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E4216"/>
    <w:multiLevelType w:val="multilevel"/>
    <w:tmpl w:val="34F6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86A49"/>
    <w:multiLevelType w:val="multilevel"/>
    <w:tmpl w:val="995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6307B"/>
    <w:multiLevelType w:val="multilevel"/>
    <w:tmpl w:val="1B0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56C00"/>
    <w:multiLevelType w:val="multilevel"/>
    <w:tmpl w:val="337E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306AE"/>
    <w:multiLevelType w:val="multilevel"/>
    <w:tmpl w:val="CEC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C744C"/>
    <w:multiLevelType w:val="multilevel"/>
    <w:tmpl w:val="98D6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4302F"/>
    <w:multiLevelType w:val="multilevel"/>
    <w:tmpl w:val="521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3056D"/>
    <w:multiLevelType w:val="multilevel"/>
    <w:tmpl w:val="B79A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122B3"/>
    <w:multiLevelType w:val="multilevel"/>
    <w:tmpl w:val="D1B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A244D"/>
    <w:multiLevelType w:val="multilevel"/>
    <w:tmpl w:val="BBE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593062">
    <w:abstractNumId w:val="11"/>
  </w:num>
  <w:num w:numId="2" w16cid:durableId="2023701873">
    <w:abstractNumId w:val="12"/>
  </w:num>
  <w:num w:numId="3" w16cid:durableId="1465275146">
    <w:abstractNumId w:val="10"/>
  </w:num>
  <w:num w:numId="4" w16cid:durableId="1856798006">
    <w:abstractNumId w:val="13"/>
  </w:num>
  <w:num w:numId="5" w16cid:durableId="1647974831">
    <w:abstractNumId w:val="9"/>
  </w:num>
  <w:num w:numId="6" w16cid:durableId="664089993">
    <w:abstractNumId w:val="1"/>
  </w:num>
  <w:num w:numId="7" w16cid:durableId="2003771077">
    <w:abstractNumId w:val="3"/>
  </w:num>
  <w:num w:numId="8" w16cid:durableId="2076314171">
    <w:abstractNumId w:val="7"/>
  </w:num>
  <w:num w:numId="9" w16cid:durableId="939220475">
    <w:abstractNumId w:val="4"/>
  </w:num>
  <w:num w:numId="10" w16cid:durableId="903031401">
    <w:abstractNumId w:val="8"/>
  </w:num>
  <w:num w:numId="11" w16cid:durableId="103355653">
    <w:abstractNumId w:val="6"/>
  </w:num>
  <w:num w:numId="12" w16cid:durableId="1875344362">
    <w:abstractNumId w:val="5"/>
  </w:num>
  <w:num w:numId="13" w16cid:durableId="1631743210">
    <w:abstractNumId w:val="2"/>
  </w:num>
  <w:num w:numId="14" w16cid:durableId="98088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85A"/>
    <w:rsid w:val="001C4BEF"/>
    <w:rsid w:val="001E2F9C"/>
    <w:rsid w:val="00784FF4"/>
    <w:rsid w:val="00A2785A"/>
    <w:rsid w:val="00AE5F61"/>
    <w:rsid w:val="00B55CD4"/>
    <w:rsid w:val="00C92ED7"/>
    <w:rsid w:val="00E24D26"/>
    <w:rsid w:val="00FC3C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D4AA"/>
  <w15:chartTrackingRefBased/>
  <w15:docId w15:val="{CF776B55-A601-4C09-9096-E3E6468B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7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27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78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78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78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78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78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78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78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78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278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78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78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78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78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78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78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785A"/>
    <w:rPr>
      <w:rFonts w:eastAsiaTheme="majorEastAsia" w:cstheme="majorBidi"/>
      <w:color w:val="272727" w:themeColor="text1" w:themeTint="D8"/>
    </w:rPr>
  </w:style>
  <w:style w:type="paragraph" w:styleId="Ttulo">
    <w:name w:val="Title"/>
    <w:basedOn w:val="Normal"/>
    <w:next w:val="Normal"/>
    <w:link w:val="TtuloCar"/>
    <w:uiPriority w:val="10"/>
    <w:qFormat/>
    <w:rsid w:val="00A27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78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78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78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785A"/>
    <w:pPr>
      <w:spacing w:before="160"/>
      <w:jc w:val="center"/>
    </w:pPr>
    <w:rPr>
      <w:i/>
      <w:iCs/>
      <w:color w:val="404040" w:themeColor="text1" w:themeTint="BF"/>
    </w:rPr>
  </w:style>
  <w:style w:type="character" w:customStyle="1" w:styleId="CitaCar">
    <w:name w:val="Cita Car"/>
    <w:basedOn w:val="Fuentedeprrafopredeter"/>
    <w:link w:val="Cita"/>
    <w:uiPriority w:val="29"/>
    <w:rsid w:val="00A2785A"/>
    <w:rPr>
      <w:i/>
      <w:iCs/>
      <w:color w:val="404040" w:themeColor="text1" w:themeTint="BF"/>
    </w:rPr>
  </w:style>
  <w:style w:type="paragraph" w:styleId="Prrafodelista">
    <w:name w:val="List Paragraph"/>
    <w:basedOn w:val="Normal"/>
    <w:uiPriority w:val="34"/>
    <w:qFormat/>
    <w:rsid w:val="00A2785A"/>
    <w:pPr>
      <w:ind w:left="720"/>
      <w:contextualSpacing/>
    </w:pPr>
  </w:style>
  <w:style w:type="character" w:styleId="nfasisintenso">
    <w:name w:val="Intense Emphasis"/>
    <w:basedOn w:val="Fuentedeprrafopredeter"/>
    <w:uiPriority w:val="21"/>
    <w:qFormat/>
    <w:rsid w:val="00A2785A"/>
    <w:rPr>
      <w:i/>
      <w:iCs/>
      <w:color w:val="0F4761" w:themeColor="accent1" w:themeShade="BF"/>
    </w:rPr>
  </w:style>
  <w:style w:type="paragraph" w:styleId="Citadestacada">
    <w:name w:val="Intense Quote"/>
    <w:basedOn w:val="Normal"/>
    <w:next w:val="Normal"/>
    <w:link w:val="CitadestacadaCar"/>
    <w:uiPriority w:val="30"/>
    <w:qFormat/>
    <w:rsid w:val="00A27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785A"/>
    <w:rPr>
      <w:i/>
      <w:iCs/>
      <w:color w:val="0F4761" w:themeColor="accent1" w:themeShade="BF"/>
    </w:rPr>
  </w:style>
  <w:style w:type="character" w:styleId="Referenciaintensa">
    <w:name w:val="Intense Reference"/>
    <w:basedOn w:val="Fuentedeprrafopredeter"/>
    <w:uiPriority w:val="32"/>
    <w:qFormat/>
    <w:rsid w:val="00A2785A"/>
    <w:rPr>
      <w:b/>
      <w:bCs/>
      <w:smallCaps/>
      <w:color w:val="0F4761" w:themeColor="accent1" w:themeShade="BF"/>
      <w:spacing w:val="5"/>
    </w:rPr>
  </w:style>
  <w:style w:type="character" w:styleId="Hipervnculo">
    <w:name w:val="Hyperlink"/>
    <w:basedOn w:val="Fuentedeprrafopredeter"/>
    <w:uiPriority w:val="99"/>
    <w:unhideWhenUsed/>
    <w:rsid w:val="00A2785A"/>
    <w:rPr>
      <w:color w:val="467886" w:themeColor="hyperlink"/>
      <w:u w:val="single"/>
    </w:rPr>
  </w:style>
  <w:style w:type="character" w:styleId="Mencinsinresolver">
    <w:name w:val="Unresolved Mention"/>
    <w:basedOn w:val="Fuentedeprrafopredeter"/>
    <w:uiPriority w:val="99"/>
    <w:semiHidden/>
    <w:unhideWhenUsed/>
    <w:rsid w:val="00A2785A"/>
    <w:rPr>
      <w:color w:val="605E5C"/>
      <w:shd w:val="clear" w:color="auto" w:fill="E1DFDD"/>
    </w:rPr>
  </w:style>
  <w:style w:type="character" w:styleId="Hipervnculovisitado">
    <w:name w:val="FollowedHyperlink"/>
    <w:basedOn w:val="Fuentedeprrafopredeter"/>
    <w:uiPriority w:val="99"/>
    <w:semiHidden/>
    <w:unhideWhenUsed/>
    <w:rsid w:val="00A2785A"/>
    <w:rPr>
      <w:color w:val="96607D" w:themeColor="followedHyperlink"/>
      <w:u w:val="single"/>
    </w:rPr>
  </w:style>
  <w:style w:type="character" w:customStyle="1" w:styleId="whitespace-normal">
    <w:name w:val="whitespace-normal"/>
    <w:basedOn w:val="Fuentedeprrafopredeter"/>
    <w:rsid w:val="00A2785A"/>
  </w:style>
  <w:style w:type="paragraph" w:styleId="NormalWeb">
    <w:name w:val="Normal (Web)"/>
    <w:basedOn w:val="Normal"/>
    <w:uiPriority w:val="99"/>
    <w:semiHidden/>
    <w:unhideWhenUsed/>
    <w:rsid w:val="00A2785A"/>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in.com/insights/" TargetMode="External"/><Relationship Id="rId3" Type="http://schemas.openxmlformats.org/officeDocument/2006/relationships/settings" Target="settings.xml"/><Relationship Id="rId7" Type="http://schemas.openxmlformats.org/officeDocument/2006/relationships/hyperlink" Target="https://plaid.com/accenture-report-embedded-fin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centure.com/us-en/insights-index" TargetMode="External"/><Relationship Id="rId11" Type="http://schemas.openxmlformats.org/officeDocument/2006/relationships/theme" Target="theme/theme1.xml"/><Relationship Id="rId5" Type="http://schemas.openxmlformats.org/officeDocument/2006/relationships/hyperlink" Target="https://www.mckinsey.com/industries/financial-services/our-insights/global-payments-repor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artner.com/en/insigh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1884</Words>
  <Characters>11405</Characters>
  <Application>Microsoft Office Word</Application>
  <DocSecurity>0</DocSecurity>
  <Lines>247</Lines>
  <Paragraphs>147</Paragraphs>
  <ScaleCrop>false</ScaleCrop>
  <Company>HP</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Campos Romero</dc:creator>
  <cp:keywords/>
  <dc:description/>
  <cp:lastModifiedBy>Agustin Campos Romero</cp:lastModifiedBy>
  <cp:revision>5</cp:revision>
  <dcterms:created xsi:type="dcterms:W3CDTF">2026-03-23T21:58:00Z</dcterms:created>
  <dcterms:modified xsi:type="dcterms:W3CDTF">2026-03-23T22:22:00Z</dcterms:modified>
</cp:coreProperties>
</file>