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E4C2" w14:textId="77777777" w:rsidR="0028060A" w:rsidRPr="00E62654" w:rsidRDefault="00000000" w:rsidP="00E62654">
      <w:pPr>
        <w:pStyle w:val="FirstParagraph"/>
        <w:jc w:val="both"/>
        <w:rPr>
          <w:sz w:val="48"/>
          <w:szCs w:val="48"/>
        </w:rPr>
      </w:pPr>
      <w:r w:rsidRPr="00E62654">
        <w:rPr>
          <w:sz w:val="48"/>
          <w:szCs w:val="48"/>
        </w:rPr>
        <w:t>Transformación Digital en Servicios Financieros: De la Banca Tradicional a Ecosistemas Digitales</w:t>
      </w:r>
    </w:p>
    <w:p w14:paraId="408BAA70" w14:textId="7E093EE1" w:rsidR="0028060A" w:rsidRDefault="0028060A" w:rsidP="00E62654">
      <w:pPr>
        <w:jc w:val="both"/>
      </w:pPr>
    </w:p>
    <w:p w14:paraId="49165ADC" w14:textId="77777777" w:rsidR="0028060A" w:rsidRDefault="00000000" w:rsidP="00E62654">
      <w:pPr>
        <w:pStyle w:val="Ttulo2"/>
        <w:jc w:val="both"/>
      </w:pPr>
      <w:bookmarkStart w:id="0" w:name="X373198ed69a5c4cbb081dc9a531025011ec56ad"/>
      <w:r>
        <w:t>1. Contexto e Identificación del Problema Estratégico</w:t>
      </w:r>
    </w:p>
    <w:p w14:paraId="79A89165" w14:textId="77777777" w:rsidR="0028060A" w:rsidRDefault="00000000" w:rsidP="00E62654">
      <w:pPr>
        <w:pStyle w:val="FirstParagraph"/>
        <w:jc w:val="both"/>
      </w:pPr>
      <w:r>
        <w:t xml:space="preserve">La industria de servicios financieros ha operado tradicionalmente bajo modelos centralizados y altamente regulados. Esto ha generado rigidez operativa, altos costos y una experiencia limitada para el cliente. Según el </w:t>
      </w:r>
      <w:r>
        <w:rPr>
          <w:i/>
          <w:iCs/>
        </w:rPr>
        <w:t>Global Banking Annual Review</w:t>
      </w:r>
      <w:r>
        <w:t xml:space="preserve"> de McKinsey &amp; Company, muchos bancos aún dependen de sistemas legacy que dificultan la innovación, reduciendo su capacidad de competir con nuevos actores digitales (McKinsey &amp; Company, 2025).</w:t>
      </w:r>
    </w:p>
    <w:p w14:paraId="52DEC9F9" w14:textId="43BE2CC9" w:rsidR="0028060A" w:rsidRDefault="0028060A" w:rsidP="00E62654">
      <w:pPr>
        <w:jc w:val="both"/>
      </w:pPr>
    </w:p>
    <w:p w14:paraId="47F74014" w14:textId="77777777" w:rsidR="0028060A" w:rsidRDefault="00000000" w:rsidP="00E62654">
      <w:pPr>
        <w:pStyle w:val="Ttulo2"/>
        <w:jc w:val="both"/>
      </w:pPr>
      <w:bookmarkStart w:id="1" w:name="cambios-en-el-cliente"/>
      <w:bookmarkEnd w:id="0"/>
      <w:r>
        <w:t>2. Cambios en el Cliente</w:t>
      </w:r>
    </w:p>
    <w:p w14:paraId="73622B4F" w14:textId="77777777" w:rsidR="0028060A" w:rsidRPr="00E62654" w:rsidRDefault="00000000" w:rsidP="00E62654">
      <w:pPr>
        <w:pStyle w:val="FirstParagraph"/>
        <w:jc w:val="both"/>
      </w:pPr>
      <w:r w:rsidRPr="00E62654">
        <w:t>Los clientes de servicios financieros valoran cada vez más la experiencia digital. Buscan inmediatez, disponibilidad 24/7 y personalización basada en datos. Según Bain &amp; Company, la fidelidad de los clientes está en declive porque los consumidores comparan bancos con cualquier otra experiencia digital, y no solo entre instituciones financieras tradicionales (Bain &amp; Company, 2023). Accenture destaca que los clientes esperan plataformas integradas que ofrezcan múltiples servicios en un mismo ecosistema digital (Accenture, 2025).</w:t>
      </w:r>
    </w:p>
    <w:p w14:paraId="1824730F" w14:textId="71C8ECEA" w:rsidR="0028060A" w:rsidRDefault="0028060A" w:rsidP="00E62654">
      <w:pPr>
        <w:jc w:val="both"/>
      </w:pPr>
    </w:p>
    <w:p w14:paraId="495EB594" w14:textId="77777777" w:rsidR="0028060A" w:rsidRDefault="00000000" w:rsidP="00E62654">
      <w:pPr>
        <w:pStyle w:val="Ttulo2"/>
        <w:jc w:val="both"/>
      </w:pPr>
      <w:bookmarkStart w:id="2" w:name="fuerzas-de-disrupción"/>
      <w:bookmarkEnd w:id="1"/>
      <w:r>
        <w:t>3. Fuerzas de Disrupción</w:t>
      </w:r>
    </w:p>
    <w:p w14:paraId="5168D245" w14:textId="77777777" w:rsidR="0028060A" w:rsidRDefault="00000000" w:rsidP="00E62654">
      <w:pPr>
        <w:pStyle w:val="Ttulo3"/>
        <w:jc w:val="both"/>
      </w:pPr>
      <w:bookmarkStart w:id="3" w:name="a-tecnológicas"/>
      <w:r>
        <w:t>a) Tecnológicas</w:t>
      </w:r>
    </w:p>
    <w:p w14:paraId="3D57834C" w14:textId="77777777" w:rsidR="0028060A" w:rsidRDefault="00000000" w:rsidP="00E62654">
      <w:pPr>
        <w:pStyle w:val="FirstParagraph"/>
        <w:jc w:val="both"/>
      </w:pPr>
      <w:r>
        <w:t>El uso de inteligencia artificial, cloud computing y análisis de datos permite ofrecer servicios más rápidos, precisos y personalizados. Deloitte señala que los bancos líderes en madurez digital están implementando IA y automatización para mejorar la experiencia del cliente y optimizar operaciones (Deloitte, 2024).</w:t>
      </w:r>
    </w:p>
    <w:p w14:paraId="6154D978" w14:textId="77777777" w:rsidR="0028060A" w:rsidRDefault="00000000" w:rsidP="00E62654">
      <w:pPr>
        <w:pStyle w:val="Ttulo3"/>
        <w:jc w:val="both"/>
      </w:pPr>
      <w:bookmarkStart w:id="4" w:name="b-nuevos-competidores"/>
      <w:bookmarkEnd w:id="3"/>
      <w:r>
        <w:t>b) Nuevos competidores</w:t>
      </w:r>
    </w:p>
    <w:p w14:paraId="0F27A8CA" w14:textId="77777777" w:rsidR="0028060A" w:rsidRDefault="00000000" w:rsidP="00E62654">
      <w:pPr>
        <w:pStyle w:val="FirstParagraph"/>
        <w:jc w:val="both"/>
      </w:pPr>
      <w:r>
        <w:t xml:space="preserve">Fintechs y grandes tecnológicas están capturando cuota de mercado ofreciendo soluciones más ágiles y centradas en el usuario. BCG indica que estas empresas </w:t>
      </w:r>
      <w:r>
        <w:lastRenderedPageBreak/>
        <w:t>emergentes, al operar con estructuras livianas, pueden innovar más rápido que la banca tradicional (Boston Consulting Group, 2025).</w:t>
      </w:r>
    </w:p>
    <w:p w14:paraId="7F82F8D6" w14:textId="77777777" w:rsidR="0028060A" w:rsidRDefault="00000000" w:rsidP="00E62654">
      <w:pPr>
        <w:pStyle w:val="Ttulo3"/>
        <w:jc w:val="both"/>
      </w:pPr>
      <w:bookmarkStart w:id="5" w:name="c-cambios-regulatorios"/>
      <w:bookmarkEnd w:id="4"/>
      <w:r>
        <w:t>c) Cambios regulatorios</w:t>
      </w:r>
    </w:p>
    <w:p w14:paraId="5E91376E" w14:textId="77777777" w:rsidR="0028060A" w:rsidRDefault="00000000" w:rsidP="00E62654">
      <w:pPr>
        <w:pStyle w:val="FirstParagraph"/>
        <w:jc w:val="both"/>
      </w:pPr>
      <w:r>
        <w:t>Iniciativas como Open Banking obligan a los bancos a abrir sus datos a terceros, fomentando competencia y habilitando nuevas plataformas digitales.</w:t>
      </w:r>
    </w:p>
    <w:p w14:paraId="04086363" w14:textId="4435BB4D" w:rsidR="0028060A" w:rsidRDefault="0028060A" w:rsidP="00E62654">
      <w:pPr>
        <w:jc w:val="both"/>
      </w:pPr>
    </w:p>
    <w:p w14:paraId="50D97A12" w14:textId="77777777" w:rsidR="0028060A" w:rsidRDefault="00000000" w:rsidP="00E62654">
      <w:pPr>
        <w:pStyle w:val="Ttulo2"/>
        <w:jc w:val="both"/>
      </w:pPr>
      <w:bookmarkStart w:id="6" w:name="oportunidad-disruptiva"/>
      <w:bookmarkEnd w:id="2"/>
      <w:bookmarkEnd w:id="5"/>
      <w:r>
        <w:t>4. Oportunidad Disruptiva</w:t>
      </w:r>
    </w:p>
    <w:p w14:paraId="422CEBB7" w14:textId="77777777" w:rsidR="0028060A" w:rsidRPr="00E62654" w:rsidRDefault="00000000" w:rsidP="00E62654">
      <w:pPr>
        <w:pStyle w:val="FirstParagraph"/>
        <w:jc w:val="both"/>
      </w:pPr>
      <w:r w:rsidRPr="00E62654">
        <w:t>Frente a estas fuerzas, surge la oportunidad de transformar la banca tradicional en un ecosistema digital. Esto permite:</w:t>
      </w:r>
    </w:p>
    <w:p w14:paraId="505BA9E4" w14:textId="77777777" w:rsidR="0028060A" w:rsidRPr="00E62654" w:rsidRDefault="00000000" w:rsidP="00E62654">
      <w:pPr>
        <w:pStyle w:val="Compact"/>
        <w:numPr>
          <w:ilvl w:val="0"/>
          <w:numId w:val="2"/>
        </w:numPr>
        <w:jc w:val="both"/>
      </w:pPr>
      <w:r w:rsidRPr="00E62654">
        <w:t>Integrar servicios financieros y no financieros en una sola plataforma</w:t>
      </w:r>
    </w:p>
    <w:p w14:paraId="67916492" w14:textId="77777777" w:rsidR="0028060A" w:rsidRPr="00E62654" w:rsidRDefault="00000000" w:rsidP="00E62654">
      <w:pPr>
        <w:pStyle w:val="Compact"/>
        <w:numPr>
          <w:ilvl w:val="0"/>
          <w:numId w:val="2"/>
        </w:numPr>
        <w:jc w:val="both"/>
      </w:pPr>
      <w:r w:rsidRPr="00E62654">
        <w:t>Ofrecer experiencias personalizadas basadas en datos del usuario</w:t>
      </w:r>
    </w:p>
    <w:p w14:paraId="4FCC1F96" w14:textId="77777777" w:rsidR="0028060A" w:rsidRPr="00E62654" w:rsidRDefault="00000000" w:rsidP="00E62654">
      <w:pPr>
        <w:pStyle w:val="Compact"/>
        <w:numPr>
          <w:ilvl w:val="0"/>
          <w:numId w:val="2"/>
        </w:numPr>
        <w:jc w:val="both"/>
      </w:pPr>
      <w:r w:rsidRPr="00E62654">
        <w:t>Incorporar a terceros mediante APIs</w:t>
      </w:r>
    </w:p>
    <w:p w14:paraId="64E4A292" w14:textId="77777777" w:rsidR="0028060A" w:rsidRPr="00E62654" w:rsidRDefault="00000000" w:rsidP="00E62654">
      <w:pPr>
        <w:pStyle w:val="Compact"/>
        <w:numPr>
          <w:ilvl w:val="0"/>
          <w:numId w:val="2"/>
        </w:numPr>
        <w:jc w:val="both"/>
      </w:pPr>
      <w:r w:rsidRPr="00E62654">
        <w:t>Generar nuevas fuentes de ingresos y fidelización Accenture destaca que las plataformas digitales representan el futuro del sector, donde el valor se crea a través de la colaboración y la integración de múltiples actores (Accenture, 2025).</w:t>
      </w:r>
    </w:p>
    <w:p w14:paraId="323D9627" w14:textId="5C5F6132" w:rsidR="0028060A" w:rsidRDefault="0028060A" w:rsidP="00E62654">
      <w:pPr>
        <w:jc w:val="both"/>
      </w:pPr>
    </w:p>
    <w:p w14:paraId="7FB62B35" w14:textId="77777777" w:rsidR="0028060A" w:rsidRDefault="00000000" w:rsidP="00E62654">
      <w:pPr>
        <w:pStyle w:val="Ttulo2"/>
        <w:jc w:val="both"/>
      </w:pPr>
      <w:bookmarkStart w:id="7" w:name="diseño-de-la-estrategia"/>
      <w:bookmarkEnd w:id="6"/>
      <w:r>
        <w:t>5. Diseño de la Estrategia</w:t>
      </w:r>
    </w:p>
    <w:p w14:paraId="0AA496AE" w14:textId="77777777" w:rsidR="0028060A" w:rsidRPr="00E62654" w:rsidRDefault="00000000" w:rsidP="00E62654">
      <w:pPr>
        <w:pStyle w:val="FirstParagraph"/>
        <w:jc w:val="both"/>
      </w:pPr>
      <w:r w:rsidRPr="00E62654">
        <w:t>La estrategia propuesta es disruptiva y basada en plataforma digital, combinando:</w:t>
      </w:r>
    </w:p>
    <w:p w14:paraId="67353F97" w14:textId="77777777" w:rsidR="0028060A" w:rsidRPr="00E62654" w:rsidRDefault="00000000" w:rsidP="00E62654">
      <w:pPr>
        <w:pStyle w:val="Compact"/>
        <w:numPr>
          <w:ilvl w:val="0"/>
          <w:numId w:val="3"/>
        </w:numPr>
        <w:jc w:val="both"/>
      </w:pPr>
      <w:r w:rsidRPr="00E62654">
        <w:t xml:space="preserve">Open Banking </w:t>
      </w:r>
      <w:proofErr w:type="gramStart"/>
      <w:r w:rsidRPr="00E62654">
        <w:t>y APIs</w:t>
      </w:r>
      <w:proofErr w:type="gramEnd"/>
    </w:p>
    <w:p w14:paraId="00D56E68" w14:textId="77777777" w:rsidR="0028060A" w:rsidRPr="00E62654" w:rsidRDefault="00000000" w:rsidP="00E62654">
      <w:pPr>
        <w:pStyle w:val="Compact"/>
        <w:numPr>
          <w:ilvl w:val="0"/>
          <w:numId w:val="3"/>
        </w:numPr>
        <w:jc w:val="both"/>
      </w:pPr>
      <w:r w:rsidRPr="00E62654">
        <w:t>Integración con fintechs y servicios de terceros</w:t>
      </w:r>
    </w:p>
    <w:p w14:paraId="16F94A80" w14:textId="77777777" w:rsidR="0028060A" w:rsidRPr="00E62654" w:rsidRDefault="00000000" w:rsidP="00E62654">
      <w:pPr>
        <w:pStyle w:val="Compact"/>
        <w:numPr>
          <w:ilvl w:val="0"/>
          <w:numId w:val="3"/>
        </w:numPr>
        <w:jc w:val="both"/>
      </w:pPr>
      <w:r w:rsidRPr="00E62654">
        <w:t>Uso de inteligencia artificial para personalización y predicción</w:t>
      </w:r>
    </w:p>
    <w:p w14:paraId="74ABC53F" w14:textId="77777777" w:rsidR="0028060A" w:rsidRPr="00E62654" w:rsidRDefault="00000000" w:rsidP="00E62654">
      <w:pPr>
        <w:pStyle w:val="Compact"/>
        <w:numPr>
          <w:ilvl w:val="0"/>
          <w:numId w:val="3"/>
        </w:numPr>
        <w:jc w:val="both"/>
      </w:pPr>
      <w:r w:rsidRPr="00E62654">
        <w:t>Desarrollo de un marketplace financiero El efecto de red es crítico: a medida que más clientes y partners se integran, la calidad del servicio mejora y atrae nuevos usuarios, generando un ciclo virtuoso (Deloitte, 2024).</w:t>
      </w:r>
    </w:p>
    <w:p w14:paraId="7CBB08CB" w14:textId="5220AE67" w:rsidR="0028060A" w:rsidRDefault="0028060A" w:rsidP="00E62654">
      <w:pPr>
        <w:jc w:val="both"/>
      </w:pPr>
    </w:p>
    <w:p w14:paraId="2E4D4291" w14:textId="77777777" w:rsidR="0028060A" w:rsidRDefault="00000000" w:rsidP="00E62654">
      <w:pPr>
        <w:pStyle w:val="Ttulo2"/>
        <w:jc w:val="both"/>
      </w:pPr>
      <w:bookmarkStart w:id="8" w:name="justificación-de-la-estrategia"/>
      <w:bookmarkEnd w:id="7"/>
      <w:r>
        <w:t>6. Justificación de la Estrategia</w:t>
      </w:r>
    </w:p>
    <w:p w14:paraId="64FF8107" w14:textId="77777777" w:rsidR="0028060A" w:rsidRPr="00E62654" w:rsidRDefault="00000000" w:rsidP="00E62654">
      <w:pPr>
        <w:pStyle w:val="FirstParagraph"/>
        <w:jc w:val="both"/>
      </w:pPr>
      <w:r w:rsidRPr="00E62654">
        <w:t>La estrategia permite ventajas competitivas sostenibles:</w:t>
      </w:r>
    </w:p>
    <w:p w14:paraId="3905C6E8" w14:textId="77777777" w:rsidR="0028060A" w:rsidRPr="00E62654" w:rsidRDefault="00000000" w:rsidP="00E62654">
      <w:pPr>
        <w:pStyle w:val="Compact"/>
        <w:numPr>
          <w:ilvl w:val="0"/>
          <w:numId w:val="4"/>
        </w:numPr>
        <w:jc w:val="both"/>
      </w:pPr>
      <w:r w:rsidRPr="00E62654">
        <w:t>Escalabilidad: menores costos marginales en plataformas digitales</w:t>
      </w:r>
    </w:p>
    <w:p w14:paraId="2DAC7232" w14:textId="77777777" w:rsidR="0028060A" w:rsidRPr="00E62654" w:rsidRDefault="00000000" w:rsidP="00E62654">
      <w:pPr>
        <w:pStyle w:val="Compact"/>
        <w:numPr>
          <w:ilvl w:val="0"/>
          <w:numId w:val="4"/>
        </w:numPr>
        <w:jc w:val="both"/>
      </w:pPr>
      <w:r w:rsidRPr="00E62654">
        <w:t>Mejor experiencia cliente: personalización y rapidez en servicios</w:t>
      </w:r>
    </w:p>
    <w:p w14:paraId="4BA5BFAE" w14:textId="77777777" w:rsidR="0028060A" w:rsidRPr="00E62654" w:rsidRDefault="00000000" w:rsidP="00E62654">
      <w:pPr>
        <w:pStyle w:val="Compact"/>
        <w:numPr>
          <w:ilvl w:val="0"/>
          <w:numId w:val="4"/>
        </w:numPr>
        <w:jc w:val="both"/>
      </w:pPr>
      <w:r w:rsidRPr="00E62654">
        <w:t xml:space="preserve">Barreras de entrada: datos acumulados, ecosistemas robustos y fidelidad del cliente McKinsey enfatiza que las instituciones que combinan capacidades </w:t>
      </w:r>
      <w:r w:rsidRPr="00E62654">
        <w:lastRenderedPageBreak/>
        <w:t>digitales y analíticas logran ventajas que los competidores tradicionales no pueden replicar fácilmente (McKinsey &amp; Company, 2025).</w:t>
      </w:r>
    </w:p>
    <w:p w14:paraId="30B7560C" w14:textId="4ACF8D31" w:rsidR="0028060A" w:rsidRDefault="0028060A" w:rsidP="00E62654">
      <w:pPr>
        <w:jc w:val="both"/>
      </w:pPr>
    </w:p>
    <w:p w14:paraId="046CCA0D" w14:textId="77777777" w:rsidR="0028060A" w:rsidRDefault="00000000" w:rsidP="00E62654">
      <w:pPr>
        <w:pStyle w:val="Ttulo2"/>
        <w:jc w:val="both"/>
      </w:pPr>
      <w:bookmarkStart w:id="9" w:name="plan-de-implementación"/>
      <w:bookmarkEnd w:id="8"/>
      <w:r>
        <w:t>7. Plan de Implementación</w:t>
      </w:r>
    </w:p>
    <w:p w14:paraId="5C901755" w14:textId="77777777" w:rsidR="0028060A" w:rsidRDefault="00000000" w:rsidP="00E62654">
      <w:pPr>
        <w:pStyle w:val="Ttulo3"/>
        <w:jc w:val="both"/>
      </w:pPr>
      <w:bookmarkStart w:id="10" w:name="fase-1-piloto"/>
      <w:r>
        <w:t>Fase 1: Piloto</w:t>
      </w:r>
    </w:p>
    <w:p w14:paraId="1EDC0414" w14:textId="77777777" w:rsidR="0028060A" w:rsidRDefault="00000000" w:rsidP="00E62654">
      <w:pPr>
        <w:pStyle w:val="Compact"/>
        <w:numPr>
          <w:ilvl w:val="0"/>
          <w:numId w:val="5"/>
        </w:numPr>
        <w:jc w:val="both"/>
      </w:pPr>
      <w:r>
        <w:t>Construcción de plataforma básica</w:t>
      </w:r>
    </w:p>
    <w:p w14:paraId="799531D4" w14:textId="77777777" w:rsidR="0028060A" w:rsidRDefault="00000000" w:rsidP="00E62654">
      <w:pPr>
        <w:pStyle w:val="Compact"/>
        <w:numPr>
          <w:ilvl w:val="0"/>
          <w:numId w:val="5"/>
        </w:numPr>
        <w:jc w:val="both"/>
      </w:pPr>
      <w:r>
        <w:t>Pruebas con segmentos de clientes selectos</w:t>
      </w:r>
    </w:p>
    <w:p w14:paraId="6BA5858D" w14:textId="77777777" w:rsidR="0028060A" w:rsidRDefault="00000000" w:rsidP="00E62654">
      <w:pPr>
        <w:pStyle w:val="Ttulo3"/>
        <w:jc w:val="both"/>
      </w:pPr>
      <w:bookmarkStart w:id="11" w:name="fase-2-expansión"/>
      <w:bookmarkEnd w:id="10"/>
      <w:r>
        <w:t>Fase 2: Expansión</w:t>
      </w:r>
    </w:p>
    <w:p w14:paraId="48017605" w14:textId="77777777" w:rsidR="0028060A" w:rsidRDefault="00000000" w:rsidP="00E62654">
      <w:pPr>
        <w:pStyle w:val="Compact"/>
        <w:numPr>
          <w:ilvl w:val="0"/>
          <w:numId w:val="6"/>
        </w:numPr>
        <w:jc w:val="both"/>
      </w:pPr>
      <w:r>
        <w:t>Integración con fintechs y terceros</w:t>
      </w:r>
    </w:p>
    <w:p w14:paraId="7B198B22" w14:textId="77777777" w:rsidR="0028060A" w:rsidRDefault="00000000" w:rsidP="00E62654">
      <w:pPr>
        <w:pStyle w:val="Compact"/>
        <w:numPr>
          <w:ilvl w:val="0"/>
          <w:numId w:val="6"/>
        </w:numPr>
        <w:jc w:val="both"/>
      </w:pPr>
      <w:r>
        <w:t>Incorporación de IA y analítica avanzada</w:t>
      </w:r>
    </w:p>
    <w:p w14:paraId="1DFB9815" w14:textId="77777777" w:rsidR="0028060A" w:rsidRDefault="00000000" w:rsidP="00E62654">
      <w:pPr>
        <w:pStyle w:val="Ttulo3"/>
        <w:jc w:val="both"/>
      </w:pPr>
      <w:bookmarkStart w:id="12" w:name="fase-3-escala"/>
      <w:bookmarkEnd w:id="11"/>
      <w:r>
        <w:t>Fase 3: Escala</w:t>
      </w:r>
    </w:p>
    <w:p w14:paraId="58061380" w14:textId="77777777" w:rsidR="0028060A" w:rsidRDefault="00000000" w:rsidP="00E62654">
      <w:pPr>
        <w:pStyle w:val="Compact"/>
        <w:numPr>
          <w:ilvl w:val="0"/>
          <w:numId w:val="7"/>
        </w:numPr>
        <w:jc w:val="both"/>
      </w:pPr>
      <w:r>
        <w:t>Consolidación del ecosistema digital</w:t>
      </w:r>
    </w:p>
    <w:p w14:paraId="7C270657" w14:textId="77777777" w:rsidR="0028060A" w:rsidRDefault="00000000" w:rsidP="00E62654">
      <w:pPr>
        <w:pStyle w:val="Compact"/>
        <w:numPr>
          <w:ilvl w:val="0"/>
          <w:numId w:val="7"/>
        </w:numPr>
        <w:jc w:val="both"/>
      </w:pPr>
      <w:r>
        <w:t>Optimización continua basada en datos</w:t>
      </w:r>
    </w:p>
    <w:p w14:paraId="002B2694" w14:textId="77777777" w:rsidR="0028060A" w:rsidRDefault="00000000" w:rsidP="00E62654">
      <w:pPr>
        <w:pStyle w:val="Compact"/>
        <w:numPr>
          <w:ilvl w:val="0"/>
          <w:numId w:val="7"/>
        </w:numPr>
        <w:jc w:val="both"/>
      </w:pPr>
      <w:r>
        <w:t>Expansión de servicios y generación de nuevos ingresos</w:t>
      </w:r>
    </w:p>
    <w:p w14:paraId="1273AFB2" w14:textId="77777777" w:rsidR="0028060A" w:rsidRDefault="00000000" w:rsidP="00E62654">
      <w:pPr>
        <w:pStyle w:val="FirstParagraph"/>
        <w:jc w:val="both"/>
      </w:pPr>
      <w:r>
        <w:t>Los recursos clave incluyen infraestructura tecnológica, talento digital y alianzas estratégicas.</w:t>
      </w:r>
    </w:p>
    <w:p w14:paraId="7B27EE6B" w14:textId="17688099" w:rsidR="0028060A" w:rsidRDefault="0028060A" w:rsidP="00E62654">
      <w:pPr>
        <w:jc w:val="both"/>
      </w:pPr>
    </w:p>
    <w:p w14:paraId="45F27444" w14:textId="77777777" w:rsidR="0028060A" w:rsidRDefault="00000000" w:rsidP="00E62654">
      <w:pPr>
        <w:pStyle w:val="Ttulo2"/>
        <w:jc w:val="both"/>
      </w:pPr>
      <w:bookmarkStart w:id="13" w:name="riesgos-estratégicos"/>
      <w:bookmarkEnd w:id="9"/>
      <w:bookmarkEnd w:id="12"/>
      <w:r>
        <w:t>8. Riesgos Estratégicos</w:t>
      </w:r>
    </w:p>
    <w:p w14:paraId="01632841" w14:textId="77777777" w:rsidR="0028060A" w:rsidRDefault="00000000" w:rsidP="00E62654">
      <w:pPr>
        <w:pStyle w:val="Compact"/>
        <w:numPr>
          <w:ilvl w:val="0"/>
          <w:numId w:val="8"/>
        </w:numPr>
        <w:jc w:val="both"/>
      </w:pPr>
      <w:r>
        <w:t>Baja adopción de clientes tradicionales</w:t>
      </w:r>
    </w:p>
    <w:p w14:paraId="540BE708" w14:textId="77777777" w:rsidR="0028060A" w:rsidRDefault="00000000" w:rsidP="00E62654">
      <w:pPr>
        <w:pStyle w:val="Compact"/>
        <w:numPr>
          <w:ilvl w:val="0"/>
          <w:numId w:val="8"/>
        </w:numPr>
        <w:jc w:val="both"/>
      </w:pPr>
      <w:r>
        <w:t>Cambios regulatorios</w:t>
      </w:r>
    </w:p>
    <w:p w14:paraId="67AAF832" w14:textId="77777777" w:rsidR="0028060A" w:rsidRDefault="00000000" w:rsidP="00E62654">
      <w:pPr>
        <w:pStyle w:val="Compact"/>
        <w:numPr>
          <w:ilvl w:val="0"/>
          <w:numId w:val="8"/>
        </w:numPr>
        <w:jc w:val="both"/>
      </w:pPr>
      <w:r>
        <w:t>Competencia intensificada</w:t>
      </w:r>
    </w:p>
    <w:p w14:paraId="250076C0" w14:textId="77777777" w:rsidR="0028060A" w:rsidRDefault="00000000" w:rsidP="00E62654">
      <w:pPr>
        <w:pStyle w:val="Compact"/>
        <w:numPr>
          <w:ilvl w:val="0"/>
          <w:numId w:val="8"/>
        </w:numPr>
        <w:jc w:val="both"/>
      </w:pPr>
      <w:r>
        <w:t>Retos de ciberseguridad</w:t>
      </w:r>
    </w:p>
    <w:p w14:paraId="105D74D2" w14:textId="36890CDD" w:rsidR="0028060A" w:rsidRDefault="00000000" w:rsidP="00E62654">
      <w:pPr>
        <w:pStyle w:val="Compact"/>
        <w:numPr>
          <w:ilvl w:val="0"/>
          <w:numId w:val="8"/>
        </w:numPr>
        <w:jc w:val="both"/>
      </w:pPr>
      <w:r>
        <w:t>Fallos en ejecución de la transformación BCG enfatiza que la velocidad de adaptación es crítica: quienes se retrasan pierden participación de mercado rápidamente (Boston Consulting Group, 2025).</w:t>
      </w:r>
    </w:p>
    <w:p w14:paraId="6C5765DE" w14:textId="77777777" w:rsidR="0028060A" w:rsidRDefault="00000000" w:rsidP="00E62654">
      <w:pPr>
        <w:pStyle w:val="Ttulo2"/>
        <w:jc w:val="both"/>
      </w:pPr>
      <w:bookmarkStart w:id="14" w:name="métricas-clave"/>
      <w:bookmarkEnd w:id="13"/>
      <w:r>
        <w:t>9. Métricas Clave</w:t>
      </w:r>
    </w:p>
    <w:p w14:paraId="6FEBDDB9" w14:textId="77777777" w:rsidR="0028060A" w:rsidRDefault="00000000" w:rsidP="00E62654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Crecimiento:</w:t>
      </w:r>
      <w:r>
        <w:t xml:space="preserve"> número de usuarios activos, ingresos por servicios digitales</w:t>
      </w:r>
    </w:p>
    <w:p w14:paraId="46A5E796" w14:textId="77777777" w:rsidR="0028060A" w:rsidRDefault="00000000" w:rsidP="00E62654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Adopción:</w:t>
      </w:r>
      <w:r>
        <w:t xml:space="preserve"> porcentaje de transacciones digitales, frecuencia de uso de la plataforma</w:t>
      </w:r>
    </w:p>
    <w:p w14:paraId="65B23630" w14:textId="77777777" w:rsidR="0028060A" w:rsidRDefault="00000000" w:rsidP="00E62654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Ecosistema:</w:t>
      </w:r>
      <w:r>
        <w:t xml:space="preserve"> número de partners integrados, interacciones dentro del ecosistema Deloitte resalta que medir la madurez digital y la interacción en plataformas es clave para evaluar éxito y escalabilidad (Deloitte, 2024).</w:t>
      </w:r>
    </w:p>
    <w:p w14:paraId="00D5C155" w14:textId="42BF4DE8" w:rsidR="0028060A" w:rsidRDefault="0028060A" w:rsidP="00E62654">
      <w:pPr>
        <w:jc w:val="both"/>
      </w:pPr>
    </w:p>
    <w:p w14:paraId="236690F4" w14:textId="77777777" w:rsidR="0028060A" w:rsidRDefault="00000000" w:rsidP="00E62654">
      <w:pPr>
        <w:pStyle w:val="Ttulo2"/>
        <w:jc w:val="both"/>
      </w:pPr>
      <w:bookmarkStart w:id="15" w:name="conclusión"/>
      <w:bookmarkEnd w:id="14"/>
      <w:r>
        <w:lastRenderedPageBreak/>
        <w:t>Conclusión</w:t>
      </w:r>
    </w:p>
    <w:p w14:paraId="30D3A786" w14:textId="77777777" w:rsidR="0028060A" w:rsidRPr="00E62654" w:rsidRDefault="00000000" w:rsidP="00E62654">
      <w:pPr>
        <w:pStyle w:val="FirstParagraph"/>
        <w:jc w:val="both"/>
      </w:pPr>
      <w:r w:rsidRPr="00E62654">
        <w:t>La transformación digital es una necesidad estratégica en servicios financieros. La adopción de plataformas digitales permite mejorar experiencia de cliente, aumentar eficiencia y generar nuevas oportunidades de negocio. Instituciones que implementen esta estrategia disruptiva estarán mejor posicionadas para competir frente a fintechs y nuevos modelos de servicio.</w:t>
      </w:r>
    </w:p>
    <w:p w14:paraId="42CE9E94" w14:textId="401C8C08" w:rsidR="0028060A" w:rsidRDefault="0028060A" w:rsidP="00E62654">
      <w:pPr>
        <w:jc w:val="both"/>
      </w:pPr>
    </w:p>
    <w:p w14:paraId="0BA65C43" w14:textId="77777777" w:rsidR="0028060A" w:rsidRDefault="00000000" w:rsidP="00E62654">
      <w:pPr>
        <w:pStyle w:val="Ttulo1"/>
        <w:jc w:val="both"/>
      </w:pPr>
      <w:bookmarkStart w:id="16" w:name="bibliografía"/>
      <w:bookmarkEnd w:id="15"/>
      <w:r>
        <w:t>Bibliografía</w:t>
      </w:r>
    </w:p>
    <w:p w14:paraId="082E32E3" w14:textId="1DB50173" w:rsidR="0028060A" w:rsidRDefault="00000000" w:rsidP="00E62654">
      <w:pPr>
        <w:pStyle w:val="Compact"/>
        <w:numPr>
          <w:ilvl w:val="0"/>
          <w:numId w:val="10"/>
        </w:numPr>
        <w:jc w:val="both"/>
      </w:pPr>
      <w:r>
        <w:t xml:space="preserve">McKinsey &amp; Company. (2025). </w:t>
      </w:r>
      <w:r>
        <w:rPr>
          <w:i/>
          <w:iCs/>
        </w:rPr>
        <w:t>Global Banking Annual Review</w:t>
      </w:r>
      <w:r>
        <w:t xml:space="preserve">. </w:t>
      </w:r>
      <w:hyperlink r:id="rId5" w:history="1">
        <w:r w:rsidR="00B25270" w:rsidRPr="009E413B">
          <w:rPr>
            <w:rStyle w:val="Hipervnculo"/>
          </w:rPr>
          <w:t>https://www.mckinsey.com/industries/financial-services/our-insights/global-banking-annual-revie</w:t>
        </w:r>
        <w:r w:rsidR="00B25270" w:rsidRPr="009E413B">
          <w:rPr>
            <w:rStyle w:val="Hipervnculo"/>
          </w:rPr>
          <w:t>w</w:t>
        </w:r>
      </w:hyperlink>
    </w:p>
    <w:p w14:paraId="1231693B" w14:textId="77777777" w:rsidR="00B25270" w:rsidRDefault="00B25270" w:rsidP="00B25270">
      <w:pPr>
        <w:pStyle w:val="Compact"/>
        <w:ind w:left="720"/>
        <w:jc w:val="both"/>
      </w:pPr>
    </w:p>
    <w:p w14:paraId="6F62D8F2" w14:textId="00C8DF1F" w:rsidR="0028060A" w:rsidRDefault="00000000" w:rsidP="00E62654">
      <w:pPr>
        <w:pStyle w:val="Compact"/>
        <w:numPr>
          <w:ilvl w:val="0"/>
          <w:numId w:val="10"/>
        </w:numPr>
        <w:jc w:val="both"/>
      </w:pPr>
      <w:r>
        <w:t xml:space="preserve">Accenture. (2025). </w:t>
      </w:r>
      <w:r>
        <w:rPr>
          <w:i/>
          <w:iCs/>
        </w:rPr>
        <w:t>Top 10 Banking Trends</w:t>
      </w:r>
      <w:r>
        <w:t xml:space="preserve">. </w:t>
      </w:r>
      <w:hyperlink r:id="rId6" w:history="1">
        <w:r w:rsidR="00B25270" w:rsidRPr="009E413B">
          <w:rPr>
            <w:rStyle w:val="Hipervnculo"/>
          </w:rPr>
          <w:t>https://www.accenture.com/us-en/insights/banking/top-10-trends-bankin</w:t>
        </w:r>
        <w:r w:rsidR="00B25270" w:rsidRPr="009E413B">
          <w:rPr>
            <w:rStyle w:val="Hipervnculo"/>
          </w:rPr>
          <w:t>g</w:t>
        </w:r>
      </w:hyperlink>
      <w:r w:rsidR="00B25270">
        <w:t xml:space="preserve"> </w:t>
      </w:r>
    </w:p>
    <w:p w14:paraId="2EDEC96F" w14:textId="77777777" w:rsidR="00B25270" w:rsidRDefault="00B25270" w:rsidP="00B25270">
      <w:pPr>
        <w:pStyle w:val="Compact"/>
        <w:ind w:left="720"/>
        <w:jc w:val="both"/>
      </w:pPr>
    </w:p>
    <w:p w14:paraId="3E29BBBE" w14:textId="008C25B5" w:rsidR="0028060A" w:rsidRDefault="00000000" w:rsidP="00E62654">
      <w:pPr>
        <w:pStyle w:val="Compact"/>
        <w:numPr>
          <w:ilvl w:val="0"/>
          <w:numId w:val="10"/>
        </w:numPr>
        <w:jc w:val="both"/>
      </w:pPr>
      <w:r>
        <w:t xml:space="preserve">Boston Consulting Group. (2025). </w:t>
      </w:r>
      <w:r>
        <w:rPr>
          <w:i/>
          <w:iCs/>
        </w:rPr>
        <w:t>Fintech’s Next Chapter: Scaled Winners and Emerging Disruptors</w:t>
      </w:r>
      <w:r>
        <w:t xml:space="preserve">. </w:t>
      </w:r>
      <w:hyperlink r:id="rId7" w:history="1">
        <w:r w:rsidR="00043F53" w:rsidRPr="009E413B">
          <w:rPr>
            <w:rStyle w:val="Hipervnculo"/>
          </w:rPr>
          <w:t>https://www.bcg.com/publications/2025/fintechs-scaled-winners-emerging-disrupt</w:t>
        </w:r>
        <w:r w:rsidR="00043F53" w:rsidRPr="009E413B">
          <w:rPr>
            <w:rStyle w:val="Hipervnculo"/>
          </w:rPr>
          <w:t>o</w:t>
        </w:r>
        <w:r w:rsidR="00043F53" w:rsidRPr="009E413B">
          <w:rPr>
            <w:rStyle w:val="Hipervnculo"/>
          </w:rPr>
          <w:t>rs</w:t>
        </w:r>
      </w:hyperlink>
      <w:r w:rsidR="00043F53">
        <w:t xml:space="preserve"> </w:t>
      </w:r>
    </w:p>
    <w:p w14:paraId="7830EC1A" w14:textId="77777777" w:rsidR="00043F53" w:rsidRDefault="00043F53" w:rsidP="00043F53">
      <w:pPr>
        <w:pStyle w:val="Compact"/>
        <w:ind w:left="720"/>
        <w:jc w:val="both"/>
      </w:pPr>
    </w:p>
    <w:p w14:paraId="62143D5D" w14:textId="75572F96" w:rsidR="0028060A" w:rsidRDefault="00000000" w:rsidP="00E62654">
      <w:pPr>
        <w:pStyle w:val="Compact"/>
        <w:numPr>
          <w:ilvl w:val="0"/>
          <w:numId w:val="10"/>
        </w:numPr>
        <w:jc w:val="both"/>
      </w:pPr>
      <w:r>
        <w:t xml:space="preserve">Bain &amp; Company. (2023). </w:t>
      </w:r>
      <w:r>
        <w:rPr>
          <w:i/>
          <w:iCs/>
        </w:rPr>
        <w:t>Customer Behavior and Loyalty in Banking: Global Edition 2023</w:t>
      </w:r>
      <w:r>
        <w:t xml:space="preserve">. </w:t>
      </w:r>
      <w:hyperlink r:id="rId8" w:history="1">
        <w:r w:rsidR="00043F53" w:rsidRPr="009E413B">
          <w:rPr>
            <w:rStyle w:val="Hipervnculo"/>
          </w:rPr>
          <w:t>https://www.bain.com/insights/customer-behavior-and-loyalty-in-banking-global-edition-2</w:t>
        </w:r>
        <w:r w:rsidR="00043F53" w:rsidRPr="009E413B">
          <w:rPr>
            <w:rStyle w:val="Hipervnculo"/>
          </w:rPr>
          <w:t>0</w:t>
        </w:r>
        <w:r w:rsidR="00043F53" w:rsidRPr="009E413B">
          <w:rPr>
            <w:rStyle w:val="Hipervnculo"/>
          </w:rPr>
          <w:t>23/</w:t>
        </w:r>
      </w:hyperlink>
      <w:r w:rsidR="00043F53">
        <w:t xml:space="preserve"> </w:t>
      </w:r>
    </w:p>
    <w:p w14:paraId="00BCB4B7" w14:textId="77777777" w:rsidR="00043F53" w:rsidRDefault="00043F53" w:rsidP="00043F53">
      <w:pPr>
        <w:pStyle w:val="Compact"/>
        <w:jc w:val="both"/>
      </w:pPr>
    </w:p>
    <w:p w14:paraId="3D8314B8" w14:textId="6DAE6047" w:rsidR="0028060A" w:rsidRDefault="00000000" w:rsidP="00E62654">
      <w:pPr>
        <w:pStyle w:val="Compact"/>
        <w:numPr>
          <w:ilvl w:val="0"/>
          <w:numId w:val="10"/>
        </w:numPr>
        <w:jc w:val="both"/>
      </w:pPr>
      <w:r>
        <w:t xml:space="preserve">Deloitte. (2024). </w:t>
      </w:r>
      <w:r>
        <w:rPr>
          <w:i/>
          <w:iCs/>
        </w:rPr>
        <w:t>Digital Banking Maturity (Global Edition)</w:t>
      </w:r>
      <w:r>
        <w:t xml:space="preserve">. </w:t>
      </w:r>
      <w:hyperlink r:id="rId9" w:history="1">
        <w:r w:rsidR="00043F53" w:rsidRPr="009E413B">
          <w:rPr>
            <w:rStyle w:val="Hipervnculo"/>
          </w:rPr>
          <w:t>https://www.deloitte.com/latam/es/industries/financial-services/perspectives/digital-banking-maturity-202</w:t>
        </w:r>
        <w:r w:rsidR="00043F53" w:rsidRPr="009E413B">
          <w:rPr>
            <w:rStyle w:val="Hipervnculo"/>
          </w:rPr>
          <w:t>5</w:t>
        </w:r>
      </w:hyperlink>
      <w:r w:rsidR="00043F53">
        <w:t xml:space="preserve"> </w:t>
      </w:r>
      <w:bookmarkEnd w:id="16"/>
    </w:p>
    <w:sectPr w:rsidR="0028060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2C9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9ACF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68B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5884798">
    <w:abstractNumId w:val="0"/>
  </w:num>
  <w:num w:numId="2" w16cid:durableId="1221134880">
    <w:abstractNumId w:val="1"/>
  </w:num>
  <w:num w:numId="3" w16cid:durableId="73205748">
    <w:abstractNumId w:val="1"/>
  </w:num>
  <w:num w:numId="4" w16cid:durableId="1094519701">
    <w:abstractNumId w:val="1"/>
  </w:num>
  <w:num w:numId="5" w16cid:durableId="274873145">
    <w:abstractNumId w:val="1"/>
  </w:num>
  <w:num w:numId="6" w16cid:durableId="95950050">
    <w:abstractNumId w:val="1"/>
  </w:num>
  <w:num w:numId="7" w16cid:durableId="1425611881">
    <w:abstractNumId w:val="1"/>
  </w:num>
  <w:num w:numId="8" w16cid:durableId="897787579">
    <w:abstractNumId w:val="1"/>
  </w:num>
  <w:num w:numId="9" w16cid:durableId="89470844">
    <w:abstractNumId w:val="1"/>
  </w:num>
  <w:num w:numId="10" w16cid:durableId="1006060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0A"/>
    <w:rsid w:val="00043F53"/>
    <w:rsid w:val="002724FA"/>
    <w:rsid w:val="0028060A"/>
    <w:rsid w:val="00B25270"/>
    <w:rsid w:val="00E6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FF0A"/>
  <w15:docId w15:val="{69955EA6-CAB4-49DA-9F70-68EA146E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B252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B25270"/>
    <w:rPr>
      <w:color w:val="96607D" w:themeColor="followedHyperlink"/>
      <w:u w:val="single"/>
    </w:rPr>
  </w:style>
  <w:style w:type="paragraph" w:styleId="Prrafodelista">
    <w:name w:val="List Paragraph"/>
    <w:basedOn w:val="Normal"/>
    <w:rsid w:val="00B25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n.com/insights/customer-behavior-and-loyalty-in-banking-global-edition-20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cg.com/publications/2025/fintechs-scaled-winners-emerging-disrup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centure.com/us-en/insights/banking/top-10-trends-bank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ckinsey.com/industries/financial-services/our-insights/global-banking-annual-revi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loitte.com/latam/es/industries/financial-services/perspectives/digital-banking-maturity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814</Words>
  <Characters>5605</Characters>
  <Application>Microsoft Office Word</Application>
  <DocSecurity>0</DocSecurity>
  <Lines>127</Lines>
  <Paragraphs>72</Paragraphs>
  <ScaleCrop>false</ScaleCrop>
  <Company>HP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Agustin Campos Romero</dc:creator>
  <cp:keywords/>
  <cp:lastModifiedBy>Agustin Campos Romero</cp:lastModifiedBy>
  <cp:revision>4</cp:revision>
  <dcterms:created xsi:type="dcterms:W3CDTF">2026-03-30T22:00:00Z</dcterms:created>
  <dcterms:modified xsi:type="dcterms:W3CDTF">2026-03-30T22:01:00Z</dcterms:modified>
</cp:coreProperties>
</file>