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Segoe UI" w:hAnsi="Segoe UI"/>
          <w:b/>
          <w:color w:val="002060"/>
          <w:sz w:val="36"/>
        </w:rPr>
        <w:t>Uitgebreide Verklarende Handleiding: Infrasound &amp; Laagfrequent Geluid Meetstation</w:t>
      </w:r>
    </w:p>
    <w:p>
      <w:pPr>
        <w:spacing w:after="80"/>
      </w:pPr>
      <w:r>
        <w:rPr>
          <w:rFonts w:ascii="Calibri" w:hAnsi="Calibri"/>
          <w:sz w:val="20"/>
        </w:rPr>
        <w:t>STAB-Bestendige Contra-Expertise, Parameterverantwoording &amp; Analyseprotocol voor Procedures bij de Raad van State (ABRvS)</w:t>
      </w:r>
    </w:p>
    <w:p>
      <w:pPr>
        <w:spacing w:after="80"/>
      </w:pPr>
      <w:r>
        <w:rPr>
          <w:rFonts w:ascii="Calibri" w:hAnsi="Calibri"/>
          <w:sz w:val="20"/>
        </w:rPr>
        <w:t>Deze handleiding is de uitbreidende gids voor het bedienen van de Infrasound &amp; LGF Meettoolkit, het instellen van de parameters, het interpreteren van de 11 grafische analysecomponenten, en het opstellen van een juridisch onomstotelijk STAB-bestendig contra-expertiserapport.</w:t>
      </w:r>
    </w:p>
    <w:p>
      <w:pPr>
        <w:spacing w:before="120" w:after="120"/>
      </w:pPr>
      <w:r>
        <w:rPr>
          <w:color w:val="C8C8C8"/>
        </w:rPr>
        <w:t>_________________________________________________________________________________</w:t>
      </w:r>
    </w:p>
    <w:p>
      <w:pPr>
        <w:spacing w:before="200" w:after="80"/>
      </w:pPr>
      <w:r>
        <w:rPr>
          <w:rFonts w:ascii="Segoe UI" w:hAnsi="Segoe UI"/>
          <w:b/>
          <w:color w:val="003366"/>
          <w:sz w:val="28"/>
        </w:rPr>
        <w:t>🎯 Doel van deze Meettoolkit &amp; Legal Protocol</w:t>
      </w:r>
    </w:p>
    <w:p>
      <w:pPr>
        <w:spacing w:after="80"/>
      </w:pPr>
      <w:r>
        <w:rPr>
          <w:rFonts w:ascii="Calibri" w:hAnsi="Calibri"/>
          <w:sz w:val="20"/>
        </w:rPr>
        <w:t>Traditionele geluidsmetingen en rekenmodellen (zoals ingezet door de overheid en exploitanten) gebruiken vaak de dB(A) weging en jaargemiddelden (Lden). Dit verhult de twee grootste hinderfactoren van windturbines:</w:t>
      </w:r>
    </w:p>
    <w:p>
      <w:pPr>
        <w:spacing w:after="80"/>
      </w:pPr>
      <w:r>
        <w:rPr>
          <w:rFonts w:ascii="Calibri" w:hAnsi="Calibri"/>
          <w:sz w:val="20"/>
        </w:rPr>
        <w:t>1. Infrasound (3 - 20 Hz) en Laagfrequent Geluid (10 - 250 Hz): Dit dringt moeiteloos door muren en dubbel glas heen en veroorzaakt resonantie/kamermodi in woningen.</w:t>
      </w:r>
    </w:p>
    <w:p>
      <w:pPr>
        <w:spacing w:after="80"/>
      </w:pPr>
      <w:r>
        <w:rPr>
          <w:rFonts w:ascii="Calibri" w:hAnsi="Calibri"/>
          <w:sz w:val="20"/>
        </w:rPr>
        <w:t>2. Modulatie en Tonaliteit: Het periodieke 'zwiepende' of brommende geluid is veel hinderlijker dan constant achtergrondruis.</w:t>
      </w:r>
    </w:p>
    <w:p>
      <w:pPr>
        <w:spacing w:after="80"/>
      </w:pPr>
      <w:r>
        <w:rPr>
          <w:rFonts w:ascii="Calibri" w:hAnsi="Calibri"/>
          <w:sz w:val="20"/>
        </w:rPr>
        <w:t>Om een succesvol tegenrapport in te dienen dat standhoudt bij de Stichting Advisering Bestuursrechtspraak (STAB) en de Raad van State (ABRvS), moet het rapport voldoen aan de eisen uit de richtlijn "Waar moet een succesvol tegenrapport aan voldoen".</w:t>
      </w:r>
    </w:p>
    <w:p>
      <w:pPr>
        <w:spacing w:before="120" w:after="120"/>
      </w:pPr>
      <w:r>
        <w:rPr>
          <w:color w:val="C8C8C8"/>
        </w:rPr>
        <w:t>_________________________________________________________________________________</w:t>
      </w:r>
    </w:p>
    <w:p>
      <w:pPr>
        <w:spacing w:before="200" w:after="80"/>
      </w:pPr>
      <w:r>
        <w:rPr>
          <w:rFonts w:ascii="Segoe UI" w:hAnsi="Segoe UI"/>
          <w:b/>
          <w:color w:val="003366"/>
          <w:sz w:val="28"/>
        </w:rPr>
        <w:t>⚖️ De 7 Pijlers van de STAB-Bestendige Meetmethode</w:t>
      </w:r>
    </w:p>
    <w:p>
      <w:pPr>
        <w:spacing w:after="80"/>
      </w:pPr>
      <w:r>
        <w:rPr>
          <w:rFonts w:ascii="Calibri" w:hAnsi="Calibri"/>
          <w:sz w:val="20"/>
        </w:rPr>
        <w:t>Om door de STAB en de ABRvS geaccepteerd te worden als valide contra-expertise, volgt de toolkit exact de volgende 7 pijlers:</w:t>
      </w:r>
    </w:p>
    <w:p>
      <w:pPr>
        <w:spacing w:before="160" w:after="40"/>
      </w:pPr>
      <w:r>
        <w:rPr>
          <w:rFonts w:ascii="Segoe UI" w:hAnsi="Segoe UI"/>
          <w:b/>
          <w:color w:val="D9534F"/>
          <w:sz w:val="22"/>
        </w:rPr>
        <w:t>1. Borging Meteorologisch Venster (Meteo Validation)</w:t>
      </w:r>
    </w:p>
    <w:p>
      <w:pPr>
        <w:pStyle w:val="ListBullet"/>
        <w:spacing w:after="40"/>
      </w:pPr>
      <w:r>
        <w:rPr>
          <w:rFonts w:ascii="Calibri" w:hAnsi="Calibri"/>
          <w:sz w:val="20"/>
        </w:rPr>
        <w:t>Windsnelheid op zithoogte &lt; 5.0 m/s: Voorkomt dat windgeruis langs de microfoon vals geluid veroorzaakt.</w:t>
      </w:r>
    </w:p>
    <w:p>
      <w:pPr>
        <w:pStyle w:val="ListBullet"/>
        <w:spacing w:after="40"/>
      </w:pPr>
      <w:r>
        <w:rPr>
          <w:rFonts w:ascii="Calibri" w:hAnsi="Calibri"/>
          <w:sz w:val="20"/>
        </w:rPr>
        <w:t>Neerslagvrij: Geen regen of hagel tijdens de meetperiode.</w:t>
      </w:r>
    </w:p>
    <w:p>
      <w:pPr>
        <w:pStyle w:val="ListBullet"/>
        <w:spacing w:after="40"/>
      </w:pPr>
      <w:r>
        <w:rPr>
          <w:rFonts w:ascii="Calibri" w:hAnsi="Calibri"/>
          <w:sz w:val="20"/>
        </w:rPr>
        <w:t>Controle: De applicatie valideert automatisch dit meteovenster en geeft een groene indicatie `✓ RvS CONFORM`.</w:t>
      </w:r>
    </w:p>
    <w:p>
      <w:pPr>
        <w:spacing w:before="160" w:after="40"/>
      </w:pPr>
      <w:r>
        <w:rPr>
          <w:rFonts w:ascii="Segoe UI" w:hAnsi="Segoe UI"/>
          <w:b/>
          <w:color w:val="D9534F"/>
          <w:sz w:val="22"/>
        </w:rPr>
        <w:t>2. Microfoonopstelling &amp; Windkap Afscherming</w:t>
      </w:r>
    </w:p>
    <w:p>
      <w:pPr>
        <w:pStyle w:val="ListBullet"/>
        <w:spacing w:after="40"/>
      </w:pPr>
      <w:r>
        <w:rPr>
          <w:rFonts w:ascii="Calibri" w:hAnsi="Calibri"/>
          <w:sz w:val="20"/>
        </w:rPr>
        <w:t>Microfoonhoogte: Standaard op 4.5 meter (verplicht voor de nachtperiode) of 1.5 meter (dag).</w:t>
      </w:r>
    </w:p>
    <w:p>
      <w:pPr>
        <w:pStyle w:val="ListBullet"/>
        <w:spacing w:after="40"/>
      </w:pPr>
      <w:r>
        <w:rPr>
          <w:rFonts w:ascii="Calibri" w:hAnsi="Calibri"/>
          <w:sz w:val="20"/>
        </w:rPr>
        <w:t>Afscherming: Verplichte toepassing van een goedgekeurde bolvormige windkap (90mm) om microfoon-turbulentie te elimineren.</w:t>
      </w:r>
    </w:p>
    <w:p>
      <w:pPr>
        <w:pStyle w:val="ListBullet"/>
        <w:spacing w:after="40"/>
      </w:pPr>
      <w:r>
        <w:rPr>
          <w:rFonts w:ascii="Calibri" w:hAnsi="Calibri"/>
          <w:sz w:val="20"/>
        </w:rPr>
        <w:t>Posities: Keuze uit vrijveldmeting (gevelvrij) of gevelmeting (waarbij 3 dB gevelreflectie wordt gecorrigeerd).</w:t>
      </w:r>
    </w:p>
    <w:p>
      <w:pPr>
        <w:spacing w:before="160" w:after="40"/>
      </w:pPr>
      <w:r>
        <w:rPr>
          <w:rFonts w:ascii="Segoe UI" w:hAnsi="Segoe UI"/>
          <w:b/>
          <w:color w:val="D9534F"/>
          <w:sz w:val="22"/>
        </w:rPr>
        <w:t>3. Traceerbare Veldkalibratie (Vóór &amp; Ná)</w:t>
      </w:r>
    </w:p>
    <w:p>
      <w:pPr>
        <w:pStyle w:val="ListBullet"/>
        <w:spacing w:after="40"/>
      </w:pPr>
      <w:r>
        <w:rPr>
          <w:rFonts w:ascii="Calibri" w:hAnsi="Calibri"/>
          <w:sz w:val="20"/>
        </w:rPr>
        <w:t>Klasse 1 Pistonfoon: Veldkalibratie wordt uitgevoerd vóór en na de meetreeks met een 94 dB / 114 dB kalibrator.</w:t>
      </w:r>
    </w:p>
    <w:p>
      <w:pPr>
        <w:pStyle w:val="ListBullet"/>
        <w:spacing w:after="40"/>
      </w:pPr>
      <w:r>
        <w:rPr>
          <w:rFonts w:ascii="Calibri" w:hAnsi="Calibri"/>
          <w:sz w:val="20"/>
        </w:rPr>
        <w:t>Certificering: Serienummer en certificaatdatum van de kalibrator worden in de data-envelope vastgelegd.</w:t>
      </w:r>
    </w:p>
    <w:p>
      <w:pPr>
        <w:spacing w:before="160" w:after="40"/>
      </w:pPr>
      <w:r>
        <w:rPr>
          <w:rFonts w:ascii="Segoe UI" w:hAnsi="Segoe UI"/>
          <w:b/>
          <w:color w:val="D9534F"/>
          <w:sz w:val="22"/>
        </w:rPr>
        <w:t>4. Fysische Drukbelasting dB(Z) vs dB(A)</w:t>
      </w:r>
    </w:p>
    <w:p>
      <w:pPr>
        <w:pStyle w:val="ListBullet"/>
        <w:spacing w:after="40"/>
      </w:pPr>
      <w:r>
        <w:rPr>
          <w:rFonts w:ascii="Calibri" w:hAnsi="Calibri"/>
          <w:sz w:val="20"/>
        </w:rPr>
        <w:t>De toolkit registreert ongewogen lineaire geluidsdruk dB(Z).</w:t>
      </w:r>
    </w:p>
    <w:p>
      <w:pPr>
        <w:pStyle w:val="ListBullet"/>
        <w:spacing w:after="40"/>
      </w:pPr>
      <w:r>
        <w:rPr>
          <w:rFonts w:ascii="Calibri" w:hAnsi="Calibri"/>
          <w:sz w:val="20"/>
        </w:rPr>
        <w:t>dB(A) trekt bij 20 Hz maar liefst 50 dB af van het geluidsniveau. dB(Z) toont de werkelijke fysische krachten die resonantie in de woning veroorzaken.</w:t>
      </w:r>
    </w:p>
    <w:p>
      <w:pPr>
        <w:spacing w:before="160" w:after="40"/>
      </w:pPr>
      <w:r>
        <w:rPr>
          <w:rFonts w:ascii="Segoe UI" w:hAnsi="Segoe UI"/>
          <w:b/>
          <w:color w:val="D9534F"/>
          <w:sz w:val="22"/>
        </w:rPr>
        <w:t>5. Achtergrondruis Substractie ($L_{95}$)</w:t>
      </w:r>
    </w:p>
    <w:p>
      <w:pPr>
        <w:pStyle w:val="ListBullet"/>
        <w:spacing w:after="40"/>
      </w:pPr>
      <w:r>
        <w:rPr>
          <w:rFonts w:ascii="Calibri" w:hAnsi="Calibri"/>
          <w:sz w:val="20"/>
        </w:rPr>
        <w:t>Om turbinegeluid te scheiden van omgevingsruis berekent de toolkit continu het $L_{95}$-niveau (het achtergrondgeluidsniveau dat 95% van de tijd wordt overschreden).</w:t>
      </w:r>
    </w:p>
    <w:p>
      <w:pPr>
        <w:pStyle w:val="ListBullet"/>
        <w:spacing w:after="40"/>
      </w:pPr>
      <w:r>
        <w:rPr>
          <w:rFonts w:ascii="Calibri" w:hAnsi="Calibri"/>
          <w:sz w:val="20"/>
        </w:rPr>
        <w:t>Conform de *Handleiding meten en rekenen industrielawaai 1999* past de engine de officiële substractieformule toe:</w:t>
      </w:r>
    </w:p>
    <w:p>
      <w:pPr>
        <w:spacing w:after="80"/>
      </w:pPr>
      <w:r>
        <w:rPr>
          <w:rFonts w:ascii="Calibri" w:hAnsi="Calibri"/>
          <w:sz w:val="20"/>
        </w:rPr>
        <w:t>$$L_{\text{corr}} = 10 \cdot \log_{10}\left(10^{L_{\text{totaal}}/10} - 10^{L_{\text{achtergrond}}/10}\right)$$</w:t>
      </w:r>
    </w:p>
    <w:p>
      <w:pPr>
        <w:spacing w:before="160" w:after="40"/>
      </w:pPr>
      <w:r>
        <w:rPr>
          <w:rFonts w:ascii="Segoe UI" w:hAnsi="Segoe UI"/>
          <w:b/>
          <w:color w:val="D9534F"/>
          <w:sz w:val="22"/>
        </w:rPr>
        <w:t>6. Smalbandige FFT Tonaliteitsanalyse (IEC 61400-11 / ISO 1996-2)</w:t>
      </w:r>
    </w:p>
    <w:p>
      <w:pPr>
        <w:pStyle w:val="ListBullet"/>
        <w:spacing w:after="40"/>
      </w:pPr>
      <w:r>
        <w:rPr>
          <w:rFonts w:ascii="Calibri" w:hAnsi="Calibri"/>
          <w:sz w:val="20"/>
        </w:rPr>
        <w:t>De engine scant het spectrum (10 - 250 Hz) op tonale pieken en vergelijkt deze met het maskerend geluid in de kritieke band.</w:t>
      </w:r>
    </w:p>
    <w:p>
      <w:pPr>
        <w:pStyle w:val="ListBullet"/>
        <w:spacing w:after="40"/>
      </w:pPr>
      <w:r>
        <w:rPr>
          <w:rFonts w:ascii="Calibri" w:hAnsi="Calibri"/>
          <w:sz w:val="20"/>
        </w:rPr>
        <w:t>Bij een hoorbaarheid $\Delta L_{ta} \ge 4.0\text{ dB}$ geldt een wettelijke toeslag (penalty) van +1 tot +6 dB op het tot geluid te rekenen niveau.</w:t>
      </w:r>
    </w:p>
    <w:p>
      <w:pPr>
        <w:spacing w:before="160" w:after="40"/>
      </w:pPr>
      <w:r>
        <w:rPr>
          <w:rFonts w:ascii="Segoe UI" w:hAnsi="Segoe UI"/>
          <w:b/>
          <w:color w:val="D9534F"/>
          <w:sz w:val="22"/>
        </w:rPr>
        <w:t>7. Gerichte Betwisting van het Overheidsrapport</w:t>
      </w:r>
    </w:p>
    <w:p>
      <w:pPr>
        <w:pStyle w:val="ListBullet"/>
        <w:spacing w:after="40"/>
      </w:pPr>
      <w:r>
        <w:rPr>
          <w:rFonts w:ascii="Calibri" w:hAnsi="Calibri"/>
          <w:sz w:val="20"/>
        </w:rPr>
        <w:t>Het rapport richt zich haarscherp op de fouten in de overheidsrapportage, zoals:</w:t>
      </w:r>
    </w:p>
    <w:p>
      <w:pPr>
        <w:pStyle w:val="ListBullet"/>
        <w:spacing w:after="40"/>
      </w:pPr>
      <w:r>
        <w:rPr>
          <w:rFonts w:ascii="Calibri" w:hAnsi="Calibri"/>
          <w:sz w:val="20"/>
        </w:rPr>
        <w:t>Foutief geanticipeerde bodemabsorptiefactor ($B_f$).</w:t>
      </w:r>
    </w:p>
    <w:p>
      <w:pPr>
        <w:pStyle w:val="ListBullet"/>
        <w:spacing w:after="40"/>
      </w:pPr>
      <w:r>
        <w:rPr>
          <w:rFonts w:ascii="Calibri" w:hAnsi="Calibri"/>
          <w:sz w:val="20"/>
        </w:rPr>
        <w:t>Het verhullen van nachtelijke piekbelasting door $L_{den}$ jaargemiddelden.</w:t>
      </w:r>
    </w:p>
    <w:p>
      <w:pPr>
        <w:pStyle w:val="ListBullet"/>
        <w:spacing w:after="40"/>
      </w:pPr>
      <w:r>
        <w:rPr>
          <w:rFonts w:ascii="Calibri" w:hAnsi="Calibri"/>
          <w:sz w:val="20"/>
        </w:rPr>
        <w:t>Het negeren van tonale bromtonen.</w:t>
      </w:r>
    </w:p>
    <w:p>
      <w:pPr>
        <w:spacing w:before="120" w:after="120"/>
      </w:pPr>
      <w:r>
        <w:rPr>
          <w:color w:val="C8C8C8"/>
        </w:rPr>
        <w:t>_________________________________________________________________________________</w:t>
      </w:r>
    </w:p>
    <w:p>
      <w:pPr>
        <w:spacing w:before="200" w:after="80"/>
      </w:pPr>
      <w:r>
        <w:rPr>
          <w:rFonts w:ascii="Segoe UI" w:hAnsi="Segoe UI"/>
          <w:b/>
          <w:color w:val="003366"/>
          <w:sz w:val="28"/>
        </w:rPr>
        <w:t>⚙️ HOOFDSTUK 2: Diepgaande Verantwoording van alle Sidebar-Instellingen</w:t>
      </w:r>
    </w:p>
    <w:p>
      <w:pPr>
        <w:spacing w:after="80"/>
      </w:pPr>
      <w:r>
        <w:rPr>
          <w:rFonts w:ascii="Calibri" w:hAnsi="Calibri"/>
          <w:sz w:val="20"/>
        </w:rPr>
        <w:t>In dit hoofdstuk wordt per instelling uitgelegd waarom u deze invoert, wat het algoritme ermee doet, wat het verwachte resultaat is, en hoe de akoestisch expert dit gebruikt bij de STAB en de Raad van State.</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656"/>
          </w:tcPr>
          <w:p>
            <w:pPr>
              <w:spacing w:before="60" w:after="60"/>
            </w:pPr>
            <w:r>
              <w:rPr>
                <w:rFonts w:ascii="Calibri" w:hAnsi="Calibri"/>
                <w:b/>
                <w:color w:val="002060"/>
                <w:sz w:val="17"/>
              </w:rPr>
              <w:t>Instelling / Parameter</w:t>
            </w:r>
          </w:p>
        </w:tc>
        <w:tc>
          <w:tcPr>
            <w:tcW w:type="dxa" w:w="1656"/>
          </w:tcPr>
          <w:p>
            <w:pPr>
              <w:spacing w:before="60" w:after="60"/>
            </w:pPr>
            <w:r>
              <w:rPr>
                <w:rFonts w:ascii="Calibri" w:hAnsi="Calibri"/>
                <w:b/>
                <w:color w:val="002060"/>
                <w:sz w:val="17"/>
              </w:rPr>
              <w:t>1. Waarom instellen?</w:t>
            </w:r>
          </w:p>
        </w:tc>
        <w:tc>
          <w:tcPr>
            <w:tcW w:type="dxa" w:w="1656"/>
          </w:tcPr>
          <w:p>
            <w:pPr>
              <w:spacing w:before="60" w:after="60"/>
            </w:pPr>
            <w:r>
              <w:rPr>
                <w:rFonts w:ascii="Calibri" w:hAnsi="Calibri"/>
                <w:b/>
                <w:color w:val="002060"/>
                <w:sz w:val="17"/>
              </w:rPr>
              <w:t>2. Wat doet de Engine hiermee?</w:t>
            </w:r>
          </w:p>
        </w:tc>
        <w:tc>
          <w:tcPr>
            <w:tcW w:type="dxa" w:w="1656"/>
          </w:tcPr>
          <w:p>
            <w:pPr>
              <w:spacing w:before="60" w:after="60"/>
            </w:pPr>
            <w:r>
              <w:rPr>
                <w:rFonts w:ascii="Calibri" w:hAnsi="Calibri"/>
                <w:b/>
                <w:color w:val="002060"/>
                <w:sz w:val="17"/>
              </w:rPr>
              <w:t>3. Wat is het Resultaat?</w:t>
            </w:r>
          </w:p>
        </w:tc>
        <w:tc>
          <w:tcPr>
            <w:tcW w:type="dxa" w:w="1656"/>
          </w:tcPr>
          <w:p>
            <w:pPr>
              <w:spacing w:before="60" w:after="60"/>
            </w:pPr>
            <w:r>
              <w:rPr>
                <w:rFonts w:ascii="Calibri" w:hAnsi="Calibri"/>
                <w:b/>
                <w:color w:val="002060"/>
                <w:sz w:val="17"/>
              </w:rPr>
              <w:t>4. Wat ziet de Expert?</w:t>
            </w:r>
          </w:p>
        </w:tc>
        <w:tc>
          <w:tcPr>
            <w:tcW w:type="dxa" w:w="1656"/>
          </w:tcPr>
          <w:p>
            <w:pPr>
              <w:spacing w:before="60" w:after="60"/>
            </w:pPr>
            <w:r>
              <w:rPr>
                <w:rFonts w:ascii="Calibri" w:hAnsi="Calibri"/>
                <w:b/>
                <w:color w:val="002060"/>
                <w:sz w:val="17"/>
              </w:rPr>
              <w:t>5. Gebruik bij Raad van State / STAB</w:t>
            </w:r>
          </w:p>
        </w:tc>
      </w:tr>
      <w:tr>
        <w:tc>
          <w:tcPr>
            <w:tcW w:type="dxa" w:w="1656"/>
          </w:tcPr>
          <w:p>
            <w:pPr>
              <w:spacing w:before="60" w:after="60"/>
            </w:pPr>
            <w:r>
              <w:rPr>
                <w:rFonts w:ascii="Calibri" w:hAnsi="Calibri"/>
                <w:sz w:val="17"/>
              </w:rPr>
              <w:t>**Windsnelheid op zithoogte (m/s)**</w:t>
            </w:r>
          </w:p>
        </w:tc>
        <w:tc>
          <w:tcPr>
            <w:tcW w:type="dxa" w:w="1656"/>
          </w:tcPr>
          <w:p>
            <w:pPr>
              <w:spacing w:before="60" w:after="60"/>
            </w:pPr>
            <w:r>
              <w:rPr>
                <w:rFonts w:ascii="Calibri" w:hAnsi="Calibri"/>
                <w:sz w:val="17"/>
              </w:rPr>
              <w:t>Voldoen aan ABRvS richtlijn; wind &gt; 5 m/s veroorzaakt windgeruis op het microfoonmembraan.</w:t>
            </w:r>
          </w:p>
        </w:tc>
        <w:tc>
          <w:tcPr>
            <w:tcW w:type="dxa" w:w="1656"/>
          </w:tcPr>
          <w:p>
            <w:pPr>
              <w:spacing w:before="60" w:after="60"/>
            </w:pPr>
            <w:r>
              <w:rPr>
                <w:rFonts w:ascii="Calibri" w:hAnsi="Calibri"/>
                <w:sz w:val="17"/>
              </w:rPr>
              <w:t>Filtert/vlagt periodes met te hoge winddruk op zithoogte en kent de status `✅ RvS CONFORM` of `⚠️ WIND TE HOOG` toe.</w:t>
            </w:r>
          </w:p>
        </w:tc>
        <w:tc>
          <w:tcPr>
            <w:tcW w:type="dxa" w:w="1656"/>
          </w:tcPr>
          <w:p>
            <w:pPr>
              <w:spacing w:before="60" w:after="60"/>
            </w:pPr>
            <w:r>
              <w:rPr>
                <w:rFonts w:ascii="Calibri" w:hAnsi="Calibri"/>
                <w:sz w:val="17"/>
              </w:rPr>
              <w:t>Voorkomt dat turbulentie op het membraan wordt aangezien voor turbine-geluid.</w:t>
            </w:r>
          </w:p>
        </w:tc>
        <w:tc>
          <w:tcPr>
            <w:tcW w:type="dxa" w:w="1656"/>
          </w:tcPr>
          <w:p>
            <w:pPr>
              <w:spacing w:before="60" w:after="60"/>
            </w:pPr>
            <w:r>
              <w:rPr>
                <w:rFonts w:ascii="Calibri" w:hAnsi="Calibri"/>
                <w:sz w:val="17"/>
              </w:rPr>
              <w:t>Zekerheid dat gemeten infrasound pieken van de turbine komen en niet van lokaal gewaai.</w:t>
            </w:r>
          </w:p>
        </w:tc>
        <w:tc>
          <w:tcPr>
            <w:tcW w:type="dxa" w:w="1656"/>
          </w:tcPr>
          <w:p>
            <w:pPr>
              <w:spacing w:before="60" w:after="60"/>
            </w:pPr>
            <w:r>
              <w:rPr>
                <w:rFonts w:ascii="Calibri" w:hAnsi="Calibri"/>
                <w:sz w:val="17"/>
              </w:rPr>
              <w:t>Elimineert het primaire verweer van de tegenpartij dat metingen beïnvloed zijn door windruis.</w:t>
            </w:r>
          </w:p>
        </w:tc>
      </w:tr>
      <w:tr>
        <w:tc>
          <w:tcPr>
            <w:tcW w:type="dxa" w:w="1656"/>
          </w:tcPr>
          <w:p>
            <w:pPr>
              <w:spacing w:before="60" w:after="60"/>
            </w:pPr>
            <w:r>
              <w:rPr>
                <w:rFonts w:ascii="Calibri" w:hAnsi="Calibri"/>
                <w:sz w:val="17"/>
              </w:rPr>
              <w:t>**Windrichting (bijv. ZW / N)**</w:t>
            </w:r>
          </w:p>
        </w:tc>
        <w:tc>
          <w:tcPr>
            <w:tcW w:type="dxa" w:w="1656"/>
          </w:tcPr>
          <w:p>
            <w:pPr>
              <w:spacing w:before="60" w:after="60"/>
            </w:pPr>
            <w:r>
              <w:rPr>
                <w:rFonts w:ascii="Calibri" w:hAnsi="Calibri"/>
                <w:sz w:val="17"/>
              </w:rPr>
              <w:t>Vastleggen of de immissielocatie benedenwinds (downwind) van het windpark ligt.</w:t>
            </w:r>
          </w:p>
        </w:tc>
        <w:tc>
          <w:tcPr>
            <w:tcW w:type="dxa" w:w="1656"/>
          </w:tcPr>
          <w:p>
            <w:pPr>
              <w:spacing w:before="60" w:after="60"/>
            </w:pPr>
            <w:r>
              <w:rPr>
                <w:rFonts w:ascii="Calibri" w:hAnsi="Calibri"/>
                <w:sz w:val="17"/>
              </w:rPr>
              <w:t>Berekent of de geluidsuitbreiding optimaal richting de woning plaatsvindt conform ISO 9613-2.</w:t>
            </w:r>
          </w:p>
        </w:tc>
        <w:tc>
          <w:tcPr>
            <w:tcW w:type="dxa" w:w="1656"/>
          </w:tcPr>
          <w:p>
            <w:pPr>
              <w:spacing w:before="60" w:after="60"/>
            </w:pPr>
            <w:r>
              <w:rPr>
                <w:rFonts w:ascii="Calibri" w:hAnsi="Calibri"/>
                <w:sz w:val="17"/>
              </w:rPr>
              <w:t>Valideert dat de hoogste immissieconditie is gemeten.</w:t>
            </w:r>
          </w:p>
        </w:tc>
        <w:tc>
          <w:tcPr>
            <w:tcW w:type="dxa" w:w="1656"/>
          </w:tcPr>
          <w:p>
            <w:pPr>
              <w:spacing w:before="60" w:after="60"/>
            </w:pPr>
            <w:r>
              <w:rPr>
                <w:rFonts w:ascii="Calibri" w:hAnsi="Calibri"/>
                <w:sz w:val="17"/>
              </w:rPr>
              <w:t>Bevestiging van de maximale geluidsoverdracht tussen turbine en gevel.</w:t>
            </w:r>
          </w:p>
        </w:tc>
        <w:tc>
          <w:tcPr>
            <w:tcW w:type="dxa" w:w="1656"/>
          </w:tcPr>
          <w:p>
            <w:pPr>
              <w:spacing w:before="60" w:after="60"/>
            </w:pPr>
            <w:r>
              <w:rPr>
                <w:rFonts w:ascii="Calibri" w:hAnsi="Calibri"/>
                <w:sz w:val="17"/>
              </w:rPr>
              <w:t>Bewijst dat de meting is uitgevoerd onder representatieve maximale immissie-omstandigheden.</w:t>
            </w:r>
          </w:p>
        </w:tc>
      </w:tr>
      <w:tr>
        <w:tc>
          <w:tcPr>
            <w:tcW w:type="dxa" w:w="1656"/>
          </w:tcPr>
          <w:p>
            <w:pPr>
              <w:spacing w:before="60" w:after="60"/>
            </w:pPr>
            <w:r>
              <w:rPr>
                <w:rFonts w:ascii="Calibri" w:hAnsi="Calibri"/>
                <w:sz w:val="17"/>
              </w:rPr>
              <w:t>**Neerslagvrij (Vinkje)**</w:t>
            </w:r>
          </w:p>
        </w:tc>
        <w:tc>
          <w:tcPr>
            <w:tcW w:type="dxa" w:w="1656"/>
          </w:tcPr>
          <w:p>
            <w:pPr>
              <w:spacing w:before="60" w:after="60"/>
            </w:pPr>
            <w:r>
              <w:rPr>
                <w:rFonts w:ascii="Calibri" w:hAnsi="Calibri"/>
                <w:sz w:val="17"/>
              </w:rPr>
              <w:t>Regen/hagel veroorzaakt valse breedbandige piekbelasting op de sensor.</w:t>
            </w:r>
          </w:p>
        </w:tc>
        <w:tc>
          <w:tcPr>
            <w:tcW w:type="dxa" w:w="1656"/>
          </w:tcPr>
          <w:p>
            <w:pPr>
              <w:spacing w:before="60" w:after="60"/>
            </w:pPr>
            <w:r>
              <w:rPr>
                <w:rFonts w:ascii="Calibri" w:hAnsi="Calibri"/>
                <w:sz w:val="17"/>
              </w:rPr>
              <w:t>Controleert neerslagvrijheid en blokkeert ongeldige gegevens in de juridische export.</w:t>
            </w:r>
          </w:p>
        </w:tc>
        <w:tc>
          <w:tcPr>
            <w:tcW w:type="dxa" w:w="1656"/>
          </w:tcPr>
          <w:p>
            <w:pPr>
              <w:spacing w:before="60" w:after="60"/>
            </w:pPr>
            <w:r>
              <w:rPr>
                <w:rFonts w:ascii="Calibri" w:hAnsi="Calibri"/>
                <w:sz w:val="17"/>
              </w:rPr>
              <w:t>Garandeert schone spectrale data zonder regentikken.</w:t>
            </w:r>
          </w:p>
        </w:tc>
        <w:tc>
          <w:tcPr>
            <w:tcW w:type="dxa" w:w="1656"/>
          </w:tcPr>
          <w:p>
            <w:pPr>
              <w:spacing w:before="60" w:after="60"/>
            </w:pPr>
            <w:r>
              <w:rPr>
                <w:rFonts w:ascii="Calibri" w:hAnsi="Calibri"/>
                <w:sz w:val="17"/>
              </w:rPr>
              <w:t>Ruw spectrum zonder stoorpulsen van neerslag.</w:t>
            </w:r>
          </w:p>
        </w:tc>
        <w:tc>
          <w:tcPr>
            <w:tcW w:type="dxa" w:w="1656"/>
          </w:tcPr>
          <w:p>
            <w:pPr>
              <w:spacing w:before="60" w:after="60"/>
            </w:pPr>
            <w:r>
              <w:rPr>
                <w:rFonts w:ascii="Calibri" w:hAnsi="Calibri"/>
                <w:sz w:val="17"/>
              </w:rPr>
              <w:t>Voldoet aan de strikte eis van de Handleiding 1999 dat metingen neerslagvrij moeten zijn.</w:t>
            </w:r>
          </w:p>
        </w:tc>
      </w:tr>
      <w:tr>
        <w:tc>
          <w:tcPr>
            <w:tcW w:type="dxa" w:w="1656"/>
          </w:tcPr>
          <w:p>
            <w:pPr>
              <w:spacing w:before="60" w:after="60"/>
            </w:pPr>
            <w:r>
              <w:rPr>
                <w:rFonts w:ascii="Calibri" w:hAnsi="Calibri"/>
                <w:sz w:val="17"/>
              </w:rPr>
              <w:t>**Microfoonhoogte (4.5m / 1.5m)**</w:t>
            </w:r>
          </w:p>
        </w:tc>
        <w:tc>
          <w:tcPr>
            <w:tcW w:type="dxa" w:w="1656"/>
          </w:tcPr>
          <w:p>
            <w:pPr>
              <w:spacing w:before="60" w:after="60"/>
            </w:pPr>
            <w:r>
              <w:rPr>
                <w:rFonts w:ascii="Calibri" w:hAnsi="Calibri"/>
                <w:sz w:val="17"/>
              </w:rPr>
              <w:t>Nachtperiode vereist 4.5m hoogte om bodemafscherming te omzeilen; dagperiode 1.5m.</w:t>
            </w:r>
          </w:p>
        </w:tc>
        <w:tc>
          <w:tcPr>
            <w:tcW w:type="dxa" w:w="1656"/>
          </w:tcPr>
          <w:p>
            <w:pPr>
              <w:spacing w:before="60" w:after="60"/>
            </w:pPr>
            <w:r>
              <w:rPr>
                <w:rFonts w:ascii="Calibri" w:hAnsi="Calibri"/>
                <w:sz w:val="17"/>
              </w:rPr>
              <w:t>Past de correctiefactor voor microfoonhoogte toe op het gemeten spectrale niveau.</w:t>
            </w:r>
          </w:p>
        </w:tc>
        <w:tc>
          <w:tcPr>
            <w:tcW w:type="dxa" w:w="1656"/>
          </w:tcPr>
          <w:p>
            <w:pPr>
              <w:spacing w:before="60" w:after="60"/>
            </w:pPr>
            <w:r>
              <w:rPr>
                <w:rFonts w:ascii="Calibri" w:hAnsi="Calibri"/>
                <w:sz w:val="17"/>
              </w:rPr>
              <w:t>Gestandaardiseerd immissieniveau conform het Meetvoorschrift.</w:t>
            </w:r>
          </w:p>
        </w:tc>
        <w:tc>
          <w:tcPr>
            <w:tcW w:type="dxa" w:w="1656"/>
          </w:tcPr>
          <w:p>
            <w:pPr>
              <w:spacing w:before="60" w:after="60"/>
            </w:pPr>
            <w:r>
              <w:rPr>
                <w:rFonts w:ascii="Calibri" w:hAnsi="Calibri"/>
                <w:sz w:val="17"/>
              </w:rPr>
              <w:t>Vergelijking tussen dag- en nachtbelasting op de gevel.</w:t>
            </w:r>
          </w:p>
        </w:tc>
        <w:tc>
          <w:tcPr>
            <w:tcW w:type="dxa" w:w="1656"/>
          </w:tcPr>
          <w:p>
            <w:pPr>
              <w:spacing w:before="60" w:after="60"/>
            </w:pPr>
            <w:r>
              <w:rPr>
                <w:rFonts w:ascii="Calibri" w:hAnsi="Calibri"/>
                <w:sz w:val="17"/>
              </w:rPr>
              <w:t>Voorkomt dat de tegenpartij de meting ongeldig verklaart wegens verkeerde opstelhoogte.</w:t>
            </w:r>
          </w:p>
        </w:tc>
      </w:tr>
      <w:tr>
        <w:tc>
          <w:tcPr>
            <w:tcW w:type="dxa" w:w="1656"/>
          </w:tcPr>
          <w:p>
            <w:pPr>
              <w:spacing w:before="60" w:after="60"/>
            </w:pPr>
            <w:r>
              <w:rPr>
                <w:rFonts w:ascii="Calibri" w:hAnsi="Calibri"/>
                <w:sz w:val="17"/>
              </w:rPr>
              <w:t>**Gevelreflectie Aftrek (3.0 dB)**</w:t>
            </w:r>
          </w:p>
        </w:tc>
        <w:tc>
          <w:tcPr>
            <w:tcW w:type="dxa" w:w="1656"/>
          </w:tcPr>
          <w:p>
            <w:pPr>
              <w:spacing w:before="60" w:after="60"/>
            </w:pPr>
            <w:r>
              <w:rPr>
                <w:rFonts w:ascii="Calibri" w:hAnsi="Calibri"/>
                <w:sz w:val="17"/>
              </w:rPr>
              <w:t>Geluid dat op de gevel invalt reflecteert en verhoogt de gemeten waarde met 3 dB.</w:t>
            </w:r>
          </w:p>
        </w:tc>
        <w:tc>
          <w:tcPr>
            <w:tcW w:type="dxa" w:w="1656"/>
          </w:tcPr>
          <w:p>
            <w:pPr>
              <w:spacing w:before="60" w:after="60"/>
            </w:pPr>
            <w:r>
              <w:rPr>
                <w:rFonts w:ascii="Calibri" w:hAnsi="Calibri"/>
                <w:sz w:val="17"/>
              </w:rPr>
              <w:t>Trekt automatisch $3.0\text{ dB}$ af van het gemeten niveau bij opstelling direct op de gevel.</w:t>
            </w:r>
          </w:p>
        </w:tc>
        <w:tc>
          <w:tcPr>
            <w:tcW w:type="dxa" w:w="1656"/>
          </w:tcPr>
          <w:p>
            <w:pPr>
              <w:spacing w:before="60" w:after="60"/>
            </w:pPr>
            <w:r>
              <w:rPr>
                <w:rFonts w:ascii="Calibri" w:hAnsi="Calibri"/>
                <w:sz w:val="17"/>
              </w:rPr>
              <w:t>Vrijveld-equivalent geluidsdrukniveau ($L_{\text{vrijveld}}$).</w:t>
            </w:r>
          </w:p>
        </w:tc>
        <w:tc>
          <w:tcPr>
            <w:tcW w:type="dxa" w:w="1656"/>
          </w:tcPr>
          <w:p>
            <w:pPr>
              <w:spacing w:before="60" w:after="60"/>
            </w:pPr>
            <w:r>
              <w:rPr>
                <w:rFonts w:ascii="Calibri" w:hAnsi="Calibri"/>
                <w:sz w:val="17"/>
              </w:rPr>
              <w:t>Zuivere immissiewaarde zoals die in rekenmodellen gebruikt wordt.</w:t>
            </w:r>
          </w:p>
        </w:tc>
        <w:tc>
          <w:tcPr>
            <w:tcW w:type="dxa" w:w="1656"/>
          </w:tcPr>
          <w:p>
            <w:pPr>
              <w:spacing w:before="60" w:after="60"/>
            </w:pPr>
            <w:r>
              <w:rPr>
                <w:rFonts w:ascii="Calibri" w:hAnsi="Calibri"/>
                <w:sz w:val="17"/>
              </w:rPr>
              <w:t>Maakt de meting 1-op-1 vergelijkbaar met berekende immissiewaarden van het bevoegd gezag.</w:t>
            </w:r>
          </w:p>
        </w:tc>
      </w:tr>
      <w:tr>
        <w:tc>
          <w:tcPr>
            <w:tcW w:type="dxa" w:w="1656"/>
          </w:tcPr>
          <w:p>
            <w:pPr>
              <w:spacing w:before="60" w:after="60"/>
            </w:pPr>
            <w:r>
              <w:rPr>
                <w:rFonts w:ascii="Calibri" w:hAnsi="Calibri"/>
                <w:sz w:val="17"/>
              </w:rPr>
              <w:t>**Bolvormige Windkap (90mm)**</w:t>
            </w:r>
          </w:p>
        </w:tc>
        <w:tc>
          <w:tcPr>
            <w:tcW w:type="dxa" w:w="1656"/>
          </w:tcPr>
          <w:p>
            <w:pPr>
              <w:spacing w:before="60" w:after="60"/>
            </w:pPr>
            <w:r>
              <w:rPr>
                <w:rFonts w:ascii="Calibri" w:hAnsi="Calibri"/>
                <w:sz w:val="17"/>
              </w:rPr>
              <w:t>Vermindert lokaal windgeruis tot frequenties onder 10 Hz.</w:t>
            </w:r>
          </w:p>
        </w:tc>
        <w:tc>
          <w:tcPr>
            <w:tcW w:type="dxa" w:w="1656"/>
          </w:tcPr>
          <w:p>
            <w:pPr>
              <w:spacing w:before="60" w:after="60"/>
            </w:pPr>
            <w:r>
              <w:rPr>
                <w:rFonts w:ascii="Calibri" w:hAnsi="Calibri"/>
                <w:sz w:val="17"/>
              </w:rPr>
              <w:t>Bevestigt in de rapportage-envelope dat fysieke windafscherming aanwezig was.</w:t>
            </w:r>
          </w:p>
        </w:tc>
        <w:tc>
          <w:tcPr>
            <w:tcW w:type="dxa" w:w="1656"/>
          </w:tcPr>
          <w:p>
            <w:pPr>
              <w:spacing w:before="60" w:after="60"/>
            </w:pPr>
            <w:r>
              <w:rPr>
                <w:rFonts w:ascii="Calibri" w:hAnsi="Calibri"/>
                <w:sz w:val="17"/>
              </w:rPr>
              <w:t>Hoge signaal-ruisverhouding bij de microfoon.</w:t>
            </w:r>
          </w:p>
        </w:tc>
        <w:tc>
          <w:tcPr>
            <w:tcW w:type="dxa" w:w="1656"/>
          </w:tcPr>
          <w:p>
            <w:pPr>
              <w:spacing w:before="60" w:after="60"/>
            </w:pPr>
            <w:r>
              <w:rPr>
                <w:rFonts w:ascii="Calibri" w:hAnsi="Calibri"/>
                <w:sz w:val="17"/>
              </w:rPr>
              <w:t>Schoon laagfrequent spectrum (10 - 250 Hz).</w:t>
            </w:r>
          </w:p>
        </w:tc>
        <w:tc>
          <w:tcPr>
            <w:tcW w:type="dxa" w:w="1656"/>
          </w:tcPr>
          <w:p>
            <w:pPr>
              <w:spacing w:before="60" w:after="60"/>
            </w:pPr>
            <w:r>
              <w:rPr>
                <w:rFonts w:ascii="Calibri" w:hAnsi="Calibri"/>
                <w:sz w:val="17"/>
              </w:rPr>
              <w:t>Voldoet aan de IEC 61400-11 en ISO 1996-2 vereisten voor outdoor metingen.</w:t>
            </w:r>
          </w:p>
        </w:tc>
      </w:tr>
      <w:tr>
        <w:tc>
          <w:tcPr>
            <w:tcW w:type="dxa" w:w="1656"/>
          </w:tcPr>
          <w:p>
            <w:pPr>
              <w:spacing w:before="60" w:after="60"/>
            </w:pPr>
            <w:r>
              <w:rPr>
                <w:rFonts w:ascii="Calibri" w:hAnsi="Calibri"/>
                <w:sz w:val="17"/>
              </w:rPr>
              <w:t>**Veldkalibratie Vóór &amp; Ná (94 dB)**</w:t>
            </w:r>
          </w:p>
        </w:tc>
        <w:tc>
          <w:tcPr>
            <w:tcW w:type="dxa" w:w="1656"/>
          </w:tcPr>
          <w:p>
            <w:pPr>
              <w:spacing w:before="60" w:after="60"/>
            </w:pPr>
            <w:r>
              <w:rPr>
                <w:rFonts w:ascii="Calibri" w:hAnsi="Calibri"/>
                <w:sz w:val="17"/>
              </w:rPr>
              <w:t>Aantonen van de kwantitatieve nauwkeurigheid van de signaalketen.</w:t>
            </w:r>
          </w:p>
        </w:tc>
        <w:tc>
          <w:tcPr>
            <w:tcW w:type="dxa" w:w="1656"/>
          </w:tcPr>
          <w:p>
            <w:pPr>
              <w:spacing w:before="60" w:after="60"/>
            </w:pPr>
            <w:r>
              <w:rPr>
                <w:rFonts w:ascii="Calibri" w:hAnsi="Calibri"/>
                <w:sz w:val="17"/>
              </w:rPr>
              <w:t>Berekent het verloop ($\Delta$) tussen pre- en post-kalibratie. Geaccepteerd indien $\Delta &lt; 0.5\text{ dB}$.</w:t>
            </w:r>
          </w:p>
        </w:tc>
        <w:tc>
          <w:tcPr>
            <w:tcW w:type="dxa" w:w="1656"/>
          </w:tcPr>
          <w:p>
            <w:pPr>
              <w:spacing w:before="60" w:after="60"/>
            </w:pPr>
            <w:r>
              <w:rPr>
                <w:rFonts w:ascii="Calibri" w:hAnsi="Calibri"/>
                <w:sz w:val="17"/>
              </w:rPr>
              <w:t>Gegarandeerde amplitude-nauwkeurigheid van de meting.</w:t>
            </w:r>
          </w:p>
        </w:tc>
        <w:tc>
          <w:tcPr>
            <w:tcW w:type="dxa" w:w="1656"/>
          </w:tcPr>
          <w:p>
            <w:pPr>
              <w:spacing w:before="60" w:after="60"/>
            </w:pPr>
            <w:r>
              <w:rPr>
                <w:rFonts w:ascii="Calibri" w:hAnsi="Calibri"/>
                <w:sz w:val="17"/>
              </w:rPr>
              <w:t>Traceerbare veld-ijking ingebed in de rapportage.</w:t>
            </w:r>
          </w:p>
        </w:tc>
        <w:tc>
          <w:tcPr>
            <w:tcW w:type="dxa" w:w="1656"/>
          </w:tcPr>
          <w:p>
            <w:pPr>
              <w:spacing w:before="60" w:after="60"/>
            </w:pPr>
            <w:r>
              <w:rPr>
                <w:rFonts w:ascii="Calibri" w:hAnsi="Calibri"/>
                <w:sz w:val="17"/>
              </w:rPr>
              <w:t>Voldoet aan de Klasse-1 vereisten en maakt metingen juridisch onbetwistbaar.</w:t>
            </w:r>
          </w:p>
        </w:tc>
      </w:tr>
      <w:tr>
        <w:tc>
          <w:tcPr>
            <w:tcW w:type="dxa" w:w="1656"/>
          </w:tcPr>
          <w:p>
            <w:pPr>
              <w:spacing w:before="60" w:after="60"/>
            </w:pPr>
            <w:r>
              <w:rPr>
                <w:rFonts w:ascii="Calibri" w:hAnsi="Calibri"/>
                <w:sz w:val="17"/>
              </w:rPr>
              <w:t>**Binnenshuis Verblijfsruimte &amp; Status Ramen/Deuren**</w:t>
            </w:r>
          </w:p>
        </w:tc>
        <w:tc>
          <w:tcPr>
            <w:tcW w:type="dxa" w:w="1656"/>
          </w:tcPr>
          <w:p>
            <w:pPr>
              <w:spacing w:before="60" w:after="60"/>
            </w:pPr>
            <w:r>
              <w:rPr>
                <w:rFonts w:ascii="Calibri" w:hAnsi="Calibri"/>
                <w:sz w:val="17"/>
              </w:rPr>
              <w:t>NEN-EN-ISO 16032 vereist gesloten deuren/ramen en uitgeschakelde interne bronnen.</w:t>
            </w:r>
          </w:p>
        </w:tc>
        <w:tc>
          <w:tcPr>
            <w:tcW w:type="dxa" w:w="1656"/>
          </w:tcPr>
          <w:p>
            <w:pPr>
              <w:spacing w:before="60" w:after="60"/>
            </w:pPr>
            <w:r>
              <w:rPr>
                <w:rFonts w:ascii="Calibri" w:hAnsi="Calibri"/>
                <w:sz w:val="17"/>
              </w:rPr>
              <w:t>Verwerkt ruimte-eigenschappen voor de binnen-toetsing aan de NSG-drempelcurve.</w:t>
            </w:r>
          </w:p>
        </w:tc>
        <w:tc>
          <w:tcPr>
            <w:tcW w:type="dxa" w:w="1656"/>
          </w:tcPr>
          <w:p>
            <w:pPr>
              <w:spacing w:before="60" w:after="60"/>
            </w:pPr>
            <w:r>
              <w:rPr>
                <w:rFonts w:ascii="Calibri" w:hAnsi="Calibri"/>
                <w:sz w:val="17"/>
              </w:rPr>
              <w:t>Zuiver binnenshuis immissieniveau zonder stoorbronnen (zoals cv of ventilatie).</w:t>
            </w:r>
          </w:p>
        </w:tc>
        <w:tc>
          <w:tcPr>
            <w:tcW w:type="dxa" w:w="1656"/>
          </w:tcPr>
          <w:p>
            <w:pPr>
              <w:spacing w:before="60" w:after="60"/>
            </w:pPr>
            <w:r>
              <w:rPr>
                <w:rFonts w:ascii="Calibri" w:hAnsi="Calibri"/>
                <w:sz w:val="17"/>
              </w:rPr>
              <w:t>Zichtbaarheid van kamermodi en staande golven veroorzaakt door het infrasound van buiten.</w:t>
            </w:r>
          </w:p>
        </w:tc>
        <w:tc>
          <w:tcPr>
            <w:tcW w:type="dxa" w:w="1656"/>
          </w:tcPr>
          <w:p>
            <w:pPr>
              <w:spacing w:before="60" w:after="60"/>
            </w:pPr>
            <w:r>
              <w:rPr>
                <w:rFonts w:ascii="Calibri" w:hAnsi="Calibri"/>
                <w:sz w:val="17"/>
              </w:rPr>
              <w:t>Onomstotelijk bewijs van binnenshuis hinder en slaapverstoring bij de Raad van State.</w:t>
            </w:r>
          </w:p>
        </w:tc>
      </w:tr>
    </w:tbl>
    <w:p/>
    <w:p>
      <w:pPr>
        <w:spacing w:before="120" w:after="120"/>
      </w:pPr>
      <w:r>
        <w:rPr>
          <w:color w:val="C8C8C8"/>
        </w:rPr>
        <w:t>_________________________________________________________________________________</w:t>
      </w:r>
    </w:p>
    <w:p>
      <w:pPr>
        <w:spacing w:before="200" w:after="80"/>
      </w:pPr>
      <w:r>
        <w:rPr>
          <w:rFonts w:ascii="Segoe UI" w:hAnsi="Segoe UI"/>
          <w:b/>
          <w:color w:val="003366"/>
          <w:sz w:val="28"/>
        </w:rPr>
        <w:t>📊 HOOFDSTUK 3: Uitgebreide Verklaring van de 11 Grafische Visualisaties</w:t>
      </w:r>
    </w:p>
    <w:p>
      <w:pPr>
        <w:spacing w:after="80"/>
      </w:pPr>
      <w:r>
        <w:rPr>
          <w:rFonts w:ascii="Calibri" w:hAnsi="Calibri"/>
          <w:sz w:val="20"/>
        </w:rPr>
        <w:t>De rapportage-engine genereert 11 gespecialiseerde grafieken (Grafiek 2.0 t/m 11.0). Hieronder staat de gedetailleerde toelichting per grafiek:</w:t>
      </w:r>
    </w:p>
    <w:p>
      <w:pPr>
        <w:spacing w:before="160" w:after="40"/>
      </w:pPr>
      <w:r>
        <w:rPr>
          <w:rFonts w:ascii="Segoe UI" w:hAnsi="Segoe UI"/>
          <w:b/>
          <w:color w:val="D9534F"/>
          <w:sz w:val="22"/>
        </w:rPr>
        <w:t>Grafiek 2.0: Infrasound Frequentiespectrum (3 - 20 Hz) [dB(Z)]</w:t>
      </w:r>
    </w:p>
    <w:p>
      <w:pPr>
        <w:pStyle w:val="ListBullet"/>
        <w:spacing w:after="40"/>
      </w:pPr>
      <w:r>
        <w:rPr>
          <w:rFonts w:ascii="Calibri" w:hAnsi="Calibri"/>
          <w:sz w:val="20"/>
        </w:rPr>
        <w:t>Wat staat er in de grafiek?</w:t>
      </w:r>
    </w:p>
    <w:p>
      <w:pPr>
        <w:pStyle w:val="ListBullet"/>
        <w:spacing w:after="40"/>
      </w:pPr>
      <w:r>
        <w:rPr>
          <w:rFonts w:ascii="Calibri" w:hAnsi="Calibri"/>
          <w:sz w:val="20"/>
        </w:rPr>
        <w:t>Gemeten $L_{eq}$ (Donkerblauwe lijn): Het totale gemeten infrasounddrukniveau per frequentiebin.</w:t>
      </w:r>
    </w:p>
    <w:p>
      <w:pPr>
        <w:pStyle w:val="ListBullet"/>
        <w:spacing w:after="40"/>
      </w:pPr>
      <w:r>
        <w:rPr>
          <w:rFonts w:ascii="Calibri" w:hAnsi="Calibri"/>
          <w:sz w:val="20"/>
        </w:rPr>
        <w:t>Achtergrondruis $L_{95}$ (Grijze dash-dot lijn): De omgevingsruisvloer.</w:t>
      </w:r>
    </w:p>
    <w:p>
      <w:pPr>
        <w:pStyle w:val="ListBullet"/>
        <w:spacing w:after="40"/>
      </w:pPr>
      <w:r>
        <w:rPr>
          <w:rFonts w:ascii="Calibri" w:hAnsi="Calibri"/>
          <w:sz w:val="20"/>
        </w:rPr>
        <w:t>Vercammen Infrasound Drempel (Rode gestreepte lijn): De bekende hinderdrempel voor infrasound.</w:t>
      </w:r>
    </w:p>
    <w:p>
      <w:pPr>
        <w:pStyle w:val="ListBullet"/>
        <w:spacing w:after="40"/>
      </w:pPr>
      <w:r>
        <w:rPr>
          <w:rFonts w:ascii="Calibri" w:hAnsi="Calibri"/>
          <w:sz w:val="20"/>
        </w:rPr>
        <w:t>BPF Piek Marker (Rode stip): De geïdentificeerde Bladpassagefrequentie (bijv. op $0.85\text{ Hz}$ of $1.7\text{ Hz}$).</w:t>
      </w:r>
    </w:p>
    <w:p>
      <w:pPr>
        <w:pStyle w:val="ListBullet"/>
        <w:spacing w:after="40"/>
      </w:pPr>
      <w:r>
        <w:rPr>
          <w:rFonts w:ascii="Calibri" w:hAnsi="Calibri"/>
          <w:sz w:val="20"/>
        </w:rPr>
        <w:t>Wat ziet de expert? Direct de dominante infrasound pieken die samenvallen met het toerental van de windturbine.</w:t>
      </w:r>
    </w:p>
    <w:p>
      <w:pPr>
        <w:pStyle w:val="ListBullet"/>
        <w:spacing w:after="40"/>
      </w:pPr>
      <w:r>
        <w:rPr>
          <w:rFonts w:ascii="Calibri" w:hAnsi="Calibri"/>
          <w:sz w:val="20"/>
        </w:rPr>
        <w:t>Gebruik bij Raad van State: Bewijst dat de onhoorbare luchtdrukpulsen ver boven de natuurlijke achtergrondruis uitsteken en direct veroorzaakt worden door de voorbijkomende wieken.</w:t>
      </w:r>
    </w:p>
    <w:p>
      <w:pPr>
        <w:spacing w:before="160" w:after="40"/>
      </w:pPr>
      <w:r>
        <w:rPr>
          <w:rFonts w:ascii="Segoe UI" w:hAnsi="Segoe UI"/>
          <w:b/>
          <w:color w:val="D9534F"/>
          <w:sz w:val="22"/>
        </w:rPr>
        <w:t>Grafiek 3.0: Laagfrequent Spectrum (10 - 250 Hz) [dB(Z) &amp; dB(A)]</w:t>
      </w:r>
    </w:p>
    <w:p>
      <w:pPr>
        <w:pStyle w:val="ListBullet"/>
        <w:spacing w:after="40"/>
      </w:pPr>
      <w:r>
        <w:rPr>
          <w:rFonts w:ascii="Calibri" w:hAnsi="Calibri"/>
          <w:sz w:val="20"/>
        </w:rPr>
        <w:t>Wat staat er in de grafiek?</w:t>
      </w:r>
    </w:p>
    <w:p>
      <w:pPr>
        <w:pStyle w:val="ListBullet"/>
        <w:spacing w:after="40"/>
      </w:pPr>
      <w:r>
        <w:rPr>
          <w:rFonts w:ascii="Calibri" w:hAnsi="Calibri"/>
          <w:sz w:val="20"/>
        </w:rPr>
        <w:t>Lineair dB(Z) (Donkerblauw): De werkelijke fysische geluidsdruk.</w:t>
      </w:r>
    </w:p>
    <w:p>
      <w:pPr>
        <w:pStyle w:val="ListBullet"/>
        <w:spacing w:after="40"/>
      </w:pPr>
      <w:r>
        <w:rPr>
          <w:rFonts w:ascii="Calibri" w:hAnsi="Calibri"/>
          <w:sz w:val="20"/>
        </w:rPr>
        <w:t>A-gewogen dB(A) (Groen): Het door het menselijk oor waargenomen niveau.</w:t>
      </w:r>
    </w:p>
    <w:p>
      <w:pPr>
        <w:pStyle w:val="ListBullet"/>
        <w:spacing w:after="40"/>
      </w:pPr>
      <w:r>
        <w:rPr>
          <w:rFonts w:ascii="Calibri" w:hAnsi="Calibri"/>
          <w:sz w:val="20"/>
        </w:rPr>
        <w:t>NSG LFG Drempelcurve (Rode gestippelde curve met markers op de 1/3 octaafbanden 10 Hz t/m 80 Hz).</w:t>
      </w:r>
    </w:p>
    <w:p>
      <w:pPr>
        <w:pStyle w:val="ListBullet"/>
        <w:spacing w:after="40"/>
      </w:pPr>
      <w:r>
        <w:rPr>
          <w:rFonts w:ascii="Calibri" w:hAnsi="Calibri"/>
          <w:sz w:val="20"/>
        </w:rPr>
        <w:t>Wat ziet de expert? Het enorme gat tussen dB(Z) en dB(A) in het laagfrequente gebied, en eventuele overschrijdingen van de NSG-hinderdrempel voor woningen.</w:t>
      </w:r>
    </w:p>
    <w:p>
      <w:pPr>
        <w:pStyle w:val="ListBullet"/>
        <w:spacing w:after="40"/>
      </w:pPr>
      <w:r>
        <w:rPr>
          <w:rFonts w:ascii="Calibri" w:hAnsi="Calibri"/>
          <w:sz w:val="20"/>
        </w:rPr>
        <w:t>Gebruik bij Raad van State: Toont aan dat een bevoegd gezag dat alleen in dB(A) toetst, ernstige laagfrequente hinder binnenshuis (zoals brommen en trillingen) volledig verbergt.</w:t>
      </w:r>
    </w:p>
    <w:p>
      <w:pPr>
        <w:spacing w:before="160" w:after="40"/>
      </w:pPr>
      <w:r>
        <w:rPr>
          <w:rFonts w:ascii="Segoe UI" w:hAnsi="Segoe UI"/>
          <w:b/>
          <w:color w:val="D9534F"/>
          <w:sz w:val="22"/>
        </w:rPr>
        <w:t>Grafiek 4.0: Smalbandige FFT Spectrum &amp; Tonaliteitsanalyse (IEC 61400-11 / ISO 1996-2) [dB(Z)]</w:t>
      </w:r>
    </w:p>
    <w:p>
      <w:pPr>
        <w:pStyle w:val="ListBullet"/>
        <w:spacing w:after="40"/>
      </w:pPr>
      <w:r>
        <w:rPr>
          <w:rFonts w:ascii="Calibri" w:hAnsi="Calibri"/>
          <w:sz w:val="20"/>
        </w:rPr>
        <w:t>Wat staat er in de grafiek? Hoge resolutie FFT-spectrum ($\Delta f = 0.1\text{ Hz}$) met de gedetecteerde tonale piek ($\Delta L_{ta}$) en het gemiddelde maskeringsniveau $L_{ta}$.</w:t>
      </w:r>
    </w:p>
    <w:p>
      <w:pPr>
        <w:pStyle w:val="ListBullet"/>
        <w:spacing w:after="40"/>
      </w:pPr>
      <w:r>
        <w:rPr>
          <w:rFonts w:ascii="Calibri" w:hAnsi="Calibri"/>
          <w:sz w:val="20"/>
        </w:rPr>
        <w:t>Wat ziet de expert? Of er sprake is van een 'pure toon' (bijvoorbeeld veroorzaakt door de tandwielkast of generator van de turbine).</w:t>
      </w:r>
    </w:p>
    <w:p>
      <w:pPr>
        <w:pStyle w:val="ListBullet"/>
        <w:spacing w:after="40"/>
      </w:pPr>
      <w:r>
        <w:rPr>
          <w:rFonts w:ascii="Calibri" w:hAnsi="Calibri"/>
          <w:sz w:val="20"/>
        </w:rPr>
        <w:t>Gebruik bij Raad van State: Bij $\Delta L_{ta} \ge 4.0\text{ dB}$ is wettelijk een straftoeslag van +1 tot +6 dB verplicht. Dit kan een schijnbare naleving doen omslaan in een overtreding.</w:t>
      </w:r>
    </w:p>
    <w:p>
      <w:pPr>
        <w:spacing w:before="160" w:after="40"/>
      </w:pPr>
      <w:r>
        <w:rPr>
          <w:rFonts w:ascii="Segoe UI" w:hAnsi="Segoe UI"/>
          <w:b/>
          <w:color w:val="D9534F"/>
          <w:sz w:val="22"/>
        </w:rPr>
        <w:t>Grafiek 5.0: Infrasound Drukgolf Tijddomein (AC-Coupled Oscillogram)</w:t>
      </w:r>
    </w:p>
    <w:p>
      <w:pPr>
        <w:pStyle w:val="ListBullet"/>
        <w:spacing w:after="40"/>
      </w:pPr>
      <w:r>
        <w:rPr>
          <w:rFonts w:ascii="Calibri" w:hAnsi="Calibri"/>
          <w:sz w:val="20"/>
        </w:rPr>
        <w:t>Wat staat er in de grafiek? De dynamische luchtdrukwisselingen (in Pascal AC) als functie van de tijd.</w:t>
      </w:r>
    </w:p>
    <w:p>
      <w:pPr>
        <w:pStyle w:val="ListBullet"/>
        <w:spacing w:after="40"/>
      </w:pPr>
      <w:r>
        <w:rPr>
          <w:rFonts w:ascii="Calibri" w:hAnsi="Calibri"/>
          <w:sz w:val="20"/>
        </w:rPr>
        <w:t>Wat ziet de expert? Scherpe drukpulsen die zich exact om de $0.6 - 1.2$ seconden herhalen (overeenkomend met de wiekpassages langs de mast).</w:t>
      </w:r>
    </w:p>
    <w:p>
      <w:pPr>
        <w:pStyle w:val="ListBullet"/>
        <w:spacing w:after="40"/>
      </w:pPr>
      <w:r>
        <w:rPr>
          <w:rFonts w:ascii="Calibri" w:hAnsi="Calibri"/>
          <w:sz w:val="20"/>
        </w:rPr>
        <w:t>Gebruik bij Raad van State: Biedt visueel "oscilloscope"-bewijs dat er sprake is van periodieke infrasound stoten die gebouwconstructies laten resoneren.</w:t>
      </w:r>
    </w:p>
    <w:p>
      <w:pPr>
        <w:spacing w:before="160" w:after="40"/>
      </w:pPr>
      <w:r>
        <w:rPr>
          <w:rFonts w:ascii="Segoe UI" w:hAnsi="Segoe UI"/>
          <w:b/>
          <w:color w:val="D9534F"/>
          <w:sz w:val="22"/>
        </w:rPr>
        <w:t>Grafiek 6.0: Achtergrondruis Percentiel Spectrum ($L_{95}$) vs Gemeten Totaal ($L_{eq}$)</w:t>
      </w:r>
    </w:p>
    <w:p>
      <w:pPr>
        <w:pStyle w:val="ListBullet"/>
        <w:spacing w:after="40"/>
      </w:pPr>
      <w:r>
        <w:rPr>
          <w:rFonts w:ascii="Calibri" w:hAnsi="Calibri"/>
          <w:sz w:val="20"/>
        </w:rPr>
        <w:t>Wat staat er in de grafiek? Vergelijking tussen de $L_{eq}$ (totaal geluid) en $L_{95}$ (ruisvloer zonder turbine-invloed).</w:t>
      </w:r>
    </w:p>
    <w:p>
      <w:pPr>
        <w:pStyle w:val="ListBullet"/>
        <w:spacing w:after="40"/>
      </w:pPr>
      <w:r>
        <w:rPr>
          <w:rFonts w:ascii="Calibri" w:hAnsi="Calibri"/>
          <w:sz w:val="20"/>
        </w:rPr>
        <w:t>Wat ziet de expert? De signaal-ruisverhouding per frequentieband.</w:t>
      </w:r>
    </w:p>
    <w:p>
      <w:pPr>
        <w:pStyle w:val="ListBullet"/>
        <w:spacing w:after="40"/>
      </w:pPr>
      <w:r>
        <w:rPr>
          <w:rFonts w:ascii="Calibri" w:hAnsi="Calibri"/>
          <w:sz w:val="20"/>
        </w:rPr>
        <w:t>Gebruik bij Raad van State: Bewijst dat de verhoogde geluidsdruk niet wordt veroorzaakt door algemeen omgevingsgeluid, maar door een specifieke puntbron.</w:t>
      </w:r>
    </w:p>
    <w:p>
      <w:pPr>
        <w:spacing w:before="160" w:after="40"/>
      </w:pPr>
      <w:r>
        <w:rPr>
          <w:rFonts w:ascii="Segoe UI" w:hAnsi="Segoe UI"/>
          <w:b/>
          <w:color w:val="D9534F"/>
          <w:sz w:val="22"/>
        </w:rPr>
        <w:t>Grafiek 7.0: Gecorrigeerde Turbine-immissie $L_{\text{corr}}$ per Frequentieband</w:t>
      </w:r>
    </w:p>
    <w:p>
      <w:pPr>
        <w:pStyle w:val="ListBullet"/>
        <w:spacing w:after="40"/>
      </w:pPr>
      <w:r>
        <w:rPr>
          <w:rFonts w:ascii="Calibri" w:hAnsi="Calibri"/>
          <w:sz w:val="20"/>
        </w:rPr>
        <w:t>Wat staat er in de grafiek? De netto turbine-immissie na logaritmische subtractie van de achtergrondruis:</w:t>
      </w:r>
    </w:p>
    <w:p>
      <w:pPr>
        <w:spacing w:after="80"/>
      </w:pPr>
      <w:r>
        <w:rPr>
          <w:rFonts w:ascii="Calibri" w:hAnsi="Calibri"/>
          <w:sz w:val="20"/>
        </w:rPr>
        <w:t>$$L_{\text{corr}} = 10 \cdot \log_{10}(10^{L_{eq}/10} - 10^{L_{95}/10})$$</w:t>
      </w:r>
    </w:p>
    <w:p>
      <w:pPr>
        <w:pStyle w:val="ListBullet"/>
        <w:spacing w:after="40"/>
      </w:pPr>
      <w:r>
        <w:rPr>
          <w:rFonts w:ascii="Calibri" w:hAnsi="Calibri"/>
          <w:sz w:val="20"/>
        </w:rPr>
        <w:t>Wat ziet de expert? Het 'zuivere' geluidsspectrum dat uitsluitend aan de windturbine wordt toegeschreven.</w:t>
      </w:r>
    </w:p>
    <w:p>
      <w:pPr>
        <w:pStyle w:val="ListBullet"/>
        <w:spacing w:after="40"/>
      </w:pPr>
      <w:r>
        <w:rPr>
          <w:rFonts w:ascii="Calibri" w:hAnsi="Calibri"/>
          <w:sz w:val="20"/>
        </w:rPr>
        <w:t>Gebruik bij Raad van State: Elimineert elke twijfel of de gemeten waarden door omgevingsruis zijn beïnvloed.</w:t>
      </w:r>
    </w:p>
    <w:p>
      <w:pPr>
        <w:spacing w:before="160" w:after="40"/>
      </w:pPr>
      <w:r>
        <w:rPr>
          <w:rFonts w:ascii="Segoe UI" w:hAnsi="Segoe UI"/>
          <w:b/>
          <w:color w:val="D9534F"/>
          <w:sz w:val="22"/>
        </w:rPr>
        <w:t>Grafiek 8.0: Meteorologisch &amp; Tijdsverloop Trendgrafiek</w:t>
      </w:r>
    </w:p>
    <w:p>
      <w:pPr>
        <w:pStyle w:val="ListBullet"/>
        <w:spacing w:after="40"/>
      </w:pPr>
      <w:r>
        <w:rPr>
          <w:rFonts w:ascii="Calibri" w:hAnsi="Calibri"/>
          <w:sz w:val="20"/>
        </w:rPr>
        <w:t>Wat staat er in de grafiek? Geluidsdrukniveau dB(Z) en windsnelheid (m/s) synchroon uitgezet over de tijd.</w:t>
      </w:r>
    </w:p>
    <w:p>
      <w:pPr>
        <w:pStyle w:val="ListBullet"/>
        <w:spacing w:after="40"/>
      </w:pPr>
      <w:r>
        <w:rPr>
          <w:rFonts w:ascii="Calibri" w:hAnsi="Calibri"/>
          <w:sz w:val="20"/>
        </w:rPr>
        <w:t>Wat ziet de expert? Of stijgingen in het geluidsniveau parallel lopen met het opstarten of optoeren van de turbine, terwijl de windsnelheid op zithoogte laag blijft.</w:t>
      </w:r>
    </w:p>
    <w:p>
      <w:pPr>
        <w:pStyle w:val="ListBullet"/>
        <w:spacing w:after="40"/>
      </w:pPr>
      <w:r>
        <w:rPr>
          <w:rFonts w:ascii="Calibri" w:hAnsi="Calibri"/>
          <w:sz w:val="20"/>
        </w:rPr>
        <w:t>Gebruik bij Raad van State: Bewijst het causale verband tussen de werking van de turbine en de hinder bij de woning.</w:t>
      </w:r>
    </w:p>
    <w:p>
      <w:pPr>
        <w:spacing w:before="160" w:after="40"/>
      </w:pPr>
      <w:r>
        <w:rPr>
          <w:rFonts w:ascii="Segoe UI" w:hAnsi="Segoe UI"/>
          <w:b/>
          <w:color w:val="D9534F"/>
          <w:sz w:val="22"/>
        </w:rPr>
        <w:t>Grafiek 9.0: InfraView Waterval Spectrogrammen (Matrix Dracal &amp; Dayton)</w:t>
      </w:r>
    </w:p>
    <w:p>
      <w:pPr>
        <w:pStyle w:val="ListBullet"/>
        <w:spacing w:after="40"/>
      </w:pPr>
      <w:r>
        <w:rPr>
          <w:rFonts w:ascii="Calibri" w:hAnsi="Calibri"/>
          <w:sz w:val="20"/>
        </w:rPr>
        <w:t>Wat staat er in de grafiek? 2D/3D watervalspectrogrammen van de Dracal (3 - 20 Hz) en Dayton (10 - 250 Hz) sensoren. Tijd staat op de Y-as, frequentie op de X-as, en kleurgradiënt geeft de geluidsintensiteit aan.</w:t>
      </w:r>
    </w:p>
    <w:p>
      <w:pPr>
        <w:pStyle w:val="ListBullet"/>
        <w:spacing w:after="40"/>
      </w:pPr>
      <w:r>
        <w:rPr>
          <w:rFonts w:ascii="Calibri" w:hAnsi="Calibri"/>
          <w:sz w:val="20"/>
        </w:rPr>
        <w:t>Wat ziet de expert? Continue 'sporen' (verticale kleurlijnen) over de tijd die het aanhouden van specifieke bromtonen of infrasound-frequenties aantonen.</w:t>
      </w:r>
    </w:p>
    <w:p>
      <w:pPr>
        <w:pStyle w:val="ListBullet"/>
        <w:spacing w:after="40"/>
      </w:pPr>
      <w:r>
        <w:rPr>
          <w:rFonts w:ascii="Calibri" w:hAnsi="Calibri"/>
          <w:sz w:val="20"/>
        </w:rPr>
        <w:t>Gebruik bij Raad van State: Visualiseert de continuïteit en duur van de hinderperiode; laat zien dat het geen incidentele piek was maar een aanhoudend fenomeen.</w:t>
      </w:r>
    </w:p>
    <w:p>
      <w:pPr>
        <w:spacing w:before="160" w:after="40"/>
      </w:pPr>
      <w:r>
        <w:rPr>
          <w:rFonts w:ascii="Segoe UI" w:hAnsi="Segoe UI"/>
          <w:b/>
          <w:color w:val="D9534F"/>
          <w:sz w:val="22"/>
        </w:rPr>
        <w:t>Grafiek 10.0: Breedspectrum Ware Hinder &amp; Energetische Subtractie (3 - 2000 Hz) [dB(Z)]</w:t>
      </w:r>
    </w:p>
    <w:p>
      <w:pPr>
        <w:pStyle w:val="ListBullet"/>
        <w:spacing w:after="40"/>
      </w:pPr>
      <w:r>
        <w:rPr>
          <w:rFonts w:ascii="Calibri" w:hAnsi="Calibri"/>
          <w:sz w:val="20"/>
        </w:rPr>
        <w:t>Wat staat er in de grafiek? Breedspectrum overzicht ($3\text{ Hz} - 2000\text{ Hz}$) bevattende:</w:t>
      </w:r>
    </w:p>
    <w:p>
      <w:pPr>
        <w:spacing w:after="80"/>
      </w:pPr>
      <w:r>
        <w:rPr>
          <w:rFonts w:ascii="Calibri" w:hAnsi="Calibri"/>
          <w:sz w:val="20"/>
        </w:rPr>
        <w:t>1. Gemeten Totaal $L_{eq}$ (blauw gestippeld)</w:t>
      </w:r>
    </w:p>
    <w:p>
      <w:pPr>
        <w:spacing w:after="80"/>
      </w:pPr>
      <w:r>
        <w:rPr>
          <w:rFonts w:ascii="Calibri" w:hAnsi="Calibri"/>
          <w:sz w:val="20"/>
        </w:rPr>
        <w:t>2. Achtergrondruis $L_{95}$ (grijs gestreept)</w:t>
      </w:r>
    </w:p>
    <w:p>
      <w:pPr>
        <w:spacing w:after="80"/>
      </w:pPr>
      <w:r>
        <w:rPr>
          <w:rFonts w:ascii="Calibri" w:hAnsi="Calibri"/>
          <w:sz w:val="20"/>
        </w:rPr>
        <w:t>3. Windturbine Bron-Garantie Referentie (cyaan gestreept)</w:t>
      </w:r>
    </w:p>
    <w:p>
      <w:pPr>
        <w:spacing w:after="80"/>
      </w:pPr>
      <w:r>
        <w:rPr>
          <w:rFonts w:ascii="Calibri" w:hAnsi="Calibri"/>
          <w:sz w:val="20"/>
        </w:rPr>
        <w:t>4. RESULTANTE WARE HINDER ($L_{\text{corr}}$): OPVALLENDE DIKKE RODE LIJN met rood gearceerd immissievlak.</w:t>
      </w:r>
    </w:p>
    <w:p>
      <w:pPr>
        <w:pStyle w:val="ListBullet"/>
        <w:spacing w:after="40"/>
      </w:pPr>
      <w:r>
        <w:rPr>
          <w:rFonts w:ascii="Calibri" w:hAnsi="Calibri"/>
          <w:sz w:val="20"/>
        </w:rPr>
        <w:t>Wat ziet de expert? Het absolute overzichtsbeeld van de netto turbine-immissie ten opzichte van de referentiecurve over het volledige relevante bereik.</w:t>
      </w:r>
    </w:p>
    <w:p>
      <w:pPr>
        <w:pStyle w:val="ListBullet"/>
        <w:spacing w:after="40"/>
      </w:pPr>
      <w:r>
        <w:rPr>
          <w:rFonts w:ascii="Calibri" w:hAnsi="Calibri"/>
          <w:sz w:val="20"/>
        </w:rPr>
        <w:t>Gebruik bij Raad van State: HET centrale bewijsstuk in contra-expertise verslagen om de Raad van State in één oogopslag de werkelijke nettobelasting te tonen.</w:t>
      </w:r>
    </w:p>
    <w:p>
      <w:pPr>
        <w:spacing w:before="160" w:after="40"/>
      </w:pPr>
      <w:r>
        <w:rPr>
          <w:rFonts w:ascii="Segoe UI" w:hAnsi="Segoe UI"/>
          <w:b/>
          <w:color w:val="D9534F"/>
          <w:sz w:val="22"/>
        </w:rPr>
        <w:t>Grafiek 11.0: Breedspectrum Spectrum met Verticale Scheiding (3 - 2000 Hz) [dB(Z) ➔ dB(A)]</w:t>
      </w:r>
    </w:p>
    <w:p>
      <w:pPr>
        <w:pStyle w:val="ListBullet"/>
        <w:spacing w:after="40"/>
      </w:pPr>
      <w:r>
        <w:rPr>
          <w:rFonts w:ascii="Calibri" w:hAnsi="Calibri"/>
          <w:sz w:val="20"/>
        </w:rPr>
        <w:t>Wat staat er in de grafiek? Breedspectrum met een verticale gestreepte scheidingslijn op 20 Hz:</w:t>
      </w:r>
    </w:p>
    <w:p>
      <w:pPr>
        <w:pStyle w:val="ListBullet"/>
        <w:spacing w:after="40"/>
      </w:pPr>
      <w:r>
        <w:rPr>
          <w:rFonts w:ascii="Calibri" w:hAnsi="Calibri"/>
          <w:sz w:val="20"/>
        </w:rPr>
        <w:t>Linkerkant (3 - 20 Hz): Infrasound zone in dB(Z) (Lineair / Onhoorbaar).</w:t>
      </w:r>
    </w:p>
    <w:p>
      <w:pPr>
        <w:pStyle w:val="ListBullet"/>
        <w:spacing w:after="40"/>
      </w:pPr>
      <w:r>
        <w:rPr>
          <w:rFonts w:ascii="Calibri" w:hAnsi="Calibri"/>
          <w:sz w:val="20"/>
        </w:rPr>
        <w:t>Rechterkant (20 - 2000 Hz): Hoorbaar &amp; LFG spectrum in dB(A) (A-gewogen).</w:t>
      </w:r>
    </w:p>
    <w:p>
      <w:pPr>
        <w:pStyle w:val="ListBullet"/>
        <w:spacing w:after="40"/>
      </w:pPr>
      <w:r>
        <w:rPr>
          <w:rFonts w:ascii="Calibri" w:hAnsi="Calibri"/>
          <w:sz w:val="20"/>
        </w:rPr>
        <w:t>Rode Resultante Lcorr Lijn: Loopt over het hele spectrum door in de respectievelijke eenheden.</w:t>
      </w:r>
    </w:p>
    <w:p>
      <w:pPr>
        <w:pStyle w:val="ListBullet"/>
        <w:spacing w:after="40"/>
      </w:pPr>
      <w:r>
        <w:rPr>
          <w:rFonts w:ascii="Calibri" w:hAnsi="Calibri"/>
          <w:sz w:val="20"/>
        </w:rPr>
        <w:t>Wat ziet de expert? Hoe de fysische energie in het infrasoundbereik (dBZ) aansluit op het gehoormatige bereik (dBA).</w:t>
      </w:r>
    </w:p>
    <w:p>
      <w:pPr>
        <w:pStyle w:val="ListBullet"/>
        <w:spacing w:after="40"/>
      </w:pPr>
      <w:r>
        <w:rPr>
          <w:rFonts w:ascii="Calibri" w:hAnsi="Calibri"/>
          <w:sz w:val="20"/>
        </w:rPr>
        <w:t>Gebruik bij Raad van State: Maakt voor rechters en deskundigen direct inzichtelijk waarom de dB(A)-norm tekortschiet bij infrasound, en toont de continuïteit van de energieband.</w:t>
      </w:r>
    </w:p>
    <w:p>
      <w:pPr>
        <w:spacing w:before="120" w:after="120"/>
      </w:pPr>
      <w:r>
        <w:rPr>
          <w:color w:val="C8C8C8"/>
        </w:rPr>
        <w:t>_________________________________________________________________________________</w:t>
      </w:r>
    </w:p>
    <w:p>
      <w:pPr>
        <w:spacing w:before="200" w:after="80"/>
      </w:pPr>
      <w:r>
        <w:rPr>
          <w:rFonts w:ascii="Segoe UI" w:hAnsi="Segoe UI"/>
          <w:b/>
          <w:color w:val="003366"/>
          <w:sz w:val="28"/>
        </w:rPr>
        <w:t>📄 HOOFDSTUK 4: Rapporteringsstructuur &amp; Certificering</w:t>
      </w:r>
    </w:p>
    <w:p>
      <w:pPr>
        <w:spacing w:after="80"/>
      </w:pPr>
      <w:r>
        <w:rPr>
          <w:rFonts w:ascii="Calibri" w:hAnsi="Calibri"/>
          <w:sz w:val="20"/>
        </w:rPr>
        <w:t>De applicatie exporteert rapporten in HTML (live preview) en Word (`.docx`):</w:t>
      </w:r>
    </w:p>
    <w:p>
      <w:pPr>
        <w:spacing w:after="80"/>
      </w:pPr>
      <w:r>
        <w:rPr>
          <w:rFonts w:ascii="Calibri" w:hAnsi="Calibri"/>
          <w:sz w:val="20"/>
        </w:rPr>
        <w:t>1. ⚖️ STAB Contra-Expertise Rapport: Bevat de juridische verantwoording en de 7 pijlers. Grafieken 2.0 t/m 11.0 zijn per 2 grafieken per pagina ingedeeld in Bijlage A.</w:t>
      </w:r>
    </w:p>
    <w:p>
      <w:pPr>
        <w:spacing w:after="80"/>
      </w:pPr>
      <w:r>
        <w:rPr>
          <w:rFonts w:ascii="Calibri" w:hAnsi="Calibri"/>
          <w:sz w:val="20"/>
        </w:rPr>
        <w:t>2. 🏠 Binnenshuis Meetrapport (NSG &amp; ISO 16032): Bevat Grafiek 2.0, 3.0 en 4.0 direct in het hoofddeel (Sectie 2 &amp; 3) voor directe toetsing binnenshuis, evenals de volledige bijlage.</w:t>
      </w:r>
    </w:p>
    <w:p>
      <w:pPr>
        <w:spacing w:after="80"/>
      </w:pPr>
      <w:r>
        <w:rPr>
          <w:rFonts w:ascii="Calibri" w:hAnsi="Calibri"/>
          <w:sz w:val="20"/>
        </w:rPr>
        <w:t>3. 🌳 Buitenshuis Gevel Meetrapport: Vrijveld- en gevelmetingen met windkapborging en reflectie-aftrek.</w:t>
      </w:r>
    </w:p>
    <w:p>
      <w:pPr>
        <w:spacing w:after="80"/>
      </w:pPr>
      <w:r>
        <w:rPr>
          <w:rFonts w:ascii="Calibri" w:hAnsi="Calibri"/>
          <w:sz w:val="20"/>
        </w:rPr>
        <w:t>4. 🎯 Referentiemeting Windturbine Rapport: Bronreferentie conform IEC 61400-11.</w:t>
      </w:r>
    </w:p>
    <w:p>
      <w:pPr>
        <w:spacing w:before="120" w:after="120"/>
      </w:pPr>
      <w:r>
        <w:rPr>
          <w:color w:val="C8C8C8"/>
        </w:rPr>
        <w:t>_________________________________________________________________________________</w:t>
      </w:r>
    </w:p>
    <w:p>
      <w:pPr>
        <w:spacing w:before="200" w:after="80"/>
      </w:pPr>
      <w:r>
        <w:rPr>
          <w:rFonts w:ascii="Segoe UI" w:hAnsi="Segoe UI"/>
          <w:b/>
          <w:color w:val="003366"/>
          <w:sz w:val="28"/>
        </w:rPr>
        <w:t>🛠️ HOOFDSTUK 5: Traceerbare Signaalketen &amp; Kalibratiematrix</w:t>
      </w:r>
    </w:p>
    <w:tbl>
      <w:tblPr>
        <w:tblW w:type="auto" w:w="0"/>
        <w:jc w:val="center"/>
        <w:tblLayout w:type="fixed"/>
        <w:tblLook w:firstColumn="1" w:firstRow="1" w:lastColumn="0" w:lastRow="0" w:noHBand="0" w:noVBand="1" w:val="04A0"/>
      </w:tblPr>
      <w:tblGrid>
        <w:gridCol w:w="3312"/>
        <w:gridCol w:w="3312"/>
        <w:gridCol w:w="3312"/>
      </w:tblGrid>
      <w:tr>
        <w:tc>
          <w:tcPr>
            <w:tcW w:type="dxa" w:w="3312"/>
          </w:tcPr>
          <w:p>
            <w:pPr>
              <w:spacing w:before="60" w:after="60"/>
            </w:pPr>
            <w:r>
              <w:rPr>
                <w:rFonts w:ascii="Calibri" w:hAnsi="Calibri"/>
                <w:b/>
                <w:color w:val="002060"/>
                <w:sz w:val="19"/>
              </w:rPr>
              <w:t>Parameter / Component</w:t>
            </w:r>
          </w:p>
        </w:tc>
        <w:tc>
          <w:tcPr>
            <w:tcW w:type="dxa" w:w="3312"/>
          </w:tcPr>
          <w:p>
            <w:pPr>
              <w:spacing w:before="60" w:after="60"/>
            </w:pPr>
            <w:r>
              <w:rPr>
                <w:rFonts w:ascii="Calibri" w:hAnsi="Calibri"/>
                <w:b/>
                <w:color w:val="002060"/>
                <w:sz w:val="19"/>
              </w:rPr>
              <w:t>Infrasound (Dracal Barometer)</w:t>
            </w:r>
          </w:p>
        </w:tc>
        <w:tc>
          <w:tcPr>
            <w:tcW w:type="dxa" w:w="3312"/>
          </w:tcPr>
          <w:p>
            <w:pPr>
              <w:spacing w:before="60" w:after="60"/>
            </w:pPr>
            <w:r>
              <w:rPr>
                <w:rFonts w:ascii="Calibri" w:hAnsi="Calibri"/>
                <w:b/>
                <w:color w:val="002060"/>
                <w:sz w:val="19"/>
              </w:rPr>
              <w:t>Laagfrequent &amp; Hoorbaar (Dayton Mic)</w:t>
            </w:r>
          </w:p>
        </w:tc>
      </w:tr>
      <w:tr>
        <w:tc>
          <w:tcPr>
            <w:tcW w:type="dxa" w:w="3312"/>
          </w:tcPr>
          <w:p>
            <w:pPr>
              <w:spacing w:before="60" w:after="60"/>
            </w:pPr>
            <w:r>
              <w:rPr>
                <w:rFonts w:ascii="Calibri" w:hAnsi="Calibri"/>
                <w:sz w:val="19"/>
              </w:rPr>
              <w:t>**Frequentiebereik**</w:t>
            </w:r>
          </w:p>
        </w:tc>
        <w:tc>
          <w:tcPr>
            <w:tcW w:type="dxa" w:w="3312"/>
          </w:tcPr>
          <w:p>
            <w:pPr>
              <w:spacing w:before="60" w:after="60"/>
            </w:pPr>
            <w:r>
              <w:rPr>
                <w:rFonts w:ascii="Calibri" w:hAnsi="Calibri"/>
                <w:sz w:val="19"/>
              </w:rPr>
              <w:t>0.1 Hz - 20.0 Hz</w:t>
            </w:r>
          </w:p>
        </w:tc>
        <w:tc>
          <w:tcPr>
            <w:tcW w:type="dxa" w:w="3312"/>
          </w:tcPr>
          <w:p>
            <w:pPr>
              <w:spacing w:before="60" w:after="60"/>
            </w:pPr>
            <w:r>
              <w:rPr>
                <w:rFonts w:ascii="Calibri" w:hAnsi="Calibri"/>
                <w:sz w:val="19"/>
              </w:rPr>
              <w:t>10 Hz - 20,000 Hz</w:t>
            </w:r>
          </w:p>
        </w:tc>
      </w:tr>
      <w:tr>
        <w:tc>
          <w:tcPr>
            <w:tcW w:type="dxa" w:w="3312"/>
          </w:tcPr>
          <w:p>
            <w:pPr>
              <w:spacing w:before="60" w:after="60"/>
            </w:pPr>
            <w:r>
              <w:rPr>
                <w:rFonts w:ascii="Calibri" w:hAnsi="Calibri"/>
                <w:sz w:val="19"/>
              </w:rPr>
              <w:t>**Kalibratiemethode**</w:t>
            </w:r>
          </w:p>
        </w:tc>
        <w:tc>
          <w:tcPr>
            <w:tcW w:type="dxa" w:w="3312"/>
          </w:tcPr>
          <w:p>
            <w:pPr>
              <w:spacing w:before="60" w:after="60"/>
            </w:pPr>
            <w:r>
              <w:rPr>
                <w:rFonts w:ascii="Calibri" w:hAnsi="Calibri"/>
                <w:sz w:val="19"/>
              </w:rPr>
              <w:t>AC-drukkoppeling + Helling-compensatie</w:t>
            </w:r>
          </w:p>
        </w:tc>
        <w:tc>
          <w:tcPr>
            <w:tcW w:type="dxa" w:w="3312"/>
          </w:tcPr>
          <w:p>
            <w:pPr>
              <w:spacing w:before="60" w:after="60"/>
            </w:pPr>
            <w:r>
              <w:rPr>
                <w:rFonts w:ascii="Calibri" w:hAnsi="Calibri"/>
                <w:sz w:val="19"/>
              </w:rPr>
              <w:t>Individueel `.cal` bestand + Pistonfoon 94dB</w:t>
            </w:r>
          </w:p>
        </w:tc>
      </w:tr>
      <w:tr>
        <w:tc>
          <w:tcPr>
            <w:tcW w:type="dxa" w:w="3312"/>
          </w:tcPr>
          <w:p>
            <w:pPr>
              <w:spacing w:before="60" w:after="60"/>
            </w:pPr>
            <w:r>
              <w:rPr>
                <w:rFonts w:ascii="Calibri" w:hAnsi="Calibri"/>
                <w:sz w:val="19"/>
              </w:rPr>
              <w:t>**FFT Venster**</w:t>
            </w:r>
          </w:p>
        </w:tc>
        <w:tc>
          <w:tcPr>
            <w:tcW w:type="dxa" w:w="3312"/>
          </w:tcPr>
          <w:p>
            <w:pPr>
              <w:spacing w:before="60" w:after="60"/>
            </w:pPr>
            <w:r>
              <w:rPr>
                <w:rFonts w:ascii="Calibri" w:hAnsi="Calibri"/>
                <w:sz w:val="19"/>
              </w:rPr>
              <w:t>Hann Window (75% overlap, N=8192)</w:t>
            </w:r>
          </w:p>
        </w:tc>
        <w:tc>
          <w:tcPr>
            <w:tcW w:type="dxa" w:w="3312"/>
          </w:tcPr>
          <w:p>
            <w:pPr>
              <w:spacing w:before="60" w:after="60"/>
            </w:pPr>
            <w:r>
              <w:rPr>
                <w:rFonts w:ascii="Calibri" w:hAnsi="Calibri"/>
                <w:sz w:val="19"/>
              </w:rPr>
              <w:t>Hann Window (75% overlap, N=8192)</w:t>
            </w:r>
          </w:p>
        </w:tc>
      </w:tr>
      <w:tr>
        <w:tc>
          <w:tcPr>
            <w:tcW w:type="dxa" w:w="3312"/>
          </w:tcPr>
          <w:p>
            <w:pPr>
              <w:spacing w:before="60" w:after="60"/>
            </w:pPr>
            <w:r>
              <w:rPr>
                <w:rFonts w:ascii="Calibri" w:hAnsi="Calibri"/>
                <w:sz w:val="19"/>
              </w:rPr>
              <w:t>**Bordings-norm**</w:t>
            </w:r>
          </w:p>
        </w:tc>
        <w:tc>
          <w:tcPr>
            <w:tcW w:type="dxa" w:w="3312"/>
          </w:tcPr>
          <w:p>
            <w:pPr>
              <w:spacing w:before="60" w:after="60"/>
            </w:pPr>
            <w:r>
              <w:rPr>
                <w:rFonts w:ascii="Calibri" w:hAnsi="Calibri"/>
                <w:sz w:val="19"/>
              </w:rPr>
              <w:t>ISO 1996-2 / IEC 61400-11</w:t>
            </w:r>
          </w:p>
        </w:tc>
        <w:tc>
          <w:tcPr>
            <w:tcW w:type="dxa" w:w="3312"/>
          </w:tcPr>
          <w:p>
            <w:pPr>
              <w:spacing w:before="60" w:after="60"/>
            </w:pPr>
            <w:r>
              <w:rPr>
                <w:rFonts w:ascii="Calibri" w:hAnsi="Calibri"/>
                <w:sz w:val="19"/>
              </w:rPr>
              <w:t>NEN-EN-ISO 16032 / DIN 45680 / NSG</w:t>
            </w:r>
          </w:p>
        </w:tc>
      </w:tr>
      <w:tr>
        <w:tc>
          <w:tcPr>
            <w:tcW w:type="dxa" w:w="3312"/>
          </w:tcPr>
          <w:p>
            <w:pPr>
              <w:spacing w:before="60" w:after="60"/>
            </w:pPr>
            <w:r>
              <w:rPr>
                <w:rFonts w:ascii="Calibri" w:hAnsi="Calibri"/>
                <w:sz w:val="19"/>
              </w:rPr>
              <w:t>**Traceerbaarheid**</w:t>
            </w:r>
          </w:p>
        </w:tc>
        <w:tc>
          <w:tcPr>
            <w:tcW w:type="dxa" w:w="3312"/>
          </w:tcPr>
          <w:p>
            <w:pPr>
              <w:spacing w:before="60" w:after="60"/>
            </w:pPr>
            <w:r>
              <w:rPr>
                <w:rFonts w:ascii="Calibri" w:hAnsi="Calibri"/>
                <w:sz w:val="19"/>
              </w:rPr>
              <w:t>Gekalibreerde drukcel met driftcheck</w:t>
            </w:r>
          </w:p>
        </w:tc>
        <w:tc>
          <w:tcPr>
            <w:tcW w:type="dxa" w:w="3312"/>
          </w:tcPr>
          <w:p>
            <w:pPr>
              <w:spacing w:before="60" w:after="60"/>
            </w:pPr>
            <w:r>
              <w:rPr>
                <w:rFonts w:ascii="Calibri" w:hAnsi="Calibri"/>
                <w:sz w:val="19"/>
              </w:rPr>
              <w:t>ISO 17025 gecertificeerde Klasse 1 Pistonfoon</w:t>
            </w:r>
          </w:p>
        </w:tc>
      </w:tr>
    </w:tbl>
    <w:p/>
    <w:p>
      <w:pPr>
        <w:spacing w:before="120" w:after="120"/>
      </w:pPr>
      <w:r>
        <w:rPr>
          <w:color w:val="C8C8C8"/>
        </w:rPr>
        <w:t>_________________________________________________________________________________</w:t>
      </w:r>
    </w:p>
    <w:p>
      <w:pPr>
        <w:spacing w:before="200" w:after="80"/>
      </w:pPr>
      <w:r>
        <w:rPr>
          <w:rFonts w:ascii="Segoe UI" w:hAnsi="Segoe UI"/>
          <w:b/>
          <w:color w:val="003366"/>
          <w:sz w:val="28"/>
        </w:rPr>
        <w:t>⚖️ HOOFDSTUK 6: Strategische gids voor discussies bij de Raad van State</w:t>
      </w:r>
    </w:p>
    <w:p>
      <w:pPr>
        <w:spacing w:after="80"/>
      </w:pPr>
      <w:r>
        <w:rPr>
          <w:rFonts w:ascii="Calibri" w:hAnsi="Calibri"/>
          <w:sz w:val="20"/>
        </w:rPr>
        <w:t>Met dit contra-expertiserapport weerlegt u de 3 meest voorkomende verweren van exploitanten:</w:t>
      </w:r>
    </w:p>
    <w:p>
      <w:pPr>
        <w:spacing w:before="160" w:after="40"/>
      </w:pPr>
      <w:r>
        <w:rPr>
          <w:rFonts w:ascii="Segoe UI" w:hAnsi="Segoe UI"/>
          <w:b/>
          <w:color w:val="D9534F"/>
          <w:sz w:val="22"/>
        </w:rPr>
        <w:t>Argument 1: *"De berekende jaargemiddelde Lden-waarde blijft binnen de norm."*</w:t>
      </w:r>
    </w:p>
    <w:p>
      <w:pPr>
        <w:pStyle w:val="ListBullet"/>
        <w:spacing w:after="40"/>
      </w:pPr>
      <w:r>
        <w:rPr>
          <w:rFonts w:ascii="Calibri" w:hAnsi="Calibri"/>
          <w:sz w:val="20"/>
        </w:rPr>
        <w:t>Uw weerwoord: "Jaargemiddelden verhullen nachtelijke piekhinder. Onze metingen tonen aan dat gedurende specifieke uren de gecorrigeerde fysische drukbelasting $L_{\text{corr}}$ in dB(Z) met ruim 20 dB stijgt. Handhaving dient plaats te vinden op de hinderpieken."</w:t>
      </w:r>
    </w:p>
    <w:p>
      <w:pPr>
        <w:spacing w:before="160" w:after="40"/>
      </w:pPr>
      <w:r>
        <w:rPr>
          <w:rFonts w:ascii="Segoe UI" w:hAnsi="Segoe UI"/>
          <w:b/>
          <w:color w:val="D9534F"/>
          <w:sz w:val="22"/>
        </w:rPr>
        <w:t>Argument 2: *"Er is geen sprake van tonaliteit."*</w:t>
      </w:r>
    </w:p>
    <w:p>
      <w:pPr>
        <w:pStyle w:val="ListBullet"/>
        <w:spacing w:after="40"/>
      </w:pPr>
      <w:r>
        <w:rPr>
          <w:rFonts w:ascii="Calibri" w:hAnsi="Calibri"/>
          <w:sz w:val="20"/>
        </w:rPr>
        <w:t>Uw weerwoord: "De smalbandige FFT-analyse conform IEC 61400-11 (zie Grafiek 4.0) toont op frequentie X Hz een hoorbaarheid $\Delta L_{ta} \ge 4.0\text{ dB}$ aan. Dit kwalificeert als een prominente toon waarop wettelijk +6 dB toeslag moet worden toegepast."</w:t>
      </w:r>
    </w:p>
    <w:p>
      <w:pPr>
        <w:spacing w:before="160" w:after="40"/>
      </w:pPr>
      <w:r>
        <w:rPr>
          <w:rFonts w:ascii="Segoe UI" w:hAnsi="Segoe UI"/>
          <w:b/>
          <w:color w:val="D9534F"/>
          <w:sz w:val="22"/>
        </w:rPr>
        <w:t>Argument 3: *"De meting is beïnvloed door omgevingswind."*</w:t>
      </w:r>
    </w:p>
    <w:p>
      <w:pPr>
        <w:pStyle w:val="ListBullet"/>
        <w:spacing w:after="40"/>
      </w:pPr>
      <w:r>
        <w:rPr>
          <w:rFonts w:ascii="Calibri" w:hAnsi="Calibri"/>
          <w:sz w:val="20"/>
        </w:rPr>
        <w:t>Uw weerwoord: "De meetdata (zie Grafiek 8.0) bewijst dat de windsnelheid op zithoogte gedurende de gehele meetperiode onder de 5.0 m/s bleef, de microfoon op 4.5m hoogte was uitgerust met een bolvormige windkap, en het $L_{95}$-achtergrondniveau is afgetrokken."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