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erials-and-methods"/>
      <w:r>
        <w:t xml:space="preserve">Materials and methods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In order to compare the EH in both regions, we acquired a broad suite of geospatially-explicit environmental data, in the form of raster layers, for both regions (Table 1). The GCFR was treated here as the area occupied by the Succulent Karoo and Fynbos biomes in the current delineation of South Africa’s biome boundaries</w:t>
      </w:r>
      <w:r>
        <w:t xml:space="preserve"> </w:t>
      </w:r>
      <w:r>
        <w:t xml:space="preserve">(Mucina &amp; Rutherford, 2006)</w:t>
      </w:r>
      <w:r>
        <w:t xml:space="preserve">.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w:t>
      </w:r>
      <w:r>
        <w:t xml:space="preserve"> </w:t>
      </w:r>
      <w:r>
        <w:t xml:space="preserve">(Olson et al., 2001)</w:t>
      </w:r>
      <w:r>
        <w:t xml:space="preserve"> </w:t>
      </w:r>
      <w:r>
        <w:t xml:space="preserve">in order to closely match the currently delineated SWAFR</w:t>
      </w:r>
      <w:r>
        <w:t xml:space="preserve"> </w:t>
      </w:r>
      <w:r>
        <w:t xml:space="preserve">(Gioia &amp; Hopper, 2017,</w:t>
      </w:r>
      <w:r>
        <w:t xml:space="preserve"> </w:t>
      </w:r>
      <w:r>
        <w:t xml:space="preserve">Hopper &amp; Gioia (2004)</w:t>
      </w:r>
      <w:r>
        <w:t xml:space="preserve">)</w:t>
      </w:r>
      <w:r>
        <w:t xml:space="preserve">.</w:t>
      </w:r>
    </w:p>
    <w:p>
      <w:pPr>
        <w:pStyle w:val="BodyText"/>
      </w:pPr>
      <w:r>
        <w:t xml:space="preserve">We used satellite-derived environmental data as far as possible in this work to minimise differences in data quality and methodologies between the GCFR and SWAFR. 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w:t>
      </w:r>
      <w:r>
        <w:t xml:space="preserve"> </w:t>
      </w:r>
      <w:r>
        <w:t xml:space="preserve">Hengl et al. (2017)</w:t>
      </w:r>
      <w:r>
        <w:t xml:space="preserve">; other refs]. For the soil data used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w:t>
      </w:r>
      <w:r>
        <w:t xml:space="preserve"> </w:t>
      </w:r>
      <w:r>
        <w:t xml:space="preserve">“</w:t>
      </w:r>
      <w:r>
        <w:t xml:space="preserve">biovars</w:t>
      </w:r>
      <w:r>
        <w:t xml:space="preserve">”</w:t>
      </w:r>
      <w:r>
        <w:t xml:space="preserve"> </w:t>
      </w:r>
      <w:r>
        <w:t xml:space="preserve">function in the R package</w:t>
      </w:r>
      <w:r>
        <w:t xml:space="preserve"> </w:t>
      </w:r>
      <w:r>
        <w:t xml:space="preserve">“</w:t>
      </w:r>
      <w:r>
        <w:t xml:space="preserve">dismo</w:t>
      </w:r>
      <w:r>
        <w:t xml:space="preserve">”</w:t>
      </w:r>
      <w:r>
        <w:t xml:space="preserve"> </w:t>
      </w:r>
      <w:r>
        <w:t xml:space="preserve">(ref). These data were re-projected to a common coordinate reference system (WGS84; ref) using the</w:t>
      </w:r>
      <w:r>
        <w:t xml:space="preserve"> </w:t>
      </w:r>
      <w:r>
        <w:t xml:space="preserve">“</w:t>
      </w:r>
      <w:r>
        <w:t xml:space="preserve">rgdal</w:t>
      </w:r>
      <w:r>
        <w:t xml:space="preserve">”</w:t>
      </w:r>
      <w:r>
        <w:t xml:space="preserve"> </w:t>
      </w:r>
      <w:r>
        <w:t xml:space="preserve">(Bivand et al., 2017)</w:t>
      </w:r>
      <w:r>
        <w:t xml:space="preserve"> </w:t>
      </w:r>
      <w:r>
        <w:t xml:space="preserve">package in R</w:t>
      </w:r>
      <w:r>
        <w:t xml:space="preserve"> </w:t>
      </w:r>
      <w:r>
        <w:t xml:space="preserve">(R Core Team, 2018)</w:t>
      </w:r>
      <w:r>
        <w:t xml:space="preserve">. All data were then re-sampled to 0.05º resolution using the</w:t>
      </w:r>
      <w:r>
        <w:t xml:space="preserve"> </w:t>
      </w:r>
      <w:r>
        <w:t xml:space="preserve">“</w:t>
      </w:r>
      <w:r>
        <w:t xml:space="preserve">resample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bilinear</w:t>
      </w:r>
      <w:r>
        <w:t xml:space="preserve">”</w:t>
      </w:r>
      <w:r>
        <w:t xml:space="preserve"> </w:t>
      </w:r>
      <w:r>
        <w:t xml:space="preserve">method.</w:t>
      </w:r>
    </w:p>
    <w:p>
      <w:pPr>
        <w:pStyle w:val="BodyText"/>
      </w:pPr>
      <w:r>
        <w:t xml:space="preserve">We developed an index of EH that would account for the spatial configuration of different environmental conditions. Our environmental</w:t>
      </w:r>
      <w:r>
        <w:t xml:space="preserve"> </w:t>
      </w:r>
      <w:r>
        <w:t xml:space="preserve">“</w:t>
      </w:r>
      <w:r>
        <w:t xml:space="preserve">roughness</w:t>
      </w:r>
      <w:r>
        <w:t xml:space="preserve">”</w:t>
      </w:r>
      <w:r>
        <w:t xml:space="preserve"> </w:t>
      </w:r>
      <w:r>
        <w:t xml:space="preserve">index, as applied to raster data, employs a function of a moving-window of nine pixels (i.e. eight neighbours about a focal pixel</w:t>
      </w:r>
      <w:r>
        <w:t xml:space="preserve"> </w:t>
      </w:r>
      <m:oMath>
        <m:sSup>
          <m:e>
            <m:r>
              <m:t>x</m:t>
            </m:r>
          </m:e>
          <m:sup>
            <m:r>
              <m:t>*</m:t>
            </m:r>
          </m:sup>
        </m:sSup>
      </m:oMath>
      <w:r>
        <w:t xml:space="preserve">). Our index represents the average magnitude of the difference between pixels’ conditions and that of their neighbours, as follows:</w:t>
      </w:r>
    </w:p>
    <w:p>
      <w:pPr>
        <w:pStyle w:val="BodyText"/>
      </w:pPr>
      <m:oMathPara>
        <m:oMathParaPr>
          <m:jc m:val="center"/>
        </m:oMathParaPr>
        <m:oMath>
          <m:r>
            <m:t>R</m:t>
          </m:r>
          <m:r>
            <m:t>o</m:t>
          </m:r>
          <m:r>
            <m:t>u</m:t>
          </m:r>
          <m:r>
            <m:t>g</m:t>
          </m:r>
          <m:r>
            <m:t>h</m:t>
          </m:r>
          <m:r>
            <m:t>n</m:t>
          </m:r>
          <m:r>
            <m:t>e</m:t>
          </m:r>
          <m:r>
            <m:t>s</m:t>
          </m:r>
          <m:r>
            <m:t>s</m:t>
          </m:r>
          <m:r>
            <m:t>(</m:t>
          </m:r>
          <m:sSup>
            <m:e>
              <m:r>
                <m:t>x</m:t>
              </m:r>
            </m:e>
            <m:sup>
              <m:r>
                <m:t>*</m:t>
              </m:r>
            </m:sup>
          </m:sSup>
          <m:r>
            <m:t>)</m:t>
          </m:r>
          <m:r>
            <m:t>=</m:t>
          </m:r>
          <m:r>
            <m:t>f</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sub>
                    </m:sSub>
                  </m:e>
                  <m:e>
                    <m:sSub>
                      <m:e>
                        <m:r>
                          <m:t>x</m:t>
                        </m:r>
                      </m:e>
                      <m:sub>
                        <m:r>
                          <m:t>2</m:t>
                        </m:r>
                      </m:sub>
                    </m:sSub>
                  </m:e>
                  <m:e>
                    <m:sSub>
                      <m:e>
                        <m:r>
                          <m:t>x</m:t>
                        </m:r>
                      </m:e>
                      <m:sub>
                        <m:r>
                          <m:t>3</m:t>
                        </m:r>
                      </m:sub>
                    </m:sSub>
                  </m:e>
                </m:mr>
                <m:mr>
                  <m:e>
                    <m:sSub>
                      <m:e>
                        <m:r>
                          <m:t>x</m:t>
                        </m:r>
                      </m:e>
                      <m:sub>
                        <m:r>
                          <m:t>4</m:t>
                        </m:r>
                      </m:sub>
                    </m:sSub>
                  </m:e>
                  <m:e>
                    <m:sSup>
                      <m:e>
                        <m:r>
                          <m:t>x</m:t>
                        </m:r>
                      </m:e>
                      <m:sup>
                        <m:r>
                          <m:t>*</m:t>
                        </m:r>
                      </m:sup>
                    </m:sSup>
                  </m:e>
                  <m:e>
                    <m:sSub>
                      <m:e>
                        <m:r>
                          <m:t>x</m:t>
                        </m:r>
                      </m:e>
                      <m:sub>
                        <m:r>
                          <m:t>5</m:t>
                        </m:r>
                      </m:sub>
                    </m:sSub>
                  </m:e>
                </m:mr>
                <m:mr>
                  <m:e>
                    <m:sSub>
                      <m:e>
                        <m:r>
                          <m:t>x</m:t>
                        </m:r>
                      </m:e>
                      <m:sub>
                        <m:r>
                          <m:t>6</m:t>
                        </m:r>
                      </m:sub>
                    </m:sSub>
                  </m:e>
                  <m:e>
                    <m:sSub>
                      <m:e>
                        <m:r>
                          <m:t>x</m:t>
                        </m:r>
                      </m:e>
                      <m:sub>
                        <m:r>
                          <m:t>7</m:t>
                        </m:r>
                      </m:sub>
                    </m:sSub>
                  </m:e>
                  <m:e>
                    <m:sSub>
                      <m:e>
                        <m:r>
                          <m:t>x</m:t>
                        </m:r>
                      </m:e>
                      <m:sub>
                        <m:r>
                          <m:t>8</m:t>
                        </m:r>
                      </m:sub>
                    </m:sSub>
                  </m:e>
                </m:mr>
              </m:m>
            </m:e>
          </m:d>
          <m:r>
            <m:t>=</m:t>
          </m:r>
          <m:f>
            <m:fPr>
              <m:type m:val="bar"/>
            </m:fPr>
            <m:num>
              <m:r>
                <m:t>1</m:t>
              </m:r>
            </m:num>
            <m:den>
              <m:r>
                <m:t>8</m:t>
              </m:r>
            </m:den>
          </m:f>
          <m:nary>
            <m:naryPr>
              <m:chr m:val="∑"/>
              <m:limLoc m:val="undOvr"/>
              <m:subHide m:val="0"/>
              <m:supHide m:val="1"/>
            </m:naryPr>
            <m:sub>
              <m:r>
                <m:t>i</m:t>
              </m:r>
            </m:sub>
            <m:sup>
              <m:r>
                <m:t>​</m:t>
              </m:r>
            </m:sup>
            <m:e>
              <m:r>
                <m:t>|</m:t>
              </m:r>
            </m:e>
          </m:nary>
          <m:sSup>
            <m:e>
              <m:r>
                <m:t>x</m:t>
              </m:r>
            </m:e>
            <m:sup>
              <m:r>
                <m:t>*</m:t>
              </m:r>
            </m:sup>
          </m:sSup>
          <m:r>
            <m:t>−</m:t>
          </m:r>
          <m:sSub>
            <m:e>
              <m:r>
                <m:t>x</m:t>
              </m:r>
            </m:e>
            <m:sub>
              <m:r>
                <m:t>i</m:t>
              </m:r>
            </m:sub>
          </m:sSub>
          <m:r>
            <m:t>|</m:t>
          </m:r>
          <m:r>
            <m:t>,</m:t>
          </m:r>
        </m:oMath>
      </m:oMathPara>
    </w:p>
    <w:p>
      <w:pPr>
        <w:pStyle w:val="FirstParagraph"/>
      </w:pPr>
      <w:r>
        <w:t xml:space="preserve">when a pixel has eight neighbours. We only applied this index when pixels had at least one neighbour pixel. We implemented this using the</w:t>
      </w:r>
      <w:r>
        <w:t xml:space="preserve"> </w:t>
      </w:r>
      <w:r>
        <w:t xml:space="preserve">“</w:t>
      </w:r>
      <w:r>
        <w:t xml:space="preserve">focal</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w:t>
      </w:r>
    </w:p>
    <w:p>
      <w:pPr>
        <w:pStyle w:val="BodyText"/>
      </w:pPr>
      <w:r>
        <w:t xml:space="preserve">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w:t>
      </w:r>
      <w:r>
        <w:t xml:space="preserve"> </w:t>
      </w:r>
      <w:r>
        <w:t xml:space="preserve">(sensu Larsen et al., 2009)</w:t>
      </w:r>
      <w:r>
        <w:t xml:space="preserve">. To do this, the absolute environmental raster data were aggregated to broader spatial scales from 0.05º x 0.05º, using the</w:t>
      </w:r>
      <w:r>
        <w:t xml:space="preserve"> </w:t>
      </w:r>
      <w:r>
        <w:t xml:space="preserve">“</w:t>
      </w:r>
      <w:r>
        <w:t xml:space="preserve">aggregate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and then converted to rasters of</w:t>
      </w:r>
      <w:r>
        <w:t xml:space="preserve"> </w:t>
      </w:r>
      <w:r>
        <w:t xml:space="preserve">“</w:t>
      </w:r>
      <w:r>
        <w:t xml:space="preserve">roughness</w:t>
      </w:r>
      <w:r>
        <w:t xml:space="preserve">”</w:t>
      </w:r>
      <w:r>
        <w:t xml:space="preserve"> </w:t>
      </w:r>
      <w:r>
        <w:t xml:space="preserve">using Equation 1.</w:t>
      </w:r>
    </w:p>
    <w:p>
      <w:pPr>
        <w:pStyle w:val="BodyText"/>
      </w:pPr>
      <w:r>
        <w:t xml:space="preserve">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pPr>
        <w:pStyle w:val="Heading2"/>
      </w:pPr>
      <w:bookmarkStart w:id="22" w:name="comparing-and-decomposing-regions-species-richness"/>
      <w:r>
        <w:t xml:space="preserve">Comparing and decomposing regions’ species richness</w:t>
      </w:r>
      <w:bookmarkEnd w:id="22"/>
    </w:p>
    <w:p>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representative of their species. This resulted in XXX and XXX unique species names in the GCFR and SWAFR respectively.</w:t>
      </w:r>
    </w:p>
    <w:p>
      <w:pPr>
        <w:pStyle w:val="BodyText"/>
      </w:pPr>
      <w:r>
        <w:t xml:space="preserve">We cleaned these data using the R package</w:t>
      </w:r>
      <w:r>
        <w:t xml:space="preserve"> </w:t>
      </w:r>
      <w:r>
        <w:t xml:space="preserve">“</w:t>
      </w:r>
      <w:r>
        <w:t xml:space="preserve">taxise</w:t>
      </w:r>
      <w:r>
        <w:t xml:space="preserve">”</w:t>
      </w:r>
      <w:r>
        <w:t xml:space="preserve"> </w:t>
      </w:r>
      <w:r>
        <w:t xml:space="preserve">(Scott Chamberlain &amp; Eduard Szocs, 2013; Chamberlain et al., 2018)</w:t>
      </w:r>
      <w:r>
        <w:t xml:space="preserve"> </w:t>
      </w:r>
      <w:r>
        <w:t xml:space="preserve">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from the final list of species. The number of species names excluded totalled at XXX and XXX for the GCFR and SWAFR respectively. Especially for the SWAFR, these numbers may be deemed appreciably high. But, the occurrence records that would be dropped, as a consequence of these names’ removals, appeared randomly distributed in geographic space in both regions</w:t>
      </w:r>
      <w:r>
        <w:t xml:space="preserve"> </w:t>
      </w:r>
      <w:r>
        <w:t xml:space="preserve">.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w:t>
      </w:r>
      <w:r>
        <w:t xml:space="preserve"> </w:t>
      </w:r>
      <w:r>
        <w:t xml:space="preserve">“</w:t>
      </w:r>
      <w:r>
        <w:t xml:space="preserve">taxize</w:t>
      </w:r>
      <w:r>
        <w:t xml:space="preserve">”</w:t>
      </w:r>
      <w:r>
        <w:t xml:space="preserv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23">
        <w:r>
          <w:rPr>
            <w:rStyle w:val="Hyperlink"/>
          </w:rPr>
          <w:t xml:space="preserve">http://www.iucngisd.org/gisd/</w:t>
        </w:r>
      </w:hyperlink>
      <w:r>
        <w:t xml:space="preserve">). The final total plant species richness in each region was XXX and XXX for the GCFR and SWAFR respectively.</w:t>
      </w:r>
    </w:p>
    <w:p>
      <w:pPr>
        <w:pStyle w:val="BodyText"/>
      </w:pPr>
      <w:r>
        <w:t xml:space="preserve">We converted these final collections of species occurrence records to raster-layers in R, where pixels’ values represent he species richness of vascular plants. These rasters were produced at the QDS, HDS and 3QDS</w:t>
      </w:r>
      <w:r>
        <w:t xml:space="preserve"> </w:t>
      </w:r>
      <w:r>
        <w:t xml:space="preserve">(sensu Larsen et al., 2009)</w:t>
      </w:r>
      <w:r>
        <w:t xml:space="preserve"> </w:t>
      </w:r>
      <w:r>
        <w:t xml:space="preserve">scales only, as most plant locality data is only recorded to the QDS-scale. These richness values (</w:t>
      </w:r>
      <w:r>
        <w:rPr>
          <w:i/>
        </w:rPr>
        <w:t xml:space="preserve">S</w:t>
      </w:r>
      <w:r>
        <w:t xml:space="preserve">) were compared across both regions. Additionally, we decomposed the richness of pixels (e.g.</w:t>
      </w:r>
      <w:r>
        <w:t xml:space="preserve"> </w:t>
      </w:r>
      <m:oMath>
        <m:sSub>
          <m:e>
            <m:r>
              <m:t>S</m:t>
            </m:r>
          </m:e>
          <m:sub>
            <m:r>
              <m:rPr>
                <m:sty m:val="p"/>
              </m:rPr>
              <m:t>H</m:t>
            </m:r>
            <m:r>
              <m:rPr>
                <m:sty m:val="p"/>
              </m:rPr>
              <m:t>D</m:t>
            </m:r>
            <m:r>
              <m:rPr>
                <m:sty m:val="p"/>
              </m:rPr>
              <m:t>S</m:t>
            </m:r>
          </m:sub>
        </m:sSub>
      </m:oMath>
      <w:r>
        <w:t xml:space="preserve">), following Whittaker’s (ref) original additive formulation of</w:t>
      </w:r>
      <w:r>
        <w:t xml:space="preserve"> </w:t>
      </w:r>
      <m:oMath>
        <m:r>
          <m:t>γ</m:t>
        </m:r>
      </m:oMath>
      <w:r>
        <w:t xml:space="preserve">-diversity (</w:t>
      </w:r>
      <m:oMath>
        <m:r>
          <m:t>γ</m:t>
        </m:r>
        <m:r>
          <m:t>=</m:t>
        </m:r>
        <m:r>
          <m:t>α</m:t>
        </m:r>
        <m:r>
          <m:t>+</m:t>
        </m:r>
        <m:r>
          <m:t>β</m:t>
        </m:r>
      </m:oMath>
      <w:r>
        <w:t xml:space="preserve">). The difference between a pixel’s richness and the average richness of its constituent pixels (e.g.</w:t>
      </w:r>
      <w:r>
        <w:t xml:space="preserve"> </w:t>
      </w:r>
      <m:oMath>
        <m:sSub>
          <m:e>
            <m:bar>
              <m:barPr>
                <m:pos m:val="top"/>
              </m:barPr>
              <m:e>
                <m:r>
                  <m:t>S</m:t>
                </m:r>
              </m:e>
            </m:bar>
          </m:e>
          <m:sub>
            <m:r>
              <m:rPr>
                <m:sty m:val="p"/>
              </m:rPr>
              <m:t>Q</m:t>
            </m:r>
            <m:r>
              <m:rPr>
                <m:sty m:val="p"/>
              </m:rPr>
              <m:t>D</m:t>
            </m:r>
            <m:r>
              <m:rPr>
                <m:sty m:val="p"/>
              </m:rPr>
              <m:t>S</m:t>
            </m:r>
          </m:sub>
        </m:sSub>
      </m:oMath>
      <w:r>
        <w:t xml:space="preserve">) represents the floristic turnover (</w:t>
      </w:r>
      <m:oMath>
        <m:sSub>
          <m:e>
            <m:r>
              <m:t>T</m:t>
            </m:r>
          </m:e>
          <m:sub>
            <m:r>
              <m:rPr>
                <m:sty m:val="p"/>
              </m:rPr>
              <m:t>Q</m:t>
            </m:r>
            <m:r>
              <m:rPr>
                <m:sty m:val="p"/>
              </m:rPr>
              <m:t>D</m:t>
            </m:r>
            <m:r>
              <m:rPr>
                <m:sty m:val="p"/>
              </m:rPr>
              <m:t>S</m:t>
            </m:r>
          </m:sub>
        </m:sSub>
      </m:oMath>
      <w:r>
        <w:t xml:space="preserve">), as follows from:</w:t>
      </w:r>
    </w:p>
    <w:p>
      <w:pPr>
        <w:pStyle w:val="BodyText"/>
      </w:pPr>
      <m:oMathPara>
        <m:oMathParaPr>
          <m:jc m:val="center"/>
        </m:oMathParaPr>
        <m:oMath>
          <m:sSub>
            <m:e>
              <m:r>
                <m:t>S</m:t>
              </m:r>
            </m:e>
            <m:sub>
              <m:r>
                <m:rPr>
                  <m:sty m:val="p"/>
                </m:rPr>
                <m:t>H</m:t>
              </m:r>
              <m:r>
                <m:rPr>
                  <m:sty m:val="p"/>
                </m:rPr>
                <m:t>D</m:t>
              </m:r>
              <m:r>
                <m:rPr>
                  <m:sty m:val="p"/>
                </m:rPr>
                <m:t>S</m:t>
              </m:r>
            </m:sub>
          </m:sSub>
          <m:r>
            <m:t>=</m:t>
          </m:r>
          <m:sSub>
            <m:e>
              <m:bar>
                <m:barPr>
                  <m:pos m:val="top"/>
                </m:barPr>
                <m:e>
                  <m:r>
                    <m:t>S</m:t>
                  </m:r>
                </m:e>
              </m:bar>
            </m:e>
            <m:sub>
              <m:r>
                <m:rPr>
                  <m:sty m:val="p"/>
                </m:rPr>
                <m:t>Q</m:t>
              </m:r>
              <m:r>
                <m:rPr>
                  <m:sty m:val="p"/>
                </m:rPr>
                <m:t>D</m:t>
              </m:r>
              <m:r>
                <m:rPr>
                  <m:sty m:val="p"/>
                </m:rPr>
                <m:t>S</m:t>
              </m:r>
            </m:sub>
          </m:sSub>
          <m:r>
            <m:t>+</m:t>
          </m:r>
          <m:sSub>
            <m:e>
              <m:r>
                <m:t>T</m:t>
              </m:r>
            </m:e>
            <m:sub>
              <m:r>
                <m:rPr>
                  <m:sty m:val="p"/>
                </m:rPr>
                <m:t>Q</m:t>
              </m:r>
              <m:r>
                <m:rPr>
                  <m:sty m:val="p"/>
                </m:rPr>
                <m:t>D</m:t>
              </m:r>
              <m:r>
                <m:rPr>
                  <m:sty m:val="p"/>
                </m:rPr>
                <m:t>S</m:t>
              </m:r>
            </m:sub>
          </m:sSub>
          <m:r>
            <m:t>.</m:t>
          </m:r>
        </m:oMath>
      </m:oMathPara>
    </w:p>
    <w:p>
      <w:pPr>
        <w:pStyle w:val="Heading2"/>
      </w:pPr>
      <w:bookmarkStart w:id="24" w:name="environmental-heterogeneity-as-an-explanation-of-species-richness"/>
      <w:r>
        <w:t xml:space="preserve">Environmental heterogeneity as an explanation of species richness</w:t>
      </w:r>
      <w:bookmarkEnd w:id="24"/>
    </w:p>
    <w:p>
      <w:pPr>
        <w:pStyle w:val="FirstParagraph"/>
      </w:pPr>
      <w:r>
        <w:t xml:space="preserve">We investigate the explanatory power of various forms of EH with linear models of species richness as a function of EH. […]</w:t>
      </w:r>
    </w:p>
    <w:p>
      <w:pPr>
        <w:pStyle w:val="BodyText"/>
      </w:pPr>
      <w:r>
        <w:t xml:space="preserve">Environmental</w:t>
      </w:r>
      <w:r>
        <w:t xml:space="preserve"> </w:t>
      </w:r>
      <w:r>
        <w:t xml:space="preserve">“</w:t>
      </w:r>
      <w:r>
        <w:t xml:space="preserve">roughness</w:t>
      </w:r>
      <w:r>
        <w:t xml:space="preserve">”</w:t>
      </w:r>
      <w:r>
        <w:t xml:space="preserve"> </w:t>
      </w:r>
      <w:r>
        <w:t xml:space="preserve">here was re-calculated for each HDS- and QDS-cell</w:t>
      </w:r>
      <w:r>
        <w:t xml:space="preserve"> </w:t>
      </w:r>
      <w:r>
        <w:t xml:space="preserve">(sensu Larsen et al., 2009)</w:t>
      </w:r>
      <w:r>
        <w:t xml:space="preserve"> </w:t>
      </w:r>
      <w:r>
        <w:t xml:space="preserve">in both regions as the mean of each consituent QDS- and EDS-cell’s mean absolute difference in environmental conditions from the other three cells within that HDS- or QDS-cell.</w:t>
      </w:r>
    </w:p>
    <w:p>
      <w:pPr>
        <w:pStyle w:val="BodyText"/>
      </w:pPr>
      <w:r>
        <w:t xml:space="preserve">In other words, roughness was calculated by first calculating the average absolute-difference in environmental values between each QDS and it’s three neighbours in a given HDS. Then, these four values (assuming four QDS in an HDS) are averaged. This roughness index is presented mathematically below. This index allows each of the four values to be similarly independent, and thus more sutiable for our averaging and analyses, as opposed to if it were simly the direct average of pairwise differences [expand?].</w:t>
      </w:r>
    </w:p>
    <w:p>
      <w:pPr>
        <w:pStyle w:val="BodyText"/>
      </w:pPr>
      <m:oMathPara>
        <m:oMathParaPr>
          <m:jc m:val="center"/>
        </m:oMathParaPr>
        <m:oMath>
          <m:r>
            <m:t>R</m:t>
          </m:r>
          <m:r>
            <m:t>o</m:t>
          </m:r>
          <m:r>
            <m:t>u</m:t>
          </m:r>
          <m:r>
            <m:t>g</m:t>
          </m:r>
          <m:r>
            <m:t>h</m:t>
          </m:r>
          <m:r>
            <m:t>n</m:t>
          </m:r>
          <m:r>
            <m:t>e</m:t>
          </m:r>
          <m:r>
            <m:t>s</m:t>
          </m:r>
          <m:r>
            <m:t>s</m:t>
          </m:r>
          <m:d>
            <m:dPr>
              <m:begChr m:val="("/>
              <m:endChr m:val=")"/>
              <m:grow/>
            </m:dPr>
            <m:e>
              <m:m>
                <m:mPr>
                  <m:baseJc m:val="center"/>
                  <m:plcHide m:val="1"/>
                  <m:mcs>
                    <m:mc>
                      <m:mcPr>
                        <m:mcJc m:val="center"/>
                        <m:count m:val="1"/>
                      </m:mcPr>
                    </m:mc>
                    <m:mc>
                      <m:mcPr>
                        <m:mcJc m:val="center"/>
                        <m:count m:val="1"/>
                      </m:mcPr>
                    </m:mc>
                  </m:mcs>
                </m:mPr>
                <m:mr>
                  <m:e>
                    <m:sSub>
                      <m:e>
                        <m:r>
                          <m:t>x</m:t>
                        </m:r>
                      </m:e>
                      <m:sub>
                        <m:r>
                          <m:t>1</m:t>
                        </m:r>
                      </m:sub>
                    </m:sSub>
                  </m:e>
                  <m:e>
                    <m:sSub>
                      <m:e>
                        <m:r>
                          <m:t>x</m:t>
                        </m:r>
                      </m:e>
                      <m:sub>
                        <m:r>
                          <m:t>2</m:t>
                        </m:r>
                      </m:sub>
                    </m:sSub>
                  </m:e>
                </m:mr>
                <m:mr>
                  <m:e>
                    <m:sSub>
                      <m:e>
                        <m:r>
                          <m:t>x</m:t>
                        </m:r>
                      </m:e>
                      <m:sub>
                        <m:r>
                          <m:t>3</m:t>
                        </m:r>
                      </m:sub>
                    </m:sSub>
                  </m:e>
                  <m:e>
                    <m:sSub>
                      <m:e>
                        <m:r>
                          <m:t>x</m:t>
                        </m:r>
                      </m:e>
                      <m:sub>
                        <m:r>
                          <m:t>4</m:t>
                        </m:r>
                      </m:sub>
                    </m:sSub>
                  </m:e>
                </m:mr>
              </m:m>
            </m:e>
          </m:d>
          <m:r>
            <m:t>=</m:t>
          </m:r>
          <m:f>
            <m:fPr>
              <m:type m:val="bar"/>
            </m:fPr>
            <m:num>
              <m:r>
                <m:t>1</m:t>
              </m:r>
            </m:num>
            <m:den>
              <m:r>
                <m:t>4</m:t>
              </m:r>
            </m:den>
          </m:f>
          <m:nary>
            <m:naryPr>
              <m:chr m:val="∑"/>
              <m:limLoc m:val="undOvr"/>
              <m:subHide m:val="0"/>
              <m:supHide m:val="1"/>
            </m:naryPr>
            <m:sub>
              <m:r>
                <m:t>i</m:t>
              </m:r>
            </m:sub>
            <m:sup>
              <m:r>
                <m:t>​</m:t>
              </m:r>
            </m:sup>
            <m:e>
              <m:r>
                <m:t>f</m:t>
              </m:r>
            </m:e>
          </m:nary>
          <m:r>
            <m:t>(</m:t>
          </m:r>
          <m:sSub>
            <m:e>
              <m:r>
                <m:t>x</m:t>
              </m:r>
            </m:e>
            <m:sub>
              <m:r>
                <m:t>i</m:t>
              </m:r>
            </m:sub>
          </m:sSub>
          <m:r>
            <m:t>)</m:t>
          </m:r>
          <m:r>
            <m:t>=</m:t>
          </m:r>
          <m:f>
            <m:fPr>
              <m:type m:val="bar"/>
            </m:fPr>
            <m:num>
              <m:r>
                <m:t>1</m:t>
              </m:r>
            </m:num>
            <m:den>
              <m:r>
                <m:t>4</m:t>
              </m:r>
            </m:den>
          </m:f>
          <m:nary>
            <m:naryPr>
              <m:chr m:val="∑"/>
              <m:limLoc m:val="undOvr"/>
              <m:subHide m:val="0"/>
              <m:supHide m:val="1"/>
            </m:naryPr>
            <m:sub>
              <m:r>
                <m:t>i</m:t>
              </m:r>
            </m:sub>
            <m:sup>
              <m:r>
                <m:t>​</m:t>
              </m:r>
            </m:sup>
            <m:e>
              <m:d>
                <m:dPr>
                  <m:begChr m:val="("/>
                  <m:endChr m:val=")"/>
                  <m:grow/>
                </m:dPr>
                <m:e>
                  <m:f>
                    <m:fPr>
                      <m:type m:val="bar"/>
                    </m:fPr>
                    <m:num>
                      <m:r>
                        <m:t>1</m:t>
                      </m:r>
                    </m:num>
                    <m:den>
                      <m:r>
                        <m:t>3</m:t>
                      </m:r>
                    </m:den>
                  </m:f>
                  <m:nary>
                    <m:naryPr>
                      <m:chr m:val="∑"/>
                      <m:limLoc m:val="undOvr"/>
                      <m:subHide m:val="0"/>
                      <m:supHide m:val="1"/>
                    </m:naryPr>
                    <m:sub>
                      <m:r>
                        <m:t>j</m:t>
                      </m:r>
                      <m:r>
                        <m:t>≠</m:t>
                      </m:r>
                      <m:r>
                        <m:t>i</m:t>
                      </m:r>
                    </m:sub>
                    <m:sup>
                      <m:r>
                        <m:t>​</m:t>
                      </m:r>
                    </m:sup>
                    <m:e>
                      <m:r>
                        <m:t>|</m:t>
                      </m:r>
                    </m:e>
                  </m:nary>
                  <m:sSub>
                    <m:e>
                      <m:r>
                        <m:t>x</m:t>
                      </m:r>
                    </m:e>
                    <m:sub>
                      <m:r>
                        <m:t>i</m:t>
                      </m:r>
                    </m:sub>
                  </m:sSub>
                  <m:r>
                    <m:t>−</m:t>
                  </m:r>
                  <m:sSub>
                    <m:e>
                      <m:r>
                        <m:t>x</m:t>
                      </m:r>
                    </m:e>
                    <m:sub>
                      <m:r>
                        <m:t>j</m:t>
                      </m:r>
                    </m:sub>
                  </m:sSub>
                  <m:r>
                    <m:t>|</m:t>
                  </m:r>
                </m:e>
              </m:d>
            </m:e>
          </m:nary>
        </m:oMath>
      </m:oMathPara>
    </w:p>
    <w:p>
      <w:pPr>
        <w:pStyle w:val="TableCaption"/>
      </w:pPr>
      <w:r>
        <w:t xml:space="preserve">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w:t>
      </w:r>
      <w:r>
        <w:t xml:space="preserve"> </w:t>
      </w:r>
    </w:p>
    <w:tbl>
      <w:tblPr>
        <w:tblStyle w:val="Table"/>
        <w:tblW w:type="pct" w:w="0.0"/>
        <w:tblLook w:firstRow="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Temporal extent</w:t>
            </w:r>
          </w:p>
        </w:tc>
        <w:tc>
          <w:tcPr>
            <w:tcBorders>
              <w:bottom w:val="single"/>
            </w:tcBorders>
            <w:vAlign w:val="bottom"/>
          </w:tcPr>
          <w:p>
            <w:pPr>
              <w:pStyle w:val="Compact"/>
              <w:jc w:val="left"/>
            </w:pPr>
            <w:r>
              <w:t xml:space="preserve">Citation(s)</w:t>
            </w:r>
          </w:p>
        </w:tc>
      </w:tr>
      <w:tr>
        <w:tc>
          <w:p>
            <w:pPr>
              <w:pStyle w:val="Compact"/>
              <w:jc w:val="left"/>
            </w:pPr>
            <w:r>
              <w:t xml:space="preserve">Elevation</w:t>
            </w:r>
          </w:p>
        </w:tc>
        <w:tc>
          <w:p>
            <w:pPr>
              <w:pStyle w:val="Compact"/>
              <w:jc w:val="left"/>
            </w:pPr>
            <w:r>
              <w:t xml:space="preserve">SRTM v2.0</w:t>
            </w:r>
          </w:p>
        </w:tc>
        <w:tc>
          <w:p>
            <w:pPr>
              <w:pStyle w:val="Compact"/>
            </w:pPr>
          </w:p>
        </w:tc>
        <w:tc>
          <w:p>
            <w:pPr>
              <w:pStyle w:val="Compact"/>
              <w:jc w:val="left"/>
            </w:pPr>
            <w:r>
              <w:t xml:space="preserve">Farr et al. (2007)</w:t>
            </w:r>
          </w:p>
        </w:tc>
      </w:tr>
      <w:tr>
        <w:tc>
          <w:p>
            <w:pPr>
              <w:pStyle w:val="Compact"/>
              <w:jc w:val="left"/>
            </w:pPr>
            <w:r>
              <w:t xml:space="preserve">NDVI</w:t>
            </w:r>
          </w:p>
        </w:tc>
        <w:tc>
          <w:p>
            <w:pPr>
              <w:pStyle w:val="Compact"/>
              <w:jc w:val="left"/>
            </w:pPr>
            <w:r>
              <w:t xml:space="preserve">MODIS (MOD13C2)</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Surface temperature</w:t>
            </w:r>
          </w:p>
        </w:tc>
        <w:tc>
          <w:p>
            <w:pPr>
              <w:pStyle w:val="Compact"/>
              <w:jc w:val="left"/>
            </w:pPr>
            <w:r>
              <w:t xml:space="preserve">MODIS (MOD11C3)</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MAP</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PDQ</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CEC</w:t>
            </w:r>
          </w:p>
        </w:tc>
        <w:tc>
          <w:p>
            <w:pPr>
              <w:pStyle w:val="Compact"/>
              <w:jc w:val="left"/>
            </w:pPr>
            <w:r>
              <w:t xml:space="preserve">SoilGrids250m (</w:t>
            </w:r>
            <w:r>
              <w:t xml:space="preserve">“</w:t>
            </w:r>
            <w:r>
              <w:t xml:space="preserve">CECSOL M 250m</w:t>
            </w:r>
            <w:r>
              <w:t xml:space="preserve">”</w:t>
            </w:r>
            <w:r>
              <w:t xml:space="preserve">)</w:t>
            </w:r>
          </w:p>
        </w:tc>
        <w:tc>
          <w:p>
            <w:pPr>
              <w:pStyle w:val="Compact"/>
            </w:pPr>
          </w:p>
        </w:tc>
        <w:tc>
          <w:p>
            <w:pPr>
              <w:pStyle w:val="Compact"/>
              <w:jc w:val="left"/>
            </w:pPr>
            <w:r>
              <w:t xml:space="preserve">Hengl et al. (2017)</w:t>
            </w:r>
          </w:p>
        </w:tc>
      </w:tr>
      <w:tr>
        <w:tc>
          <w:p>
            <w:pPr>
              <w:pStyle w:val="Compact"/>
              <w:jc w:val="left"/>
            </w:pPr>
            <w:r>
              <w:t xml:space="preserve">Clay</w:t>
            </w:r>
          </w:p>
        </w:tc>
        <w:tc>
          <w:p>
            <w:pPr>
              <w:pStyle w:val="Compact"/>
              <w:jc w:val="left"/>
            </w:pPr>
            <w:r>
              <w:t xml:space="preserve">SoilGrids250m (</w:t>
            </w:r>
            <w:r>
              <w:t xml:space="preserve">“</w:t>
            </w:r>
            <w:r>
              <w:t xml:space="preserve">CLYPPT M 250m</w:t>
            </w:r>
            <w:r>
              <w:t xml:space="preserve">”</w:t>
            </w:r>
            <w:r>
              <w:t xml:space="preserve">)</w:t>
            </w:r>
          </w:p>
        </w:tc>
        <w:tc>
          <w:p>
            <w:pPr>
              <w:pStyle w:val="Compact"/>
            </w:pPr>
          </w:p>
        </w:tc>
        <w:tc>
          <w:p>
            <w:pPr>
              <w:pStyle w:val="Compact"/>
            </w:pPr>
          </w:p>
        </w:tc>
      </w:tr>
      <w:tr>
        <w:tc>
          <w:p>
            <w:pPr>
              <w:pStyle w:val="Compact"/>
              <w:jc w:val="left"/>
            </w:pPr>
            <w:r>
              <w:t xml:space="preserve">Soil carbon</w:t>
            </w:r>
          </w:p>
        </w:tc>
        <w:tc>
          <w:p>
            <w:pPr>
              <w:pStyle w:val="Compact"/>
              <w:jc w:val="left"/>
            </w:pPr>
            <w:r>
              <w:t xml:space="preserve">SoilGrids250m (</w:t>
            </w:r>
            <w:r>
              <w:t xml:space="preserve">“</w:t>
            </w:r>
            <w:r>
              <w:t xml:space="preserve">OCDENS M 250m</w:t>
            </w:r>
            <w:r>
              <w:t xml:space="preserve">”</w:t>
            </w:r>
            <w:r>
              <w:t xml:space="preserve">)</w:t>
            </w:r>
          </w:p>
        </w:tc>
        <w:tc>
          <w:p>
            <w:pPr>
              <w:pStyle w:val="Compact"/>
            </w:pPr>
          </w:p>
        </w:tc>
        <w:tc>
          <w:p>
            <w:pPr>
              <w:pStyle w:val="Compact"/>
            </w:pPr>
          </w:p>
        </w:tc>
      </w:tr>
      <w:tr>
        <w:tc>
          <w:p>
            <w:pPr>
              <w:pStyle w:val="Compact"/>
              <w:jc w:val="left"/>
            </w:pPr>
            <w:r>
              <w:t xml:space="preserve">pH</w:t>
            </w:r>
          </w:p>
        </w:tc>
        <w:tc>
          <w:p>
            <w:pPr>
              <w:pStyle w:val="Compact"/>
              <w:jc w:val="left"/>
            </w:pPr>
            <w:r>
              <w:t xml:space="preserve">SoilGrids250m (</w:t>
            </w:r>
            <w:r>
              <w:t xml:space="preserve">“</w:t>
            </w:r>
            <w:r>
              <w:t xml:space="preserve">PHIKCL M 250m</w:t>
            </w:r>
            <w:r>
              <w:t xml:space="preserve">”</w:t>
            </w:r>
            <w:r>
              <w:t xml:space="preserve">)</w:t>
            </w:r>
          </w:p>
        </w:tc>
        <w:tc>
          <w:p>
            <w:pPr>
              <w:pStyle w:val="Compact"/>
            </w:pPr>
          </w:p>
        </w:tc>
        <w:tc>
          <w:p>
            <w:pPr>
              <w:pStyle w:val="Compact"/>
            </w:pPr>
          </w:p>
        </w:tc>
      </w:tr>
      <w:tr>
        <w:tc>
          <w:p>
            <w:pPr>
              <w:pStyle w:val="Compact"/>
              <w:jc w:val="left"/>
            </w:pPr>
            <w:r>
              <w:t xml:space="preserve">Plant species occurrences</w:t>
            </w:r>
          </w:p>
        </w:tc>
        <w:tc>
          <w:p>
            <w:pPr>
              <w:pStyle w:val="Compact"/>
              <w:jc w:val="left"/>
            </w:pPr>
            <w:r>
              <w:t xml:space="preserve">GBIF</w:t>
            </w:r>
          </w:p>
        </w:tc>
        <w:tc>
          <w:p>
            <w:pPr>
              <w:pStyle w:val="Compact"/>
              <w:jc w:val="left"/>
            </w:pPr>
          </w:p>
        </w:tc>
        <w:tc>
          <w:p>
            <w:pPr>
              <w:pStyle w:val="Compact"/>
              <w:jc w:val="left"/>
            </w:pPr>
            <w:r>
              <w:t xml:space="preserve">GBIF (24 July 2017)</w:t>
            </w:r>
            <w:r>
              <w:t xml:space="preserve">,</w:t>
            </w:r>
            <w:r>
              <w:t xml:space="preserve"> </w:t>
            </w:r>
            <w:r>
              <w:t xml:space="preserve">GBIF (24 July 2017)</w:t>
            </w:r>
          </w:p>
        </w:tc>
      </w:tr>
    </w:tbl>
    <w:p>
      <w:pPr>
        <w:pStyle w:val="Heading2"/>
      </w:pPr>
      <w:bookmarkStart w:id="25" w:name="references"/>
      <w:r>
        <w:t xml:space="preserve">References</w:t>
      </w:r>
      <w:bookmarkEnd w:id="25"/>
    </w:p>
    <w:bookmarkStart w:id="43" w:name="refs"/>
    <w:bookmarkStart w:id="26" w:name="ref-Bivand2017"/>
    <w:p>
      <w:pPr>
        <w:pStyle w:val="Bibliography"/>
      </w:pPr>
      <w:r>
        <w:t xml:space="preserve">Bivand, R., Keitt, T., &amp; Rowlingson, B. (2017) rgdal: Bindings for the Geospatial Data Abstraction Library. R package version 1.2-7..</w:t>
      </w:r>
      <w:r>
        <w:t xml:space="preserve"> </w:t>
      </w:r>
    </w:p>
    <w:bookmarkEnd w:id="26"/>
    <w:bookmarkStart w:id="27" w:name="ref-Chamberlain2016"/>
    <w:p>
      <w:pPr>
        <w:pStyle w:val="Bibliography"/>
      </w:pPr>
      <w:r>
        <w:t xml:space="preserve">Chamberlain, S., Szoecs, E., Foster, Z., Arendsee, Z., Boettiger, C., Ram, K., Bartomeus, I., Baumgartner, J., O’Donnell, J., Oksanen, J., Tzovaras, B.G., Marchand, P., &amp; Tran, V. (2018)</w:t>
      </w:r>
      <w:r>
        <w:t xml:space="preserve"> </w:t>
      </w:r>
      <w:r>
        <w:rPr>
          <w:i/>
        </w:rPr>
        <w:t xml:space="preserve">Taxize: Taxonomic information from around the web.</w:t>
      </w:r>
      <w:r>
        <w:rPr>
          <w:i/>
        </w:rPr>
        <w:t xml:space="preserve"> </w:t>
      </w:r>
    </w:p>
    <w:bookmarkEnd w:id="27"/>
    <w:bookmarkStart w:id="28" w:name="ref-Farr2007"/>
    <w:p>
      <w:pPr>
        <w:pStyle w:val="Bibliography"/>
      </w:pPr>
      <w:r>
        <w:t xml:space="preserve">Farr, T., Rosen, P., Caro, E., Crippen, R., Duren, R., Hensley, S., Kobrick, M., Paller, M., Rodriguez, E., Roth, L., Seal, D., Shaffer, S., Shimada, J., Umland, J., Werner, M., Oskin, M., Burbank, D., &amp; Alsdorf, D. (2007) The shuttle radar topography mission.</w:t>
      </w:r>
      <w:r>
        <w:t xml:space="preserve"> </w:t>
      </w:r>
      <w:r>
        <w:rPr>
          <w:i/>
        </w:rPr>
        <w:t xml:space="preserve">Reviews of Geophysics</w:t>
      </w:r>
      <w:r>
        <w:t xml:space="preserve">,</w:t>
      </w:r>
      <w:r>
        <w:t xml:space="preserve"> </w:t>
      </w:r>
      <w:r>
        <w:rPr>
          <w:b/>
        </w:rPr>
        <w:t xml:space="preserve">45</w:t>
      </w:r>
      <w:r>
        <w:t xml:space="preserve">, 1–33.</w:t>
      </w:r>
      <w:r>
        <w:t xml:space="preserve"> </w:t>
      </w:r>
    </w:p>
    <w:bookmarkEnd w:id="28"/>
    <w:bookmarkStart w:id="29" w:name="ref-Funk2015"/>
    <w:p>
      <w:pPr>
        <w:pStyle w:val="Bibliography"/>
      </w:pPr>
      <w:r>
        <w:t xml:space="preserve">Funk, C.C., Peterson, P.J., Landsfeld, M., Pedreros, D.H., Verdin, J., Shukla, S., Husak, G., Rowland, J.D., Harrison, L., Hoell, A., &amp; Michaelsen, J. (2015) The climate hazards infrared precipitation with stations—a new environmental record for monitoring extremes.</w:t>
      </w:r>
      <w:r>
        <w:t xml:space="preserve"> </w:t>
      </w:r>
      <w:r>
        <w:rPr>
          <w:i/>
        </w:rPr>
        <w:t xml:space="preserve">Scientific Data</w:t>
      </w:r>
      <w:r>
        <w:t xml:space="preserve">,</w:t>
      </w:r>
      <w:r>
        <w:t xml:space="preserve"> </w:t>
      </w:r>
      <w:r>
        <w:rPr>
          <w:b/>
        </w:rPr>
        <w:t xml:space="preserve">2</w:t>
      </w:r>
      <w:r>
        <w:t xml:space="preserve">, 150066.</w:t>
      </w:r>
      <w:r>
        <w:t xml:space="preserve"> </w:t>
      </w:r>
    </w:p>
    <w:bookmarkEnd w:id="29"/>
    <w:bookmarkStart w:id="30" w:name="ref-GBIFCape"/>
    <w:p>
      <w:pPr>
        <w:pStyle w:val="Bibliography"/>
      </w:pPr>
      <w:r>
        <w:t xml:space="preserve">GBIF (24 July 2017) GBIF Occurrence Download..</w:t>
      </w:r>
      <w:r>
        <w:t xml:space="preserve"> </w:t>
      </w:r>
    </w:p>
    <w:bookmarkEnd w:id="30"/>
    <w:bookmarkStart w:id="31" w:name="ref-GBIFSWA"/>
    <w:p>
      <w:pPr>
        <w:pStyle w:val="Bibliography"/>
      </w:pPr>
      <w:r>
        <w:t xml:space="preserve">GBIF (24 July 2017) GBIF Occurrence Download..</w:t>
      </w:r>
      <w:r>
        <w:t xml:space="preserve"> </w:t>
      </w:r>
    </w:p>
    <w:bookmarkEnd w:id="31"/>
    <w:bookmarkStart w:id="32" w:name="ref-Gioia2017"/>
    <w:p>
      <w:pPr>
        <w:pStyle w:val="Bibliography"/>
      </w:pPr>
      <w:r>
        <w:t xml:space="preserve">Gioia, P. &amp; Hopper, S.D. (2017) A new phytogeographic map for the Southwest Australian Floristic Region after an exceptional decade of collection and discovery.</w:t>
      </w:r>
      <w:r>
        <w:t xml:space="preserve"> </w:t>
      </w:r>
      <w:r>
        <w:rPr>
          <w:i/>
        </w:rPr>
        <w:t xml:space="preserve">Botanical Journal of the Linnean Society</w:t>
      </w:r>
      <w:r>
        <w:t xml:space="preserve">,</w:t>
      </w:r>
      <w:r>
        <w:t xml:space="preserve"> </w:t>
      </w:r>
      <w:r>
        <w:rPr>
          <w:b/>
        </w:rPr>
        <w:t xml:space="preserve">184</w:t>
      </w:r>
      <w:r>
        <w:t xml:space="preserve">, 1–15.</w:t>
      </w:r>
      <w:r>
        <w:t xml:space="preserve"> </w:t>
      </w:r>
    </w:p>
    <w:bookmarkEnd w:id="32"/>
    <w:bookmarkStart w:id="33" w:name="ref-Hengl2017"/>
    <w:p>
      <w:pPr>
        <w:pStyle w:val="Bibliography"/>
      </w:pPr>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w:t>
      </w:r>
      <w:r>
        <w:t xml:space="preserve"> </w:t>
      </w:r>
      <w:r>
        <w:rPr>
          <w:i/>
        </w:rPr>
        <w:t xml:space="preserve">PLoS ONE</w:t>
      </w:r>
      <w:r>
        <w:t xml:space="preserve">,</w:t>
      </w:r>
      <w:r>
        <w:t xml:space="preserve"> </w:t>
      </w:r>
      <w:r>
        <w:rPr>
          <w:b/>
        </w:rPr>
        <w:t xml:space="preserve">12</w:t>
      </w:r>
      <w:r>
        <w:t xml:space="preserve">, e0169748.</w:t>
      </w:r>
      <w:r>
        <w:t xml:space="preserve"> </w:t>
      </w:r>
    </w:p>
    <w:bookmarkEnd w:id="33"/>
    <w:bookmarkStart w:id="34" w:name="ref-Hijmans2016"/>
    <w:p>
      <w:pPr>
        <w:pStyle w:val="Bibliography"/>
      </w:pPr>
      <w:r>
        <w:t xml:space="preserve">Hijmans, R.J. (2016) raster: Geographic Data Analysis and Modeling. R package version 2.5-8..</w:t>
      </w:r>
      <w:r>
        <w:t xml:space="preserve"> </w:t>
      </w:r>
    </w:p>
    <w:bookmarkEnd w:id="34"/>
    <w:bookmarkStart w:id="35" w:name="ref-Hopper2004"/>
    <w:p>
      <w:pPr>
        <w:pStyle w:val="Bibliography"/>
      </w:pPr>
      <w:r>
        <w:t xml:space="preserve">Hopper, S.D. &amp; Gioia, P. (2004) The Southwest Australian Floristic Region: Evolution and Conservation of a Global Hot Spot of Biodiversity.</w:t>
      </w:r>
      <w:r>
        <w:t xml:space="preserve"> </w:t>
      </w:r>
      <w:r>
        <w:rPr>
          <w:i/>
        </w:rPr>
        <w:t xml:space="preserve">Annual Review of Ecology, Evolution, and Systematics</w:t>
      </w:r>
      <w:r>
        <w:t xml:space="preserve">,</w:t>
      </w:r>
      <w:r>
        <w:t xml:space="preserve"> </w:t>
      </w:r>
      <w:r>
        <w:rPr>
          <w:b/>
        </w:rPr>
        <w:t xml:space="preserve">35</w:t>
      </w:r>
      <w:r>
        <w:t xml:space="preserve">, 623–650.</w:t>
      </w:r>
      <w:r>
        <w:t xml:space="preserve"> </w:t>
      </w:r>
    </w:p>
    <w:bookmarkEnd w:id="35"/>
    <w:bookmarkStart w:id="36" w:name="ref-Larsen2009"/>
    <w:p>
      <w:pPr>
        <w:pStyle w:val="Bibliography"/>
      </w:pPr>
      <w:r>
        <w:t xml:space="preserve">Larsen, R., Holmern, T., Prager, S.D., Maliti, H., &amp; Røskaft, E. (2009) Using the extended quarter degree grid cell system to unify mapping and sharing of biodiversity data.</w:t>
      </w:r>
      <w:r>
        <w:t xml:space="preserve"> </w:t>
      </w:r>
      <w:r>
        <w:rPr>
          <w:i/>
        </w:rPr>
        <w:t xml:space="preserve">African Journal of Ecology</w:t>
      </w:r>
      <w:r>
        <w:t xml:space="preserve">,</w:t>
      </w:r>
      <w:r>
        <w:t xml:space="preserve"> </w:t>
      </w:r>
      <w:r>
        <w:rPr>
          <w:b/>
        </w:rPr>
        <w:t xml:space="preserve">47</w:t>
      </w:r>
      <w:r>
        <w:t xml:space="preserve">, 382–392.</w:t>
      </w:r>
      <w:r>
        <w:t xml:space="preserve"> </w:t>
      </w:r>
    </w:p>
    <w:bookmarkEnd w:id="36"/>
    <w:bookmarkStart w:id="37" w:name="ref-Mucina2006"/>
    <w:p>
      <w:pPr>
        <w:pStyle w:val="Bibliography"/>
      </w:pPr>
      <w:r>
        <w:t xml:space="preserve">Mucina, L. &amp; Rutherford, M.C. (2006)</w:t>
      </w:r>
      <w:r>
        <w:t xml:space="preserve"> </w:t>
      </w:r>
      <w:r>
        <w:rPr>
          <w:i/>
        </w:rPr>
        <w:t xml:space="preserve">The vegetation of South Africa, Lesotho and Swaziland.</w:t>
      </w:r>
      <w:r>
        <w:rPr>
          <w:i/>
        </w:rPr>
        <w:t xml:space="preserve"> </w:t>
      </w:r>
      <w:r>
        <w:t xml:space="preserve">South African National Biodiversity Institute,</w:t>
      </w:r>
      <w:r>
        <w:t xml:space="preserve"> </w:t>
      </w:r>
    </w:p>
    <w:bookmarkEnd w:id="37"/>
    <w:bookmarkStart w:id="38" w:name="ref-MOD13C2"/>
    <w:p>
      <w:pPr>
        <w:pStyle w:val="Bibliography"/>
      </w:pPr>
      <w:r>
        <w:t xml:space="preserve">NASA (?) Vegetation indices monthly l3 global 0.05Deg cmg (mod13c2) v[Version].</w:t>
      </w:r>
      <w:r>
        <w:t xml:space="preserve"> </w:t>
      </w:r>
      <w:r>
        <w:rPr>
          <w:i/>
        </w:rPr>
        <w:t xml:space="preserve">NASA EOSDIS Land Processes DAAC, USGS Earth Resources Observation and Science (EROS) Center, Sioux Falls, South Dakota</w:t>
      </w:r>
      <w:r>
        <w:t xml:space="preserve">,.</w:t>
      </w:r>
      <w:r>
        <w:t xml:space="preserve"> </w:t>
      </w:r>
    </w:p>
    <w:bookmarkEnd w:id="38"/>
    <w:bookmarkStart w:id="39" w:name="ref-MOD11C3"/>
    <w:p>
      <w:pPr>
        <w:pStyle w:val="Bibliography"/>
      </w:pPr>
      <w:r>
        <w:t xml:space="preserve">NASA (?) Land surface temperature/emissivity monthly l3 global 0.05Deg cmg (mod11c3) v[Version].</w:t>
      </w:r>
      <w:r>
        <w:t xml:space="preserve"> </w:t>
      </w:r>
      <w:r>
        <w:rPr>
          <w:i/>
        </w:rPr>
        <w:t xml:space="preserve">NASA EOSDIS Land Processes DAAC, USGS Earth Resources Observation and Science (EROS) Center, Sioux Falls, South Dakota</w:t>
      </w:r>
      <w:r>
        <w:t xml:space="preserve">,.</w:t>
      </w:r>
      <w:r>
        <w:t xml:space="preserve"> </w:t>
      </w:r>
    </w:p>
    <w:bookmarkEnd w:id="39"/>
    <w:bookmarkStart w:id="40" w:name="ref-Olson2001"/>
    <w:p>
      <w:pPr>
        <w:pStyle w:val="Bibliography"/>
      </w:pPr>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r>
        <w:t xml:space="preserve"> </w:t>
      </w:r>
    </w:p>
    <w:bookmarkEnd w:id="40"/>
    <w:bookmarkStart w:id="41" w:name="ref-RCoreTeam2018"/>
    <w:p>
      <w:pPr>
        <w:pStyle w:val="Bibliography"/>
      </w:pPr>
      <w:r>
        <w:t xml:space="preserve">R Core Team (2018)</w:t>
      </w:r>
      <w:r>
        <w:t xml:space="preserve"> </w:t>
      </w:r>
      <w:r>
        <w:rPr>
          <w:i/>
        </w:rPr>
        <w:t xml:space="preserve">R: A Language and Environment for Statistical Computing. Version 3.5.0.</w:t>
      </w:r>
      <w:r>
        <w:rPr>
          <w:i/>
        </w:rPr>
        <w:t xml:space="preserve"> </w:t>
      </w:r>
      <w:r>
        <w:t xml:space="preserve">R Foundation for Statistical Computing, Vienna, Austria.</w:t>
      </w:r>
      <w:r>
        <w:t xml:space="preserve"> </w:t>
      </w:r>
    </w:p>
    <w:bookmarkEnd w:id="41"/>
    <w:bookmarkStart w:id="42" w:name="ref-R-taxize"/>
    <w:p>
      <w:pPr>
        <w:pStyle w:val="Bibliography"/>
      </w:pPr>
      <w:r>
        <w:t xml:space="preserve">Scott Chamberlain &amp; Eduard Szocs (2013) Taxize - taxonomic search and retrieval in r.</w:t>
      </w:r>
      <w:r>
        <w:t xml:space="preserve"> </w:t>
      </w:r>
      <w:r>
        <w:rPr>
          <w:i/>
        </w:rPr>
        <w:t xml:space="preserve">F1000Research</w:t>
      </w:r>
      <w:r>
        <w:t xml:space="preserve">,.</w:t>
      </w:r>
      <w:r>
        <w:t xml:space="preserve"> </w:t>
      </w:r>
    </w:p>
    <w:bookmarkEnd w:id="42"/>
    <w:bookmarkEnd w:id="43"/>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iucngisd.org/gisd/" TargetMode="External" /></Relationships>
</file>

<file path=word/_rels/footnotes.xml.rels><?xml version="1.0" encoding="UTF-8"?>
<Relationships xmlns="http://schemas.openxmlformats.org/package/2006/relationships"><Relationship Type="http://schemas.openxmlformats.org/officeDocument/2006/relationships/hyperlink" Id="rId23" Target="http://www.iucngisd.org/gi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2019-08-14T10:42:39Z</dcterms:created>
  <dcterms:modified xsi:type="dcterms:W3CDTF">2019-08-14T10:42:39Z</dcterms:modified>
</cp:coreProperties>
</file>