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for both regions (Table 1). The GCFR was treated here as the area occupied by the Succulent Karoo and Fynbos biomes in the current delineation of South Africa’s biome boundaries</w:t>
      </w:r>
      <w:r>
        <w:t xml:space="preserve"> </w:t>
      </w:r>
      <w:r>
        <w:t xml:space="preserve">(Mucina &amp; Rutherford,</w:t>
      </w:r>
      <w:r>
        <w:t xml:space="preserve"> </w:t>
      </w:r>
      <w:hyperlink w:anchor="ref-Mucina2006">
        <w:r>
          <w:rPr>
            <w:rStyle w:val="Hyperlink"/>
          </w:rPr>
          <w:t xml:space="preserve">2006</w:t>
        </w:r>
      </w:hyperlink>
      <w:r>
        <w:t xml:space="preserve">)</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w:t>
      </w:r>
      <w:r>
        <w:t xml:space="preserve"> </w:t>
      </w:r>
      <w:hyperlink w:anchor="ref-Olson2001">
        <w:r>
          <w:rPr>
            <w:rStyle w:val="Hyperlink"/>
          </w:rPr>
          <w:t xml:space="preserve">2001</w:t>
        </w:r>
      </w:hyperlink>
      <w:r>
        <w:t xml:space="preserve">)</w:t>
      </w:r>
      <w:r>
        <w:t xml:space="preserve"> </w:t>
      </w:r>
      <w:r>
        <w:t xml:space="preserve">in order to closely match the currently delineated SWAFR</w:t>
      </w:r>
      <w:r>
        <w:t xml:space="preserve"> </w:t>
      </w:r>
      <w:r>
        <w:t xml:space="preserve">(Gioia &amp; Hopper,</w:t>
      </w:r>
      <w:r>
        <w:t xml:space="preserve"> </w:t>
      </w:r>
      <w:hyperlink w:anchor="ref-Gioia2017">
        <w:r>
          <w:rPr>
            <w:rStyle w:val="Hyperlink"/>
          </w:rPr>
          <w:t xml:space="preserve">2017</w:t>
        </w:r>
      </w:hyperlink>
      <w:r>
        <w:t xml:space="preserve">,</w:t>
      </w:r>
      <w:r>
        <w:t xml:space="preserve"> </w:t>
      </w:r>
      <w:r>
        <w:t xml:space="preserve">Hopper &amp; Gioia (</w:t>
      </w:r>
      <w:hyperlink w:anchor="ref-Hopper2004">
        <w:r>
          <w:rPr>
            <w:rStyle w:val="Hyperlink"/>
          </w:rPr>
          <w:t xml:space="preserve">2004</w:t>
        </w:r>
      </w:hyperlink>
      <w:r>
        <w:t xml:space="preserve">)</w:t>
      </w:r>
      <w:r>
        <w:t xml:space="preserve">)</w:t>
      </w:r>
      <w:r>
        <w:t xml:space="preserve">.</w:t>
      </w:r>
    </w:p>
    <w:p>
      <w:pPr>
        <w:pStyle w:val="BodyText"/>
      </w:pPr>
      <w:r>
        <w:t xml:space="preserve">We used satellite-derived environmental data as far as possible in this work to minimise differences in data quality and methodologies between the GCFR and SWAFR. 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w:t>
      </w:r>
      <w:hyperlink w:anchor="ref-Hengl2017">
        <w:r>
          <w:rPr>
            <w:rStyle w:val="Hyperlink"/>
          </w:rPr>
          <w:t xml:space="preserve">2017</w:t>
        </w:r>
      </w:hyperlink>
      <w:r>
        <w:t xml:space="preserve">)</w:t>
      </w:r>
      <w:r>
        <w:t xml:space="preserve">; other refs]. For the soil data used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w:t>
      </w:r>
      <w:r>
        <w:t xml:space="preserve"> </w:t>
      </w:r>
      <w:hyperlink w:anchor="ref-Bivand2017">
        <w:r>
          <w:rPr>
            <w:rStyle w:val="Hyperlink"/>
          </w:rPr>
          <w:t xml:space="preserve">2017</w:t>
        </w:r>
      </w:hyperlink>
      <w:r>
        <w:t xml:space="preserve">)</w:t>
      </w:r>
      <w:r>
        <w:t xml:space="preserve"> </w:t>
      </w:r>
      <w:r>
        <w:t xml:space="preserve">package in R</w:t>
      </w:r>
      <w:r>
        <w:t xml:space="preserve"> </w:t>
      </w:r>
      <w:r>
        <w:t xml:space="preserve">(R Core Team,</w:t>
      </w:r>
      <w:r>
        <w:t xml:space="preserve"> </w:t>
      </w:r>
      <w:hyperlink w:anchor="ref-RCoreTeam2018">
        <w:r>
          <w:rPr>
            <w:rStyle w:val="Hyperlink"/>
          </w:rPr>
          <w:t xml:space="preserve">2018</w:t>
        </w:r>
      </w:hyperlink>
      <w:r>
        <w:t xml:space="preserve">)</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w:t>
      </w:r>
      <w:r>
        <w:t xml:space="preserve"> </w:t>
      </w:r>
      <w:hyperlink w:anchor="ref-Hijmans2016">
        <w:r>
          <w:rPr>
            <w:rStyle w:val="Hyperlink"/>
          </w:rPr>
          <w:t xml:space="preserve">2016</w:t>
        </w:r>
      </w:hyperlink>
      <w:r>
        <w:t xml:space="preserve">)</w:t>
      </w:r>
      <w:r>
        <w:t xml:space="preserve">, with the</w:t>
      </w:r>
      <w:r>
        <w:t xml:space="preserve"> </w:t>
      </w:r>
      <w:r>
        <w:t xml:space="preserve">“</w:t>
      </w:r>
      <w:r>
        <w:t xml:space="preserve">bilinear</w:t>
      </w:r>
      <w:r>
        <w:t xml:space="preserve">”</w:t>
      </w:r>
      <w:r>
        <w:t xml:space="preserve"> </w:t>
      </w:r>
      <w:r>
        <w:t xml:space="preserve">method.</w:t>
      </w:r>
    </w:p>
    <w:p>
      <w:pPr>
        <w:pStyle w:val="BodyText"/>
      </w:pPr>
      <w:r>
        <w:t xml:space="preserve">We developed an index of EH that would account for the spatial configuration of different environmental conditions. Our environmental</w:t>
      </w:r>
      <w:r>
        <w:t xml:space="preserve"> </w:t>
      </w:r>
      <w:r>
        <w:t xml:space="preserve">“</w:t>
      </w:r>
      <w:r>
        <w:t xml:space="preserve">roughness</w:t>
      </w:r>
      <w:r>
        <w:t xml:space="preserve">”</w:t>
      </w:r>
      <w:r>
        <w:t xml:space="preserve"> </w:t>
      </w:r>
      <w:r>
        <w:t xml:space="preserve">index, as applied to raster data, employs a function of a moving-window of nine pixels (i.e. eight neighbours about a focal pixel</w:t>
      </w:r>
      <w:r>
        <w:t xml:space="preserve"> </w:t>
      </w:r>
      <m:oMath>
        <m:sSup>
          <m:e>
            <m:r>
              <m:t>x</m:t>
            </m:r>
          </m:e>
          <m:sup>
            <m:r>
              <m:t>*</m:t>
            </m:r>
          </m:sup>
        </m:sSup>
      </m:oMath>
      <w:r>
        <w:t xml:space="preserve">). Our index represents the average magnitude of the difference between pixels’ conditions and that of their neighbours, as follows:</w:t>
      </w:r>
    </w:p>
    <w:p>
      <w:pPr>
        <w:pStyle w:val="BodyText"/>
      </w:pPr>
      <m:oMathPara>
        <m:oMathParaPr>
          <m:jc m:val="center"/>
        </m:oMathParaPr>
        <m:oMath>
          <m:r>
            <m:t>R</m:t>
          </m:r>
          <m:r>
            <m:t>o</m:t>
          </m:r>
          <m:r>
            <m:t>u</m:t>
          </m:r>
          <m:r>
            <m:t>g</m:t>
          </m:r>
          <m:r>
            <m:t>h</m:t>
          </m:r>
          <m:r>
            <m:t>n</m:t>
          </m:r>
          <m:r>
            <m:t>e</m:t>
          </m:r>
          <m:r>
            <m:t>s</m:t>
          </m:r>
          <m:r>
            <m:t>s</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when a pixel has eight neighbours. 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w:t>
      </w:r>
      <w:r>
        <w:t xml:space="preserve"> </w:t>
      </w:r>
      <w:hyperlink w:anchor="ref-Hijmans2016">
        <w:r>
          <w:rPr>
            <w:rStyle w:val="Hyperlink"/>
          </w:rPr>
          <w:t xml:space="preserve">2016</w:t>
        </w:r>
      </w:hyperlink>
      <w:r>
        <w:t xml:space="preserve">)</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w:t>
      </w:r>
      <w:r>
        <w:t xml:space="preserve"> </w:t>
      </w:r>
      <w:hyperlink w:anchor="ref-Larsen2009">
        <w:r>
          <w:rPr>
            <w:rStyle w:val="Hyperlink"/>
          </w:rPr>
          <w:t xml:space="preserve">2009</w:t>
        </w:r>
      </w:hyperlink>
      <w:r>
        <w:t xml:space="preserve">)</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w:t>
      </w:r>
      <w:r>
        <w:t xml:space="preserve"> </w:t>
      </w:r>
      <w:hyperlink w:anchor="ref-Hijmans2016">
        <w:r>
          <w:rPr>
            <w:rStyle w:val="Hyperlink"/>
          </w:rPr>
          <w:t xml:space="preserve">2016</w:t>
        </w:r>
      </w:hyperlink>
      <w:r>
        <w:t xml:space="preserve">)</w:t>
      </w:r>
      <w:r>
        <w:t xml:space="preserve">, and then converted to rasters of</w:t>
      </w:r>
      <w:r>
        <w:t xml:space="preserve"> </w:t>
      </w:r>
      <w:r>
        <w:t xml:space="preserve">“</w:t>
      </w:r>
      <w:r>
        <w:t xml:space="preserve">roughness</w:t>
      </w:r>
      <w:r>
        <w:t xml:space="preserve">”</w:t>
      </w:r>
      <w:r>
        <w:t xml:space="preserve"> </w:t>
      </w:r>
      <w:r>
        <w:t xml:space="preserve">using Equation 1.</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w:t>
      </w:r>
    </w:p>
    <w:p>
      <w:pPr>
        <w:pStyle w:val="BodyText"/>
      </w:pPr>
      <w:r>
        <w:t xml:space="preserve">We cleaned these data using the R package</w:t>
      </w:r>
      <w:r>
        <w:t xml:space="preserve"> </w:t>
      </w:r>
      <w:r>
        <w:t xml:space="preserve">“</w:t>
      </w:r>
      <w:r>
        <w:t xml:space="preserve">taxise</w:t>
      </w:r>
      <w:r>
        <w:t xml:space="preserve">”</w:t>
      </w:r>
      <w:r>
        <w:t xml:space="preserve"> </w:t>
      </w:r>
      <w:r>
        <w:t xml:space="preserve">(Scott Chamberlain &amp; Eduard Szocs,</w:t>
      </w:r>
      <w:r>
        <w:t xml:space="preserve"> </w:t>
      </w:r>
      <w:hyperlink w:anchor="ref-R-taxize">
        <w:r>
          <w:rPr>
            <w:rStyle w:val="Hyperlink"/>
          </w:rPr>
          <w:t xml:space="preserve">2013</w:t>
        </w:r>
      </w:hyperlink>
      <w:r>
        <w:t xml:space="preserve">; Chamberlain et al.,</w:t>
      </w:r>
      <w:r>
        <w:t xml:space="preserve"> </w:t>
      </w:r>
      <w:hyperlink w:anchor="ref-Chamberlain2016">
        <w:r>
          <w:rPr>
            <w:rStyle w:val="Hyperlink"/>
          </w:rPr>
          <w:t xml:space="preserve">2018</w:t>
        </w:r>
      </w:hyperlink>
      <w:r>
        <w:t xml:space="preserve">)</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from the final list of species.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w:t>
      </w:r>
      <w:r>
        <w:t xml:space="preserve"> </w:t>
      </w:r>
      <w:r>
        <w:t xml:space="preserve">.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he species richness of vascular plants. These rasters were produced at the QDS, HDS and 3QDS</w:t>
      </w:r>
      <w:r>
        <w:t xml:space="preserve"> </w:t>
      </w:r>
      <w:r>
        <w:t xml:space="preserve">(sensu Larsen et al.,</w:t>
      </w:r>
      <w:r>
        <w:t xml:space="preserve"> </w:t>
      </w:r>
      <w:hyperlink w:anchor="ref-Larsen2009">
        <w:r>
          <w:rPr>
            <w:rStyle w:val="Hyperlink"/>
          </w:rPr>
          <w:t xml:space="preserve">2009</w:t>
        </w:r>
      </w:hyperlink>
      <w:r>
        <w:t xml:space="preserve">)</w:t>
      </w:r>
      <w:r>
        <w:t xml:space="preserve"> </w:t>
      </w:r>
      <w:r>
        <w:t xml:space="preserve">scales only, as most plant locality data is only recorded to the QDS-scale. These richness values (</w:t>
      </w:r>
      <w:r>
        <w:rPr>
          <w:i/>
        </w:rPr>
        <w:t xml:space="preserve">S</w:t>
      </w:r>
      <w:r>
        <w:t xml:space="preserve">) were compared across both regions. Additionally, we decomposed the richness of pixels (e.g.</w:t>
      </w:r>
      <w:r>
        <w:t xml:space="preserve"> </w:t>
      </w:r>
      <m:oMath>
        <m:sSub>
          <m:e>
            <m:r>
              <m:t>S</m:t>
            </m:r>
          </m:e>
          <m:sub>
            <m:r>
              <m:rPr>
                <m:sty m:val="p"/>
              </m:rPr>
              <m:t>H</m:t>
            </m:r>
            <m:r>
              <m:rPr>
                <m:sty m:val="p"/>
              </m:rPr>
              <m:t>D</m:t>
            </m:r>
            <m:r>
              <m:rPr>
                <m:sty m:val="p"/>
              </m:rPr>
              <m:t>S</m:t>
            </m:r>
          </m:sub>
        </m:sSub>
      </m:oMath>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sSub>
          <m:e>
            <m:bar>
              <m:barPr>
                <m:pos m:val="top"/>
              </m:barPr>
              <m:e>
                <m:r>
                  <m:t>S</m:t>
                </m:r>
              </m:e>
            </m:bar>
          </m:e>
          <m:sub>
            <m:r>
              <m:rPr>
                <m:sty m:val="p"/>
              </m:rPr>
              <m:t>Q</m:t>
            </m:r>
            <m:r>
              <m:rPr>
                <m:sty m:val="p"/>
              </m:rPr>
              <m:t>D</m:t>
            </m:r>
            <m:r>
              <m:rPr>
                <m:sty m:val="p"/>
              </m:rPr>
              <m:t>S</m:t>
            </m:r>
          </m:sub>
        </m:sSub>
      </m:oMath>
      <w:r>
        <w:t xml:space="preserve">) represents the floristic turnover (</w:t>
      </w:r>
      <m:oMath>
        <m:sSub>
          <m:e>
            <m:r>
              <m:t>T</m:t>
            </m:r>
          </m:e>
          <m:sub>
            <m:r>
              <m:rPr>
                <m:sty m:val="p"/>
              </m:rPr>
              <m:t>Q</m:t>
            </m:r>
            <m:r>
              <m:rPr>
                <m:sty m:val="p"/>
              </m:rPr>
              <m:t>D</m:t>
            </m:r>
            <m:r>
              <m:rPr>
                <m:sty m:val="p"/>
              </m:rPr>
              <m:t>S</m:t>
            </m:r>
          </m:sub>
        </m:sSub>
      </m:oMath>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w:t>
      </w:r>
    </w:p>
    <w:p>
      <w:pPr>
        <w:pStyle w:val="BodyText"/>
      </w:pPr>
      <w:r>
        <w:t xml:space="preserve">Environmental</w:t>
      </w:r>
      <w:r>
        <w:t xml:space="preserve"> </w:t>
      </w:r>
      <w:r>
        <w:t xml:space="preserve">“</w:t>
      </w:r>
      <w:r>
        <w:t xml:space="preserve">roughness</w:t>
      </w:r>
      <w:r>
        <w:t xml:space="preserve">”</w:t>
      </w:r>
      <w:r>
        <w:t xml:space="preserve"> </w:t>
      </w:r>
      <w:r>
        <w:t xml:space="preserve">here was re-calculated for each HDS- and QDS-cell</w:t>
      </w:r>
      <w:r>
        <w:t xml:space="preserve"> </w:t>
      </w:r>
      <w:r>
        <w:t xml:space="preserve">(sensu Larsen et al.,</w:t>
      </w:r>
      <w:r>
        <w:t xml:space="preserve"> </w:t>
      </w:r>
      <w:hyperlink w:anchor="ref-Larsen2009">
        <w:r>
          <w:rPr>
            <w:rStyle w:val="Hyperlink"/>
          </w:rPr>
          <w:t xml:space="preserve">2009</w:t>
        </w:r>
      </w:hyperlink>
      <w:r>
        <w:t xml:space="preserve">)</w:t>
      </w:r>
      <w:r>
        <w:t xml:space="preserve"> </w:t>
      </w:r>
      <w:r>
        <w:t xml:space="preserve">in both regions as the mean of each consituent QDS- and EDS-cell’s mean absolute difference in environmental conditions from the other three cells within that HDS- or QDS-cell.</w:t>
      </w:r>
    </w:p>
    <w:p>
      <w:pPr>
        <w:pStyle w:val="BodyText"/>
      </w:pPr>
      <w:r>
        <w:t xml:space="preserve">In other words, roughness was calculated by first calculating the average absolute-difference in environmental values between each QDS and it’s three neighbours in a given HDS. Then, these four values (assuming four QDS in an HDS) are averaged. This roughness index is presented mathematically below. This index allows each of the four values to be similarly independent, and thus more sutiable for our averaging and analyses, as opposed to if it were simly the direct average of pairwise differences [expand?].</w:t>
      </w:r>
    </w:p>
    <w:p>
      <w:pPr>
        <w:pStyle w:val="BodyText"/>
      </w:pPr>
      <m:oMathPara>
        <m:oMathParaPr>
          <m:jc m:val="center"/>
        </m:oMathParaPr>
        <m:oMath>
          <m:r>
            <m:t>R</m:t>
          </m:r>
          <m:r>
            <m:t>o</m:t>
          </m:r>
          <m:r>
            <m:t>u</m:t>
          </m:r>
          <m:r>
            <m:t>g</m:t>
          </m:r>
          <m:r>
            <m:t>h</m:t>
          </m:r>
          <m:r>
            <m:t>n</m:t>
          </m:r>
          <m:r>
            <m:t>e</m:t>
          </m:r>
          <m:r>
            <m:t>s</m:t>
          </m:r>
          <m:sSub>
            <m:e>
              <m:r>
                <m:t>s</m:t>
              </m:r>
            </m:e>
            <m:sub>
              <m:r>
                <m:t>c</m:t>
              </m:r>
              <m:r>
                <m:t>e</m:t>
              </m:r>
              <m:r>
                <m:t>l</m:t>
              </m:r>
              <m:r>
                <m:t>l</m:t>
              </m:r>
              <m:r>
                <m:t>u</m:t>
              </m:r>
              <m:r>
                <m:t>l</m:t>
              </m:r>
              <m:r>
                <m:t>a</m:t>
              </m:r>
              <m:r>
                <m:t>r</m:t>
              </m:r>
            </m:sub>
          </m:sSub>
          <m:r>
            <m:t>(</m:t>
          </m:r>
          <m:r>
            <m:t>{</m:t>
          </m:r>
          <m:sSub>
            <m:e>
              <m:r>
                <m:t>x</m:t>
              </m:r>
            </m:e>
            <m:sub>
              <m:r>
                <m:t>1</m:t>
              </m:r>
            </m:sub>
          </m:sSub>
          <m:r>
            <m:t>,</m:t>
          </m:r>
          <m:sSub>
            <m:e>
              <m:r>
                <m:t>x</m:t>
              </m:r>
            </m:e>
            <m:sub>
              <m:r>
                <m:t>2</m:t>
              </m:r>
            </m:sub>
          </m:sSub>
          <m:r>
            <m:t>,</m:t>
          </m:r>
          <m:sSub>
            <m:e>
              <m:r>
                <m:t>x</m:t>
              </m:r>
            </m:e>
            <m:sub>
              <m:r>
                <m:t>3</m:t>
              </m:r>
            </m:sub>
          </m:sSub>
          <m:r>
            <m:t>,</m:t>
          </m:r>
          <m:sSub>
            <m:e>
              <m:r>
                <m:t>x</m:t>
              </m:r>
            </m:e>
            <m:sub>
              <m:r>
                <m:t>4</m:t>
              </m:r>
            </m:sub>
          </m:sSub>
          <m:r>
            <m:t>}</m:t>
          </m:r>
          <m:r>
            <m:t>)</m:t>
          </m:r>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oMath>
      </m:oMathPara>
    </w:p>
    <w:p>
      <w:pPr>
        <w:pStyle w:val="TableCaption"/>
      </w:pPr>
      <w:r>
        <w:t xml:space="preserve">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w:t>
            </w:r>
            <w:hyperlink w:anchor="ref-Farr2007">
              <w:r>
                <w:rPr>
                  <w:rStyle w:val="Hyperlink"/>
                </w:rPr>
                <w:t xml:space="preserve">2007</w:t>
              </w:r>
            </w:hyperlink>
            <w:r>
              <w:t xml:space="preserve">)</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w:t>
            </w:r>
            <w:hyperlink w:anchor="ref-Funk2015">
              <w:r>
                <w:rPr>
                  <w:rStyle w:val="Hyperlink"/>
                </w:rPr>
                <w:t xml:space="preserve">2015</w:t>
              </w:r>
            </w:hyperlink>
            <w:r>
              <w:t xml:space="preserve">)</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w:t>
            </w:r>
            <w:hyperlink w:anchor="ref-Funk2015">
              <w:r>
                <w:rPr>
                  <w:rStyle w:val="Hyperlink"/>
                </w:rPr>
                <w:t xml:space="preserve">2015</w:t>
              </w:r>
            </w:hyperlink>
            <w:r>
              <w:t xml:space="preserve">)</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w:t>
            </w:r>
            <w:hyperlink w:anchor="ref-Hengl2017">
              <w:r>
                <w:rPr>
                  <w:rStyle w:val="Hyperlink"/>
                </w:rPr>
                <w:t xml:space="preserve">2017</w:t>
              </w:r>
            </w:hyperlink>
            <w:r>
              <w:t xml:space="preserve">)</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2019-08-13T16:48:34Z</dcterms:created>
  <dcterms:modified xsi:type="dcterms:W3CDTF">2019-08-13T16:48:34Z</dcterms:modified>
</cp:coreProperties>
</file>