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df" ContentType="application/pdf"/>
  <Override PartName="/word/media/rId25.pdf" ContentType="application/pdf"/>
  <Override PartName="/word/media/rId26.pdf" ContentType="application/pdf"/>
  <Override PartName="/word/media/rId27.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sults"/>
      <w:r>
        <w:t xml:space="preserve">Results</w:t>
      </w:r>
      <w:bookmarkEnd w:id="20"/>
    </w:p>
    <w:p>
      <w:pPr>
        <w:pStyle w:val="Heading2"/>
      </w:pPr>
      <w:bookmarkStart w:id="21" w:name="comparing-regions-environmental-heterogeneity"/>
      <w:r>
        <w:t xml:space="preserve">Comparing regions’ environmental heterogeneity</w:t>
      </w:r>
      <w:bookmarkEnd w:id="21"/>
    </w:p>
    <w:p>
      <w:pPr>
        <w:pStyle w:val="FirstParagraph"/>
      </w:pPr>
      <w:r>
        <w:t xml:space="preserve">We compared both the various forms of EH’s values and PC1 of EH between the GCFR and SWAFR using common language effect sizes (</w:t>
      </w:r>
      <w:r>
        <w:rPr>
          <w:i/>
        </w:rPr>
        <w:t xml:space="preserve">CLES</w:t>
      </w:r>
      <w:r>
        <w:t xml:space="preserve">; ref). The</w:t>
      </w:r>
      <w:r>
        <w:t xml:space="preserve"> </w:t>
      </w:r>
      <w:r>
        <w:rPr>
          <w:i/>
        </w:rPr>
        <w:t xml:space="preserve">CLES</w:t>
      </w:r>
      <w:r>
        <w:t xml:space="preserve"> </w:t>
      </w:r>
      <w:r>
        <w:t xml:space="preserve">of GCFR vs SWAFR heterogeneity values was regressed against the spatial scale at which it was calculated using OLS linear regression (Figure 1). PDQ, NDVI, pH and, arguably, elevation (Figure 1a,c,e,i) are all consistently more heterogeneous in the GCFR than in the SWAFR, regardless of spatial scale. The GCFR is more heterogeneous at finer scales in terms of MAP, surface temperature, CEC and soil carbon (Figure 2b,d,f,h). Notably, the GCFR is more pronouncedly heterogeneous at broad scales in terms of clay (Figure 2g)—perhaps something to do with the Succulent Karoo vs CFR?. In general (see PC1; Figure 2j), the GCFR is more environmentally heterogeneous than the SWAFR, and particularly so at fine spatial scales. The GCFR is more finely scaled in its heterogeneity, though some variables show no scale-dependence, and heterogeneity in clay is greatest in the GCFR at broad scales.</w:t>
      </w:r>
    </w:p>
    <w:p>
      <w:pPr>
        <w:pStyle w:val="Heading2"/>
      </w:pPr>
      <w:bookmarkStart w:id="22" w:name="comparing-and-decomposing-regions-species-richness"/>
      <w:r>
        <w:t xml:space="preserve">Comparing and decomposing regions’ species richness</w:t>
      </w:r>
      <w:bookmarkEnd w:id="22"/>
    </w:p>
    <w:p>
      <w:pPr>
        <w:pStyle w:val="FirstParagraph"/>
      </w:pPr>
      <w:r>
        <w:t xml:space="preserve">Comparing the distributions of these data are presented in Figure 3b. To test for significant differences between GCFR and SWAFR values, I use Mann-Whitney</w:t>
      </w:r>
      <w:r>
        <w:t xml:space="preserve"> </w:t>
      </w:r>
      <w:r>
        <w:rPr>
          <w:i/>
        </w:rPr>
        <w:t xml:space="preserve">U</w:t>
      </w:r>
      <w:r>
        <w:t xml:space="preserve">-tests and</w:t>
      </w:r>
      <w:r>
        <w:t xml:space="preserve"> </w:t>
      </w:r>
      <w:r>
        <w:rPr>
          <w:i/>
        </w:rPr>
        <w:t xml:space="preserve">CLES</w:t>
      </w:r>
      <w:r>
        <w:t xml:space="preserve"> </w:t>
      </w:r>
      <w:r>
        <w:t xml:space="preserve">(Table 3), as most of the variables deviate significantly from normality (Shapiro-Wilk normality test;</w:t>
      </w:r>
      <w:r>
        <w:t xml:space="preserve"> </w:t>
      </w:r>
      <w:r>
        <w:rPr>
          <w:i/>
        </w:rPr>
        <w:t xml:space="preserve">P &lt; 0.05</w:t>
      </w:r>
      <w:r>
        <w:t xml:space="preserve">).</w:t>
      </w:r>
    </w:p>
    <w:p>
      <w:pPr>
        <w:pStyle w:val="BodyText"/>
      </w:pPr>
      <w:r>
        <w:t xml:space="preserve">Additionally, a visualisation of how</w:t>
      </w:r>
      <w:r>
        <w:t xml:space="preserve"> </w:t>
      </w:r>
      <m:oMath>
        <m:sSub>
          <m:e>
            <m:r>
              <m:t>S</m:t>
            </m:r>
          </m:e>
          <m:sub>
            <m:r>
              <m:rPr>
                <m:sty m:val="p"/>
              </m:rPr>
              <m:t>H</m:t>
            </m:r>
            <m:r>
              <m:rPr>
                <m:sty m:val="p"/>
              </m:rPr>
              <m:t>D</m:t>
            </m:r>
            <m:r>
              <m:rPr>
                <m:sty m:val="p"/>
              </m:rPr>
              <m:t>S</m:t>
            </m:r>
          </m:sub>
        </m:sSub>
      </m:oMath>
      <w:r>
        <w:t xml:space="preserve"> </w:t>
      </w:r>
      <w:r>
        <w:t xml:space="preserve">is partitioned into</w:t>
      </w:r>
      <w:r>
        <w:t xml:space="preserve"> </w:t>
      </w:r>
      <m:oMath>
        <m:sSub>
          <m:e>
            <m:bar>
              <m:barPr>
                <m:pos m:val="top"/>
              </m:barPr>
              <m:e>
                <m:r>
                  <m:t>S</m:t>
                </m:r>
              </m:e>
            </m:bar>
          </m:e>
          <m:sub>
            <m:r>
              <m:rPr>
                <m:sty m:val="p"/>
              </m:rPr>
              <m:t>Q</m:t>
            </m:r>
            <m:r>
              <m:rPr>
                <m:sty m:val="p"/>
              </m:rPr>
              <m:t>D</m:t>
            </m:r>
            <m:r>
              <m:rPr>
                <m:sty m:val="p"/>
              </m:rPr>
              <m:t>S</m:t>
            </m:r>
          </m:sub>
        </m:sSub>
      </m:oMath>
      <w:r>
        <w:t xml:space="preserve"> </w:t>
      </w:r>
      <w:r>
        <w:t xml:space="preserve">and</w:t>
      </w:r>
      <w:r>
        <w:t xml:space="preserve"> </w:t>
      </w:r>
      <m:oMath>
        <m:sSub>
          <m:e>
            <m:r>
              <m:t>T</m:t>
            </m:r>
          </m:e>
          <m:sub>
            <m:r>
              <m:rPr>
                <m:sty m:val="p"/>
              </m:rPr>
              <m:t>Q</m:t>
            </m:r>
            <m:r>
              <m:rPr>
                <m:sty m:val="p"/>
              </m:rPr>
              <m:t>D</m:t>
            </m:r>
            <m:r>
              <m:rPr>
                <m:sty m:val="p"/>
              </m:rPr>
              <m:t>S</m:t>
            </m:r>
          </m:sub>
        </m:sSub>
      </m:oMath>
      <w:r>
        <w:t xml:space="preserve"> </w:t>
      </w:r>
      <w:r>
        <w:t xml:space="preserve">is presented in Figure 3a.</w:t>
      </w:r>
    </w:p>
    <w:p>
      <w:pPr>
        <w:pStyle w:val="BodyText"/>
      </w:pPr>
      <w:r>
        <w:t xml:space="preserve">We can conclude that broad scale species richness (i.e. that at the HDS scale) is more strongly driven by turnover between areas (i.e. QDS) than so in the SWAFR.</w:t>
      </w:r>
    </w:p>
    <w:p>
      <w:pPr>
        <w:pStyle w:val="BodyText"/>
      </w:pPr>
      <w:r>
        <w:t xml:space="preserve">…</w:t>
      </w:r>
    </w:p>
    <w:p>
      <w:pPr>
        <w:pStyle w:val="Heading2"/>
      </w:pPr>
      <w:bookmarkStart w:id="23" w:name="environmental-heterogeneity-as-an-explanation-of-species-richness"/>
      <w:r>
        <w:t xml:space="preserve">Environmental heterogeneity as an explanation of species richness</w:t>
      </w:r>
      <w:bookmarkEnd w:id="23"/>
    </w:p>
    <w:p>
      <w:pPr>
        <w:pStyle w:val="FirstParagraph"/>
      </w:pPr>
      <w:r>
        <w:t xml:space="preserve">Tables 4 and 5 present the results of simple linear regressions of each form of environmental heterogeneity separately as predictors of vascular plant species richness at the HDS-scale (</w:t>
      </w:r>
      <m:oMath>
        <m:sSub>
          <m:e>
            <m:r>
              <m:t>S</m:t>
            </m:r>
          </m:e>
          <m:sub>
            <m:r>
              <m:rPr>
                <m:sty m:val="p"/>
              </m:rPr>
              <m:t>H</m:t>
            </m:r>
            <m:r>
              <m:rPr>
                <m:sty m:val="p"/>
              </m:rPr>
              <m:t>D</m:t>
            </m:r>
            <m:r>
              <m:rPr>
                <m:sty m:val="p"/>
              </m:rPr>
              <m:t>S</m:t>
            </m:r>
          </m:sub>
        </m:sSub>
      </m:oMath>
      <w:r>
        <w:t xml:space="preserve">) and QDS-scale (</w:t>
      </w:r>
      <m:oMath>
        <m:sSub>
          <m:e>
            <m:r>
              <m:t>S</m:t>
            </m:r>
          </m:e>
          <m:sub>
            <m:r>
              <m:rPr>
                <m:sty m:val="p"/>
              </m:rPr>
              <m:t>Q</m:t>
            </m:r>
            <m:r>
              <m:rPr>
                <m:sty m:val="p"/>
              </m:rPr>
              <m:t>D</m:t>
            </m:r>
            <m:r>
              <m:rPr>
                <m:sty m:val="p"/>
              </m:rPr>
              <m:t>S</m:t>
            </m:r>
          </m:sub>
        </m:sSub>
      </m:oMath>
      <w:r>
        <w:t xml:space="preserve">). In each table, the</w:t>
      </w:r>
      <w:r>
        <w:t xml:space="preserve"> </w:t>
      </w:r>
      <w:r>
        <w:t xml:space="preserve">“</w:t>
      </w:r>
      <w:r>
        <w:t xml:space="preserve">best</w:t>
      </w:r>
      <w:r>
        <w:t xml:space="preserve">”</w:t>
      </w:r>
      <w:r>
        <w:t xml:space="preserve"> </w:t>
      </w:r>
      <w:r>
        <w:t xml:space="preserve">model (sensu</w:t>
      </w:r>
      <w:r>
        <w:t xml:space="preserve"> </w:t>
      </w:r>
      <w:r>
        <w:rPr>
          <w:i/>
        </w:rPr>
        <w:t xml:space="preserve">AIC</w:t>
      </w:r>
      <w:r>
        <w:t xml:space="preserve">) was select as the simplest model with</w:t>
      </w:r>
      <w:r>
        <w:t xml:space="preserve"> </w:t>
      </w:r>
      <w:r>
        <w:rPr>
          <w:i/>
        </w:rPr>
        <w:t xml:space="preserve">∆AIC</w:t>
      </w:r>
      <w:r>
        <w:t xml:space="preserve"> </w:t>
      </w:r>
      <w:r>
        <w:t xml:space="preserve">&lt; 2—i.e. a more complex model was only justified when it had the lowest</w:t>
      </w:r>
      <w:r>
        <w:t xml:space="preserve"> </w:t>
      </w:r>
      <w:r>
        <w:rPr>
          <w:i/>
        </w:rPr>
        <w:t xml:space="preserve">AIC</w:t>
      </w:r>
      <w:r>
        <w:t xml:space="preserve">-score by more than 2</w:t>
      </w:r>
      <w:r>
        <w:t xml:space="preserve"> </w:t>
      </w:r>
      <w:r>
        <w:rPr>
          <w:i/>
        </w:rPr>
        <w:t xml:space="preserve">AIC</w:t>
      </w:r>
      <w:r>
        <w:t xml:space="preserve">-units.</w:t>
      </w:r>
    </w:p>
    <w:p>
      <w:pPr>
        <w:pStyle w:val="BodyText"/>
      </w:pPr>
      <w:r>
        <w:t xml:space="preserve">For</w:t>
      </w:r>
      <w:r>
        <w:t xml:space="preserve"> </w:t>
      </w:r>
      <m:oMath>
        <m:sSub>
          <m:e>
            <m:r>
              <m:t>S</m:t>
            </m:r>
          </m:e>
          <m:sub>
            <m:r>
              <m:rPr>
                <m:sty m:val="p"/>
              </m:rPr>
              <m:t>H</m:t>
            </m:r>
            <m:r>
              <m:rPr>
                <m:sty m:val="p"/>
              </m:rPr>
              <m:t>D</m:t>
            </m:r>
            <m:r>
              <m:rPr>
                <m:sty m:val="p"/>
              </m:rPr>
              <m:t>S</m:t>
            </m:r>
          </m:sub>
        </m:sSub>
      </m:oMath>
      <w:r>
        <w:t xml:space="preserve"> </w:t>
      </w:r>
      <w:r>
        <w:t xml:space="preserve">(Table 4), there is evidence for a great difference in the slopes of the GCFR and SWAFR’s relationships with heterogeneity in MAP. Heterogneity in NDVI and clay only present evidence for the same slope in each region, but differing intercepts. Heterogeneity in CEC and pH have non-significant slopes and signficiant region-effects—suggesting that these variables values’ have weak relationships with</w:t>
      </w:r>
      <w:r>
        <w:t xml:space="preserve"> </w:t>
      </w:r>
      <m:oMath>
        <m:sSub>
          <m:e>
            <m:r>
              <m:t>S</m:t>
            </m:r>
          </m:e>
          <m:sub>
            <m:r>
              <m:rPr>
                <m:sty m:val="p"/>
              </m:rPr>
              <m:t>H</m:t>
            </m:r>
            <m:r>
              <m:rPr>
                <m:sty m:val="p"/>
              </m:rPr>
              <m:t>D</m:t>
            </m:r>
            <m:r>
              <m:rPr>
                <m:sty m:val="p"/>
              </m:rPr>
              <m:t>S</m:t>
            </m:r>
          </m:sub>
        </m:sSub>
      </m:oMath>
      <w:r>
        <w:t xml:space="preserve">, and that the region-effect explains more of the variance. Other variables (heterogeneity in elevation, PDQ, surface T and soil C) only present evidence for a continuous effect of that heterogeneity, explaining the difference in the regions’</w:t>
      </w:r>
      <w:r>
        <w:t xml:space="preserve"> </w:t>
      </w:r>
      <m:oMath>
        <m:sSub>
          <m:e>
            <m:r>
              <m:t>S</m:t>
            </m:r>
          </m:e>
          <m:sub>
            <m:r>
              <m:rPr>
                <m:sty m:val="p"/>
              </m:rPr>
              <m:t>H</m:t>
            </m:r>
            <m:r>
              <m:rPr>
                <m:sty m:val="p"/>
              </m:rPr>
              <m:t>D</m:t>
            </m:r>
            <m:r>
              <m:rPr>
                <m:sty m:val="p"/>
              </m:rPr>
              <m:t>S</m:t>
            </m:r>
          </m:sub>
        </m:sSub>
      </m:oMath>
      <w:r>
        <w:t xml:space="preserve"> </w:t>
      </w:r>
      <w:r>
        <w:t xml:space="preserve">in terms of the roughness values themselves, without the need to invoke a region term. Think of it this way:</w:t>
      </w:r>
    </w:p>
    <w:p>
      <w:pPr>
        <w:pStyle w:val="Compact"/>
        <w:numPr>
          <w:numId w:val="1001"/>
          <w:ilvl w:val="0"/>
        </w:numPr>
      </w:pPr>
      <w:r>
        <w:t xml:space="preserve">If there is no need for any information concerning the region a cell belongs to, then the environmental roughness</w:t>
      </w:r>
      <w:r>
        <w:t xml:space="preserve"> </w:t>
      </w:r>
      <w:r>
        <w:t xml:space="preserve">“</w:t>
      </w:r>
      <w:r>
        <w:t xml:space="preserve">rule</w:t>
      </w:r>
      <w:r>
        <w:t xml:space="preserve">”</w:t>
      </w:r>
      <w:r>
        <w:t xml:space="preserve"> </w:t>
      </w:r>
      <w:r>
        <w:t xml:space="preserve">is followed well across the two regions in a similar way.</w:t>
      </w:r>
    </w:p>
    <w:p>
      <w:pPr>
        <w:pStyle w:val="Compact"/>
        <w:numPr>
          <w:numId w:val="1001"/>
          <w:ilvl w:val="0"/>
        </w:numPr>
      </w:pPr>
      <w:r>
        <w:t xml:space="preserve">If the region-effect is significant, but not the roughness effect, then that roughness axis isn’t doing a very good job of explaining anything, and must defer to the region-effect.</w:t>
      </w:r>
    </w:p>
    <w:p>
      <w:pPr>
        <w:pStyle w:val="Compact"/>
        <w:numPr>
          <w:numId w:val="1001"/>
          <w:ilvl w:val="0"/>
        </w:numPr>
      </w:pPr>
      <w:r>
        <w:t xml:space="preserve">When both the region- and roughness-effect are significant, this represents a softer version of the above, where the roughness axis can explain some variance, but not all.</w:t>
      </w:r>
    </w:p>
    <w:p>
      <w:pPr>
        <w:pStyle w:val="Compact"/>
        <w:numPr>
          <w:numId w:val="1001"/>
          <w:ilvl w:val="0"/>
        </w:numPr>
      </w:pPr>
      <w:r>
        <w:t xml:space="preserve">When there is a significant interaction between region and roughness, then each region is playing a whole new game with that axes in terms of how richness is being driven.</w:t>
      </w:r>
    </w:p>
    <w:p>
      <w:pPr>
        <w:pStyle w:val="FirstParagraph"/>
      </w:pPr>
      <w:r>
        <w:t xml:space="preserve">I also regressed against PC1. Like heterogeneity in elevation and surface T, PC1 was the only explanatory variable</w:t>
      </w:r>
      <w:r>
        <w:t xml:space="preserve"> </w:t>
      </w:r>
      <w:r>
        <w:t xml:space="preserve">“</w:t>
      </w:r>
      <w:r>
        <w:t xml:space="preserve">needed</w:t>
      </w:r>
      <w:r>
        <w:t xml:space="preserve">”</w:t>
      </w:r>
      <w:r>
        <w:t xml:space="preserve"> </w:t>
      </w:r>
      <w:r>
        <w:t xml:space="preserve">in regressions for</w:t>
      </w:r>
      <w:r>
        <w:t xml:space="preserve"> </w:t>
      </w:r>
      <m:oMath>
        <m:sSub>
          <m:e>
            <m:r>
              <m:t>S</m:t>
            </m:r>
          </m:e>
          <m:sub>
            <m:r>
              <m:rPr>
                <m:sty m:val="p"/>
              </m:rPr>
              <m:t>H</m:t>
            </m:r>
            <m:r>
              <m:rPr>
                <m:sty m:val="p"/>
              </m:rPr>
              <m:t>D</m:t>
            </m:r>
            <m:r>
              <m:rPr>
                <m:sty m:val="p"/>
              </m:rPr>
              <m:t>S</m:t>
            </m:r>
          </m:sub>
        </m:sSub>
      </m:oMath>
      <w:r>
        <w:t xml:space="preserve"> </w:t>
      </w:r>
      <w:r>
        <w:t xml:space="preserve">(also see Figure 4) and</w:t>
      </w:r>
      <w:r>
        <w:t xml:space="preserve"> </w:t>
      </w:r>
      <m:oMath>
        <m:sSub>
          <m:e>
            <m:r>
              <m:t>S</m:t>
            </m:r>
          </m:e>
          <m:sub>
            <m:r>
              <m:rPr>
                <m:sty m:val="p"/>
              </m:rPr>
              <m:t>Q</m:t>
            </m:r>
            <m:r>
              <m:rPr>
                <m:sty m:val="p"/>
              </m:rPr>
              <m:t>D</m:t>
            </m:r>
            <m:r>
              <m:rPr>
                <m:sty m:val="p"/>
              </m:rPr>
              <m:t>S</m:t>
            </m:r>
          </m:sub>
        </m:sSub>
      </m:oMath>
      <w:r>
        <w:t xml:space="preserve">. Figure 4 shows quite nicely how, in general, the GCFR and SWAFR are following the same</w:t>
      </w:r>
      <w:r>
        <w:t xml:space="preserve"> </w:t>
      </w:r>
      <w:r>
        <w:t xml:space="preserve">“</w:t>
      </w:r>
      <w:r>
        <w:t xml:space="preserve">rule</w:t>
      </w:r>
      <w:r>
        <w:t xml:space="preserve">”</w:t>
      </w:r>
      <w:r>
        <w:t xml:space="preserve"> </w:t>
      </w:r>
      <w:r>
        <w:t xml:space="preserve">(species richness increases with increasing environmental heterogeneity (PC1)) but occupy different areas along that relationship (the GCFR being more rich and more rough than the SWAFR).</w:t>
      </w:r>
    </w:p>
    <w:p>
      <w:pPr>
        <w:pStyle w:val="BodyText"/>
      </w:pPr>
      <w:r>
        <w:t xml:space="preserve">…</w:t>
      </w:r>
    </w:p>
    <w:p>
      <w:pPr>
        <w:pStyle w:val="CaptionedFigure"/>
      </w:pPr>
      <w:r>
        <w:drawing>
          <wp:inline>
            <wp:extent cx="3810000" cy="2540000"/>
            <wp:effectExtent b="0" l="0" r="0" t="0"/>
            <wp:docPr descr="Simple linear regressions of the common language effect size (CLES) of (a–i) various forms of EH and (j) the first principal component of EH (PC1), where the CLES is treated as the effect of GCFR relative to SWAFR values. Only significant or marginally significant fits are plotted (…). Grey bands denote 95% confidence intervals about the fitted lines. Across the five spatial scales, all CLES-values differed significantly from zero following two-sided t-tests (P &lt; 0.001). PC1 accounted for between 43.64 and 46.40% of the variation in EH values across the five spatial scales." title="" id="1" name="Picture"/>
            <a:graphic>
              <a:graphicData uri="http://schemas.openxmlformats.org/drawingml/2006/picture">
                <pic:pic>
                  <pic:nvPicPr>
                    <pic:cNvPr descr="/Users/ruanvanmazijk/GitHub-repos/Cape-vs-SWA/draft-02/manuscript/figures/fig-1-CLES-EH-fits.pdf"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Simple linear regressions of the common language effect size (</w:t>
      </w:r>
      <w:r>
        <w:rPr>
          <w:i/>
        </w:rPr>
        <w:t xml:space="preserve">CLES</w:t>
      </w:r>
      <w:r>
        <w:t xml:space="preserve">) of (a–i) various forms of EH and (j) the first principal component of EH (PC1), where the</w:t>
      </w:r>
      <w:r>
        <w:t xml:space="preserve"> </w:t>
      </w:r>
      <w:r>
        <w:rPr>
          <w:i/>
        </w:rPr>
        <w:t xml:space="preserve">CLES</w:t>
      </w:r>
      <w:r>
        <w:t xml:space="preserve"> </w:t>
      </w:r>
      <w:r>
        <w:t xml:space="preserve">is treated as the effect of GCFR relative to SWAFR values. Only significant or marginally significant fits are plotted (…). Grey bands denote 95% confidence intervals about the fitted lines. Across the five spatial scales, all</w:t>
      </w:r>
      <w:r>
        <w:t xml:space="preserve"> </w:t>
      </w:r>
      <w:r>
        <w:rPr>
          <w:i/>
        </w:rPr>
        <w:t xml:space="preserve">CLES</w:t>
      </w:r>
      <w:r>
        <w:t xml:space="preserve">-values differed significantly from zero following two-sided</w:t>
      </w:r>
      <w:r>
        <w:t xml:space="preserve"> </w:t>
      </w:r>
      <m:oMath>
        <m:r>
          <m:t>t</m:t>
        </m:r>
      </m:oMath>
      <w:r>
        <w:t xml:space="preserve">-tests (</w:t>
      </w:r>
      <w:r>
        <w:rPr>
          <w:i/>
        </w:rPr>
        <w:t xml:space="preserve">P &lt; 0.001</w:t>
      </w:r>
      <w:r>
        <w:t xml:space="preserve">). PC1 accounted for between 43.64 and 46.40% of the variation in EH values across the five spatial scales.</w:t>
      </w:r>
    </w:p>
    <w:p>
      <w:pPr>
        <w:pStyle w:val="CaptionedFigure"/>
      </w:pPr>
      <w:r>
        <w:drawing>
          <wp:inline>
            <wp:extent cx="3810000" cy="2540000"/>
            <wp:effectExtent b="0" l="0" r="0" t="0"/>
            <wp:docPr descr="(a) Scatter plot of mean QDS-scale richness (\overline{S}_{\mathrm{QDS}}) and turnover (T_{\mathrm{QDS}}) with contour lines denoting the S_{\mathrm{HDS}} that would arise as their sum (i.e. increasing from lower-left to upper-right). Distributions of (a) HDS-scale species richness (S_{\mathrm{HDS}}) and (b) the turnover partition of that richness expressed as proportion (T_{\mathrm{QDS}} / S_{\mathrm{HDS}})." title="" id="1" name="Picture"/>
            <a:graphic>
              <a:graphicData uri="http://schemas.openxmlformats.org/drawingml/2006/picture">
                <pic:pic>
                  <pic:nvPicPr>
                    <pic:cNvPr descr="/Users/ruanvanmazijk/GitHub-repos/Cape-vs-SWA/draft-02/manuscript/figures/fig-2-partition-richness_manual-edit.pdf"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 Scatter plot of mean QDS-scale richness (</w:t>
      </w:r>
      <m:oMath>
        <m:sSub>
          <m:e>
            <m:bar>
              <m:barPr>
                <m:pos m:val="top"/>
              </m:barPr>
              <m:e>
                <m:r>
                  <m:t>S</m:t>
                </m:r>
              </m:e>
            </m:bar>
          </m:e>
          <m:sub>
            <m:r>
              <m:rPr>
                <m:sty m:val="p"/>
              </m:rPr>
              <m:t>Q</m:t>
            </m:r>
            <m:r>
              <m:rPr>
                <m:sty m:val="p"/>
              </m:rPr>
              <m:t>D</m:t>
            </m:r>
            <m:r>
              <m:rPr>
                <m:sty m:val="p"/>
              </m:rPr>
              <m:t>S</m:t>
            </m:r>
          </m:sub>
        </m:sSub>
      </m:oMath>
      <w:r>
        <w:t xml:space="preserve">) and turnover (</w:t>
      </w:r>
      <m:oMath>
        <m:sSub>
          <m:e>
            <m:r>
              <m:t>T</m:t>
            </m:r>
          </m:e>
          <m:sub>
            <m:r>
              <m:rPr>
                <m:sty m:val="p"/>
              </m:rPr>
              <m:t>Q</m:t>
            </m:r>
            <m:r>
              <m:rPr>
                <m:sty m:val="p"/>
              </m:rPr>
              <m:t>D</m:t>
            </m:r>
            <m:r>
              <m:rPr>
                <m:sty m:val="p"/>
              </m:rPr>
              <m:t>S</m:t>
            </m:r>
          </m:sub>
        </m:sSub>
      </m:oMath>
      <w:r>
        <w:t xml:space="preserve">) with contour lines denoting the</w:t>
      </w:r>
      <w:r>
        <w:t xml:space="preserve"> </w:t>
      </w:r>
      <m:oMath>
        <m:sSub>
          <m:e>
            <m:r>
              <m:t>S</m:t>
            </m:r>
          </m:e>
          <m:sub>
            <m:r>
              <m:rPr>
                <m:sty m:val="p"/>
              </m:rPr>
              <m:t>H</m:t>
            </m:r>
            <m:r>
              <m:rPr>
                <m:sty m:val="p"/>
              </m:rPr>
              <m:t>D</m:t>
            </m:r>
            <m:r>
              <m:rPr>
                <m:sty m:val="p"/>
              </m:rPr>
              <m:t>S</m:t>
            </m:r>
          </m:sub>
        </m:sSub>
      </m:oMath>
      <w:r>
        <w:t xml:space="preserve"> </w:t>
      </w:r>
      <w:r>
        <w:t xml:space="preserve">that would arise as their sum (i.e. increasing from lower-left to upper-right). Distributions of (a) HDS-scale species richness (</w:t>
      </w:r>
      <m:oMath>
        <m:sSub>
          <m:e>
            <m:r>
              <m:t>S</m:t>
            </m:r>
          </m:e>
          <m:sub>
            <m:r>
              <m:rPr>
                <m:sty m:val="p"/>
              </m:rPr>
              <m:t>H</m:t>
            </m:r>
            <m:r>
              <m:rPr>
                <m:sty m:val="p"/>
              </m:rPr>
              <m:t>D</m:t>
            </m:r>
            <m:r>
              <m:rPr>
                <m:sty m:val="p"/>
              </m:rPr>
              <m:t>S</m:t>
            </m:r>
          </m:sub>
        </m:sSub>
      </m:oMath>
      <w:r>
        <w:t xml:space="preserve">) and (b) the turnover partition of that richness expressed as proportion (</w:t>
      </w:r>
      <m:oMath>
        <m:sSub>
          <m:e>
            <m:r>
              <m:t>T</m:t>
            </m:r>
          </m:e>
          <m:sub>
            <m:r>
              <m:rPr>
                <m:sty m:val="p"/>
              </m:rPr>
              <m:t>Q</m:t>
            </m:r>
            <m:r>
              <m:rPr>
                <m:sty m:val="p"/>
              </m:rPr>
              <m:t>D</m:t>
            </m:r>
            <m:r>
              <m:rPr>
                <m:sty m:val="p"/>
              </m:rPr>
              <m:t>S</m:t>
            </m:r>
          </m:sub>
        </m:sSub>
        <m:r>
          <m:t>/</m:t>
        </m:r>
        <m:sSub>
          <m:e>
            <m:r>
              <m:t>S</m:t>
            </m:r>
          </m:e>
          <m:sub>
            <m:r>
              <m:rPr>
                <m:sty m:val="p"/>
              </m:rPr>
              <m:t>H</m:t>
            </m:r>
            <m:r>
              <m:rPr>
                <m:sty m:val="p"/>
              </m:rPr>
              <m:t>D</m:t>
            </m:r>
            <m:r>
              <m:rPr>
                <m:sty m:val="p"/>
              </m:rPr>
              <m:t>S</m:t>
            </m:r>
          </m:sub>
        </m:sSub>
      </m:oMath>
      <w:r>
        <w:t xml:space="preserve">).</w:t>
      </w:r>
    </w:p>
    <w:p>
      <w:pPr>
        <w:pStyle w:val="CaptionedFigure"/>
      </w:pPr>
      <w:r>
        <w:drawing>
          <wp:inline>
            <wp:extent cx="3810000" cy="2540000"/>
            <wp:effectExtent b="0" l="0" r="0" t="0"/>
            <wp:docPr descr="Fits of simple linear regressions of (a) S_{\mathrm{HDS}} (R2 = 0.23) and (b) S_{\mathrm{QDS}} (R2 = 0.15) against each respective scale’s PC1-values. Grey bands denote 95% confidence intervals. When calculated at the QDS-scale, PC1 explained 39.86% of the variation in EH, while at the HDS-scale PC1 explained 41.55% of the variation in EH." title="" id="1" name="Picture"/>
            <a:graphic>
              <a:graphicData uri="http://schemas.openxmlformats.org/drawingml/2006/picture">
                <pic:pic>
                  <pic:nvPicPr>
                    <pic:cNvPr descr="/Users/ruanvanmazijk/GitHub-repos/Cape-vs-SWA/draft-02/manuscript/figures/fig-3-PC1-model-fits.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Fits of simple linear regressions of (a)</w:t>
      </w:r>
      <w:r>
        <w:t xml:space="preserve"> </w:t>
      </w:r>
      <m:oMath>
        <m:sSub>
          <m:e>
            <m:r>
              <m:t>S</m:t>
            </m:r>
          </m:e>
          <m:sub>
            <m:r>
              <m:rPr>
                <m:sty m:val="p"/>
              </m:rPr>
              <m:t>H</m:t>
            </m:r>
            <m:r>
              <m:rPr>
                <m:sty m:val="p"/>
              </m:rPr>
              <m:t>D</m:t>
            </m:r>
            <m:r>
              <m:rPr>
                <m:sty m:val="p"/>
              </m:rPr>
              <m:t>S</m:t>
            </m:r>
          </m:sub>
        </m:sSub>
      </m:oMath>
      <w:r>
        <w:t xml:space="preserve"> </w:t>
      </w:r>
      <w:r>
        <w:t xml:space="preserve">(</w:t>
      </w:r>
      <w:r>
        <w:rPr>
          <w:i/>
        </w:rPr>
        <w:t xml:space="preserve">R</w:t>
      </w:r>
      <w:r>
        <w:rPr>
          <w:vertAlign w:val="superscript"/>
        </w:rPr>
        <w:t xml:space="preserve">2</w:t>
      </w:r>
      <w:r>
        <w:t xml:space="preserve"> </w:t>
      </w:r>
      <w:r>
        <w:t xml:space="preserve">= 0.23) and (b)</w:t>
      </w:r>
      <w:r>
        <w:t xml:space="preserve"> </w:t>
      </w:r>
      <m:oMath>
        <m:sSub>
          <m:e>
            <m:r>
              <m:t>S</m:t>
            </m:r>
          </m:e>
          <m:sub>
            <m:r>
              <m:rPr>
                <m:sty m:val="p"/>
              </m:rPr>
              <m:t>Q</m:t>
            </m:r>
            <m:r>
              <m:rPr>
                <m:sty m:val="p"/>
              </m:rPr>
              <m:t>D</m:t>
            </m:r>
            <m:r>
              <m:rPr>
                <m:sty m:val="p"/>
              </m:rPr>
              <m:t>S</m:t>
            </m:r>
          </m:sub>
        </m:sSub>
      </m:oMath>
      <w:r>
        <w:t xml:space="preserve"> </w:t>
      </w:r>
      <w:r>
        <w:t xml:space="preserve">(</w:t>
      </w:r>
      <w:r>
        <w:rPr>
          <w:i/>
        </w:rPr>
        <w:t xml:space="preserve">R</w:t>
      </w:r>
      <w:r>
        <w:rPr>
          <w:vertAlign w:val="superscript"/>
        </w:rPr>
        <w:t xml:space="preserve">2</w:t>
      </w:r>
      <w:r>
        <w:t xml:space="preserve"> </w:t>
      </w:r>
      <w:r>
        <w:t xml:space="preserve">= 0.15) against each respective scale’s PC1-values. Grey bands denote 95% confidence intervals. When calculated at the QDS-scale, PC1 explained 39.86% of the variation in EH, while at the HDS-scale PC1 explained 41.55% of the variation in EH.</w:t>
      </w:r>
    </w:p>
    <w:p>
      <w:pPr>
        <w:pStyle w:val="CaptionedFigure"/>
      </w:pPr>
      <w:r>
        <w:drawing>
          <wp:inline>
            <wp:extent cx="3810000" cy="2540000"/>
            <wp:effectExtent b="0" l="0" r="0" t="0"/>
            <wp:docPr descr="Slope estimates of the multiple linear regressions of (a) S_{\mathrm{HDS}} ({R^2}_{adj} = 0.49) and (b) S_{\mathrm{QDS}} ({R^2}_{adj} = 0.33) againt the various forsm of EH. Each model was simplified, from a starting model with all predictors and their interactions with region, using reverse stepwise regression model selection based on AIC-scores in R. Points with error bars denote slope estimates and their 95% confidence intervals. Estimates illustrated in black were significant (P &lt; 0.05), while those in grey were not." title="" id="1" name="Picture"/>
            <a:graphic>
              <a:graphicData uri="http://schemas.openxmlformats.org/drawingml/2006/picture">
                <pic:pic>
                  <pic:nvPicPr>
                    <pic:cNvPr descr="/Users/ruanvanmazijk/GitHub-repos/Cape-vs-SWA/draft-02/manuscript/figures/fig-4-multivariate-model-terms.pdf"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Slope estimates of the multiple linear regressions of (a)</w:t>
      </w:r>
      <w:r>
        <w:t xml:space="preserve"> </w:t>
      </w:r>
      <m:oMath>
        <m:sSub>
          <m:e>
            <m:r>
              <m:t>S</m:t>
            </m:r>
          </m:e>
          <m:sub>
            <m:r>
              <m:rPr>
                <m:sty m:val="p"/>
              </m:rPr>
              <m:t>H</m:t>
            </m:r>
            <m:r>
              <m:rPr>
                <m:sty m:val="p"/>
              </m:rPr>
              <m:t>D</m:t>
            </m:r>
            <m:r>
              <m:rPr>
                <m:sty m:val="p"/>
              </m:rPr>
              <m:t>S</m:t>
            </m:r>
          </m:sub>
        </m:sSub>
      </m:oMath>
      <w:r>
        <w:t xml:space="preserve"> </w:t>
      </w:r>
      <w:r>
        <w:t xml:space="preserve">(</w:t>
      </w:r>
      <m:oMath>
        <m:sSub>
          <m:e>
            <m:sSup>
              <m:e>
                <m:r>
                  <m:t>R</m:t>
                </m:r>
              </m:e>
              <m:sup>
                <m:r>
                  <m:t>2</m:t>
                </m:r>
              </m:sup>
            </m:sSup>
          </m:e>
          <m:sub>
            <m:r>
              <m:t>a</m:t>
            </m:r>
            <m:r>
              <m:t>d</m:t>
            </m:r>
            <m:r>
              <m:t>j</m:t>
            </m:r>
          </m:sub>
        </m:sSub>
        <m:r>
          <m:t>=</m:t>
        </m:r>
        <m:r>
          <m:t>0.49</m:t>
        </m:r>
      </m:oMath>
      <w:r>
        <w:t xml:space="preserve">) and (b)</w:t>
      </w:r>
      <w:r>
        <w:t xml:space="preserve"> </w:t>
      </w:r>
      <m:oMath>
        <m:sSub>
          <m:e>
            <m:r>
              <m:t>S</m:t>
            </m:r>
          </m:e>
          <m:sub>
            <m:r>
              <m:rPr>
                <m:sty m:val="p"/>
              </m:rPr>
              <m:t>Q</m:t>
            </m:r>
            <m:r>
              <m:rPr>
                <m:sty m:val="p"/>
              </m:rPr>
              <m:t>D</m:t>
            </m:r>
            <m:r>
              <m:rPr>
                <m:sty m:val="p"/>
              </m:rPr>
              <m:t>S</m:t>
            </m:r>
          </m:sub>
        </m:sSub>
      </m:oMath>
      <w:r>
        <w:t xml:space="preserve"> </w:t>
      </w:r>
      <w:r>
        <w:t xml:space="preserve">(</w:t>
      </w:r>
      <m:oMath>
        <m:sSub>
          <m:e>
            <m:sSup>
              <m:e>
                <m:r>
                  <m:t>R</m:t>
                </m:r>
              </m:e>
              <m:sup>
                <m:r>
                  <m:t>2</m:t>
                </m:r>
              </m:sup>
            </m:sSup>
          </m:e>
          <m:sub>
            <m:r>
              <m:t>a</m:t>
            </m:r>
            <m:r>
              <m:t>d</m:t>
            </m:r>
            <m:r>
              <m:t>j</m:t>
            </m:r>
          </m:sub>
        </m:sSub>
        <m:r>
          <m:t>=</m:t>
        </m:r>
        <m:r>
          <m:t>0.33</m:t>
        </m:r>
      </m:oMath>
      <w:r>
        <w:t xml:space="preserve">) againt the various forsm of EH. Each model was simplified, from a starting model with all predictors and their interactions with region, using reverse stepwise regression model selection based on</w:t>
      </w:r>
      <w:r>
        <w:t xml:space="preserve"> </w:t>
      </w:r>
      <w:r>
        <w:rPr>
          <w:i/>
        </w:rPr>
        <w:t xml:space="preserve">AIC</w:t>
      </w:r>
      <w:r>
        <w:t xml:space="preserve">-scores in R. Points with error bars denote slope estimates and their 95% confidence intervals. Estimates illustrated in black were significant (</w:t>
      </w:r>
      <w:r>
        <w:rPr>
          <w:i/>
        </w:rPr>
        <w:t xml:space="preserve">P &lt; 0.05</w:t>
      </w:r>
      <w:r>
        <w:t xml:space="preserve">), while those in grey were not.</w:t>
      </w:r>
    </w:p>
    <w:sectPr w:rsidR="00453BFF" w:rsidSect="00876111">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df" /><Relationship Type="http://schemas.openxmlformats.org/officeDocument/2006/relationships/image" Id="rId25" Target="media/rId25.pdf" /><Relationship Type="http://schemas.openxmlformats.org/officeDocument/2006/relationships/image" Id="rId26" Target="media/rId26.pdf" /><Relationship Type="http://schemas.openxmlformats.org/officeDocument/2006/relationships/image" Id="rId27" Target="media/rId27.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48</Words>
  <Characters>278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Environmental heterogeneity patterns plant species richness and turnover in two hyperdiverse floras</vt:lpstr>
    </vt:vector>
  </TitlesOfParts>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2019-08-14T15:20:19Z</dcterms:created>
  <dcterms:modified xsi:type="dcterms:W3CDTF">2019-08-14T15:20:19Z</dcterms:modified>
</cp:coreProperties>
</file>