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CD1AC" w14:textId="77777777" w:rsidR="00D04776" w:rsidRDefault="00D04776" w:rsidP="00D04776">
      <w:pPr>
        <w:pStyle w:val="Heading1"/>
      </w:pPr>
      <w:bookmarkStart w:id="0" w:name="materials-and-methods"/>
      <w:r>
        <w:t>Introduction</w:t>
      </w:r>
    </w:p>
    <w:p w14:paraId="5CA48634" w14:textId="2FA78755" w:rsidR="00D04776" w:rsidRPr="002F0553" w:rsidRDefault="00D04776" w:rsidP="00D04776">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 1987, 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(refs), with physically-heterogeneous regions being especially prone to be species-rich (refs). For example, given that the recruitment success of immigrant lineages into a region is often dictated by the pre-adaptations of those lineages (Ackerly, Donoghue, Crisp), a physically-heterogenous environment may promote diversity by admitting a</w:t>
      </w:r>
      <w:r>
        <w:t xml:space="preserve"> more functionally-diverse array of</w:t>
      </w:r>
      <w:r w:rsidRPr="002F0553">
        <w:t xml:space="preserve"> immigrant lineages (ref).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(Wiens 2004a, b; Sobel et al. 2010; Nosil?).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(refs Byrne?). Finally, </w:t>
      </w:r>
      <w:r w:rsidR="007948F4">
        <w:t>environmental heterogeneity</w:t>
      </w:r>
      <w:r w:rsidRPr="002F0553">
        <w:t xml:space="preserve"> has repeatedly been shown to facilitate species coexistence at a variety of scales, and so enhance regional species richness (refs).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77777777" w:rsidR="00D04776" w:rsidRDefault="00D04776" w:rsidP="00D04776">
      <w:pPr>
        <w:pStyle w:val="FirstParagraph"/>
      </w:pPr>
      <w:r w:rsidRPr="002F0553">
        <w:t xml:space="preserve">The </w:t>
      </w:r>
      <w:r>
        <w:t xml:space="preserve">floristically-rich </w:t>
      </w:r>
      <w:r w:rsidRPr="002F0553">
        <w:t xml:space="preserve">South Western Australian Floristic Region (SWAFR; Hopper and Gioia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and He 2017) or Late Miocene (GCFR: Dupont et al. 2011; Hoffmann et al 2015). </w:t>
      </w:r>
      <w:r>
        <w:t>In addition</w:t>
      </w:r>
      <w:r w:rsidRPr="00A432DE">
        <w:t xml:space="preserve">, both regions have been unglaciated since </w:t>
      </w:r>
      <w:r w:rsidRPr="00A432DE">
        <w:lastRenderedPageBreak/>
        <w:t>the Permian and are dominated by ancient, weathered landscapes whose soil-nutritional status is amongst the lowest of any landscape on Earth (Stock and Verboom)</w:t>
      </w:r>
      <w:r>
        <w:t xml:space="preserve">, hence their designation as “OCBILs” (“old, climatically-buffered infertile landscapes”; Hopper 2009). Owing to these environmental similarities, the SWAFR and GCFR floras are very similar in terms of their functional trait spectra (Cowling and Witkowski 1994), though the presence of a significant tree component in the SWAFR underpins a striking difference in vegetation physiognomy (ref). Moreover, the long-term climatic and geological stability of the two regions ensures that the native floras of both reflect long histories of assembly, extending back to the Palaeocene and possibly even earlier (refs), with evidence of a long history of transoceanic dispersal between the two (refs). In this context, it is unsurprising that the two floras show strong taxonomic affinities and that both are species-rich, with high levels of regional endemism (refs). </w:t>
      </w:r>
    </w:p>
    <w:p w14:paraId="33297E6E" w14:textId="308FB23F" w:rsidR="00D04776" w:rsidRDefault="00D04776" w:rsidP="00D04776">
      <w:pPr>
        <w:pStyle w:val="FirstParagraph"/>
      </w:pPr>
      <w:r>
        <w:t>Notwithstanding these similarities, the SWAFR and GCFR differ markedly in terms of their vascular plant species</w:t>
      </w:r>
      <w:r w:rsidR="001541B2">
        <w:t xml:space="preserve"> </w:t>
      </w:r>
      <w:r>
        <w:t>richness, particularly when considered in relation to geographical area. Where the SWAFR accommodates ~7,380 species in an area of ~302,600 km</w:t>
      </w:r>
      <w:r>
        <w:rPr>
          <w:vertAlign w:val="superscript"/>
        </w:rPr>
        <w:t>2</w:t>
      </w:r>
      <w:r>
        <w:t xml:space="preserve"> (i.e. 0.024 species km</w:t>
      </w:r>
      <w:r>
        <w:rPr>
          <w:vertAlign w:val="superscript"/>
        </w:rPr>
        <w:t>-2</w:t>
      </w:r>
      <w:r>
        <w:t>; Hopper and Gioia 2004), the GCFR accommodates ~11,430 species in an area of ~189,700 km</w:t>
      </w:r>
      <w:r>
        <w:rPr>
          <w:vertAlign w:val="superscript"/>
        </w:rPr>
        <w:t>2</w:t>
      </w:r>
      <w:r>
        <w:t xml:space="preserve"> (i.e. 0.060 species km</w:t>
      </w:r>
      <w:r>
        <w:rPr>
          <w:vertAlign w:val="superscript"/>
        </w:rPr>
        <w:t>-2</w:t>
      </w:r>
      <w:r>
        <w:t>; Snijman 2013). One explanation for this striking 2.5-fold species richness difference (per area) relates to differences in the physical heterogeneity of the two regions. Where much of the GCFR, particularly the hyper-diverse (~9,400 species in ~90,800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 and half-degree square (HDS) scales</w:t>
      </w:r>
      <w:r w:rsidR="000F59F5">
        <w:t xml:space="preserve"> (sensu Larsen et al., 2009)</w:t>
      </w:r>
      <w:r>
        <w:t>, we first compare the distribution of species richness between the two regions</w:t>
      </w:r>
      <w:r w:rsidR="00E96D62">
        <w:t xml:space="preserve">, and </w:t>
      </w:r>
      <w:r w:rsidR="0059637F">
        <w:t>each region</w:t>
      </w:r>
      <w:r w:rsidR="00E96D62">
        <w:t xml:space="preserve"> decompos</w:t>
      </w:r>
      <w:r w:rsidR="0059637F">
        <w:t>e HDS richness</w:t>
      </w:r>
      <w:r w:rsidR="00E96D62">
        <w:t xml:space="preserve"> in</w:t>
      </w:r>
      <w:r w:rsidR="004F6F8D">
        <w:t>to</w:t>
      </w:r>
      <w:r w:rsidR="00E96D62">
        <w:t xml:space="preserve"> mean QDS richness and between-QDS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7777777" w:rsidR="00DD2348" w:rsidRDefault="005F0FFB">
      <w:pPr>
        <w:pStyle w:val="Heading1"/>
      </w:pPr>
      <w:r>
        <w:lastRenderedPageBreak/>
        <w:t>Materials and methods</w:t>
      </w:r>
      <w:bookmarkEnd w:id="0"/>
    </w:p>
    <w:p w14:paraId="37E86CBC" w14:textId="1631D969" w:rsidR="00D04776" w:rsidRDefault="00D04776" w:rsidP="00D04776">
      <w:pPr>
        <w:pStyle w:val="Heading2"/>
      </w:pPr>
      <w:bookmarkStart w:id="1" w:name="comparing-regions-environmental-heteroge"/>
      <w:r>
        <w:t>Comparing species richness</w:t>
      </w:r>
    </w:p>
    <w:p w14:paraId="22B117E5" w14:textId="3E49797B" w:rsidR="00D04776" w:rsidRDefault="00D04776" w:rsidP="000F699D">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 xml:space="preserve">from the Global Biodiversity Information Facility (GBIF,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r w:rsidR="006F0BA2">
        <w:t>Gioia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commentRangeStart w:id="2"/>
      <w:r>
        <w:t xml:space="preserve">XXX and XXX </w:t>
      </w:r>
      <w:commentRangeEnd w:id="2"/>
      <w:r>
        <w:rPr>
          <w:rStyle w:val="CommentReference"/>
          <w:rFonts w:ascii="Times New Roman" w:hAnsiTheme="minorHAnsi"/>
        </w:rPr>
        <w:commentReference w:id="2"/>
      </w:r>
      <w:r>
        <w:t xml:space="preserve">unique species names </w:t>
      </w:r>
      <w:r w:rsidR="00D61D4D">
        <w:t>for</w:t>
      </w:r>
      <w:r>
        <w:t xml:space="preserve"> the GCFR and SWAFR</w:t>
      </w:r>
      <w:r w:rsidR="00D61D4D">
        <w:t>,</w:t>
      </w:r>
      <w:r>
        <w:t xml:space="preserve"> respectively. </w:t>
      </w:r>
      <w:r w:rsidR="00D40708">
        <w:t>T</w:t>
      </w:r>
      <w:r>
        <w:t xml:space="preserve">he R package “taxize” (Chamberlain &amp; Szocs,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s high (GCFR: XXX; SWAFR: XXX),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Finally, </w:t>
      </w:r>
      <w:r w:rsidR="00FE713B">
        <w:t xml:space="preserve">we removed </w:t>
      </w:r>
      <w:r w:rsidR="007C7D4C">
        <w:t xml:space="preserve">all </w:t>
      </w:r>
      <w:r>
        <w:t xml:space="preserve">records of </w:t>
      </w:r>
      <w:r w:rsidR="00FE713B">
        <w:t xml:space="preserve">species </w:t>
      </w:r>
      <w:r w:rsidR="00A87D09">
        <w:t xml:space="preserve">identied as </w:t>
      </w:r>
      <w:r w:rsidR="00FE713B">
        <w:t>non-native,</w:t>
      </w:r>
      <w:r>
        <w:t xml:space="preserve"> </w:t>
      </w:r>
      <w:r w:rsidR="00FE713B">
        <w:t>using</w:t>
      </w:r>
      <w:r>
        <w:t xml:space="preserve"> lists of invasive plants for South Africa and Australia from the IUCN’s Global Invasive Species Database (</w:t>
      </w:r>
      <w:hyperlink r:id="rId10">
        <w:r>
          <w:rPr>
            <w:rStyle w:val="Hyperlink"/>
          </w:rPr>
          <w:t>http://www.iucngisd.org/gisd/</w:t>
        </w:r>
      </w:hyperlink>
      <w:r>
        <w:t xml:space="preserve">). The final species richness </w:t>
      </w:r>
      <w:r w:rsidR="00D61D4D">
        <w:t xml:space="preserve">totals </w:t>
      </w:r>
      <w:r w:rsidR="00800FA8">
        <w:t xml:space="preserve">thus obtained </w:t>
      </w:r>
      <w:r>
        <w:t>w</w:t>
      </w:r>
      <w:r w:rsidR="00D61D4D">
        <w:t>ere</w:t>
      </w:r>
      <w:r>
        <w:t xml:space="preserve"> XXX and XXX for the GCFR and SWAFR</w:t>
      </w:r>
      <w:r w:rsidR="00D61D4D">
        <w:t>,</w:t>
      </w:r>
      <w:r>
        <w:t xml:space="preserve"> respectively.</w:t>
      </w:r>
      <w:r w:rsidR="000F699D">
        <w:t xml:space="preserve"> </w:t>
      </w:r>
      <w:r w:rsidR="000F59F5">
        <w:t>Using R, t</w:t>
      </w:r>
      <w:r w:rsidR="00A87D09">
        <w:t xml:space="preserve">he </w:t>
      </w:r>
      <w:r w:rsidR="000F59F5">
        <w:t xml:space="preserve">cleaned species occurrence record data were </w:t>
      </w:r>
      <w:r>
        <w:t xml:space="preserve">converted to </w:t>
      </w:r>
      <w:r w:rsidR="000F59F5">
        <w:t xml:space="preserve">QDS- and HDS-resolution </w:t>
      </w:r>
      <w:r>
        <w:t>raster-layers</w:t>
      </w:r>
      <w:r w:rsidR="000F59F5">
        <w:t xml:space="preserve"> for use in subsequent analyses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 xml:space="preserve">) </m:t>
        </m:r>
      </m:oMath>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t xml:space="preserve"> </w:t>
      </w:r>
    </w:p>
    <w:p w14:paraId="7EEE77B7" w14:textId="7F4C21CB" w:rsidR="00D04776" w:rsidRDefault="0029673C" w:rsidP="002D283F">
      <w:pPr>
        <w:pStyle w:val="BodyText"/>
        <w:ind w:firstLine="720"/>
        <w:jc w:val="center"/>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hAnsi="Cambria Math"/>
          </w:rPr>
          <m:t>,</m:t>
        </m:r>
      </m:oMath>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2D283F">
        <w:rPr>
          <w:rFonts w:eastAsiaTheme="minorEastAsia"/>
        </w:rPr>
        <w:t>(Equation 1)</w:t>
      </w:r>
    </w:p>
    <w:p w14:paraId="7E2DAD40" w14:textId="09659E2E" w:rsidR="00364F0A" w:rsidRPr="003D65D2" w:rsidRDefault="00364F0A" w:rsidP="00364F0A">
      <w:pPr>
        <w:pStyle w:val="FirstParagraph"/>
        <w:rPr>
          <w:rFonts w:eastAsiaTheme="minorEastAsia"/>
        </w:rPr>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oMath>
      <w:r>
        <w:t xml:space="preserve"> is the average species richness of the four constituent QDS</w:t>
      </w:r>
      <w:r w:rsidR="00EB1A1E">
        <w:t>,</w:t>
      </w:r>
      <w:r>
        <w:t xml:space="preserve"> and </w:t>
      </w:r>
      <m:oMath>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w:r>
        <w:t xml:space="preserve"> is </w:t>
      </w:r>
      <w:r w:rsidR="003D65D2">
        <w:t xml:space="preserve">the residual (i.e. turnover-based) richness, </w:t>
      </w:r>
      <w:r>
        <w:t xml:space="preserve">determined as </w:t>
      </w: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oMath>
      <w:r>
        <w:rPr>
          <w:rFonts w:eastAsiaTheme="minorEastAsia"/>
        </w:rPr>
        <w:t>.</w:t>
      </w:r>
      <w:r w:rsidR="003D65D2">
        <w:rPr>
          <w:rFonts w:eastAsiaTheme="minorEastAsia"/>
        </w:rPr>
        <w:t xml:space="preserve">  </w:t>
      </w:r>
    </w:p>
    <w:p w14:paraId="2FF2F365" w14:textId="395C739A" w:rsidR="00DD2348" w:rsidRDefault="005F0FFB" w:rsidP="00364F0A">
      <w:pPr>
        <w:pStyle w:val="Heading1"/>
      </w:pPr>
      <w:r>
        <w:t>Comparing environmental heterogeneity</w:t>
      </w:r>
      <w:bookmarkEnd w:id="1"/>
    </w:p>
    <w:p w14:paraId="16702F9A" w14:textId="298CD2F9" w:rsidR="00DD2348" w:rsidRDefault="00B6082F">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 xml:space="preserve">mediterranean-type climates (ref). Variable selection was, however, constrained by the availability of suitable raster-layers. Thus, although soil [P] is probably an important determinant of plant distribution in both the GCFR and SWAFR (refs), this variable could not included owing to a lack of comparable data layers for the two regions. Indeed, wherever possible, we made use of satellite layers***. </w:t>
      </w:r>
      <w:r w:rsidR="003F1CDD">
        <w:t>Where s</w:t>
      </w:r>
      <w:r w:rsidR="007612C7">
        <w:t>oil variables were summarized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summarized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68DEEC7A" w14:textId="1315E5C8" w:rsidR="00DD2348" w:rsidRDefault="000C57CB">
      <w:pPr>
        <w:pStyle w:val="BodyText"/>
      </w:pPr>
      <w:r>
        <w:t>To quantify heterogeneity in the variables under study, w</w:t>
      </w:r>
      <w:r w:rsidR="005F0FFB">
        <w:t>e developed an index that would account for the spatial configuration of different environmental conditions</w:t>
      </w:r>
      <w:r w:rsidR="00E7429C">
        <w:t xml:space="preserve"> at a range of scales</w:t>
      </w:r>
      <w:r w:rsidR="005F0FFB">
        <w:t xml:space="preserve">. Our index, </w:t>
      </w:r>
      <w:r w:rsidR="00DE5FA7">
        <w:t>based on</w:t>
      </w:r>
      <w:r w:rsidR="005F0FFB">
        <w:t xml:space="preserve"> raster data, employs a moving-window of nine pixels, </w:t>
      </w:r>
      <w:r w:rsidR="00E7429C">
        <w:t>comprising</w:t>
      </w:r>
      <w:r w:rsidR="005F0FFB">
        <w:t xml:space="preserve"> </w:t>
      </w:r>
      <w:r w:rsidR="00E7429C">
        <w:t xml:space="preserve">a focal pixel and its </w:t>
      </w:r>
      <w:r w:rsidR="005F0FFB">
        <w:t xml:space="preserve">eight </w:t>
      </w:r>
      <w:r w:rsidR="006D35C5">
        <w:t>neighbouring</w:t>
      </w:r>
      <w:r w:rsidR="00E7429C">
        <w:t xml:space="preserve"> </w:t>
      </w:r>
      <w:r w:rsidR="005F0FFB">
        <w:t>pixels</w:t>
      </w:r>
      <w:r w:rsidR="00E7429C">
        <w:t>.</w:t>
      </w:r>
      <w:r w:rsidR="005F0FFB">
        <w:t xml:space="preserve"> </w:t>
      </w:r>
      <w:r w:rsidR="00153824">
        <w:t xml:space="preserve">The heterogeneity </w:t>
      </w:r>
      <w:r w:rsidR="00331CEC">
        <w:t>(</w:t>
      </w:r>
      <w:r w:rsidR="00331CEC" w:rsidRPr="00331CEC">
        <w:rPr>
          <w:i/>
        </w:rPr>
        <w:t>EH</w:t>
      </w:r>
      <w:r w:rsidR="00331CEC">
        <w:t xml:space="preserve">) </w:t>
      </w:r>
      <w:r w:rsidR="00153824">
        <w:t>of a pixel is determined as</w:t>
      </w:r>
      <w:r w:rsidR="005F0FFB">
        <w:t xml:space="preserve"> the </w:t>
      </w:r>
      <w:r w:rsidR="00153824">
        <w:t>mean</w:t>
      </w:r>
      <w:r w:rsidR="005F0FFB">
        <w:t xml:space="preserve"> magnitude of the difference between </w:t>
      </w:r>
      <w:r w:rsidR="00E7429C">
        <w:t xml:space="preserve">the </w:t>
      </w:r>
      <w:r w:rsidR="00C67A1C">
        <w:t xml:space="preserve">value of the </w:t>
      </w:r>
      <w:r w:rsidR="00E7429C">
        <w:t xml:space="preserve">focal pixel </w:t>
      </w:r>
      <w:r w:rsidR="00382BBB">
        <w:t>(</w:t>
      </w:r>
      <w:r w:rsidR="00C67A1C" w:rsidRPr="00C67A1C">
        <w:rPr>
          <w:i/>
        </w:rPr>
        <w:t>x</w:t>
      </w:r>
      <w:r w:rsidR="00C67A1C" w:rsidRPr="00C67A1C">
        <w:rPr>
          <w:vertAlign w:val="superscript"/>
        </w:rPr>
        <w:t>*</w:t>
      </w:r>
      <w:r w:rsidR="00382BBB">
        <w:t xml:space="preserve">) </w:t>
      </w:r>
      <w:r w:rsidR="00E7429C">
        <w:t xml:space="preserve">and </w:t>
      </w:r>
      <w:r w:rsidR="00C67A1C">
        <w:t xml:space="preserve">those of </w:t>
      </w:r>
      <w:r w:rsidR="00E7429C">
        <w:t xml:space="preserve">its </w:t>
      </w:r>
      <w:r w:rsidR="006D35C5">
        <w:t>neighbour</w:t>
      </w:r>
      <w:r w:rsidR="00E7429C">
        <w:t xml:space="preserve"> pixels</w:t>
      </w:r>
      <w:r w:rsidR="00382BB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oMath>
      <w:r w:rsidR="005F0FFB">
        <w:t>, as follows:</w:t>
      </w:r>
    </w:p>
    <w:p w14:paraId="227586EF" w14:textId="77777777" w:rsidR="004C331B" w:rsidRDefault="00BB2557" w:rsidP="004C331B">
      <w:pPr>
        <w:pStyle w:val="BodyText"/>
        <w:ind w:left="720" w:firstLine="720"/>
        <w:rPr>
          <w:rFonts w:eastAsiaTheme="minorEastAsia"/>
        </w:rPr>
      </w:pPr>
      <m:oMathPara>
        <m:oMath>
          <m:r>
            <w:rPr>
              <w:rFonts w:ascii="Cambria Math" w:hAnsi="Cambria Math"/>
            </w:rPr>
            <w:lastRenderedPageBreak/>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m:oMathPara>
    </w:p>
    <w:p w14:paraId="4B22F3BD" w14:textId="4A0BCEE5" w:rsidR="00DD2348" w:rsidRPr="004C331B" w:rsidRDefault="004C331B" w:rsidP="004C331B">
      <w:pPr>
        <w:pStyle w:val="BodyText"/>
        <w:ind w:left="720" w:firstLine="720"/>
        <w:rPr>
          <w:rFonts w:eastAsiaTheme="minorEastAsia"/>
        </w:rPr>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2557">
        <w:rPr>
          <w:rFonts w:eastAsiaTheme="minorEastAsia"/>
        </w:rPr>
        <w:tab/>
      </w:r>
      <w:r w:rsidR="00BB2557">
        <w:rPr>
          <w:rFonts w:eastAsiaTheme="minorEastAsia"/>
        </w:rPr>
        <w:tab/>
      </w:r>
      <w:r w:rsidR="00BB2557">
        <w:rPr>
          <w:rFonts w:eastAsiaTheme="minorEastAsia"/>
        </w:rPr>
        <w:tab/>
      </w:r>
      <w:r w:rsidR="002D283F">
        <w:rPr>
          <w:rFonts w:eastAsiaTheme="minorEastAsia"/>
        </w:rPr>
        <w:t>(Equation 2)</w:t>
      </w:r>
    </w:p>
    <w:p w14:paraId="7BCE38E8" w14:textId="77777777" w:rsidR="007E72DA" w:rsidRDefault="00E7429C" w:rsidP="007E72DA">
      <w:pPr>
        <w:pStyle w:val="FirstParagraph"/>
      </w:pPr>
      <w:r>
        <w:t xml:space="preserve">We implemented this measure of </w:t>
      </w:r>
      <w:r w:rsidR="007E72DA">
        <w:t>heterogeneity</w:t>
      </w:r>
      <w:r>
        <w:t xml:space="preserve"> using the “focal” function in the R package “raster” (Hijmans, 2016), applying it only to</w:t>
      </w:r>
      <w:r w:rsidR="005F0FFB">
        <w:t xml:space="preserve"> pixels ha</w:t>
      </w:r>
      <w:r>
        <w:t>ving</w:t>
      </w:r>
      <w:r w:rsidR="005F0FFB">
        <w:t xml:space="preserve"> at least one neighbour pixel. </w:t>
      </w:r>
    </w:p>
    <w:p w14:paraId="7CF2F70C" w14:textId="316A2819" w:rsidR="002D283F" w:rsidRDefault="000C57CB" w:rsidP="007E72DA">
      <w:pPr>
        <w:pStyle w:val="FirstParagraph"/>
      </w:pPr>
      <w:r>
        <w:t xml:space="preserve">Since </w:t>
      </w:r>
      <w:r w:rsidR="005F0FFB">
        <w:t>spatial scale is an important consideration in ecological studies (refs)</w:t>
      </w:r>
      <w:r>
        <w:t xml:space="preserve">, </w:t>
      </w:r>
      <w:r w:rsidR="007948F4">
        <w:t>environmental heterogeneity</w:t>
      </w:r>
      <w:r w:rsidR="005F0FFB">
        <w:t xml:space="preserve"> </w:t>
      </w:r>
      <w:r>
        <w:t>was considered</w:t>
      </w:r>
      <w:r w:rsidR="005F0FFB">
        <w:t xml:space="preserve"> </w:t>
      </w:r>
      <w:r w:rsidR="003913A0">
        <w:t>at</w:t>
      </w:r>
      <w:r w:rsidR="005F0FFB">
        <w:t xml:space="preserve"> five spatial scales: 0.05º x 0.05º squares (the finest common resolution among the environmental data sources used), eighth degree squares (EDS), QDS, HDS and three-quarter degree squares (3QDS) (sensu Larsen et al., 2009). To do this, the absolute environmental raster data were </w:t>
      </w:r>
      <w:r w:rsidR="002D283F">
        <w:t xml:space="preserve">first </w:t>
      </w:r>
      <w:r w:rsidR="005F0FFB">
        <w:t xml:space="preserve">aggregated to broader spatial scales from 0.05º x 0.05º, using the “aggregate” function in “raster” (Hijmans, 2016), with the “mean” method. We then converted these to rasters of </w:t>
      </w:r>
      <w:r w:rsidR="007948F4">
        <w:t>environmental heterogeneity</w:t>
      </w:r>
      <w:r w:rsidR="005F0FFB">
        <w:t xml:space="preserve"> using Equation </w:t>
      </w:r>
      <w:r w:rsidR="002D283F">
        <w:t>2</w:t>
      </w:r>
      <w:r w:rsidR="005F0FFB">
        <w:t>.</w:t>
      </w:r>
    </w:p>
    <w:p w14:paraId="4910D4CC" w14:textId="5689DC73" w:rsidR="00DD2348" w:rsidRDefault="005F0FFB">
      <w:pPr>
        <w:pStyle w:val="BodyText"/>
      </w:pPr>
      <w:r>
        <w:t xml:space="preserve">Finally, we </w:t>
      </w:r>
      <w:r w:rsidR="00FD3C3A">
        <w:t>used principal components analysis (PCA), applied to the ten environmental variables across both regions, to derive a measure of</w:t>
      </w:r>
      <w:r>
        <w:t xml:space="preserve"> overall </w:t>
      </w:r>
      <w:r w:rsidR="007948F4">
        <w:t>environmental heterogeneity</w:t>
      </w:r>
      <w:r>
        <w:t xml:space="preserve">. </w:t>
      </w:r>
      <w:r w:rsidR="00F358D2">
        <w:t>For this purpose, the layers describing heterogeneity in the ten environmental variables at each spatial scale first log(</w:t>
      </w:r>
      <w:r w:rsidR="00F358D2" w:rsidRPr="00F358D2">
        <w:rPr>
          <w:i/>
        </w:rPr>
        <w:t>x</w:t>
      </w:r>
      <w:r w:rsidR="00F358D2">
        <w:t xml:space="preserve"> + 1) transformed to ensure normality and then subjected to PCA. A separate PCA was done for</w:t>
      </w:r>
      <w:r>
        <w:t xml:space="preserve"> each </w:t>
      </w:r>
      <w:r w:rsidR="00FD3C3A">
        <w:t>spatial scale</w:t>
      </w:r>
      <w:r w:rsidR="00F358D2">
        <w:t xml:space="preserve">. </w:t>
      </w:r>
      <w:r>
        <w:t xml:space="preserve">The first </w:t>
      </w:r>
      <w:r w:rsidR="00E52A66">
        <w:t>axis</w:t>
      </w:r>
      <w:r>
        <w:t xml:space="preserve"> </w:t>
      </w:r>
      <w:r w:rsidR="002B0F5B">
        <w:t xml:space="preserve">(PC1) </w:t>
      </w:r>
      <w:r w:rsidR="00E52A66">
        <w:t xml:space="preserve">extracted </w:t>
      </w:r>
      <w:r>
        <w:t xml:space="preserve">from each of the five PCAs represents the major axis of heterogeneity </w:t>
      </w:r>
      <w:r w:rsidR="00E52A66">
        <w:t xml:space="preserve">across </w:t>
      </w:r>
      <w:r>
        <w:t xml:space="preserve">the </w:t>
      </w:r>
      <w:r w:rsidR="00E52A66">
        <w:t xml:space="preserve">ten </w:t>
      </w:r>
      <w:r>
        <w:t xml:space="preserve">environmental </w:t>
      </w:r>
      <w:r w:rsidR="00E52A66">
        <w:t xml:space="preserve">variables </w:t>
      </w:r>
      <w:r>
        <w:t xml:space="preserve">considered </w:t>
      </w:r>
      <w:r w:rsidR="00E52A66">
        <w:t>in this study</w:t>
      </w:r>
      <w:r>
        <w:t>.</w:t>
      </w:r>
    </w:p>
    <w:p w14:paraId="043425BC" w14:textId="3FD53518" w:rsidR="007E72DA" w:rsidRPr="002930F3" w:rsidRDefault="007E72DA">
      <w:pPr>
        <w:pStyle w:val="BodyText"/>
        <w:rPr>
          <w:color w:val="FF0000"/>
        </w:rPr>
      </w:pPr>
      <w:r w:rsidRPr="002930F3">
        <w:rPr>
          <w:color w:val="FF0000"/>
          <w:highlight w:val="yellow"/>
        </w:rPr>
        <w:t xml:space="preserve">We need </w:t>
      </w:r>
      <w:r w:rsidR="002930F3" w:rsidRPr="002930F3">
        <w:rPr>
          <w:color w:val="FF0000"/>
          <w:highlight w:val="yellow"/>
        </w:rPr>
        <w:t xml:space="preserve">here </w:t>
      </w:r>
      <w:r w:rsidRPr="002930F3">
        <w:rPr>
          <w:color w:val="FF0000"/>
          <w:highlight w:val="yellow"/>
        </w:rPr>
        <w:t>an explanation of the method used to compare heterogeneity of the ten variables and the major axis of heterogeneity between the two regions.</w:t>
      </w:r>
    </w:p>
    <w:p w14:paraId="362E99FC" w14:textId="77777777" w:rsidR="00DD2348" w:rsidRDefault="005F0FFB">
      <w:pPr>
        <w:pStyle w:val="Heading2"/>
      </w:pPr>
      <w:bookmarkStart w:id="3" w:name="environmental-heterogeneity-as-an-explan"/>
      <w:r>
        <w:t>Environmental heterogeneity as an explanation of species richness</w:t>
      </w:r>
      <w:bookmarkEnd w:id="3"/>
    </w:p>
    <w:p w14:paraId="34D62F9D" w14:textId="61448971" w:rsidR="00DD2348" w:rsidRDefault="00842DF6" w:rsidP="00C53D2C">
      <w:pPr>
        <w:pStyle w:val="FirstParagraph"/>
      </w:pPr>
      <w:r>
        <w:t>In the absence of</w:t>
      </w:r>
      <w:r w:rsidR="00FE3E67">
        <w:t xml:space="preserve"> strong nonlinearity of the relationships between environmental heterogeneity (</w:t>
      </w:r>
      <w:r>
        <w:t xml:space="preserve">in </w:t>
      </w:r>
      <w:r w:rsidR="00FE3E67">
        <w:t>the ten selected variables</w:t>
      </w:r>
      <w:r>
        <w:t>,</w:t>
      </w:r>
      <w:r w:rsidR="00FE3E67">
        <w:t xml:space="preserve"> and the major heterogen</w:t>
      </w:r>
      <w:r>
        <w:t>e</w:t>
      </w:r>
      <w:r w:rsidR="00FE3E67">
        <w:t>ity axis represented by PC1) and species richness at either the QDS</w:t>
      </w:r>
      <w:r w:rsidR="00A95D88">
        <w:t>-</w:t>
      </w:r>
      <w:r w:rsidR="00FE3E67">
        <w:t xml:space="preserve"> or HDS</w:t>
      </w:r>
      <w:r w:rsidR="00A95D88">
        <w:t>-</w:t>
      </w:r>
      <w:r w:rsidR="00FE3E67">
        <w:t>scale, we used linear models</w:t>
      </w:r>
      <w:r>
        <w:t>, at both the QDS- and HDS-scales,</w:t>
      </w:r>
      <w:r w:rsidR="00FE3E67">
        <w:t xml:space="preserve"> 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 xml:space="preserve">the species richness data </w:t>
      </w:r>
      <w:r w:rsidR="005F0FFB">
        <w:lastRenderedPageBreak/>
        <w:t xml:space="preserve">collated at the QDS- and HDS-scales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 xml:space="preserve">. </w:t>
      </w:r>
      <w:r>
        <w:t xml:space="preserve">Since the moving-window </w:t>
      </w:r>
      <w:r w:rsidR="00647F5C">
        <w:t>approach to</w:t>
      </w:r>
      <w:r>
        <w:t xml:space="preserve"> </w:t>
      </w:r>
      <w:r w:rsidR="00647F5C">
        <w:t xml:space="preserve">determining heterogeneity (outlined above) quantifies the </w:t>
      </w:r>
      <w:r w:rsidR="00B44249">
        <w:t xml:space="preserve">mean </w:t>
      </w:r>
      <w:r w:rsidR="00647F5C">
        <w:t xml:space="preserve">difference </w:t>
      </w:r>
      <w:r w:rsidR="00B44249">
        <w:t>of</w:t>
      </w:r>
      <w:r w:rsidR="00647F5C">
        <w:t xml:space="preserve"> a particular pixel (e.g. </w:t>
      </w:r>
      <w:r w:rsidR="00B44249">
        <w:t>Q</w:t>
      </w:r>
      <w:r w:rsidR="00647F5C">
        <w:t xml:space="preserve">DS or HDS) </w:t>
      </w:r>
      <w:r w:rsidR="00B44249">
        <w:t>from</w:t>
      </w:r>
      <w:r w:rsidR="00647F5C">
        <w:t xml:space="preserve"> its nine neighbours</w:t>
      </w:r>
      <w:r w:rsidR="00B44249">
        <w:t>,</w:t>
      </w:r>
      <w:r w:rsidR="00647F5C">
        <w:t xml:space="preserve"> rather than its internal heterogeneity, </w:t>
      </w:r>
      <w:r w:rsidR="00B44249">
        <w:t xml:space="preserve">we </w:t>
      </w:r>
      <w:r w:rsidR="00331CEC">
        <w:t>developed</w:t>
      </w:r>
      <w:r w:rsidR="00B44249">
        <w:t xml:space="preserve"> a different measure of heterogeneity for</w:t>
      </w:r>
      <w:r w:rsidR="00647F5C">
        <w:t xml:space="preserve"> the purpose of relating pixel species richness to </w:t>
      </w:r>
      <w:r w:rsidR="00357472">
        <w:t xml:space="preserve">internal </w:t>
      </w:r>
      <w:r w:rsidR="00647F5C">
        <w:t>pixel heterogeneity</w:t>
      </w:r>
      <w:r w:rsidR="00B44249">
        <w:t xml:space="preserve">. </w:t>
      </w:r>
      <w:r w:rsidR="00331CEC">
        <w:t xml:space="preserve">Under this measure, each pixel is </w:t>
      </w:r>
      <w:r w:rsidR="00C53D2C">
        <w:t>treated as comprising</w:t>
      </w:r>
      <w:r w:rsidR="00331CEC">
        <w:t xml:space="preserve"> four </w:t>
      </w:r>
      <w:r w:rsidR="00C53D2C">
        <w:t xml:space="preserve">subpixels </w:t>
      </w:r>
      <w:r w:rsidR="00331CEC">
        <w:t>(e.g. four QDS</w:t>
      </w:r>
      <w:r w:rsidR="00C53D2C">
        <w:t xml:space="preserve"> in an HDS; four EDS in a QDS) and the </w:t>
      </w:r>
      <w:r w:rsidR="00331CEC">
        <w:t>environmental heterogeneity (</w:t>
      </w:r>
      <w:r w:rsidR="00331CEC" w:rsidRPr="00C53D2C">
        <w:rPr>
          <w:i/>
        </w:rPr>
        <w:t>EH</w:t>
      </w:r>
      <w:r w:rsidR="00331CEC">
        <w:t xml:space="preserve">) </w:t>
      </w:r>
      <w:r w:rsidR="00C53D2C">
        <w:t xml:space="preserve">is </w:t>
      </w:r>
      <w:r w:rsidR="00331CEC">
        <w:t>determined as</w:t>
      </w:r>
      <w:r w:rsidR="005F0FFB">
        <w:t xml:space="preserve"> the mean absolute difference </w:t>
      </w:r>
      <w:r w:rsidR="00106E88">
        <w:t xml:space="preserve">between </w:t>
      </w:r>
      <w:r w:rsidR="00C53D2C">
        <w:t xml:space="preserve">the value of each constituent subpixel </w:t>
      </w:r>
      <w:r w:rsidR="005F0FFB">
        <w:t xml:space="preserve">and the other three </w:t>
      </w:r>
      <w:r w:rsidR="00F80567">
        <w:t xml:space="preserve">subpixels within the more inclusive pixel. </w:t>
      </w:r>
      <w:r w:rsidR="00106E88">
        <w:t>Specifically,</w:t>
      </w:r>
    </w:p>
    <w:p w14:paraId="1360848A" w14:textId="77777777" w:rsidR="001D4356" w:rsidRPr="001D4356" w:rsidRDefault="001D4356" w:rsidP="001D4356">
      <w:pPr>
        <w:pStyle w:val="BodyText"/>
        <w:ind w:left="720" w:firstLine="720"/>
        <w:rPr>
          <w:rFonts w:eastAsiaTheme="minorEastAsia"/>
        </w:rPr>
      </w:pPr>
      <m:oMathPara>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17ED766D" w14:textId="148C55FC" w:rsidR="00DD2348" w:rsidRDefault="001D4356" w:rsidP="009D54AF">
      <w:pPr>
        <w:pStyle w:val="BodyText"/>
        <w:ind w:firstLine="720"/>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BB3791" w:rsidRPr="00BB3791">
        <w:rPr>
          <w:rFonts w:eastAsiaTheme="minorEastAsia"/>
        </w:rPr>
        <w:t xml:space="preserve"> </w:t>
      </w:r>
      <w:r w:rsidR="00BB3791">
        <w:rPr>
          <w:rFonts w:eastAsiaTheme="minorEastAsia"/>
        </w:rPr>
        <w:tab/>
      </w:r>
      <w:r w:rsidR="00BB3791">
        <w:rPr>
          <w:rFonts w:eastAsiaTheme="minorEastAsia"/>
        </w:rPr>
        <w:tab/>
      </w:r>
      <w:r w:rsidR="00BB3791">
        <w:rPr>
          <w:rFonts w:eastAsiaTheme="minorEastAsia"/>
        </w:rPr>
        <w:tab/>
      </w:r>
      <w:r>
        <w:rPr>
          <w:rFonts w:eastAsiaTheme="minorEastAsia"/>
        </w:rPr>
        <w:tab/>
      </w:r>
      <w:r>
        <w:rPr>
          <w:rFonts w:eastAsiaTheme="minorEastAsia"/>
        </w:rPr>
        <w:tab/>
      </w:r>
      <w:r w:rsidR="00F80567">
        <w:rPr>
          <w:rFonts w:eastAsiaTheme="minorEastAsia"/>
        </w:rPr>
        <w:t>(</w:t>
      </w:r>
      <w:r w:rsidR="00BB3791">
        <w:rPr>
          <w:rFonts w:eastAsiaTheme="minorEastAsia"/>
        </w:rPr>
        <w:t>Equation 3</w:t>
      </w:r>
      <w:r w:rsidR="00F80567">
        <w:rPr>
          <w:rFonts w:eastAsiaTheme="minorEastAsia"/>
        </w:rPr>
        <w:t>)</w:t>
      </w:r>
    </w:p>
    <w:p w14:paraId="0CE33B4D" w14:textId="77777777" w:rsidR="0040493A" w:rsidRDefault="005042D0" w:rsidP="005042D0">
      <w:pPr>
        <w:pStyle w:val="FirstParagraph"/>
      </w:pPr>
      <w:r>
        <w:t>As for the moving-window measure of heterogeneity, t</w:t>
      </w:r>
      <w:r w:rsidR="005F0FFB">
        <w:t>he</w:t>
      </w:r>
      <w:r>
        <w:t xml:space="preserve"> heterogeneities of the ten selected environmental variables</w:t>
      </w:r>
      <w:r w:rsidR="005F0FFB">
        <w:t xml:space="preserve"> </w:t>
      </w:r>
      <w:r w:rsidR="00357472">
        <w:t xml:space="preserve">were </w:t>
      </w:r>
      <w:r w:rsidR="005F0FFB">
        <w:t>log(</w:t>
      </w:r>
      <w:r w:rsidR="005F0FFB" w:rsidRPr="005042D0">
        <w:rPr>
          <w:i/>
        </w:rPr>
        <w:t>x</w:t>
      </w:r>
      <w:r w:rsidR="005F0FFB">
        <w:t xml:space="preserve"> + 1)-transformed </w:t>
      </w:r>
      <w:r>
        <w:t>and subjected to</w:t>
      </w:r>
      <w:r w:rsidR="005F0FFB">
        <w:t xml:space="preserve"> PCA to </w:t>
      </w:r>
      <w:r>
        <w:t>yield a major axis of environmental heterogeneity (PC1).</w:t>
      </w:r>
    </w:p>
    <w:p w14:paraId="6BE0BF4C" w14:textId="00EDB6F3" w:rsidR="00037267" w:rsidRPr="004632FE" w:rsidRDefault="0040493A" w:rsidP="005042D0">
      <w:pPr>
        <w:pStyle w:val="FirstParagraph"/>
        <w:rPr>
          <w:highlight w:val="yellow"/>
        </w:rPr>
      </w:pPr>
      <w:r w:rsidRPr="004632FE">
        <w:rPr>
          <w:highlight w:val="yellow"/>
        </w:rPr>
        <w:t xml:space="preserve">To test the dependence of species richness on environmental heterogeneity and to assess whether the form of this dependence is identical across the two regions, we fitted </w:t>
      </w:r>
      <w:r w:rsidR="00037267" w:rsidRPr="004632FE">
        <w:rPr>
          <w:highlight w:val="yellow"/>
        </w:rPr>
        <w:t xml:space="preserve">simple and multiple </w:t>
      </w:r>
      <w:r w:rsidRPr="004632FE">
        <w:rPr>
          <w:highlight w:val="yellow"/>
        </w:rPr>
        <w:t xml:space="preserve">linear </w:t>
      </w:r>
      <w:r w:rsidR="00037267" w:rsidRPr="004632FE">
        <w:rPr>
          <w:highlight w:val="yellow"/>
        </w:rPr>
        <w:t xml:space="preserve">regression </w:t>
      </w:r>
      <w:r w:rsidRPr="004632FE">
        <w:rPr>
          <w:highlight w:val="yellow"/>
        </w:rPr>
        <w:t xml:space="preserve">models </w:t>
      </w:r>
      <w:r w:rsidR="00037267" w:rsidRPr="004632FE">
        <w:rPr>
          <w:highlight w:val="yellow"/>
        </w:rPr>
        <w:t xml:space="preserve">specifying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HDS</m:t>
            </m:r>
          </m:sub>
        </m:sSub>
      </m:oMath>
      <w:r w:rsidR="00037267" w:rsidRPr="004632FE">
        <w:rPr>
          <w:highlight w:val="yellow"/>
        </w:rPr>
        <w:t xml:space="preserve"> or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QDS</m:t>
            </m:r>
          </m:sub>
        </m:sSub>
      </m:oMath>
      <w:r w:rsidR="00037267" w:rsidRPr="004632FE">
        <w:rPr>
          <w:rFonts w:eastAsiaTheme="minorEastAsia"/>
          <w:highlight w:val="yellow"/>
        </w:rPr>
        <w:t xml:space="preserve"> as a function of environmental heterogeneity. </w:t>
      </w:r>
      <w:r w:rsidR="005527B5" w:rsidRPr="004632FE">
        <w:rPr>
          <w:rFonts w:eastAsiaTheme="minorEastAsia"/>
          <w:highlight w:val="yellow"/>
        </w:rPr>
        <w:t>In each instance, we fitted three models, an</w:t>
      </w:r>
      <w:r w:rsidR="004632FE" w:rsidRPr="004632FE">
        <w:rPr>
          <w:rFonts w:eastAsiaTheme="minorEastAsia"/>
          <w:highlight w:val="yellow"/>
        </w:rPr>
        <w:t>…</w:t>
      </w:r>
      <w:r w:rsidR="005527B5" w:rsidRPr="004632FE">
        <w:rPr>
          <w:rFonts w:eastAsiaTheme="minorEastAsia"/>
          <w:highlight w:val="yellow"/>
        </w:rPr>
        <w:t xml:space="preserve"> </w:t>
      </w:r>
    </w:p>
    <w:p w14:paraId="5DB6CA6B" w14:textId="77777777" w:rsidR="00037267" w:rsidRPr="004632FE" w:rsidRDefault="00037267" w:rsidP="005042D0">
      <w:pPr>
        <w:pStyle w:val="FirstParagraph"/>
        <w:rPr>
          <w:highlight w:val="yellow"/>
        </w:rPr>
      </w:pPr>
    </w:p>
    <w:p w14:paraId="674AF808" w14:textId="7AA0EBFB" w:rsidR="00F614B4" w:rsidRDefault="005F0FFB" w:rsidP="005042D0">
      <w:pPr>
        <w:pStyle w:val="FirstParagraph"/>
      </w:pPr>
      <w:r w:rsidRPr="004632FE">
        <w:rPr>
          <w:highlight w:val="yellow"/>
        </w:rPr>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models was to describe empirical patterns of covariance between the each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77777777" w:rsidR="00D04776" w:rsidRDefault="00D04776" w:rsidP="00D04776">
      <w:pPr>
        <w:pStyle w:val="Heading1"/>
      </w:pPr>
      <w:bookmarkStart w:id="4" w:name="results"/>
      <w:r>
        <w:lastRenderedPageBreak/>
        <w:t>Results</w:t>
      </w:r>
      <w:bookmarkEnd w:id="4"/>
    </w:p>
    <w:p w14:paraId="233719EB" w14:textId="3EB27745" w:rsidR="0060601F" w:rsidRDefault="0060601F" w:rsidP="0060601F">
      <w:pPr>
        <w:pStyle w:val="Heading2"/>
      </w:pPr>
      <w:r>
        <w:t>Comparing species richness</w:t>
      </w:r>
    </w:p>
    <w:p w14:paraId="61323EF7" w14:textId="5DF7CB53" w:rsidR="00114867" w:rsidRPr="00D96D52" w:rsidRDefault="007D673C" w:rsidP="0060601F">
      <w:pPr>
        <w:pStyle w:val="FirstParagraph"/>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77777777" w:rsidR="0060601F" w:rsidRDefault="0060601F" w:rsidP="0060601F">
      <w:pPr>
        <w:pStyle w:val="FirstParagraph"/>
      </w:pPr>
      <w:r w:rsidRPr="00D96D52">
        <w:rPr>
          <w:highlight w:val="yellow"/>
        </w:rPr>
        <w:t xml:space="preserve">Using Whittaker’s definition of additive turnover (ref), we partitioned </w:t>
      </w:r>
      <w:r w:rsidRPr="00D96D52">
        <w:rPr>
          <w:i/>
          <w:highlight w:val="yellow"/>
        </w:rPr>
        <w:t>S</w:t>
      </w:r>
      <w:r w:rsidRPr="00D96D52">
        <w:rPr>
          <w:highlight w:val="yellow"/>
          <w:vertAlign w:val="subscript"/>
        </w:rPr>
        <w:t>HDS</w:t>
      </w:r>
      <w:r w:rsidRPr="00D96D52">
        <w:rPr>
          <w:highlight w:val="yellow"/>
        </w:rPr>
        <w:t xml:space="preserve"> into it’s </w:t>
      </w:r>
      <m:oMath>
        <m:r>
          <w:rPr>
            <w:rFonts w:ascii="Cambria Math" w:hAnsi="Cambria Math"/>
            <w:highlight w:val="yellow"/>
          </w:rPr>
          <m:t>α</m:t>
        </m:r>
      </m:oMath>
      <w:r w:rsidRPr="00D96D52">
        <w:rPr>
          <w:highlight w:val="yellow"/>
        </w:rPr>
        <w:t xml:space="preserve">- and </w:t>
      </w:r>
      <m:oMath>
        <m:r>
          <w:rPr>
            <w:rFonts w:ascii="Cambria Math" w:hAnsi="Cambria Math"/>
            <w:highlight w:val="yellow"/>
          </w:rPr>
          <m:t>β</m:t>
        </m:r>
      </m:oMath>
      <w:r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Pr="00D96D52">
        <w:rPr>
          <w:highlight w:val="yellow"/>
          <w:vertAlign w:val="subscript"/>
        </w:rPr>
        <w:t>QDS</w:t>
      </w:r>
      <w:r w:rsidRPr="00D96D52">
        <w:rPr>
          <w:highlight w:val="yellow"/>
        </w:rPr>
        <w:t xml:space="preserve"> and </w:t>
      </w:r>
      <w:r w:rsidRPr="00D96D52">
        <w:rPr>
          <w:i/>
          <w:highlight w:val="yellow"/>
        </w:rPr>
        <w:t>T</w:t>
      </w:r>
      <w:r w:rsidRPr="00D96D52">
        <w:rPr>
          <w:highlight w:val="yellow"/>
          <w:vertAlign w:val="subscript"/>
        </w:rPr>
        <w:t>QDS</w:t>
      </w:r>
      <w:r w:rsidRPr="00D96D52">
        <w:rPr>
          <w:highlight w:val="yellow"/>
        </w:rPr>
        <w:t xml:space="preserve"> respectively). Using this method, we can see that almost all HDS in both the GCFR and SWAFR are composed of QDS that only account for no more than ca. 50% of </w:t>
      </w:r>
      <w:r w:rsidRPr="00D96D52">
        <w:rPr>
          <w:i/>
          <w:highlight w:val="yellow"/>
        </w:rPr>
        <w:t>S</w:t>
      </w:r>
      <w:r w:rsidRPr="00D96D52">
        <w:rPr>
          <w:highlight w:val="yellow"/>
          <w:vertAlign w:val="subscript"/>
        </w:rPr>
        <w:t>HDS</w:t>
      </w:r>
      <w:r w:rsidRPr="00D96D52">
        <w:rPr>
          <w:highlight w:val="yellow"/>
        </w:rPr>
        <w:t xml:space="preserve"> (Figure 2a). After accounting for the generally greater </w:t>
      </w:r>
      <w:r w:rsidRPr="00D96D52">
        <w:rPr>
          <w:i/>
          <w:highlight w:val="yellow"/>
        </w:rPr>
        <w:t>S</w:t>
      </w:r>
      <w:r w:rsidRPr="00D96D52">
        <w:rPr>
          <w:highlight w:val="yellow"/>
          <w:vertAlign w:val="subscript"/>
        </w:rPr>
        <w:t>HDS</w:t>
      </w:r>
      <w:r w:rsidRPr="00D96D52">
        <w:rPr>
          <w:highlight w:val="yellow"/>
        </w:rPr>
        <w:t xml:space="preserve"> in the GCFR (Figure 2b), </w:t>
      </w:r>
      <w:r w:rsidRPr="00D96D52">
        <w:rPr>
          <w:i/>
          <w:highlight w:val="yellow"/>
        </w:rPr>
        <w:t>S</w:t>
      </w:r>
      <w:r w:rsidRPr="00D96D52">
        <w:rPr>
          <w:highlight w:val="yellow"/>
          <w:vertAlign w:val="subscript"/>
        </w:rPr>
        <w:t>HDS</w:t>
      </w:r>
      <w:r w:rsidRPr="00D96D52">
        <w:rPr>
          <w:highlight w:val="yellow"/>
        </w:rPr>
        <w:t xml:space="preserve"> is more attributable to floristic turnover in in the GCFR than it is in the SWAFR (Figure 2c).</w:t>
      </w:r>
    </w:p>
    <w:p w14:paraId="7E9FCA66" w14:textId="77777777" w:rsidR="00D04776" w:rsidRDefault="00D04776" w:rsidP="00D04776">
      <w:pPr>
        <w:pStyle w:val="Heading2"/>
      </w:pPr>
      <w:r>
        <w:t>Comparing regions’ environmental heterogeneity</w:t>
      </w:r>
    </w:p>
    <w:p w14:paraId="1B35984F" w14:textId="65CBB78B" w:rsidR="001A23A6" w:rsidRPr="001A23A6" w:rsidRDefault="001A23A6" w:rsidP="00D04776">
      <w:pPr>
        <w:pStyle w:val="FirstParagraph"/>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w:t>
      </w:r>
      <w:commentRangeStart w:id="5"/>
      <w:r w:rsidR="0060601F" w:rsidRPr="00221BC9">
        <w:rPr>
          <w:highlight w:val="yellow"/>
        </w:rPr>
        <w:t>0</w:t>
      </w:r>
      <w:commentRangeEnd w:id="5"/>
      <w:r w:rsidR="007D673C" w:rsidRPr="00221BC9">
        <w:rPr>
          <w:rStyle w:val="CommentReference"/>
          <w:rFonts w:ascii="Times New Roman" w:hAnsiTheme="minorHAnsi"/>
          <w:highlight w:val="yellow"/>
        </w:rPr>
        <w:commentReference w:id="5"/>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778BB" w:rsidRPr="00221BC9">
        <w:rPr>
          <w:highlight w:val="yellow"/>
        </w:rPr>
        <w:t xml:space="preserve">. </w:t>
      </w:r>
      <w:r w:rsidR="00FA78DF" w:rsidRPr="00221BC9">
        <w:rPr>
          <w:highlight w:val="yellow"/>
        </w:rPr>
        <w:t>The same was true for the 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 xml:space="preserve"> MAP, Surface T, CEC</w:t>
      </w:r>
      <w:r w:rsidR="00CC3BF9">
        <w:t>,</w:t>
      </w:r>
      <w:r w:rsidR="00A778BB">
        <w:t xml:space="preserve"> Soil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77777777" w:rsidR="00D04776" w:rsidRDefault="00D04776" w:rsidP="00D04776">
      <w:pPr>
        <w:pStyle w:val="Heading2"/>
      </w:pPr>
      <w:r>
        <w:t>Environmental heterogeneity as an explanation of species richness</w:t>
      </w:r>
    </w:p>
    <w:p w14:paraId="1D71793B" w14:textId="18C34FD3" w:rsidR="00D04776" w:rsidRDefault="00D04776" w:rsidP="00D04776">
      <w:pPr>
        <w:pStyle w:val="FirstParagraph"/>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lastRenderedPageBreak/>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254498CA" w14:textId="1F8A3808" w:rsidR="00D04776" w:rsidRDefault="00D04776" w:rsidP="00D04776">
      <w:pPr>
        <w:pStyle w:val="BodyText"/>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3A63461" w14:textId="77777777" w:rsidR="00D04776" w:rsidRDefault="00D04776" w:rsidP="00D04776">
      <w:pPr>
        <w:rPr>
          <w:rFonts w:asciiTheme="majorBidi" w:eastAsiaTheme="majorEastAsia" w:hAnsiTheme="majorBidi" w:cstheme="majorBidi"/>
          <w:b/>
          <w:bCs/>
          <w:color w:val="000000" w:themeColor="text1"/>
          <w:sz w:val="28"/>
          <w:szCs w:val="32"/>
        </w:rPr>
      </w:pPr>
      <w:bookmarkStart w:id="6" w:name="tables"/>
      <w:r>
        <w:br w:type="page"/>
      </w:r>
    </w:p>
    <w:p w14:paraId="2A345384" w14:textId="77777777" w:rsidR="00D04776" w:rsidRDefault="00D04776" w:rsidP="00D04776">
      <w:pPr>
        <w:pStyle w:val="Heading2"/>
      </w:pPr>
      <w:r>
        <w:lastRenderedPageBreak/>
        <w:t>Tables</w:t>
      </w:r>
      <w:bookmarkEnd w:id="6"/>
    </w:p>
    <w:p w14:paraId="0B8BF017" w14:textId="77777777" w:rsidR="003C533D" w:rsidRDefault="003C533D" w:rsidP="003C533D">
      <w:pPr>
        <w:pStyle w:val="TableCaption"/>
      </w:pPr>
      <w:r>
        <w:t xml:space="preserve">Table 1: 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w:t>
      </w:r>
    </w:p>
    <w:tbl>
      <w:tblPr>
        <w:tblStyle w:val="Table"/>
        <w:tblW w:w="5301"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409"/>
        <w:gridCol w:w="3402"/>
        <w:gridCol w:w="2127"/>
        <w:gridCol w:w="1985"/>
      </w:tblGrid>
      <w:tr w:rsidR="003C533D" w:rsidRPr="00FA3C08" w14:paraId="41027193" w14:textId="77777777" w:rsidTr="007612C7">
        <w:tc>
          <w:tcPr>
            <w:tcW w:w="1214" w:type="pct"/>
            <w:tcBorders>
              <w:bottom w:val="single" w:sz="0" w:space="0" w:color="auto"/>
            </w:tcBorders>
            <w:vAlign w:val="bottom"/>
          </w:tcPr>
          <w:p w14:paraId="12864CB1" w14:textId="77777777" w:rsidR="003C533D" w:rsidRPr="00FA3C08" w:rsidRDefault="003C533D" w:rsidP="007612C7">
            <w:pPr>
              <w:pStyle w:val="Compact"/>
              <w:rPr>
                <w:sz w:val="20"/>
                <w:szCs w:val="20"/>
              </w:rPr>
            </w:pPr>
            <w:r w:rsidRPr="00FA3C08">
              <w:rPr>
                <w:sz w:val="20"/>
                <w:szCs w:val="20"/>
              </w:rPr>
              <w:t>Dataset</w:t>
            </w:r>
          </w:p>
        </w:tc>
        <w:tc>
          <w:tcPr>
            <w:tcW w:w="1714" w:type="pct"/>
            <w:tcBorders>
              <w:bottom w:val="single" w:sz="0" w:space="0" w:color="auto"/>
            </w:tcBorders>
            <w:vAlign w:val="bottom"/>
          </w:tcPr>
          <w:p w14:paraId="4538EDD4" w14:textId="77777777" w:rsidR="003C533D" w:rsidRPr="00FA3C08" w:rsidRDefault="003C533D" w:rsidP="007612C7">
            <w:pPr>
              <w:pStyle w:val="Compact"/>
              <w:rPr>
                <w:sz w:val="20"/>
                <w:szCs w:val="20"/>
              </w:rPr>
            </w:pPr>
            <w:r w:rsidRPr="00FA3C08">
              <w:rPr>
                <w:sz w:val="20"/>
                <w:szCs w:val="20"/>
              </w:rPr>
              <w:t>Source</w:t>
            </w:r>
          </w:p>
        </w:tc>
        <w:tc>
          <w:tcPr>
            <w:tcW w:w="1072" w:type="pct"/>
            <w:tcBorders>
              <w:bottom w:val="single" w:sz="0" w:space="0" w:color="auto"/>
            </w:tcBorders>
            <w:vAlign w:val="bottom"/>
          </w:tcPr>
          <w:p w14:paraId="3408BB74" w14:textId="77777777" w:rsidR="003C533D" w:rsidRPr="00FA3C08" w:rsidRDefault="003C533D" w:rsidP="007612C7">
            <w:pPr>
              <w:pStyle w:val="Compact"/>
              <w:rPr>
                <w:sz w:val="20"/>
                <w:szCs w:val="20"/>
              </w:rPr>
            </w:pPr>
            <w:r w:rsidRPr="00FA3C08">
              <w:rPr>
                <w:sz w:val="20"/>
                <w:szCs w:val="20"/>
              </w:rPr>
              <w:t>Temporal extent</w:t>
            </w:r>
          </w:p>
        </w:tc>
        <w:tc>
          <w:tcPr>
            <w:tcW w:w="1001" w:type="pct"/>
            <w:tcBorders>
              <w:bottom w:val="single" w:sz="0" w:space="0" w:color="auto"/>
            </w:tcBorders>
            <w:vAlign w:val="bottom"/>
          </w:tcPr>
          <w:p w14:paraId="4E0C1806" w14:textId="77777777" w:rsidR="003C533D" w:rsidRPr="00FA3C08" w:rsidRDefault="003C533D" w:rsidP="007612C7">
            <w:pPr>
              <w:pStyle w:val="Compact"/>
              <w:rPr>
                <w:sz w:val="20"/>
                <w:szCs w:val="20"/>
              </w:rPr>
            </w:pPr>
            <w:r w:rsidRPr="00FA3C08">
              <w:rPr>
                <w:sz w:val="20"/>
                <w:szCs w:val="20"/>
              </w:rPr>
              <w:t>Citation(s)</w:t>
            </w:r>
          </w:p>
        </w:tc>
      </w:tr>
      <w:tr w:rsidR="003C533D" w:rsidRPr="00FA3C08" w14:paraId="62D443AE" w14:textId="77777777" w:rsidTr="007612C7">
        <w:tc>
          <w:tcPr>
            <w:tcW w:w="1214" w:type="pct"/>
          </w:tcPr>
          <w:p w14:paraId="15CBF49D" w14:textId="77777777" w:rsidR="003C533D" w:rsidRPr="00FA3C08" w:rsidRDefault="003C533D" w:rsidP="007612C7">
            <w:pPr>
              <w:pStyle w:val="Compact"/>
              <w:rPr>
                <w:sz w:val="20"/>
                <w:szCs w:val="20"/>
              </w:rPr>
            </w:pPr>
            <w:r w:rsidRPr="00FA3C08">
              <w:rPr>
                <w:sz w:val="20"/>
                <w:szCs w:val="20"/>
              </w:rPr>
              <w:t>Elevation</w:t>
            </w:r>
          </w:p>
        </w:tc>
        <w:tc>
          <w:tcPr>
            <w:tcW w:w="1714" w:type="pct"/>
          </w:tcPr>
          <w:p w14:paraId="4C73E734" w14:textId="77777777" w:rsidR="003C533D" w:rsidRPr="00FA3C08" w:rsidRDefault="003C533D" w:rsidP="007612C7">
            <w:pPr>
              <w:pStyle w:val="Compact"/>
              <w:rPr>
                <w:sz w:val="20"/>
                <w:szCs w:val="20"/>
              </w:rPr>
            </w:pPr>
            <w:r w:rsidRPr="00FA3C08">
              <w:rPr>
                <w:sz w:val="20"/>
                <w:szCs w:val="20"/>
              </w:rPr>
              <w:t>SRTM v2.0</w:t>
            </w:r>
          </w:p>
        </w:tc>
        <w:tc>
          <w:tcPr>
            <w:tcW w:w="1072" w:type="pct"/>
          </w:tcPr>
          <w:p w14:paraId="15798A43" w14:textId="77777777" w:rsidR="003C533D" w:rsidRPr="00FA3C08" w:rsidRDefault="003C533D" w:rsidP="007612C7">
            <w:pPr>
              <w:pStyle w:val="Compact"/>
              <w:rPr>
                <w:sz w:val="20"/>
                <w:szCs w:val="20"/>
              </w:rPr>
            </w:pPr>
          </w:p>
        </w:tc>
        <w:tc>
          <w:tcPr>
            <w:tcW w:w="1001" w:type="pct"/>
          </w:tcPr>
          <w:p w14:paraId="72B9F40B" w14:textId="77777777" w:rsidR="003C533D" w:rsidRPr="00FA3C08" w:rsidRDefault="003C533D" w:rsidP="007612C7">
            <w:pPr>
              <w:pStyle w:val="Compact"/>
              <w:rPr>
                <w:sz w:val="20"/>
                <w:szCs w:val="20"/>
              </w:rPr>
            </w:pPr>
            <w:r w:rsidRPr="00FA3C08">
              <w:rPr>
                <w:sz w:val="20"/>
                <w:szCs w:val="20"/>
              </w:rPr>
              <w:t>Farr et al. (2007)</w:t>
            </w:r>
          </w:p>
        </w:tc>
      </w:tr>
      <w:tr w:rsidR="003C533D" w:rsidRPr="00FA3C08" w14:paraId="094B5D5D" w14:textId="77777777" w:rsidTr="007612C7">
        <w:tc>
          <w:tcPr>
            <w:tcW w:w="1214" w:type="pct"/>
          </w:tcPr>
          <w:p w14:paraId="04354374" w14:textId="77777777" w:rsidR="003C533D" w:rsidRPr="00FA3C08" w:rsidRDefault="003C533D" w:rsidP="007612C7">
            <w:pPr>
              <w:pStyle w:val="Compact"/>
              <w:rPr>
                <w:sz w:val="20"/>
                <w:szCs w:val="20"/>
              </w:rPr>
            </w:pPr>
            <w:r w:rsidRPr="00FA3C08">
              <w:rPr>
                <w:sz w:val="20"/>
                <w:szCs w:val="20"/>
              </w:rPr>
              <w:t>NDVI</w:t>
            </w:r>
          </w:p>
        </w:tc>
        <w:tc>
          <w:tcPr>
            <w:tcW w:w="1714" w:type="pct"/>
          </w:tcPr>
          <w:p w14:paraId="0A69796F" w14:textId="77777777" w:rsidR="003C533D" w:rsidRPr="00FA3C08" w:rsidRDefault="003C533D" w:rsidP="007612C7">
            <w:pPr>
              <w:pStyle w:val="Compact"/>
              <w:rPr>
                <w:sz w:val="20"/>
                <w:szCs w:val="20"/>
              </w:rPr>
            </w:pPr>
            <w:r w:rsidRPr="00FA3C08">
              <w:rPr>
                <w:sz w:val="20"/>
                <w:szCs w:val="20"/>
              </w:rPr>
              <w:t>MODIS (MOD13C2)</w:t>
            </w:r>
          </w:p>
        </w:tc>
        <w:tc>
          <w:tcPr>
            <w:tcW w:w="1072" w:type="pct"/>
          </w:tcPr>
          <w:p w14:paraId="0B6444F6" w14:textId="77777777" w:rsidR="003C533D" w:rsidRPr="00FA3C08" w:rsidRDefault="003C533D" w:rsidP="007612C7">
            <w:pPr>
              <w:pStyle w:val="Compact"/>
              <w:rPr>
                <w:sz w:val="20"/>
                <w:szCs w:val="20"/>
              </w:rPr>
            </w:pPr>
            <w:r w:rsidRPr="00FA3C08">
              <w:rPr>
                <w:sz w:val="20"/>
                <w:szCs w:val="20"/>
              </w:rPr>
              <w:t>Feb. 2000 to Apr. 2017</w:t>
            </w:r>
          </w:p>
        </w:tc>
        <w:tc>
          <w:tcPr>
            <w:tcW w:w="1001" w:type="pct"/>
          </w:tcPr>
          <w:p w14:paraId="20B6363C" w14:textId="77777777" w:rsidR="003C533D" w:rsidRPr="00FA3C08" w:rsidRDefault="003C533D" w:rsidP="007612C7">
            <w:pPr>
              <w:pStyle w:val="Compact"/>
              <w:rPr>
                <w:sz w:val="20"/>
                <w:szCs w:val="20"/>
              </w:rPr>
            </w:pPr>
            <w:r w:rsidRPr="00FA3C08">
              <w:rPr>
                <w:sz w:val="20"/>
                <w:szCs w:val="20"/>
              </w:rPr>
              <w:t>NASA (?)</w:t>
            </w:r>
          </w:p>
        </w:tc>
      </w:tr>
      <w:tr w:rsidR="003C533D" w:rsidRPr="00FA3C08" w14:paraId="18F8E339" w14:textId="77777777" w:rsidTr="007612C7">
        <w:tc>
          <w:tcPr>
            <w:tcW w:w="1214" w:type="pct"/>
          </w:tcPr>
          <w:p w14:paraId="2B4969CA" w14:textId="77777777" w:rsidR="003C533D" w:rsidRPr="00FA3C08" w:rsidRDefault="003C533D" w:rsidP="007612C7">
            <w:pPr>
              <w:pStyle w:val="Compact"/>
              <w:rPr>
                <w:sz w:val="20"/>
                <w:szCs w:val="20"/>
              </w:rPr>
            </w:pPr>
            <w:r w:rsidRPr="00FA3C08">
              <w:rPr>
                <w:sz w:val="20"/>
                <w:szCs w:val="20"/>
              </w:rPr>
              <w:t>Surface temperature</w:t>
            </w:r>
          </w:p>
        </w:tc>
        <w:tc>
          <w:tcPr>
            <w:tcW w:w="1714" w:type="pct"/>
          </w:tcPr>
          <w:p w14:paraId="3A6C3C48" w14:textId="77777777" w:rsidR="003C533D" w:rsidRPr="00FA3C08" w:rsidRDefault="003C533D" w:rsidP="007612C7">
            <w:pPr>
              <w:pStyle w:val="Compact"/>
              <w:rPr>
                <w:sz w:val="20"/>
                <w:szCs w:val="20"/>
              </w:rPr>
            </w:pPr>
            <w:r w:rsidRPr="00FA3C08">
              <w:rPr>
                <w:sz w:val="20"/>
                <w:szCs w:val="20"/>
              </w:rPr>
              <w:t>MODIS (MOD11C3)</w:t>
            </w:r>
          </w:p>
        </w:tc>
        <w:tc>
          <w:tcPr>
            <w:tcW w:w="1072" w:type="pct"/>
          </w:tcPr>
          <w:p w14:paraId="65515E16" w14:textId="77777777" w:rsidR="003C533D" w:rsidRPr="00FA3C08" w:rsidRDefault="003C533D" w:rsidP="007612C7">
            <w:pPr>
              <w:pStyle w:val="Compact"/>
              <w:rPr>
                <w:sz w:val="20"/>
                <w:szCs w:val="20"/>
              </w:rPr>
            </w:pPr>
            <w:r w:rsidRPr="00FA3C08">
              <w:rPr>
                <w:sz w:val="20"/>
                <w:szCs w:val="20"/>
              </w:rPr>
              <w:t>Feb. 2000 to Apr. 2017</w:t>
            </w:r>
          </w:p>
        </w:tc>
        <w:tc>
          <w:tcPr>
            <w:tcW w:w="1001" w:type="pct"/>
          </w:tcPr>
          <w:p w14:paraId="7D935A37" w14:textId="77777777" w:rsidR="003C533D" w:rsidRPr="00FA3C08" w:rsidRDefault="003C533D" w:rsidP="007612C7">
            <w:pPr>
              <w:pStyle w:val="Compact"/>
              <w:rPr>
                <w:sz w:val="20"/>
                <w:szCs w:val="20"/>
              </w:rPr>
            </w:pPr>
            <w:r w:rsidRPr="00FA3C08">
              <w:rPr>
                <w:sz w:val="20"/>
                <w:szCs w:val="20"/>
              </w:rPr>
              <w:t>NASA (?)</w:t>
            </w:r>
          </w:p>
        </w:tc>
      </w:tr>
      <w:tr w:rsidR="003C533D" w:rsidRPr="00FA3C08" w14:paraId="1B4D4C71" w14:textId="77777777" w:rsidTr="007612C7">
        <w:tc>
          <w:tcPr>
            <w:tcW w:w="1214" w:type="pct"/>
          </w:tcPr>
          <w:p w14:paraId="1F31C346" w14:textId="77777777" w:rsidR="003C533D" w:rsidRPr="00FA3C08" w:rsidRDefault="003C533D" w:rsidP="007612C7">
            <w:pPr>
              <w:pStyle w:val="Compact"/>
              <w:rPr>
                <w:sz w:val="20"/>
                <w:szCs w:val="20"/>
              </w:rPr>
            </w:pPr>
            <w:r w:rsidRPr="00FA3C08">
              <w:rPr>
                <w:sz w:val="20"/>
                <w:szCs w:val="20"/>
              </w:rPr>
              <w:t>MAP</w:t>
            </w:r>
          </w:p>
        </w:tc>
        <w:tc>
          <w:tcPr>
            <w:tcW w:w="1714" w:type="pct"/>
          </w:tcPr>
          <w:p w14:paraId="531D056F" w14:textId="77777777" w:rsidR="003C533D" w:rsidRPr="00FA3C08" w:rsidRDefault="003C533D" w:rsidP="007612C7">
            <w:pPr>
              <w:pStyle w:val="Compact"/>
              <w:rPr>
                <w:sz w:val="20"/>
                <w:szCs w:val="20"/>
              </w:rPr>
            </w:pPr>
            <w:r w:rsidRPr="00FA3C08">
              <w:rPr>
                <w:sz w:val="20"/>
                <w:szCs w:val="20"/>
              </w:rPr>
              <w:t>CHIRPS v2.0</w:t>
            </w:r>
          </w:p>
        </w:tc>
        <w:tc>
          <w:tcPr>
            <w:tcW w:w="1072" w:type="pct"/>
          </w:tcPr>
          <w:p w14:paraId="1B664539" w14:textId="77777777" w:rsidR="003C533D" w:rsidRPr="00FA3C08" w:rsidRDefault="003C533D" w:rsidP="007612C7">
            <w:pPr>
              <w:pStyle w:val="Compact"/>
              <w:rPr>
                <w:sz w:val="20"/>
                <w:szCs w:val="20"/>
              </w:rPr>
            </w:pPr>
            <w:r w:rsidRPr="00FA3C08">
              <w:rPr>
                <w:sz w:val="20"/>
                <w:szCs w:val="20"/>
              </w:rPr>
              <w:t>Jan. 1981 to Feb. 2017</w:t>
            </w:r>
          </w:p>
        </w:tc>
        <w:tc>
          <w:tcPr>
            <w:tcW w:w="1001" w:type="pct"/>
          </w:tcPr>
          <w:p w14:paraId="3D7A63A4" w14:textId="77777777" w:rsidR="003C533D" w:rsidRPr="00FA3C08" w:rsidRDefault="003C533D" w:rsidP="007612C7">
            <w:pPr>
              <w:pStyle w:val="Compact"/>
              <w:rPr>
                <w:sz w:val="20"/>
                <w:szCs w:val="20"/>
              </w:rPr>
            </w:pPr>
            <w:r w:rsidRPr="00FA3C08">
              <w:rPr>
                <w:sz w:val="20"/>
                <w:szCs w:val="20"/>
              </w:rPr>
              <w:t>Funk et al. (2015)</w:t>
            </w:r>
          </w:p>
        </w:tc>
      </w:tr>
      <w:tr w:rsidR="003C533D" w:rsidRPr="00FA3C08" w14:paraId="53ED47E4" w14:textId="77777777" w:rsidTr="007612C7">
        <w:tc>
          <w:tcPr>
            <w:tcW w:w="1214" w:type="pct"/>
          </w:tcPr>
          <w:p w14:paraId="7F7A57EC" w14:textId="77777777" w:rsidR="003C533D" w:rsidRPr="00FA3C08" w:rsidRDefault="003C533D" w:rsidP="007612C7">
            <w:pPr>
              <w:pStyle w:val="Compact"/>
              <w:rPr>
                <w:sz w:val="20"/>
                <w:szCs w:val="20"/>
              </w:rPr>
            </w:pPr>
            <w:r w:rsidRPr="00FA3C08">
              <w:rPr>
                <w:sz w:val="20"/>
                <w:szCs w:val="20"/>
              </w:rPr>
              <w:t>PDQ</w:t>
            </w:r>
          </w:p>
        </w:tc>
        <w:tc>
          <w:tcPr>
            <w:tcW w:w="1714" w:type="pct"/>
          </w:tcPr>
          <w:p w14:paraId="138C06E0" w14:textId="77777777" w:rsidR="003C533D" w:rsidRPr="00FA3C08" w:rsidRDefault="003C533D" w:rsidP="007612C7">
            <w:pPr>
              <w:pStyle w:val="Compact"/>
              <w:rPr>
                <w:sz w:val="20"/>
                <w:szCs w:val="20"/>
              </w:rPr>
            </w:pPr>
            <w:r w:rsidRPr="00FA3C08">
              <w:rPr>
                <w:sz w:val="20"/>
                <w:szCs w:val="20"/>
              </w:rPr>
              <w:t>CHIRPS v2.0</w:t>
            </w:r>
          </w:p>
        </w:tc>
        <w:tc>
          <w:tcPr>
            <w:tcW w:w="1072" w:type="pct"/>
          </w:tcPr>
          <w:p w14:paraId="7DF088E0" w14:textId="77777777" w:rsidR="003C533D" w:rsidRPr="00FA3C08" w:rsidRDefault="003C533D" w:rsidP="007612C7">
            <w:pPr>
              <w:pStyle w:val="Compact"/>
              <w:rPr>
                <w:sz w:val="20"/>
                <w:szCs w:val="20"/>
              </w:rPr>
            </w:pPr>
            <w:r w:rsidRPr="00FA3C08">
              <w:rPr>
                <w:sz w:val="20"/>
                <w:szCs w:val="20"/>
              </w:rPr>
              <w:t>Jan. 1981 to Feb. 2017</w:t>
            </w:r>
          </w:p>
        </w:tc>
        <w:tc>
          <w:tcPr>
            <w:tcW w:w="1001" w:type="pct"/>
          </w:tcPr>
          <w:p w14:paraId="0FC000D9" w14:textId="77777777" w:rsidR="003C533D" w:rsidRPr="00FA3C08" w:rsidRDefault="003C533D" w:rsidP="007612C7">
            <w:pPr>
              <w:pStyle w:val="Compact"/>
              <w:rPr>
                <w:sz w:val="20"/>
                <w:szCs w:val="20"/>
              </w:rPr>
            </w:pPr>
            <w:r w:rsidRPr="00FA3C08">
              <w:rPr>
                <w:sz w:val="20"/>
                <w:szCs w:val="20"/>
              </w:rPr>
              <w:t>Funk et al. (2015)</w:t>
            </w:r>
          </w:p>
        </w:tc>
      </w:tr>
      <w:tr w:rsidR="003C533D" w:rsidRPr="00FA3C08" w14:paraId="6D1B76AE" w14:textId="77777777" w:rsidTr="007612C7">
        <w:tc>
          <w:tcPr>
            <w:tcW w:w="1214" w:type="pct"/>
          </w:tcPr>
          <w:p w14:paraId="50EBE578" w14:textId="77777777" w:rsidR="003C533D" w:rsidRPr="00FA3C08" w:rsidRDefault="003C533D" w:rsidP="007612C7">
            <w:pPr>
              <w:pStyle w:val="Compact"/>
              <w:rPr>
                <w:sz w:val="20"/>
                <w:szCs w:val="20"/>
              </w:rPr>
            </w:pPr>
            <w:r w:rsidRPr="00FA3C08">
              <w:rPr>
                <w:sz w:val="20"/>
                <w:szCs w:val="20"/>
              </w:rPr>
              <w:t>CEC</w:t>
            </w:r>
          </w:p>
        </w:tc>
        <w:tc>
          <w:tcPr>
            <w:tcW w:w="1714" w:type="pct"/>
          </w:tcPr>
          <w:p w14:paraId="04CF1F2A" w14:textId="77777777" w:rsidR="003C533D" w:rsidRPr="00FA3C08" w:rsidRDefault="003C533D" w:rsidP="007612C7">
            <w:pPr>
              <w:pStyle w:val="Compact"/>
              <w:rPr>
                <w:sz w:val="20"/>
                <w:szCs w:val="20"/>
              </w:rPr>
            </w:pPr>
            <w:r w:rsidRPr="00FA3C08">
              <w:rPr>
                <w:sz w:val="20"/>
                <w:szCs w:val="20"/>
              </w:rPr>
              <w:t>SoilGrids250m (“CECSOL M 250m”)</w:t>
            </w:r>
          </w:p>
        </w:tc>
        <w:tc>
          <w:tcPr>
            <w:tcW w:w="1072" w:type="pct"/>
          </w:tcPr>
          <w:p w14:paraId="18EB3752" w14:textId="77777777" w:rsidR="003C533D" w:rsidRPr="00FA3C08" w:rsidRDefault="003C533D" w:rsidP="007612C7">
            <w:pPr>
              <w:pStyle w:val="Compact"/>
              <w:rPr>
                <w:sz w:val="20"/>
                <w:szCs w:val="20"/>
              </w:rPr>
            </w:pPr>
          </w:p>
        </w:tc>
        <w:tc>
          <w:tcPr>
            <w:tcW w:w="1001" w:type="pct"/>
          </w:tcPr>
          <w:p w14:paraId="12B60CF3" w14:textId="77777777" w:rsidR="003C533D" w:rsidRPr="00FA3C08" w:rsidRDefault="003C533D" w:rsidP="007612C7">
            <w:pPr>
              <w:pStyle w:val="Compact"/>
              <w:rPr>
                <w:sz w:val="20"/>
                <w:szCs w:val="20"/>
              </w:rPr>
            </w:pPr>
            <w:r w:rsidRPr="00FA3C08">
              <w:rPr>
                <w:sz w:val="20"/>
                <w:szCs w:val="20"/>
              </w:rPr>
              <w:t>Hengl et al. (2017)</w:t>
            </w:r>
          </w:p>
        </w:tc>
      </w:tr>
      <w:tr w:rsidR="003C533D" w:rsidRPr="00FA3C08" w14:paraId="3A4F01B8" w14:textId="77777777" w:rsidTr="007612C7">
        <w:tc>
          <w:tcPr>
            <w:tcW w:w="1214" w:type="pct"/>
          </w:tcPr>
          <w:p w14:paraId="51A4D816" w14:textId="77777777" w:rsidR="003C533D" w:rsidRPr="00FA3C08" w:rsidRDefault="003C533D" w:rsidP="007612C7">
            <w:pPr>
              <w:pStyle w:val="Compact"/>
              <w:rPr>
                <w:sz w:val="20"/>
                <w:szCs w:val="20"/>
              </w:rPr>
            </w:pPr>
            <w:r w:rsidRPr="00FA3C08">
              <w:rPr>
                <w:sz w:val="20"/>
                <w:szCs w:val="20"/>
              </w:rPr>
              <w:t>Clay</w:t>
            </w:r>
          </w:p>
        </w:tc>
        <w:tc>
          <w:tcPr>
            <w:tcW w:w="1714" w:type="pct"/>
          </w:tcPr>
          <w:p w14:paraId="3C02ACF8" w14:textId="77777777" w:rsidR="003C533D" w:rsidRPr="00FA3C08" w:rsidRDefault="003C533D" w:rsidP="007612C7">
            <w:pPr>
              <w:pStyle w:val="Compact"/>
              <w:rPr>
                <w:sz w:val="20"/>
                <w:szCs w:val="20"/>
              </w:rPr>
            </w:pPr>
            <w:r w:rsidRPr="00FA3C08">
              <w:rPr>
                <w:sz w:val="20"/>
                <w:szCs w:val="20"/>
              </w:rPr>
              <w:t>SoilGrids250m (“CLYPPT M 250m”)</w:t>
            </w:r>
          </w:p>
        </w:tc>
        <w:tc>
          <w:tcPr>
            <w:tcW w:w="1072" w:type="pct"/>
          </w:tcPr>
          <w:p w14:paraId="4DB26BED" w14:textId="77777777" w:rsidR="003C533D" w:rsidRPr="00FA3C08" w:rsidRDefault="003C533D" w:rsidP="007612C7">
            <w:pPr>
              <w:pStyle w:val="Compact"/>
              <w:rPr>
                <w:sz w:val="20"/>
                <w:szCs w:val="20"/>
              </w:rPr>
            </w:pPr>
          </w:p>
        </w:tc>
        <w:tc>
          <w:tcPr>
            <w:tcW w:w="1001" w:type="pct"/>
          </w:tcPr>
          <w:p w14:paraId="50E34806" w14:textId="77777777" w:rsidR="003C533D" w:rsidRPr="00FA3C08" w:rsidRDefault="003C533D" w:rsidP="007612C7">
            <w:pPr>
              <w:pStyle w:val="Compact"/>
              <w:rPr>
                <w:sz w:val="20"/>
                <w:szCs w:val="20"/>
              </w:rPr>
            </w:pPr>
          </w:p>
        </w:tc>
      </w:tr>
      <w:tr w:rsidR="003C533D" w:rsidRPr="00FA3C08" w14:paraId="4436128C" w14:textId="77777777" w:rsidTr="007612C7">
        <w:tc>
          <w:tcPr>
            <w:tcW w:w="1214" w:type="pct"/>
          </w:tcPr>
          <w:p w14:paraId="0401CD22" w14:textId="77777777" w:rsidR="003C533D" w:rsidRPr="00FA3C08" w:rsidRDefault="003C533D" w:rsidP="007612C7">
            <w:pPr>
              <w:pStyle w:val="Compact"/>
              <w:rPr>
                <w:sz w:val="20"/>
                <w:szCs w:val="20"/>
              </w:rPr>
            </w:pPr>
            <w:r w:rsidRPr="00FA3C08">
              <w:rPr>
                <w:sz w:val="20"/>
                <w:szCs w:val="20"/>
              </w:rPr>
              <w:t>Soil carbon</w:t>
            </w:r>
          </w:p>
        </w:tc>
        <w:tc>
          <w:tcPr>
            <w:tcW w:w="1714" w:type="pct"/>
          </w:tcPr>
          <w:p w14:paraId="54274A4C" w14:textId="77777777" w:rsidR="003C533D" w:rsidRPr="00FA3C08" w:rsidRDefault="003C533D" w:rsidP="007612C7">
            <w:pPr>
              <w:pStyle w:val="Compact"/>
              <w:rPr>
                <w:sz w:val="20"/>
                <w:szCs w:val="20"/>
              </w:rPr>
            </w:pPr>
            <w:r w:rsidRPr="00FA3C08">
              <w:rPr>
                <w:sz w:val="20"/>
                <w:szCs w:val="20"/>
              </w:rPr>
              <w:t>SoilGrids250m (“OCDENS M 250m”)</w:t>
            </w:r>
          </w:p>
        </w:tc>
        <w:tc>
          <w:tcPr>
            <w:tcW w:w="1072" w:type="pct"/>
          </w:tcPr>
          <w:p w14:paraId="025A2140" w14:textId="77777777" w:rsidR="003C533D" w:rsidRPr="00FA3C08" w:rsidRDefault="003C533D" w:rsidP="007612C7">
            <w:pPr>
              <w:pStyle w:val="Compact"/>
              <w:rPr>
                <w:sz w:val="20"/>
                <w:szCs w:val="20"/>
              </w:rPr>
            </w:pPr>
          </w:p>
        </w:tc>
        <w:tc>
          <w:tcPr>
            <w:tcW w:w="1001" w:type="pct"/>
          </w:tcPr>
          <w:p w14:paraId="56BA4D58" w14:textId="77777777" w:rsidR="003C533D" w:rsidRPr="00FA3C08" w:rsidRDefault="003C533D" w:rsidP="007612C7">
            <w:pPr>
              <w:pStyle w:val="Compact"/>
              <w:rPr>
                <w:sz w:val="20"/>
                <w:szCs w:val="20"/>
              </w:rPr>
            </w:pPr>
          </w:p>
        </w:tc>
      </w:tr>
      <w:tr w:rsidR="003C533D" w:rsidRPr="00FA3C08" w14:paraId="7BE3BB46" w14:textId="77777777" w:rsidTr="007612C7">
        <w:tc>
          <w:tcPr>
            <w:tcW w:w="1214" w:type="pct"/>
          </w:tcPr>
          <w:p w14:paraId="69724CB7" w14:textId="77777777" w:rsidR="003C533D" w:rsidRPr="00FA3C08" w:rsidRDefault="003C533D" w:rsidP="007612C7">
            <w:pPr>
              <w:pStyle w:val="Compact"/>
              <w:rPr>
                <w:sz w:val="20"/>
                <w:szCs w:val="20"/>
              </w:rPr>
            </w:pPr>
            <w:r w:rsidRPr="00FA3C08">
              <w:rPr>
                <w:sz w:val="20"/>
                <w:szCs w:val="20"/>
              </w:rPr>
              <w:t>pH</w:t>
            </w:r>
          </w:p>
        </w:tc>
        <w:tc>
          <w:tcPr>
            <w:tcW w:w="1714" w:type="pct"/>
          </w:tcPr>
          <w:p w14:paraId="60F5E9BC" w14:textId="77777777" w:rsidR="003C533D" w:rsidRPr="00FA3C08" w:rsidRDefault="003C533D" w:rsidP="007612C7">
            <w:pPr>
              <w:pStyle w:val="Compact"/>
              <w:rPr>
                <w:sz w:val="20"/>
                <w:szCs w:val="20"/>
              </w:rPr>
            </w:pPr>
            <w:r w:rsidRPr="00FA3C08">
              <w:rPr>
                <w:sz w:val="20"/>
                <w:szCs w:val="20"/>
              </w:rPr>
              <w:t>SoilGrids250m (“PHIKCL M 250m”)</w:t>
            </w:r>
          </w:p>
        </w:tc>
        <w:tc>
          <w:tcPr>
            <w:tcW w:w="1072" w:type="pct"/>
          </w:tcPr>
          <w:p w14:paraId="5514C8A8" w14:textId="77777777" w:rsidR="003C533D" w:rsidRPr="00FA3C08" w:rsidRDefault="003C533D" w:rsidP="007612C7">
            <w:pPr>
              <w:pStyle w:val="Compact"/>
              <w:rPr>
                <w:sz w:val="20"/>
                <w:szCs w:val="20"/>
              </w:rPr>
            </w:pPr>
          </w:p>
        </w:tc>
        <w:tc>
          <w:tcPr>
            <w:tcW w:w="1001" w:type="pct"/>
          </w:tcPr>
          <w:p w14:paraId="1962BC6F" w14:textId="77777777" w:rsidR="003C533D" w:rsidRPr="00FA3C08" w:rsidRDefault="003C533D" w:rsidP="007612C7">
            <w:pPr>
              <w:pStyle w:val="Compact"/>
              <w:rPr>
                <w:sz w:val="20"/>
                <w:szCs w:val="20"/>
              </w:rPr>
            </w:pPr>
          </w:p>
        </w:tc>
      </w:tr>
      <w:tr w:rsidR="003C533D" w:rsidRPr="00FA3C08" w14:paraId="6EAAC875" w14:textId="77777777" w:rsidTr="007612C7">
        <w:tc>
          <w:tcPr>
            <w:tcW w:w="1214" w:type="pct"/>
          </w:tcPr>
          <w:p w14:paraId="6A945B2C" w14:textId="77777777" w:rsidR="003C533D" w:rsidRPr="00FA3C08" w:rsidRDefault="003C533D" w:rsidP="007612C7">
            <w:pPr>
              <w:pStyle w:val="Compact"/>
              <w:rPr>
                <w:sz w:val="20"/>
                <w:szCs w:val="20"/>
              </w:rPr>
            </w:pPr>
            <w:r w:rsidRPr="00FA3C08">
              <w:rPr>
                <w:sz w:val="20"/>
                <w:szCs w:val="20"/>
              </w:rPr>
              <w:t>Plant species occurrences</w:t>
            </w:r>
          </w:p>
        </w:tc>
        <w:tc>
          <w:tcPr>
            <w:tcW w:w="1714" w:type="pct"/>
          </w:tcPr>
          <w:p w14:paraId="587A92CE" w14:textId="77777777" w:rsidR="003C533D" w:rsidRPr="00FA3C08" w:rsidRDefault="003C533D" w:rsidP="007612C7">
            <w:pPr>
              <w:pStyle w:val="Compact"/>
              <w:rPr>
                <w:sz w:val="20"/>
                <w:szCs w:val="20"/>
              </w:rPr>
            </w:pPr>
            <w:r w:rsidRPr="00FA3C08">
              <w:rPr>
                <w:sz w:val="20"/>
                <w:szCs w:val="20"/>
              </w:rPr>
              <w:t>GBIF</w:t>
            </w:r>
          </w:p>
        </w:tc>
        <w:tc>
          <w:tcPr>
            <w:tcW w:w="1072" w:type="pct"/>
          </w:tcPr>
          <w:p w14:paraId="715ED149" w14:textId="77777777" w:rsidR="003C533D" w:rsidRPr="00FA3C08" w:rsidRDefault="003C533D" w:rsidP="007612C7">
            <w:pPr>
              <w:pStyle w:val="Compact"/>
              <w:rPr>
                <w:sz w:val="20"/>
                <w:szCs w:val="20"/>
              </w:rPr>
            </w:pPr>
          </w:p>
        </w:tc>
        <w:tc>
          <w:tcPr>
            <w:tcW w:w="1001" w:type="pct"/>
          </w:tcPr>
          <w:p w14:paraId="5D8FBF4D" w14:textId="77777777" w:rsidR="003C533D" w:rsidRPr="00FA3C08" w:rsidRDefault="003C533D" w:rsidP="007612C7">
            <w:pPr>
              <w:pStyle w:val="Compact"/>
              <w:rPr>
                <w:sz w:val="20"/>
                <w:szCs w:val="20"/>
              </w:rPr>
            </w:pPr>
            <w:r w:rsidRPr="00FA3C08">
              <w:rPr>
                <w:sz w:val="20"/>
                <w:szCs w:val="20"/>
              </w:rPr>
              <w:t>GBIF (24 July 2017), GBIF (24 July 2017)</w:t>
            </w:r>
          </w:p>
        </w:tc>
      </w:tr>
    </w:tbl>
    <w:p w14:paraId="28D92864" w14:textId="77777777" w:rsidR="003C533D" w:rsidRDefault="003C533D" w:rsidP="003C533D">
      <w:pPr>
        <w:rPr>
          <w:rFonts w:asciiTheme="majorBidi" w:eastAsiaTheme="majorEastAsia" w:hAnsiTheme="majorBidi" w:cstheme="majorBidi"/>
          <w:b/>
          <w:bCs/>
          <w:color w:val="000000" w:themeColor="text1"/>
          <w:sz w:val="28"/>
          <w:szCs w:val="32"/>
        </w:rPr>
      </w:pPr>
      <w:r>
        <w:br w:type="page"/>
      </w:r>
    </w:p>
    <w:p w14:paraId="3474C678" w14:textId="77296D3C" w:rsidR="00D04776" w:rsidRDefault="00D04776" w:rsidP="00D04776">
      <w:pPr>
        <w:pStyle w:val="TableCaption"/>
      </w:pPr>
      <w:r>
        <w:lastRenderedPageBreak/>
        <w:t xml:space="preserve">Table 2: Results of univariate regressions of vascular plant species richness against various axes of </w:t>
      </w:r>
      <w:r w:rsidR="007948F4">
        <w:t>environmental heterogeneity</w:t>
      </w:r>
      <w:r>
        <w:t xml:space="preserve"> and overall </w:t>
      </w:r>
      <w:r w:rsidR="007948F4">
        <w:t>environmental heterogeneity</w:t>
      </w:r>
      <w:r>
        <w:t xml:space="preserve"> (PC1) across the GCFR and SWAFR,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  Abbreviations are as follows: MAP, mean annual precipitation; PDQ, precipitation in the driest quarter; CEC, cation exchange capacity; T, temperature.</w:t>
      </w:r>
    </w:p>
    <w:tbl>
      <w:tblPr>
        <w:tblStyle w:val="Table"/>
        <w:tblW w:w="4779" w:type="pct"/>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6"/>
        <w:gridCol w:w="943"/>
        <w:gridCol w:w="1660"/>
        <w:gridCol w:w="763"/>
        <w:gridCol w:w="576"/>
        <w:gridCol w:w="1059"/>
        <w:gridCol w:w="576"/>
        <w:gridCol w:w="1657"/>
        <w:gridCol w:w="576"/>
      </w:tblGrid>
      <w:tr w:rsidR="00D04776" w14:paraId="4E13A69F" w14:textId="77777777" w:rsidTr="00866587">
        <w:tc>
          <w:tcPr>
            <w:tcW w:w="0" w:type="auto"/>
            <w:tcBorders>
              <w:top w:val="single" w:sz="4" w:space="0" w:color="auto"/>
            </w:tcBorders>
            <w:vAlign w:val="bottom"/>
          </w:tcPr>
          <w:p w14:paraId="7EEEC96C" w14:textId="77777777" w:rsidR="00D04776" w:rsidRDefault="00D04776" w:rsidP="00D04776">
            <w:pPr>
              <w:pStyle w:val="Compact"/>
              <w:spacing w:line="276" w:lineRule="auto"/>
            </w:pPr>
          </w:p>
        </w:tc>
        <w:tc>
          <w:tcPr>
            <w:tcW w:w="527" w:type="pct"/>
            <w:tcBorders>
              <w:top w:val="single" w:sz="4" w:space="0" w:color="auto"/>
            </w:tcBorders>
            <w:vAlign w:val="bottom"/>
          </w:tcPr>
          <w:p w14:paraId="29B240A7" w14:textId="77777777" w:rsidR="00D04776" w:rsidRDefault="00D04776" w:rsidP="00D04776">
            <w:pPr>
              <w:pStyle w:val="Compact"/>
              <w:spacing w:line="276" w:lineRule="auto"/>
            </w:pPr>
          </w:p>
        </w:tc>
        <w:tc>
          <w:tcPr>
            <w:tcW w:w="928" w:type="pct"/>
            <w:tcBorders>
              <w:top w:val="single" w:sz="4" w:space="0" w:color="auto"/>
            </w:tcBorders>
            <w:vAlign w:val="bottom"/>
          </w:tcPr>
          <w:p w14:paraId="3667096E" w14:textId="77777777" w:rsidR="00D04776" w:rsidRDefault="00D04776" w:rsidP="00D04776">
            <w:pPr>
              <w:pStyle w:val="Compact"/>
              <w:spacing w:line="276" w:lineRule="auto"/>
            </w:pPr>
          </w:p>
        </w:tc>
        <w:tc>
          <w:tcPr>
            <w:tcW w:w="0" w:type="auto"/>
            <w:gridSpan w:val="6"/>
            <w:tcBorders>
              <w:top w:val="single" w:sz="4" w:space="0" w:color="auto"/>
              <w:bottom w:val="single" w:sz="2" w:space="0" w:color="auto"/>
            </w:tcBorders>
            <w:vAlign w:val="bottom"/>
          </w:tcPr>
          <w:p w14:paraId="29E194BC" w14:textId="77777777" w:rsidR="00D04776" w:rsidRDefault="00D04776" w:rsidP="00D04776">
            <w:pPr>
              <w:pStyle w:val="Compact"/>
              <w:spacing w:line="276" w:lineRule="auto"/>
              <w:jc w:val="center"/>
            </w:pPr>
            <w:r>
              <w:t>Model term</w:t>
            </w:r>
          </w:p>
        </w:tc>
      </w:tr>
      <w:tr w:rsidR="00D04776" w14:paraId="68C1A1ED" w14:textId="77777777" w:rsidTr="00866587">
        <w:tc>
          <w:tcPr>
            <w:tcW w:w="0" w:type="auto"/>
            <w:tcBorders>
              <w:bottom w:val="single" w:sz="2" w:space="0" w:color="auto"/>
            </w:tcBorders>
            <w:vAlign w:val="bottom"/>
          </w:tcPr>
          <w:p w14:paraId="62EBEFAF" w14:textId="77777777" w:rsidR="00D04776" w:rsidRDefault="00D04776" w:rsidP="00D04776">
            <w:pPr>
              <w:pStyle w:val="Compact"/>
              <w:spacing w:line="276" w:lineRule="auto"/>
            </w:pPr>
            <w:r>
              <w:t>Response</w:t>
            </w:r>
          </w:p>
        </w:tc>
        <w:tc>
          <w:tcPr>
            <w:tcW w:w="527" w:type="pct"/>
            <w:tcBorders>
              <w:bottom w:val="single" w:sz="2" w:space="0" w:color="auto"/>
            </w:tcBorders>
            <w:vAlign w:val="bottom"/>
          </w:tcPr>
          <w:p w14:paraId="1057092F" w14:textId="77777777" w:rsidR="00D04776" w:rsidRDefault="00D04776" w:rsidP="00D04776">
            <w:pPr>
              <w:pStyle w:val="Compact"/>
              <w:spacing w:line="276" w:lineRule="auto"/>
            </w:pPr>
            <w:r>
              <w:t>Model type</w:t>
            </w:r>
          </w:p>
        </w:tc>
        <w:tc>
          <w:tcPr>
            <w:tcW w:w="928" w:type="pct"/>
            <w:tcBorders>
              <w:bottom w:val="single" w:sz="2" w:space="0" w:color="auto"/>
            </w:tcBorders>
            <w:vAlign w:val="bottom"/>
          </w:tcPr>
          <w:p w14:paraId="7608062B" w14:textId="2C2E1EA6" w:rsidR="00D04776" w:rsidRDefault="007948F4" w:rsidP="00D04776">
            <w:pPr>
              <w:pStyle w:val="Compact"/>
              <w:spacing w:line="276" w:lineRule="auto"/>
            </w:pPr>
            <w:r>
              <w:t>environmental heterogeneity</w:t>
            </w:r>
            <w:r w:rsidR="00D04776">
              <w:t xml:space="preserve"> predictor</w:t>
            </w:r>
          </w:p>
        </w:tc>
        <w:tc>
          <w:tcPr>
            <w:tcW w:w="0" w:type="auto"/>
            <w:tcBorders>
              <w:top w:val="single" w:sz="4" w:space="0" w:color="auto"/>
              <w:bottom w:val="single" w:sz="2" w:space="0" w:color="auto"/>
            </w:tcBorders>
            <w:vAlign w:val="bottom"/>
          </w:tcPr>
          <w:p w14:paraId="2CE1A55F" w14:textId="77777777" w:rsidR="00D04776" w:rsidRDefault="00D04776" w:rsidP="00D04776">
            <w:pPr>
              <w:pStyle w:val="Compact"/>
              <w:spacing w:line="276" w:lineRule="auto"/>
              <w:jc w:val="center"/>
            </w:pPr>
            <w:r>
              <w:t>Slope</w:t>
            </w:r>
          </w:p>
        </w:tc>
        <w:tc>
          <w:tcPr>
            <w:tcW w:w="0" w:type="auto"/>
            <w:tcBorders>
              <w:top w:val="single" w:sz="4" w:space="0" w:color="auto"/>
              <w:bottom w:val="single" w:sz="2" w:space="0" w:color="auto"/>
            </w:tcBorders>
            <w:vAlign w:val="bottom"/>
          </w:tcPr>
          <w:p w14:paraId="6791E9D4" w14:textId="77777777" w:rsidR="00D04776" w:rsidRDefault="00D04776" w:rsidP="00D04776">
            <w:pPr>
              <w:pStyle w:val="Compact"/>
              <w:spacing w:line="276" w:lineRule="auto"/>
            </w:pPr>
          </w:p>
        </w:tc>
        <w:tc>
          <w:tcPr>
            <w:tcW w:w="0" w:type="auto"/>
            <w:tcBorders>
              <w:top w:val="single" w:sz="4" w:space="0" w:color="auto"/>
              <w:bottom w:val="single" w:sz="2" w:space="0" w:color="auto"/>
            </w:tcBorders>
            <w:vAlign w:val="bottom"/>
          </w:tcPr>
          <w:p w14:paraId="63C44C52" w14:textId="77777777" w:rsidR="00D04776" w:rsidRDefault="00D04776" w:rsidP="00D04776">
            <w:pPr>
              <w:pStyle w:val="Compact"/>
              <w:spacing w:line="276" w:lineRule="auto"/>
              <w:jc w:val="center"/>
            </w:pPr>
            <w:r>
              <w:t>SWAFR effect</w:t>
            </w:r>
          </w:p>
        </w:tc>
        <w:tc>
          <w:tcPr>
            <w:tcW w:w="0" w:type="auto"/>
            <w:tcBorders>
              <w:top w:val="single" w:sz="4" w:space="0" w:color="auto"/>
              <w:bottom w:val="single" w:sz="2" w:space="0" w:color="auto"/>
            </w:tcBorders>
            <w:vAlign w:val="bottom"/>
          </w:tcPr>
          <w:p w14:paraId="7CB0CB9D" w14:textId="77777777" w:rsidR="00D04776" w:rsidRDefault="00D04776" w:rsidP="00D04776">
            <w:pPr>
              <w:pStyle w:val="Compact"/>
              <w:spacing w:line="276" w:lineRule="auto"/>
            </w:pPr>
          </w:p>
        </w:tc>
        <w:tc>
          <w:tcPr>
            <w:tcW w:w="0" w:type="auto"/>
            <w:tcBorders>
              <w:top w:val="single" w:sz="4" w:space="0" w:color="auto"/>
              <w:bottom w:val="single" w:sz="2" w:space="0" w:color="auto"/>
            </w:tcBorders>
            <w:vAlign w:val="bottom"/>
          </w:tcPr>
          <w:p w14:paraId="25804078" w14:textId="77777777" w:rsidR="00D04776" w:rsidRDefault="00D04776" w:rsidP="00D04776">
            <w:pPr>
              <w:pStyle w:val="Compact"/>
              <w:spacing w:line="276" w:lineRule="auto"/>
              <w:jc w:val="center"/>
            </w:pPr>
            <w:r>
              <w:t>Slope:SWAFR</w:t>
            </w:r>
          </w:p>
        </w:tc>
        <w:tc>
          <w:tcPr>
            <w:tcW w:w="0" w:type="auto"/>
            <w:tcBorders>
              <w:top w:val="single" w:sz="4" w:space="0" w:color="auto"/>
              <w:bottom w:val="single" w:sz="2" w:space="0" w:color="auto"/>
            </w:tcBorders>
            <w:vAlign w:val="bottom"/>
          </w:tcPr>
          <w:p w14:paraId="44360DF1" w14:textId="77777777" w:rsidR="00D04776" w:rsidRDefault="00D04776" w:rsidP="00D04776">
            <w:pPr>
              <w:pStyle w:val="Compact"/>
              <w:spacing w:line="276" w:lineRule="auto"/>
            </w:pPr>
          </w:p>
        </w:tc>
      </w:tr>
      <w:tr w:rsidR="00D04776" w14:paraId="1D4B725B" w14:textId="77777777" w:rsidTr="00866587">
        <w:tc>
          <w:tcPr>
            <w:tcW w:w="0" w:type="auto"/>
            <w:tcBorders>
              <w:top w:val="single" w:sz="2" w:space="0" w:color="auto"/>
              <w:bottom w:val="dashed" w:sz="4" w:space="0" w:color="auto"/>
            </w:tcBorders>
          </w:tcPr>
          <w:p w14:paraId="676DF6F5" w14:textId="77777777" w:rsidR="00D04776" w:rsidRDefault="00D04776" w:rsidP="00D04776">
            <w:pPr>
              <w:pStyle w:val="Compact"/>
              <w:spacing w:line="276" w:lineRule="auto"/>
            </w:pPr>
            <w:r>
              <w:t xml:space="preserve">(a) </w:t>
            </w:r>
            <w:r>
              <w:rPr>
                <w:i/>
              </w:rPr>
              <w:t>S</w:t>
            </w:r>
            <w:r>
              <w:rPr>
                <w:vertAlign w:val="subscript"/>
              </w:rPr>
              <w:t>HDS</w:t>
            </w:r>
          </w:p>
        </w:tc>
        <w:tc>
          <w:tcPr>
            <w:tcW w:w="527" w:type="pct"/>
            <w:tcBorders>
              <w:top w:val="single" w:sz="2" w:space="0" w:color="auto"/>
              <w:bottom w:val="dashed" w:sz="4" w:space="0" w:color="auto"/>
            </w:tcBorders>
          </w:tcPr>
          <w:p w14:paraId="00A80A7F" w14:textId="77777777" w:rsidR="00D04776" w:rsidRDefault="00D04776" w:rsidP="00D04776">
            <w:pPr>
              <w:pStyle w:val="Compact"/>
              <w:spacing w:line="276" w:lineRule="auto"/>
            </w:pPr>
            <w:r>
              <w:t>Main effect × region</w:t>
            </w:r>
          </w:p>
        </w:tc>
        <w:tc>
          <w:tcPr>
            <w:tcW w:w="928" w:type="pct"/>
            <w:tcBorders>
              <w:top w:val="single" w:sz="2" w:space="0" w:color="auto"/>
              <w:bottom w:val="dashed" w:sz="4" w:space="0" w:color="auto"/>
            </w:tcBorders>
          </w:tcPr>
          <w:p w14:paraId="49A7566B" w14:textId="77777777" w:rsidR="00D04776" w:rsidRDefault="00D04776" w:rsidP="00D04776">
            <w:pPr>
              <w:pStyle w:val="Compact"/>
              <w:spacing w:line="276" w:lineRule="auto"/>
            </w:pPr>
            <w:r>
              <w:t>MAP</w:t>
            </w:r>
          </w:p>
        </w:tc>
        <w:tc>
          <w:tcPr>
            <w:tcW w:w="0" w:type="auto"/>
            <w:tcBorders>
              <w:top w:val="single" w:sz="2" w:space="0" w:color="auto"/>
              <w:bottom w:val="dashed" w:sz="4" w:space="0" w:color="auto"/>
            </w:tcBorders>
          </w:tcPr>
          <w:p w14:paraId="33AB2E20" w14:textId="77777777" w:rsidR="00D04776" w:rsidRDefault="00D04776" w:rsidP="00D04776">
            <w:pPr>
              <w:pStyle w:val="Compact"/>
              <w:spacing w:line="276" w:lineRule="auto"/>
              <w:jc w:val="center"/>
            </w:pPr>
            <w:r>
              <w:t>+</w:t>
            </w:r>
          </w:p>
        </w:tc>
        <w:tc>
          <w:tcPr>
            <w:tcW w:w="0" w:type="auto"/>
            <w:tcBorders>
              <w:top w:val="single" w:sz="2" w:space="0" w:color="auto"/>
              <w:bottom w:val="dashed" w:sz="4" w:space="0" w:color="auto"/>
            </w:tcBorders>
          </w:tcPr>
          <w:p w14:paraId="49154C1A" w14:textId="77777777" w:rsidR="00D04776" w:rsidRDefault="00D04776" w:rsidP="00D04776">
            <w:pPr>
              <w:pStyle w:val="Compact"/>
              <w:spacing w:line="276" w:lineRule="auto"/>
            </w:pPr>
            <w:r>
              <w:t>***</w:t>
            </w:r>
          </w:p>
        </w:tc>
        <w:tc>
          <w:tcPr>
            <w:tcW w:w="0" w:type="auto"/>
            <w:tcBorders>
              <w:top w:val="single" w:sz="2" w:space="0" w:color="auto"/>
              <w:bottom w:val="dashed" w:sz="4" w:space="0" w:color="auto"/>
            </w:tcBorders>
          </w:tcPr>
          <w:p w14:paraId="5115706A" w14:textId="77777777" w:rsidR="00D04776" w:rsidRDefault="00D04776" w:rsidP="00D04776">
            <w:pPr>
              <w:pStyle w:val="Compact"/>
              <w:spacing w:line="276" w:lineRule="auto"/>
              <w:jc w:val="center"/>
            </w:pPr>
            <w:r>
              <w:t>+</w:t>
            </w:r>
          </w:p>
        </w:tc>
        <w:tc>
          <w:tcPr>
            <w:tcW w:w="0" w:type="auto"/>
            <w:tcBorders>
              <w:top w:val="single" w:sz="2" w:space="0" w:color="auto"/>
              <w:bottom w:val="dashed" w:sz="4" w:space="0" w:color="auto"/>
            </w:tcBorders>
          </w:tcPr>
          <w:p w14:paraId="3E866CB9" w14:textId="77777777" w:rsidR="00D04776" w:rsidRDefault="00D04776" w:rsidP="00D04776">
            <w:pPr>
              <w:pStyle w:val="Compact"/>
              <w:spacing w:line="276" w:lineRule="auto"/>
            </w:pPr>
          </w:p>
        </w:tc>
        <w:tc>
          <w:tcPr>
            <w:tcW w:w="0" w:type="auto"/>
            <w:tcBorders>
              <w:top w:val="single" w:sz="2" w:space="0" w:color="auto"/>
              <w:bottom w:val="dashed" w:sz="4" w:space="0" w:color="auto"/>
            </w:tcBorders>
          </w:tcPr>
          <w:p w14:paraId="4605C35B" w14:textId="77777777" w:rsidR="00D04776" w:rsidRDefault="00D04776" w:rsidP="00D04776">
            <w:pPr>
              <w:pStyle w:val="Compact"/>
              <w:spacing w:line="276" w:lineRule="auto"/>
              <w:jc w:val="center"/>
            </w:pPr>
            <w:r>
              <w:t>–</w:t>
            </w:r>
          </w:p>
        </w:tc>
        <w:tc>
          <w:tcPr>
            <w:tcW w:w="0" w:type="auto"/>
            <w:tcBorders>
              <w:top w:val="single" w:sz="2" w:space="0" w:color="auto"/>
              <w:bottom w:val="dashed" w:sz="4" w:space="0" w:color="auto"/>
            </w:tcBorders>
          </w:tcPr>
          <w:p w14:paraId="66246534" w14:textId="77777777" w:rsidR="00D04776" w:rsidRDefault="00D04776" w:rsidP="00D04776">
            <w:pPr>
              <w:pStyle w:val="Compact"/>
              <w:spacing w:line="276" w:lineRule="auto"/>
            </w:pPr>
            <w:r>
              <w:t>**</w:t>
            </w:r>
          </w:p>
        </w:tc>
      </w:tr>
      <w:tr w:rsidR="00D04776" w14:paraId="2EE6DCB3" w14:textId="77777777" w:rsidTr="00866587">
        <w:tc>
          <w:tcPr>
            <w:tcW w:w="0" w:type="auto"/>
            <w:tcBorders>
              <w:top w:val="dashed" w:sz="4" w:space="0" w:color="auto"/>
            </w:tcBorders>
          </w:tcPr>
          <w:p w14:paraId="726EC733" w14:textId="77777777" w:rsidR="00D04776" w:rsidRDefault="00D04776" w:rsidP="00D04776">
            <w:pPr>
              <w:pStyle w:val="Compact"/>
              <w:spacing w:line="276" w:lineRule="auto"/>
            </w:pPr>
          </w:p>
        </w:tc>
        <w:tc>
          <w:tcPr>
            <w:tcW w:w="527" w:type="pct"/>
            <w:tcBorders>
              <w:top w:val="dashed" w:sz="4" w:space="0" w:color="auto"/>
            </w:tcBorders>
          </w:tcPr>
          <w:p w14:paraId="1EDCEDEF" w14:textId="77777777" w:rsidR="00D04776" w:rsidRDefault="00D04776" w:rsidP="00D04776">
            <w:pPr>
              <w:pStyle w:val="Compact"/>
              <w:spacing w:line="276" w:lineRule="auto"/>
            </w:pPr>
            <w:r>
              <w:t>Main effect + region</w:t>
            </w:r>
          </w:p>
        </w:tc>
        <w:tc>
          <w:tcPr>
            <w:tcW w:w="928" w:type="pct"/>
            <w:tcBorders>
              <w:top w:val="dashed" w:sz="4" w:space="0" w:color="auto"/>
            </w:tcBorders>
          </w:tcPr>
          <w:p w14:paraId="1CA0ADC9" w14:textId="77777777" w:rsidR="00D04776" w:rsidRDefault="00D04776" w:rsidP="00D04776">
            <w:pPr>
              <w:pStyle w:val="Compact"/>
              <w:spacing w:line="276" w:lineRule="auto"/>
            </w:pPr>
            <w:r>
              <w:t>Clay</w:t>
            </w:r>
          </w:p>
        </w:tc>
        <w:tc>
          <w:tcPr>
            <w:tcW w:w="0" w:type="auto"/>
            <w:tcBorders>
              <w:top w:val="dashed" w:sz="4" w:space="0" w:color="auto"/>
            </w:tcBorders>
          </w:tcPr>
          <w:p w14:paraId="5B37C831" w14:textId="77777777" w:rsidR="00D04776" w:rsidRDefault="00D04776" w:rsidP="00D04776">
            <w:pPr>
              <w:pStyle w:val="Compact"/>
              <w:spacing w:line="276" w:lineRule="auto"/>
              <w:jc w:val="center"/>
            </w:pPr>
            <w:r>
              <w:t>+</w:t>
            </w:r>
          </w:p>
        </w:tc>
        <w:tc>
          <w:tcPr>
            <w:tcW w:w="0" w:type="auto"/>
            <w:tcBorders>
              <w:top w:val="dashed" w:sz="4" w:space="0" w:color="auto"/>
            </w:tcBorders>
          </w:tcPr>
          <w:p w14:paraId="0607E748" w14:textId="77777777" w:rsidR="00D04776" w:rsidRDefault="00D04776" w:rsidP="00D04776">
            <w:pPr>
              <w:pStyle w:val="Compact"/>
              <w:spacing w:line="276" w:lineRule="auto"/>
            </w:pPr>
            <w:r>
              <w:t>*</w:t>
            </w:r>
          </w:p>
        </w:tc>
        <w:tc>
          <w:tcPr>
            <w:tcW w:w="0" w:type="auto"/>
            <w:tcBorders>
              <w:top w:val="dashed" w:sz="4" w:space="0" w:color="auto"/>
            </w:tcBorders>
          </w:tcPr>
          <w:p w14:paraId="784062B6" w14:textId="77777777" w:rsidR="00D04776" w:rsidRDefault="00D04776" w:rsidP="00D04776">
            <w:pPr>
              <w:pStyle w:val="Compact"/>
              <w:spacing w:line="276" w:lineRule="auto"/>
              <w:jc w:val="center"/>
            </w:pPr>
            <w:r>
              <w:t>–</w:t>
            </w:r>
          </w:p>
        </w:tc>
        <w:tc>
          <w:tcPr>
            <w:tcW w:w="0" w:type="auto"/>
            <w:tcBorders>
              <w:top w:val="dashed" w:sz="4" w:space="0" w:color="auto"/>
            </w:tcBorders>
          </w:tcPr>
          <w:p w14:paraId="5917CABD" w14:textId="77777777" w:rsidR="00D04776" w:rsidRDefault="00D04776" w:rsidP="00D04776">
            <w:pPr>
              <w:pStyle w:val="Compact"/>
              <w:spacing w:line="276" w:lineRule="auto"/>
            </w:pPr>
            <w:r>
              <w:t>**</w:t>
            </w:r>
          </w:p>
        </w:tc>
        <w:tc>
          <w:tcPr>
            <w:tcW w:w="0" w:type="auto"/>
            <w:tcBorders>
              <w:top w:val="dashed" w:sz="4" w:space="0" w:color="auto"/>
            </w:tcBorders>
          </w:tcPr>
          <w:p w14:paraId="00C9A0C9" w14:textId="77777777" w:rsidR="00D04776" w:rsidRDefault="00D04776" w:rsidP="00D04776">
            <w:pPr>
              <w:pStyle w:val="Compact"/>
              <w:spacing w:line="276" w:lineRule="auto"/>
            </w:pPr>
          </w:p>
        </w:tc>
        <w:tc>
          <w:tcPr>
            <w:tcW w:w="0" w:type="auto"/>
            <w:tcBorders>
              <w:top w:val="dashed" w:sz="4" w:space="0" w:color="auto"/>
            </w:tcBorders>
          </w:tcPr>
          <w:p w14:paraId="5229F69E" w14:textId="77777777" w:rsidR="00D04776" w:rsidRDefault="00D04776" w:rsidP="00D04776">
            <w:pPr>
              <w:pStyle w:val="Compact"/>
              <w:spacing w:line="276" w:lineRule="auto"/>
            </w:pPr>
          </w:p>
        </w:tc>
      </w:tr>
      <w:tr w:rsidR="00D04776" w14:paraId="75AD89A2" w14:textId="77777777" w:rsidTr="00866587">
        <w:tc>
          <w:tcPr>
            <w:tcW w:w="0" w:type="auto"/>
            <w:tcBorders>
              <w:bottom w:val="dashed" w:sz="4" w:space="0" w:color="auto"/>
            </w:tcBorders>
          </w:tcPr>
          <w:p w14:paraId="69AD8109" w14:textId="77777777" w:rsidR="00D04776" w:rsidRDefault="00D04776" w:rsidP="00D04776">
            <w:pPr>
              <w:pStyle w:val="Compact"/>
              <w:spacing w:line="276" w:lineRule="auto"/>
            </w:pPr>
          </w:p>
        </w:tc>
        <w:tc>
          <w:tcPr>
            <w:tcW w:w="527" w:type="pct"/>
            <w:tcBorders>
              <w:bottom w:val="dashed" w:sz="4" w:space="0" w:color="auto"/>
            </w:tcBorders>
          </w:tcPr>
          <w:p w14:paraId="403C3772" w14:textId="77777777" w:rsidR="00D04776" w:rsidRDefault="00D04776" w:rsidP="00D04776">
            <w:pPr>
              <w:pStyle w:val="Compact"/>
              <w:spacing w:line="276" w:lineRule="auto"/>
            </w:pPr>
          </w:p>
        </w:tc>
        <w:tc>
          <w:tcPr>
            <w:tcW w:w="928" w:type="pct"/>
            <w:tcBorders>
              <w:bottom w:val="dashed" w:sz="4" w:space="0" w:color="auto"/>
            </w:tcBorders>
          </w:tcPr>
          <w:p w14:paraId="6127EFF2" w14:textId="77777777" w:rsidR="00D04776" w:rsidRDefault="00D04776" w:rsidP="00D04776">
            <w:pPr>
              <w:pStyle w:val="Compact"/>
              <w:spacing w:line="276" w:lineRule="auto"/>
            </w:pPr>
            <w:r>
              <w:t>NDVI</w:t>
            </w:r>
          </w:p>
        </w:tc>
        <w:tc>
          <w:tcPr>
            <w:tcW w:w="0" w:type="auto"/>
            <w:tcBorders>
              <w:bottom w:val="dashed" w:sz="4" w:space="0" w:color="auto"/>
            </w:tcBorders>
          </w:tcPr>
          <w:p w14:paraId="542D0775" w14:textId="77777777" w:rsidR="00D04776" w:rsidRDefault="00D04776" w:rsidP="00D04776">
            <w:pPr>
              <w:pStyle w:val="Compact"/>
              <w:spacing w:line="276" w:lineRule="auto"/>
              <w:jc w:val="center"/>
            </w:pPr>
            <w:r>
              <w:t>+</w:t>
            </w:r>
          </w:p>
        </w:tc>
        <w:tc>
          <w:tcPr>
            <w:tcW w:w="0" w:type="auto"/>
            <w:tcBorders>
              <w:bottom w:val="dashed" w:sz="4" w:space="0" w:color="auto"/>
            </w:tcBorders>
          </w:tcPr>
          <w:p w14:paraId="5E83E699" w14:textId="77777777" w:rsidR="00D04776" w:rsidRDefault="00D04776" w:rsidP="00D04776">
            <w:pPr>
              <w:pStyle w:val="Compact"/>
              <w:spacing w:line="276" w:lineRule="auto"/>
            </w:pPr>
            <w:r>
              <w:t>***</w:t>
            </w:r>
          </w:p>
        </w:tc>
        <w:tc>
          <w:tcPr>
            <w:tcW w:w="0" w:type="auto"/>
            <w:tcBorders>
              <w:bottom w:val="dashed" w:sz="4" w:space="0" w:color="auto"/>
            </w:tcBorders>
          </w:tcPr>
          <w:p w14:paraId="05326649" w14:textId="77777777" w:rsidR="00D04776" w:rsidRDefault="00D04776" w:rsidP="00D04776">
            <w:pPr>
              <w:pStyle w:val="Compact"/>
              <w:spacing w:line="276" w:lineRule="auto"/>
              <w:jc w:val="center"/>
            </w:pPr>
            <w:r>
              <w:t>–</w:t>
            </w:r>
          </w:p>
        </w:tc>
        <w:tc>
          <w:tcPr>
            <w:tcW w:w="0" w:type="auto"/>
            <w:tcBorders>
              <w:bottom w:val="dashed" w:sz="4" w:space="0" w:color="auto"/>
            </w:tcBorders>
          </w:tcPr>
          <w:p w14:paraId="798AA4CE" w14:textId="77777777" w:rsidR="00D04776" w:rsidRDefault="00D04776" w:rsidP="00D04776">
            <w:pPr>
              <w:pStyle w:val="Compact"/>
              <w:spacing w:line="276" w:lineRule="auto"/>
            </w:pPr>
            <w:r>
              <w:t>*</w:t>
            </w:r>
          </w:p>
        </w:tc>
        <w:tc>
          <w:tcPr>
            <w:tcW w:w="0" w:type="auto"/>
            <w:tcBorders>
              <w:bottom w:val="dashed" w:sz="4" w:space="0" w:color="auto"/>
            </w:tcBorders>
          </w:tcPr>
          <w:p w14:paraId="56E16C12" w14:textId="77777777" w:rsidR="00D04776" w:rsidRDefault="00D04776" w:rsidP="00D04776">
            <w:pPr>
              <w:pStyle w:val="Compact"/>
              <w:spacing w:line="276" w:lineRule="auto"/>
            </w:pPr>
          </w:p>
        </w:tc>
        <w:tc>
          <w:tcPr>
            <w:tcW w:w="0" w:type="auto"/>
            <w:tcBorders>
              <w:bottom w:val="dashed" w:sz="4" w:space="0" w:color="auto"/>
            </w:tcBorders>
          </w:tcPr>
          <w:p w14:paraId="20FBC47C" w14:textId="77777777" w:rsidR="00D04776" w:rsidRDefault="00D04776" w:rsidP="00D04776">
            <w:pPr>
              <w:pStyle w:val="Compact"/>
              <w:spacing w:line="276" w:lineRule="auto"/>
            </w:pPr>
          </w:p>
        </w:tc>
      </w:tr>
      <w:tr w:rsidR="00D04776" w14:paraId="6C054DD1" w14:textId="77777777" w:rsidTr="00866587">
        <w:tc>
          <w:tcPr>
            <w:tcW w:w="0" w:type="auto"/>
            <w:tcBorders>
              <w:top w:val="dashed" w:sz="4" w:space="0" w:color="auto"/>
            </w:tcBorders>
          </w:tcPr>
          <w:p w14:paraId="1D85FBB9" w14:textId="77777777" w:rsidR="00D04776" w:rsidRDefault="00D04776" w:rsidP="00D04776">
            <w:pPr>
              <w:pStyle w:val="Compact"/>
              <w:spacing w:line="276" w:lineRule="auto"/>
            </w:pPr>
          </w:p>
        </w:tc>
        <w:tc>
          <w:tcPr>
            <w:tcW w:w="527" w:type="pct"/>
            <w:tcBorders>
              <w:top w:val="dashed" w:sz="4" w:space="0" w:color="auto"/>
            </w:tcBorders>
          </w:tcPr>
          <w:p w14:paraId="3816A307" w14:textId="77777777" w:rsidR="00D04776" w:rsidRDefault="00D04776" w:rsidP="00D04776">
            <w:pPr>
              <w:pStyle w:val="Compact"/>
              <w:spacing w:line="276" w:lineRule="auto"/>
            </w:pPr>
            <w:r>
              <w:t>Main effect only</w:t>
            </w:r>
          </w:p>
        </w:tc>
        <w:tc>
          <w:tcPr>
            <w:tcW w:w="928" w:type="pct"/>
            <w:tcBorders>
              <w:top w:val="dashed" w:sz="4" w:space="0" w:color="auto"/>
            </w:tcBorders>
          </w:tcPr>
          <w:p w14:paraId="57790D92" w14:textId="77777777" w:rsidR="00D04776" w:rsidRDefault="00D04776" w:rsidP="00D04776">
            <w:pPr>
              <w:pStyle w:val="Compact"/>
              <w:spacing w:line="276" w:lineRule="auto"/>
            </w:pPr>
            <w:r>
              <w:t>Elevation</w:t>
            </w:r>
          </w:p>
        </w:tc>
        <w:tc>
          <w:tcPr>
            <w:tcW w:w="0" w:type="auto"/>
            <w:tcBorders>
              <w:top w:val="dashed" w:sz="4" w:space="0" w:color="auto"/>
            </w:tcBorders>
          </w:tcPr>
          <w:p w14:paraId="5A0A858F" w14:textId="77777777" w:rsidR="00D04776" w:rsidRDefault="00D04776" w:rsidP="00D04776">
            <w:pPr>
              <w:pStyle w:val="Compact"/>
              <w:spacing w:line="276" w:lineRule="auto"/>
              <w:jc w:val="center"/>
            </w:pPr>
            <w:r>
              <w:t>+</w:t>
            </w:r>
          </w:p>
        </w:tc>
        <w:tc>
          <w:tcPr>
            <w:tcW w:w="0" w:type="auto"/>
            <w:tcBorders>
              <w:top w:val="dashed" w:sz="4" w:space="0" w:color="auto"/>
            </w:tcBorders>
          </w:tcPr>
          <w:p w14:paraId="60B2B1E3" w14:textId="77777777" w:rsidR="00D04776" w:rsidRDefault="00D04776" w:rsidP="00D04776">
            <w:pPr>
              <w:pStyle w:val="Compact"/>
              <w:spacing w:line="276" w:lineRule="auto"/>
            </w:pPr>
            <w:r>
              <w:t>***</w:t>
            </w:r>
          </w:p>
        </w:tc>
        <w:tc>
          <w:tcPr>
            <w:tcW w:w="0" w:type="auto"/>
            <w:tcBorders>
              <w:top w:val="dashed" w:sz="4" w:space="0" w:color="auto"/>
            </w:tcBorders>
          </w:tcPr>
          <w:p w14:paraId="425F43BB" w14:textId="77777777" w:rsidR="00D04776" w:rsidRDefault="00D04776" w:rsidP="00D04776">
            <w:pPr>
              <w:pStyle w:val="Compact"/>
              <w:spacing w:line="276" w:lineRule="auto"/>
            </w:pPr>
          </w:p>
        </w:tc>
        <w:tc>
          <w:tcPr>
            <w:tcW w:w="0" w:type="auto"/>
            <w:tcBorders>
              <w:top w:val="dashed" w:sz="4" w:space="0" w:color="auto"/>
            </w:tcBorders>
          </w:tcPr>
          <w:p w14:paraId="5BB636D9" w14:textId="77777777" w:rsidR="00D04776" w:rsidRDefault="00D04776" w:rsidP="00D04776">
            <w:pPr>
              <w:pStyle w:val="Compact"/>
              <w:spacing w:line="276" w:lineRule="auto"/>
            </w:pPr>
          </w:p>
        </w:tc>
        <w:tc>
          <w:tcPr>
            <w:tcW w:w="0" w:type="auto"/>
            <w:tcBorders>
              <w:top w:val="dashed" w:sz="4" w:space="0" w:color="auto"/>
            </w:tcBorders>
          </w:tcPr>
          <w:p w14:paraId="7862FB78" w14:textId="77777777" w:rsidR="00D04776" w:rsidRDefault="00D04776" w:rsidP="00D04776">
            <w:pPr>
              <w:pStyle w:val="Compact"/>
              <w:spacing w:line="276" w:lineRule="auto"/>
            </w:pPr>
          </w:p>
        </w:tc>
        <w:tc>
          <w:tcPr>
            <w:tcW w:w="0" w:type="auto"/>
            <w:tcBorders>
              <w:top w:val="dashed" w:sz="4" w:space="0" w:color="auto"/>
            </w:tcBorders>
          </w:tcPr>
          <w:p w14:paraId="0856263B" w14:textId="77777777" w:rsidR="00D04776" w:rsidRDefault="00D04776" w:rsidP="00D04776">
            <w:pPr>
              <w:pStyle w:val="Compact"/>
              <w:spacing w:line="276" w:lineRule="auto"/>
            </w:pPr>
          </w:p>
        </w:tc>
      </w:tr>
      <w:tr w:rsidR="00D04776" w14:paraId="670286FE" w14:textId="77777777" w:rsidTr="00866587">
        <w:tc>
          <w:tcPr>
            <w:tcW w:w="0" w:type="auto"/>
          </w:tcPr>
          <w:p w14:paraId="22874775" w14:textId="77777777" w:rsidR="00D04776" w:rsidRDefault="00D04776" w:rsidP="00D04776">
            <w:pPr>
              <w:pStyle w:val="Compact"/>
              <w:spacing w:line="276" w:lineRule="auto"/>
            </w:pPr>
          </w:p>
        </w:tc>
        <w:tc>
          <w:tcPr>
            <w:tcW w:w="527" w:type="pct"/>
          </w:tcPr>
          <w:p w14:paraId="3ACD2926" w14:textId="77777777" w:rsidR="00D04776" w:rsidRDefault="00D04776" w:rsidP="00D04776">
            <w:pPr>
              <w:pStyle w:val="Compact"/>
              <w:spacing w:line="276" w:lineRule="auto"/>
            </w:pPr>
          </w:p>
        </w:tc>
        <w:tc>
          <w:tcPr>
            <w:tcW w:w="928" w:type="pct"/>
          </w:tcPr>
          <w:p w14:paraId="6BB061E1" w14:textId="77777777" w:rsidR="00D04776" w:rsidRDefault="00D04776" w:rsidP="00D04776">
            <w:pPr>
              <w:pStyle w:val="Compact"/>
              <w:spacing w:line="276" w:lineRule="auto"/>
            </w:pPr>
            <w:r>
              <w:t>PDQ</w:t>
            </w:r>
          </w:p>
        </w:tc>
        <w:tc>
          <w:tcPr>
            <w:tcW w:w="0" w:type="auto"/>
          </w:tcPr>
          <w:p w14:paraId="68A7F517" w14:textId="77777777" w:rsidR="00D04776" w:rsidRDefault="00D04776" w:rsidP="00D04776">
            <w:pPr>
              <w:pStyle w:val="Compact"/>
              <w:spacing w:line="276" w:lineRule="auto"/>
              <w:jc w:val="center"/>
            </w:pPr>
            <w:r>
              <w:t>+</w:t>
            </w:r>
          </w:p>
        </w:tc>
        <w:tc>
          <w:tcPr>
            <w:tcW w:w="0" w:type="auto"/>
          </w:tcPr>
          <w:p w14:paraId="0E72530B" w14:textId="77777777" w:rsidR="00D04776" w:rsidRDefault="00D04776" w:rsidP="00D04776">
            <w:pPr>
              <w:pStyle w:val="Compact"/>
              <w:spacing w:line="276" w:lineRule="auto"/>
            </w:pPr>
            <w:r>
              <w:t>***</w:t>
            </w:r>
          </w:p>
        </w:tc>
        <w:tc>
          <w:tcPr>
            <w:tcW w:w="0" w:type="auto"/>
          </w:tcPr>
          <w:p w14:paraId="52E87EBF" w14:textId="77777777" w:rsidR="00D04776" w:rsidRDefault="00D04776" w:rsidP="00D04776">
            <w:pPr>
              <w:pStyle w:val="Compact"/>
              <w:spacing w:line="276" w:lineRule="auto"/>
            </w:pPr>
          </w:p>
        </w:tc>
        <w:tc>
          <w:tcPr>
            <w:tcW w:w="0" w:type="auto"/>
          </w:tcPr>
          <w:p w14:paraId="3C53569B" w14:textId="77777777" w:rsidR="00D04776" w:rsidRDefault="00D04776" w:rsidP="00D04776">
            <w:pPr>
              <w:pStyle w:val="Compact"/>
              <w:spacing w:line="276" w:lineRule="auto"/>
            </w:pPr>
          </w:p>
        </w:tc>
        <w:tc>
          <w:tcPr>
            <w:tcW w:w="0" w:type="auto"/>
          </w:tcPr>
          <w:p w14:paraId="642E3D64" w14:textId="77777777" w:rsidR="00D04776" w:rsidRDefault="00D04776" w:rsidP="00D04776">
            <w:pPr>
              <w:pStyle w:val="Compact"/>
              <w:spacing w:line="276" w:lineRule="auto"/>
            </w:pPr>
          </w:p>
        </w:tc>
        <w:tc>
          <w:tcPr>
            <w:tcW w:w="0" w:type="auto"/>
          </w:tcPr>
          <w:p w14:paraId="5CF6114C" w14:textId="77777777" w:rsidR="00D04776" w:rsidRDefault="00D04776" w:rsidP="00D04776">
            <w:pPr>
              <w:pStyle w:val="Compact"/>
              <w:spacing w:line="276" w:lineRule="auto"/>
            </w:pPr>
          </w:p>
        </w:tc>
      </w:tr>
      <w:tr w:rsidR="00D04776" w14:paraId="285F946C" w14:textId="77777777" w:rsidTr="00866587">
        <w:tc>
          <w:tcPr>
            <w:tcW w:w="0" w:type="auto"/>
          </w:tcPr>
          <w:p w14:paraId="6701BE2D" w14:textId="77777777" w:rsidR="00D04776" w:rsidRDefault="00D04776" w:rsidP="00D04776">
            <w:pPr>
              <w:pStyle w:val="Compact"/>
              <w:spacing w:line="276" w:lineRule="auto"/>
            </w:pPr>
          </w:p>
        </w:tc>
        <w:tc>
          <w:tcPr>
            <w:tcW w:w="527" w:type="pct"/>
          </w:tcPr>
          <w:p w14:paraId="48E9A082" w14:textId="77777777" w:rsidR="00D04776" w:rsidRDefault="00D04776" w:rsidP="00D04776">
            <w:pPr>
              <w:pStyle w:val="Compact"/>
              <w:spacing w:line="276" w:lineRule="auto"/>
            </w:pPr>
          </w:p>
        </w:tc>
        <w:tc>
          <w:tcPr>
            <w:tcW w:w="928" w:type="pct"/>
          </w:tcPr>
          <w:p w14:paraId="45BF851A" w14:textId="77777777" w:rsidR="00D04776" w:rsidRDefault="00D04776" w:rsidP="00D04776">
            <w:pPr>
              <w:pStyle w:val="Compact"/>
              <w:spacing w:line="276" w:lineRule="auto"/>
            </w:pPr>
            <w:r>
              <w:t>Soil C</w:t>
            </w:r>
          </w:p>
        </w:tc>
        <w:tc>
          <w:tcPr>
            <w:tcW w:w="0" w:type="auto"/>
          </w:tcPr>
          <w:p w14:paraId="5F62032C" w14:textId="77777777" w:rsidR="00D04776" w:rsidRDefault="00D04776" w:rsidP="00D04776">
            <w:pPr>
              <w:pStyle w:val="Compact"/>
              <w:spacing w:line="276" w:lineRule="auto"/>
              <w:jc w:val="center"/>
            </w:pPr>
            <w:r>
              <w:t>+</w:t>
            </w:r>
          </w:p>
        </w:tc>
        <w:tc>
          <w:tcPr>
            <w:tcW w:w="0" w:type="auto"/>
          </w:tcPr>
          <w:p w14:paraId="4E2088D3" w14:textId="77777777" w:rsidR="00D04776" w:rsidRDefault="00D04776" w:rsidP="00D04776">
            <w:pPr>
              <w:pStyle w:val="Compact"/>
              <w:spacing w:line="276" w:lineRule="auto"/>
            </w:pPr>
            <w:r>
              <w:t>***</w:t>
            </w:r>
          </w:p>
        </w:tc>
        <w:tc>
          <w:tcPr>
            <w:tcW w:w="0" w:type="auto"/>
          </w:tcPr>
          <w:p w14:paraId="512DD853" w14:textId="77777777" w:rsidR="00D04776" w:rsidRDefault="00D04776" w:rsidP="00D04776">
            <w:pPr>
              <w:pStyle w:val="Compact"/>
              <w:spacing w:line="276" w:lineRule="auto"/>
            </w:pPr>
          </w:p>
        </w:tc>
        <w:tc>
          <w:tcPr>
            <w:tcW w:w="0" w:type="auto"/>
          </w:tcPr>
          <w:p w14:paraId="66D0C18A" w14:textId="77777777" w:rsidR="00D04776" w:rsidRDefault="00D04776" w:rsidP="00D04776">
            <w:pPr>
              <w:pStyle w:val="Compact"/>
              <w:spacing w:line="276" w:lineRule="auto"/>
            </w:pPr>
          </w:p>
        </w:tc>
        <w:tc>
          <w:tcPr>
            <w:tcW w:w="0" w:type="auto"/>
          </w:tcPr>
          <w:p w14:paraId="719DBFB8" w14:textId="77777777" w:rsidR="00D04776" w:rsidRDefault="00D04776" w:rsidP="00D04776">
            <w:pPr>
              <w:pStyle w:val="Compact"/>
              <w:spacing w:line="276" w:lineRule="auto"/>
            </w:pPr>
          </w:p>
        </w:tc>
        <w:tc>
          <w:tcPr>
            <w:tcW w:w="0" w:type="auto"/>
          </w:tcPr>
          <w:p w14:paraId="4BD0E7F6" w14:textId="77777777" w:rsidR="00D04776" w:rsidRDefault="00D04776" w:rsidP="00D04776">
            <w:pPr>
              <w:pStyle w:val="Compact"/>
              <w:spacing w:line="276" w:lineRule="auto"/>
            </w:pPr>
          </w:p>
        </w:tc>
      </w:tr>
      <w:tr w:rsidR="00D04776" w14:paraId="7E899585" w14:textId="77777777" w:rsidTr="00866587">
        <w:tc>
          <w:tcPr>
            <w:tcW w:w="0" w:type="auto"/>
          </w:tcPr>
          <w:p w14:paraId="75CDB4B8" w14:textId="77777777" w:rsidR="00D04776" w:rsidRDefault="00D04776" w:rsidP="00D04776">
            <w:pPr>
              <w:pStyle w:val="Compact"/>
              <w:spacing w:line="276" w:lineRule="auto"/>
            </w:pPr>
          </w:p>
        </w:tc>
        <w:tc>
          <w:tcPr>
            <w:tcW w:w="527" w:type="pct"/>
          </w:tcPr>
          <w:p w14:paraId="6F9AED9A" w14:textId="77777777" w:rsidR="00D04776" w:rsidRDefault="00D04776" w:rsidP="00D04776">
            <w:pPr>
              <w:pStyle w:val="Compact"/>
              <w:spacing w:line="276" w:lineRule="auto"/>
            </w:pPr>
          </w:p>
        </w:tc>
        <w:tc>
          <w:tcPr>
            <w:tcW w:w="928" w:type="pct"/>
          </w:tcPr>
          <w:p w14:paraId="259A2967" w14:textId="77777777" w:rsidR="00D04776" w:rsidRDefault="00D04776" w:rsidP="00D04776">
            <w:pPr>
              <w:pStyle w:val="Compact"/>
              <w:spacing w:line="276" w:lineRule="auto"/>
            </w:pPr>
            <w:r>
              <w:t>Surface T</w:t>
            </w:r>
          </w:p>
        </w:tc>
        <w:tc>
          <w:tcPr>
            <w:tcW w:w="0" w:type="auto"/>
          </w:tcPr>
          <w:p w14:paraId="26332305" w14:textId="77777777" w:rsidR="00D04776" w:rsidRDefault="00D04776" w:rsidP="00D04776">
            <w:pPr>
              <w:pStyle w:val="Compact"/>
              <w:spacing w:line="276" w:lineRule="auto"/>
              <w:jc w:val="center"/>
            </w:pPr>
            <w:r>
              <w:t>+</w:t>
            </w:r>
          </w:p>
        </w:tc>
        <w:tc>
          <w:tcPr>
            <w:tcW w:w="0" w:type="auto"/>
          </w:tcPr>
          <w:p w14:paraId="12D33F0D" w14:textId="77777777" w:rsidR="00D04776" w:rsidRDefault="00D04776" w:rsidP="00D04776">
            <w:pPr>
              <w:pStyle w:val="Compact"/>
              <w:spacing w:line="276" w:lineRule="auto"/>
            </w:pPr>
            <w:r>
              <w:t>***</w:t>
            </w:r>
          </w:p>
        </w:tc>
        <w:tc>
          <w:tcPr>
            <w:tcW w:w="0" w:type="auto"/>
          </w:tcPr>
          <w:p w14:paraId="4D268D18" w14:textId="77777777" w:rsidR="00D04776" w:rsidRDefault="00D04776" w:rsidP="00D04776">
            <w:pPr>
              <w:pStyle w:val="Compact"/>
              <w:spacing w:line="276" w:lineRule="auto"/>
            </w:pPr>
          </w:p>
        </w:tc>
        <w:tc>
          <w:tcPr>
            <w:tcW w:w="0" w:type="auto"/>
          </w:tcPr>
          <w:p w14:paraId="5AFFB479" w14:textId="77777777" w:rsidR="00D04776" w:rsidRDefault="00D04776" w:rsidP="00D04776">
            <w:pPr>
              <w:pStyle w:val="Compact"/>
              <w:spacing w:line="276" w:lineRule="auto"/>
            </w:pPr>
          </w:p>
        </w:tc>
        <w:tc>
          <w:tcPr>
            <w:tcW w:w="0" w:type="auto"/>
          </w:tcPr>
          <w:p w14:paraId="1EBB6F3C" w14:textId="77777777" w:rsidR="00D04776" w:rsidRDefault="00D04776" w:rsidP="00D04776">
            <w:pPr>
              <w:pStyle w:val="Compact"/>
              <w:spacing w:line="276" w:lineRule="auto"/>
            </w:pPr>
          </w:p>
        </w:tc>
        <w:tc>
          <w:tcPr>
            <w:tcW w:w="0" w:type="auto"/>
          </w:tcPr>
          <w:p w14:paraId="17A70C25" w14:textId="77777777" w:rsidR="00D04776" w:rsidRDefault="00D04776" w:rsidP="00D04776">
            <w:pPr>
              <w:pStyle w:val="Compact"/>
              <w:spacing w:line="276" w:lineRule="auto"/>
            </w:pPr>
          </w:p>
        </w:tc>
      </w:tr>
      <w:tr w:rsidR="00D04776" w14:paraId="4A161674" w14:textId="77777777" w:rsidTr="00866587">
        <w:tc>
          <w:tcPr>
            <w:tcW w:w="0" w:type="auto"/>
            <w:tcBorders>
              <w:bottom w:val="dashed" w:sz="4" w:space="0" w:color="auto"/>
            </w:tcBorders>
          </w:tcPr>
          <w:p w14:paraId="7F3A045A" w14:textId="77777777" w:rsidR="00D04776" w:rsidRDefault="00D04776" w:rsidP="00D04776">
            <w:pPr>
              <w:pStyle w:val="Compact"/>
              <w:spacing w:line="276" w:lineRule="auto"/>
            </w:pPr>
          </w:p>
        </w:tc>
        <w:tc>
          <w:tcPr>
            <w:tcW w:w="527" w:type="pct"/>
            <w:tcBorders>
              <w:bottom w:val="dashed" w:sz="4" w:space="0" w:color="auto"/>
            </w:tcBorders>
          </w:tcPr>
          <w:p w14:paraId="6FC5E668" w14:textId="77777777" w:rsidR="00D04776" w:rsidRDefault="00D04776" w:rsidP="00D04776">
            <w:pPr>
              <w:pStyle w:val="Compact"/>
              <w:spacing w:line="276" w:lineRule="auto"/>
            </w:pPr>
          </w:p>
        </w:tc>
        <w:tc>
          <w:tcPr>
            <w:tcW w:w="928" w:type="pct"/>
            <w:tcBorders>
              <w:bottom w:val="dashed" w:sz="4" w:space="0" w:color="auto"/>
            </w:tcBorders>
          </w:tcPr>
          <w:p w14:paraId="16250B69" w14:textId="77777777" w:rsidR="00D04776" w:rsidRDefault="00D04776" w:rsidP="00D04776">
            <w:pPr>
              <w:pStyle w:val="Compact"/>
              <w:spacing w:line="276" w:lineRule="auto"/>
            </w:pPr>
            <w:r>
              <w:t>PC1</w:t>
            </w:r>
          </w:p>
        </w:tc>
        <w:tc>
          <w:tcPr>
            <w:tcW w:w="0" w:type="auto"/>
            <w:tcBorders>
              <w:bottom w:val="dashed" w:sz="4" w:space="0" w:color="auto"/>
            </w:tcBorders>
          </w:tcPr>
          <w:p w14:paraId="263376B7" w14:textId="77777777" w:rsidR="00D04776" w:rsidRDefault="00D04776" w:rsidP="00D04776">
            <w:pPr>
              <w:pStyle w:val="Compact"/>
              <w:spacing w:line="276" w:lineRule="auto"/>
              <w:jc w:val="center"/>
            </w:pPr>
            <w:r>
              <w:t>+</w:t>
            </w:r>
          </w:p>
        </w:tc>
        <w:tc>
          <w:tcPr>
            <w:tcW w:w="0" w:type="auto"/>
            <w:tcBorders>
              <w:bottom w:val="dashed" w:sz="4" w:space="0" w:color="auto"/>
            </w:tcBorders>
          </w:tcPr>
          <w:p w14:paraId="1F5E0D78" w14:textId="77777777" w:rsidR="00D04776" w:rsidRDefault="00D04776" w:rsidP="00D04776">
            <w:pPr>
              <w:pStyle w:val="Compact"/>
              <w:spacing w:line="276" w:lineRule="auto"/>
            </w:pPr>
            <w:r>
              <w:t>***</w:t>
            </w:r>
          </w:p>
        </w:tc>
        <w:tc>
          <w:tcPr>
            <w:tcW w:w="0" w:type="auto"/>
            <w:tcBorders>
              <w:bottom w:val="dashed" w:sz="4" w:space="0" w:color="auto"/>
            </w:tcBorders>
          </w:tcPr>
          <w:p w14:paraId="763776E7" w14:textId="77777777" w:rsidR="00D04776" w:rsidRDefault="00D04776" w:rsidP="00D04776">
            <w:pPr>
              <w:pStyle w:val="Compact"/>
              <w:spacing w:line="276" w:lineRule="auto"/>
            </w:pPr>
          </w:p>
        </w:tc>
        <w:tc>
          <w:tcPr>
            <w:tcW w:w="0" w:type="auto"/>
            <w:tcBorders>
              <w:bottom w:val="dashed" w:sz="4" w:space="0" w:color="auto"/>
            </w:tcBorders>
          </w:tcPr>
          <w:p w14:paraId="48D9729B" w14:textId="77777777" w:rsidR="00D04776" w:rsidRDefault="00D04776" w:rsidP="00D04776">
            <w:pPr>
              <w:pStyle w:val="Compact"/>
              <w:spacing w:line="276" w:lineRule="auto"/>
            </w:pPr>
          </w:p>
        </w:tc>
        <w:tc>
          <w:tcPr>
            <w:tcW w:w="0" w:type="auto"/>
            <w:tcBorders>
              <w:bottom w:val="dashed" w:sz="4" w:space="0" w:color="auto"/>
            </w:tcBorders>
          </w:tcPr>
          <w:p w14:paraId="590E735B" w14:textId="77777777" w:rsidR="00D04776" w:rsidRDefault="00D04776" w:rsidP="00D04776">
            <w:pPr>
              <w:pStyle w:val="Compact"/>
              <w:spacing w:line="276" w:lineRule="auto"/>
            </w:pPr>
          </w:p>
        </w:tc>
        <w:tc>
          <w:tcPr>
            <w:tcW w:w="0" w:type="auto"/>
            <w:tcBorders>
              <w:bottom w:val="dashed" w:sz="4" w:space="0" w:color="auto"/>
            </w:tcBorders>
          </w:tcPr>
          <w:p w14:paraId="1A6C5C1A" w14:textId="77777777" w:rsidR="00D04776" w:rsidRDefault="00D04776" w:rsidP="00D04776">
            <w:pPr>
              <w:pStyle w:val="Compact"/>
              <w:spacing w:line="276" w:lineRule="auto"/>
            </w:pPr>
          </w:p>
        </w:tc>
      </w:tr>
      <w:tr w:rsidR="00D04776" w14:paraId="77F382D9" w14:textId="77777777" w:rsidTr="00866587">
        <w:tc>
          <w:tcPr>
            <w:tcW w:w="0" w:type="auto"/>
            <w:tcBorders>
              <w:top w:val="dashed" w:sz="4" w:space="0" w:color="auto"/>
            </w:tcBorders>
          </w:tcPr>
          <w:p w14:paraId="4C684525" w14:textId="77777777" w:rsidR="00D04776" w:rsidRDefault="00D04776" w:rsidP="00D04776">
            <w:pPr>
              <w:pStyle w:val="Compact"/>
              <w:spacing w:line="276" w:lineRule="auto"/>
            </w:pPr>
          </w:p>
        </w:tc>
        <w:tc>
          <w:tcPr>
            <w:tcW w:w="527" w:type="pct"/>
            <w:tcBorders>
              <w:top w:val="dashed" w:sz="4" w:space="0" w:color="auto"/>
            </w:tcBorders>
          </w:tcPr>
          <w:p w14:paraId="57317096" w14:textId="77777777" w:rsidR="00D04776" w:rsidRDefault="00D04776" w:rsidP="00D04776">
            <w:pPr>
              <w:pStyle w:val="Compact"/>
              <w:spacing w:line="276" w:lineRule="auto"/>
            </w:pPr>
            <w:r>
              <w:t>Region only</w:t>
            </w:r>
          </w:p>
        </w:tc>
        <w:tc>
          <w:tcPr>
            <w:tcW w:w="928" w:type="pct"/>
            <w:tcBorders>
              <w:top w:val="dashed" w:sz="4" w:space="0" w:color="auto"/>
            </w:tcBorders>
          </w:tcPr>
          <w:p w14:paraId="1EB903A9" w14:textId="77777777" w:rsidR="00D04776" w:rsidRDefault="00D04776" w:rsidP="00D04776">
            <w:pPr>
              <w:pStyle w:val="Compact"/>
              <w:spacing w:line="276" w:lineRule="auto"/>
            </w:pPr>
            <w:r>
              <w:t>CEC</w:t>
            </w:r>
          </w:p>
        </w:tc>
        <w:tc>
          <w:tcPr>
            <w:tcW w:w="0" w:type="auto"/>
            <w:tcBorders>
              <w:top w:val="dashed" w:sz="4" w:space="0" w:color="auto"/>
            </w:tcBorders>
          </w:tcPr>
          <w:p w14:paraId="3ACE23B7" w14:textId="77777777" w:rsidR="00D04776" w:rsidRDefault="00D04776" w:rsidP="00D04776">
            <w:pPr>
              <w:pStyle w:val="Compact"/>
              <w:spacing w:line="276" w:lineRule="auto"/>
              <w:jc w:val="center"/>
            </w:pPr>
            <w:r>
              <w:t>–</w:t>
            </w:r>
          </w:p>
        </w:tc>
        <w:tc>
          <w:tcPr>
            <w:tcW w:w="0" w:type="auto"/>
            <w:tcBorders>
              <w:top w:val="dashed" w:sz="4" w:space="0" w:color="auto"/>
            </w:tcBorders>
          </w:tcPr>
          <w:p w14:paraId="113CFB99" w14:textId="77777777" w:rsidR="00D04776" w:rsidRDefault="00D04776" w:rsidP="00D04776">
            <w:pPr>
              <w:pStyle w:val="Compact"/>
              <w:spacing w:line="276" w:lineRule="auto"/>
            </w:pPr>
          </w:p>
        </w:tc>
        <w:tc>
          <w:tcPr>
            <w:tcW w:w="0" w:type="auto"/>
            <w:tcBorders>
              <w:top w:val="dashed" w:sz="4" w:space="0" w:color="auto"/>
            </w:tcBorders>
          </w:tcPr>
          <w:p w14:paraId="6B8CE76F" w14:textId="77777777" w:rsidR="00D04776" w:rsidRDefault="00D04776" w:rsidP="00D04776">
            <w:pPr>
              <w:pStyle w:val="Compact"/>
              <w:spacing w:line="276" w:lineRule="auto"/>
              <w:jc w:val="center"/>
            </w:pPr>
            <w:r>
              <w:t>–</w:t>
            </w:r>
          </w:p>
        </w:tc>
        <w:tc>
          <w:tcPr>
            <w:tcW w:w="0" w:type="auto"/>
            <w:tcBorders>
              <w:top w:val="dashed" w:sz="4" w:space="0" w:color="auto"/>
            </w:tcBorders>
          </w:tcPr>
          <w:p w14:paraId="179778C6" w14:textId="77777777" w:rsidR="00D04776" w:rsidRDefault="00D04776" w:rsidP="00D04776">
            <w:pPr>
              <w:pStyle w:val="Compact"/>
              <w:spacing w:line="276" w:lineRule="auto"/>
            </w:pPr>
            <w:r>
              <w:t>**</w:t>
            </w:r>
          </w:p>
        </w:tc>
        <w:tc>
          <w:tcPr>
            <w:tcW w:w="0" w:type="auto"/>
            <w:tcBorders>
              <w:top w:val="dashed" w:sz="4" w:space="0" w:color="auto"/>
            </w:tcBorders>
          </w:tcPr>
          <w:p w14:paraId="290109B1" w14:textId="77777777" w:rsidR="00D04776" w:rsidRDefault="00D04776" w:rsidP="00D04776">
            <w:pPr>
              <w:pStyle w:val="Compact"/>
              <w:spacing w:line="276" w:lineRule="auto"/>
            </w:pPr>
          </w:p>
        </w:tc>
        <w:tc>
          <w:tcPr>
            <w:tcW w:w="0" w:type="auto"/>
            <w:tcBorders>
              <w:top w:val="dashed" w:sz="4" w:space="0" w:color="auto"/>
            </w:tcBorders>
          </w:tcPr>
          <w:p w14:paraId="27DD82E6" w14:textId="77777777" w:rsidR="00D04776" w:rsidRDefault="00D04776" w:rsidP="00D04776">
            <w:pPr>
              <w:pStyle w:val="Compact"/>
              <w:spacing w:line="276" w:lineRule="auto"/>
            </w:pPr>
          </w:p>
        </w:tc>
      </w:tr>
      <w:tr w:rsidR="00D04776" w14:paraId="3EF2B390" w14:textId="77777777" w:rsidTr="00866587">
        <w:tc>
          <w:tcPr>
            <w:tcW w:w="0" w:type="auto"/>
            <w:tcBorders>
              <w:bottom w:val="single" w:sz="4" w:space="0" w:color="auto"/>
            </w:tcBorders>
          </w:tcPr>
          <w:p w14:paraId="53EFC21B" w14:textId="77777777" w:rsidR="00D04776" w:rsidRDefault="00D04776" w:rsidP="00D04776">
            <w:pPr>
              <w:pStyle w:val="Compact"/>
              <w:spacing w:line="276" w:lineRule="auto"/>
            </w:pPr>
          </w:p>
        </w:tc>
        <w:tc>
          <w:tcPr>
            <w:tcW w:w="527" w:type="pct"/>
            <w:tcBorders>
              <w:bottom w:val="single" w:sz="4" w:space="0" w:color="auto"/>
            </w:tcBorders>
          </w:tcPr>
          <w:p w14:paraId="2FF668A4" w14:textId="77777777" w:rsidR="00D04776" w:rsidRDefault="00D04776" w:rsidP="00D04776">
            <w:pPr>
              <w:pStyle w:val="Compact"/>
              <w:spacing w:line="276" w:lineRule="auto"/>
            </w:pPr>
          </w:p>
        </w:tc>
        <w:tc>
          <w:tcPr>
            <w:tcW w:w="928" w:type="pct"/>
            <w:tcBorders>
              <w:bottom w:val="single" w:sz="4" w:space="0" w:color="auto"/>
            </w:tcBorders>
          </w:tcPr>
          <w:p w14:paraId="1B192576" w14:textId="77777777" w:rsidR="00D04776" w:rsidRDefault="00D04776" w:rsidP="00D04776">
            <w:pPr>
              <w:pStyle w:val="Compact"/>
              <w:spacing w:line="276" w:lineRule="auto"/>
            </w:pPr>
            <w:r>
              <w:t>pH</w:t>
            </w:r>
          </w:p>
        </w:tc>
        <w:tc>
          <w:tcPr>
            <w:tcW w:w="0" w:type="auto"/>
            <w:tcBorders>
              <w:bottom w:val="single" w:sz="4" w:space="0" w:color="auto"/>
            </w:tcBorders>
          </w:tcPr>
          <w:p w14:paraId="2EBED717" w14:textId="77777777" w:rsidR="00D04776" w:rsidRDefault="00D04776" w:rsidP="00D04776">
            <w:pPr>
              <w:pStyle w:val="Compact"/>
              <w:spacing w:line="276" w:lineRule="auto"/>
              <w:jc w:val="center"/>
            </w:pPr>
            <w:r>
              <w:t>+</w:t>
            </w:r>
          </w:p>
        </w:tc>
        <w:tc>
          <w:tcPr>
            <w:tcW w:w="0" w:type="auto"/>
            <w:tcBorders>
              <w:bottom w:val="single" w:sz="4" w:space="0" w:color="auto"/>
            </w:tcBorders>
          </w:tcPr>
          <w:p w14:paraId="6A4E622C" w14:textId="77777777" w:rsidR="00D04776" w:rsidRDefault="00D04776" w:rsidP="00D04776">
            <w:pPr>
              <w:pStyle w:val="Compact"/>
              <w:spacing w:line="276" w:lineRule="auto"/>
            </w:pPr>
          </w:p>
        </w:tc>
        <w:tc>
          <w:tcPr>
            <w:tcW w:w="0" w:type="auto"/>
            <w:tcBorders>
              <w:bottom w:val="single" w:sz="4" w:space="0" w:color="auto"/>
            </w:tcBorders>
          </w:tcPr>
          <w:p w14:paraId="5C192380" w14:textId="77777777" w:rsidR="00D04776" w:rsidRDefault="00D04776" w:rsidP="00D04776">
            <w:pPr>
              <w:pStyle w:val="Compact"/>
              <w:spacing w:line="276" w:lineRule="auto"/>
              <w:jc w:val="center"/>
            </w:pPr>
            <w:r>
              <w:t>–</w:t>
            </w:r>
          </w:p>
        </w:tc>
        <w:tc>
          <w:tcPr>
            <w:tcW w:w="0" w:type="auto"/>
            <w:tcBorders>
              <w:bottom w:val="single" w:sz="4" w:space="0" w:color="auto"/>
            </w:tcBorders>
          </w:tcPr>
          <w:p w14:paraId="4B73C675" w14:textId="77777777" w:rsidR="00D04776" w:rsidRDefault="00D04776" w:rsidP="00D04776">
            <w:pPr>
              <w:pStyle w:val="Compact"/>
              <w:spacing w:line="276" w:lineRule="auto"/>
            </w:pPr>
            <w:r>
              <w:t>**</w:t>
            </w:r>
          </w:p>
        </w:tc>
        <w:tc>
          <w:tcPr>
            <w:tcW w:w="0" w:type="auto"/>
            <w:tcBorders>
              <w:bottom w:val="single" w:sz="4" w:space="0" w:color="auto"/>
            </w:tcBorders>
          </w:tcPr>
          <w:p w14:paraId="339151FE" w14:textId="77777777" w:rsidR="00D04776" w:rsidRDefault="00D04776" w:rsidP="00D04776">
            <w:pPr>
              <w:pStyle w:val="Compact"/>
              <w:spacing w:line="276" w:lineRule="auto"/>
            </w:pPr>
          </w:p>
        </w:tc>
        <w:tc>
          <w:tcPr>
            <w:tcW w:w="0" w:type="auto"/>
            <w:tcBorders>
              <w:bottom w:val="single" w:sz="4" w:space="0" w:color="auto"/>
            </w:tcBorders>
          </w:tcPr>
          <w:p w14:paraId="69034ECB" w14:textId="77777777" w:rsidR="00D04776" w:rsidRDefault="00D04776" w:rsidP="00D04776">
            <w:pPr>
              <w:pStyle w:val="Compact"/>
              <w:spacing w:line="276" w:lineRule="auto"/>
            </w:pPr>
          </w:p>
        </w:tc>
        <w:bookmarkStart w:id="7" w:name="_GoBack"/>
        <w:bookmarkEnd w:id="7"/>
      </w:tr>
      <w:tr w:rsidR="00D04776" w14:paraId="5E236C3F" w14:textId="77777777" w:rsidTr="00866587">
        <w:tc>
          <w:tcPr>
            <w:tcW w:w="0" w:type="auto"/>
            <w:tcBorders>
              <w:top w:val="single" w:sz="4" w:space="0" w:color="auto"/>
            </w:tcBorders>
          </w:tcPr>
          <w:p w14:paraId="7FDF71C7" w14:textId="77777777" w:rsidR="00D04776" w:rsidRDefault="00D04776" w:rsidP="00D04776">
            <w:pPr>
              <w:pStyle w:val="Compact"/>
              <w:spacing w:line="276" w:lineRule="auto"/>
            </w:pPr>
            <w:r>
              <w:lastRenderedPageBreak/>
              <w:t xml:space="preserve">(b) </w:t>
            </w:r>
            <w:r>
              <w:rPr>
                <w:i/>
              </w:rPr>
              <w:t>S</w:t>
            </w:r>
            <w:r>
              <w:rPr>
                <w:vertAlign w:val="subscript"/>
              </w:rPr>
              <w:t>QDS</w:t>
            </w:r>
          </w:p>
        </w:tc>
        <w:tc>
          <w:tcPr>
            <w:tcW w:w="527" w:type="pct"/>
            <w:tcBorders>
              <w:top w:val="single" w:sz="4" w:space="0" w:color="auto"/>
            </w:tcBorders>
          </w:tcPr>
          <w:p w14:paraId="3A1CD0A9" w14:textId="77777777" w:rsidR="00D04776" w:rsidRDefault="00D04776" w:rsidP="00D04776">
            <w:pPr>
              <w:pStyle w:val="Compact"/>
              <w:spacing w:line="276" w:lineRule="auto"/>
            </w:pPr>
            <w:r>
              <w:t>Main effect × region</w:t>
            </w:r>
          </w:p>
        </w:tc>
        <w:tc>
          <w:tcPr>
            <w:tcW w:w="928" w:type="pct"/>
            <w:tcBorders>
              <w:top w:val="single" w:sz="4" w:space="0" w:color="auto"/>
            </w:tcBorders>
          </w:tcPr>
          <w:p w14:paraId="7E7DB67D" w14:textId="77777777" w:rsidR="00D04776" w:rsidRDefault="00D04776" w:rsidP="00D04776">
            <w:pPr>
              <w:pStyle w:val="Compact"/>
              <w:spacing w:line="276" w:lineRule="auto"/>
            </w:pPr>
            <w:r>
              <w:t>NDVI</w:t>
            </w:r>
          </w:p>
        </w:tc>
        <w:tc>
          <w:tcPr>
            <w:tcW w:w="0" w:type="auto"/>
            <w:tcBorders>
              <w:top w:val="single" w:sz="4" w:space="0" w:color="auto"/>
            </w:tcBorders>
          </w:tcPr>
          <w:p w14:paraId="37CEC41C" w14:textId="77777777" w:rsidR="00D04776" w:rsidRDefault="00D04776" w:rsidP="00D04776">
            <w:pPr>
              <w:pStyle w:val="Compact"/>
              <w:spacing w:line="276" w:lineRule="auto"/>
              <w:jc w:val="center"/>
            </w:pPr>
            <w:r>
              <w:t>+</w:t>
            </w:r>
          </w:p>
        </w:tc>
        <w:tc>
          <w:tcPr>
            <w:tcW w:w="0" w:type="auto"/>
            <w:tcBorders>
              <w:top w:val="single" w:sz="4" w:space="0" w:color="auto"/>
            </w:tcBorders>
          </w:tcPr>
          <w:p w14:paraId="124632D4" w14:textId="77777777" w:rsidR="00D04776" w:rsidRDefault="00D04776" w:rsidP="00D04776">
            <w:pPr>
              <w:pStyle w:val="Compact"/>
              <w:spacing w:line="276" w:lineRule="auto"/>
            </w:pPr>
            <w:r>
              <w:t>***</w:t>
            </w:r>
          </w:p>
        </w:tc>
        <w:tc>
          <w:tcPr>
            <w:tcW w:w="0" w:type="auto"/>
            <w:tcBorders>
              <w:top w:val="single" w:sz="4" w:space="0" w:color="auto"/>
            </w:tcBorders>
          </w:tcPr>
          <w:p w14:paraId="2A189B86" w14:textId="77777777" w:rsidR="00D04776" w:rsidRDefault="00D04776" w:rsidP="00D04776">
            <w:pPr>
              <w:pStyle w:val="Compact"/>
              <w:spacing w:line="276" w:lineRule="auto"/>
              <w:jc w:val="center"/>
            </w:pPr>
            <w:r>
              <w:t>–</w:t>
            </w:r>
          </w:p>
        </w:tc>
        <w:tc>
          <w:tcPr>
            <w:tcW w:w="0" w:type="auto"/>
            <w:tcBorders>
              <w:top w:val="single" w:sz="4" w:space="0" w:color="auto"/>
            </w:tcBorders>
          </w:tcPr>
          <w:p w14:paraId="0D13397A" w14:textId="77777777" w:rsidR="00D04776" w:rsidRDefault="00D04776" w:rsidP="00D04776">
            <w:pPr>
              <w:pStyle w:val="Compact"/>
              <w:spacing w:line="276" w:lineRule="auto"/>
            </w:pPr>
            <w:r>
              <w:t>**</w:t>
            </w:r>
          </w:p>
        </w:tc>
        <w:tc>
          <w:tcPr>
            <w:tcW w:w="0" w:type="auto"/>
            <w:tcBorders>
              <w:top w:val="single" w:sz="4" w:space="0" w:color="auto"/>
            </w:tcBorders>
          </w:tcPr>
          <w:p w14:paraId="3590AFF9" w14:textId="77777777" w:rsidR="00D04776" w:rsidRDefault="00D04776" w:rsidP="00D04776">
            <w:pPr>
              <w:pStyle w:val="Compact"/>
              <w:spacing w:line="276" w:lineRule="auto"/>
              <w:jc w:val="center"/>
            </w:pPr>
            <w:r>
              <w:t>–</w:t>
            </w:r>
          </w:p>
        </w:tc>
        <w:tc>
          <w:tcPr>
            <w:tcW w:w="0" w:type="auto"/>
            <w:tcBorders>
              <w:top w:val="single" w:sz="4" w:space="0" w:color="auto"/>
            </w:tcBorders>
          </w:tcPr>
          <w:p w14:paraId="0ABBB535" w14:textId="77777777" w:rsidR="00D04776" w:rsidRDefault="00D04776" w:rsidP="00D04776">
            <w:pPr>
              <w:pStyle w:val="Compact"/>
              <w:spacing w:line="276" w:lineRule="auto"/>
            </w:pPr>
            <w:r>
              <w:t>***</w:t>
            </w:r>
          </w:p>
        </w:tc>
      </w:tr>
      <w:tr w:rsidR="00D04776" w14:paraId="7933C511" w14:textId="77777777" w:rsidTr="00866587">
        <w:tc>
          <w:tcPr>
            <w:tcW w:w="0" w:type="auto"/>
          </w:tcPr>
          <w:p w14:paraId="0FFC9D5B" w14:textId="77777777" w:rsidR="00D04776" w:rsidRDefault="00D04776" w:rsidP="00D04776">
            <w:pPr>
              <w:pStyle w:val="Compact"/>
              <w:spacing w:line="276" w:lineRule="auto"/>
            </w:pPr>
          </w:p>
        </w:tc>
        <w:tc>
          <w:tcPr>
            <w:tcW w:w="527" w:type="pct"/>
          </w:tcPr>
          <w:p w14:paraId="692D782F" w14:textId="77777777" w:rsidR="00D04776" w:rsidRDefault="00D04776" w:rsidP="00D04776">
            <w:pPr>
              <w:pStyle w:val="Compact"/>
              <w:spacing w:line="276" w:lineRule="auto"/>
            </w:pPr>
          </w:p>
        </w:tc>
        <w:tc>
          <w:tcPr>
            <w:tcW w:w="928" w:type="pct"/>
          </w:tcPr>
          <w:p w14:paraId="106891E5" w14:textId="77777777" w:rsidR="00D04776" w:rsidRDefault="00D04776" w:rsidP="00D04776">
            <w:pPr>
              <w:pStyle w:val="Compact"/>
              <w:spacing w:line="276" w:lineRule="auto"/>
            </w:pPr>
            <w:r>
              <w:t>PDQ</w:t>
            </w:r>
          </w:p>
        </w:tc>
        <w:tc>
          <w:tcPr>
            <w:tcW w:w="0" w:type="auto"/>
          </w:tcPr>
          <w:p w14:paraId="16B1CA79" w14:textId="77777777" w:rsidR="00D04776" w:rsidRDefault="00D04776" w:rsidP="00D04776">
            <w:pPr>
              <w:pStyle w:val="Compact"/>
              <w:spacing w:line="276" w:lineRule="auto"/>
              <w:jc w:val="center"/>
            </w:pPr>
            <w:r>
              <w:t>+</w:t>
            </w:r>
          </w:p>
        </w:tc>
        <w:tc>
          <w:tcPr>
            <w:tcW w:w="0" w:type="auto"/>
          </w:tcPr>
          <w:p w14:paraId="3DB133FD" w14:textId="77777777" w:rsidR="00D04776" w:rsidRDefault="00D04776" w:rsidP="00D04776">
            <w:pPr>
              <w:pStyle w:val="Compact"/>
              <w:spacing w:line="276" w:lineRule="auto"/>
            </w:pPr>
            <w:r>
              <w:t>***</w:t>
            </w:r>
          </w:p>
        </w:tc>
        <w:tc>
          <w:tcPr>
            <w:tcW w:w="0" w:type="auto"/>
          </w:tcPr>
          <w:p w14:paraId="522434F2" w14:textId="77777777" w:rsidR="00D04776" w:rsidRDefault="00D04776" w:rsidP="00D04776">
            <w:pPr>
              <w:pStyle w:val="Compact"/>
              <w:spacing w:line="276" w:lineRule="auto"/>
              <w:jc w:val="center"/>
            </w:pPr>
            <w:r>
              <w:t>+</w:t>
            </w:r>
          </w:p>
        </w:tc>
        <w:tc>
          <w:tcPr>
            <w:tcW w:w="0" w:type="auto"/>
          </w:tcPr>
          <w:p w14:paraId="520FFF0E" w14:textId="77777777" w:rsidR="00D04776" w:rsidRDefault="00D04776" w:rsidP="00D04776">
            <w:pPr>
              <w:pStyle w:val="Compact"/>
              <w:spacing w:line="276" w:lineRule="auto"/>
            </w:pPr>
          </w:p>
        </w:tc>
        <w:tc>
          <w:tcPr>
            <w:tcW w:w="0" w:type="auto"/>
          </w:tcPr>
          <w:p w14:paraId="4AB89F71" w14:textId="77777777" w:rsidR="00D04776" w:rsidRDefault="00D04776" w:rsidP="00D04776">
            <w:pPr>
              <w:pStyle w:val="Compact"/>
              <w:spacing w:line="276" w:lineRule="auto"/>
              <w:jc w:val="center"/>
            </w:pPr>
            <w:r>
              <w:t>+</w:t>
            </w:r>
          </w:p>
        </w:tc>
        <w:tc>
          <w:tcPr>
            <w:tcW w:w="0" w:type="auto"/>
          </w:tcPr>
          <w:p w14:paraId="27C98659" w14:textId="77777777" w:rsidR="00D04776" w:rsidRDefault="00D04776" w:rsidP="00D04776">
            <w:pPr>
              <w:pStyle w:val="Compact"/>
              <w:spacing w:line="276" w:lineRule="auto"/>
            </w:pPr>
            <w:r>
              <w:t>***</w:t>
            </w:r>
          </w:p>
        </w:tc>
      </w:tr>
      <w:tr w:rsidR="00D04776" w14:paraId="791B7B7E" w14:textId="77777777" w:rsidTr="00866587">
        <w:tc>
          <w:tcPr>
            <w:tcW w:w="0" w:type="auto"/>
            <w:tcBorders>
              <w:bottom w:val="dashed" w:sz="4" w:space="0" w:color="auto"/>
            </w:tcBorders>
          </w:tcPr>
          <w:p w14:paraId="521C1AFB" w14:textId="77777777" w:rsidR="00D04776" w:rsidRDefault="00D04776" w:rsidP="00D04776">
            <w:pPr>
              <w:pStyle w:val="Compact"/>
              <w:spacing w:line="276" w:lineRule="auto"/>
            </w:pPr>
          </w:p>
        </w:tc>
        <w:tc>
          <w:tcPr>
            <w:tcW w:w="527" w:type="pct"/>
            <w:tcBorders>
              <w:bottom w:val="dashed" w:sz="4" w:space="0" w:color="auto"/>
            </w:tcBorders>
          </w:tcPr>
          <w:p w14:paraId="1B43E820" w14:textId="77777777" w:rsidR="00D04776" w:rsidRDefault="00D04776" w:rsidP="00D04776">
            <w:pPr>
              <w:pStyle w:val="Compact"/>
              <w:spacing w:line="276" w:lineRule="auto"/>
            </w:pPr>
          </w:p>
        </w:tc>
        <w:tc>
          <w:tcPr>
            <w:tcW w:w="928" w:type="pct"/>
            <w:tcBorders>
              <w:bottom w:val="dashed" w:sz="4" w:space="0" w:color="auto"/>
            </w:tcBorders>
          </w:tcPr>
          <w:p w14:paraId="172CDE68" w14:textId="77777777" w:rsidR="00D04776" w:rsidRDefault="00D04776" w:rsidP="00D04776">
            <w:pPr>
              <w:pStyle w:val="Compact"/>
              <w:spacing w:line="276" w:lineRule="auto"/>
            </w:pPr>
            <w:r>
              <w:t>Soil C</w:t>
            </w:r>
          </w:p>
        </w:tc>
        <w:tc>
          <w:tcPr>
            <w:tcW w:w="0" w:type="auto"/>
            <w:tcBorders>
              <w:bottom w:val="dashed" w:sz="4" w:space="0" w:color="auto"/>
            </w:tcBorders>
          </w:tcPr>
          <w:p w14:paraId="2F5CF9E6" w14:textId="77777777" w:rsidR="00D04776" w:rsidRDefault="00D04776" w:rsidP="00D04776">
            <w:pPr>
              <w:pStyle w:val="Compact"/>
              <w:spacing w:line="276" w:lineRule="auto"/>
              <w:jc w:val="center"/>
            </w:pPr>
            <w:r>
              <w:t>+</w:t>
            </w:r>
          </w:p>
        </w:tc>
        <w:tc>
          <w:tcPr>
            <w:tcW w:w="0" w:type="auto"/>
            <w:tcBorders>
              <w:bottom w:val="dashed" w:sz="4" w:space="0" w:color="auto"/>
            </w:tcBorders>
          </w:tcPr>
          <w:p w14:paraId="1CEBB649" w14:textId="77777777" w:rsidR="00D04776" w:rsidRDefault="00D04776" w:rsidP="00D04776">
            <w:pPr>
              <w:pStyle w:val="Compact"/>
              <w:spacing w:line="276" w:lineRule="auto"/>
            </w:pPr>
            <w:r>
              <w:t>***</w:t>
            </w:r>
          </w:p>
        </w:tc>
        <w:tc>
          <w:tcPr>
            <w:tcW w:w="0" w:type="auto"/>
            <w:tcBorders>
              <w:bottom w:val="dashed" w:sz="4" w:space="0" w:color="auto"/>
            </w:tcBorders>
          </w:tcPr>
          <w:p w14:paraId="19BCDE2C" w14:textId="77777777" w:rsidR="00D04776" w:rsidRDefault="00D04776" w:rsidP="00D04776">
            <w:pPr>
              <w:pStyle w:val="Compact"/>
              <w:spacing w:line="276" w:lineRule="auto"/>
              <w:jc w:val="center"/>
            </w:pPr>
            <w:r>
              <w:t>–</w:t>
            </w:r>
          </w:p>
        </w:tc>
        <w:tc>
          <w:tcPr>
            <w:tcW w:w="0" w:type="auto"/>
            <w:tcBorders>
              <w:bottom w:val="dashed" w:sz="4" w:space="0" w:color="auto"/>
            </w:tcBorders>
          </w:tcPr>
          <w:p w14:paraId="7DA3F4AE" w14:textId="77777777" w:rsidR="00D04776" w:rsidRDefault="00D04776" w:rsidP="00D04776">
            <w:pPr>
              <w:pStyle w:val="Compact"/>
              <w:spacing w:line="276" w:lineRule="auto"/>
            </w:pPr>
          </w:p>
        </w:tc>
        <w:tc>
          <w:tcPr>
            <w:tcW w:w="0" w:type="auto"/>
            <w:tcBorders>
              <w:bottom w:val="dashed" w:sz="4" w:space="0" w:color="auto"/>
            </w:tcBorders>
          </w:tcPr>
          <w:p w14:paraId="15EEA7FB" w14:textId="77777777" w:rsidR="00D04776" w:rsidRDefault="00D04776" w:rsidP="00D04776">
            <w:pPr>
              <w:pStyle w:val="Compact"/>
              <w:spacing w:line="276" w:lineRule="auto"/>
              <w:jc w:val="center"/>
            </w:pPr>
            <w:r>
              <w:t>–</w:t>
            </w:r>
          </w:p>
        </w:tc>
        <w:tc>
          <w:tcPr>
            <w:tcW w:w="0" w:type="auto"/>
            <w:tcBorders>
              <w:bottom w:val="dashed" w:sz="4" w:space="0" w:color="auto"/>
            </w:tcBorders>
          </w:tcPr>
          <w:p w14:paraId="7FAF09E4" w14:textId="77777777" w:rsidR="00D04776" w:rsidRDefault="00D04776" w:rsidP="00D04776">
            <w:pPr>
              <w:pStyle w:val="Compact"/>
              <w:spacing w:line="276" w:lineRule="auto"/>
            </w:pPr>
            <w:r>
              <w:t>**</w:t>
            </w:r>
          </w:p>
        </w:tc>
      </w:tr>
      <w:tr w:rsidR="00D04776" w14:paraId="3395C1A3" w14:textId="77777777" w:rsidTr="00866587">
        <w:tc>
          <w:tcPr>
            <w:tcW w:w="0" w:type="auto"/>
            <w:tcBorders>
              <w:top w:val="dashed" w:sz="4" w:space="0" w:color="auto"/>
            </w:tcBorders>
          </w:tcPr>
          <w:p w14:paraId="2E5D80CB" w14:textId="77777777" w:rsidR="00D04776" w:rsidRDefault="00D04776" w:rsidP="00D04776">
            <w:pPr>
              <w:pStyle w:val="Compact"/>
              <w:spacing w:line="276" w:lineRule="auto"/>
            </w:pPr>
          </w:p>
        </w:tc>
        <w:tc>
          <w:tcPr>
            <w:tcW w:w="527" w:type="pct"/>
            <w:tcBorders>
              <w:top w:val="dashed" w:sz="4" w:space="0" w:color="auto"/>
            </w:tcBorders>
          </w:tcPr>
          <w:p w14:paraId="5422B480" w14:textId="77777777" w:rsidR="00D04776" w:rsidRDefault="00D04776" w:rsidP="00D04776">
            <w:pPr>
              <w:pStyle w:val="Compact"/>
              <w:spacing w:line="276" w:lineRule="auto"/>
            </w:pPr>
            <w:r>
              <w:t>Main effect only</w:t>
            </w:r>
          </w:p>
        </w:tc>
        <w:tc>
          <w:tcPr>
            <w:tcW w:w="928" w:type="pct"/>
            <w:tcBorders>
              <w:top w:val="dashed" w:sz="4" w:space="0" w:color="auto"/>
            </w:tcBorders>
          </w:tcPr>
          <w:p w14:paraId="52737AA6" w14:textId="77777777" w:rsidR="00D04776" w:rsidRDefault="00D04776" w:rsidP="00D04776">
            <w:pPr>
              <w:pStyle w:val="Compact"/>
              <w:spacing w:line="276" w:lineRule="auto"/>
            </w:pPr>
            <w:r>
              <w:t>Elevation</w:t>
            </w:r>
          </w:p>
        </w:tc>
        <w:tc>
          <w:tcPr>
            <w:tcW w:w="0" w:type="auto"/>
            <w:tcBorders>
              <w:top w:val="dashed" w:sz="4" w:space="0" w:color="auto"/>
            </w:tcBorders>
          </w:tcPr>
          <w:p w14:paraId="33351E94" w14:textId="77777777" w:rsidR="00D04776" w:rsidRDefault="00D04776" w:rsidP="00D04776">
            <w:pPr>
              <w:pStyle w:val="Compact"/>
              <w:spacing w:line="276" w:lineRule="auto"/>
              <w:jc w:val="center"/>
            </w:pPr>
            <w:r>
              <w:t>+</w:t>
            </w:r>
          </w:p>
        </w:tc>
        <w:tc>
          <w:tcPr>
            <w:tcW w:w="0" w:type="auto"/>
            <w:tcBorders>
              <w:top w:val="dashed" w:sz="4" w:space="0" w:color="auto"/>
            </w:tcBorders>
          </w:tcPr>
          <w:p w14:paraId="17E2D94D" w14:textId="77777777" w:rsidR="00D04776" w:rsidRDefault="00D04776" w:rsidP="00D04776">
            <w:pPr>
              <w:pStyle w:val="Compact"/>
              <w:spacing w:line="276" w:lineRule="auto"/>
            </w:pPr>
            <w:r>
              <w:t>***</w:t>
            </w:r>
          </w:p>
        </w:tc>
        <w:tc>
          <w:tcPr>
            <w:tcW w:w="0" w:type="auto"/>
            <w:tcBorders>
              <w:top w:val="dashed" w:sz="4" w:space="0" w:color="auto"/>
            </w:tcBorders>
          </w:tcPr>
          <w:p w14:paraId="74B72806" w14:textId="77777777" w:rsidR="00D04776" w:rsidRDefault="00D04776" w:rsidP="00D04776">
            <w:pPr>
              <w:pStyle w:val="Compact"/>
              <w:spacing w:line="276" w:lineRule="auto"/>
            </w:pPr>
          </w:p>
        </w:tc>
        <w:tc>
          <w:tcPr>
            <w:tcW w:w="0" w:type="auto"/>
            <w:tcBorders>
              <w:top w:val="dashed" w:sz="4" w:space="0" w:color="auto"/>
            </w:tcBorders>
          </w:tcPr>
          <w:p w14:paraId="31877234" w14:textId="77777777" w:rsidR="00D04776" w:rsidRDefault="00D04776" w:rsidP="00D04776">
            <w:pPr>
              <w:pStyle w:val="Compact"/>
              <w:spacing w:line="276" w:lineRule="auto"/>
            </w:pPr>
          </w:p>
        </w:tc>
        <w:tc>
          <w:tcPr>
            <w:tcW w:w="0" w:type="auto"/>
            <w:tcBorders>
              <w:top w:val="dashed" w:sz="4" w:space="0" w:color="auto"/>
            </w:tcBorders>
          </w:tcPr>
          <w:p w14:paraId="343510D4" w14:textId="77777777" w:rsidR="00D04776" w:rsidRDefault="00D04776" w:rsidP="00D04776">
            <w:pPr>
              <w:pStyle w:val="Compact"/>
              <w:spacing w:line="276" w:lineRule="auto"/>
            </w:pPr>
          </w:p>
        </w:tc>
        <w:tc>
          <w:tcPr>
            <w:tcW w:w="0" w:type="auto"/>
            <w:tcBorders>
              <w:top w:val="dashed" w:sz="4" w:space="0" w:color="auto"/>
            </w:tcBorders>
          </w:tcPr>
          <w:p w14:paraId="72D369FB" w14:textId="77777777" w:rsidR="00D04776" w:rsidRDefault="00D04776" w:rsidP="00D04776">
            <w:pPr>
              <w:pStyle w:val="Compact"/>
              <w:spacing w:line="276" w:lineRule="auto"/>
            </w:pPr>
          </w:p>
        </w:tc>
      </w:tr>
      <w:tr w:rsidR="00D04776" w14:paraId="4503C606" w14:textId="77777777" w:rsidTr="00866587">
        <w:tc>
          <w:tcPr>
            <w:tcW w:w="0" w:type="auto"/>
          </w:tcPr>
          <w:p w14:paraId="13326302" w14:textId="77777777" w:rsidR="00D04776" w:rsidRDefault="00D04776" w:rsidP="00D04776">
            <w:pPr>
              <w:pStyle w:val="Compact"/>
              <w:spacing w:line="276" w:lineRule="auto"/>
            </w:pPr>
          </w:p>
        </w:tc>
        <w:tc>
          <w:tcPr>
            <w:tcW w:w="527" w:type="pct"/>
          </w:tcPr>
          <w:p w14:paraId="0F0D0092" w14:textId="77777777" w:rsidR="00D04776" w:rsidRDefault="00D04776" w:rsidP="00D04776">
            <w:pPr>
              <w:pStyle w:val="Compact"/>
              <w:spacing w:line="276" w:lineRule="auto"/>
            </w:pPr>
          </w:p>
        </w:tc>
        <w:tc>
          <w:tcPr>
            <w:tcW w:w="928" w:type="pct"/>
          </w:tcPr>
          <w:p w14:paraId="00DBA767" w14:textId="77777777" w:rsidR="00D04776" w:rsidRDefault="00D04776" w:rsidP="00D04776">
            <w:pPr>
              <w:pStyle w:val="Compact"/>
              <w:spacing w:line="276" w:lineRule="auto"/>
            </w:pPr>
            <w:r>
              <w:t>MAP</w:t>
            </w:r>
          </w:p>
        </w:tc>
        <w:tc>
          <w:tcPr>
            <w:tcW w:w="0" w:type="auto"/>
          </w:tcPr>
          <w:p w14:paraId="05B1BD0A" w14:textId="77777777" w:rsidR="00D04776" w:rsidRDefault="00D04776" w:rsidP="00D04776">
            <w:pPr>
              <w:pStyle w:val="Compact"/>
              <w:spacing w:line="276" w:lineRule="auto"/>
              <w:jc w:val="center"/>
            </w:pPr>
            <w:r>
              <w:t>+</w:t>
            </w:r>
          </w:p>
        </w:tc>
        <w:tc>
          <w:tcPr>
            <w:tcW w:w="0" w:type="auto"/>
          </w:tcPr>
          <w:p w14:paraId="0EADD8F7" w14:textId="77777777" w:rsidR="00D04776" w:rsidRDefault="00D04776" w:rsidP="00D04776">
            <w:pPr>
              <w:pStyle w:val="Compact"/>
              <w:spacing w:line="276" w:lineRule="auto"/>
            </w:pPr>
            <w:r>
              <w:t>***</w:t>
            </w:r>
          </w:p>
        </w:tc>
        <w:tc>
          <w:tcPr>
            <w:tcW w:w="0" w:type="auto"/>
          </w:tcPr>
          <w:p w14:paraId="3E6940C6" w14:textId="77777777" w:rsidR="00D04776" w:rsidRDefault="00D04776" w:rsidP="00D04776">
            <w:pPr>
              <w:pStyle w:val="Compact"/>
              <w:spacing w:line="276" w:lineRule="auto"/>
            </w:pPr>
          </w:p>
        </w:tc>
        <w:tc>
          <w:tcPr>
            <w:tcW w:w="0" w:type="auto"/>
          </w:tcPr>
          <w:p w14:paraId="66E6B99C" w14:textId="77777777" w:rsidR="00D04776" w:rsidRDefault="00D04776" w:rsidP="00D04776">
            <w:pPr>
              <w:pStyle w:val="Compact"/>
              <w:spacing w:line="276" w:lineRule="auto"/>
            </w:pPr>
          </w:p>
        </w:tc>
        <w:tc>
          <w:tcPr>
            <w:tcW w:w="0" w:type="auto"/>
          </w:tcPr>
          <w:p w14:paraId="3C6B853E" w14:textId="77777777" w:rsidR="00D04776" w:rsidRDefault="00D04776" w:rsidP="00D04776">
            <w:pPr>
              <w:pStyle w:val="Compact"/>
              <w:spacing w:line="276" w:lineRule="auto"/>
            </w:pPr>
          </w:p>
        </w:tc>
        <w:tc>
          <w:tcPr>
            <w:tcW w:w="0" w:type="auto"/>
          </w:tcPr>
          <w:p w14:paraId="03E360C3" w14:textId="77777777" w:rsidR="00D04776" w:rsidRDefault="00D04776" w:rsidP="00D04776">
            <w:pPr>
              <w:pStyle w:val="Compact"/>
              <w:spacing w:line="276" w:lineRule="auto"/>
            </w:pPr>
          </w:p>
        </w:tc>
      </w:tr>
      <w:tr w:rsidR="00D04776" w14:paraId="2061C68C" w14:textId="77777777" w:rsidTr="00866587">
        <w:tc>
          <w:tcPr>
            <w:tcW w:w="0" w:type="auto"/>
          </w:tcPr>
          <w:p w14:paraId="3CD09BF6" w14:textId="77777777" w:rsidR="00D04776" w:rsidRDefault="00D04776" w:rsidP="00D04776">
            <w:pPr>
              <w:pStyle w:val="Compact"/>
              <w:spacing w:line="276" w:lineRule="auto"/>
            </w:pPr>
          </w:p>
        </w:tc>
        <w:tc>
          <w:tcPr>
            <w:tcW w:w="527" w:type="pct"/>
          </w:tcPr>
          <w:p w14:paraId="29FC06A8" w14:textId="77777777" w:rsidR="00D04776" w:rsidRDefault="00D04776" w:rsidP="00D04776">
            <w:pPr>
              <w:pStyle w:val="Compact"/>
              <w:spacing w:line="276" w:lineRule="auto"/>
            </w:pPr>
          </w:p>
        </w:tc>
        <w:tc>
          <w:tcPr>
            <w:tcW w:w="928" w:type="pct"/>
          </w:tcPr>
          <w:p w14:paraId="44983026" w14:textId="77777777" w:rsidR="00D04776" w:rsidRDefault="00D04776" w:rsidP="00D04776">
            <w:pPr>
              <w:pStyle w:val="Compact"/>
              <w:spacing w:line="276" w:lineRule="auto"/>
            </w:pPr>
            <w:r>
              <w:t>Surface T</w:t>
            </w:r>
          </w:p>
        </w:tc>
        <w:tc>
          <w:tcPr>
            <w:tcW w:w="0" w:type="auto"/>
          </w:tcPr>
          <w:p w14:paraId="1D7C08D5" w14:textId="77777777" w:rsidR="00D04776" w:rsidRDefault="00D04776" w:rsidP="00D04776">
            <w:pPr>
              <w:pStyle w:val="Compact"/>
              <w:spacing w:line="276" w:lineRule="auto"/>
              <w:jc w:val="center"/>
            </w:pPr>
            <w:r>
              <w:t>+</w:t>
            </w:r>
          </w:p>
        </w:tc>
        <w:tc>
          <w:tcPr>
            <w:tcW w:w="0" w:type="auto"/>
          </w:tcPr>
          <w:p w14:paraId="3A6BA3DA" w14:textId="77777777" w:rsidR="00D04776" w:rsidRDefault="00D04776" w:rsidP="00D04776">
            <w:pPr>
              <w:pStyle w:val="Compact"/>
              <w:spacing w:line="276" w:lineRule="auto"/>
            </w:pPr>
            <w:r>
              <w:t>***</w:t>
            </w:r>
          </w:p>
        </w:tc>
        <w:tc>
          <w:tcPr>
            <w:tcW w:w="0" w:type="auto"/>
          </w:tcPr>
          <w:p w14:paraId="4E79BF2E" w14:textId="77777777" w:rsidR="00D04776" w:rsidRDefault="00D04776" w:rsidP="00D04776">
            <w:pPr>
              <w:pStyle w:val="Compact"/>
              <w:spacing w:line="276" w:lineRule="auto"/>
            </w:pPr>
          </w:p>
        </w:tc>
        <w:tc>
          <w:tcPr>
            <w:tcW w:w="0" w:type="auto"/>
          </w:tcPr>
          <w:p w14:paraId="2FA83183" w14:textId="77777777" w:rsidR="00D04776" w:rsidRDefault="00D04776" w:rsidP="00D04776">
            <w:pPr>
              <w:pStyle w:val="Compact"/>
              <w:spacing w:line="276" w:lineRule="auto"/>
            </w:pPr>
          </w:p>
        </w:tc>
        <w:tc>
          <w:tcPr>
            <w:tcW w:w="0" w:type="auto"/>
          </w:tcPr>
          <w:p w14:paraId="62803459" w14:textId="77777777" w:rsidR="00D04776" w:rsidRDefault="00D04776" w:rsidP="00D04776">
            <w:pPr>
              <w:pStyle w:val="Compact"/>
              <w:spacing w:line="276" w:lineRule="auto"/>
            </w:pPr>
          </w:p>
        </w:tc>
        <w:tc>
          <w:tcPr>
            <w:tcW w:w="0" w:type="auto"/>
          </w:tcPr>
          <w:p w14:paraId="6B65184A" w14:textId="77777777" w:rsidR="00D04776" w:rsidRDefault="00D04776" w:rsidP="00D04776">
            <w:pPr>
              <w:pStyle w:val="Compact"/>
              <w:spacing w:line="276" w:lineRule="auto"/>
            </w:pPr>
          </w:p>
        </w:tc>
      </w:tr>
      <w:tr w:rsidR="00D04776" w14:paraId="61021E01" w14:textId="77777777" w:rsidTr="00866587">
        <w:tc>
          <w:tcPr>
            <w:tcW w:w="0" w:type="auto"/>
            <w:tcBorders>
              <w:bottom w:val="dashed" w:sz="4" w:space="0" w:color="auto"/>
            </w:tcBorders>
          </w:tcPr>
          <w:p w14:paraId="620A9F7B" w14:textId="77777777" w:rsidR="00D04776" w:rsidRDefault="00D04776" w:rsidP="00D04776">
            <w:pPr>
              <w:pStyle w:val="Compact"/>
              <w:spacing w:line="276" w:lineRule="auto"/>
            </w:pPr>
          </w:p>
        </w:tc>
        <w:tc>
          <w:tcPr>
            <w:tcW w:w="527" w:type="pct"/>
            <w:tcBorders>
              <w:bottom w:val="dashed" w:sz="4" w:space="0" w:color="auto"/>
            </w:tcBorders>
          </w:tcPr>
          <w:p w14:paraId="4C951B7B" w14:textId="77777777" w:rsidR="00D04776" w:rsidRDefault="00D04776" w:rsidP="00D04776">
            <w:pPr>
              <w:pStyle w:val="Compact"/>
              <w:spacing w:line="276" w:lineRule="auto"/>
            </w:pPr>
          </w:p>
        </w:tc>
        <w:tc>
          <w:tcPr>
            <w:tcW w:w="928" w:type="pct"/>
            <w:tcBorders>
              <w:bottom w:val="dashed" w:sz="4" w:space="0" w:color="auto"/>
            </w:tcBorders>
          </w:tcPr>
          <w:p w14:paraId="0F4C29CF" w14:textId="77777777" w:rsidR="00D04776" w:rsidRDefault="00D04776" w:rsidP="00D04776">
            <w:pPr>
              <w:pStyle w:val="Compact"/>
              <w:spacing w:line="276" w:lineRule="auto"/>
            </w:pPr>
            <w:r>
              <w:t>PC1</w:t>
            </w:r>
          </w:p>
        </w:tc>
        <w:tc>
          <w:tcPr>
            <w:tcW w:w="0" w:type="auto"/>
            <w:tcBorders>
              <w:bottom w:val="dashed" w:sz="4" w:space="0" w:color="auto"/>
            </w:tcBorders>
          </w:tcPr>
          <w:p w14:paraId="77ECA1CB" w14:textId="77777777" w:rsidR="00D04776" w:rsidRDefault="00D04776" w:rsidP="00D04776">
            <w:pPr>
              <w:pStyle w:val="Compact"/>
              <w:spacing w:line="276" w:lineRule="auto"/>
              <w:jc w:val="center"/>
            </w:pPr>
            <w:r>
              <w:t>+</w:t>
            </w:r>
          </w:p>
        </w:tc>
        <w:tc>
          <w:tcPr>
            <w:tcW w:w="0" w:type="auto"/>
            <w:tcBorders>
              <w:bottom w:val="dashed" w:sz="4" w:space="0" w:color="auto"/>
            </w:tcBorders>
          </w:tcPr>
          <w:p w14:paraId="4C07E068" w14:textId="77777777" w:rsidR="00D04776" w:rsidRDefault="00D04776" w:rsidP="00D04776">
            <w:pPr>
              <w:pStyle w:val="Compact"/>
              <w:spacing w:line="276" w:lineRule="auto"/>
            </w:pPr>
            <w:r>
              <w:t>***</w:t>
            </w:r>
          </w:p>
        </w:tc>
        <w:tc>
          <w:tcPr>
            <w:tcW w:w="0" w:type="auto"/>
            <w:tcBorders>
              <w:bottom w:val="dashed" w:sz="4" w:space="0" w:color="auto"/>
            </w:tcBorders>
          </w:tcPr>
          <w:p w14:paraId="6538D2C4" w14:textId="77777777" w:rsidR="00D04776" w:rsidRDefault="00D04776" w:rsidP="00D04776">
            <w:pPr>
              <w:pStyle w:val="Compact"/>
              <w:spacing w:line="276" w:lineRule="auto"/>
            </w:pPr>
          </w:p>
        </w:tc>
        <w:tc>
          <w:tcPr>
            <w:tcW w:w="0" w:type="auto"/>
            <w:tcBorders>
              <w:bottom w:val="dashed" w:sz="4" w:space="0" w:color="auto"/>
            </w:tcBorders>
          </w:tcPr>
          <w:p w14:paraId="4FFA9300" w14:textId="77777777" w:rsidR="00D04776" w:rsidRDefault="00D04776" w:rsidP="00D04776">
            <w:pPr>
              <w:pStyle w:val="Compact"/>
              <w:spacing w:line="276" w:lineRule="auto"/>
            </w:pPr>
          </w:p>
        </w:tc>
        <w:tc>
          <w:tcPr>
            <w:tcW w:w="0" w:type="auto"/>
            <w:tcBorders>
              <w:bottom w:val="dashed" w:sz="4" w:space="0" w:color="auto"/>
            </w:tcBorders>
          </w:tcPr>
          <w:p w14:paraId="5AE6531F" w14:textId="77777777" w:rsidR="00D04776" w:rsidRDefault="00D04776" w:rsidP="00D04776">
            <w:pPr>
              <w:pStyle w:val="Compact"/>
              <w:spacing w:line="276" w:lineRule="auto"/>
            </w:pPr>
          </w:p>
        </w:tc>
        <w:tc>
          <w:tcPr>
            <w:tcW w:w="0" w:type="auto"/>
            <w:tcBorders>
              <w:bottom w:val="dashed" w:sz="4" w:space="0" w:color="auto"/>
            </w:tcBorders>
          </w:tcPr>
          <w:p w14:paraId="510FAA39" w14:textId="77777777" w:rsidR="00D04776" w:rsidRDefault="00D04776" w:rsidP="00D04776">
            <w:pPr>
              <w:pStyle w:val="Compact"/>
              <w:spacing w:line="276" w:lineRule="auto"/>
            </w:pPr>
          </w:p>
        </w:tc>
      </w:tr>
      <w:tr w:rsidR="00D04776" w14:paraId="36C98A9B" w14:textId="77777777" w:rsidTr="00866587">
        <w:tc>
          <w:tcPr>
            <w:tcW w:w="0" w:type="auto"/>
            <w:tcBorders>
              <w:top w:val="dashed" w:sz="4" w:space="0" w:color="auto"/>
            </w:tcBorders>
          </w:tcPr>
          <w:p w14:paraId="2945E947" w14:textId="77777777" w:rsidR="00D04776" w:rsidRDefault="00D04776" w:rsidP="00D04776">
            <w:pPr>
              <w:pStyle w:val="Compact"/>
              <w:spacing w:line="276" w:lineRule="auto"/>
            </w:pPr>
          </w:p>
        </w:tc>
        <w:tc>
          <w:tcPr>
            <w:tcW w:w="527" w:type="pct"/>
            <w:tcBorders>
              <w:top w:val="dashed" w:sz="4" w:space="0" w:color="auto"/>
            </w:tcBorders>
          </w:tcPr>
          <w:p w14:paraId="7A130542" w14:textId="77777777" w:rsidR="00D04776" w:rsidRDefault="00D04776" w:rsidP="00D04776">
            <w:pPr>
              <w:pStyle w:val="Compact"/>
              <w:spacing w:line="276" w:lineRule="auto"/>
            </w:pPr>
            <w:r>
              <w:t>Region only</w:t>
            </w:r>
          </w:p>
        </w:tc>
        <w:tc>
          <w:tcPr>
            <w:tcW w:w="928" w:type="pct"/>
            <w:tcBorders>
              <w:top w:val="dashed" w:sz="4" w:space="0" w:color="auto"/>
            </w:tcBorders>
          </w:tcPr>
          <w:p w14:paraId="46BDA538" w14:textId="77777777" w:rsidR="00D04776" w:rsidRDefault="00D04776" w:rsidP="00D04776">
            <w:pPr>
              <w:pStyle w:val="Compact"/>
              <w:spacing w:line="276" w:lineRule="auto"/>
            </w:pPr>
            <w:r>
              <w:t>CEC</w:t>
            </w:r>
          </w:p>
        </w:tc>
        <w:tc>
          <w:tcPr>
            <w:tcW w:w="0" w:type="auto"/>
            <w:tcBorders>
              <w:top w:val="dashed" w:sz="4" w:space="0" w:color="auto"/>
            </w:tcBorders>
          </w:tcPr>
          <w:p w14:paraId="74783313" w14:textId="77777777" w:rsidR="00D04776" w:rsidRDefault="00D04776" w:rsidP="00D04776">
            <w:pPr>
              <w:pStyle w:val="Compact"/>
              <w:spacing w:line="276" w:lineRule="auto"/>
              <w:jc w:val="center"/>
            </w:pPr>
            <w:r>
              <w:t>–</w:t>
            </w:r>
          </w:p>
        </w:tc>
        <w:tc>
          <w:tcPr>
            <w:tcW w:w="0" w:type="auto"/>
            <w:tcBorders>
              <w:top w:val="dashed" w:sz="4" w:space="0" w:color="auto"/>
            </w:tcBorders>
          </w:tcPr>
          <w:p w14:paraId="424C6905" w14:textId="77777777" w:rsidR="00D04776" w:rsidRDefault="00D04776" w:rsidP="00D04776">
            <w:pPr>
              <w:pStyle w:val="Compact"/>
              <w:spacing w:line="276" w:lineRule="auto"/>
            </w:pPr>
          </w:p>
        </w:tc>
        <w:tc>
          <w:tcPr>
            <w:tcW w:w="0" w:type="auto"/>
            <w:tcBorders>
              <w:top w:val="dashed" w:sz="4" w:space="0" w:color="auto"/>
            </w:tcBorders>
          </w:tcPr>
          <w:p w14:paraId="0865CE3F" w14:textId="77777777" w:rsidR="00D04776" w:rsidRDefault="00D04776" w:rsidP="00D04776">
            <w:pPr>
              <w:pStyle w:val="Compact"/>
              <w:spacing w:line="276" w:lineRule="auto"/>
              <w:jc w:val="center"/>
            </w:pPr>
            <w:r>
              <w:t>–</w:t>
            </w:r>
          </w:p>
        </w:tc>
        <w:tc>
          <w:tcPr>
            <w:tcW w:w="0" w:type="auto"/>
            <w:tcBorders>
              <w:top w:val="dashed" w:sz="4" w:space="0" w:color="auto"/>
            </w:tcBorders>
          </w:tcPr>
          <w:p w14:paraId="44A5E9CE" w14:textId="77777777" w:rsidR="00D04776" w:rsidRDefault="00D04776" w:rsidP="00D04776">
            <w:pPr>
              <w:pStyle w:val="Compact"/>
              <w:spacing w:line="276" w:lineRule="auto"/>
            </w:pPr>
            <w:r>
              <w:t>***</w:t>
            </w:r>
          </w:p>
        </w:tc>
        <w:tc>
          <w:tcPr>
            <w:tcW w:w="0" w:type="auto"/>
            <w:tcBorders>
              <w:top w:val="dashed" w:sz="4" w:space="0" w:color="auto"/>
            </w:tcBorders>
          </w:tcPr>
          <w:p w14:paraId="2C07500A" w14:textId="77777777" w:rsidR="00D04776" w:rsidRDefault="00D04776" w:rsidP="00D04776">
            <w:pPr>
              <w:pStyle w:val="Compact"/>
              <w:spacing w:line="276" w:lineRule="auto"/>
            </w:pPr>
          </w:p>
        </w:tc>
        <w:tc>
          <w:tcPr>
            <w:tcW w:w="0" w:type="auto"/>
            <w:tcBorders>
              <w:top w:val="dashed" w:sz="4" w:space="0" w:color="auto"/>
            </w:tcBorders>
          </w:tcPr>
          <w:p w14:paraId="2F965F0F" w14:textId="77777777" w:rsidR="00D04776" w:rsidRDefault="00D04776" w:rsidP="00D04776">
            <w:pPr>
              <w:pStyle w:val="Compact"/>
              <w:spacing w:line="276" w:lineRule="auto"/>
            </w:pPr>
          </w:p>
        </w:tc>
      </w:tr>
      <w:tr w:rsidR="00D04776" w14:paraId="14F91A09" w14:textId="77777777" w:rsidTr="00866587">
        <w:tc>
          <w:tcPr>
            <w:tcW w:w="0" w:type="auto"/>
          </w:tcPr>
          <w:p w14:paraId="6CD73313" w14:textId="77777777" w:rsidR="00D04776" w:rsidRDefault="00D04776" w:rsidP="00D04776">
            <w:pPr>
              <w:pStyle w:val="Compact"/>
              <w:spacing w:line="276" w:lineRule="auto"/>
            </w:pPr>
          </w:p>
        </w:tc>
        <w:tc>
          <w:tcPr>
            <w:tcW w:w="527" w:type="pct"/>
          </w:tcPr>
          <w:p w14:paraId="16CF46C8" w14:textId="77777777" w:rsidR="00D04776" w:rsidRDefault="00D04776" w:rsidP="00D04776">
            <w:pPr>
              <w:pStyle w:val="Compact"/>
              <w:spacing w:line="276" w:lineRule="auto"/>
            </w:pPr>
          </w:p>
        </w:tc>
        <w:tc>
          <w:tcPr>
            <w:tcW w:w="928" w:type="pct"/>
          </w:tcPr>
          <w:p w14:paraId="28DB2945" w14:textId="77777777" w:rsidR="00D04776" w:rsidRDefault="00D04776" w:rsidP="00D04776">
            <w:pPr>
              <w:pStyle w:val="Compact"/>
              <w:spacing w:line="276" w:lineRule="auto"/>
            </w:pPr>
            <w:r>
              <w:t>Clay</w:t>
            </w:r>
          </w:p>
        </w:tc>
        <w:tc>
          <w:tcPr>
            <w:tcW w:w="0" w:type="auto"/>
          </w:tcPr>
          <w:p w14:paraId="7ACB01E5" w14:textId="77777777" w:rsidR="00D04776" w:rsidRDefault="00D04776" w:rsidP="00D04776">
            <w:pPr>
              <w:pStyle w:val="Compact"/>
              <w:spacing w:line="276" w:lineRule="auto"/>
              <w:jc w:val="center"/>
            </w:pPr>
            <w:r>
              <w:t>+</w:t>
            </w:r>
          </w:p>
        </w:tc>
        <w:tc>
          <w:tcPr>
            <w:tcW w:w="0" w:type="auto"/>
          </w:tcPr>
          <w:p w14:paraId="5914B97B" w14:textId="77777777" w:rsidR="00D04776" w:rsidRDefault="00D04776" w:rsidP="00D04776">
            <w:pPr>
              <w:pStyle w:val="Compact"/>
              <w:spacing w:line="276" w:lineRule="auto"/>
            </w:pPr>
          </w:p>
        </w:tc>
        <w:tc>
          <w:tcPr>
            <w:tcW w:w="0" w:type="auto"/>
          </w:tcPr>
          <w:p w14:paraId="0B1C974D" w14:textId="77777777" w:rsidR="00D04776" w:rsidRDefault="00D04776" w:rsidP="00D04776">
            <w:pPr>
              <w:pStyle w:val="Compact"/>
              <w:spacing w:line="276" w:lineRule="auto"/>
              <w:jc w:val="center"/>
            </w:pPr>
            <w:r>
              <w:t>–</w:t>
            </w:r>
          </w:p>
        </w:tc>
        <w:tc>
          <w:tcPr>
            <w:tcW w:w="0" w:type="auto"/>
          </w:tcPr>
          <w:p w14:paraId="62E522DD" w14:textId="77777777" w:rsidR="00D04776" w:rsidRDefault="00D04776" w:rsidP="00D04776">
            <w:pPr>
              <w:pStyle w:val="Compact"/>
              <w:spacing w:line="276" w:lineRule="auto"/>
            </w:pPr>
            <w:r>
              <w:t>***</w:t>
            </w:r>
          </w:p>
        </w:tc>
        <w:tc>
          <w:tcPr>
            <w:tcW w:w="0" w:type="auto"/>
          </w:tcPr>
          <w:p w14:paraId="0B77537A" w14:textId="77777777" w:rsidR="00D04776" w:rsidRDefault="00D04776" w:rsidP="00D04776">
            <w:pPr>
              <w:pStyle w:val="Compact"/>
              <w:spacing w:line="276" w:lineRule="auto"/>
            </w:pPr>
          </w:p>
        </w:tc>
        <w:tc>
          <w:tcPr>
            <w:tcW w:w="0" w:type="auto"/>
          </w:tcPr>
          <w:p w14:paraId="7BCA24F7" w14:textId="77777777" w:rsidR="00D04776" w:rsidRDefault="00D04776" w:rsidP="00D04776">
            <w:pPr>
              <w:pStyle w:val="Compact"/>
              <w:spacing w:line="276" w:lineRule="auto"/>
            </w:pPr>
          </w:p>
        </w:tc>
      </w:tr>
      <w:tr w:rsidR="00D04776" w14:paraId="64E78183" w14:textId="77777777" w:rsidTr="00866587">
        <w:tc>
          <w:tcPr>
            <w:tcW w:w="0" w:type="auto"/>
            <w:tcBorders>
              <w:bottom w:val="single" w:sz="4" w:space="0" w:color="auto"/>
            </w:tcBorders>
          </w:tcPr>
          <w:p w14:paraId="336879F3" w14:textId="77777777" w:rsidR="00D04776" w:rsidRDefault="00D04776" w:rsidP="00D04776">
            <w:pPr>
              <w:pStyle w:val="Compact"/>
              <w:spacing w:line="276" w:lineRule="auto"/>
            </w:pPr>
          </w:p>
        </w:tc>
        <w:tc>
          <w:tcPr>
            <w:tcW w:w="527" w:type="pct"/>
            <w:tcBorders>
              <w:bottom w:val="single" w:sz="4" w:space="0" w:color="auto"/>
            </w:tcBorders>
          </w:tcPr>
          <w:p w14:paraId="4A1B3F56" w14:textId="77777777" w:rsidR="00D04776" w:rsidRDefault="00D04776" w:rsidP="00D04776">
            <w:pPr>
              <w:pStyle w:val="Compact"/>
              <w:spacing w:line="276" w:lineRule="auto"/>
            </w:pPr>
          </w:p>
        </w:tc>
        <w:tc>
          <w:tcPr>
            <w:tcW w:w="928" w:type="pct"/>
            <w:tcBorders>
              <w:bottom w:val="single" w:sz="4" w:space="0" w:color="auto"/>
            </w:tcBorders>
          </w:tcPr>
          <w:p w14:paraId="12599AD7" w14:textId="77777777" w:rsidR="00D04776" w:rsidRDefault="00D04776" w:rsidP="00D04776">
            <w:pPr>
              <w:pStyle w:val="Compact"/>
              <w:spacing w:line="276" w:lineRule="auto"/>
            </w:pPr>
            <w:r>
              <w:t>pH</w:t>
            </w:r>
          </w:p>
        </w:tc>
        <w:tc>
          <w:tcPr>
            <w:tcW w:w="0" w:type="auto"/>
            <w:tcBorders>
              <w:bottom w:val="single" w:sz="4" w:space="0" w:color="auto"/>
            </w:tcBorders>
          </w:tcPr>
          <w:p w14:paraId="1295E05B" w14:textId="77777777" w:rsidR="00D04776" w:rsidRDefault="00D04776" w:rsidP="00D04776">
            <w:pPr>
              <w:pStyle w:val="Compact"/>
              <w:spacing w:line="276" w:lineRule="auto"/>
              <w:jc w:val="center"/>
            </w:pPr>
            <w:r>
              <w:t>–</w:t>
            </w:r>
          </w:p>
        </w:tc>
        <w:tc>
          <w:tcPr>
            <w:tcW w:w="0" w:type="auto"/>
            <w:tcBorders>
              <w:bottom w:val="single" w:sz="4" w:space="0" w:color="auto"/>
            </w:tcBorders>
          </w:tcPr>
          <w:p w14:paraId="1ACCCA05" w14:textId="77777777" w:rsidR="00D04776" w:rsidRDefault="00D04776" w:rsidP="00D04776">
            <w:pPr>
              <w:pStyle w:val="Compact"/>
              <w:spacing w:line="276" w:lineRule="auto"/>
            </w:pPr>
          </w:p>
        </w:tc>
        <w:tc>
          <w:tcPr>
            <w:tcW w:w="0" w:type="auto"/>
            <w:tcBorders>
              <w:bottom w:val="single" w:sz="4" w:space="0" w:color="auto"/>
            </w:tcBorders>
          </w:tcPr>
          <w:p w14:paraId="3D6ED5D1" w14:textId="77777777" w:rsidR="00D04776" w:rsidRDefault="00D04776" w:rsidP="00D04776">
            <w:pPr>
              <w:pStyle w:val="Compact"/>
              <w:spacing w:line="276" w:lineRule="auto"/>
              <w:jc w:val="center"/>
            </w:pPr>
            <w:r>
              <w:t>–</w:t>
            </w:r>
          </w:p>
        </w:tc>
        <w:tc>
          <w:tcPr>
            <w:tcW w:w="0" w:type="auto"/>
            <w:tcBorders>
              <w:bottom w:val="single" w:sz="4" w:space="0" w:color="auto"/>
            </w:tcBorders>
          </w:tcPr>
          <w:p w14:paraId="600D8F03" w14:textId="77777777" w:rsidR="00D04776" w:rsidRDefault="00D04776" w:rsidP="00D04776">
            <w:pPr>
              <w:pStyle w:val="Compact"/>
              <w:spacing w:line="276" w:lineRule="auto"/>
            </w:pPr>
            <w:r>
              <w:t>***</w:t>
            </w:r>
          </w:p>
        </w:tc>
        <w:tc>
          <w:tcPr>
            <w:tcW w:w="0" w:type="auto"/>
            <w:tcBorders>
              <w:bottom w:val="single" w:sz="4" w:space="0" w:color="auto"/>
            </w:tcBorders>
          </w:tcPr>
          <w:p w14:paraId="03344900" w14:textId="77777777" w:rsidR="00D04776" w:rsidRDefault="00D04776" w:rsidP="00D04776">
            <w:pPr>
              <w:pStyle w:val="Compact"/>
              <w:spacing w:line="276" w:lineRule="auto"/>
            </w:pPr>
          </w:p>
        </w:tc>
        <w:tc>
          <w:tcPr>
            <w:tcW w:w="0" w:type="auto"/>
            <w:tcBorders>
              <w:bottom w:val="single" w:sz="4" w:space="0" w:color="auto"/>
            </w:tcBorders>
          </w:tcPr>
          <w:p w14:paraId="07E12F7D" w14:textId="77777777" w:rsidR="00D04776" w:rsidRDefault="00D04776" w:rsidP="00D04776">
            <w:pPr>
              <w:pStyle w:val="Compact"/>
              <w:spacing w:line="276" w:lineRule="auto"/>
            </w:pPr>
          </w:p>
        </w:tc>
      </w:tr>
    </w:tbl>
    <w:p w14:paraId="20606AC7" w14:textId="77777777" w:rsidR="00D04776" w:rsidRDefault="00D04776" w:rsidP="00D04776">
      <w:pPr>
        <w:pStyle w:val="BodyText"/>
      </w:pPr>
      <w:r>
        <w:br w:type="page"/>
      </w:r>
    </w:p>
    <w:p w14:paraId="2DED29F0" w14:textId="77777777" w:rsidR="00D04776" w:rsidRDefault="00D04776" w:rsidP="00D04776">
      <w:pPr>
        <w:pStyle w:val="TableCaption"/>
      </w:pPr>
      <w:r>
        <w:lastRenderedPageBreak/>
        <w:t xml:space="preserve">Table 3: Interpretation of region-specific scale-dependencies in Figure 4. Positive scale-dependence (+) means a greater magnitude of effect on </w:t>
      </w:r>
      <w:r>
        <w:rPr>
          <w:i/>
        </w:rPr>
        <w:t>S</w:t>
      </w:r>
      <w:r>
        <w:t xml:space="preserve"> at broader spatial scales; negative scale-dependence (–) means a greater magnitude of effect on </w:t>
      </w:r>
      <w:r>
        <w:rPr>
          <w:i/>
        </w:rPr>
        <w:t>S</w:t>
      </w:r>
      <w:r>
        <w:t xml:space="preserve"> at smaller spatial scales.</w:t>
      </w:r>
    </w:p>
    <w:tbl>
      <w:tblPr>
        <w:tblStyle w:val="Table"/>
        <w:tblW w:w="0"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1949"/>
        <w:gridCol w:w="1503"/>
        <w:gridCol w:w="1043"/>
      </w:tblGrid>
      <w:tr w:rsidR="00D04776" w14:paraId="1E9A69BD" w14:textId="77777777" w:rsidTr="00D04776">
        <w:tc>
          <w:tcPr>
            <w:tcW w:w="0" w:type="auto"/>
            <w:tcBorders>
              <w:top w:val="single" w:sz="4" w:space="0" w:color="auto"/>
              <w:bottom w:val="single" w:sz="2" w:space="0" w:color="auto"/>
            </w:tcBorders>
            <w:vAlign w:val="bottom"/>
          </w:tcPr>
          <w:p w14:paraId="7E6EA743" w14:textId="77777777" w:rsidR="00D04776" w:rsidRDefault="00D04776" w:rsidP="00D04776">
            <w:pPr>
              <w:pStyle w:val="Compact"/>
              <w:jc w:val="center"/>
            </w:pPr>
            <w:r>
              <w:t>Scale-dependence</w:t>
            </w:r>
          </w:p>
        </w:tc>
        <w:tc>
          <w:tcPr>
            <w:tcW w:w="0" w:type="auto"/>
            <w:tcBorders>
              <w:top w:val="single" w:sz="4" w:space="0" w:color="auto"/>
              <w:bottom w:val="single" w:sz="2" w:space="0" w:color="auto"/>
            </w:tcBorders>
            <w:vAlign w:val="bottom"/>
          </w:tcPr>
          <w:p w14:paraId="7613B5B0" w14:textId="77777777" w:rsidR="00D04776" w:rsidRDefault="00D04776" w:rsidP="00D04776">
            <w:pPr>
              <w:pStyle w:val="Compact"/>
            </w:pPr>
            <w:r>
              <w:t>GCFR</w:t>
            </w:r>
          </w:p>
        </w:tc>
        <w:tc>
          <w:tcPr>
            <w:tcW w:w="0" w:type="auto"/>
            <w:tcBorders>
              <w:top w:val="single" w:sz="4" w:space="0" w:color="auto"/>
              <w:bottom w:val="single" w:sz="2" w:space="0" w:color="auto"/>
            </w:tcBorders>
            <w:vAlign w:val="bottom"/>
          </w:tcPr>
          <w:p w14:paraId="6D2E26FB" w14:textId="77777777" w:rsidR="00D04776" w:rsidRDefault="00D04776" w:rsidP="00D04776">
            <w:pPr>
              <w:pStyle w:val="Compact"/>
            </w:pPr>
            <w:r>
              <w:t>SWAFR</w:t>
            </w:r>
          </w:p>
        </w:tc>
      </w:tr>
      <w:tr w:rsidR="00D04776" w14:paraId="14F49DAF" w14:textId="77777777" w:rsidTr="00D04776">
        <w:tc>
          <w:tcPr>
            <w:tcW w:w="0" w:type="auto"/>
            <w:tcBorders>
              <w:top w:val="single" w:sz="2" w:space="0" w:color="auto"/>
            </w:tcBorders>
          </w:tcPr>
          <w:p w14:paraId="24D7498F" w14:textId="77777777" w:rsidR="00D04776" w:rsidRDefault="00D04776" w:rsidP="00D04776">
            <w:pPr>
              <w:pStyle w:val="Compact"/>
              <w:jc w:val="center"/>
            </w:pPr>
            <w:r>
              <w:t>+</w:t>
            </w:r>
          </w:p>
        </w:tc>
        <w:tc>
          <w:tcPr>
            <w:tcW w:w="0" w:type="auto"/>
            <w:tcBorders>
              <w:top w:val="single" w:sz="2" w:space="0" w:color="auto"/>
            </w:tcBorders>
          </w:tcPr>
          <w:p w14:paraId="722DBAE1" w14:textId="77777777" w:rsidR="00D04776" w:rsidRDefault="00D04776" w:rsidP="00D04776">
            <w:pPr>
              <w:pStyle w:val="Compact"/>
            </w:pPr>
            <w:r>
              <w:t>Clay, pH</w:t>
            </w:r>
          </w:p>
        </w:tc>
        <w:tc>
          <w:tcPr>
            <w:tcW w:w="0" w:type="auto"/>
            <w:tcBorders>
              <w:top w:val="single" w:sz="2" w:space="0" w:color="auto"/>
            </w:tcBorders>
          </w:tcPr>
          <w:p w14:paraId="5F6731F6" w14:textId="77777777" w:rsidR="00D04776" w:rsidRDefault="00D04776" w:rsidP="00D04776">
            <w:pPr>
              <w:pStyle w:val="Compact"/>
            </w:pPr>
          </w:p>
        </w:tc>
      </w:tr>
      <w:tr w:rsidR="00D04776" w14:paraId="03E39A6E" w14:textId="77777777" w:rsidTr="00D04776">
        <w:tc>
          <w:tcPr>
            <w:tcW w:w="0" w:type="auto"/>
          </w:tcPr>
          <w:p w14:paraId="07520AF5" w14:textId="77777777" w:rsidR="00D04776" w:rsidRDefault="00D04776" w:rsidP="00D04776">
            <w:pPr>
              <w:pStyle w:val="Compact"/>
              <w:jc w:val="center"/>
            </w:pPr>
            <w:r>
              <w:t>None</w:t>
            </w:r>
          </w:p>
        </w:tc>
        <w:tc>
          <w:tcPr>
            <w:tcW w:w="0" w:type="auto"/>
          </w:tcPr>
          <w:p w14:paraId="717B1E4F" w14:textId="77777777" w:rsidR="00D04776" w:rsidRDefault="00D04776" w:rsidP="00D04776">
            <w:pPr>
              <w:pStyle w:val="Compact"/>
            </w:pPr>
          </w:p>
        </w:tc>
        <w:tc>
          <w:tcPr>
            <w:tcW w:w="0" w:type="auto"/>
          </w:tcPr>
          <w:p w14:paraId="1B46BD94" w14:textId="77777777" w:rsidR="00D04776" w:rsidRDefault="00D04776" w:rsidP="00D04776">
            <w:pPr>
              <w:pStyle w:val="Compact"/>
            </w:pPr>
            <w:r>
              <w:t>CEC</w:t>
            </w:r>
          </w:p>
        </w:tc>
      </w:tr>
      <w:tr w:rsidR="00D04776" w14:paraId="282CD505" w14:textId="77777777" w:rsidTr="00D04776">
        <w:tc>
          <w:tcPr>
            <w:tcW w:w="0" w:type="auto"/>
            <w:tcBorders>
              <w:bottom w:val="single" w:sz="4" w:space="0" w:color="auto"/>
            </w:tcBorders>
          </w:tcPr>
          <w:p w14:paraId="4DA82243" w14:textId="77777777" w:rsidR="00D04776" w:rsidRDefault="00D04776" w:rsidP="00D04776">
            <w:pPr>
              <w:pStyle w:val="Compact"/>
              <w:jc w:val="center"/>
            </w:pPr>
            <w:r>
              <w:t>–</w:t>
            </w:r>
          </w:p>
        </w:tc>
        <w:tc>
          <w:tcPr>
            <w:tcW w:w="0" w:type="auto"/>
            <w:tcBorders>
              <w:bottom w:val="single" w:sz="4" w:space="0" w:color="auto"/>
            </w:tcBorders>
          </w:tcPr>
          <w:p w14:paraId="463735F0" w14:textId="77777777" w:rsidR="00D04776" w:rsidRDefault="00D04776" w:rsidP="00D04776">
            <w:pPr>
              <w:pStyle w:val="Compact"/>
            </w:pPr>
            <w:r>
              <w:t>NDVI, soil C</w:t>
            </w:r>
          </w:p>
        </w:tc>
        <w:tc>
          <w:tcPr>
            <w:tcW w:w="0" w:type="auto"/>
            <w:tcBorders>
              <w:bottom w:val="single" w:sz="4" w:space="0" w:color="auto"/>
            </w:tcBorders>
          </w:tcPr>
          <w:p w14:paraId="4F1D0A9C" w14:textId="77777777" w:rsidR="00D04776" w:rsidRDefault="00D04776" w:rsidP="00D04776">
            <w:pPr>
              <w:pStyle w:val="Compact"/>
            </w:pPr>
            <w:r>
              <w:t>PDQ</w:t>
            </w:r>
          </w:p>
        </w:tc>
      </w:tr>
    </w:tbl>
    <w:p w14:paraId="5AF4EC31" w14:textId="77777777" w:rsidR="00D04776" w:rsidRDefault="00D04776" w:rsidP="00D04776">
      <w:pPr>
        <w:pStyle w:val="BodyText"/>
        <w:rPr>
          <w:rFonts w:eastAsiaTheme="majorEastAsia" w:cstheme="majorBidi"/>
          <w:color w:val="000000" w:themeColor="text1"/>
          <w:sz w:val="28"/>
          <w:szCs w:val="32"/>
        </w:rPr>
      </w:pPr>
      <w:bookmarkStart w:id="8" w:name="figures"/>
      <w:r>
        <w:br w:type="page"/>
      </w:r>
    </w:p>
    <w:p w14:paraId="011609AB" w14:textId="77777777" w:rsidR="00D04776" w:rsidRDefault="00D04776" w:rsidP="00D04776">
      <w:pPr>
        <w:pStyle w:val="Heading2"/>
      </w:pPr>
      <w:r>
        <w:lastRenderedPageBreak/>
        <w:t>Figures</w:t>
      </w:r>
      <w:bookmarkEnd w:id="8"/>
    </w:p>
    <w:p w14:paraId="457D8DE2" w14:textId="77777777" w:rsidR="00D04776" w:rsidRDefault="00D04776" w:rsidP="00D04776">
      <w:pPr>
        <w:pStyle w:val="CaptionedFigure"/>
      </w:pPr>
      <w:r>
        <w:rPr>
          <w:noProof/>
          <w:lang w:val="en-ZA" w:eastAsia="en-ZA"/>
        </w:rPr>
        <w:drawing>
          <wp:inline distT="0" distB="0" distL="0" distR="0" wp14:anchorId="4180D9B2" wp14:editId="072C63D3">
            <wp:extent cx="5943600" cy="3962400"/>
            <wp:effectExtent l="0" t="0" r="0" b="0"/>
            <wp:docPr id="1" name="Picture"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a:stretch>
                      <a:fillRect/>
                    </a:stretch>
                  </pic:blipFill>
                  <pic:spPr bwMode="auto">
                    <a:xfrm>
                      <a:off x="0" y="0"/>
                      <a:ext cx="5953400" cy="3968933"/>
                    </a:xfrm>
                    <a:prstGeom prst="rect">
                      <a:avLst/>
                    </a:prstGeom>
                    <a:noFill/>
                    <a:ln w="9525">
                      <a:noFill/>
                      <a:headEnd/>
                      <a:tailEnd/>
                    </a:ln>
                  </pic:spPr>
                </pic:pic>
              </a:graphicData>
            </a:graphic>
          </wp:inline>
        </w:drawing>
      </w:r>
    </w:p>
    <w:p w14:paraId="7CB8E9BF" w14:textId="1972171B" w:rsidR="00D04776" w:rsidRDefault="00D04776" w:rsidP="00D04776">
      <w:pPr>
        <w:pStyle w:val="ImageCaption"/>
      </w:pPr>
      <w:r>
        <w:t>Figure 1: Simple linear regressions of the common language effect size (</w:t>
      </w:r>
      <w:r>
        <w:rPr>
          <w:i/>
        </w:rPr>
        <w:t>CLES</w:t>
      </w:r>
      <w:r>
        <w:t xml:space="preserve">; ref) of (a–i) various forms of </w:t>
      </w:r>
      <w:r w:rsidR="007948F4">
        <w:t>environmental heterogeneity</w:t>
      </w:r>
      <w:r>
        <w:t xml:space="preserve"> and (j) the first principal component of </w:t>
      </w:r>
      <w:r w:rsidR="007948F4">
        <w:t>environmental heterogeneity</w:t>
      </w:r>
      <w:r>
        <w:t xml:space="preserve"> (PC1), where the </w:t>
      </w:r>
      <w:r>
        <w:rPr>
          <w:i/>
        </w:rPr>
        <w:t>CLES</w:t>
      </w:r>
      <w:r>
        <w:t xml:space="preserve"> is treated as the effect of GCFR relative to SWAFR values. Only significant (</w:t>
      </w:r>
      <w:r>
        <w:rPr>
          <w:i/>
        </w:rPr>
        <w:t>P</w:t>
      </w:r>
      <w:r>
        <w:t xml:space="preserve"> ≤ 0.05) fits are plotted, with the exception of the fit for CEC, which was plotted in light of its marginal significance (</w:t>
      </w:r>
      <w:r>
        <w:rPr>
          <w:i/>
        </w:rPr>
        <w:t>P</w:t>
      </w:r>
      <w:r>
        <w:t xml:space="preserve"> = 0.06). Grey bands denote 95% confidence intervals about the fitted lines. Across the five spatial scales, all </w:t>
      </w:r>
      <w:r>
        <w:rPr>
          <w:i/>
        </w:rPr>
        <w:t>CLES</w:t>
      </w:r>
      <w:r>
        <w:t xml:space="preserve">-values differed significantly from zero following two-sided </w:t>
      </w:r>
      <w:r>
        <w:rPr>
          <w:i/>
        </w:rPr>
        <w:t>t</w:t>
      </w:r>
      <w:r>
        <w:t>-tests (</w:t>
      </w:r>
      <w:r>
        <w:rPr>
          <w:i/>
        </w:rPr>
        <w:t>P</w:t>
      </w:r>
      <w:r>
        <w:t xml:space="preserve"> &lt; 0.001). PC1 accounted for between 43.64 and 46.40% of the variation in </w:t>
      </w:r>
      <w:r w:rsidR="007948F4">
        <w:t>environmental heterogeneity</w:t>
      </w:r>
      <w:r>
        <w:t xml:space="preserve"> values across the five spatial scales at which it was calculated.</w:t>
      </w:r>
    </w:p>
    <w:p w14:paraId="5CEC371A" w14:textId="77777777" w:rsidR="00D04776" w:rsidRDefault="00D04776" w:rsidP="00D04776">
      <w:pPr>
        <w:pStyle w:val="BodyText"/>
      </w:pPr>
      <w:r>
        <w:br w:type="page"/>
      </w:r>
    </w:p>
    <w:p w14:paraId="6D0ABDE1" w14:textId="77777777" w:rsidR="00D04776" w:rsidRDefault="00D04776" w:rsidP="00D04776">
      <w:pPr>
        <w:pStyle w:val="CaptionedFigure"/>
      </w:pPr>
      <w:r>
        <w:rPr>
          <w:noProof/>
          <w:lang w:val="en-ZA" w:eastAsia="en-ZA"/>
        </w:rPr>
        <w:lastRenderedPageBreak/>
        <w:drawing>
          <wp:inline distT="0" distB="0" distL="0" distR="0" wp14:anchorId="4CFE472E" wp14:editId="51FD8C06">
            <wp:extent cx="5943600" cy="1937139"/>
            <wp:effectExtent l="0" t="0" r="0" b="0"/>
            <wp:docPr id="2" name="Picture"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a:stretch>
                      <a:fillRect/>
                    </a:stretch>
                  </pic:blipFill>
                  <pic:spPr bwMode="auto">
                    <a:xfrm>
                      <a:off x="0" y="0"/>
                      <a:ext cx="5943600" cy="1937139"/>
                    </a:xfrm>
                    <a:prstGeom prst="rect">
                      <a:avLst/>
                    </a:prstGeom>
                    <a:noFill/>
                    <a:ln w="9525">
                      <a:noFill/>
                      <a:headEnd/>
                      <a:tailEnd/>
                    </a:ln>
                  </pic:spPr>
                </pic:pic>
              </a:graphicData>
            </a:graphic>
          </wp:inline>
        </w:drawing>
      </w:r>
    </w:p>
    <w:p w14:paraId="50234DFC" w14:textId="7527DCE7" w:rsidR="00D04776" w:rsidRDefault="00D04776" w:rsidP="00D04776">
      <w:pPr>
        <w:pStyle w:val="ImageCaption"/>
      </w:pPr>
      <w:r>
        <w:t>Figure 2: (a)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t xml:space="preserve">) with contour lines denoting the </w:t>
      </w:r>
      <w:r>
        <w:rPr>
          <w:i/>
        </w:rPr>
        <w:t>S</w:t>
      </w:r>
      <w:r>
        <w:rPr>
          <w:vertAlign w:val="subscript"/>
        </w:rPr>
        <w:t>HDS</w:t>
      </w:r>
      <w:r>
        <w:t xml:space="preserve"> that would arise as their sum (i.e. increasing from lower-left to upper-right). Distributions of (a) HDS-scale species richness (</w:t>
      </w:r>
      <w:r>
        <w:rPr>
          <w:i/>
        </w:rPr>
        <w:t>S</w:t>
      </w:r>
      <w:r>
        <w:rPr>
          <w:vertAlign w:val="subscript"/>
        </w:rPr>
        <w:t>HDS</w:t>
      </w:r>
      <w:r>
        <w:t>) and (b) the turnover partition of that richness expressed as a proportion (</w:t>
      </w:r>
      <w:r>
        <w:rPr>
          <w:i/>
        </w:rPr>
        <w:t>T</w:t>
      </w:r>
      <w:r>
        <w:rPr>
          <w:vertAlign w:val="subscript"/>
        </w:rPr>
        <w:t>QDS</w:t>
      </w:r>
      <w:r>
        <w:t xml:space="preserve"> / </w:t>
      </w:r>
      <w:r>
        <w:rPr>
          <w:i/>
        </w:rPr>
        <w:t>S</w:t>
      </w:r>
      <w:r>
        <w:rPr>
          <w:vertAlign w:val="subscript"/>
        </w:rPr>
        <w:t>HDS</w:t>
      </w:r>
      <w:r>
        <w:t xml:space="preserve">). </w:t>
      </w:r>
      <w:r>
        <w:rPr>
          <w:i/>
        </w:rPr>
        <w:t>CLES</w:t>
      </w:r>
      <w:r>
        <w:t xml:space="preserve">-values inset are for comparisons where GCFR </w:t>
      </w:r>
      <w:r w:rsidR="007948F4">
        <w:t>environmental heterogeneity</w:t>
      </w:r>
      <w:r>
        <w:t xml:space="preserve">-values are greater than SWAFR </w:t>
      </w:r>
      <w:r w:rsidR="007948F4">
        <w:t>environmental heterogeneity</w:t>
      </w:r>
      <w:r>
        <w:t xml:space="preserve">-values; </w:t>
      </w:r>
      <w:r>
        <w:rPr>
          <w:i/>
        </w:rPr>
        <w:t>P</w:t>
      </w:r>
      <w:r>
        <w:t xml:space="preserve">-values inset are from Mann-Whitney </w:t>
      </w:r>
      <w:r>
        <w:rPr>
          <w:i/>
        </w:rPr>
        <w:t>U</w:t>
      </w:r>
      <w:r>
        <w:t>-tests. Not shown here, when comparing raw QDS-scale species richness values (</w:t>
      </w:r>
      <w:r>
        <w:rPr>
          <w:i/>
        </w:rPr>
        <w:t>S</w:t>
      </w:r>
      <w:r>
        <w:rPr>
          <w:vertAlign w:val="subscript"/>
        </w:rPr>
        <w:t>QDS</w:t>
      </w:r>
      <w:r>
        <w:t xml:space="preserve">), the results are as follows: </w:t>
      </w:r>
      <w:r>
        <w:rPr>
          <w:i/>
        </w:rPr>
        <w:t>CLES</w:t>
      </w:r>
      <w:r>
        <w:t xml:space="preserve"> = 0.60, </w:t>
      </w:r>
      <w:r>
        <w:rPr>
          <w:i/>
        </w:rPr>
        <w:t>P</w:t>
      </w:r>
      <w:r>
        <w:t xml:space="preserve"> &lt; 0.001.</w:t>
      </w:r>
    </w:p>
    <w:p w14:paraId="75739017" w14:textId="77777777" w:rsidR="00D04776" w:rsidRDefault="00D04776" w:rsidP="00D04776">
      <w:pPr>
        <w:pStyle w:val="BodyText"/>
      </w:pPr>
      <w:r>
        <w:br w:type="page"/>
      </w:r>
    </w:p>
    <w:p w14:paraId="6D6BB07F" w14:textId="77777777" w:rsidR="00D04776" w:rsidRDefault="00D04776" w:rsidP="00D04776">
      <w:pPr>
        <w:pStyle w:val="CaptionedFigure"/>
      </w:pPr>
      <w:r>
        <w:rPr>
          <w:noProof/>
          <w:lang w:val="en-ZA" w:eastAsia="en-ZA"/>
        </w:rPr>
        <w:lastRenderedPageBreak/>
        <w:drawing>
          <wp:inline distT="0" distB="0" distL="0" distR="0" wp14:anchorId="06F193A1" wp14:editId="7CB94BF8">
            <wp:extent cx="5947846" cy="2971800"/>
            <wp:effectExtent l="0" t="0" r="0" b="0"/>
            <wp:docPr id="3" name="Picture"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a:stretch>
                      <a:fillRect/>
                    </a:stretch>
                  </pic:blipFill>
                  <pic:spPr bwMode="auto">
                    <a:xfrm>
                      <a:off x="0" y="0"/>
                      <a:ext cx="5966048" cy="2980895"/>
                    </a:xfrm>
                    <a:prstGeom prst="rect">
                      <a:avLst/>
                    </a:prstGeom>
                    <a:noFill/>
                    <a:ln w="9525">
                      <a:noFill/>
                      <a:headEnd/>
                      <a:tailEnd/>
                    </a:ln>
                  </pic:spPr>
                </pic:pic>
              </a:graphicData>
            </a:graphic>
          </wp:inline>
        </w:drawing>
      </w:r>
    </w:p>
    <w:p w14:paraId="575EF8F0" w14:textId="56C6732A" w:rsidR="00D04776" w:rsidRDefault="00D04776" w:rsidP="00D04776">
      <w:pPr>
        <w:pStyle w:val="ImageCaption"/>
      </w:pPr>
      <w:r>
        <w:t xml:space="preserve">Figure 3: Fits of simple linear regressions of (a)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PC1-values. Grey bands denote 95% confidence intervals. When calculated at the QDS-scale, PC1 explained 39.86% of the variation in </w:t>
      </w:r>
      <w:r w:rsidR="007948F4">
        <w:t>environmental heterogeneity</w:t>
      </w:r>
      <w:r>
        <w:t xml:space="preserve">, while at the HDS-scale PC1 explained 41.55% of the variation in </w:t>
      </w:r>
      <w:r w:rsidR="007948F4">
        <w:t>environmental heterogeneity</w:t>
      </w:r>
      <w:r>
        <w:t>.</w:t>
      </w:r>
    </w:p>
    <w:p w14:paraId="7180F251" w14:textId="77777777" w:rsidR="00D04776" w:rsidRDefault="00D04776" w:rsidP="00D04776">
      <w:pPr>
        <w:rPr>
          <w:rFonts w:asciiTheme="majorBidi" w:hAnsiTheme="majorBidi"/>
        </w:rPr>
      </w:pPr>
      <w:r>
        <w:br w:type="page"/>
      </w:r>
    </w:p>
    <w:p w14:paraId="7ADCF32D" w14:textId="77777777" w:rsidR="00D04776" w:rsidRDefault="00D04776" w:rsidP="00D04776">
      <w:pPr>
        <w:pStyle w:val="CaptionedFigure"/>
      </w:pPr>
      <w:r>
        <w:rPr>
          <w:noProof/>
          <w:lang w:val="en-ZA" w:eastAsia="en-ZA"/>
        </w:rPr>
        <w:lastRenderedPageBreak/>
        <w:drawing>
          <wp:inline distT="0" distB="0" distL="0" distR="0" wp14:anchorId="6BA46A0B" wp14:editId="1D851911">
            <wp:extent cx="5943600" cy="3962400"/>
            <wp:effectExtent l="0" t="0" r="0" b="0"/>
            <wp:docPr id="4" name="Picture"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a:stretch>
                      <a:fillRect/>
                    </a:stretch>
                  </pic:blipFill>
                  <pic:spPr bwMode="auto">
                    <a:xfrm>
                      <a:off x="0" y="0"/>
                      <a:ext cx="5956611" cy="3971074"/>
                    </a:xfrm>
                    <a:prstGeom prst="rect">
                      <a:avLst/>
                    </a:prstGeom>
                    <a:noFill/>
                    <a:ln w="9525">
                      <a:noFill/>
                      <a:headEnd/>
                      <a:tailEnd/>
                    </a:ln>
                  </pic:spPr>
                </pic:pic>
              </a:graphicData>
            </a:graphic>
          </wp:inline>
        </w:drawing>
      </w:r>
    </w:p>
    <w:p w14:paraId="0969F8F7" w14:textId="3A48AC1C" w:rsidR="00D04776" w:rsidRDefault="00D04776" w:rsidP="00D04776">
      <w:pPr>
        <w:pStyle w:val="ImageCaption"/>
      </w:pPr>
      <w:r>
        <w:t xml:space="preserve">Figure 4: Slope estimates of the multiple linear regressions of (a)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againt the various forms of </w:t>
      </w:r>
      <w:r w:rsidR="007948F4">
        <w:t>environmental heterogeneity</w:t>
      </w:r>
      <w:r>
        <w:t xml:space="preserve">. Each model was simplified, from a starting model with all predictors and their interactions with region, using reverse stepwise regression model selection based on </w:t>
      </w:r>
      <w:r>
        <w:rPr>
          <w:i/>
        </w:rPr>
        <w:t>AIC</w:t>
      </w:r>
      <w:r>
        <w:t>-scores in R. Points with error bars denote slope estimates and their 95% confidence intervals. Estimates illustrated in black were significant (</w:t>
      </w:r>
      <w:r>
        <w:rPr>
          <w:i/>
        </w:rPr>
        <w:t>P</w:t>
      </w:r>
      <w:r>
        <w:t xml:space="preserve"> &lt; 0.05), while those in grey were not.</w:t>
      </w:r>
    </w:p>
    <w:p w14:paraId="36B2E326" w14:textId="77777777" w:rsidR="00F614B4" w:rsidRDefault="00F614B4">
      <w:pPr>
        <w:rPr>
          <w:rFonts w:asciiTheme="majorBidi" w:hAnsiTheme="majorBidi"/>
        </w:rPr>
      </w:pPr>
      <w:r>
        <w:br w:type="page"/>
      </w:r>
    </w:p>
    <w:p w14:paraId="3FB275CB" w14:textId="113D9B77" w:rsidR="00DD2348" w:rsidRDefault="005F0FFB">
      <w:pPr>
        <w:pStyle w:val="Heading2"/>
      </w:pPr>
      <w:bookmarkStart w:id="9" w:name="references"/>
      <w:commentRangeStart w:id="10"/>
      <w:r>
        <w:lastRenderedPageBreak/>
        <w:t>References</w:t>
      </w:r>
      <w:bookmarkEnd w:id="9"/>
      <w:commentRangeEnd w:id="10"/>
      <w:r w:rsidR="009A5C6C">
        <w:rPr>
          <w:rStyle w:val="CommentReference"/>
          <w:rFonts w:ascii="Times New Roman" w:eastAsiaTheme="minorHAnsi" w:hAnsiTheme="minorHAnsi" w:cstheme="minorBidi"/>
          <w:b w:val="0"/>
          <w:bCs w:val="0"/>
          <w:color w:val="auto"/>
        </w:rPr>
        <w:commentReference w:id="10"/>
      </w:r>
    </w:p>
    <w:p w14:paraId="3C5DD067" w14:textId="77777777" w:rsidR="00DD2348" w:rsidRDefault="005F0FFB">
      <w:pPr>
        <w:pStyle w:val="Bibliography"/>
      </w:pPr>
      <w:bookmarkStart w:id="11" w:name="ref-Bivand2017"/>
      <w:bookmarkStart w:id="12" w:name="refs"/>
      <w:r>
        <w:t xml:space="preserve">Bivand, R., Keitt, T., &amp; Rowlingson, B. (2017) rgdal: Bindings for the Geospatial Data Abstraction Library. R package version 1.2-7.. </w:t>
      </w:r>
    </w:p>
    <w:p w14:paraId="7610C938" w14:textId="77777777" w:rsidR="00DD2348" w:rsidRDefault="005F0FFB">
      <w:pPr>
        <w:pStyle w:val="Bibliography"/>
      </w:pPr>
      <w:bookmarkStart w:id="13" w:name="ref-Chamberlain2016"/>
      <w:bookmarkEnd w:id="11"/>
      <w:r>
        <w:t xml:space="preserve">Chamberlain, S., Szoecs, E., Foster, Z., Arendsee, Z., Boettiger, C., Ram, K., Bartomeus, I., Baumgartner, J., O’Donnell, J., Oksanen, J., Tzovaras, B.G., Marchand, P., &amp; Tran, V. (2018) </w:t>
      </w:r>
      <w:r>
        <w:rPr>
          <w:i/>
        </w:rPr>
        <w:t xml:space="preserve">Taxize: Taxonomic information from around the web. </w:t>
      </w:r>
    </w:p>
    <w:p w14:paraId="7D046652" w14:textId="77777777" w:rsidR="00DD2348" w:rsidRDefault="005F0FFB">
      <w:pPr>
        <w:pStyle w:val="Bibliography"/>
      </w:pPr>
      <w:bookmarkStart w:id="14" w:name="ref-Farr2007"/>
      <w:bookmarkEnd w:id="13"/>
      <w:r>
        <w:t xml:space="preserve">Farr, T., Rosen, P., Caro, E., Crippen, R., Duren, R., Hensley, S., Kobrick, M., Paller, M., Rodriguez, E., Roth, L., Seal, D., Shaffer, S., Shimada, J., Umland, J., Werner, M., Oskin, M., Burbank, D., &amp; Alsdorf, D. (2007) The shuttle radar topography mission. </w:t>
      </w:r>
      <w:r>
        <w:rPr>
          <w:i/>
        </w:rPr>
        <w:t>Reviews of Geophysics</w:t>
      </w:r>
      <w:r>
        <w:t xml:space="preserve">, </w:t>
      </w:r>
      <w:r>
        <w:rPr>
          <w:b/>
        </w:rPr>
        <w:t>45</w:t>
      </w:r>
      <w:r>
        <w:t xml:space="preserve">, 1–33. </w:t>
      </w:r>
    </w:p>
    <w:p w14:paraId="2CD65718" w14:textId="77777777" w:rsidR="00DD2348" w:rsidRDefault="005F0FFB">
      <w:pPr>
        <w:pStyle w:val="Bibliography"/>
      </w:pPr>
      <w:bookmarkStart w:id="15" w:name="ref-Funk2015"/>
      <w:bookmarkEnd w:id="14"/>
      <w:r>
        <w:t xml:space="preserve">Funk, C.C., Peterson, P.J., Landsfeld, M., Pedreros, D.H., Verdin, J., Shukla, S., Husak, G., Rowland, J.D., Harrison, L., Hoell, A., &amp; Michaelsen, J. (2015) The climate hazards infrared precipitation with stations—a new environmental record for monitoring extremes. </w:t>
      </w:r>
      <w:r>
        <w:rPr>
          <w:i/>
        </w:rPr>
        <w:t>Scientific Data</w:t>
      </w:r>
      <w:r>
        <w:t xml:space="preserve">, </w:t>
      </w:r>
      <w:r>
        <w:rPr>
          <w:b/>
        </w:rPr>
        <w:t>2</w:t>
      </w:r>
      <w:r>
        <w:t xml:space="preserve">, 150066. </w:t>
      </w:r>
    </w:p>
    <w:p w14:paraId="35D7FE93" w14:textId="3221DF05" w:rsidR="00DD2348" w:rsidRDefault="005F0FFB">
      <w:pPr>
        <w:pStyle w:val="Bibliography"/>
      </w:pPr>
      <w:bookmarkStart w:id="16" w:name="ref-GBIFCape"/>
      <w:bookmarkEnd w:id="15"/>
      <w:commentRangeStart w:id="17"/>
      <w:r>
        <w:t>GBIF (24 July 2017) GBIF Occurrence Download.</w:t>
      </w:r>
      <w:r w:rsidR="009A5C6C">
        <w:t xml:space="preserve"> </w:t>
      </w:r>
    </w:p>
    <w:p w14:paraId="3A4E127D" w14:textId="45085AC5" w:rsidR="00DD2348" w:rsidRDefault="005F0FFB">
      <w:pPr>
        <w:pStyle w:val="Bibliography"/>
      </w:pPr>
      <w:bookmarkStart w:id="18" w:name="ref-GBIFSWA"/>
      <w:bookmarkEnd w:id="16"/>
      <w:r>
        <w:t xml:space="preserve">GBIF (24 July 2017) GBIF Occurrence Download. </w:t>
      </w:r>
      <w:commentRangeEnd w:id="17"/>
      <w:r w:rsidR="009A5C6C">
        <w:rPr>
          <w:rStyle w:val="CommentReference"/>
          <w:rFonts w:ascii="Times New Roman" w:hAnsiTheme="minorHAnsi"/>
        </w:rPr>
        <w:commentReference w:id="17"/>
      </w:r>
    </w:p>
    <w:p w14:paraId="60280B04" w14:textId="77777777" w:rsidR="00DD2348" w:rsidRDefault="005F0FFB">
      <w:pPr>
        <w:pStyle w:val="Bibliography"/>
      </w:pPr>
      <w:bookmarkStart w:id="19" w:name="ref-Gioia2017"/>
      <w:bookmarkEnd w:id="18"/>
      <w:r>
        <w:t xml:space="preserve">Gioia, P. &amp; Hopper, S.D. (2017) A new phytogeographic map for the Southwest Australian Floristic Region after an exceptional decade of collection and discovery. </w:t>
      </w:r>
      <w:r>
        <w:rPr>
          <w:i/>
        </w:rPr>
        <w:t>Botanical Journal of the Linnean Society</w:t>
      </w:r>
      <w:r>
        <w:t xml:space="preserve">, </w:t>
      </w:r>
      <w:r>
        <w:rPr>
          <w:b/>
        </w:rPr>
        <w:t>184</w:t>
      </w:r>
      <w:r>
        <w:t xml:space="preserve">, 1–15. </w:t>
      </w:r>
    </w:p>
    <w:p w14:paraId="7B3B8ED6" w14:textId="77777777" w:rsidR="00DD2348" w:rsidRDefault="005F0FFB">
      <w:pPr>
        <w:pStyle w:val="Bibliography"/>
      </w:pPr>
      <w:bookmarkStart w:id="20" w:name="ref-Hengl2017"/>
      <w:bookmarkEnd w:id="19"/>
      <w: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Pr>
          <w:i/>
        </w:rPr>
        <w:t>PLoS ONE</w:t>
      </w:r>
      <w:r>
        <w:t xml:space="preserve">, </w:t>
      </w:r>
      <w:r>
        <w:rPr>
          <w:b/>
        </w:rPr>
        <w:t>12</w:t>
      </w:r>
      <w:r>
        <w:t xml:space="preserve">, e0169748. </w:t>
      </w:r>
    </w:p>
    <w:p w14:paraId="36E3A7A5" w14:textId="77777777" w:rsidR="00DD2348" w:rsidRDefault="005F0FFB">
      <w:pPr>
        <w:pStyle w:val="Bibliography"/>
      </w:pPr>
      <w:bookmarkStart w:id="21" w:name="ref-Hijmans2016"/>
      <w:bookmarkEnd w:id="20"/>
      <w:r>
        <w:t xml:space="preserve">Hijmans, R.J. (2016) raster: Geographic Data Analysis and Modeling. R package version 2.5-8.. </w:t>
      </w:r>
    </w:p>
    <w:p w14:paraId="56A3412D" w14:textId="77777777" w:rsidR="00DD2348" w:rsidRDefault="005F0FFB">
      <w:pPr>
        <w:pStyle w:val="Bibliography"/>
      </w:pPr>
      <w:bookmarkStart w:id="22" w:name="ref-Hopper2004"/>
      <w:bookmarkEnd w:id="21"/>
      <w:r>
        <w:lastRenderedPageBreak/>
        <w:t xml:space="preserve">Hopper, S.D. &amp; Gioia, P. (2004) The Southwest Australian Floristic Region: Evolution and Conservation of a Global Hot Spot of Biodiversity. </w:t>
      </w:r>
      <w:r>
        <w:rPr>
          <w:i/>
        </w:rPr>
        <w:t>Annual Review of Ecology, Evolution, and Systematics</w:t>
      </w:r>
      <w:r>
        <w:t xml:space="preserve">, </w:t>
      </w:r>
      <w:r>
        <w:rPr>
          <w:b/>
        </w:rPr>
        <w:t>35</w:t>
      </w:r>
      <w:r>
        <w:t xml:space="preserve">, 623–650. </w:t>
      </w:r>
    </w:p>
    <w:p w14:paraId="50084C30" w14:textId="77777777" w:rsidR="00DD2348" w:rsidRDefault="005F0FFB">
      <w:pPr>
        <w:pStyle w:val="Bibliography"/>
      </w:pPr>
      <w:bookmarkStart w:id="23" w:name="ref-Larsen2009"/>
      <w:bookmarkEnd w:id="22"/>
      <w:r>
        <w:t xml:space="preserve">Larsen, R., Holmern, T., Prager, S.D., Maliti, H., &amp; Røskaft, E. (2009) Using the extended quarter degree grid cell system to unify mapping and sharing of biodiversity data. </w:t>
      </w:r>
      <w:r>
        <w:rPr>
          <w:i/>
        </w:rPr>
        <w:t>African Journal of Ecology</w:t>
      </w:r>
      <w:r>
        <w:t xml:space="preserve">, </w:t>
      </w:r>
      <w:r>
        <w:rPr>
          <w:b/>
        </w:rPr>
        <w:t>47</w:t>
      </w:r>
      <w:r>
        <w:t xml:space="preserve">, 382–392. </w:t>
      </w:r>
    </w:p>
    <w:p w14:paraId="695FBC67" w14:textId="77777777" w:rsidR="00DD2348" w:rsidRDefault="005F0FFB">
      <w:pPr>
        <w:pStyle w:val="Bibliography"/>
      </w:pPr>
      <w:bookmarkStart w:id="24" w:name="ref-Mucina2006"/>
      <w:bookmarkEnd w:id="23"/>
      <w:r>
        <w:t xml:space="preserve">Mucina, L. &amp; Rutherford, M.C. (2006) </w:t>
      </w:r>
      <w:r>
        <w:rPr>
          <w:i/>
        </w:rPr>
        <w:t xml:space="preserve">The vegetation of South Africa, Lesotho and Swaziland. </w:t>
      </w:r>
      <w:r>
        <w:t xml:space="preserve">South African National Biodiversity Institute, </w:t>
      </w:r>
    </w:p>
    <w:p w14:paraId="18CBBBFF" w14:textId="77777777" w:rsidR="00DD2348" w:rsidRDefault="005F0FFB">
      <w:pPr>
        <w:pStyle w:val="Bibliography"/>
      </w:pPr>
      <w:bookmarkStart w:id="25" w:name="ref-MOD13C2"/>
      <w:bookmarkEnd w:id="24"/>
      <w:r>
        <w:t xml:space="preserve">NASA (?) Vegetation indices monthly l3 global 0.05Deg cmg (mod13c2) v[Version]. </w:t>
      </w:r>
      <w:r>
        <w:rPr>
          <w:i/>
        </w:rPr>
        <w:t>NASA EOSDIS Land Processes DAAC, USGS Earth Resources Observation and Science (EROS) Center, Sioux Falls, South Dakota</w:t>
      </w:r>
      <w:r>
        <w:t xml:space="preserve">,. </w:t>
      </w:r>
    </w:p>
    <w:p w14:paraId="5AF7F3C9" w14:textId="77777777" w:rsidR="00DD2348" w:rsidRDefault="005F0FFB">
      <w:pPr>
        <w:pStyle w:val="Bibliography"/>
      </w:pPr>
      <w:bookmarkStart w:id="26" w:name="ref-MOD11C3"/>
      <w:bookmarkEnd w:id="25"/>
      <w:r>
        <w:t xml:space="preserve">NASA (?) Land surface temperature/emissivity monthly l3 global 0.05Deg cmg (mod11c3) v[Version]. </w:t>
      </w:r>
      <w:r>
        <w:rPr>
          <w:i/>
        </w:rPr>
        <w:t>NASA EOSDIS Land Processes DAAC, USGS Earth Resources Observation and Science (EROS) Center, Sioux Falls, South Dakota</w:t>
      </w:r>
      <w:r>
        <w:t xml:space="preserve">,. </w:t>
      </w:r>
    </w:p>
    <w:p w14:paraId="7550512A" w14:textId="77777777" w:rsidR="00DD2348" w:rsidRDefault="005F0FFB">
      <w:pPr>
        <w:pStyle w:val="Bibliography"/>
      </w:pPr>
      <w:bookmarkStart w:id="27" w:name="ref-Olson2001"/>
      <w:bookmarkEnd w:id="26"/>
      <w:r>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Pr>
          <w:i/>
        </w:rPr>
        <w:t>BioScience</w:t>
      </w:r>
      <w:r>
        <w:t xml:space="preserve">, </w:t>
      </w:r>
      <w:r>
        <w:rPr>
          <w:b/>
        </w:rPr>
        <w:t>51</w:t>
      </w:r>
      <w:r>
        <w:t xml:space="preserve">, 933–938. </w:t>
      </w:r>
    </w:p>
    <w:p w14:paraId="2546AEB9" w14:textId="77777777" w:rsidR="00DD2348" w:rsidRDefault="005F0FFB">
      <w:pPr>
        <w:pStyle w:val="Bibliography"/>
      </w:pPr>
      <w:bookmarkStart w:id="28" w:name="ref-RCoreTeam2018"/>
      <w:bookmarkEnd w:id="27"/>
      <w:r>
        <w:t xml:space="preserve">R Core Team (2018) </w:t>
      </w:r>
      <w:r>
        <w:rPr>
          <w:i/>
        </w:rPr>
        <w:t xml:space="preserve">R: A Language and Environment for Statistical Computing. Version 3.5.0. </w:t>
      </w:r>
      <w:r>
        <w:t xml:space="preserve">R Foundation for Statistical Computing, Vienna, Austria. </w:t>
      </w:r>
    </w:p>
    <w:p w14:paraId="23A9A96E" w14:textId="77777777" w:rsidR="00DD2348" w:rsidRDefault="005F0FFB">
      <w:pPr>
        <w:pStyle w:val="Bibliography"/>
      </w:pPr>
      <w:bookmarkStart w:id="29" w:name="ref-R-taxize"/>
      <w:bookmarkEnd w:id="28"/>
      <w:r>
        <w:t xml:space="preserve">Scott Chamberlain &amp; Eduard Szocs (2013) Taxize - taxonomic search and retrieval in r. </w:t>
      </w:r>
      <w:r>
        <w:rPr>
          <w:i/>
        </w:rPr>
        <w:t>F1000Research</w:t>
      </w:r>
      <w:r>
        <w:t xml:space="preserve">,. </w:t>
      </w:r>
      <w:bookmarkEnd w:id="12"/>
      <w:bookmarkEnd w:id="29"/>
    </w:p>
    <w:sectPr w:rsidR="00DD2348" w:rsidSect="00D0477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uan Van Mazijk" w:date="2019-08-14T14:16:00Z" w:initials="RVM">
    <w:p w14:paraId="1D73AB48" w14:textId="77777777" w:rsidR="003B10FC" w:rsidRDefault="003B10FC" w:rsidP="00D04776">
      <w:pPr>
        <w:pStyle w:val="CommentText"/>
      </w:pPr>
      <w:r>
        <w:rPr>
          <w:rStyle w:val="CommentReference"/>
        </w:rPr>
        <w:annotationRef/>
      </w:r>
      <w:r>
        <w:t>Will find these numbers later from the data used in the latest analyses</w:t>
      </w:r>
    </w:p>
  </w:comment>
  <w:comment w:id="5" w:author="GAV" w:date="2019-08-22T12:35:00Z" w:initials="WU">
    <w:p w14:paraId="2E2A465C" w14:textId="69CE98B8" w:rsidR="007D673C" w:rsidRDefault="007D673C">
      <w:pPr>
        <w:pStyle w:val="CommentText"/>
      </w:pPr>
      <w:r>
        <w:rPr>
          <w:rStyle w:val="CommentReference"/>
        </w:rPr>
        <w:annotationRef/>
      </w:r>
      <w:r>
        <w:t>Should this be one sided, and test whether the mean CLES &gt; 0.5?</w:t>
      </w:r>
    </w:p>
  </w:comment>
  <w:comment w:id="10" w:author="Ruan Van Mazijk" w:date="2019-08-14T14:27:00Z" w:initials="RVM">
    <w:p w14:paraId="1CCCE409" w14:textId="583B2A13" w:rsidR="003B10FC" w:rsidRDefault="003B10FC">
      <w:pPr>
        <w:pStyle w:val="CommentText"/>
      </w:pPr>
      <w:r>
        <w:rPr>
          <w:rStyle w:val="CommentReference"/>
        </w:rPr>
        <w:annotationRef/>
      </w:r>
      <w:r>
        <w:t>Will tidy these up later, of course</w:t>
      </w:r>
    </w:p>
  </w:comment>
  <w:comment w:id="17" w:author="Ruan Van Mazijk" w:date="2019-08-14T14:24:00Z" w:initials="RVM">
    <w:p w14:paraId="2ADA3438" w14:textId="10120557" w:rsidR="003B10FC" w:rsidRDefault="003B10F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73AB48" w15:done="0"/>
  <w15:commentEx w15:paraId="2E2A465C" w15:done="0"/>
  <w15:commentEx w15:paraId="1CCCE409" w15:done="0"/>
  <w15:commentEx w15:paraId="2ADA34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23FC7" w16cid:durableId="20FE9574"/>
  <w16cid:commentId w16cid:paraId="3539BD92" w16cid:durableId="20FE9633"/>
  <w16cid:commentId w16cid:paraId="0744E0C6" w16cid:durableId="20FE9653"/>
  <w16cid:commentId w16cid:paraId="2B2FBC65" w16cid:durableId="20FE965B"/>
  <w16cid:commentId w16cid:paraId="448F178A" w16cid:durableId="20FE969B"/>
  <w16cid:commentId w16cid:paraId="1CCCE409" w16cid:durableId="20FE98E9"/>
  <w16cid:commentId w16cid:paraId="2ADA3438" w16cid:durableId="20FE981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1DD3F" w14:textId="77777777" w:rsidR="0029673C" w:rsidRDefault="0029673C">
      <w:pPr>
        <w:spacing w:after="0"/>
      </w:pPr>
      <w:r>
        <w:separator/>
      </w:r>
    </w:p>
  </w:endnote>
  <w:endnote w:type="continuationSeparator" w:id="0">
    <w:p w14:paraId="49E74E19" w14:textId="77777777" w:rsidR="0029673C" w:rsidRDefault="002967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EAF56" w14:textId="77777777" w:rsidR="0029673C" w:rsidRDefault="0029673C">
      <w:r>
        <w:separator/>
      </w:r>
    </w:p>
  </w:footnote>
  <w:footnote w:type="continuationSeparator" w:id="0">
    <w:p w14:paraId="35A6D470" w14:textId="77777777" w:rsidR="0029673C" w:rsidRDefault="002967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an Van Mazijk">
    <w15:presenceInfo w15:providerId="AD" w15:userId="S::vmzrua001@myuct.ac.za::f50431c7-080a-4259-97ee-a4bb5c336639"/>
  </w15:person>
  <w15:person w15:author="GAV">
    <w15:presenceInfo w15:providerId="None" w15:userId="G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D0D"/>
    <w:rsid w:val="00011C8B"/>
    <w:rsid w:val="000202B4"/>
    <w:rsid w:val="00037267"/>
    <w:rsid w:val="00086052"/>
    <w:rsid w:val="000A44BE"/>
    <w:rsid w:val="000C1DFD"/>
    <w:rsid w:val="000C57CB"/>
    <w:rsid w:val="000F59F5"/>
    <w:rsid w:val="000F699D"/>
    <w:rsid w:val="00106E88"/>
    <w:rsid w:val="00114867"/>
    <w:rsid w:val="00153824"/>
    <w:rsid w:val="001541B2"/>
    <w:rsid w:val="001A23A6"/>
    <w:rsid w:val="001B0959"/>
    <w:rsid w:val="001C5D8A"/>
    <w:rsid w:val="001D4356"/>
    <w:rsid w:val="00221BC9"/>
    <w:rsid w:val="00230AF5"/>
    <w:rsid w:val="00231B2B"/>
    <w:rsid w:val="002930F3"/>
    <w:rsid w:val="0029673C"/>
    <w:rsid w:val="002B0F5B"/>
    <w:rsid w:val="002C5C96"/>
    <w:rsid w:val="002D283F"/>
    <w:rsid w:val="002E3FF8"/>
    <w:rsid w:val="00303501"/>
    <w:rsid w:val="00331CEC"/>
    <w:rsid w:val="00354D9C"/>
    <w:rsid w:val="003562E3"/>
    <w:rsid w:val="00357472"/>
    <w:rsid w:val="00364F0A"/>
    <w:rsid w:val="00382BBB"/>
    <w:rsid w:val="003913A0"/>
    <w:rsid w:val="003B10FC"/>
    <w:rsid w:val="003B2885"/>
    <w:rsid w:val="003B7C89"/>
    <w:rsid w:val="003C533D"/>
    <w:rsid w:val="003C74FE"/>
    <w:rsid w:val="003D65D2"/>
    <w:rsid w:val="003F1CDD"/>
    <w:rsid w:val="0040493A"/>
    <w:rsid w:val="00404DA4"/>
    <w:rsid w:val="004218EE"/>
    <w:rsid w:val="004632FE"/>
    <w:rsid w:val="00482491"/>
    <w:rsid w:val="00494991"/>
    <w:rsid w:val="004C331B"/>
    <w:rsid w:val="004E29B3"/>
    <w:rsid w:val="004F6F8D"/>
    <w:rsid w:val="005042D0"/>
    <w:rsid w:val="00531FF2"/>
    <w:rsid w:val="005527B5"/>
    <w:rsid w:val="00590D07"/>
    <w:rsid w:val="0059637F"/>
    <w:rsid w:val="005B22E7"/>
    <w:rsid w:val="005D24D5"/>
    <w:rsid w:val="005F0FFB"/>
    <w:rsid w:val="0060601F"/>
    <w:rsid w:val="00647F5C"/>
    <w:rsid w:val="0066712E"/>
    <w:rsid w:val="006C6B1A"/>
    <w:rsid w:val="006D35C5"/>
    <w:rsid w:val="006D58C7"/>
    <w:rsid w:val="006F0BA2"/>
    <w:rsid w:val="007612C7"/>
    <w:rsid w:val="00774C5C"/>
    <w:rsid w:val="00775A42"/>
    <w:rsid w:val="00784D58"/>
    <w:rsid w:val="007948F4"/>
    <w:rsid w:val="007C5AFE"/>
    <w:rsid w:val="007C7D4C"/>
    <w:rsid w:val="007D673C"/>
    <w:rsid w:val="007E72DA"/>
    <w:rsid w:val="00800FA8"/>
    <w:rsid w:val="00842DF6"/>
    <w:rsid w:val="00866587"/>
    <w:rsid w:val="008A59B2"/>
    <w:rsid w:val="008A7439"/>
    <w:rsid w:val="008C1C71"/>
    <w:rsid w:val="008D6863"/>
    <w:rsid w:val="008E0FD5"/>
    <w:rsid w:val="008E671D"/>
    <w:rsid w:val="0095435C"/>
    <w:rsid w:val="00964F94"/>
    <w:rsid w:val="0099210D"/>
    <w:rsid w:val="00996B78"/>
    <w:rsid w:val="009A5C6C"/>
    <w:rsid w:val="009D54AF"/>
    <w:rsid w:val="00A006BE"/>
    <w:rsid w:val="00A778BB"/>
    <w:rsid w:val="00A85228"/>
    <w:rsid w:val="00A87D09"/>
    <w:rsid w:val="00A95D88"/>
    <w:rsid w:val="00AF7AFF"/>
    <w:rsid w:val="00B44249"/>
    <w:rsid w:val="00B502B0"/>
    <w:rsid w:val="00B6082F"/>
    <w:rsid w:val="00B86B75"/>
    <w:rsid w:val="00BA5D8B"/>
    <w:rsid w:val="00BB096B"/>
    <w:rsid w:val="00BB1BCE"/>
    <w:rsid w:val="00BB2557"/>
    <w:rsid w:val="00BB3791"/>
    <w:rsid w:val="00BC333A"/>
    <w:rsid w:val="00BC48D5"/>
    <w:rsid w:val="00C04D03"/>
    <w:rsid w:val="00C36279"/>
    <w:rsid w:val="00C53D2C"/>
    <w:rsid w:val="00C67A1C"/>
    <w:rsid w:val="00C85460"/>
    <w:rsid w:val="00CC3BF9"/>
    <w:rsid w:val="00D04776"/>
    <w:rsid w:val="00D305E0"/>
    <w:rsid w:val="00D40708"/>
    <w:rsid w:val="00D51F0E"/>
    <w:rsid w:val="00D61D4D"/>
    <w:rsid w:val="00D91644"/>
    <w:rsid w:val="00D96D52"/>
    <w:rsid w:val="00DC7F3D"/>
    <w:rsid w:val="00DD0DE4"/>
    <w:rsid w:val="00DD2348"/>
    <w:rsid w:val="00DD62FC"/>
    <w:rsid w:val="00DE0FC4"/>
    <w:rsid w:val="00DE3D40"/>
    <w:rsid w:val="00DE4AEB"/>
    <w:rsid w:val="00DE5FA7"/>
    <w:rsid w:val="00E25251"/>
    <w:rsid w:val="00E315A3"/>
    <w:rsid w:val="00E46B3C"/>
    <w:rsid w:val="00E52A66"/>
    <w:rsid w:val="00E7429C"/>
    <w:rsid w:val="00E96D62"/>
    <w:rsid w:val="00EB1A1E"/>
    <w:rsid w:val="00EB21F0"/>
    <w:rsid w:val="00EB52C0"/>
    <w:rsid w:val="00EC2AB9"/>
    <w:rsid w:val="00F07BEC"/>
    <w:rsid w:val="00F16319"/>
    <w:rsid w:val="00F1788A"/>
    <w:rsid w:val="00F358D2"/>
    <w:rsid w:val="00F614B4"/>
    <w:rsid w:val="00F80567"/>
    <w:rsid w:val="00F816D3"/>
    <w:rsid w:val="00FA3C08"/>
    <w:rsid w:val="00FA78DF"/>
    <w:rsid w:val="00FD3C3A"/>
    <w:rsid w:val="00FE3E67"/>
    <w:rsid w:val="00FE713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ucngisd.org/gisd/"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BEFED-6C74-4A08-98A0-C8A512B6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18</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GAV</cp:lastModifiedBy>
  <cp:revision>59</cp:revision>
  <cp:lastPrinted>2019-08-22T08:46:00Z</cp:lastPrinted>
  <dcterms:created xsi:type="dcterms:W3CDTF">2019-08-22T06:09:00Z</dcterms:created>
  <dcterms:modified xsi:type="dcterms:W3CDTF">2019-08-22T12:32:00Z</dcterms:modified>
</cp:coreProperties>
</file>