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7777777" w:rsidR="00024A7B" w:rsidRDefault="00024A7B" w:rsidP="00024A7B">
      <w:pPr>
        <w:pStyle w:val="Title"/>
      </w:pPr>
      <w:bookmarkStart w:id="0" w:name="materials-and-methods"/>
      <w:r>
        <w:t xml:space="preserve">Environmental heterogeneity patterns plant species richness and turnover in two </w:t>
      </w:r>
      <w:proofErr w:type="spellStart"/>
      <w:r>
        <w:t>hyperdiverse</w:t>
      </w:r>
      <w:proofErr w:type="spellEnd"/>
      <w:r>
        <w:t xml:space="preserve"> floras</w:t>
      </w:r>
    </w:p>
    <w:p w14:paraId="7B377CF4" w14:textId="3C644DE6" w:rsidR="00024A7B" w:rsidRDefault="00024A7B" w:rsidP="00024A7B">
      <w:pPr>
        <w:pStyle w:val="Author"/>
        <w:spacing w:line="240" w:lineRule="auto"/>
      </w:pPr>
      <w:r>
        <w:t xml:space="preserve">Ruan van Mazijk, Michael D. Cramer </w:t>
      </w:r>
      <w:r w:rsidR="00374287">
        <w:t>and</w:t>
      </w:r>
      <w:r>
        <w:t xml:space="preserve"> G. Anthony </w:t>
      </w:r>
      <w:proofErr w:type="spellStart"/>
      <w:r>
        <w:t>Verboom</w:t>
      </w:r>
      <w:proofErr w:type="spellEnd"/>
    </w:p>
    <w:p w14:paraId="1AC18ACA" w14:textId="77777777" w:rsidR="00024A7B" w:rsidRDefault="00024A7B" w:rsidP="00024A7B">
      <w:pPr>
        <w:pStyle w:val="FirstParagraph"/>
        <w:spacing w:line="240" w:lineRule="auto"/>
      </w:pPr>
      <w:r>
        <w:t>Department of Biological Sciences, University of Cape Town, Rondebosch, South Africa</w:t>
      </w:r>
    </w:p>
    <w:p w14:paraId="0DF61B76" w14:textId="77777777" w:rsidR="00024A7B" w:rsidRDefault="00024A7B" w:rsidP="00024A7B">
      <w:pPr>
        <w:pStyle w:val="BodyText"/>
      </w:pPr>
      <w:r>
        <w:t>Corresponding author: RVM (</w:t>
      </w:r>
      <w:hyperlink r:id="rId8">
        <w:r>
          <w:rPr>
            <w:rStyle w:val="Hyperlink"/>
          </w:rPr>
          <w:t>ruanvmazijk@gmail.com</w:t>
        </w:r>
      </w:hyperlink>
      <w:r>
        <w:t>, +27 21 650 3684)</w:t>
      </w:r>
    </w:p>
    <w:p w14:paraId="73C7192D" w14:textId="77777777" w:rsidR="00024A7B" w:rsidRDefault="00024A7B" w:rsidP="00024A7B">
      <w:pPr>
        <w:pStyle w:val="BodyText"/>
        <w:spacing w:line="240" w:lineRule="auto"/>
      </w:pPr>
      <w:r>
        <w:t>ORCID nos.:</w:t>
      </w:r>
    </w:p>
    <w:p w14:paraId="02D06178" w14:textId="0664FD59" w:rsidR="00024A7B" w:rsidRDefault="00024A7B" w:rsidP="00024A7B">
      <w:pPr>
        <w:pStyle w:val="BodyText"/>
        <w:spacing w:line="240" w:lineRule="auto"/>
        <w:ind w:firstLine="720"/>
      </w:pPr>
      <w:proofErr w:type="spellStart"/>
      <w:r>
        <w:t>R</w:t>
      </w:r>
      <w:r>
        <w:t>v</w:t>
      </w:r>
      <w:r>
        <w:t>M</w:t>
      </w:r>
      <w:proofErr w:type="spellEnd"/>
      <w:r>
        <w:t>: 0000-0003-2659-6909,</w:t>
      </w:r>
    </w:p>
    <w:p w14:paraId="4A03E91A" w14:textId="77777777" w:rsidR="00024A7B" w:rsidRDefault="00024A7B" w:rsidP="00024A7B">
      <w:pPr>
        <w:pStyle w:val="BodyText"/>
        <w:spacing w:line="240" w:lineRule="auto"/>
        <w:ind w:firstLine="720"/>
      </w:pPr>
      <w:r>
        <w:t>MDC: 0000-0003-0989-3266,</w:t>
      </w:r>
    </w:p>
    <w:p w14:paraId="35883A8F" w14:textId="31A9613B" w:rsidR="00024A7B" w:rsidRDefault="00024A7B" w:rsidP="00024A7B">
      <w:pPr>
        <w:pStyle w:val="BodyText"/>
        <w:ind w:firstLine="720"/>
      </w:pPr>
      <w:r>
        <w:t>GAV: 0000-0002-1363-9781</w:t>
      </w:r>
    </w:p>
    <w:p w14:paraId="463B5EBC" w14:textId="77777777" w:rsidR="00024A7B" w:rsidRDefault="00024A7B" w:rsidP="00024A7B">
      <w:pPr>
        <w:pStyle w:val="BodyText"/>
      </w:pPr>
      <w:r>
        <w:rPr>
          <w:b/>
        </w:rPr>
        <w:t>Running title:</w:t>
      </w:r>
      <w:r>
        <w:t xml:space="preserve"> Environmental heterogeneity and plant species richness</w:t>
      </w:r>
    </w:p>
    <w:p w14:paraId="0178B695" w14:textId="77777777" w:rsidR="00024A7B" w:rsidRDefault="00024A7B" w:rsidP="00024A7B">
      <w:pPr>
        <w:pStyle w:val="Heading1"/>
      </w:pPr>
      <w:bookmarkStart w:id="1" w:name="abstract"/>
      <w:r>
        <w:t>Abstract</w:t>
      </w:r>
      <w:bookmarkEnd w:id="1"/>
    </w:p>
    <w:p w14:paraId="064B794C" w14:textId="5AF0437D" w:rsidR="00024A7B" w:rsidRPr="00024A7B" w:rsidRDefault="00024A7B" w:rsidP="00024A7B">
      <w:pPr>
        <w:pStyle w:val="BodyText"/>
        <w:rPr>
          <w:b/>
        </w:rPr>
      </w:pPr>
      <w:r w:rsidRPr="00024A7B">
        <w:rPr>
          <w:b/>
        </w:rPr>
        <w:t>Aim:</w:t>
      </w:r>
    </w:p>
    <w:p w14:paraId="4E5A0187" w14:textId="4FCF7252" w:rsidR="00024A7B" w:rsidRDefault="00024A7B" w:rsidP="00024A7B">
      <w:pPr>
        <w:pStyle w:val="BodyText"/>
        <w:rPr>
          <w:b/>
        </w:rPr>
      </w:pPr>
      <w:r>
        <w:rPr>
          <w:b/>
        </w:rPr>
        <w:t>Location:</w:t>
      </w:r>
    </w:p>
    <w:p w14:paraId="64618502" w14:textId="1D7154AE" w:rsidR="00024A7B" w:rsidRDefault="00024A7B" w:rsidP="00024A7B">
      <w:pPr>
        <w:pStyle w:val="BodyText"/>
        <w:rPr>
          <w:b/>
        </w:rPr>
      </w:pPr>
      <w:r>
        <w:rPr>
          <w:b/>
        </w:rPr>
        <w:t>Taxon:</w:t>
      </w:r>
    </w:p>
    <w:p w14:paraId="1FCA4F09" w14:textId="36FD9820" w:rsidR="00024A7B" w:rsidRDefault="00024A7B" w:rsidP="00024A7B">
      <w:pPr>
        <w:pStyle w:val="BodyText"/>
        <w:rPr>
          <w:b/>
        </w:rPr>
      </w:pPr>
      <w:r>
        <w:rPr>
          <w:b/>
        </w:rPr>
        <w:t>Methods:</w:t>
      </w:r>
    </w:p>
    <w:p w14:paraId="39C1CEA1" w14:textId="068F2A1A" w:rsidR="00024A7B" w:rsidRDefault="00024A7B" w:rsidP="00024A7B">
      <w:pPr>
        <w:pStyle w:val="BodyText"/>
        <w:rPr>
          <w:b/>
        </w:rPr>
      </w:pPr>
      <w:r>
        <w:rPr>
          <w:b/>
        </w:rPr>
        <w:t>Results:</w:t>
      </w:r>
    </w:p>
    <w:p w14:paraId="3D4EE8B5" w14:textId="0A8B98BF" w:rsidR="00024A7B" w:rsidRDefault="00024A7B" w:rsidP="00024A7B">
      <w:pPr>
        <w:pStyle w:val="BodyText"/>
        <w:rPr>
          <w:b/>
        </w:rPr>
      </w:pPr>
      <w:r>
        <w:rPr>
          <w:b/>
        </w:rPr>
        <w:t>Main conclusions:</w:t>
      </w:r>
    </w:p>
    <w:p w14:paraId="4458AFCC" w14:textId="78B316BC" w:rsidR="00024A7B" w:rsidRDefault="00024A7B" w:rsidP="00024A7B">
      <w:pPr>
        <w:pStyle w:val="BodyText"/>
      </w:pPr>
      <w:r>
        <w:rPr>
          <w:i/>
        </w:rPr>
        <w:t>Keywords:</w:t>
      </w:r>
    </w:p>
    <w:p w14:paraId="589247A1" w14:textId="77777777" w:rsidR="00024A7B" w:rsidRDefault="00024A7B" w:rsidP="00024A7B">
      <w:pPr>
        <w:pStyle w:val="Heading1"/>
      </w:pPr>
      <w:bookmarkStart w:id="2" w:name="acknowledgements"/>
      <w:r>
        <w:t>Acknowledgements</w:t>
      </w:r>
      <w:bookmarkEnd w:id="2"/>
    </w:p>
    <w:p w14:paraId="286F8672" w14:textId="78B507DD" w:rsidR="00024A7B" w:rsidRPr="00024A7B" w:rsidRDefault="00024A7B" w:rsidP="008A5AB4">
      <w:pPr>
        <w:pStyle w:val="FirstParagraph"/>
      </w:pPr>
      <w:r>
        <w:t xml:space="preserve">This work was funded by the South African Department of Science and Technology (DST) and the National Research Foundation (NRF) under the DST-NRF Freestanding Innovation </w:t>
      </w:r>
      <w:proofErr w:type="spellStart"/>
      <w:r>
        <w:t>Honours</w:t>
      </w:r>
      <w:proofErr w:type="spellEnd"/>
      <w:r>
        <w:t xml:space="preserve"> </w:t>
      </w:r>
      <w:r>
        <w:lastRenderedPageBreak/>
        <w:t xml:space="preserve">Scholarship (to </w:t>
      </w:r>
      <w:proofErr w:type="spellStart"/>
      <w:r>
        <w:t>R</w:t>
      </w:r>
      <w:r>
        <w:t>v</w:t>
      </w:r>
      <w:r>
        <w:t>M</w:t>
      </w:r>
      <w:proofErr w:type="spellEnd"/>
      <w:r>
        <w:t xml:space="preserve">), and by the South African Association of Botanists (SAAB) </w:t>
      </w:r>
      <w:proofErr w:type="spellStart"/>
      <w:r>
        <w:t>Honours</w:t>
      </w:r>
      <w:proofErr w:type="spellEnd"/>
      <w:r>
        <w:t xml:space="preserve"> Scholarship (to </w:t>
      </w:r>
      <w:proofErr w:type="spellStart"/>
      <w:r>
        <w:t>R</w:t>
      </w:r>
      <w:r>
        <w:t>v</w:t>
      </w:r>
      <w:r>
        <w:t>M</w:t>
      </w:r>
      <w:proofErr w:type="spellEnd"/>
      <w:r>
        <w:t>). Thanks go to the Department of Biological Sciences, University of Cape Town, for providing a 2TB external hard drive for local GIS data storage.</w:t>
      </w:r>
    </w:p>
    <w:p w14:paraId="301CD1AC" w14:textId="31759114" w:rsidR="00D04776" w:rsidRDefault="00D04776" w:rsidP="00D04776">
      <w:pPr>
        <w:pStyle w:val="Heading1"/>
      </w:pPr>
      <w:r>
        <w:t>Introduction</w:t>
      </w:r>
    </w:p>
    <w:p w14:paraId="5CA48634" w14:textId="2FA78755" w:rsidR="00D04776" w:rsidRPr="002F0553" w:rsidRDefault="00D04776" w:rsidP="00D04776">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Pr="002F0553">
        <w:t xml:space="preserve">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w:t>
      </w:r>
      <w:proofErr w:type="spellStart"/>
      <w:r w:rsidRPr="002F0553">
        <w:t>Ackerly</w:t>
      </w:r>
      <w:proofErr w:type="spellEnd"/>
      <w:r w:rsidRPr="002F0553">
        <w:t>,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w:t>
      </w:r>
      <w:proofErr w:type="spellStart"/>
      <w:r w:rsidRPr="002F0553">
        <w:t>Nosil</w:t>
      </w:r>
      <w:proofErr w:type="spellEnd"/>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D04776">
      <w:pPr>
        <w:pStyle w:val="FirstParagraph"/>
      </w:pPr>
      <w:r w:rsidRPr="002F0553">
        <w:t xml:space="preserve">The </w:t>
      </w:r>
      <w:r>
        <w:t xml:space="preserve">floristically-rich </w:t>
      </w:r>
      <w:r w:rsidRPr="002F0553">
        <w:t xml:space="preserve">South Western Australian Floristic Region (SWAFR; Hopper and </w:t>
      </w:r>
      <w:proofErr w:type="spellStart"/>
      <w:r w:rsidRPr="002F0553">
        <w:t>Gioia</w:t>
      </w:r>
      <w:proofErr w:type="spellEnd"/>
      <w:r w:rsidRPr="002F0553">
        <w:t xml:space="preserve"> 2004) and Greater Cape Floristic Region of South Africa (GCFR; Born et al. 2007)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w:t>
      </w:r>
      <w:r w:rsidRPr="002F0553">
        <w:lastRenderedPageBreak/>
        <w:t xml:space="preserve">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 2016; Lamont and He 2017) or Late Miocene (GCFR: Dupont et al. 2011; Hoffmann et al 2015). </w:t>
      </w:r>
      <w:r>
        <w:t>In addition</w:t>
      </w:r>
      <w:r w:rsidRPr="00A432DE">
        <w:t xml:space="preserve">, both regions have been unglaciated since the Permian and are dominated by ancient, weathered landscapes whose soil-nutritional status is amongst the lowest of any landscape on Earth (Stock and </w:t>
      </w:r>
      <w:proofErr w:type="spellStart"/>
      <w:r w:rsidRPr="00A432DE">
        <w:t>Verboom</w:t>
      </w:r>
      <w:proofErr w:type="spellEnd"/>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D04776">
      <w:pPr>
        <w:pStyle w:val="FirstParagraph"/>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xml:space="preserve">; Hopper and </w:t>
      </w:r>
      <w:proofErr w:type="spellStart"/>
      <w:r>
        <w:t>Gioia</w:t>
      </w:r>
      <w:proofErr w:type="spellEnd"/>
      <w:r>
        <w:t xml:space="preserve"> 2004), the GCFR accommodates ~11,430 species in an area of ~189,700 km</w:t>
      </w:r>
      <w:r>
        <w:rPr>
          <w:vertAlign w:val="superscript"/>
        </w:rPr>
        <w:t>2</w:t>
      </w:r>
      <w:r>
        <w:t xml:space="preserve"> (i.e. 0.060 species km</w:t>
      </w:r>
      <w:r>
        <w:rPr>
          <w:vertAlign w:val="superscript"/>
        </w:rPr>
        <w:t>-2</w:t>
      </w:r>
      <w:r>
        <w:t xml:space="preserve">; </w:t>
      </w:r>
      <w:proofErr w:type="spellStart"/>
      <w:r>
        <w:t>Snijman</w:t>
      </w:r>
      <w:proofErr w:type="spellEnd"/>
      <w:r>
        <w:t xml:space="preserve">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 and half-degree square (HDS) scales</w:t>
      </w:r>
      <w:r w:rsidR="000F59F5">
        <w:t xml:space="preserve"> (</w:t>
      </w:r>
      <w:proofErr w:type="spellStart"/>
      <w:r w:rsidR="000F59F5">
        <w:t>sensu</w:t>
      </w:r>
      <w:proofErr w:type="spellEnd"/>
      <w:r w:rsidR="000F59F5">
        <w:t xml:space="preserve">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w:t>
      </w:r>
      <w:r>
        <w:lastRenderedPageBreak/>
        <w:t xml:space="preserve">Finally, we use linear models to assess whether differences in </w:t>
      </w:r>
      <w:r w:rsidR="007948F4">
        <w:t>environmental heterogeneity</w:t>
      </w:r>
      <w:r>
        <w:t xml:space="preserve"> are </w:t>
      </w:r>
      <w:proofErr w:type="gramStart"/>
      <w:r>
        <w:t>sufficient</w:t>
      </w:r>
      <w:proofErr w:type="gramEnd"/>
      <w:r>
        <w:t xml:space="preserve"> to explain observed differences in species richness between the two regions. </w:t>
      </w:r>
    </w:p>
    <w:p w14:paraId="70315767" w14:textId="77777777" w:rsidR="00DD2348" w:rsidRDefault="005F0FFB">
      <w:pPr>
        <w:pStyle w:val="Heading1"/>
      </w:pPr>
      <w:r>
        <w:t>Materials and methods</w:t>
      </w:r>
      <w:bookmarkEnd w:id="0"/>
    </w:p>
    <w:p w14:paraId="37E86CBC" w14:textId="1631D969" w:rsidR="00D04776" w:rsidRDefault="00D04776" w:rsidP="00D04776">
      <w:pPr>
        <w:pStyle w:val="Heading2"/>
      </w:pPr>
      <w:bookmarkStart w:id="3" w:name="comparing-regions-environmental-heteroge"/>
      <w:r>
        <w:t>Comparing species richness</w:t>
      </w:r>
    </w:p>
    <w:p w14:paraId="22B117E5" w14:textId="1ED81EE7" w:rsidR="00D04776" w:rsidRDefault="00D04776" w:rsidP="000F699D">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(Olson et al., 2001) in order to match the current deli</w:t>
      </w:r>
      <w:r w:rsidR="006F0BA2">
        <w:t>mitation of the</w:t>
      </w:r>
      <w:r w:rsidR="001C5D8A">
        <w:t xml:space="preserve"> SWAFR (Hopper &amp; </w:t>
      </w:r>
      <w:proofErr w:type="spellStart"/>
      <w:r w:rsidR="001C5D8A">
        <w:t>Gioia</w:t>
      </w:r>
      <w:proofErr w:type="spellEnd"/>
      <w:r w:rsidR="001C5D8A">
        <w:t xml:space="preserve"> 2004</w:t>
      </w:r>
      <w:r w:rsidR="006F0BA2">
        <w:t>;</w:t>
      </w:r>
      <w:r w:rsidR="006F0BA2" w:rsidRPr="006F0BA2">
        <w:t xml:space="preserve"> </w:t>
      </w:r>
      <w:proofErr w:type="spellStart"/>
      <w:r w:rsidR="006F0BA2">
        <w:t>Gioia</w:t>
      </w:r>
      <w:proofErr w:type="spellEnd"/>
      <w:r w:rsidR="006F0BA2">
        <w:t xml:space="preserve">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commentRangeStart w:id="4"/>
      <w:r>
        <w:t xml:space="preserve">XXX and XXX </w:t>
      </w:r>
      <w:commentRangeEnd w:id="4"/>
      <w:r>
        <w:rPr>
          <w:rStyle w:val="CommentReference"/>
          <w:rFonts w:ascii="Times New Roman" w:hAnsiTheme="minorHAnsi"/>
        </w:rPr>
        <w:commentReference w:id="4"/>
      </w:r>
      <w:r>
        <w:t xml:space="preserve">unique species names </w:t>
      </w:r>
      <w:r w:rsidR="00D61D4D">
        <w:t>for</w:t>
      </w:r>
      <w:r>
        <w:t xml:space="preserve"> the GCFR and SWAFR</w:t>
      </w:r>
      <w:r w:rsidR="00D61D4D">
        <w:t>,</w:t>
      </w:r>
      <w:r>
        <w:t xml:space="preserve"> respectively. </w:t>
      </w:r>
      <w:r w:rsidR="00D40708">
        <w:t>T</w:t>
      </w:r>
      <w:r>
        <w:t>he R package “</w:t>
      </w:r>
      <w:proofErr w:type="spellStart"/>
      <w:r>
        <w:t>taxize</w:t>
      </w:r>
      <w:proofErr w:type="spellEnd"/>
      <w:r>
        <w:t xml:space="preserve">” (Chamberlain &amp; </w:t>
      </w:r>
      <w:proofErr w:type="spellStart"/>
      <w:r>
        <w:t>Szocs</w:t>
      </w:r>
      <w:proofErr w:type="spellEnd"/>
      <w:r>
        <w:t xml:space="preserve">,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 xml:space="preserve">queried against the </w:t>
      </w:r>
      <w:proofErr w:type="spellStart"/>
      <w:r w:rsidR="007C7D4C">
        <w:t>Tropicos</w:t>
      </w:r>
      <w:proofErr w:type="spellEnd"/>
      <w:r w:rsidR="007C7D4C">
        <w:t xml:space="preserve"> and Integrated Taxonomic Information System (ITIS)</w:t>
      </w:r>
      <w:r w:rsidR="007C7D4C" w:rsidRPr="007C7D4C">
        <w:t xml:space="preserve"> </w:t>
      </w:r>
      <w:r w:rsidR="007C7D4C">
        <w:t>for known synonyms, again using “</w:t>
      </w:r>
      <w:proofErr w:type="spellStart"/>
      <w:r w:rsidR="007C7D4C">
        <w:t>taxize</w:t>
      </w:r>
      <w:proofErr w:type="spellEnd"/>
      <w:r w:rsidR="007C7D4C">
        <w:t xml:space="preserve">.” Finally, </w:t>
      </w:r>
      <w:r w:rsidR="00FE713B">
        <w:t xml:space="preserve">we removed </w:t>
      </w:r>
      <w:r w:rsidR="007C7D4C">
        <w:t xml:space="preserve">all </w:t>
      </w:r>
      <w:r>
        <w:t xml:space="preserve">records of </w:t>
      </w:r>
      <w:r w:rsidR="00FE713B">
        <w:t xml:space="preserve">species </w:t>
      </w:r>
      <w:proofErr w:type="spellStart"/>
      <w:r w:rsidR="00A87D09">
        <w:t>identied</w:t>
      </w:r>
      <w:proofErr w:type="spellEnd"/>
      <w:r w:rsidR="00A87D09">
        <w:t xml:space="preserve"> as </w:t>
      </w:r>
      <w:r w:rsidR="00FE713B">
        <w:t>non-native,</w:t>
      </w:r>
      <w:r>
        <w:t xml:space="preserve"> </w:t>
      </w:r>
      <w:r w:rsidR="00FE713B">
        <w:t>using</w:t>
      </w:r>
      <w:r>
        <w:t xml:space="preserve"> lists of invasive plants for South Africa and Australia from the IUCN’s Global Invasive Species Database (</w:t>
      </w:r>
      <w:hyperlink r:id="rId12">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w:t>
      </w:r>
      <w:r w:rsidR="000F59F5">
        <w:lastRenderedPageBreak/>
        <w:t>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7F4C21CB" w:rsidR="00D04776" w:rsidRDefault="00C77223" w:rsidP="002D283F">
      <w:pPr>
        <w:pStyle w:val="BodyText"/>
        <w:ind w:firstLine="720"/>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hAnsi="Cambria Math"/>
          </w:rPr>
          <m:t>,</m:t>
        </m:r>
      </m:oMath>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D04776">
        <w:rPr>
          <w:rFonts w:eastAsiaTheme="minorEastAsia"/>
        </w:rPr>
        <w:tab/>
      </w:r>
      <w:r w:rsidR="002D283F">
        <w:rPr>
          <w:rFonts w:eastAsiaTheme="minorEastAsia"/>
        </w:rPr>
        <w:t>(Equation 1)</w:t>
      </w:r>
    </w:p>
    <w:p w14:paraId="7E2DAD40" w14:textId="6C04204F" w:rsidR="00364F0A" w:rsidRPr="003D65D2" w:rsidRDefault="00364F0A" w:rsidP="00364F0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w:t>
      </w:r>
      <w:r w:rsidR="00BC5EDB">
        <w:rPr>
          <w:vertAlign w:val="subscript"/>
        </w:rPr>
        <w:t>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395C739A" w:rsidR="00DD2348" w:rsidRDefault="005F0FFB" w:rsidP="00F8593E">
      <w:pPr>
        <w:pStyle w:val="Heading2"/>
      </w:pPr>
      <w:r>
        <w:t>Comparing environmental heterogeneity</w:t>
      </w:r>
      <w:bookmarkEnd w:id="3"/>
    </w:p>
    <w:p w14:paraId="16702F9A" w14:textId="298CD2F9" w:rsidR="00DD2348" w:rsidRDefault="00B6082F">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proofErr w:type="spellStart"/>
      <w:r w:rsidR="003B10FC">
        <w:t>mediterranean</w:t>
      </w:r>
      <w:proofErr w:type="spellEnd"/>
      <w:r w:rsidR="003B10FC">
        <w:t xml:space="preserve">-type climates (ref). Variable selection was, however, constrained by the availability of suitable raster-layers. Thus, although soil [P] is probably an important determinant of plant distribution in both the GCFR and SWAFR (refs), this variable could not </w:t>
      </w:r>
      <w:proofErr w:type="spellStart"/>
      <w:proofErr w:type="gramStart"/>
      <w:r w:rsidR="003B10FC">
        <w:t>included</w:t>
      </w:r>
      <w:proofErr w:type="spellEnd"/>
      <w:proofErr w:type="gramEnd"/>
      <w:r w:rsidR="003B10FC">
        <w:t xml:space="preserve"> owing to a lack of comparable data layers for the two regions. Indeed, wherever possible, we made use of satellite layers***.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w:t>
      </w:r>
      <w:proofErr w:type="spellStart"/>
      <w:r w:rsidR="000202B4">
        <w:t>Hijmans</w:t>
      </w:r>
      <w:proofErr w:type="spellEnd"/>
      <w:r w:rsidR="000202B4">
        <w:t>, 2016)</w:t>
      </w:r>
      <w:r w:rsidR="003F1CDD">
        <w:t xml:space="preserve">. All layers were then </w:t>
      </w:r>
      <w:r w:rsidR="005F0FFB">
        <w:t>projected to a common coordinate reference system (WGS84; ref) using the “</w:t>
      </w:r>
      <w:proofErr w:type="spellStart"/>
      <w:r w:rsidR="005F0FFB">
        <w:t>rgdal</w:t>
      </w:r>
      <w:proofErr w:type="spellEnd"/>
      <w:r w:rsidR="005F0FFB">
        <w:t>” package</w:t>
      </w:r>
      <w:r w:rsidR="003F1CDD">
        <w:t xml:space="preserve"> (</w:t>
      </w:r>
      <w:proofErr w:type="spellStart"/>
      <w:r w:rsidR="003F1CDD">
        <w:t>Bivand</w:t>
      </w:r>
      <w:proofErr w:type="spellEnd"/>
      <w:r w:rsidR="003F1CDD">
        <w:t xml:space="preserve"> et al., 2017) and</w:t>
      </w:r>
      <w:r w:rsidR="005F0FFB">
        <w:t xml:space="preserve"> resampled to 0.05º resolution using the “resample” function in “raster</w:t>
      </w:r>
      <w:r w:rsidR="000202B4">
        <w:t>,</w:t>
      </w:r>
      <w:r w:rsidR="005F0FFB">
        <w:t xml:space="preserve">” with the “bilinear” method. </w:t>
      </w:r>
    </w:p>
    <w:p w14:paraId="68DEEC7A" w14:textId="4CC76EB5" w:rsidR="00DD2348" w:rsidRDefault="000C57CB">
      <w:pPr>
        <w:pStyle w:val="BodyText"/>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proofErr w:type="spellStart"/>
      <w:r w:rsidR="006D35C5">
        <w:t>neighbouring</w:t>
      </w:r>
      <w:proofErr w:type="spellEnd"/>
      <w:r w:rsidR="00E7429C">
        <w:t xml:space="preserve"> </w:t>
      </w:r>
      <w:r w:rsidR="005F0FFB">
        <w:t>pixels</w:t>
      </w:r>
      <w:r w:rsidR="00E7429C">
        <w:t>.</w:t>
      </w:r>
      <w:r w:rsidR="005F0FFB">
        <w:t xml:space="preserve"> </w:t>
      </w:r>
      <w:r w:rsidR="00153824">
        <w:t xml:space="preserve">The heterogeneity </w:t>
      </w:r>
      <w:r w:rsidR="00331CEC">
        <w:t>(</w:t>
      </w:r>
      <w:r w:rsidR="00331CEC" w:rsidRPr="00331CEC">
        <w:rPr>
          <w:i/>
        </w:rPr>
        <w:t>EH</w:t>
      </w:r>
      <w:r w:rsidR="00331CEC">
        <w:t xml:space="preserve">) </w:t>
      </w:r>
      <w:r w:rsidR="00153824">
        <w:t>of a pixel is determined as</w:t>
      </w:r>
      <w:r w:rsidR="005F0FFB">
        <w:t xml:space="preserve"> the </w:t>
      </w:r>
      <w:r w:rsidR="00153824">
        <w:lastRenderedPageBreak/>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proofErr w:type="spellStart"/>
      <w:r w:rsidR="006D35C5">
        <w:t>neighbour</w:t>
      </w:r>
      <w:proofErr w:type="spellEnd"/>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77777777" w:rsidR="004C331B" w:rsidRDefault="00BB2557" w:rsidP="004C331B">
      <w:pPr>
        <w:pStyle w:val="BodyText"/>
        <w:ind w:left="720" w:firstLine="720"/>
        <w:rPr>
          <w:rFonts w:eastAsiaTheme="minorEastAsia"/>
        </w:rPr>
      </w:pPr>
      <m:oMathPara>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m:oMathPara>
    </w:p>
    <w:p w14:paraId="4B22F3BD" w14:textId="4A0BCEE5" w:rsidR="00DD2348" w:rsidRPr="004C331B" w:rsidRDefault="004C331B" w:rsidP="004C331B">
      <w:pPr>
        <w:pStyle w:val="BodyText"/>
        <w:ind w:left="72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2557">
        <w:rPr>
          <w:rFonts w:eastAsiaTheme="minorEastAsia"/>
        </w:rPr>
        <w:tab/>
      </w:r>
      <w:r w:rsidR="00BB2557">
        <w:rPr>
          <w:rFonts w:eastAsiaTheme="minorEastAsia"/>
        </w:rPr>
        <w:tab/>
      </w:r>
      <w:r w:rsidR="00BB2557">
        <w:rPr>
          <w:rFonts w:eastAsiaTheme="minorEastAsia"/>
        </w:rPr>
        <w:tab/>
      </w:r>
      <w:r w:rsidR="002D283F">
        <w:rPr>
          <w:rFonts w:eastAsiaTheme="minorEastAsia"/>
        </w:rPr>
        <w:t>(Equation 2)</w:t>
      </w:r>
    </w:p>
    <w:p w14:paraId="7BCE38E8" w14:textId="77777777" w:rsidR="007E72DA" w:rsidRDefault="00E7429C" w:rsidP="007E72DA">
      <w:pPr>
        <w:pStyle w:val="FirstParagraph"/>
      </w:pPr>
      <w:r>
        <w:t xml:space="preserve">We implemented this measure of </w:t>
      </w:r>
      <w:r w:rsidR="007E72DA">
        <w:t>heterogeneity</w:t>
      </w:r>
      <w:r>
        <w:t xml:space="preserve"> using the “focal” function in the R package “raster” (</w:t>
      </w:r>
      <w:proofErr w:type="spellStart"/>
      <w:r>
        <w:t>Hijmans</w:t>
      </w:r>
      <w:proofErr w:type="spellEnd"/>
      <w:r>
        <w:t>, 2016), applying it only to</w:t>
      </w:r>
      <w:r w:rsidR="005F0FFB">
        <w:t xml:space="preserve"> pixels ha</w:t>
      </w:r>
      <w:r>
        <w:t>ving</w:t>
      </w:r>
      <w:r w:rsidR="005F0FFB">
        <w:t xml:space="preserve"> at least one </w:t>
      </w:r>
      <w:proofErr w:type="spellStart"/>
      <w:r w:rsidR="005F0FFB">
        <w:t>neighbour</w:t>
      </w:r>
      <w:proofErr w:type="spellEnd"/>
      <w:r w:rsidR="005F0FFB">
        <w:t xml:space="preserve"> pixel. </w:t>
      </w:r>
    </w:p>
    <w:p w14:paraId="7CF2F70C" w14:textId="316A2819" w:rsidR="002D283F" w:rsidRDefault="000C57CB" w:rsidP="007E72DA">
      <w:pPr>
        <w:pStyle w:val="FirstParagraph"/>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w:t>
      </w:r>
      <w:proofErr w:type="spellStart"/>
      <w:r w:rsidR="005F0FFB">
        <w:t>sensu</w:t>
      </w:r>
      <w:proofErr w:type="spellEnd"/>
      <w:r w:rsidR="005F0FFB">
        <w:t xml:space="preserve"> Larsen et al., 2009). To do this, the absolute environmental raster data were </w:t>
      </w:r>
      <w:r w:rsidR="002D283F">
        <w:t xml:space="preserve">first </w:t>
      </w:r>
      <w:r w:rsidR="005F0FFB">
        <w:t>aggregated to broader spatial scales from 0.05º x 0.05º, using the “aggregate” function in “raster” (</w:t>
      </w:r>
      <w:proofErr w:type="spellStart"/>
      <w:r w:rsidR="005F0FFB">
        <w:t>Hijmans</w:t>
      </w:r>
      <w:proofErr w:type="spellEnd"/>
      <w:r w:rsidR="005F0FFB">
        <w:t xml:space="preserve">, 2016), with the “mean” method. We then converted these to </w:t>
      </w:r>
      <w:proofErr w:type="spellStart"/>
      <w:r w:rsidR="005F0FFB">
        <w:t>rasters</w:t>
      </w:r>
      <w:proofErr w:type="spellEnd"/>
      <w:r w:rsidR="005F0FFB">
        <w:t xml:space="preserve"> of </w:t>
      </w:r>
      <w:r w:rsidR="007948F4">
        <w:t>environmental heterogeneity</w:t>
      </w:r>
      <w:r w:rsidR="005F0FFB">
        <w:t xml:space="preserve"> using Equation </w:t>
      </w:r>
      <w:r w:rsidR="002D283F">
        <w:t>2</w:t>
      </w:r>
      <w:r w:rsidR="005F0FFB">
        <w:t>.</w:t>
      </w:r>
    </w:p>
    <w:p w14:paraId="4910D4CC" w14:textId="5689DC73" w:rsidR="00DD2348" w:rsidRDefault="005F0FFB">
      <w:pPr>
        <w:pStyle w:val="BodyText"/>
      </w:pPr>
      <w:r>
        <w:t xml:space="preserve">Finally, we </w:t>
      </w:r>
      <w:r w:rsidR="00FD3C3A">
        <w:t>used principal components analysis (PCA), applied to the ten environmental variables across both regions, to derive a measure of</w:t>
      </w:r>
      <w:r>
        <w:t xml:space="preserve"> overall </w:t>
      </w:r>
      <w:r w:rsidR="007948F4">
        <w:t>environmental heterogeneity</w:t>
      </w:r>
      <w:r>
        <w:t xml:space="preserve">. </w:t>
      </w:r>
      <w:r w:rsidR="00F358D2">
        <w:t xml:space="preserve">For this purpose, the layers describing heterogeneity in the ten environmental variables at each spatial scale first </w:t>
      </w:r>
      <w:proofErr w:type="gramStart"/>
      <w:r w:rsidR="00F358D2">
        <w:t>log(</w:t>
      </w:r>
      <w:proofErr w:type="gramEnd"/>
      <w:r w:rsidR="00F358D2" w:rsidRPr="00F358D2">
        <w:rPr>
          <w:i/>
        </w:rPr>
        <w:t>x</w:t>
      </w:r>
      <w:r w:rsidR="00F358D2">
        <w:t xml:space="preserve"> + 1) transformed to ensure normality and then subjected to PCA. A 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E52A66">
        <w:t xml:space="preserve">ten </w:t>
      </w:r>
      <w:r>
        <w:t xml:space="preserve">environmental </w:t>
      </w:r>
      <w:r w:rsidR="00E52A66">
        <w:t xml:space="preserve">variables </w:t>
      </w:r>
      <w:r>
        <w:t xml:space="preserve">considered </w:t>
      </w:r>
      <w:r w:rsidR="00E52A66">
        <w:t>in this study</w:t>
      </w:r>
      <w:r>
        <w:t>.</w:t>
      </w:r>
    </w:p>
    <w:p w14:paraId="043425BC" w14:textId="3FD53518" w:rsidR="007E72DA" w:rsidRPr="002930F3" w:rsidRDefault="007E72DA">
      <w:pPr>
        <w:pStyle w:val="BodyText"/>
        <w:rPr>
          <w:color w:val="FF0000"/>
        </w:rPr>
      </w:pPr>
      <w:r w:rsidRPr="002930F3">
        <w:rPr>
          <w:color w:val="FF0000"/>
          <w:highlight w:val="yellow"/>
        </w:rPr>
        <w:t xml:space="preserve">We need </w:t>
      </w:r>
      <w:r w:rsidR="002930F3" w:rsidRPr="002930F3">
        <w:rPr>
          <w:color w:val="FF0000"/>
          <w:highlight w:val="yellow"/>
        </w:rPr>
        <w:t xml:space="preserve">here </w:t>
      </w:r>
      <w:r w:rsidRPr="002930F3">
        <w:rPr>
          <w:color w:val="FF0000"/>
          <w:highlight w:val="yellow"/>
        </w:rPr>
        <w:t>an explanation of the method used to compare heterogeneity of the ten variables and the major axis of heterogeneity between the two regions.</w:t>
      </w:r>
    </w:p>
    <w:p w14:paraId="362E99FC" w14:textId="77777777" w:rsidR="00DD2348" w:rsidRDefault="005F0FFB">
      <w:pPr>
        <w:pStyle w:val="Heading2"/>
      </w:pPr>
      <w:bookmarkStart w:id="5" w:name="environmental-heterogeneity-as-an-explan"/>
      <w:r>
        <w:t>Environmental heterogeneity as an explanation of species richness</w:t>
      </w:r>
      <w:bookmarkEnd w:id="5"/>
    </w:p>
    <w:p w14:paraId="34D62F9D" w14:textId="61448971" w:rsidR="00DD2348" w:rsidRDefault="00842DF6" w:rsidP="00C53D2C">
      <w:pPr>
        <w:pStyle w:val="FirstParagraph"/>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w:t>
      </w:r>
      <w:r>
        <w:lastRenderedPageBreak/>
        <w:t>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w:t>
      </w:r>
      <w:proofErr w:type="gramStart"/>
      <w:r w:rsidR="00647F5C">
        <w:t>particular pixel</w:t>
      </w:r>
      <w:proofErr w:type="gramEnd"/>
      <w:r w:rsidR="00647F5C">
        <w:t xml:space="preserve"> (e.g. </w:t>
      </w:r>
      <w:r w:rsidR="00B44249">
        <w:t>Q</w:t>
      </w:r>
      <w:r w:rsidR="00647F5C">
        <w:t xml:space="preserve">DS or HDS) </w:t>
      </w:r>
      <w:r w:rsidR="00B44249">
        <w:t>from</w:t>
      </w:r>
      <w:r w:rsidR="00647F5C">
        <w:t xml:space="preserve"> its nine </w:t>
      </w:r>
      <w:proofErr w:type="spellStart"/>
      <w:r w:rsidR="00647F5C">
        <w:t>neighbours</w:t>
      </w:r>
      <w:proofErr w:type="spellEnd"/>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77777777" w:rsidR="001D4356" w:rsidRPr="001D4356" w:rsidRDefault="001D4356" w:rsidP="001D4356">
      <w:pPr>
        <w:pStyle w:val="BodyText"/>
        <w:ind w:left="720" w:firstLine="720"/>
        <w:rPr>
          <w:rFonts w:eastAsiaTheme="minorEastAsia"/>
        </w:rPr>
      </w:pPr>
      <m:oMathPara>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7ED766D" w14:textId="148C55FC" w:rsidR="00DD2348" w:rsidRDefault="001D4356" w:rsidP="009D54AF">
      <w:pPr>
        <w:pStyle w:val="BodyText"/>
        <w:ind w:firstLine="720"/>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BB3791" w:rsidRPr="00BB3791">
        <w:rPr>
          <w:rFonts w:eastAsiaTheme="minorEastAsia"/>
        </w:rPr>
        <w:t xml:space="preserve"> </w:t>
      </w:r>
      <w:r w:rsidR="00BB3791">
        <w:rPr>
          <w:rFonts w:eastAsiaTheme="minorEastAsia"/>
        </w:rPr>
        <w:tab/>
      </w:r>
      <w:r w:rsidR="00BB3791">
        <w:rPr>
          <w:rFonts w:eastAsiaTheme="minorEastAsia"/>
        </w:rPr>
        <w:tab/>
      </w:r>
      <w:r w:rsidR="00BB3791">
        <w:rPr>
          <w:rFonts w:eastAsiaTheme="minorEastAsia"/>
        </w:rPr>
        <w:tab/>
      </w:r>
      <w:r>
        <w:rPr>
          <w:rFonts w:eastAsiaTheme="minorEastAsia"/>
        </w:rPr>
        <w:tab/>
      </w:r>
      <w:r>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77777777" w:rsidR="0040493A" w:rsidRDefault="005042D0" w:rsidP="005042D0">
      <w:pPr>
        <w:pStyle w:val="FirstParagraph"/>
      </w:pPr>
      <w:r>
        <w:t>As for the moving-window measure of heterogeneity, t</w:t>
      </w:r>
      <w:r w:rsidR="005F0FFB">
        <w:t>he</w:t>
      </w:r>
      <w:r>
        <w:t xml:space="preserve"> heterogeneities of the ten selected environmental variables</w:t>
      </w:r>
      <w:r w:rsidR="005F0FFB">
        <w:t xml:space="preserve"> </w:t>
      </w:r>
      <w:r w:rsidR="00357472">
        <w:t xml:space="preserve">were </w:t>
      </w:r>
      <w:proofErr w:type="gramStart"/>
      <w:r w:rsidR="005F0FFB">
        <w:t>log(</w:t>
      </w:r>
      <w:proofErr w:type="gramEnd"/>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22D0D221" w:rsidR="00037267" w:rsidRPr="004632FE" w:rsidRDefault="0040493A" w:rsidP="005042D0">
      <w:pPr>
        <w:pStyle w:val="FirstParagraph"/>
        <w:rPr>
          <w:highlight w:val="yellow"/>
        </w:rPr>
      </w:pPr>
      <w:r w:rsidRPr="004632FE">
        <w:rPr>
          <w:highlight w:val="yellow"/>
        </w:rPr>
        <w:t xml:space="preserve">To test the dependence of species richness on environmental heterogeneity and to assess whether the form of this dependence is identical across the two regions, we fitted </w:t>
      </w:r>
      <w:r w:rsidR="00037267" w:rsidRPr="004632FE">
        <w:rPr>
          <w:highlight w:val="yellow"/>
        </w:rPr>
        <w:t xml:space="preserve">simple and multiple </w:t>
      </w:r>
      <w:r w:rsidRPr="004632FE">
        <w:rPr>
          <w:highlight w:val="yellow"/>
        </w:rPr>
        <w:t xml:space="preserve">linear </w:t>
      </w:r>
      <w:r w:rsidR="00037267" w:rsidRPr="004632FE">
        <w:rPr>
          <w:highlight w:val="yellow"/>
        </w:rPr>
        <w:t xml:space="preserve">regression </w:t>
      </w:r>
      <w:r w:rsidRPr="004632FE">
        <w:rPr>
          <w:highlight w:val="yellow"/>
        </w:rPr>
        <w:t xml:space="preserve">models </w:t>
      </w:r>
      <w:r w:rsidR="00037267" w:rsidRPr="004632FE">
        <w:rPr>
          <w:highlight w:val="yellow"/>
        </w:rPr>
        <w:t xml:space="preserve">specifying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HDS</m:t>
            </m:r>
          </m:sub>
        </m:sSub>
      </m:oMath>
      <w:r w:rsidR="00037267" w:rsidRPr="004632FE">
        <w:rPr>
          <w:highlight w:val="yellow"/>
        </w:rPr>
        <w:t xml:space="preserve"> or </w:t>
      </w:r>
      <m:oMath>
        <m:sSub>
          <m:sSubPr>
            <m:ctrlPr>
              <w:rPr>
                <w:rFonts w:ascii="Cambria Math" w:hAnsi="Cambria Math"/>
                <w:highlight w:val="yellow"/>
              </w:rPr>
            </m:ctrlPr>
          </m:sSubPr>
          <m:e>
            <m:r>
              <w:rPr>
                <w:rFonts w:ascii="Cambria Math" w:hAnsi="Cambria Math"/>
                <w:highlight w:val="yellow"/>
              </w:rPr>
              <m:t>S</m:t>
            </m:r>
          </m:e>
          <m:sub>
            <m:r>
              <m:rPr>
                <m:sty m:val="p"/>
              </m:rPr>
              <w:rPr>
                <w:rFonts w:ascii="Cambria Math" w:hAnsi="Cambria Math"/>
                <w:highlight w:val="yellow"/>
              </w:rPr>
              <m:t>QDS</m:t>
            </m:r>
          </m:sub>
        </m:sSub>
      </m:oMath>
      <w:r w:rsidR="00037267" w:rsidRPr="004632FE">
        <w:rPr>
          <w:rFonts w:eastAsiaTheme="minorEastAsia"/>
          <w:highlight w:val="yellow"/>
        </w:rPr>
        <w:t xml:space="preserve"> as a function of environmental heterogeneity. </w:t>
      </w:r>
      <w:r w:rsidR="005527B5" w:rsidRPr="004632FE">
        <w:rPr>
          <w:rFonts w:eastAsiaTheme="minorEastAsia"/>
          <w:highlight w:val="yellow"/>
        </w:rPr>
        <w:t>In each instance, we fitted three models, an</w:t>
      </w:r>
      <w:r w:rsidR="004632FE" w:rsidRPr="004632FE">
        <w:rPr>
          <w:rFonts w:eastAsiaTheme="minorEastAsia"/>
          <w:highlight w:val="yellow"/>
        </w:rPr>
        <w:t>…</w:t>
      </w:r>
      <w:r w:rsidR="005527B5" w:rsidRPr="004632FE">
        <w:rPr>
          <w:rFonts w:eastAsiaTheme="minorEastAsia"/>
          <w:highlight w:val="yellow"/>
        </w:rPr>
        <w:t xml:space="preserve"> </w:t>
      </w:r>
    </w:p>
    <w:p w14:paraId="674AF808" w14:textId="7AA0EBFB" w:rsidR="00F614B4" w:rsidRDefault="005F0FFB" w:rsidP="005042D0">
      <w:pPr>
        <w:pStyle w:val="FirstParagraph"/>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w:t>
      </w:r>
      <w:proofErr w:type="gramStart"/>
      <w:r w:rsidRPr="004632FE">
        <w:rPr>
          <w:highlight w:val="yellow"/>
        </w:rPr>
        <w:t>the each</w:t>
      </w:r>
      <w:proofErr w:type="gramEnd"/>
      <w:r w:rsidRPr="004632FE">
        <w:rPr>
          <w:highlight w:val="yellow"/>
        </w:rPr>
        <w:t xml:space="preserve">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77777777" w:rsidR="00D04776" w:rsidRDefault="00D04776" w:rsidP="00D04776">
      <w:pPr>
        <w:pStyle w:val="Heading1"/>
      </w:pPr>
      <w:bookmarkStart w:id="6" w:name="results"/>
      <w:r>
        <w:lastRenderedPageBreak/>
        <w:t>Results</w:t>
      </w:r>
      <w:bookmarkEnd w:id="6"/>
    </w:p>
    <w:p w14:paraId="233719EB" w14:textId="3EB27745" w:rsidR="0060601F" w:rsidRDefault="0060601F" w:rsidP="0060601F">
      <w:pPr>
        <w:pStyle w:val="Heading2"/>
      </w:pPr>
      <w:r>
        <w:t>Comparing species richness</w:t>
      </w:r>
    </w:p>
    <w:p w14:paraId="61323EF7" w14:textId="5DF7CB53" w:rsidR="00114867" w:rsidRPr="00D96D52" w:rsidRDefault="007D673C" w:rsidP="0060601F">
      <w:pPr>
        <w:pStyle w:val="FirstParagraph"/>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60601F">
      <w:pPr>
        <w:pStyle w:val="FirstParagraph"/>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77777777" w:rsidR="00D04776" w:rsidRDefault="00D04776" w:rsidP="00D04776">
      <w:pPr>
        <w:pStyle w:val="Heading2"/>
      </w:pPr>
      <w:r>
        <w:t>Comparing regions’ environmental heterogeneity</w:t>
      </w:r>
    </w:p>
    <w:p w14:paraId="1B35984F" w14:textId="4934A2FE" w:rsidR="001A23A6" w:rsidRPr="001A23A6" w:rsidRDefault="001A23A6" w:rsidP="00D04776">
      <w:pPr>
        <w:pStyle w:val="FirstParagraph"/>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w:t>
      </w:r>
      <w:commentRangeStart w:id="7"/>
      <w:commentRangeStart w:id="8"/>
      <w:r w:rsidR="0060601F" w:rsidRPr="00221BC9">
        <w:rPr>
          <w:highlight w:val="yellow"/>
        </w:rPr>
        <w:t>0</w:t>
      </w:r>
      <w:commentRangeEnd w:id="7"/>
      <w:r w:rsidR="007D673C" w:rsidRPr="00221BC9">
        <w:rPr>
          <w:rStyle w:val="CommentReference"/>
          <w:rFonts w:ascii="Times New Roman" w:hAnsiTheme="minorHAnsi"/>
          <w:highlight w:val="yellow"/>
        </w:rPr>
        <w:commentReference w:id="7"/>
      </w:r>
      <w:commentRangeEnd w:id="8"/>
      <w:r w:rsidR="00BF0B3F">
        <w:rPr>
          <w:rStyle w:val="CommentReference"/>
          <w:rFonts w:ascii="Times New Roman" w:hAnsiTheme="minorHAnsi"/>
        </w:rPr>
        <w:commentReference w:id="8"/>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778BB" w:rsidRPr="00221BC9">
        <w:rPr>
          <w:highlight w:val="yellow"/>
        </w:rPr>
        <w:t xml:space="preserve">. </w:t>
      </w:r>
      <w:r w:rsidR="00FA78DF" w:rsidRPr="00221BC9">
        <w:rPr>
          <w:highlight w:val="yellow"/>
        </w:rPr>
        <w:t>The same was true for the 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77777777" w:rsidR="00D04776" w:rsidRDefault="00D04776" w:rsidP="00D04776">
      <w:pPr>
        <w:pStyle w:val="Heading2"/>
      </w:pPr>
      <w:r>
        <w:t>Environmental heterogeneity as an explanation of species richness</w:t>
      </w:r>
    </w:p>
    <w:p w14:paraId="1D71793B" w14:textId="18C34FD3" w:rsidR="00D04776" w:rsidRDefault="00D04776" w:rsidP="00D04776">
      <w:pPr>
        <w:pStyle w:val="FirstParagraph"/>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lastRenderedPageBreak/>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254498CA" w14:textId="449AFE92" w:rsidR="00D04776" w:rsidRDefault="00D04776" w:rsidP="00D04776">
      <w:pPr>
        <w:pStyle w:val="BodyText"/>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73F5A1A" w14:textId="7EA3BED7" w:rsidR="00F8593E" w:rsidRDefault="00F8593E" w:rsidP="00F8593E">
      <w:pPr>
        <w:pStyle w:val="Title"/>
      </w:pPr>
      <w:r>
        <w:t>Discussion</w:t>
      </w:r>
    </w:p>
    <w:p w14:paraId="6ADD3F5B" w14:textId="3901C137" w:rsidR="00F8593E" w:rsidRPr="00F8593E" w:rsidRDefault="00F8593E" w:rsidP="00F8593E">
      <w:pPr>
        <w:pStyle w:val="BodyText"/>
      </w:pPr>
      <w:r>
        <w:t>…</w:t>
      </w:r>
    </w:p>
    <w:p w14:paraId="53A63461" w14:textId="77777777" w:rsidR="00D04776" w:rsidRDefault="00D04776" w:rsidP="00D04776">
      <w:pPr>
        <w:rPr>
          <w:rFonts w:asciiTheme="majorBidi" w:eastAsiaTheme="majorEastAsia" w:hAnsiTheme="majorBidi" w:cstheme="majorBidi"/>
          <w:b/>
          <w:bCs/>
          <w:color w:val="000000" w:themeColor="text1"/>
          <w:sz w:val="28"/>
          <w:szCs w:val="32"/>
        </w:rPr>
      </w:pPr>
      <w:bookmarkStart w:id="9" w:name="tables"/>
      <w:r>
        <w:br w:type="page"/>
      </w:r>
    </w:p>
    <w:p w14:paraId="2A345384" w14:textId="77777777" w:rsidR="00D04776" w:rsidRDefault="00D04776" w:rsidP="00F8593E">
      <w:pPr>
        <w:pStyle w:val="Heading1"/>
      </w:pPr>
      <w:r>
        <w:lastRenderedPageBreak/>
        <w:t>Tables</w:t>
      </w:r>
      <w:bookmarkEnd w:id="9"/>
    </w:p>
    <w:p w14:paraId="0B8BF017" w14:textId="1142FE1B" w:rsidR="003C533D" w:rsidRDefault="003C533D" w:rsidP="003C533D">
      <w:pPr>
        <w:pStyle w:val="TableCaption"/>
      </w:pPr>
      <w:r>
        <w:t xml:space="preserve">Table 1: Georeferenced environmental data and vascular plant species </w:t>
      </w:r>
      <w:proofErr w:type="spellStart"/>
      <w:r>
        <w:t>occurence</w:t>
      </w:r>
      <w:proofErr w:type="spellEnd"/>
      <w:r>
        <w:t xml:space="preserve"> data sources </w:t>
      </w:r>
      <w:r w:rsidR="00B96FA0">
        <w:t>u</w:t>
      </w:r>
      <w:r>
        <w:t xml:space="preserve">sed in this study. Data were acquired for the GCFR and SWAFR regions, with the temporal extent of data products used described where applicable. Abbreviations are as follows: MAP, mean annual precipitation; PDQ, precipitation in the driest quarter; CEC, cation exchange capacity. </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3C533D" w:rsidRPr="00F0279E" w14:paraId="41027193" w14:textId="77777777" w:rsidTr="002234E3">
        <w:tc>
          <w:tcPr>
            <w:tcW w:w="1214" w:type="pct"/>
            <w:tcBorders>
              <w:top w:val="single" w:sz="4" w:space="0" w:color="auto"/>
              <w:bottom w:val="single" w:sz="2" w:space="0" w:color="auto"/>
            </w:tcBorders>
            <w:vAlign w:val="bottom"/>
          </w:tcPr>
          <w:p w14:paraId="12864CB1" w14:textId="77777777" w:rsidR="003C533D" w:rsidRPr="00F0279E" w:rsidRDefault="003C533D" w:rsidP="007612C7">
            <w:pPr>
              <w:pStyle w:val="Compact"/>
              <w:rPr>
                <w:sz w:val="20"/>
                <w:szCs w:val="20"/>
              </w:rPr>
            </w:pPr>
            <w:r w:rsidRPr="00F0279E">
              <w:rPr>
                <w:sz w:val="20"/>
                <w:szCs w:val="20"/>
              </w:rPr>
              <w:t>Dataset</w:t>
            </w:r>
          </w:p>
        </w:tc>
        <w:tc>
          <w:tcPr>
            <w:tcW w:w="1714" w:type="pct"/>
            <w:tcBorders>
              <w:top w:val="single" w:sz="4" w:space="0" w:color="auto"/>
              <w:bottom w:val="single" w:sz="2" w:space="0" w:color="auto"/>
            </w:tcBorders>
            <w:vAlign w:val="bottom"/>
          </w:tcPr>
          <w:p w14:paraId="4538EDD4" w14:textId="77777777" w:rsidR="003C533D" w:rsidRPr="00F0279E" w:rsidRDefault="003C533D" w:rsidP="007612C7">
            <w:pPr>
              <w:pStyle w:val="Compact"/>
              <w:rPr>
                <w:sz w:val="20"/>
                <w:szCs w:val="20"/>
              </w:rPr>
            </w:pPr>
            <w:r w:rsidRPr="00F0279E">
              <w:rPr>
                <w:sz w:val="20"/>
                <w:szCs w:val="20"/>
              </w:rPr>
              <w:t>Source</w:t>
            </w:r>
          </w:p>
        </w:tc>
        <w:tc>
          <w:tcPr>
            <w:tcW w:w="1072" w:type="pct"/>
            <w:tcBorders>
              <w:top w:val="single" w:sz="4" w:space="0" w:color="auto"/>
              <w:bottom w:val="single" w:sz="2" w:space="0" w:color="auto"/>
            </w:tcBorders>
            <w:vAlign w:val="bottom"/>
          </w:tcPr>
          <w:p w14:paraId="3408BB74" w14:textId="77777777" w:rsidR="003C533D" w:rsidRPr="00F0279E" w:rsidRDefault="003C533D" w:rsidP="007612C7">
            <w:pPr>
              <w:pStyle w:val="Compact"/>
              <w:rPr>
                <w:sz w:val="20"/>
                <w:szCs w:val="20"/>
              </w:rPr>
            </w:pPr>
            <w:r w:rsidRPr="00F0279E">
              <w:rPr>
                <w:sz w:val="20"/>
                <w:szCs w:val="20"/>
              </w:rPr>
              <w:t>Temporal extent</w:t>
            </w:r>
          </w:p>
        </w:tc>
        <w:tc>
          <w:tcPr>
            <w:tcW w:w="1001" w:type="pct"/>
            <w:tcBorders>
              <w:top w:val="single" w:sz="4" w:space="0" w:color="auto"/>
              <w:bottom w:val="single" w:sz="2" w:space="0" w:color="auto"/>
            </w:tcBorders>
            <w:vAlign w:val="bottom"/>
          </w:tcPr>
          <w:p w14:paraId="4E0C1806" w14:textId="77777777" w:rsidR="003C533D" w:rsidRPr="00F0279E" w:rsidRDefault="003C533D" w:rsidP="007612C7">
            <w:pPr>
              <w:pStyle w:val="Compact"/>
              <w:rPr>
                <w:sz w:val="20"/>
                <w:szCs w:val="20"/>
              </w:rPr>
            </w:pPr>
            <w:r w:rsidRPr="00F0279E">
              <w:rPr>
                <w:sz w:val="20"/>
                <w:szCs w:val="20"/>
              </w:rPr>
              <w:t>Citation(s)</w:t>
            </w:r>
          </w:p>
        </w:tc>
      </w:tr>
      <w:tr w:rsidR="003C533D" w:rsidRPr="00F0279E" w14:paraId="62D443AE" w14:textId="77777777" w:rsidTr="002234E3">
        <w:tc>
          <w:tcPr>
            <w:tcW w:w="1214" w:type="pct"/>
            <w:tcBorders>
              <w:top w:val="single" w:sz="2" w:space="0" w:color="auto"/>
            </w:tcBorders>
          </w:tcPr>
          <w:p w14:paraId="15CBF49D" w14:textId="77777777" w:rsidR="003C533D" w:rsidRPr="00F0279E" w:rsidRDefault="003C533D" w:rsidP="007612C7">
            <w:pPr>
              <w:pStyle w:val="Compact"/>
              <w:rPr>
                <w:sz w:val="20"/>
                <w:szCs w:val="20"/>
              </w:rPr>
            </w:pPr>
            <w:r w:rsidRPr="00F0279E">
              <w:rPr>
                <w:sz w:val="20"/>
                <w:szCs w:val="20"/>
              </w:rPr>
              <w:t>Elevation</w:t>
            </w:r>
          </w:p>
        </w:tc>
        <w:tc>
          <w:tcPr>
            <w:tcW w:w="1714" w:type="pct"/>
            <w:tcBorders>
              <w:top w:val="single" w:sz="2" w:space="0" w:color="auto"/>
            </w:tcBorders>
          </w:tcPr>
          <w:p w14:paraId="4C73E734" w14:textId="77777777" w:rsidR="003C533D" w:rsidRPr="00F0279E" w:rsidRDefault="003C533D" w:rsidP="007612C7">
            <w:pPr>
              <w:pStyle w:val="Compact"/>
              <w:rPr>
                <w:sz w:val="20"/>
                <w:szCs w:val="20"/>
              </w:rPr>
            </w:pPr>
            <w:r w:rsidRPr="00F0279E">
              <w:rPr>
                <w:sz w:val="20"/>
                <w:szCs w:val="20"/>
              </w:rPr>
              <w:t>SRTM v2.0</w:t>
            </w:r>
          </w:p>
        </w:tc>
        <w:tc>
          <w:tcPr>
            <w:tcW w:w="1072" w:type="pct"/>
            <w:tcBorders>
              <w:top w:val="single" w:sz="2" w:space="0" w:color="auto"/>
            </w:tcBorders>
          </w:tcPr>
          <w:p w14:paraId="15798A43" w14:textId="77777777" w:rsidR="003C533D" w:rsidRPr="00F0279E" w:rsidRDefault="003C533D" w:rsidP="007612C7">
            <w:pPr>
              <w:pStyle w:val="Compact"/>
              <w:rPr>
                <w:sz w:val="20"/>
                <w:szCs w:val="20"/>
              </w:rPr>
            </w:pPr>
          </w:p>
        </w:tc>
        <w:tc>
          <w:tcPr>
            <w:tcW w:w="1001" w:type="pct"/>
            <w:tcBorders>
              <w:top w:val="single" w:sz="2" w:space="0" w:color="auto"/>
            </w:tcBorders>
          </w:tcPr>
          <w:p w14:paraId="72B9F40B" w14:textId="77777777" w:rsidR="003C533D" w:rsidRPr="00F0279E" w:rsidRDefault="003C533D" w:rsidP="007612C7">
            <w:pPr>
              <w:pStyle w:val="Compact"/>
              <w:rPr>
                <w:sz w:val="20"/>
                <w:szCs w:val="20"/>
              </w:rPr>
            </w:pPr>
            <w:r w:rsidRPr="00F0279E">
              <w:rPr>
                <w:sz w:val="20"/>
                <w:szCs w:val="20"/>
              </w:rPr>
              <w:t>Farr et al. (2007)</w:t>
            </w:r>
          </w:p>
        </w:tc>
      </w:tr>
      <w:tr w:rsidR="003C533D" w:rsidRPr="00F0279E" w14:paraId="094B5D5D" w14:textId="77777777" w:rsidTr="007612C7">
        <w:tc>
          <w:tcPr>
            <w:tcW w:w="1214" w:type="pct"/>
          </w:tcPr>
          <w:p w14:paraId="04354374" w14:textId="77777777" w:rsidR="003C533D" w:rsidRPr="00F0279E" w:rsidRDefault="003C533D" w:rsidP="007612C7">
            <w:pPr>
              <w:pStyle w:val="Compact"/>
              <w:rPr>
                <w:sz w:val="20"/>
                <w:szCs w:val="20"/>
              </w:rPr>
            </w:pPr>
            <w:r w:rsidRPr="00F0279E">
              <w:rPr>
                <w:sz w:val="20"/>
                <w:szCs w:val="20"/>
              </w:rPr>
              <w:t>NDVI</w:t>
            </w:r>
          </w:p>
        </w:tc>
        <w:tc>
          <w:tcPr>
            <w:tcW w:w="1714" w:type="pct"/>
          </w:tcPr>
          <w:p w14:paraId="0A69796F" w14:textId="77777777" w:rsidR="003C533D" w:rsidRPr="00F0279E" w:rsidRDefault="003C533D" w:rsidP="007612C7">
            <w:pPr>
              <w:pStyle w:val="Compact"/>
              <w:rPr>
                <w:sz w:val="20"/>
                <w:szCs w:val="20"/>
              </w:rPr>
            </w:pPr>
            <w:r w:rsidRPr="00F0279E">
              <w:rPr>
                <w:sz w:val="20"/>
                <w:szCs w:val="20"/>
              </w:rPr>
              <w:t>MODIS (MOD13C2)</w:t>
            </w:r>
          </w:p>
        </w:tc>
        <w:tc>
          <w:tcPr>
            <w:tcW w:w="1072" w:type="pct"/>
          </w:tcPr>
          <w:p w14:paraId="0B6444F6" w14:textId="77777777" w:rsidR="003C533D" w:rsidRPr="00F0279E" w:rsidRDefault="003C533D" w:rsidP="007612C7">
            <w:pPr>
              <w:pStyle w:val="Compact"/>
              <w:rPr>
                <w:sz w:val="20"/>
                <w:szCs w:val="20"/>
              </w:rPr>
            </w:pPr>
            <w:r w:rsidRPr="00F0279E">
              <w:rPr>
                <w:sz w:val="20"/>
                <w:szCs w:val="20"/>
              </w:rPr>
              <w:t>Feb. 2000 to Apr. 2017</w:t>
            </w:r>
          </w:p>
        </w:tc>
        <w:tc>
          <w:tcPr>
            <w:tcW w:w="1001" w:type="pct"/>
          </w:tcPr>
          <w:p w14:paraId="20B6363C" w14:textId="77777777" w:rsidR="003C533D" w:rsidRPr="00F0279E" w:rsidRDefault="003C533D" w:rsidP="007612C7">
            <w:pPr>
              <w:pStyle w:val="Compact"/>
              <w:rPr>
                <w:sz w:val="20"/>
                <w:szCs w:val="20"/>
              </w:rPr>
            </w:pPr>
            <w:r w:rsidRPr="00F0279E">
              <w:rPr>
                <w:sz w:val="20"/>
                <w:szCs w:val="20"/>
              </w:rPr>
              <w:t>NASA (?)</w:t>
            </w:r>
          </w:p>
        </w:tc>
      </w:tr>
      <w:tr w:rsidR="003C533D" w:rsidRPr="00F0279E" w14:paraId="18F8E339" w14:textId="77777777" w:rsidTr="007612C7">
        <w:tc>
          <w:tcPr>
            <w:tcW w:w="1214" w:type="pct"/>
          </w:tcPr>
          <w:p w14:paraId="2B4969CA" w14:textId="77777777" w:rsidR="003C533D" w:rsidRPr="00F0279E" w:rsidRDefault="003C533D" w:rsidP="007612C7">
            <w:pPr>
              <w:pStyle w:val="Compact"/>
              <w:rPr>
                <w:sz w:val="20"/>
                <w:szCs w:val="20"/>
              </w:rPr>
            </w:pPr>
            <w:r w:rsidRPr="00F0279E">
              <w:rPr>
                <w:sz w:val="20"/>
                <w:szCs w:val="20"/>
              </w:rPr>
              <w:t>Surface temperature</w:t>
            </w:r>
          </w:p>
        </w:tc>
        <w:tc>
          <w:tcPr>
            <w:tcW w:w="1714" w:type="pct"/>
          </w:tcPr>
          <w:p w14:paraId="3A6C3C48" w14:textId="77777777" w:rsidR="003C533D" w:rsidRPr="00F0279E" w:rsidRDefault="003C533D" w:rsidP="007612C7">
            <w:pPr>
              <w:pStyle w:val="Compact"/>
              <w:rPr>
                <w:sz w:val="20"/>
                <w:szCs w:val="20"/>
              </w:rPr>
            </w:pPr>
            <w:r w:rsidRPr="00F0279E">
              <w:rPr>
                <w:sz w:val="20"/>
                <w:szCs w:val="20"/>
              </w:rPr>
              <w:t>MODIS (MOD11C3)</w:t>
            </w:r>
          </w:p>
        </w:tc>
        <w:tc>
          <w:tcPr>
            <w:tcW w:w="1072" w:type="pct"/>
          </w:tcPr>
          <w:p w14:paraId="65515E16" w14:textId="77777777" w:rsidR="003C533D" w:rsidRPr="00F0279E" w:rsidRDefault="003C533D" w:rsidP="007612C7">
            <w:pPr>
              <w:pStyle w:val="Compact"/>
              <w:rPr>
                <w:sz w:val="20"/>
                <w:szCs w:val="20"/>
              </w:rPr>
            </w:pPr>
            <w:r w:rsidRPr="00F0279E">
              <w:rPr>
                <w:sz w:val="20"/>
                <w:szCs w:val="20"/>
              </w:rPr>
              <w:t>Feb. 2000 to Apr. 2017</w:t>
            </w:r>
          </w:p>
        </w:tc>
        <w:tc>
          <w:tcPr>
            <w:tcW w:w="1001" w:type="pct"/>
          </w:tcPr>
          <w:p w14:paraId="7D935A37" w14:textId="77777777" w:rsidR="003C533D" w:rsidRPr="00F0279E" w:rsidRDefault="003C533D" w:rsidP="007612C7">
            <w:pPr>
              <w:pStyle w:val="Compact"/>
              <w:rPr>
                <w:sz w:val="20"/>
                <w:szCs w:val="20"/>
              </w:rPr>
            </w:pPr>
            <w:r w:rsidRPr="00F0279E">
              <w:rPr>
                <w:sz w:val="20"/>
                <w:szCs w:val="20"/>
              </w:rPr>
              <w:t>NASA (?)</w:t>
            </w:r>
          </w:p>
        </w:tc>
      </w:tr>
      <w:tr w:rsidR="003C533D" w:rsidRPr="00F0279E" w14:paraId="1B4D4C71" w14:textId="77777777" w:rsidTr="007612C7">
        <w:tc>
          <w:tcPr>
            <w:tcW w:w="1214" w:type="pct"/>
          </w:tcPr>
          <w:p w14:paraId="1F31C346" w14:textId="77777777" w:rsidR="003C533D" w:rsidRPr="00F0279E" w:rsidRDefault="003C533D" w:rsidP="007612C7">
            <w:pPr>
              <w:pStyle w:val="Compact"/>
              <w:rPr>
                <w:sz w:val="20"/>
                <w:szCs w:val="20"/>
              </w:rPr>
            </w:pPr>
            <w:r w:rsidRPr="00F0279E">
              <w:rPr>
                <w:sz w:val="20"/>
                <w:szCs w:val="20"/>
              </w:rPr>
              <w:t>MAP</w:t>
            </w:r>
          </w:p>
        </w:tc>
        <w:tc>
          <w:tcPr>
            <w:tcW w:w="1714" w:type="pct"/>
          </w:tcPr>
          <w:p w14:paraId="531D056F" w14:textId="77777777" w:rsidR="003C533D" w:rsidRPr="00F0279E" w:rsidRDefault="003C533D" w:rsidP="007612C7">
            <w:pPr>
              <w:pStyle w:val="Compact"/>
              <w:rPr>
                <w:sz w:val="20"/>
                <w:szCs w:val="20"/>
              </w:rPr>
            </w:pPr>
            <w:r w:rsidRPr="00F0279E">
              <w:rPr>
                <w:sz w:val="20"/>
                <w:szCs w:val="20"/>
              </w:rPr>
              <w:t>CHIRPS v2.0</w:t>
            </w:r>
          </w:p>
        </w:tc>
        <w:tc>
          <w:tcPr>
            <w:tcW w:w="1072" w:type="pct"/>
          </w:tcPr>
          <w:p w14:paraId="1B664539" w14:textId="77777777" w:rsidR="003C533D" w:rsidRPr="00F0279E" w:rsidRDefault="003C533D" w:rsidP="007612C7">
            <w:pPr>
              <w:pStyle w:val="Compact"/>
              <w:rPr>
                <w:sz w:val="20"/>
                <w:szCs w:val="20"/>
              </w:rPr>
            </w:pPr>
            <w:r w:rsidRPr="00F0279E">
              <w:rPr>
                <w:sz w:val="20"/>
                <w:szCs w:val="20"/>
              </w:rPr>
              <w:t>Jan. 1981 to Feb. 2017</w:t>
            </w:r>
          </w:p>
        </w:tc>
        <w:tc>
          <w:tcPr>
            <w:tcW w:w="1001" w:type="pct"/>
          </w:tcPr>
          <w:p w14:paraId="3D7A63A4" w14:textId="77777777" w:rsidR="003C533D" w:rsidRPr="00F0279E" w:rsidRDefault="003C533D" w:rsidP="007612C7">
            <w:pPr>
              <w:pStyle w:val="Compact"/>
              <w:rPr>
                <w:sz w:val="20"/>
                <w:szCs w:val="20"/>
              </w:rPr>
            </w:pPr>
            <w:r w:rsidRPr="00F0279E">
              <w:rPr>
                <w:sz w:val="20"/>
                <w:szCs w:val="20"/>
              </w:rPr>
              <w:t>Funk et al. (2015)</w:t>
            </w:r>
          </w:p>
        </w:tc>
      </w:tr>
      <w:tr w:rsidR="003C533D" w:rsidRPr="00F0279E" w14:paraId="53ED47E4" w14:textId="77777777" w:rsidTr="007612C7">
        <w:tc>
          <w:tcPr>
            <w:tcW w:w="1214" w:type="pct"/>
          </w:tcPr>
          <w:p w14:paraId="7F7A57EC" w14:textId="77777777" w:rsidR="003C533D" w:rsidRPr="00F0279E" w:rsidRDefault="003C533D" w:rsidP="007612C7">
            <w:pPr>
              <w:pStyle w:val="Compact"/>
              <w:rPr>
                <w:sz w:val="20"/>
                <w:szCs w:val="20"/>
              </w:rPr>
            </w:pPr>
            <w:r w:rsidRPr="00F0279E">
              <w:rPr>
                <w:sz w:val="20"/>
                <w:szCs w:val="20"/>
              </w:rPr>
              <w:t>PDQ</w:t>
            </w:r>
          </w:p>
        </w:tc>
        <w:tc>
          <w:tcPr>
            <w:tcW w:w="1714" w:type="pct"/>
          </w:tcPr>
          <w:p w14:paraId="138C06E0" w14:textId="77777777" w:rsidR="003C533D" w:rsidRPr="00F0279E" w:rsidRDefault="003C533D" w:rsidP="007612C7">
            <w:pPr>
              <w:pStyle w:val="Compact"/>
              <w:rPr>
                <w:sz w:val="20"/>
                <w:szCs w:val="20"/>
              </w:rPr>
            </w:pPr>
            <w:r w:rsidRPr="00F0279E">
              <w:rPr>
                <w:sz w:val="20"/>
                <w:szCs w:val="20"/>
              </w:rPr>
              <w:t>CHIRPS v2.0</w:t>
            </w:r>
          </w:p>
        </w:tc>
        <w:tc>
          <w:tcPr>
            <w:tcW w:w="1072" w:type="pct"/>
          </w:tcPr>
          <w:p w14:paraId="7DF088E0" w14:textId="77777777" w:rsidR="003C533D" w:rsidRPr="00F0279E" w:rsidRDefault="003C533D" w:rsidP="007612C7">
            <w:pPr>
              <w:pStyle w:val="Compact"/>
              <w:rPr>
                <w:sz w:val="20"/>
                <w:szCs w:val="20"/>
              </w:rPr>
            </w:pPr>
            <w:r w:rsidRPr="00F0279E">
              <w:rPr>
                <w:sz w:val="20"/>
                <w:szCs w:val="20"/>
              </w:rPr>
              <w:t>Jan. 1981 to Feb. 2017</w:t>
            </w:r>
          </w:p>
        </w:tc>
        <w:tc>
          <w:tcPr>
            <w:tcW w:w="1001" w:type="pct"/>
          </w:tcPr>
          <w:p w14:paraId="0FC000D9" w14:textId="77777777" w:rsidR="003C533D" w:rsidRPr="00F0279E" w:rsidRDefault="003C533D" w:rsidP="007612C7">
            <w:pPr>
              <w:pStyle w:val="Compact"/>
              <w:rPr>
                <w:sz w:val="20"/>
                <w:szCs w:val="20"/>
              </w:rPr>
            </w:pPr>
            <w:r w:rsidRPr="00F0279E">
              <w:rPr>
                <w:sz w:val="20"/>
                <w:szCs w:val="20"/>
              </w:rPr>
              <w:t>Funk et al. (2015)</w:t>
            </w:r>
          </w:p>
        </w:tc>
      </w:tr>
      <w:tr w:rsidR="003C533D" w:rsidRPr="00F0279E" w14:paraId="6D1B76AE" w14:textId="77777777" w:rsidTr="007612C7">
        <w:tc>
          <w:tcPr>
            <w:tcW w:w="1214" w:type="pct"/>
          </w:tcPr>
          <w:p w14:paraId="50EBE578" w14:textId="77777777" w:rsidR="003C533D" w:rsidRPr="00F0279E" w:rsidRDefault="003C533D" w:rsidP="007612C7">
            <w:pPr>
              <w:pStyle w:val="Compact"/>
              <w:rPr>
                <w:sz w:val="20"/>
                <w:szCs w:val="20"/>
              </w:rPr>
            </w:pPr>
            <w:r w:rsidRPr="00F0279E">
              <w:rPr>
                <w:sz w:val="20"/>
                <w:szCs w:val="20"/>
              </w:rPr>
              <w:t>CEC</w:t>
            </w:r>
          </w:p>
        </w:tc>
        <w:tc>
          <w:tcPr>
            <w:tcW w:w="1714" w:type="pct"/>
          </w:tcPr>
          <w:p w14:paraId="04CF1F2A" w14:textId="77777777" w:rsidR="003C533D" w:rsidRPr="00F0279E" w:rsidRDefault="003C533D" w:rsidP="007612C7">
            <w:pPr>
              <w:pStyle w:val="Compact"/>
              <w:rPr>
                <w:sz w:val="20"/>
                <w:szCs w:val="20"/>
              </w:rPr>
            </w:pPr>
            <w:r w:rsidRPr="00F0279E">
              <w:rPr>
                <w:sz w:val="20"/>
                <w:szCs w:val="20"/>
              </w:rPr>
              <w:t>SoilGrids250m (“CECSOL M 250m”)</w:t>
            </w:r>
          </w:p>
        </w:tc>
        <w:tc>
          <w:tcPr>
            <w:tcW w:w="1072" w:type="pct"/>
          </w:tcPr>
          <w:p w14:paraId="18EB3752" w14:textId="77777777" w:rsidR="003C533D" w:rsidRPr="00F0279E" w:rsidRDefault="003C533D" w:rsidP="007612C7">
            <w:pPr>
              <w:pStyle w:val="Compact"/>
              <w:rPr>
                <w:sz w:val="20"/>
                <w:szCs w:val="20"/>
              </w:rPr>
            </w:pPr>
          </w:p>
        </w:tc>
        <w:tc>
          <w:tcPr>
            <w:tcW w:w="1001" w:type="pct"/>
          </w:tcPr>
          <w:p w14:paraId="12B60CF3" w14:textId="77777777" w:rsidR="003C533D" w:rsidRPr="00F0279E" w:rsidRDefault="003C533D" w:rsidP="007612C7">
            <w:pPr>
              <w:pStyle w:val="Compact"/>
              <w:rPr>
                <w:sz w:val="20"/>
                <w:szCs w:val="20"/>
              </w:rPr>
            </w:pPr>
            <w:proofErr w:type="spellStart"/>
            <w:r w:rsidRPr="00F0279E">
              <w:rPr>
                <w:sz w:val="20"/>
                <w:szCs w:val="20"/>
              </w:rPr>
              <w:t>Hengl</w:t>
            </w:r>
            <w:proofErr w:type="spellEnd"/>
            <w:r w:rsidRPr="00F0279E">
              <w:rPr>
                <w:sz w:val="20"/>
                <w:szCs w:val="20"/>
              </w:rPr>
              <w:t xml:space="preserve"> et al. (2017)</w:t>
            </w:r>
          </w:p>
        </w:tc>
      </w:tr>
      <w:tr w:rsidR="003C533D" w:rsidRPr="00F0279E" w14:paraId="3A4F01B8" w14:textId="77777777" w:rsidTr="007612C7">
        <w:tc>
          <w:tcPr>
            <w:tcW w:w="1214" w:type="pct"/>
          </w:tcPr>
          <w:p w14:paraId="51A4D816" w14:textId="77777777" w:rsidR="003C533D" w:rsidRPr="00F0279E" w:rsidRDefault="003C533D" w:rsidP="007612C7">
            <w:pPr>
              <w:pStyle w:val="Compact"/>
              <w:rPr>
                <w:sz w:val="20"/>
                <w:szCs w:val="20"/>
              </w:rPr>
            </w:pPr>
            <w:r w:rsidRPr="00F0279E">
              <w:rPr>
                <w:sz w:val="20"/>
                <w:szCs w:val="20"/>
              </w:rPr>
              <w:t>Clay</w:t>
            </w:r>
          </w:p>
        </w:tc>
        <w:tc>
          <w:tcPr>
            <w:tcW w:w="1714" w:type="pct"/>
          </w:tcPr>
          <w:p w14:paraId="3C02ACF8" w14:textId="77777777" w:rsidR="003C533D" w:rsidRPr="00F0279E" w:rsidRDefault="003C533D" w:rsidP="007612C7">
            <w:pPr>
              <w:pStyle w:val="Compact"/>
              <w:rPr>
                <w:sz w:val="20"/>
                <w:szCs w:val="20"/>
              </w:rPr>
            </w:pPr>
            <w:r w:rsidRPr="00F0279E">
              <w:rPr>
                <w:sz w:val="20"/>
                <w:szCs w:val="20"/>
              </w:rPr>
              <w:t>SoilGrids250m (“CLYPPT M 250m”)</w:t>
            </w:r>
          </w:p>
        </w:tc>
        <w:tc>
          <w:tcPr>
            <w:tcW w:w="1072" w:type="pct"/>
          </w:tcPr>
          <w:p w14:paraId="4DB26BED" w14:textId="77777777" w:rsidR="003C533D" w:rsidRPr="00F0279E" w:rsidRDefault="003C533D" w:rsidP="007612C7">
            <w:pPr>
              <w:pStyle w:val="Compact"/>
              <w:rPr>
                <w:sz w:val="20"/>
                <w:szCs w:val="20"/>
              </w:rPr>
            </w:pPr>
          </w:p>
        </w:tc>
        <w:tc>
          <w:tcPr>
            <w:tcW w:w="1001" w:type="pct"/>
          </w:tcPr>
          <w:p w14:paraId="50E34806" w14:textId="77777777" w:rsidR="003C533D" w:rsidRPr="00F0279E" w:rsidRDefault="003C533D" w:rsidP="007612C7">
            <w:pPr>
              <w:pStyle w:val="Compact"/>
              <w:rPr>
                <w:sz w:val="20"/>
                <w:szCs w:val="20"/>
              </w:rPr>
            </w:pPr>
          </w:p>
        </w:tc>
      </w:tr>
      <w:tr w:rsidR="003C533D" w:rsidRPr="00F0279E" w14:paraId="4436128C" w14:textId="77777777" w:rsidTr="007612C7">
        <w:tc>
          <w:tcPr>
            <w:tcW w:w="1214" w:type="pct"/>
          </w:tcPr>
          <w:p w14:paraId="0401CD22" w14:textId="77777777" w:rsidR="003C533D" w:rsidRPr="00F0279E" w:rsidRDefault="003C533D" w:rsidP="007612C7">
            <w:pPr>
              <w:pStyle w:val="Compact"/>
              <w:rPr>
                <w:sz w:val="20"/>
                <w:szCs w:val="20"/>
              </w:rPr>
            </w:pPr>
            <w:r w:rsidRPr="00F0279E">
              <w:rPr>
                <w:sz w:val="20"/>
                <w:szCs w:val="20"/>
              </w:rPr>
              <w:t>Soil carbon</w:t>
            </w:r>
          </w:p>
        </w:tc>
        <w:tc>
          <w:tcPr>
            <w:tcW w:w="1714" w:type="pct"/>
          </w:tcPr>
          <w:p w14:paraId="54274A4C" w14:textId="77777777" w:rsidR="003C533D" w:rsidRPr="00F0279E" w:rsidRDefault="003C533D" w:rsidP="007612C7">
            <w:pPr>
              <w:pStyle w:val="Compact"/>
              <w:rPr>
                <w:sz w:val="20"/>
                <w:szCs w:val="20"/>
              </w:rPr>
            </w:pPr>
            <w:r w:rsidRPr="00F0279E">
              <w:rPr>
                <w:sz w:val="20"/>
                <w:szCs w:val="20"/>
              </w:rPr>
              <w:t>SoilGrids250m (“OCDENS M 250m”)</w:t>
            </w:r>
          </w:p>
        </w:tc>
        <w:tc>
          <w:tcPr>
            <w:tcW w:w="1072" w:type="pct"/>
          </w:tcPr>
          <w:p w14:paraId="025A2140" w14:textId="77777777" w:rsidR="003C533D" w:rsidRPr="00F0279E" w:rsidRDefault="003C533D" w:rsidP="007612C7">
            <w:pPr>
              <w:pStyle w:val="Compact"/>
              <w:rPr>
                <w:sz w:val="20"/>
                <w:szCs w:val="20"/>
              </w:rPr>
            </w:pPr>
          </w:p>
        </w:tc>
        <w:tc>
          <w:tcPr>
            <w:tcW w:w="1001" w:type="pct"/>
          </w:tcPr>
          <w:p w14:paraId="56BA4D58" w14:textId="77777777" w:rsidR="003C533D" w:rsidRPr="00F0279E" w:rsidRDefault="003C533D" w:rsidP="007612C7">
            <w:pPr>
              <w:pStyle w:val="Compact"/>
              <w:rPr>
                <w:sz w:val="20"/>
                <w:szCs w:val="20"/>
              </w:rPr>
            </w:pPr>
          </w:p>
        </w:tc>
      </w:tr>
      <w:tr w:rsidR="003C533D" w:rsidRPr="00F0279E" w14:paraId="7BE3BB46" w14:textId="77777777" w:rsidTr="002234E3">
        <w:tc>
          <w:tcPr>
            <w:tcW w:w="1214" w:type="pct"/>
          </w:tcPr>
          <w:p w14:paraId="69724CB7" w14:textId="77777777" w:rsidR="003C533D" w:rsidRPr="00F0279E" w:rsidRDefault="003C533D" w:rsidP="007612C7">
            <w:pPr>
              <w:pStyle w:val="Compact"/>
              <w:rPr>
                <w:sz w:val="20"/>
                <w:szCs w:val="20"/>
              </w:rPr>
            </w:pPr>
            <w:r w:rsidRPr="00F0279E">
              <w:rPr>
                <w:sz w:val="20"/>
                <w:szCs w:val="20"/>
              </w:rPr>
              <w:t>pH</w:t>
            </w:r>
          </w:p>
        </w:tc>
        <w:tc>
          <w:tcPr>
            <w:tcW w:w="1714" w:type="pct"/>
          </w:tcPr>
          <w:p w14:paraId="60F5E9BC" w14:textId="77777777" w:rsidR="003C533D" w:rsidRPr="00F0279E" w:rsidRDefault="003C533D" w:rsidP="007612C7">
            <w:pPr>
              <w:pStyle w:val="Compact"/>
              <w:rPr>
                <w:sz w:val="20"/>
                <w:szCs w:val="20"/>
              </w:rPr>
            </w:pPr>
            <w:r w:rsidRPr="00F0279E">
              <w:rPr>
                <w:sz w:val="20"/>
                <w:szCs w:val="20"/>
              </w:rPr>
              <w:t>SoilGrids250m (“PHIKCL M 250m”)</w:t>
            </w:r>
          </w:p>
        </w:tc>
        <w:tc>
          <w:tcPr>
            <w:tcW w:w="1072" w:type="pct"/>
          </w:tcPr>
          <w:p w14:paraId="5514C8A8" w14:textId="77777777" w:rsidR="003C533D" w:rsidRPr="00F0279E" w:rsidRDefault="003C533D" w:rsidP="007612C7">
            <w:pPr>
              <w:pStyle w:val="Compact"/>
              <w:rPr>
                <w:sz w:val="20"/>
                <w:szCs w:val="20"/>
              </w:rPr>
            </w:pPr>
          </w:p>
        </w:tc>
        <w:tc>
          <w:tcPr>
            <w:tcW w:w="1001" w:type="pct"/>
          </w:tcPr>
          <w:p w14:paraId="1962BC6F" w14:textId="77777777" w:rsidR="003C533D" w:rsidRPr="00F0279E" w:rsidRDefault="003C533D" w:rsidP="007612C7">
            <w:pPr>
              <w:pStyle w:val="Compact"/>
              <w:rPr>
                <w:sz w:val="20"/>
                <w:szCs w:val="20"/>
              </w:rPr>
            </w:pPr>
          </w:p>
        </w:tc>
      </w:tr>
      <w:tr w:rsidR="003C533D" w:rsidRPr="00F0279E" w14:paraId="6EAAC875" w14:textId="77777777" w:rsidTr="002234E3">
        <w:tc>
          <w:tcPr>
            <w:tcW w:w="1214" w:type="pct"/>
            <w:tcBorders>
              <w:bottom w:val="single" w:sz="4" w:space="0" w:color="auto"/>
            </w:tcBorders>
          </w:tcPr>
          <w:p w14:paraId="6A945B2C" w14:textId="77777777" w:rsidR="003C533D" w:rsidRPr="00F0279E" w:rsidRDefault="003C533D" w:rsidP="007612C7">
            <w:pPr>
              <w:pStyle w:val="Compact"/>
              <w:rPr>
                <w:sz w:val="20"/>
                <w:szCs w:val="20"/>
              </w:rPr>
            </w:pPr>
            <w:r w:rsidRPr="00F0279E">
              <w:rPr>
                <w:sz w:val="20"/>
                <w:szCs w:val="20"/>
              </w:rPr>
              <w:t>Plant species occurrences</w:t>
            </w:r>
          </w:p>
        </w:tc>
        <w:tc>
          <w:tcPr>
            <w:tcW w:w="1714" w:type="pct"/>
            <w:tcBorders>
              <w:bottom w:val="single" w:sz="4" w:space="0" w:color="auto"/>
            </w:tcBorders>
          </w:tcPr>
          <w:p w14:paraId="587A92CE" w14:textId="77777777" w:rsidR="003C533D" w:rsidRPr="00F0279E" w:rsidRDefault="003C533D" w:rsidP="007612C7">
            <w:pPr>
              <w:pStyle w:val="Compact"/>
              <w:rPr>
                <w:sz w:val="20"/>
                <w:szCs w:val="20"/>
              </w:rPr>
            </w:pPr>
            <w:r w:rsidRPr="00F0279E">
              <w:rPr>
                <w:sz w:val="20"/>
                <w:szCs w:val="20"/>
              </w:rPr>
              <w:t>GBIF</w:t>
            </w:r>
          </w:p>
        </w:tc>
        <w:tc>
          <w:tcPr>
            <w:tcW w:w="1072" w:type="pct"/>
            <w:tcBorders>
              <w:bottom w:val="single" w:sz="4" w:space="0" w:color="auto"/>
            </w:tcBorders>
          </w:tcPr>
          <w:p w14:paraId="715ED149" w14:textId="77777777" w:rsidR="003C533D" w:rsidRPr="00F0279E" w:rsidRDefault="003C533D" w:rsidP="007612C7">
            <w:pPr>
              <w:pStyle w:val="Compact"/>
              <w:rPr>
                <w:sz w:val="20"/>
                <w:szCs w:val="20"/>
              </w:rPr>
            </w:pPr>
          </w:p>
        </w:tc>
        <w:tc>
          <w:tcPr>
            <w:tcW w:w="1001" w:type="pct"/>
            <w:tcBorders>
              <w:bottom w:val="single" w:sz="4" w:space="0" w:color="auto"/>
            </w:tcBorders>
          </w:tcPr>
          <w:p w14:paraId="5D8FBF4D" w14:textId="77777777" w:rsidR="003C533D" w:rsidRPr="00F0279E" w:rsidRDefault="003C533D" w:rsidP="007612C7">
            <w:pPr>
              <w:pStyle w:val="Compact"/>
              <w:rPr>
                <w:sz w:val="20"/>
                <w:szCs w:val="20"/>
              </w:rPr>
            </w:pPr>
            <w:r w:rsidRPr="00F0279E">
              <w:rPr>
                <w:sz w:val="20"/>
                <w:szCs w:val="20"/>
              </w:rPr>
              <w:t>GBIF (24 July 2017), GBIF (24 July 2017)</w:t>
            </w:r>
          </w:p>
        </w:tc>
      </w:tr>
    </w:tbl>
    <w:p w14:paraId="28D92864" w14:textId="77777777" w:rsidR="003C533D" w:rsidRDefault="003C533D" w:rsidP="003C533D">
      <w:pPr>
        <w:rPr>
          <w:rFonts w:asciiTheme="majorBidi" w:eastAsiaTheme="majorEastAsia" w:hAnsiTheme="majorBidi" w:cstheme="majorBidi"/>
          <w:b/>
          <w:bCs/>
          <w:color w:val="000000" w:themeColor="text1"/>
          <w:sz w:val="28"/>
          <w:szCs w:val="32"/>
        </w:rPr>
      </w:pPr>
      <w:r>
        <w:br w:type="page"/>
      </w:r>
    </w:p>
    <w:p w14:paraId="3474C678" w14:textId="7A7BE2F4" w:rsidR="00F0279E" w:rsidRDefault="00D04776" w:rsidP="00D04776">
      <w:pPr>
        <w:pStyle w:val="TableCaption"/>
      </w:pPr>
      <w:r>
        <w:lastRenderedPageBreak/>
        <w:t>Table 2</w:t>
      </w:r>
      <w:r w:rsidR="00923DF4">
        <w:t xml:space="preserve"> (next page)</w:t>
      </w:r>
      <w:r>
        <w:t xml:space="preserve">: Results of univariate regressions of vascular plant species richness against various axes of </w:t>
      </w:r>
      <w:r w:rsidR="007948F4">
        <w:t>environmental heterogeneity</w:t>
      </w:r>
      <w:r>
        <w:t xml:space="preserve"> and overall </w:t>
      </w:r>
      <w:r w:rsidR="007948F4">
        <w:t>environmental heterogeneity</w:t>
      </w:r>
      <w:r>
        <w:t xml:space="preserve"> (PC1) across the GCFR and SWAFR,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  Abbreviations are as follows: MAP, mean annual precipitation; PDQ, precipitation in the driest quarter; CEC, cation exchange capacity; T, temperature.</w:t>
      </w:r>
    </w:p>
    <w:p w14:paraId="44D8CB67" w14:textId="77777777" w:rsidR="002F370B" w:rsidRDefault="002F370B" w:rsidP="00F0279E"/>
    <w:p w14:paraId="3928060E" w14:textId="0DA66E0E" w:rsidR="002F370B" w:rsidRDefault="002F370B" w:rsidP="00F0279E">
      <w:pPr>
        <w:sectPr w:rsidR="002F370B" w:rsidSect="002F370B">
          <w:pgSz w:w="12240" w:h="15840"/>
          <w:pgMar w:top="1440" w:right="1440" w:bottom="1440" w:left="1440" w:header="720" w:footer="720" w:gutter="0"/>
          <w:lnNumType w:countBy="1" w:restart="continuous"/>
          <w:cols w:space="720"/>
          <w:docGrid w:linePitch="326"/>
        </w:sectPr>
      </w:pPr>
    </w:p>
    <w:tbl>
      <w:tblPr>
        <w:tblStyle w:val="Table"/>
        <w:tblW w:w="5000" w:type="pct"/>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422"/>
        <w:gridCol w:w="1954"/>
        <w:gridCol w:w="2284"/>
        <w:gridCol w:w="972"/>
        <w:gridCol w:w="746"/>
        <w:gridCol w:w="2041"/>
        <w:gridCol w:w="746"/>
        <w:gridCol w:w="2049"/>
        <w:gridCol w:w="746"/>
      </w:tblGrid>
      <w:tr w:rsidR="00D04776" w14:paraId="4E13A69F" w14:textId="77777777" w:rsidTr="00634215">
        <w:tc>
          <w:tcPr>
            <w:tcW w:w="0" w:type="auto"/>
            <w:tcBorders>
              <w:top w:val="single" w:sz="4" w:space="0" w:color="auto"/>
            </w:tcBorders>
            <w:vAlign w:val="bottom"/>
          </w:tcPr>
          <w:p w14:paraId="7EEEC96C" w14:textId="77777777" w:rsidR="00D04776" w:rsidRPr="002234E3" w:rsidRDefault="00D04776" w:rsidP="00F0279E">
            <w:pPr>
              <w:pStyle w:val="Compact"/>
              <w:rPr>
                <w:sz w:val="20"/>
                <w:szCs w:val="20"/>
              </w:rPr>
            </w:pPr>
          </w:p>
        </w:tc>
        <w:tc>
          <w:tcPr>
            <w:tcW w:w="754" w:type="pct"/>
            <w:tcBorders>
              <w:top w:val="single" w:sz="4" w:space="0" w:color="auto"/>
            </w:tcBorders>
            <w:vAlign w:val="bottom"/>
          </w:tcPr>
          <w:p w14:paraId="29B240A7" w14:textId="77777777" w:rsidR="00D04776" w:rsidRPr="002234E3" w:rsidRDefault="00D04776" w:rsidP="00F0279E">
            <w:pPr>
              <w:pStyle w:val="Compact"/>
              <w:rPr>
                <w:sz w:val="20"/>
                <w:szCs w:val="20"/>
              </w:rPr>
            </w:pPr>
          </w:p>
        </w:tc>
        <w:tc>
          <w:tcPr>
            <w:tcW w:w="881" w:type="pct"/>
            <w:tcBorders>
              <w:top w:val="single" w:sz="4" w:space="0" w:color="auto"/>
            </w:tcBorders>
            <w:vAlign w:val="bottom"/>
          </w:tcPr>
          <w:p w14:paraId="3667096E" w14:textId="77777777" w:rsidR="00D04776" w:rsidRPr="002234E3" w:rsidRDefault="00D04776" w:rsidP="00F0279E">
            <w:pPr>
              <w:pStyle w:val="Compact"/>
              <w:rPr>
                <w:sz w:val="20"/>
                <w:szCs w:val="20"/>
              </w:rPr>
            </w:pPr>
          </w:p>
        </w:tc>
        <w:tc>
          <w:tcPr>
            <w:tcW w:w="0" w:type="auto"/>
            <w:gridSpan w:val="6"/>
            <w:tcBorders>
              <w:top w:val="single" w:sz="4" w:space="0" w:color="auto"/>
              <w:bottom w:val="single" w:sz="2" w:space="0" w:color="auto"/>
            </w:tcBorders>
            <w:vAlign w:val="bottom"/>
          </w:tcPr>
          <w:p w14:paraId="29E194BC" w14:textId="77777777" w:rsidR="00D04776" w:rsidRPr="002234E3" w:rsidRDefault="00D04776" w:rsidP="00F0279E">
            <w:pPr>
              <w:pStyle w:val="Compact"/>
              <w:jc w:val="center"/>
              <w:rPr>
                <w:sz w:val="20"/>
                <w:szCs w:val="20"/>
              </w:rPr>
            </w:pPr>
            <w:r w:rsidRPr="002234E3">
              <w:rPr>
                <w:sz w:val="20"/>
                <w:szCs w:val="20"/>
              </w:rPr>
              <w:t>Model term</w:t>
            </w:r>
          </w:p>
        </w:tc>
      </w:tr>
      <w:tr w:rsidR="00D04776" w14:paraId="68C1A1ED" w14:textId="77777777" w:rsidTr="00634215">
        <w:tc>
          <w:tcPr>
            <w:tcW w:w="0" w:type="auto"/>
            <w:tcBorders>
              <w:bottom w:val="single" w:sz="2" w:space="0" w:color="auto"/>
            </w:tcBorders>
            <w:vAlign w:val="bottom"/>
          </w:tcPr>
          <w:p w14:paraId="62EBEFAF" w14:textId="77777777" w:rsidR="00D04776" w:rsidRPr="002234E3" w:rsidRDefault="00D04776" w:rsidP="00F0279E">
            <w:pPr>
              <w:pStyle w:val="Compact"/>
              <w:rPr>
                <w:sz w:val="20"/>
                <w:szCs w:val="20"/>
              </w:rPr>
            </w:pPr>
            <w:r w:rsidRPr="002234E3">
              <w:rPr>
                <w:sz w:val="20"/>
                <w:szCs w:val="20"/>
              </w:rPr>
              <w:t>Response</w:t>
            </w:r>
          </w:p>
        </w:tc>
        <w:tc>
          <w:tcPr>
            <w:tcW w:w="754" w:type="pct"/>
            <w:tcBorders>
              <w:bottom w:val="single" w:sz="2" w:space="0" w:color="auto"/>
            </w:tcBorders>
            <w:vAlign w:val="bottom"/>
          </w:tcPr>
          <w:p w14:paraId="1057092F" w14:textId="77777777" w:rsidR="00D04776" w:rsidRPr="002234E3" w:rsidRDefault="00D04776" w:rsidP="00F0279E">
            <w:pPr>
              <w:pStyle w:val="Compact"/>
              <w:rPr>
                <w:sz w:val="20"/>
                <w:szCs w:val="20"/>
              </w:rPr>
            </w:pPr>
            <w:r w:rsidRPr="002234E3">
              <w:rPr>
                <w:sz w:val="20"/>
                <w:szCs w:val="20"/>
              </w:rPr>
              <w:t>Model type</w:t>
            </w:r>
          </w:p>
        </w:tc>
        <w:tc>
          <w:tcPr>
            <w:tcW w:w="881" w:type="pct"/>
            <w:tcBorders>
              <w:bottom w:val="single" w:sz="2" w:space="0" w:color="auto"/>
            </w:tcBorders>
            <w:vAlign w:val="bottom"/>
          </w:tcPr>
          <w:p w14:paraId="7608062B" w14:textId="23B856CA" w:rsidR="00D04776" w:rsidRPr="002234E3" w:rsidRDefault="00634215" w:rsidP="00F0279E">
            <w:pPr>
              <w:pStyle w:val="Compact"/>
              <w:rPr>
                <w:sz w:val="20"/>
                <w:szCs w:val="20"/>
              </w:rPr>
            </w:pPr>
            <w:r>
              <w:rPr>
                <w:sz w:val="20"/>
                <w:szCs w:val="20"/>
              </w:rPr>
              <w:t>P</w:t>
            </w:r>
            <w:r w:rsidR="00D04776" w:rsidRPr="002234E3">
              <w:rPr>
                <w:sz w:val="20"/>
                <w:szCs w:val="20"/>
              </w:rPr>
              <w:t>redictor</w:t>
            </w:r>
          </w:p>
        </w:tc>
        <w:tc>
          <w:tcPr>
            <w:tcW w:w="0" w:type="auto"/>
            <w:tcBorders>
              <w:top w:val="single" w:sz="4" w:space="0" w:color="auto"/>
              <w:bottom w:val="single" w:sz="2" w:space="0" w:color="auto"/>
            </w:tcBorders>
            <w:vAlign w:val="bottom"/>
          </w:tcPr>
          <w:p w14:paraId="2CE1A55F" w14:textId="77777777" w:rsidR="00D04776" w:rsidRPr="002234E3" w:rsidRDefault="00D04776" w:rsidP="00F0279E">
            <w:pPr>
              <w:pStyle w:val="Compact"/>
              <w:jc w:val="center"/>
              <w:rPr>
                <w:sz w:val="20"/>
                <w:szCs w:val="20"/>
              </w:rPr>
            </w:pPr>
            <w:r w:rsidRPr="002234E3">
              <w:rPr>
                <w:sz w:val="20"/>
                <w:szCs w:val="20"/>
              </w:rPr>
              <w:t>Slope</w:t>
            </w:r>
          </w:p>
        </w:tc>
        <w:tc>
          <w:tcPr>
            <w:tcW w:w="0" w:type="auto"/>
            <w:tcBorders>
              <w:top w:val="single" w:sz="4" w:space="0" w:color="auto"/>
              <w:bottom w:val="single" w:sz="2" w:space="0" w:color="auto"/>
            </w:tcBorders>
            <w:vAlign w:val="bottom"/>
          </w:tcPr>
          <w:p w14:paraId="6791E9D4" w14:textId="77777777" w:rsidR="00D04776" w:rsidRPr="002234E3" w:rsidRDefault="00D04776" w:rsidP="00F0279E">
            <w:pPr>
              <w:pStyle w:val="Compact"/>
              <w:rPr>
                <w:sz w:val="20"/>
                <w:szCs w:val="20"/>
              </w:rPr>
            </w:pPr>
          </w:p>
        </w:tc>
        <w:tc>
          <w:tcPr>
            <w:tcW w:w="0" w:type="auto"/>
            <w:tcBorders>
              <w:top w:val="single" w:sz="4" w:space="0" w:color="auto"/>
              <w:bottom w:val="single" w:sz="2" w:space="0" w:color="auto"/>
            </w:tcBorders>
            <w:vAlign w:val="bottom"/>
          </w:tcPr>
          <w:p w14:paraId="63C44C52" w14:textId="77777777" w:rsidR="00D04776" w:rsidRPr="002234E3" w:rsidRDefault="00D04776" w:rsidP="00F0279E">
            <w:pPr>
              <w:pStyle w:val="Compact"/>
              <w:jc w:val="center"/>
              <w:rPr>
                <w:sz w:val="20"/>
                <w:szCs w:val="20"/>
              </w:rPr>
            </w:pPr>
            <w:r w:rsidRPr="002234E3">
              <w:rPr>
                <w:sz w:val="20"/>
                <w:szCs w:val="20"/>
              </w:rPr>
              <w:t>SWAFR effect</w:t>
            </w:r>
          </w:p>
        </w:tc>
        <w:tc>
          <w:tcPr>
            <w:tcW w:w="0" w:type="auto"/>
            <w:tcBorders>
              <w:top w:val="single" w:sz="4" w:space="0" w:color="auto"/>
              <w:bottom w:val="single" w:sz="2" w:space="0" w:color="auto"/>
            </w:tcBorders>
            <w:vAlign w:val="bottom"/>
          </w:tcPr>
          <w:p w14:paraId="7CB0CB9D" w14:textId="77777777" w:rsidR="00D04776" w:rsidRPr="002234E3" w:rsidRDefault="00D04776" w:rsidP="00F0279E">
            <w:pPr>
              <w:pStyle w:val="Compact"/>
              <w:rPr>
                <w:sz w:val="20"/>
                <w:szCs w:val="20"/>
              </w:rPr>
            </w:pPr>
          </w:p>
        </w:tc>
        <w:tc>
          <w:tcPr>
            <w:tcW w:w="0" w:type="auto"/>
            <w:tcBorders>
              <w:top w:val="single" w:sz="4" w:space="0" w:color="auto"/>
              <w:bottom w:val="single" w:sz="2" w:space="0" w:color="auto"/>
            </w:tcBorders>
            <w:vAlign w:val="bottom"/>
          </w:tcPr>
          <w:p w14:paraId="25804078" w14:textId="77777777" w:rsidR="00D04776" w:rsidRPr="002234E3" w:rsidRDefault="00D04776" w:rsidP="00F0279E">
            <w:pPr>
              <w:pStyle w:val="Compact"/>
              <w:jc w:val="center"/>
              <w:rPr>
                <w:sz w:val="20"/>
                <w:szCs w:val="20"/>
              </w:rPr>
            </w:pPr>
            <w:proofErr w:type="spellStart"/>
            <w:proofErr w:type="gramStart"/>
            <w:r w:rsidRPr="002234E3">
              <w:rPr>
                <w:sz w:val="20"/>
                <w:szCs w:val="20"/>
              </w:rPr>
              <w:t>Slope:SWAFR</w:t>
            </w:r>
            <w:proofErr w:type="spellEnd"/>
            <w:proofErr w:type="gramEnd"/>
          </w:p>
        </w:tc>
        <w:tc>
          <w:tcPr>
            <w:tcW w:w="0" w:type="auto"/>
            <w:tcBorders>
              <w:top w:val="single" w:sz="4" w:space="0" w:color="auto"/>
              <w:bottom w:val="single" w:sz="2" w:space="0" w:color="auto"/>
            </w:tcBorders>
            <w:vAlign w:val="bottom"/>
          </w:tcPr>
          <w:p w14:paraId="44360DF1" w14:textId="77777777" w:rsidR="00D04776" w:rsidRPr="002234E3" w:rsidRDefault="00D04776" w:rsidP="00F0279E">
            <w:pPr>
              <w:pStyle w:val="Compact"/>
              <w:rPr>
                <w:sz w:val="20"/>
                <w:szCs w:val="20"/>
              </w:rPr>
            </w:pPr>
          </w:p>
        </w:tc>
      </w:tr>
      <w:tr w:rsidR="00D04776" w14:paraId="1D4B725B" w14:textId="77777777" w:rsidTr="00634215">
        <w:tc>
          <w:tcPr>
            <w:tcW w:w="0" w:type="auto"/>
            <w:tcBorders>
              <w:top w:val="single" w:sz="2" w:space="0" w:color="auto"/>
              <w:bottom w:val="dashed" w:sz="4" w:space="0" w:color="auto"/>
            </w:tcBorders>
          </w:tcPr>
          <w:p w14:paraId="676DF6F5" w14:textId="77777777" w:rsidR="00D04776" w:rsidRPr="002234E3" w:rsidRDefault="00D04776" w:rsidP="00F0279E">
            <w:pPr>
              <w:pStyle w:val="Compact"/>
              <w:rPr>
                <w:sz w:val="20"/>
                <w:szCs w:val="20"/>
              </w:rPr>
            </w:pPr>
            <w:r w:rsidRPr="002234E3">
              <w:rPr>
                <w:sz w:val="20"/>
                <w:szCs w:val="20"/>
              </w:rPr>
              <w:t xml:space="preserve">(a) </w:t>
            </w:r>
            <w:r w:rsidRPr="002234E3">
              <w:rPr>
                <w:i/>
                <w:sz w:val="20"/>
                <w:szCs w:val="20"/>
              </w:rPr>
              <w:t>S</w:t>
            </w:r>
            <w:r w:rsidRPr="002234E3">
              <w:rPr>
                <w:sz w:val="20"/>
                <w:szCs w:val="20"/>
                <w:vertAlign w:val="subscript"/>
              </w:rPr>
              <w:t>HDS</w:t>
            </w:r>
          </w:p>
        </w:tc>
        <w:tc>
          <w:tcPr>
            <w:tcW w:w="754" w:type="pct"/>
            <w:tcBorders>
              <w:top w:val="single" w:sz="2" w:space="0" w:color="auto"/>
              <w:bottom w:val="dashed" w:sz="4" w:space="0" w:color="auto"/>
            </w:tcBorders>
          </w:tcPr>
          <w:p w14:paraId="00A80A7F" w14:textId="77777777" w:rsidR="00D04776" w:rsidRPr="002234E3" w:rsidRDefault="00D04776" w:rsidP="00F0279E">
            <w:pPr>
              <w:pStyle w:val="Compact"/>
              <w:rPr>
                <w:sz w:val="20"/>
                <w:szCs w:val="20"/>
              </w:rPr>
            </w:pPr>
            <w:r w:rsidRPr="002234E3">
              <w:rPr>
                <w:sz w:val="20"/>
                <w:szCs w:val="20"/>
              </w:rPr>
              <w:t>Main effect × region</w:t>
            </w:r>
          </w:p>
        </w:tc>
        <w:tc>
          <w:tcPr>
            <w:tcW w:w="881" w:type="pct"/>
            <w:tcBorders>
              <w:top w:val="single" w:sz="2" w:space="0" w:color="auto"/>
              <w:bottom w:val="dashed" w:sz="4" w:space="0" w:color="auto"/>
            </w:tcBorders>
          </w:tcPr>
          <w:p w14:paraId="49A7566B" w14:textId="77777777" w:rsidR="00D04776" w:rsidRPr="002234E3" w:rsidRDefault="00D04776" w:rsidP="00F0279E">
            <w:pPr>
              <w:pStyle w:val="Compact"/>
              <w:rPr>
                <w:sz w:val="20"/>
                <w:szCs w:val="20"/>
              </w:rPr>
            </w:pPr>
            <w:r w:rsidRPr="002234E3">
              <w:rPr>
                <w:sz w:val="20"/>
                <w:szCs w:val="20"/>
              </w:rPr>
              <w:t>MAP</w:t>
            </w:r>
          </w:p>
        </w:tc>
        <w:tc>
          <w:tcPr>
            <w:tcW w:w="0" w:type="auto"/>
            <w:tcBorders>
              <w:top w:val="single" w:sz="2" w:space="0" w:color="auto"/>
              <w:bottom w:val="dashed" w:sz="4" w:space="0" w:color="auto"/>
            </w:tcBorders>
          </w:tcPr>
          <w:p w14:paraId="33AB2E20"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2" w:space="0" w:color="auto"/>
              <w:bottom w:val="dashed" w:sz="4" w:space="0" w:color="auto"/>
            </w:tcBorders>
          </w:tcPr>
          <w:p w14:paraId="49154C1A" w14:textId="77777777" w:rsidR="00D04776" w:rsidRPr="002234E3" w:rsidRDefault="00D04776" w:rsidP="00F0279E">
            <w:pPr>
              <w:pStyle w:val="Compact"/>
              <w:rPr>
                <w:sz w:val="20"/>
                <w:szCs w:val="20"/>
              </w:rPr>
            </w:pPr>
            <w:r w:rsidRPr="002234E3">
              <w:rPr>
                <w:sz w:val="20"/>
                <w:szCs w:val="20"/>
              </w:rPr>
              <w:t>***</w:t>
            </w:r>
          </w:p>
        </w:tc>
        <w:tc>
          <w:tcPr>
            <w:tcW w:w="0" w:type="auto"/>
            <w:tcBorders>
              <w:top w:val="single" w:sz="2" w:space="0" w:color="auto"/>
              <w:bottom w:val="dashed" w:sz="4" w:space="0" w:color="auto"/>
            </w:tcBorders>
          </w:tcPr>
          <w:p w14:paraId="5115706A"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2" w:space="0" w:color="auto"/>
              <w:bottom w:val="dashed" w:sz="4" w:space="0" w:color="auto"/>
            </w:tcBorders>
          </w:tcPr>
          <w:p w14:paraId="3E866CB9" w14:textId="77777777" w:rsidR="00D04776" w:rsidRPr="002234E3" w:rsidRDefault="00D04776" w:rsidP="00F0279E">
            <w:pPr>
              <w:pStyle w:val="Compact"/>
              <w:rPr>
                <w:sz w:val="20"/>
                <w:szCs w:val="20"/>
              </w:rPr>
            </w:pPr>
          </w:p>
        </w:tc>
        <w:tc>
          <w:tcPr>
            <w:tcW w:w="0" w:type="auto"/>
            <w:tcBorders>
              <w:top w:val="single" w:sz="2" w:space="0" w:color="auto"/>
              <w:bottom w:val="dashed" w:sz="4" w:space="0" w:color="auto"/>
            </w:tcBorders>
          </w:tcPr>
          <w:p w14:paraId="4605C35B"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2" w:space="0" w:color="auto"/>
              <w:bottom w:val="dashed" w:sz="4" w:space="0" w:color="auto"/>
            </w:tcBorders>
          </w:tcPr>
          <w:p w14:paraId="66246534" w14:textId="77777777" w:rsidR="00D04776" w:rsidRPr="002234E3" w:rsidRDefault="00D04776" w:rsidP="00F0279E">
            <w:pPr>
              <w:pStyle w:val="Compact"/>
              <w:rPr>
                <w:sz w:val="20"/>
                <w:szCs w:val="20"/>
              </w:rPr>
            </w:pPr>
            <w:r w:rsidRPr="002234E3">
              <w:rPr>
                <w:sz w:val="20"/>
                <w:szCs w:val="20"/>
              </w:rPr>
              <w:t>**</w:t>
            </w:r>
          </w:p>
        </w:tc>
      </w:tr>
      <w:tr w:rsidR="00D04776" w14:paraId="2EE6DCB3" w14:textId="77777777" w:rsidTr="00634215">
        <w:tc>
          <w:tcPr>
            <w:tcW w:w="0" w:type="auto"/>
            <w:tcBorders>
              <w:top w:val="dashed" w:sz="4" w:space="0" w:color="auto"/>
            </w:tcBorders>
          </w:tcPr>
          <w:p w14:paraId="726EC733" w14:textId="77777777" w:rsidR="00D04776" w:rsidRPr="002234E3" w:rsidRDefault="00D04776" w:rsidP="00F0279E">
            <w:pPr>
              <w:pStyle w:val="Compact"/>
              <w:rPr>
                <w:sz w:val="20"/>
                <w:szCs w:val="20"/>
              </w:rPr>
            </w:pPr>
          </w:p>
        </w:tc>
        <w:tc>
          <w:tcPr>
            <w:tcW w:w="754" w:type="pct"/>
            <w:tcBorders>
              <w:top w:val="dashed" w:sz="4" w:space="0" w:color="auto"/>
            </w:tcBorders>
          </w:tcPr>
          <w:p w14:paraId="1EDCEDEF" w14:textId="77777777" w:rsidR="00D04776" w:rsidRPr="002234E3" w:rsidRDefault="00D04776" w:rsidP="00F0279E">
            <w:pPr>
              <w:pStyle w:val="Compact"/>
              <w:rPr>
                <w:sz w:val="20"/>
                <w:szCs w:val="20"/>
              </w:rPr>
            </w:pPr>
            <w:r w:rsidRPr="002234E3">
              <w:rPr>
                <w:sz w:val="20"/>
                <w:szCs w:val="20"/>
              </w:rPr>
              <w:t>Main effect + region</w:t>
            </w:r>
          </w:p>
        </w:tc>
        <w:tc>
          <w:tcPr>
            <w:tcW w:w="881" w:type="pct"/>
            <w:tcBorders>
              <w:top w:val="dashed" w:sz="4" w:space="0" w:color="auto"/>
            </w:tcBorders>
          </w:tcPr>
          <w:p w14:paraId="1CA0ADC9" w14:textId="77777777" w:rsidR="00D04776" w:rsidRPr="002234E3" w:rsidRDefault="00D04776" w:rsidP="00F0279E">
            <w:pPr>
              <w:pStyle w:val="Compact"/>
              <w:rPr>
                <w:sz w:val="20"/>
                <w:szCs w:val="20"/>
              </w:rPr>
            </w:pPr>
            <w:r w:rsidRPr="002234E3">
              <w:rPr>
                <w:sz w:val="20"/>
                <w:szCs w:val="20"/>
              </w:rPr>
              <w:t>Clay</w:t>
            </w:r>
          </w:p>
        </w:tc>
        <w:tc>
          <w:tcPr>
            <w:tcW w:w="0" w:type="auto"/>
            <w:tcBorders>
              <w:top w:val="dashed" w:sz="4" w:space="0" w:color="auto"/>
            </w:tcBorders>
          </w:tcPr>
          <w:p w14:paraId="5B37C831"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0607E748"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784062B6"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5917CABD"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00C9A0C9" w14:textId="77777777" w:rsidR="00D04776" w:rsidRPr="002234E3" w:rsidRDefault="00D04776" w:rsidP="00F0279E">
            <w:pPr>
              <w:pStyle w:val="Compact"/>
              <w:rPr>
                <w:sz w:val="20"/>
                <w:szCs w:val="20"/>
              </w:rPr>
            </w:pPr>
          </w:p>
        </w:tc>
        <w:tc>
          <w:tcPr>
            <w:tcW w:w="0" w:type="auto"/>
            <w:tcBorders>
              <w:top w:val="dashed" w:sz="4" w:space="0" w:color="auto"/>
            </w:tcBorders>
          </w:tcPr>
          <w:p w14:paraId="5229F69E" w14:textId="77777777" w:rsidR="00D04776" w:rsidRPr="002234E3" w:rsidRDefault="00D04776" w:rsidP="00F0279E">
            <w:pPr>
              <w:pStyle w:val="Compact"/>
              <w:rPr>
                <w:sz w:val="20"/>
                <w:szCs w:val="20"/>
              </w:rPr>
            </w:pPr>
          </w:p>
        </w:tc>
      </w:tr>
      <w:tr w:rsidR="00D04776" w14:paraId="75AD89A2" w14:textId="77777777" w:rsidTr="00634215">
        <w:tc>
          <w:tcPr>
            <w:tcW w:w="0" w:type="auto"/>
            <w:tcBorders>
              <w:bottom w:val="dashed" w:sz="4" w:space="0" w:color="auto"/>
            </w:tcBorders>
          </w:tcPr>
          <w:p w14:paraId="69AD8109" w14:textId="77777777" w:rsidR="00D04776" w:rsidRPr="002234E3" w:rsidRDefault="00D04776" w:rsidP="00F0279E">
            <w:pPr>
              <w:pStyle w:val="Compact"/>
              <w:rPr>
                <w:sz w:val="20"/>
                <w:szCs w:val="20"/>
              </w:rPr>
            </w:pPr>
          </w:p>
        </w:tc>
        <w:tc>
          <w:tcPr>
            <w:tcW w:w="754" w:type="pct"/>
            <w:tcBorders>
              <w:bottom w:val="dashed" w:sz="4" w:space="0" w:color="auto"/>
            </w:tcBorders>
          </w:tcPr>
          <w:p w14:paraId="403C3772" w14:textId="77777777" w:rsidR="00D04776" w:rsidRPr="002234E3" w:rsidRDefault="00D04776" w:rsidP="00F0279E">
            <w:pPr>
              <w:pStyle w:val="Compact"/>
              <w:rPr>
                <w:sz w:val="20"/>
                <w:szCs w:val="20"/>
              </w:rPr>
            </w:pPr>
          </w:p>
        </w:tc>
        <w:tc>
          <w:tcPr>
            <w:tcW w:w="881" w:type="pct"/>
            <w:tcBorders>
              <w:bottom w:val="dashed" w:sz="4" w:space="0" w:color="auto"/>
            </w:tcBorders>
          </w:tcPr>
          <w:p w14:paraId="6127EFF2" w14:textId="77777777" w:rsidR="00D04776" w:rsidRPr="002234E3" w:rsidRDefault="00D04776" w:rsidP="00F0279E">
            <w:pPr>
              <w:pStyle w:val="Compact"/>
              <w:rPr>
                <w:sz w:val="20"/>
                <w:szCs w:val="20"/>
              </w:rPr>
            </w:pPr>
            <w:r w:rsidRPr="002234E3">
              <w:rPr>
                <w:sz w:val="20"/>
                <w:szCs w:val="20"/>
              </w:rPr>
              <w:t>NDVI</w:t>
            </w:r>
          </w:p>
        </w:tc>
        <w:tc>
          <w:tcPr>
            <w:tcW w:w="0" w:type="auto"/>
            <w:tcBorders>
              <w:bottom w:val="dashed" w:sz="4" w:space="0" w:color="auto"/>
            </w:tcBorders>
          </w:tcPr>
          <w:p w14:paraId="542D0775"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5E83E699" w14:textId="77777777" w:rsidR="00D04776" w:rsidRPr="002234E3" w:rsidRDefault="00D04776" w:rsidP="00F0279E">
            <w:pPr>
              <w:pStyle w:val="Compact"/>
              <w:rPr>
                <w:sz w:val="20"/>
                <w:szCs w:val="20"/>
              </w:rPr>
            </w:pPr>
            <w:r w:rsidRPr="002234E3">
              <w:rPr>
                <w:sz w:val="20"/>
                <w:szCs w:val="20"/>
              </w:rPr>
              <w:t>***</w:t>
            </w:r>
          </w:p>
        </w:tc>
        <w:tc>
          <w:tcPr>
            <w:tcW w:w="0" w:type="auto"/>
            <w:tcBorders>
              <w:bottom w:val="dashed" w:sz="4" w:space="0" w:color="auto"/>
            </w:tcBorders>
          </w:tcPr>
          <w:p w14:paraId="05326649"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798AA4CE" w14:textId="77777777" w:rsidR="00D04776" w:rsidRPr="002234E3" w:rsidRDefault="00D04776" w:rsidP="00F0279E">
            <w:pPr>
              <w:pStyle w:val="Compact"/>
              <w:rPr>
                <w:sz w:val="20"/>
                <w:szCs w:val="20"/>
              </w:rPr>
            </w:pPr>
            <w:r w:rsidRPr="002234E3">
              <w:rPr>
                <w:sz w:val="20"/>
                <w:szCs w:val="20"/>
              </w:rPr>
              <w:t>*</w:t>
            </w:r>
          </w:p>
        </w:tc>
        <w:tc>
          <w:tcPr>
            <w:tcW w:w="0" w:type="auto"/>
            <w:tcBorders>
              <w:bottom w:val="dashed" w:sz="4" w:space="0" w:color="auto"/>
            </w:tcBorders>
          </w:tcPr>
          <w:p w14:paraId="56E16C12" w14:textId="77777777" w:rsidR="00D04776" w:rsidRPr="002234E3" w:rsidRDefault="00D04776" w:rsidP="00F0279E">
            <w:pPr>
              <w:pStyle w:val="Compact"/>
              <w:rPr>
                <w:sz w:val="20"/>
                <w:szCs w:val="20"/>
              </w:rPr>
            </w:pPr>
          </w:p>
        </w:tc>
        <w:tc>
          <w:tcPr>
            <w:tcW w:w="0" w:type="auto"/>
            <w:tcBorders>
              <w:bottom w:val="dashed" w:sz="4" w:space="0" w:color="auto"/>
            </w:tcBorders>
          </w:tcPr>
          <w:p w14:paraId="20FBC47C" w14:textId="77777777" w:rsidR="00D04776" w:rsidRPr="002234E3" w:rsidRDefault="00D04776" w:rsidP="00F0279E">
            <w:pPr>
              <w:pStyle w:val="Compact"/>
              <w:rPr>
                <w:sz w:val="20"/>
                <w:szCs w:val="20"/>
              </w:rPr>
            </w:pPr>
          </w:p>
        </w:tc>
      </w:tr>
      <w:tr w:rsidR="00D04776" w14:paraId="6C054DD1" w14:textId="77777777" w:rsidTr="00634215">
        <w:tc>
          <w:tcPr>
            <w:tcW w:w="0" w:type="auto"/>
            <w:tcBorders>
              <w:top w:val="dashed" w:sz="4" w:space="0" w:color="auto"/>
            </w:tcBorders>
          </w:tcPr>
          <w:p w14:paraId="1D85FBB9" w14:textId="77777777" w:rsidR="00D04776" w:rsidRPr="002234E3" w:rsidRDefault="00D04776" w:rsidP="00F0279E">
            <w:pPr>
              <w:pStyle w:val="Compact"/>
              <w:rPr>
                <w:sz w:val="20"/>
                <w:szCs w:val="20"/>
              </w:rPr>
            </w:pPr>
          </w:p>
        </w:tc>
        <w:tc>
          <w:tcPr>
            <w:tcW w:w="754" w:type="pct"/>
            <w:tcBorders>
              <w:top w:val="dashed" w:sz="4" w:space="0" w:color="auto"/>
            </w:tcBorders>
          </w:tcPr>
          <w:p w14:paraId="3816A307" w14:textId="77777777" w:rsidR="00D04776" w:rsidRPr="002234E3" w:rsidRDefault="00D04776" w:rsidP="00F0279E">
            <w:pPr>
              <w:pStyle w:val="Compact"/>
              <w:rPr>
                <w:sz w:val="20"/>
                <w:szCs w:val="20"/>
              </w:rPr>
            </w:pPr>
            <w:r w:rsidRPr="002234E3">
              <w:rPr>
                <w:sz w:val="20"/>
                <w:szCs w:val="20"/>
              </w:rPr>
              <w:t>Main effect only</w:t>
            </w:r>
          </w:p>
        </w:tc>
        <w:tc>
          <w:tcPr>
            <w:tcW w:w="881" w:type="pct"/>
            <w:tcBorders>
              <w:top w:val="dashed" w:sz="4" w:space="0" w:color="auto"/>
            </w:tcBorders>
          </w:tcPr>
          <w:p w14:paraId="57790D92" w14:textId="77777777" w:rsidR="00D04776" w:rsidRPr="002234E3" w:rsidRDefault="00D04776" w:rsidP="00F0279E">
            <w:pPr>
              <w:pStyle w:val="Compact"/>
              <w:rPr>
                <w:sz w:val="20"/>
                <w:szCs w:val="20"/>
              </w:rPr>
            </w:pPr>
            <w:r w:rsidRPr="002234E3">
              <w:rPr>
                <w:sz w:val="20"/>
                <w:szCs w:val="20"/>
              </w:rPr>
              <w:t>Elevation</w:t>
            </w:r>
          </w:p>
        </w:tc>
        <w:tc>
          <w:tcPr>
            <w:tcW w:w="0" w:type="auto"/>
            <w:tcBorders>
              <w:top w:val="dashed" w:sz="4" w:space="0" w:color="auto"/>
            </w:tcBorders>
          </w:tcPr>
          <w:p w14:paraId="5A0A858F"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60B2B1E3"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425F43BB" w14:textId="77777777" w:rsidR="00D04776" w:rsidRPr="002234E3" w:rsidRDefault="00D04776" w:rsidP="00F0279E">
            <w:pPr>
              <w:pStyle w:val="Compact"/>
              <w:rPr>
                <w:sz w:val="20"/>
                <w:szCs w:val="20"/>
              </w:rPr>
            </w:pPr>
          </w:p>
        </w:tc>
        <w:tc>
          <w:tcPr>
            <w:tcW w:w="0" w:type="auto"/>
            <w:tcBorders>
              <w:top w:val="dashed" w:sz="4" w:space="0" w:color="auto"/>
            </w:tcBorders>
          </w:tcPr>
          <w:p w14:paraId="5BB636D9" w14:textId="77777777" w:rsidR="00D04776" w:rsidRPr="002234E3" w:rsidRDefault="00D04776" w:rsidP="00F0279E">
            <w:pPr>
              <w:pStyle w:val="Compact"/>
              <w:rPr>
                <w:sz w:val="20"/>
                <w:szCs w:val="20"/>
              </w:rPr>
            </w:pPr>
          </w:p>
        </w:tc>
        <w:tc>
          <w:tcPr>
            <w:tcW w:w="0" w:type="auto"/>
            <w:tcBorders>
              <w:top w:val="dashed" w:sz="4" w:space="0" w:color="auto"/>
            </w:tcBorders>
          </w:tcPr>
          <w:p w14:paraId="7862FB78" w14:textId="77777777" w:rsidR="00D04776" w:rsidRPr="002234E3" w:rsidRDefault="00D04776" w:rsidP="00F0279E">
            <w:pPr>
              <w:pStyle w:val="Compact"/>
              <w:rPr>
                <w:sz w:val="20"/>
                <w:szCs w:val="20"/>
              </w:rPr>
            </w:pPr>
          </w:p>
        </w:tc>
        <w:tc>
          <w:tcPr>
            <w:tcW w:w="0" w:type="auto"/>
            <w:tcBorders>
              <w:top w:val="dashed" w:sz="4" w:space="0" w:color="auto"/>
            </w:tcBorders>
          </w:tcPr>
          <w:p w14:paraId="0856263B" w14:textId="77777777" w:rsidR="00D04776" w:rsidRPr="002234E3" w:rsidRDefault="00D04776" w:rsidP="00F0279E">
            <w:pPr>
              <w:pStyle w:val="Compact"/>
              <w:rPr>
                <w:sz w:val="20"/>
                <w:szCs w:val="20"/>
              </w:rPr>
            </w:pPr>
          </w:p>
        </w:tc>
      </w:tr>
      <w:tr w:rsidR="00D04776" w14:paraId="670286FE" w14:textId="77777777" w:rsidTr="00634215">
        <w:tc>
          <w:tcPr>
            <w:tcW w:w="0" w:type="auto"/>
          </w:tcPr>
          <w:p w14:paraId="22874775" w14:textId="77777777" w:rsidR="00D04776" w:rsidRPr="002234E3" w:rsidRDefault="00D04776" w:rsidP="00F0279E">
            <w:pPr>
              <w:pStyle w:val="Compact"/>
              <w:rPr>
                <w:sz w:val="20"/>
                <w:szCs w:val="20"/>
              </w:rPr>
            </w:pPr>
          </w:p>
        </w:tc>
        <w:tc>
          <w:tcPr>
            <w:tcW w:w="754" w:type="pct"/>
          </w:tcPr>
          <w:p w14:paraId="3ACD2926" w14:textId="77777777" w:rsidR="00D04776" w:rsidRPr="002234E3" w:rsidRDefault="00D04776" w:rsidP="00F0279E">
            <w:pPr>
              <w:pStyle w:val="Compact"/>
              <w:rPr>
                <w:sz w:val="20"/>
                <w:szCs w:val="20"/>
              </w:rPr>
            </w:pPr>
          </w:p>
        </w:tc>
        <w:tc>
          <w:tcPr>
            <w:tcW w:w="881" w:type="pct"/>
          </w:tcPr>
          <w:p w14:paraId="6BB061E1" w14:textId="77777777" w:rsidR="00D04776" w:rsidRPr="002234E3" w:rsidRDefault="00D04776" w:rsidP="00F0279E">
            <w:pPr>
              <w:pStyle w:val="Compact"/>
              <w:rPr>
                <w:sz w:val="20"/>
                <w:szCs w:val="20"/>
              </w:rPr>
            </w:pPr>
            <w:r w:rsidRPr="002234E3">
              <w:rPr>
                <w:sz w:val="20"/>
                <w:szCs w:val="20"/>
              </w:rPr>
              <w:t>PDQ</w:t>
            </w:r>
          </w:p>
        </w:tc>
        <w:tc>
          <w:tcPr>
            <w:tcW w:w="0" w:type="auto"/>
          </w:tcPr>
          <w:p w14:paraId="68A7F517"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0E72530B" w14:textId="77777777" w:rsidR="00D04776" w:rsidRPr="002234E3" w:rsidRDefault="00D04776" w:rsidP="00F0279E">
            <w:pPr>
              <w:pStyle w:val="Compact"/>
              <w:rPr>
                <w:sz w:val="20"/>
                <w:szCs w:val="20"/>
              </w:rPr>
            </w:pPr>
            <w:r w:rsidRPr="002234E3">
              <w:rPr>
                <w:sz w:val="20"/>
                <w:szCs w:val="20"/>
              </w:rPr>
              <w:t>***</w:t>
            </w:r>
          </w:p>
        </w:tc>
        <w:tc>
          <w:tcPr>
            <w:tcW w:w="0" w:type="auto"/>
          </w:tcPr>
          <w:p w14:paraId="52E87EBF" w14:textId="77777777" w:rsidR="00D04776" w:rsidRPr="002234E3" w:rsidRDefault="00D04776" w:rsidP="00F0279E">
            <w:pPr>
              <w:pStyle w:val="Compact"/>
              <w:rPr>
                <w:sz w:val="20"/>
                <w:szCs w:val="20"/>
              </w:rPr>
            </w:pPr>
          </w:p>
        </w:tc>
        <w:tc>
          <w:tcPr>
            <w:tcW w:w="0" w:type="auto"/>
          </w:tcPr>
          <w:p w14:paraId="3C53569B" w14:textId="77777777" w:rsidR="00D04776" w:rsidRPr="002234E3" w:rsidRDefault="00D04776" w:rsidP="00F0279E">
            <w:pPr>
              <w:pStyle w:val="Compact"/>
              <w:rPr>
                <w:sz w:val="20"/>
                <w:szCs w:val="20"/>
              </w:rPr>
            </w:pPr>
          </w:p>
        </w:tc>
        <w:tc>
          <w:tcPr>
            <w:tcW w:w="0" w:type="auto"/>
          </w:tcPr>
          <w:p w14:paraId="642E3D64" w14:textId="77777777" w:rsidR="00D04776" w:rsidRPr="002234E3" w:rsidRDefault="00D04776" w:rsidP="00F0279E">
            <w:pPr>
              <w:pStyle w:val="Compact"/>
              <w:rPr>
                <w:sz w:val="20"/>
                <w:szCs w:val="20"/>
              </w:rPr>
            </w:pPr>
          </w:p>
        </w:tc>
        <w:tc>
          <w:tcPr>
            <w:tcW w:w="0" w:type="auto"/>
          </w:tcPr>
          <w:p w14:paraId="5CF6114C" w14:textId="77777777" w:rsidR="00D04776" w:rsidRPr="002234E3" w:rsidRDefault="00D04776" w:rsidP="00F0279E">
            <w:pPr>
              <w:pStyle w:val="Compact"/>
              <w:rPr>
                <w:sz w:val="20"/>
                <w:szCs w:val="20"/>
              </w:rPr>
            </w:pPr>
          </w:p>
        </w:tc>
      </w:tr>
      <w:tr w:rsidR="00D04776" w14:paraId="285F946C" w14:textId="77777777" w:rsidTr="00634215">
        <w:tc>
          <w:tcPr>
            <w:tcW w:w="0" w:type="auto"/>
          </w:tcPr>
          <w:p w14:paraId="6701BE2D" w14:textId="77777777" w:rsidR="00D04776" w:rsidRPr="002234E3" w:rsidRDefault="00D04776" w:rsidP="00F0279E">
            <w:pPr>
              <w:pStyle w:val="Compact"/>
              <w:rPr>
                <w:sz w:val="20"/>
                <w:szCs w:val="20"/>
              </w:rPr>
            </w:pPr>
          </w:p>
        </w:tc>
        <w:tc>
          <w:tcPr>
            <w:tcW w:w="754" w:type="pct"/>
          </w:tcPr>
          <w:p w14:paraId="48E9A082" w14:textId="77777777" w:rsidR="00D04776" w:rsidRPr="002234E3" w:rsidRDefault="00D04776" w:rsidP="00F0279E">
            <w:pPr>
              <w:pStyle w:val="Compact"/>
              <w:rPr>
                <w:sz w:val="20"/>
                <w:szCs w:val="20"/>
              </w:rPr>
            </w:pPr>
          </w:p>
        </w:tc>
        <w:tc>
          <w:tcPr>
            <w:tcW w:w="881" w:type="pct"/>
          </w:tcPr>
          <w:p w14:paraId="45BF851A" w14:textId="77777777" w:rsidR="00D04776" w:rsidRPr="002234E3" w:rsidRDefault="00D04776" w:rsidP="00F0279E">
            <w:pPr>
              <w:pStyle w:val="Compact"/>
              <w:rPr>
                <w:sz w:val="20"/>
                <w:szCs w:val="20"/>
              </w:rPr>
            </w:pPr>
            <w:r w:rsidRPr="002234E3">
              <w:rPr>
                <w:sz w:val="20"/>
                <w:szCs w:val="20"/>
              </w:rPr>
              <w:t>Soil C</w:t>
            </w:r>
          </w:p>
        </w:tc>
        <w:tc>
          <w:tcPr>
            <w:tcW w:w="0" w:type="auto"/>
          </w:tcPr>
          <w:p w14:paraId="5F62032C"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4E2088D3" w14:textId="77777777" w:rsidR="00D04776" w:rsidRPr="002234E3" w:rsidRDefault="00D04776" w:rsidP="00F0279E">
            <w:pPr>
              <w:pStyle w:val="Compact"/>
              <w:rPr>
                <w:sz w:val="20"/>
                <w:szCs w:val="20"/>
              </w:rPr>
            </w:pPr>
            <w:r w:rsidRPr="002234E3">
              <w:rPr>
                <w:sz w:val="20"/>
                <w:szCs w:val="20"/>
              </w:rPr>
              <w:t>***</w:t>
            </w:r>
          </w:p>
        </w:tc>
        <w:tc>
          <w:tcPr>
            <w:tcW w:w="0" w:type="auto"/>
          </w:tcPr>
          <w:p w14:paraId="512DD853" w14:textId="77777777" w:rsidR="00D04776" w:rsidRPr="002234E3" w:rsidRDefault="00D04776" w:rsidP="00F0279E">
            <w:pPr>
              <w:pStyle w:val="Compact"/>
              <w:rPr>
                <w:sz w:val="20"/>
                <w:szCs w:val="20"/>
              </w:rPr>
            </w:pPr>
          </w:p>
        </w:tc>
        <w:tc>
          <w:tcPr>
            <w:tcW w:w="0" w:type="auto"/>
          </w:tcPr>
          <w:p w14:paraId="66D0C18A" w14:textId="77777777" w:rsidR="00D04776" w:rsidRPr="002234E3" w:rsidRDefault="00D04776" w:rsidP="00F0279E">
            <w:pPr>
              <w:pStyle w:val="Compact"/>
              <w:rPr>
                <w:sz w:val="20"/>
                <w:szCs w:val="20"/>
              </w:rPr>
            </w:pPr>
          </w:p>
        </w:tc>
        <w:tc>
          <w:tcPr>
            <w:tcW w:w="0" w:type="auto"/>
          </w:tcPr>
          <w:p w14:paraId="719DBFB8" w14:textId="77777777" w:rsidR="00D04776" w:rsidRPr="002234E3" w:rsidRDefault="00D04776" w:rsidP="00F0279E">
            <w:pPr>
              <w:pStyle w:val="Compact"/>
              <w:rPr>
                <w:sz w:val="20"/>
                <w:szCs w:val="20"/>
              </w:rPr>
            </w:pPr>
          </w:p>
        </w:tc>
        <w:tc>
          <w:tcPr>
            <w:tcW w:w="0" w:type="auto"/>
          </w:tcPr>
          <w:p w14:paraId="4BD0E7F6" w14:textId="77777777" w:rsidR="00D04776" w:rsidRPr="002234E3" w:rsidRDefault="00D04776" w:rsidP="00F0279E">
            <w:pPr>
              <w:pStyle w:val="Compact"/>
              <w:rPr>
                <w:sz w:val="20"/>
                <w:szCs w:val="20"/>
              </w:rPr>
            </w:pPr>
          </w:p>
        </w:tc>
      </w:tr>
      <w:tr w:rsidR="00D04776" w14:paraId="7E899585" w14:textId="77777777" w:rsidTr="00634215">
        <w:tc>
          <w:tcPr>
            <w:tcW w:w="0" w:type="auto"/>
          </w:tcPr>
          <w:p w14:paraId="75CDB4B8" w14:textId="77777777" w:rsidR="00D04776" w:rsidRPr="002234E3" w:rsidRDefault="00D04776" w:rsidP="00F0279E">
            <w:pPr>
              <w:pStyle w:val="Compact"/>
              <w:rPr>
                <w:sz w:val="20"/>
                <w:szCs w:val="20"/>
              </w:rPr>
            </w:pPr>
          </w:p>
        </w:tc>
        <w:tc>
          <w:tcPr>
            <w:tcW w:w="754" w:type="pct"/>
          </w:tcPr>
          <w:p w14:paraId="6F9AED9A" w14:textId="77777777" w:rsidR="00D04776" w:rsidRPr="002234E3" w:rsidRDefault="00D04776" w:rsidP="00F0279E">
            <w:pPr>
              <w:pStyle w:val="Compact"/>
              <w:rPr>
                <w:sz w:val="20"/>
                <w:szCs w:val="20"/>
              </w:rPr>
            </w:pPr>
          </w:p>
        </w:tc>
        <w:tc>
          <w:tcPr>
            <w:tcW w:w="881" w:type="pct"/>
          </w:tcPr>
          <w:p w14:paraId="259A2967" w14:textId="77777777" w:rsidR="00D04776" w:rsidRPr="002234E3" w:rsidRDefault="00D04776" w:rsidP="00F0279E">
            <w:pPr>
              <w:pStyle w:val="Compact"/>
              <w:rPr>
                <w:sz w:val="20"/>
                <w:szCs w:val="20"/>
              </w:rPr>
            </w:pPr>
            <w:r w:rsidRPr="002234E3">
              <w:rPr>
                <w:sz w:val="20"/>
                <w:szCs w:val="20"/>
              </w:rPr>
              <w:t>Surface T</w:t>
            </w:r>
          </w:p>
        </w:tc>
        <w:tc>
          <w:tcPr>
            <w:tcW w:w="0" w:type="auto"/>
          </w:tcPr>
          <w:p w14:paraId="26332305"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12D33F0D" w14:textId="77777777" w:rsidR="00D04776" w:rsidRPr="002234E3" w:rsidRDefault="00D04776" w:rsidP="00F0279E">
            <w:pPr>
              <w:pStyle w:val="Compact"/>
              <w:rPr>
                <w:sz w:val="20"/>
                <w:szCs w:val="20"/>
              </w:rPr>
            </w:pPr>
            <w:r w:rsidRPr="002234E3">
              <w:rPr>
                <w:sz w:val="20"/>
                <w:szCs w:val="20"/>
              </w:rPr>
              <w:t>***</w:t>
            </w:r>
          </w:p>
        </w:tc>
        <w:tc>
          <w:tcPr>
            <w:tcW w:w="0" w:type="auto"/>
          </w:tcPr>
          <w:p w14:paraId="4D268D18" w14:textId="77777777" w:rsidR="00D04776" w:rsidRPr="002234E3" w:rsidRDefault="00D04776" w:rsidP="00F0279E">
            <w:pPr>
              <w:pStyle w:val="Compact"/>
              <w:rPr>
                <w:sz w:val="20"/>
                <w:szCs w:val="20"/>
              </w:rPr>
            </w:pPr>
          </w:p>
        </w:tc>
        <w:tc>
          <w:tcPr>
            <w:tcW w:w="0" w:type="auto"/>
          </w:tcPr>
          <w:p w14:paraId="5AFFB479" w14:textId="77777777" w:rsidR="00D04776" w:rsidRPr="002234E3" w:rsidRDefault="00D04776" w:rsidP="00F0279E">
            <w:pPr>
              <w:pStyle w:val="Compact"/>
              <w:rPr>
                <w:sz w:val="20"/>
                <w:szCs w:val="20"/>
              </w:rPr>
            </w:pPr>
          </w:p>
        </w:tc>
        <w:tc>
          <w:tcPr>
            <w:tcW w:w="0" w:type="auto"/>
          </w:tcPr>
          <w:p w14:paraId="1EBB6F3C" w14:textId="77777777" w:rsidR="00D04776" w:rsidRPr="002234E3" w:rsidRDefault="00D04776" w:rsidP="00F0279E">
            <w:pPr>
              <w:pStyle w:val="Compact"/>
              <w:rPr>
                <w:sz w:val="20"/>
                <w:szCs w:val="20"/>
              </w:rPr>
            </w:pPr>
          </w:p>
        </w:tc>
        <w:tc>
          <w:tcPr>
            <w:tcW w:w="0" w:type="auto"/>
          </w:tcPr>
          <w:p w14:paraId="17A70C25" w14:textId="77777777" w:rsidR="00D04776" w:rsidRPr="002234E3" w:rsidRDefault="00D04776" w:rsidP="00F0279E">
            <w:pPr>
              <w:pStyle w:val="Compact"/>
              <w:rPr>
                <w:sz w:val="20"/>
                <w:szCs w:val="20"/>
              </w:rPr>
            </w:pPr>
          </w:p>
        </w:tc>
      </w:tr>
      <w:tr w:rsidR="00D04776" w14:paraId="4A161674" w14:textId="77777777" w:rsidTr="00634215">
        <w:tc>
          <w:tcPr>
            <w:tcW w:w="0" w:type="auto"/>
            <w:tcBorders>
              <w:bottom w:val="dashed" w:sz="4" w:space="0" w:color="auto"/>
            </w:tcBorders>
          </w:tcPr>
          <w:p w14:paraId="7F3A045A" w14:textId="77777777" w:rsidR="00D04776" w:rsidRPr="002234E3" w:rsidRDefault="00D04776" w:rsidP="00F0279E">
            <w:pPr>
              <w:pStyle w:val="Compact"/>
              <w:rPr>
                <w:sz w:val="20"/>
                <w:szCs w:val="20"/>
              </w:rPr>
            </w:pPr>
          </w:p>
        </w:tc>
        <w:tc>
          <w:tcPr>
            <w:tcW w:w="754" w:type="pct"/>
            <w:tcBorders>
              <w:bottom w:val="dashed" w:sz="4" w:space="0" w:color="auto"/>
            </w:tcBorders>
          </w:tcPr>
          <w:p w14:paraId="6FC5E668" w14:textId="77777777" w:rsidR="00D04776" w:rsidRPr="002234E3" w:rsidRDefault="00D04776" w:rsidP="00F0279E">
            <w:pPr>
              <w:pStyle w:val="Compact"/>
              <w:rPr>
                <w:sz w:val="20"/>
                <w:szCs w:val="20"/>
              </w:rPr>
            </w:pPr>
          </w:p>
        </w:tc>
        <w:tc>
          <w:tcPr>
            <w:tcW w:w="881" w:type="pct"/>
            <w:tcBorders>
              <w:bottom w:val="dashed" w:sz="4" w:space="0" w:color="auto"/>
            </w:tcBorders>
          </w:tcPr>
          <w:p w14:paraId="16250B69" w14:textId="77777777" w:rsidR="00D04776" w:rsidRPr="002234E3" w:rsidRDefault="00D04776" w:rsidP="00F0279E">
            <w:pPr>
              <w:pStyle w:val="Compact"/>
              <w:rPr>
                <w:sz w:val="20"/>
                <w:szCs w:val="20"/>
              </w:rPr>
            </w:pPr>
            <w:r w:rsidRPr="002234E3">
              <w:rPr>
                <w:sz w:val="20"/>
                <w:szCs w:val="20"/>
              </w:rPr>
              <w:t>PC1</w:t>
            </w:r>
          </w:p>
        </w:tc>
        <w:tc>
          <w:tcPr>
            <w:tcW w:w="0" w:type="auto"/>
            <w:tcBorders>
              <w:bottom w:val="dashed" w:sz="4" w:space="0" w:color="auto"/>
            </w:tcBorders>
          </w:tcPr>
          <w:p w14:paraId="263376B7"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1F5E0D78" w14:textId="77777777" w:rsidR="00D04776" w:rsidRPr="002234E3" w:rsidRDefault="00D04776" w:rsidP="00F0279E">
            <w:pPr>
              <w:pStyle w:val="Compact"/>
              <w:rPr>
                <w:sz w:val="20"/>
                <w:szCs w:val="20"/>
              </w:rPr>
            </w:pPr>
            <w:r w:rsidRPr="002234E3">
              <w:rPr>
                <w:sz w:val="20"/>
                <w:szCs w:val="20"/>
              </w:rPr>
              <w:t>***</w:t>
            </w:r>
          </w:p>
        </w:tc>
        <w:tc>
          <w:tcPr>
            <w:tcW w:w="0" w:type="auto"/>
            <w:tcBorders>
              <w:bottom w:val="dashed" w:sz="4" w:space="0" w:color="auto"/>
            </w:tcBorders>
          </w:tcPr>
          <w:p w14:paraId="763776E7" w14:textId="77777777" w:rsidR="00D04776" w:rsidRPr="002234E3" w:rsidRDefault="00D04776" w:rsidP="00F0279E">
            <w:pPr>
              <w:pStyle w:val="Compact"/>
              <w:rPr>
                <w:sz w:val="20"/>
                <w:szCs w:val="20"/>
              </w:rPr>
            </w:pPr>
          </w:p>
        </w:tc>
        <w:tc>
          <w:tcPr>
            <w:tcW w:w="0" w:type="auto"/>
            <w:tcBorders>
              <w:bottom w:val="dashed" w:sz="4" w:space="0" w:color="auto"/>
            </w:tcBorders>
          </w:tcPr>
          <w:p w14:paraId="48D9729B" w14:textId="77777777" w:rsidR="00D04776" w:rsidRPr="002234E3" w:rsidRDefault="00D04776" w:rsidP="00F0279E">
            <w:pPr>
              <w:pStyle w:val="Compact"/>
              <w:rPr>
                <w:sz w:val="20"/>
                <w:szCs w:val="20"/>
              </w:rPr>
            </w:pPr>
          </w:p>
        </w:tc>
        <w:tc>
          <w:tcPr>
            <w:tcW w:w="0" w:type="auto"/>
            <w:tcBorders>
              <w:bottom w:val="dashed" w:sz="4" w:space="0" w:color="auto"/>
            </w:tcBorders>
          </w:tcPr>
          <w:p w14:paraId="590E735B" w14:textId="77777777" w:rsidR="00D04776" w:rsidRPr="002234E3" w:rsidRDefault="00D04776" w:rsidP="00F0279E">
            <w:pPr>
              <w:pStyle w:val="Compact"/>
              <w:rPr>
                <w:sz w:val="20"/>
                <w:szCs w:val="20"/>
              </w:rPr>
            </w:pPr>
          </w:p>
        </w:tc>
        <w:tc>
          <w:tcPr>
            <w:tcW w:w="0" w:type="auto"/>
            <w:tcBorders>
              <w:bottom w:val="dashed" w:sz="4" w:space="0" w:color="auto"/>
            </w:tcBorders>
          </w:tcPr>
          <w:p w14:paraId="1A6C5C1A" w14:textId="77777777" w:rsidR="00D04776" w:rsidRPr="002234E3" w:rsidRDefault="00D04776" w:rsidP="00F0279E">
            <w:pPr>
              <w:pStyle w:val="Compact"/>
              <w:rPr>
                <w:sz w:val="20"/>
                <w:szCs w:val="20"/>
              </w:rPr>
            </w:pPr>
          </w:p>
        </w:tc>
      </w:tr>
      <w:tr w:rsidR="00D04776" w14:paraId="77F382D9" w14:textId="77777777" w:rsidTr="00634215">
        <w:tc>
          <w:tcPr>
            <w:tcW w:w="0" w:type="auto"/>
            <w:tcBorders>
              <w:top w:val="dashed" w:sz="4" w:space="0" w:color="auto"/>
            </w:tcBorders>
          </w:tcPr>
          <w:p w14:paraId="4C684525" w14:textId="77777777" w:rsidR="00D04776" w:rsidRPr="002234E3" w:rsidRDefault="00D04776" w:rsidP="00F0279E">
            <w:pPr>
              <w:pStyle w:val="Compact"/>
              <w:rPr>
                <w:sz w:val="20"/>
                <w:szCs w:val="20"/>
              </w:rPr>
            </w:pPr>
          </w:p>
        </w:tc>
        <w:tc>
          <w:tcPr>
            <w:tcW w:w="754" w:type="pct"/>
            <w:tcBorders>
              <w:top w:val="dashed" w:sz="4" w:space="0" w:color="auto"/>
            </w:tcBorders>
          </w:tcPr>
          <w:p w14:paraId="57317096" w14:textId="77777777" w:rsidR="00D04776" w:rsidRPr="002234E3" w:rsidRDefault="00D04776" w:rsidP="00F0279E">
            <w:pPr>
              <w:pStyle w:val="Compact"/>
              <w:rPr>
                <w:sz w:val="20"/>
                <w:szCs w:val="20"/>
              </w:rPr>
            </w:pPr>
            <w:r w:rsidRPr="002234E3">
              <w:rPr>
                <w:sz w:val="20"/>
                <w:szCs w:val="20"/>
              </w:rPr>
              <w:t>Region only</w:t>
            </w:r>
          </w:p>
        </w:tc>
        <w:tc>
          <w:tcPr>
            <w:tcW w:w="881" w:type="pct"/>
            <w:tcBorders>
              <w:top w:val="dashed" w:sz="4" w:space="0" w:color="auto"/>
            </w:tcBorders>
          </w:tcPr>
          <w:p w14:paraId="1EB903A9" w14:textId="77777777" w:rsidR="00D04776" w:rsidRPr="002234E3" w:rsidRDefault="00D04776" w:rsidP="00F0279E">
            <w:pPr>
              <w:pStyle w:val="Compact"/>
              <w:rPr>
                <w:sz w:val="20"/>
                <w:szCs w:val="20"/>
              </w:rPr>
            </w:pPr>
            <w:r w:rsidRPr="002234E3">
              <w:rPr>
                <w:sz w:val="20"/>
                <w:szCs w:val="20"/>
              </w:rPr>
              <w:t>CEC</w:t>
            </w:r>
          </w:p>
        </w:tc>
        <w:tc>
          <w:tcPr>
            <w:tcW w:w="0" w:type="auto"/>
            <w:tcBorders>
              <w:top w:val="dashed" w:sz="4" w:space="0" w:color="auto"/>
            </w:tcBorders>
          </w:tcPr>
          <w:p w14:paraId="3ACE23B7"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113CFB99" w14:textId="77777777" w:rsidR="00D04776" w:rsidRPr="002234E3" w:rsidRDefault="00D04776" w:rsidP="00F0279E">
            <w:pPr>
              <w:pStyle w:val="Compact"/>
              <w:rPr>
                <w:sz w:val="20"/>
                <w:szCs w:val="20"/>
              </w:rPr>
            </w:pPr>
          </w:p>
        </w:tc>
        <w:tc>
          <w:tcPr>
            <w:tcW w:w="0" w:type="auto"/>
            <w:tcBorders>
              <w:top w:val="dashed" w:sz="4" w:space="0" w:color="auto"/>
            </w:tcBorders>
          </w:tcPr>
          <w:p w14:paraId="6B8CE76F"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179778C6"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290109B1" w14:textId="77777777" w:rsidR="00D04776" w:rsidRPr="002234E3" w:rsidRDefault="00D04776" w:rsidP="00F0279E">
            <w:pPr>
              <w:pStyle w:val="Compact"/>
              <w:rPr>
                <w:sz w:val="20"/>
                <w:szCs w:val="20"/>
              </w:rPr>
            </w:pPr>
          </w:p>
        </w:tc>
        <w:tc>
          <w:tcPr>
            <w:tcW w:w="0" w:type="auto"/>
            <w:tcBorders>
              <w:top w:val="dashed" w:sz="4" w:space="0" w:color="auto"/>
            </w:tcBorders>
          </w:tcPr>
          <w:p w14:paraId="27DD82E6" w14:textId="77777777" w:rsidR="00D04776" w:rsidRPr="002234E3" w:rsidRDefault="00D04776" w:rsidP="00F0279E">
            <w:pPr>
              <w:pStyle w:val="Compact"/>
              <w:rPr>
                <w:sz w:val="20"/>
                <w:szCs w:val="20"/>
              </w:rPr>
            </w:pPr>
          </w:p>
        </w:tc>
      </w:tr>
      <w:tr w:rsidR="00D04776" w14:paraId="3EF2B390" w14:textId="77777777" w:rsidTr="00634215">
        <w:tc>
          <w:tcPr>
            <w:tcW w:w="0" w:type="auto"/>
            <w:tcBorders>
              <w:bottom w:val="single" w:sz="4" w:space="0" w:color="auto"/>
            </w:tcBorders>
          </w:tcPr>
          <w:p w14:paraId="53EFC21B" w14:textId="77777777" w:rsidR="00D04776" w:rsidRPr="002234E3" w:rsidRDefault="00D04776" w:rsidP="00F0279E">
            <w:pPr>
              <w:pStyle w:val="Compact"/>
              <w:rPr>
                <w:sz w:val="20"/>
                <w:szCs w:val="20"/>
              </w:rPr>
            </w:pPr>
          </w:p>
        </w:tc>
        <w:tc>
          <w:tcPr>
            <w:tcW w:w="754" w:type="pct"/>
            <w:tcBorders>
              <w:bottom w:val="single" w:sz="4" w:space="0" w:color="auto"/>
            </w:tcBorders>
          </w:tcPr>
          <w:p w14:paraId="2FF668A4" w14:textId="77777777" w:rsidR="00D04776" w:rsidRPr="002234E3" w:rsidRDefault="00D04776" w:rsidP="00F0279E">
            <w:pPr>
              <w:pStyle w:val="Compact"/>
              <w:rPr>
                <w:sz w:val="20"/>
                <w:szCs w:val="20"/>
              </w:rPr>
            </w:pPr>
          </w:p>
        </w:tc>
        <w:tc>
          <w:tcPr>
            <w:tcW w:w="881" w:type="pct"/>
            <w:tcBorders>
              <w:bottom w:val="single" w:sz="4" w:space="0" w:color="auto"/>
            </w:tcBorders>
          </w:tcPr>
          <w:p w14:paraId="1B192576" w14:textId="77777777" w:rsidR="00D04776" w:rsidRPr="002234E3" w:rsidRDefault="00D04776" w:rsidP="00F0279E">
            <w:pPr>
              <w:pStyle w:val="Compact"/>
              <w:rPr>
                <w:sz w:val="20"/>
                <w:szCs w:val="20"/>
              </w:rPr>
            </w:pPr>
            <w:r w:rsidRPr="002234E3">
              <w:rPr>
                <w:sz w:val="20"/>
                <w:szCs w:val="20"/>
              </w:rPr>
              <w:t>pH</w:t>
            </w:r>
          </w:p>
        </w:tc>
        <w:tc>
          <w:tcPr>
            <w:tcW w:w="0" w:type="auto"/>
            <w:tcBorders>
              <w:bottom w:val="single" w:sz="4" w:space="0" w:color="auto"/>
            </w:tcBorders>
          </w:tcPr>
          <w:p w14:paraId="2EBED717"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single" w:sz="4" w:space="0" w:color="auto"/>
            </w:tcBorders>
          </w:tcPr>
          <w:p w14:paraId="6A4E622C" w14:textId="77777777" w:rsidR="00D04776" w:rsidRPr="002234E3" w:rsidRDefault="00D04776" w:rsidP="00F0279E">
            <w:pPr>
              <w:pStyle w:val="Compact"/>
              <w:rPr>
                <w:sz w:val="20"/>
                <w:szCs w:val="20"/>
              </w:rPr>
            </w:pPr>
          </w:p>
        </w:tc>
        <w:tc>
          <w:tcPr>
            <w:tcW w:w="0" w:type="auto"/>
            <w:tcBorders>
              <w:bottom w:val="single" w:sz="4" w:space="0" w:color="auto"/>
            </w:tcBorders>
          </w:tcPr>
          <w:p w14:paraId="5C192380"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single" w:sz="4" w:space="0" w:color="auto"/>
            </w:tcBorders>
          </w:tcPr>
          <w:p w14:paraId="4B73C675" w14:textId="77777777" w:rsidR="00D04776" w:rsidRPr="002234E3" w:rsidRDefault="00D04776" w:rsidP="00F0279E">
            <w:pPr>
              <w:pStyle w:val="Compact"/>
              <w:rPr>
                <w:sz w:val="20"/>
                <w:szCs w:val="20"/>
              </w:rPr>
            </w:pPr>
            <w:r w:rsidRPr="002234E3">
              <w:rPr>
                <w:sz w:val="20"/>
                <w:szCs w:val="20"/>
              </w:rPr>
              <w:t>**</w:t>
            </w:r>
          </w:p>
        </w:tc>
        <w:tc>
          <w:tcPr>
            <w:tcW w:w="0" w:type="auto"/>
            <w:tcBorders>
              <w:bottom w:val="single" w:sz="4" w:space="0" w:color="auto"/>
            </w:tcBorders>
          </w:tcPr>
          <w:p w14:paraId="339151FE" w14:textId="77777777" w:rsidR="00D04776" w:rsidRPr="002234E3" w:rsidRDefault="00D04776" w:rsidP="00F0279E">
            <w:pPr>
              <w:pStyle w:val="Compact"/>
              <w:rPr>
                <w:sz w:val="20"/>
                <w:szCs w:val="20"/>
              </w:rPr>
            </w:pPr>
          </w:p>
        </w:tc>
        <w:tc>
          <w:tcPr>
            <w:tcW w:w="0" w:type="auto"/>
            <w:tcBorders>
              <w:bottom w:val="single" w:sz="4" w:space="0" w:color="auto"/>
            </w:tcBorders>
          </w:tcPr>
          <w:p w14:paraId="69034ECB" w14:textId="77777777" w:rsidR="00D04776" w:rsidRPr="002234E3" w:rsidRDefault="00D04776" w:rsidP="00F0279E">
            <w:pPr>
              <w:pStyle w:val="Compact"/>
              <w:rPr>
                <w:sz w:val="20"/>
                <w:szCs w:val="20"/>
              </w:rPr>
            </w:pPr>
          </w:p>
        </w:tc>
      </w:tr>
      <w:tr w:rsidR="00D04776" w14:paraId="5E236C3F" w14:textId="77777777" w:rsidTr="00634215">
        <w:tc>
          <w:tcPr>
            <w:tcW w:w="0" w:type="auto"/>
            <w:tcBorders>
              <w:top w:val="single" w:sz="4" w:space="0" w:color="auto"/>
            </w:tcBorders>
          </w:tcPr>
          <w:p w14:paraId="7FDF71C7" w14:textId="77777777" w:rsidR="00D04776" w:rsidRPr="002234E3" w:rsidRDefault="00D04776" w:rsidP="00F0279E">
            <w:pPr>
              <w:pStyle w:val="Compact"/>
              <w:rPr>
                <w:sz w:val="20"/>
                <w:szCs w:val="20"/>
              </w:rPr>
            </w:pPr>
            <w:r w:rsidRPr="002234E3">
              <w:rPr>
                <w:sz w:val="20"/>
                <w:szCs w:val="20"/>
              </w:rPr>
              <w:t xml:space="preserve">(b) </w:t>
            </w:r>
            <w:r w:rsidRPr="002234E3">
              <w:rPr>
                <w:i/>
                <w:sz w:val="20"/>
                <w:szCs w:val="20"/>
              </w:rPr>
              <w:t>S</w:t>
            </w:r>
            <w:r w:rsidRPr="002234E3">
              <w:rPr>
                <w:sz w:val="20"/>
                <w:szCs w:val="20"/>
                <w:vertAlign w:val="subscript"/>
              </w:rPr>
              <w:t>QDS</w:t>
            </w:r>
          </w:p>
        </w:tc>
        <w:tc>
          <w:tcPr>
            <w:tcW w:w="754" w:type="pct"/>
            <w:tcBorders>
              <w:top w:val="single" w:sz="4" w:space="0" w:color="auto"/>
            </w:tcBorders>
          </w:tcPr>
          <w:p w14:paraId="3A1CD0A9" w14:textId="77777777" w:rsidR="00D04776" w:rsidRPr="002234E3" w:rsidRDefault="00D04776" w:rsidP="00F0279E">
            <w:pPr>
              <w:pStyle w:val="Compact"/>
              <w:rPr>
                <w:sz w:val="20"/>
                <w:szCs w:val="20"/>
              </w:rPr>
            </w:pPr>
            <w:r w:rsidRPr="002234E3">
              <w:rPr>
                <w:sz w:val="20"/>
                <w:szCs w:val="20"/>
              </w:rPr>
              <w:t>Main effect × region</w:t>
            </w:r>
          </w:p>
        </w:tc>
        <w:tc>
          <w:tcPr>
            <w:tcW w:w="881" w:type="pct"/>
            <w:tcBorders>
              <w:top w:val="single" w:sz="4" w:space="0" w:color="auto"/>
            </w:tcBorders>
          </w:tcPr>
          <w:p w14:paraId="7E7DB67D" w14:textId="77777777" w:rsidR="00D04776" w:rsidRPr="002234E3" w:rsidRDefault="00D04776" w:rsidP="00F0279E">
            <w:pPr>
              <w:pStyle w:val="Compact"/>
              <w:rPr>
                <w:sz w:val="20"/>
                <w:szCs w:val="20"/>
              </w:rPr>
            </w:pPr>
            <w:r w:rsidRPr="002234E3">
              <w:rPr>
                <w:sz w:val="20"/>
                <w:szCs w:val="20"/>
              </w:rPr>
              <w:t>NDVI</w:t>
            </w:r>
          </w:p>
        </w:tc>
        <w:tc>
          <w:tcPr>
            <w:tcW w:w="0" w:type="auto"/>
            <w:tcBorders>
              <w:top w:val="single" w:sz="4" w:space="0" w:color="auto"/>
            </w:tcBorders>
          </w:tcPr>
          <w:p w14:paraId="37CEC41C"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4" w:space="0" w:color="auto"/>
            </w:tcBorders>
          </w:tcPr>
          <w:p w14:paraId="124632D4" w14:textId="77777777" w:rsidR="00D04776" w:rsidRPr="002234E3" w:rsidRDefault="00D04776" w:rsidP="00F0279E">
            <w:pPr>
              <w:pStyle w:val="Compact"/>
              <w:rPr>
                <w:sz w:val="20"/>
                <w:szCs w:val="20"/>
              </w:rPr>
            </w:pPr>
            <w:r w:rsidRPr="002234E3">
              <w:rPr>
                <w:sz w:val="20"/>
                <w:szCs w:val="20"/>
              </w:rPr>
              <w:t>***</w:t>
            </w:r>
          </w:p>
        </w:tc>
        <w:tc>
          <w:tcPr>
            <w:tcW w:w="0" w:type="auto"/>
            <w:tcBorders>
              <w:top w:val="single" w:sz="4" w:space="0" w:color="auto"/>
            </w:tcBorders>
          </w:tcPr>
          <w:p w14:paraId="2A189B86"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4" w:space="0" w:color="auto"/>
            </w:tcBorders>
          </w:tcPr>
          <w:p w14:paraId="0D13397A" w14:textId="77777777" w:rsidR="00D04776" w:rsidRPr="002234E3" w:rsidRDefault="00D04776" w:rsidP="00F0279E">
            <w:pPr>
              <w:pStyle w:val="Compact"/>
              <w:rPr>
                <w:sz w:val="20"/>
                <w:szCs w:val="20"/>
              </w:rPr>
            </w:pPr>
            <w:r w:rsidRPr="002234E3">
              <w:rPr>
                <w:sz w:val="20"/>
                <w:szCs w:val="20"/>
              </w:rPr>
              <w:t>**</w:t>
            </w:r>
          </w:p>
        </w:tc>
        <w:tc>
          <w:tcPr>
            <w:tcW w:w="0" w:type="auto"/>
            <w:tcBorders>
              <w:top w:val="single" w:sz="4" w:space="0" w:color="auto"/>
            </w:tcBorders>
          </w:tcPr>
          <w:p w14:paraId="3590AFF9"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single" w:sz="4" w:space="0" w:color="auto"/>
            </w:tcBorders>
          </w:tcPr>
          <w:p w14:paraId="0ABBB535" w14:textId="77777777" w:rsidR="00D04776" w:rsidRPr="002234E3" w:rsidRDefault="00D04776" w:rsidP="00F0279E">
            <w:pPr>
              <w:pStyle w:val="Compact"/>
              <w:rPr>
                <w:sz w:val="20"/>
                <w:szCs w:val="20"/>
              </w:rPr>
            </w:pPr>
            <w:r w:rsidRPr="002234E3">
              <w:rPr>
                <w:sz w:val="20"/>
                <w:szCs w:val="20"/>
              </w:rPr>
              <w:t>***</w:t>
            </w:r>
          </w:p>
        </w:tc>
      </w:tr>
      <w:tr w:rsidR="00D04776" w14:paraId="7933C511" w14:textId="77777777" w:rsidTr="00634215">
        <w:tc>
          <w:tcPr>
            <w:tcW w:w="0" w:type="auto"/>
          </w:tcPr>
          <w:p w14:paraId="0FFC9D5B" w14:textId="77777777" w:rsidR="00D04776" w:rsidRPr="002234E3" w:rsidRDefault="00D04776" w:rsidP="00F0279E">
            <w:pPr>
              <w:pStyle w:val="Compact"/>
              <w:rPr>
                <w:sz w:val="20"/>
                <w:szCs w:val="20"/>
              </w:rPr>
            </w:pPr>
          </w:p>
        </w:tc>
        <w:tc>
          <w:tcPr>
            <w:tcW w:w="754" w:type="pct"/>
          </w:tcPr>
          <w:p w14:paraId="692D782F" w14:textId="77777777" w:rsidR="00D04776" w:rsidRPr="002234E3" w:rsidRDefault="00D04776" w:rsidP="00F0279E">
            <w:pPr>
              <w:pStyle w:val="Compact"/>
              <w:rPr>
                <w:sz w:val="20"/>
                <w:szCs w:val="20"/>
              </w:rPr>
            </w:pPr>
          </w:p>
        </w:tc>
        <w:tc>
          <w:tcPr>
            <w:tcW w:w="881" w:type="pct"/>
          </w:tcPr>
          <w:p w14:paraId="106891E5" w14:textId="77777777" w:rsidR="00D04776" w:rsidRPr="002234E3" w:rsidRDefault="00D04776" w:rsidP="00F0279E">
            <w:pPr>
              <w:pStyle w:val="Compact"/>
              <w:rPr>
                <w:sz w:val="20"/>
                <w:szCs w:val="20"/>
              </w:rPr>
            </w:pPr>
            <w:r w:rsidRPr="002234E3">
              <w:rPr>
                <w:sz w:val="20"/>
                <w:szCs w:val="20"/>
              </w:rPr>
              <w:t>PDQ</w:t>
            </w:r>
          </w:p>
        </w:tc>
        <w:tc>
          <w:tcPr>
            <w:tcW w:w="0" w:type="auto"/>
          </w:tcPr>
          <w:p w14:paraId="16B1CA79"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3DB133FD" w14:textId="77777777" w:rsidR="00D04776" w:rsidRPr="002234E3" w:rsidRDefault="00D04776" w:rsidP="00F0279E">
            <w:pPr>
              <w:pStyle w:val="Compact"/>
              <w:rPr>
                <w:sz w:val="20"/>
                <w:szCs w:val="20"/>
              </w:rPr>
            </w:pPr>
            <w:r w:rsidRPr="002234E3">
              <w:rPr>
                <w:sz w:val="20"/>
                <w:szCs w:val="20"/>
              </w:rPr>
              <w:t>***</w:t>
            </w:r>
          </w:p>
        </w:tc>
        <w:tc>
          <w:tcPr>
            <w:tcW w:w="0" w:type="auto"/>
          </w:tcPr>
          <w:p w14:paraId="522434F2"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520FFF0E" w14:textId="77777777" w:rsidR="00D04776" w:rsidRPr="002234E3" w:rsidRDefault="00D04776" w:rsidP="00F0279E">
            <w:pPr>
              <w:pStyle w:val="Compact"/>
              <w:rPr>
                <w:sz w:val="20"/>
                <w:szCs w:val="20"/>
              </w:rPr>
            </w:pPr>
          </w:p>
        </w:tc>
        <w:tc>
          <w:tcPr>
            <w:tcW w:w="0" w:type="auto"/>
          </w:tcPr>
          <w:p w14:paraId="4AB89F71"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27C98659" w14:textId="77777777" w:rsidR="00D04776" w:rsidRPr="002234E3" w:rsidRDefault="00D04776" w:rsidP="00F0279E">
            <w:pPr>
              <w:pStyle w:val="Compact"/>
              <w:rPr>
                <w:sz w:val="20"/>
                <w:szCs w:val="20"/>
              </w:rPr>
            </w:pPr>
            <w:r w:rsidRPr="002234E3">
              <w:rPr>
                <w:sz w:val="20"/>
                <w:szCs w:val="20"/>
              </w:rPr>
              <w:t>***</w:t>
            </w:r>
          </w:p>
        </w:tc>
      </w:tr>
      <w:tr w:rsidR="00D04776" w14:paraId="791B7B7E" w14:textId="77777777" w:rsidTr="00634215">
        <w:tc>
          <w:tcPr>
            <w:tcW w:w="0" w:type="auto"/>
            <w:tcBorders>
              <w:bottom w:val="dashed" w:sz="4" w:space="0" w:color="auto"/>
            </w:tcBorders>
          </w:tcPr>
          <w:p w14:paraId="521C1AFB" w14:textId="77777777" w:rsidR="00D04776" w:rsidRPr="002234E3" w:rsidRDefault="00D04776" w:rsidP="00F0279E">
            <w:pPr>
              <w:pStyle w:val="Compact"/>
              <w:rPr>
                <w:sz w:val="20"/>
                <w:szCs w:val="20"/>
              </w:rPr>
            </w:pPr>
          </w:p>
        </w:tc>
        <w:tc>
          <w:tcPr>
            <w:tcW w:w="754" w:type="pct"/>
            <w:tcBorders>
              <w:bottom w:val="dashed" w:sz="4" w:space="0" w:color="auto"/>
            </w:tcBorders>
          </w:tcPr>
          <w:p w14:paraId="1B43E820" w14:textId="77777777" w:rsidR="00D04776" w:rsidRPr="002234E3" w:rsidRDefault="00D04776" w:rsidP="00F0279E">
            <w:pPr>
              <w:pStyle w:val="Compact"/>
              <w:rPr>
                <w:sz w:val="20"/>
                <w:szCs w:val="20"/>
              </w:rPr>
            </w:pPr>
          </w:p>
        </w:tc>
        <w:tc>
          <w:tcPr>
            <w:tcW w:w="881" w:type="pct"/>
            <w:tcBorders>
              <w:bottom w:val="dashed" w:sz="4" w:space="0" w:color="auto"/>
            </w:tcBorders>
          </w:tcPr>
          <w:p w14:paraId="172CDE68" w14:textId="77777777" w:rsidR="00D04776" w:rsidRPr="002234E3" w:rsidRDefault="00D04776" w:rsidP="00F0279E">
            <w:pPr>
              <w:pStyle w:val="Compact"/>
              <w:rPr>
                <w:sz w:val="20"/>
                <w:szCs w:val="20"/>
              </w:rPr>
            </w:pPr>
            <w:r w:rsidRPr="002234E3">
              <w:rPr>
                <w:sz w:val="20"/>
                <w:szCs w:val="20"/>
              </w:rPr>
              <w:t>Soil C</w:t>
            </w:r>
          </w:p>
        </w:tc>
        <w:tc>
          <w:tcPr>
            <w:tcW w:w="0" w:type="auto"/>
            <w:tcBorders>
              <w:bottom w:val="dashed" w:sz="4" w:space="0" w:color="auto"/>
            </w:tcBorders>
          </w:tcPr>
          <w:p w14:paraId="2F5CF9E6"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1CEBB649" w14:textId="77777777" w:rsidR="00D04776" w:rsidRPr="002234E3" w:rsidRDefault="00D04776" w:rsidP="00F0279E">
            <w:pPr>
              <w:pStyle w:val="Compact"/>
              <w:rPr>
                <w:sz w:val="20"/>
                <w:szCs w:val="20"/>
              </w:rPr>
            </w:pPr>
            <w:r w:rsidRPr="002234E3">
              <w:rPr>
                <w:sz w:val="20"/>
                <w:szCs w:val="20"/>
              </w:rPr>
              <w:t>***</w:t>
            </w:r>
          </w:p>
        </w:tc>
        <w:tc>
          <w:tcPr>
            <w:tcW w:w="0" w:type="auto"/>
            <w:tcBorders>
              <w:bottom w:val="dashed" w:sz="4" w:space="0" w:color="auto"/>
            </w:tcBorders>
          </w:tcPr>
          <w:p w14:paraId="19BCDE2C"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7DA3F4AE" w14:textId="77777777" w:rsidR="00D04776" w:rsidRPr="002234E3" w:rsidRDefault="00D04776" w:rsidP="00F0279E">
            <w:pPr>
              <w:pStyle w:val="Compact"/>
              <w:rPr>
                <w:sz w:val="20"/>
                <w:szCs w:val="20"/>
              </w:rPr>
            </w:pPr>
          </w:p>
        </w:tc>
        <w:tc>
          <w:tcPr>
            <w:tcW w:w="0" w:type="auto"/>
            <w:tcBorders>
              <w:bottom w:val="dashed" w:sz="4" w:space="0" w:color="auto"/>
            </w:tcBorders>
          </w:tcPr>
          <w:p w14:paraId="15EEA7FB"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7FAF09E4" w14:textId="77777777" w:rsidR="00D04776" w:rsidRPr="002234E3" w:rsidRDefault="00D04776" w:rsidP="00F0279E">
            <w:pPr>
              <w:pStyle w:val="Compact"/>
              <w:rPr>
                <w:sz w:val="20"/>
                <w:szCs w:val="20"/>
              </w:rPr>
            </w:pPr>
            <w:r w:rsidRPr="002234E3">
              <w:rPr>
                <w:sz w:val="20"/>
                <w:szCs w:val="20"/>
              </w:rPr>
              <w:t>**</w:t>
            </w:r>
          </w:p>
        </w:tc>
      </w:tr>
      <w:tr w:rsidR="00D04776" w14:paraId="3395C1A3" w14:textId="77777777" w:rsidTr="00634215">
        <w:tc>
          <w:tcPr>
            <w:tcW w:w="0" w:type="auto"/>
            <w:tcBorders>
              <w:top w:val="dashed" w:sz="4" w:space="0" w:color="auto"/>
            </w:tcBorders>
          </w:tcPr>
          <w:p w14:paraId="2E5D80CB" w14:textId="77777777" w:rsidR="00D04776" w:rsidRPr="002234E3" w:rsidRDefault="00D04776" w:rsidP="00F0279E">
            <w:pPr>
              <w:pStyle w:val="Compact"/>
              <w:rPr>
                <w:sz w:val="20"/>
                <w:szCs w:val="20"/>
              </w:rPr>
            </w:pPr>
          </w:p>
        </w:tc>
        <w:tc>
          <w:tcPr>
            <w:tcW w:w="754" w:type="pct"/>
            <w:tcBorders>
              <w:top w:val="dashed" w:sz="4" w:space="0" w:color="auto"/>
            </w:tcBorders>
          </w:tcPr>
          <w:p w14:paraId="5422B480" w14:textId="77777777" w:rsidR="00D04776" w:rsidRPr="002234E3" w:rsidRDefault="00D04776" w:rsidP="00F0279E">
            <w:pPr>
              <w:pStyle w:val="Compact"/>
              <w:rPr>
                <w:sz w:val="20"/>
                <w:szCs w:val="20"/>
              </w:rPr>
            </w:pPr>
            <w:r w:rsidRPr="002234E3">
              <w:rPr>
                <w:sz w:val="20"/>
                <w:szCs w:val="20"/>
              </w:rPr>
              <w:t>Main effect only</w:t>
            </w:r>
          </w:p>
        </w:tc>
        <w:tc>
          <w:tcPr>
            <w:tcW w:w="881" w:type="pct"/>
            <w:tcBorders>
              <w:top w:val="dashed" w:sz="4" w:space="0" w:color="auto"/>
            </w:tcBorders>
          </w:tcPr>
          <w:p w14:paraId="52737AA6" w14:textId="77777777" w:rsidR="00D04776" w:rsidRPr="002234E3" w:rsidRDefault="00D04776" w:rsidP="00F0279E">
            <w:pPr>
              <w:pStyle w:val="Compact"/>
              <w:rPr>
                <w:sz w:val="20"/>
                <w:szCs w:val="20"/>
              </w:rPr>
            </w:pPr>
            <w:r w:rsidRPr="002234E3">
              <w:rPr>
                <w:sz w:val="20"/>
                <w:szCs w:val="20"/>
              </w:rPr>
              <w:t>Elevation</w:t>
            </w:r>
          </w:p>
        </w:tc>
        <w:tc>
          <w:tcPr>
            <w:tcW w:w="0" w:type="auto"/>
            <w:tcBorders>
              <w:top w:val="dashed" w:sz="4" w:space="0" w:color="auto"/>
            </w:tcBorders>
          </w:tcPr>
          <w:p w14:paraId="33351E94"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17E2D94D"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74B72806" w14:textId="77777777" w:rsidR="00D04776" w:rsidRPr="002234E3" w:rsidRDefault="00D04776" w:rsidP="00F0279E">
            <w:pPr>
              <w:pStyle w:val="Compact"/>
              <w:rPr>
                <w:sz w:val="20"/>
                <w:szCs w:val="20"/>
              </w:rPr>
            </w:pPr>
          </w:p>
        </w:tc>
        <w:tc>
          <w:tcPr>
            <w:tcW w:w="0" w:type="auto"/>
            <w:tcBorders>
              <w:top w:val="dashed" w:sz="4" w:space="0" w:color="auto"/>
            </w:tcBorders>
          </w:tcPr>
          <w:p w14:paraId="31877234" w14:textId="77777777" w:rsidR="00D04776" w:rsidRPr="002234E3" w:rsidRDefault="00D04776" w:rsidP="00F0279E">
            <w:pPr>
              <w:pStyle w:val="Compact"/>
              <w:rPr>
                <w:sz w:val="20"/>
                <w:szCs w:val="20"/>
              </w:rPr>
            </w:pPr>
          </w:p>
        </w:tc>
        <w:tc>
          <w:tcPr>
            <w:tcW w:w="0" w:type="auto"/>
            <w:tcBorders>
              <w:top w:val="dashed" w:sz="4" w:space="0" w:color="auto"/>
            </w:tcBorders>
          </w:tcPr>
          <w:p w14:paraId="343510D4" w14:textId="77777777" w:rsidR="00D04776" w:rsidRPr="002234E3" w:rsidRDefault="00D04776" w:rsidP="00F0279E">
            <w:pPr>
              <w:pStyle w:val="Compact"/>
              <w:rPr>
                <w:sz w:val="20"/>
                <w:szCs w:val="20"/>
              </w:rPr>
            </w:pPr>
          </w:p>
        </w:tc>
        <w:tc>
          <w:tcPr>
            <w:tcW w:w="0" w:type="auto"/>
            <w:tcBorders>
              <w:top w:val="dashed" w:sz="4" w:space="0" w:color="auto"/>
            </w:tcBorders>
          </w:tcPr>
          <w:p w14:paraId="72D369FB" w14:textId="77777777" w:rsidR="00D04776" w:rsidRPr="002234E3" w:rsidRDefault="00D04776" w:rsidP="00F0279E">
            <w:pPr>
              <w:pStyle w:val="Compact"/>
              <w:rPr>
                <w:sz w:val="20"/>
                <w:szCs w:val="20"/>
              </w:rPr>
            </w:pPr>
          </w:p>
        </w:tc>
      </w:tr>
      <w:tr w:rsidR="00D04776" w14:paraId="4503C606" w14:textId="77777777" w:rsidTr="00634215">
        <w:tc>
          <w:tcPr>
            <w:tcW w:w="0" w:type="auto"/>
          </w:tcPr>
          <w:p w14:paraId="13326302" w14:textId="77777777" w:rsidR="00D04776" w:rsidRPr="002234E3" w:rsidRDefault="00D04776" w:rsidP="00F0279E">
            <w:pPr>
              <w:pStyle w:val="Compact"/>
              <w:rPr>
                <w:sz w:val="20"/>
                <w:szCs w:val="20"/>
              </w:rPr>
            </w:pPr>
          </w:p>
        </w:tc>
        <w:tc>
          <w:tcPr>
            <w:tcW w:w="754" w:type="pct"/>
          </w:tcPr>
          <w:p w14:paraId="0F0D0092" w14:textId="77777777" w:rsidR="00D04776" w:rsidRPr="002234E3" w:rsidRDefault="00D04776" w:rsidP="00F0279E">
            <w:pPr>
              <w:pStyle w:val="Compact"/>
              <w:rPr>
                <w:sz w:val="20"/>
                <w:szCs w:val="20"/>
              </w:rPr>
            </w:pPr>
          </w:p>
        </w:tc>
        <w:tc>
          <w:tcPr>
            <w:tcW w:w="881" w:type="pct"/>
          </w:tcPr>
          <w:p w14:paraId="00DBA767" w14:textId="77777777" w:rsidR="00D04776" w:rsidRPr="002234E3" w:rsidRDefault="00D04776" w:rsidP="00F0279E">
            <w:pPr>
              <w:pStyle w:val="Compact"/>
              <w:rPr>
                <w:sz w:val="20"/>
                <w:szCs w:val="20"/>
              </w:rPr>
            </w:pPr>
            <w:r w:rsidRPr="002234E3">
              <w:rPr>
                <w:sz w:val="20"/>
                <w:szCs w:val="20"/>
              </w:rPr>
              <w:t>MAP</w:t>
            </w:r>
          </w:p>
        </w:tc>
        <w:tc>
          <w:tcPr>
            <w:tcW w:w="0" w:type="auto"/>
          </w:tcPr>
          <w:p w14:paraId="05B1BD0A"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0EADD8F7" w14:textId="77777777" w:rsidR="00D04776" w:rsidRPr="002234E3" w:rsidRDefault="00D04776" w:rsidP="00F0279E">
            <w:pPr>
              <w:pStyle w:val="Compact"/>
              <w:rPr>
                <w:sz w:val="20"/>
                <w:szCs w:val="20"/>
              </w:rPr>
            </w:pPr>
            <w:r w:rsidRPr="002234E3">
              <w:rPr>
                <w:sz w:val="20"/>
                <w:szCs w:val="20"/>
              </w:rPr>
              <w:t>***</w:t>
            </w:r>
          </w:p>
        </w:tc>
        <w:tc>
          <w:tcPr>
            <w:tcW w:w="0" w:type="auto"/>
          </w:tcPr>
          <w:p w14:paraId="3E6940C6" w14:textId="77777777" w:rsidR="00D04776" w:rsidRPr="002234E3" w:rsidRDefault="00D04776" w:rsidP="00F0279E">
            <w:pPr>
              <w:pStyle w:val="Compact"/>
              <w:rPr>
                <w:sz w:val="20"/>
                <w:szCs w:val="20"/>
              </w:rPr>
            </w:pPr>
          </w:p>
        </w:tc>
        <w:tc>
          <w:tcPr>
            <w:tcW w:w="0" w:type="auto"/>
          </w:tcPr>
          <w:p w14:paraId="66E6B99C" w14:textId="77777777" w:rsidR="00D04776" w:rsidRPr="002234E3" w:rsidRDefault="00D04776" w:rsidP="00F0279E">
            <w:pPr>
              <w:pStyle w:val="Compact"/>
              <w:rPr>
                <w:sz w:val="20"/>
                <w:szCs w:val="20"/>
              </w:rPr>
            </w:pPr>
          </w:p>
        </w:tc>
        <w:tc>
          <w:tcPr>
            <w:tcW w:w="0" w:type="auto"/>
          </w:tcPr>
          <w:p w14:paraId="3C6B853E" w14:textId="77777777" w:rsidR="00D04776" w:rsidRPr="002234E3" w:rsidRDefault="00D04776" w:rsidP="00F0279E">
            <w:pPr>
              <w:pStyle w:val="Compact"/>
              <w:rPr>
                <w:sz w:val="20"/>
                <w:szCs w:val="20"/>
              </w:rPr>
            </w:pPr>
          </w:p>
        </w:tc>
        <w:tc>
          <w:tcPr>
            <w:tcW w:w="0" w:type="auto"/>
          </w:tcPr>
          <w:p w14:paraId="03E360C3" w14:textId="77777777" w:rsidR="00D04776" w:rsidRPr="002234E3" w:rsidRDefault="00D04776" w:rsidP="00F0279E">
            <w:pPr>
              <w:pStyle w:val="Compact"/>
              <w:rPr>
                <w:sz w:val="20"/>
                <w:szCs w:val="20"/>
              </w:rPr>
            </w:pPr>
          </w:p>
        </w:tc>
      </w:tr>
      <w:tr w:rsidR="00D04776" w14:paraId="2061C68C" w14:textId="77777777" w:rsidTr="00634215">
        <w:tc>
          <w:tcPr>
            <w:tcW w:w="0" w:type="auto"/>
          </w:tcPr>
          <w:p w14:paraId="3CD09BF6" w14:textId="77777777" w:rsidR="00D04776" w:rsidRPr="002234E3" w:rsidRDefault="00D04776" w:rsidP="00F0279E">
            <w:pPr>
              <w:pStyle w:val="Compact"/>
              <w:rPr>
                <w:sz w:val="20"/>
                <w:szCs w:val="20"/>
              </w:rPr>
            </w:pPr>
          </w:p>
        </w:tc>
        <w:tc>
          <w:tcPr>
            <w:tcW w:w="754" w:type="pct"/>
          </w:tcPr>
          <w:p w14:paraId="29FC06A8" w14:textId="77777777" w:rsidR="00D04776" w:rsidRPr="002234E3" w:rsidRDefault="00D04776" w:rsidP="00F0279E">
            <w:pPr>
              <w:pStyle w:val="Compact"/>
              <w:rPr>
                <w:sz w:val="20"/>
                <w:szCs w:val="20"/>
              </w:rPr>
            </w:pPr>
          </w:p>
        </w:tc>
        <w:tc>
          <w:tcPr>
            <w:tcW w:w="881" w:type="pct"/>
          </w:tcPr>
          <w:p w14:paraId="44983026" w14:textId="77777777" w:rsidR="00D04776" w:rsidRPr="002234E3" w:rsidRDefault="00D04776" w:rsidP="00F0279E">
            <w:pPr>
              <w:pStyle w:val="Compact"/>
              <w:rPr>
                <w:sz w:val="20"/>
                <w:szCs w:val="20"/>
              </w:rPr>
            </w:pPr>
            <w:r w:rsidRPr="002234E3">
              <w:rPr>
                <w:sz w:val="20"/>
                <w:szCs w:val="20"/>
              </w:rPr>
              <w:t>Surface T</w:t>
            </w:r>
          </w:p>
        </w:tc>
        <w:tc>
          <w:tcPr>
            <w:tcW w:w="0" w:type="auto"/>
          </w:tcPr>
          <w:p w14:paraId="1D7C08D5"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3A6BA3DA" w14:textId="77777777" w:rsidR="00D04776" w:rsidRPr="002234E3" w:rsidRDefault="00D04776" w:rsidP="00F0279E">
            <w:pPr>
              <w:pStyle w:val="Compact"/>
              <w:rPr>
                <w:sz w:val="20"/>
                <w:szCs w:val="20"/>
              </w:rPr>
            </w:pPr>
            <w:r w:rsidRPr="002234E3">
              <w:rPr>
                <w:sz w:val="20"/>
                <w:szCs w:val="20"/>
              </w:rPr>
              <w:t>***</w:t>
            </w:r>
          </w:p>
        </w:tc>
        <w:tc>
          <w:tcPr>
            <w:tcW w:w="0" w:type="auto"/>
          </w:tcPr>
          <w:p w14:paraId="4E79BF2E" w14:textId="77777777" w:rsidR="00D04776" w:rsidRPr="002234E3" w:rsidRDefault="00D04776" w:rsidP="00F0279E">
            <w:pPr>
              <w:pStyle w:val="Compact"/>
              <w:rPr>
                <w:sz w:val="20"/>
                <w:szCs w:val="20"/>
              </w:rPr>
            </w:pPr>
          </w:p>
        </w:tc>
        <w:tc>
          <w:tcPr>
            <w:tcW w:w="0" w:type="auto"/>
          </w:tcPr>
          <w:p w14:paraId="2FA83183" w14:textId="77777777" w:rsidR="00D04776" w:rsidRPr="002234E3" w:rsidRDefault="00D04776" w:rsidP="00F0279E">
            <w:pPr>
              <w:pStyle w:val="Compact"/>
              <w:rPr>
                <w:sz w:val="20"/>
                <w:szCs w:val="20"/>
              </w:rPr>
            </w:pPr>
          </w:p>
        </w:tc>
        <w:tc>
          <w:tcPr>
            <w:tcW w:w="0" w:type="auto"/>
          </w:tcPr>
          <w:p w14:paraId="62803459" w14:textId="77777777" w:rsidR="00D04776" w:rsidRPr="002234E3" w:rsidRDefault="00D04776" w:rsidP="00F0279E">
            <w:pPr>
              <w:pStyle w:val="Compact"/>
              <w:rPr>
                <w:sz w:val="20"/>
                <w:szCs w:val="20"/>
              </w:rPr>
            </w:pPr>
          </w:p>
        </w:tc>
        <w:tc>
          <w:tcPr>
            <w:tcW w:w="0" w:type="auto"/>
          </w:tcPr>
          <w:p w14:paraId="6B65184A" w14:textId="77777777" w:rsidR="00D04776" w:rsidRPr="002234E3" w:rsidRDefault="00D04776" w:rsidP="00F0279E">
            <w:pPr>
              <w:pStyle w:val="Compact"/>
              <w:rPr>
                <w:sz w:val="20"/>
                <w:szCs w:val="20"/>
              </w:rPr>
            </w:pPr>
          </w:p>
        </w:tc>
      </w:tr>
      <w:tr w:rsidR="00D04776" w14:paraId="61021E01" w14:textId="77777777" w:rsidTr="00634215">
        <w:tc>
          <w:tcPr>
            <w:tcW w:w="0" w:type="auto"/>
            <w:tcBorders>
              <w:bottom w:val="dashed" w:sz="4" w:space="0" w:color="auto"/>
            </w:tcBorders>
          </w:tcPr>
          <w:p w14:paraId="620A9F7B" w14:textId="77777777" w:rsidR="00D04776" w:rsidRPr="002234E3" w:rsidRDefault="00D04776" w:rsidP="00F0279E">
            <w:pPr>
              <w:pStyle w:val="Compact"/>
              <w:rPr>
                <w:sz w:val="20"/>
                <w:szCs w:val="20"/>
              </w:rPr>
            </w:pPr>
          </w:p>
        </w:tc>
        <w:tc>
          <w:tcPr>
            <w:tcW w:w="754" w:type="pct"/>
            <w:tcBorders>
              <w:bottom w:val="dashed" w:sz="4" w:space="0" w:color="auto"/>
            </w:tcBorders>
          </w:tcPr>
          <w:p w14:paraId="4C951B7B" w14:textId="77777777" w:rsidR="00D04776" w:rsidRPr="002234E3" w:rsidRDefault="00D04776" w:rsidP="00F0279E">
            <w:pPr>
              <w:pStyle w:val="Compact"/>
              <w:rPr>
                <w:sz w:val="20"/>
                <w:szCs w:val="20"/>
              </w:rPr>
            </w:pPr>
          </w:p>
        </w:tc>
        <w:tc>
          <w:tcPr>
            <w:tcW w:w="881" w:type="pct"/>
            <w:tcBorders>
              <w:bottom w:val="dashed" w:sz="4" w:space="0" w:color="auto"/>
            </w:tcBorders>
          </w:tcPr>
          <w:p w14:paraId="0F4C29CF" w14:textId="77777777" w:rsidR="00D04776" w:rsidRPr="002234E3" w:rsidRDefault="00D04776" w:rsidP="00F0279E">
            <w:pPr>
              <w:pStyle w:val="Compact"/>
              <w:rPr>
                <w:sz w:val="20"/>
                <w:szCs w:val="20"/>
              </w:rPr>
            </w:pPr>
            <w:r w:rsidRPr="002234E3">
              <w:rPr>
                <w:sz w:val="20"/>
                <w:szCs w:val="20"/>
              </w:rPr>
              <w:t>PC1</w:t>
            </w:r>
          </w:p>
        </w:tc>
        <w:tc>
          <w:tcPr>
            <w:tcW w:w="0" w:type="auto"/>
            <w:tcBorders>
              <w:bottom w:val="dashed" w:sz="4" w:space="0" w:color="auto"/>
            </w:tcBorders>
          </w:tcPr>
          <w:p w14:paraId="77ECA1CB"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dashed" w:sz="4" w:space="0" w:color="auto"/>
            </w:tcBorders>
          </w:tcPr>
          <w:p w14:paraId="4C07E068" w14:textId="77777777" w:rsidR="00D04776" w:rsidRPr="002234E3" w:rsidRDefault="00D04776" w:rsidP="00F0279E">
            <w:pPr>
              <w:pStyle w:val="Compact"/>
              <w:rPr>
                <w:sz w:val="20"/>
                <w:szCs w:val="20"/>
              </w:rPr>
            </w:pPr>
            <w:r w:rsidRPr="002234E3">
              <w:rPr>
                <w:sz w:val="20"/>
                <w:szCs w:val="20"/>
              </w:rPr>
              <w:t>***</w:t>
            </w:r>
          </w:p>
        </w:tc>
        <w:tc>
          <w:tcPr>
            <w:tcW w:w="0" w:type="auto"/>
            <w:tcBorders>
              <w:bottom w:val="dashed" w:sz="4" w:space="0" w:color="auto"/>
            </w:tcBorders>
          </w:tcPr>
          <w:p w14:paraId="6538D2C4" w14:textId="77777777" w:rsidR="00D04776" w:rsidRPr="002234E3" w:rsidRDefault="00D04776" w:rsidP="00F0279E">
            <w:pPr>
              <w:pStyle w:val="Compact"/>
              <w:rPr>
                <w:sz w:val="20"/>
                <w:szCs w:val="20"/>
              </w:rPr>
            </w:pPr>
          </w:p>
        </w:tc>
        <w:tc>
          <w:tcPr>
            <w:tcW w:w="0" w:type="auto"/>
            <w:tcBorders>
              <w:bottom w:val="dashed" w:sz="4" w:space="0" w:color="auto"/>
            </w:tcBorders>
          </w:tcPr>
          <w:p w14:paraId="4FFA9300" w14:textId="77777777" w:rsidR="00D04776" w:rsidRPr="002234E3" w:rsidRDefault="00D04776" w:rsidP="00F0279E">
            <w:pPr>
              <w:pStyle w:val="Compact"/>
              <w:rPr>
                <w:sz w:val="20"/>
                <w:szCs w:val="20"/>
              </w:rPr>
            </w:pPr>
          </w:p>
        </w:tc>
        <w:tc>
          <w:tcPr>
            <w:tcW w:w="0" w:type="auto"/>
            <w:tcBorders>
              <w:bottom w:val="dashed" w:sz="4" w:space="0" w:color="auto"/>
            </w:tcBorders>
          </w:tcPr>
          <w:p w14:paraId="5AE6531F" w14:textId="77777777" w:rsidR="00D04776" w:rsidRPr="002234E3" w:rsidRDefault="00D04776" w:rsidP="00F0279E">
            <w:pPr>
              <w:pStyle w:val="Compact"/>
              <w:rPr>
                <w:sz w:val="20"/>
                <w:szCs w:val="20"/>
              </w:rPr>
            </w:pPr>
          </w:p>
        </w:tc>
        <w:tc>
          <w:tcPr>
            <w:tcW w:w="0" w:type="auto"/>
            <w:tcBorders>
              <w:bottom w:val="dashed" w:sz="4" w:space="0" w:color="auto"/>
            </w:tcBorders>
          </w:tcPr>
          <w:p w14:paraId="510FAA39" w14:textId="77777777" w:rsidR="00D04776" w:rsidRPr="002234E3" w:rsidRDefault="00D04776" w:rsidP="00F0279E">
            <w:pPr>
              <w:pStyle w:val="Compact"/>
              <w:rPr>
                <w:sz w:val="20"/>
                <w:szCs w:val="20"/>
              </w:rPr>
            </w:pPr>
          </w:p>
        </w:tc>
      </w:tr>
      <w:tr w:rsidR="00D04776" w14:paraId="36C98A9B" w14:textId="77777777" w:rsidTr="00634215">
        <w:tc>
          <w:tcPr>
            <w:tcW w:w="0" w:type="auto"/>
            <w:tcBorders>
              <w:top w:val="dashed" w:sz="4" w:space="0" w:color="auto"/>
            </w:tcBorders>
          </w:tcPr>
          <w:p w14:paraId="2945E947" w14:textId="77777777" w:rsidR="00D04776" w:rsidRPr="002234E3" w:rsidRDefault="00D04776" w:rsidP="00F0279E">
            <w:pPr>
              <w:pStyle w:val="Compact"/>
              <w:rPr>
                <w:sz w:val="20"/>
                <w:szCs w:val="20"/>
              </w:rPr>
            </w:pPr>
          </w:p>
        </w:tc>
        <w:tc>
          <w:tcPr>
            <w:tcW w:w="754" w:type="pct"/>
            <w:tcBorders>
              <w:top w:val="dashed" w:sz="4" w:space="0" w:color="auto"/>
            </w:tcBorders>
          </w:tcPr>
          <w:p w14:paraId="7A130542" w14:textId="77777777" w:rsidR="00D04776" w:rsidRPr="002234E3" w:rsidRDefault="00D04776" w:rsidP="00F0279E">
            <w:pPr>
              <w:pStyle w:val="Compact"/>
              <w:rPr>
                <w:sz w:val="20"/>
                <w:szCs w:val="20"/>
              </w:rPr>
            </w:pPr>
            <w:r w:rsidRPr="002234E3">
              <w:rPr>
                <w:sz w:val="20"/>
                <w:szCs w:val="20"/>
              </w:rPr>
              <w:t>Region only</w:t>
            </w:r>
          </w:p>
        </w:tc>
        <w:tc>
          <w:tcPr>
            <w:tcW w:w="881" w:type="pct"/>
            <w:tcBorders>
              <w:top w:val="dashed" w:sz="4" w:space="0" w:color="auto"/>
            </w:tcBorders>
          </w:tcPr>
          <w:p w14:paraId="46BDA538" w14:textId="77777777" w:rsidR="00D04776" w:rsidRPr="002234E3" w:rsidRDefault="00D04776" w:rsidP="00F0279E">
            <w:pPr>
              <w:pStyle w:val="Compact"/>
              <w:rPr>
                <w:sz w:val="20"/>
                <w:szCs w:val="20"/>
              </w:rPr>
            </w:pPr>
            <w:r w:rsidRPr="002234E3">
              <w:rPr>
                <w:sz w:val="20"/>
                <w:szCs w:val="20"/>
              </w:rPr>
              <w:t>CEC</w:t>
            </w:r>
          </w:p>
        </w:tc>
        <w:tc>
          <w:tcPr>
            <w:tcW w:w="0" w:type="auto"/>
            <w:tcBorders>
              <w:top w:val="dashed" w:sz="4" w:space="0" w:color="auto"/>
            </w:tcBorders>
          </w:tcPr>
          <w:p w14:paraId="74783313"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424C6905" w14:textId="77777777" w:rsidR="00D04776" w:rsidRPr="002234E3" w:rsidRDefault="00D04776" w:rsidP="00F0279E">
            <w:pPr>
              <w:pStyle w:val="Compact"/>
              <w:rPr>
                <w:sz w:val="20"/>
                <w:szCs w:val="20"/>
              </w:rPr>
            </w:pPr>
          </w:p>
        </w:tc>
        <w:tc>
          <w:tcPr>
            <w:tcW w:w="0" w:type="auto"/>
            <w:tcBorders>
              <w:top w:val="dashed" w:sz="4" w:space="0" w:color="auto"/>
            </w:tcBorders>
          </w:tcPr>
          <w:p w14:paraId="0865CE3F" w14:textId="77777777" w:rsidR="00D04776" w:rsidRPr="002234E3" w:rsidRDefault="00D04776" w:rsidP="00F0279E">
            <w:pPr>
              <w:pStyle w:val="Compact"/>
              <w:jc w:val="center"/>
              <w:rPr>
                <w:sz w:val="20"/>
                <w:szCs w:val="20"/>
              </w:rPr>
            </w:pPr>
            <w:r w:rsidRPr="002234E3">
              <w:rPr>
                <w:sz w:val="20"/>
                <w:szCs w:val="20"/>
              </w:rPr>
              <w:t>–</w:t>
            </w:r>
          </w:p>
        </w:tc>
        <w:tc>
          <w:tcPr>
            <w:tcW w:w="0" w:type="auto"/>
            <w:tcBorders>
              <w:top w:val="dashed" w:sz="4" w:space="0" w:color="auto"/>
            </w:tcBorders>
          </w:tcPr>
          <w:p w14:paraId="44A5E9CE" w14:textId="77777777" w:rsidR="00D04776" w:rsidRPr="002234E3" w:rsidRDefault="00D04776" w:rsidP="00F0279E">
            <w:pPr>
              <w:pStyle w:val="Compact"/>
              <w:rPr>
                <w:sz w:val="20"/>
                <w:szCs w:val="20"/>
              </w:rPr>
            </w:pPr>
            <w:r w:rsidRPr="002234E3">
              <w:rPr>
                <w:sz w:val="20"/>
                <w:szCs w:val="20"/>
              </w:rPr>
              <w:t>***</w:t>
            </w:r>
          </w:p>
        </w:tc>
        <w:tc>
          <w:tcPr>
            <w:tcW w:w="0" w:type="auto"/>
            <w:tcBorders>
              <w:top w:val="dashed" w:sz="4" w:space="0" w:color="auto"/>
            </w:tcBorders>
          </w:tcPr>
          <w:p w14:paraId="2C07500A" w14:textId="77777777" w:rsidR="00D04776" w:rsidRPr="002234E3" w:rsidRDefault="00D04776" w:rsidP="00F0279E">
            <w:pPr>
              <w:pStyle w:val="Compact"/>
              <w:rPr>
                <w:sz w:val="20"/>
                <w:szCs w:val="20"/>
              </w:rPr>
            </w:pPr>
          </w:p>
        </w:tc>
        <w:tc>
          <w:tcPr>
            <w:tcW w:w="0" w:type="auto"/>
            <w:tcBorders>
              <w:top w:val="dashed" w:sz="4" w:space="0" w:color="auto"/>
            </w:tcBorders>
          </w:tcPr>
          <w:p w14:paraId="2F965F0F" w14:textId="77777777" w:rsidR="00D04776" w:rsidRPr="002234E3" w:rsidRDefault="00D04776" w:rsidP="00F0279E">
            <w:pPr>
              <w:pStyle w:val="Compact"/>
              <w:rPr>
                <w:sz w:val="20"/>
                <w:szCs w:val="20"/>
              </w:rPr>
            </w:pPr>
          </w:p>
        </w:tc>
      </w:tr>
      <w:tr w:rsidR="00D04776" w14:paraId="14F91A09" w14:textId="77777777" w:rsidTr="00634215">
        <w:tc>
          <w:tcPr>
            <w:tcW w:w="0" w:type="auto"/>
          </w:tcPr>
          <w:p w14:paraId="6CD73313" w14:textId="77777777" w:rsidR="00D04776" w:rsidRPr="002234E3" w:rsidRDefault="00D04776" w:rsidP="00F0279E">
            <w:pPr>
              <w:pStyle w:val="Compact"/>
              <w:rPr>
                <w:sz w:val="20"/>
                <w:szCs w:val="20"/>
              </w:rPr>
            </w:pPr>
          </w:p>
        </w:tc>
        <w:tc>
          <w:tcPr>
            <w:tcW w:w="754" w:type="pct"/>
          </w:tcPr>
          <w:p w14:paraId="16CF46C8" w14:textId="77777777" w:rsidR="00D04776" w:rsidRPr="002234E3" w:rsidRDefault="00D04776" w:rsidP="00F0279E">
            <w:pPr>
              <w:pStyle w:val="Compact"/>
              <w:rPr>
                <w:sz w:val="20"/>
                <w:szCs w:val="20"/>
              </w:rPr>
            </w:pPr>
          </w:p>
        </w:tc>
        <w:tc>
          <w:tcPr>
            <w:tcW w:w="881" w:type="pct"/>
          </w:tcPr>
          <w:p w14:paraId="28DB2945" w14:textId="77777777" w:rsidR="00D04776" w:rsidRPr="002234E3" w:rsidRDefault="00D04776" w:rsidP="00F0279E">
            <w:pPr>
              <w:pStyle w:val="Compact"/>
              <w:rPr>
                <w:sz w:val="20"/>
                <w:szCs w:val="20"/>
              </w:rPr>
            </w:pPr>
            <w:r w:rsidRPr="002234E3">
              <w:rPr>
                <w:sz w:val="20"/>
                <w:szCs w:val="20"/>
              </w:rPr>
              <w:t>Clay</w:t>
            </w:r>
          </w:p>
        </w:tc>
        <w:tc>
          <w:tcPr>
            <w:tcW w:w="0" w:type="auto"/>
          </w:tcPr>
          <w:p w14:paraId="7ACB01E5"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5914B97B" w14:textId="77777777" w:rsidR="00D04776" w:rsidRPr="002234E3" w:rsidRDefault="00D04776" w:rsidP="00F0279E">
            <w:pPr>
              <w:pStyle w:val="Compact"/>
              <w:rPr>
                <w:sz w:val="20"/>
                <w:szCs w:val="20"/>
              </w:rPr>
            </w:pPr>
          </w:p>
        </w:tc>
        <w:tc>
          <w:tcPr>
            <w:tcW w:w="0" w:type="auto"/>
          </w:tcPr>
          <w:p w14:paraId="0B1C974D" w14:textId="77777777" w:rsidR="00D04776" w:rsidRPr="002234E3" w:rsidRDefault="00D04776" w:rsidP="00F0279E">
            <w:pPr>
              <w:pStyle w:val="Compact"/>
              <w:jc w:val="center"/>
              <w:rPr>
                <w:sz w:val="20"/>
                <w:szCs w:val="20"/>
              </w:rPr>
            </w:pPr>
            <w:r w:rsidRPr="002234E3">
              <w:rPr>
                <w:sz w:val="20"/>
                <w:szCs w:val="20"/>
              </w:rPr>
              <w:t>–</w:t>
            </w:r>
          </w:p>
        </w:tc>
        <w:tc>
          <w:tcPr>
            <w:tcW w:w="0" w:type="auto"/>
          </w:tcPr>
          <w:p w14:paraId="62E522DD" w14:textId="77777777" w:rsidR="00D04776" w:rsidRPr="002234E3" w:rsidRDefault="00D04776" w:rsidP="00F0279E">
            <w:pPr>
              <w:pStyle w:val="Compact"/>
              <w:rPr>
                <w:sz w:val="20"/>
                <w:szCs w:val="20"/>
              </w:rPr>
            </w:pPr>
            <w:r w:rsidRPr="002234E3">
              <w:rPr>
                <w:sz w:val="20"/>
                <w:szCs w:val="20"/>
              </w:rPr>
              <w:t>***</w:t>
            </w:r>
          </w:p>
        </w:tc>
        <w:tc>
          <w:tcPr>
            <w:tcW w:w="0" w:type="auto"/>
          </w:tcPr>
          <w:p w14:paraId="0B77537A" w14:textId="77777777" w:rsidR="00D04776" w:rsidRPr="002234E3" w:rsidRDefault="00D04776" w:rsidP="00F0279E">
            <w:pPr>
              <w:pStyle w:val="Compact"/>
              <w:rPr>
                <w:sz w:val="20"/>
                <w:szCs w:val="20"/>
              </w:rPr>
            </w:pPr>
          </w:p>
        </w:tc>
        <w:tc>
          <w:tcPr>
            <w:tcW w:w="0" w:type="auto"/>
          </w:tcPr>
          <w:p w14:paraId="7BCA24F7" w14:textId="77777777" w:rsidR="00D04776" w:rsidRPr="002234E3" w:rsidRDefault="00D04776" w:rsidP="00F0279E">
            <w:pPr>
              <w:pStyle w:val="Compact"/>
              <w:rPr>
                <w:sz w:val="20"/>
                <w:szCs w:val="20"/>
              </w:rPr>
            </w:pPr>
          </w:p>
        </w:tc>
      </w:tr>
      <w:tr w:rsidR="00D04776" w14:paraId="64E78183" w14:textId="77777777" w:rsidTr="00634215">
        <w:tc>
          <w:tcPr>
            <w:tcW w:w="0" w:type="auto"/>
            <w:tcBorders>
              <w:bottom w:val="single" w:sz="4" w:space="0" w:color="auto"/>
            </w:tcBorders>
          </w:tcPr>
          <w:p w14:paraId="336879F3" w14:textId="77777777" w:rsidR="00D04776" w:rsidRPr="002234E3" w:rsidRDefault="00D04776" w:rsidP="00F0279E">
            <w:pPr>
              <w:pStyle w:val="Compact"/>
              <w:rPr>
                <w:sz w:val="20"/>
                <w:szCs w:val="20"/>
              </w:rPr>
            </w:pPr>
          </w:p>
        </w:tc>
        <w:tc>
          <w:tcPr>
            <w:tcW w:w="754" w:type="pct"/>
            <w:tcBorders>
              <w:bottom w:val="single" w:sz="4" w:space="0" w:color="auto"/>
            </w:tcBorders>
          </w:tcPr>
          <w:p w14:paraId="4A1B3F56" w14:textId="77777777" w:rsidR="00D04776" w:rsidRPr="002234E3" w:rsidRDefault="00D04776" w:rsidP="00F0279E">
            <w:pPr>
              <w:pStyle w:val="Compact"/>
              <w:rPr>
                <w:sz w:val="20"/>
                <w:szCs w:val="20"/>
              </w:rPr>
            </w:pPr>
          </w:p>
        </w:tc>
        <w:tc>
          <w:tcPr>
            <w:tcW w:w="881" w:type="pct"/>
            <w:tcBorders>
              <w:bottom w:val="single" w:sz="4" w:space="0" w:color="auto"/>
            </w:tcBorders>
          </w:tcPr>
          <w:p w14:paraId="12599AD7" w14:textId="77777777" w:rsidR="00D04776" w:rsidRPr="002234E3" w:rsidRDefault="00D04776" w:rsidP="00F0279E">
            <w:pPr>
              <w:pStyle w:val="Compact"/>
              <w:rPr>
                <w:sz w:val="20"/>
                <w:szCs w:val="20"/>
              </w:rPr>
            </w:pPr>
            <w:r w:rsidRPr="002234E3">
              <w:rPr>
                <w:sz w:val="20"/>
                <w:szCs w:val="20"/>
              </w:rPr>
              <w:t>pH</w:t>
            </w:r>
          </w:p>
        </w:tc>
        <w:tc>
          <w:tcPr>
            <w:tcW w:w="0" w:type="auto"/>
            <w:tcBorders>
              <w:bottom w:val="single" w:sz="4" w:space="0" w:color="auto"/>
            </w:tcBorders>
          </w:tcPr>
          <w:p w14:paraId="1295E05B"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single" w:sz="4" w:space="0" w:color="auto"/>
            </w:tcBorders>
          </w:tcPr>
          <w:p w14:paraId="1ACCCA05" w14:textId="77777777" w:rsidR="00D04776" w:rsidRPr="002234E3" w:rsidRDefault="00D04776" w:rsidP="00F0279E">
            <w:pPr>
              <w:pStyle w:val="Compact"/>
              <w:rPr>
                <w:sz w:val="20"/>
                <w:szCs w:val="20"/>
              </w:rPr>
            </w:pPr>
          </w:p>
        </w:tc>
        <w:tc>
          <w:tcPr>
            <w:tcW w:w="0" w:type="auto"/>
            <w:tcBorders>
              <w:bottom w:val="single" w:sz="4" w:space="0" w:color="auto"/>
            </w:tcBorders>
          </w:tcPr>
          <w:p w14:paraId="3D6ED5D1" w14:textId="77777777" w:rsidR="00D04776" w:rsidRPr="002234E3" w:rsidRDefault="00D04776" w:rsidP="00F0279E">
            <w:pPr>
              <w:pStyle w:val="Compact"/>
              <w:jc w:val="center"/>
              <w:rPr>
                <w:sz w:val="20"/>
                <w:szCs w:val="20"/>
              </w:rPr>
            </w:pPr>
            <w:r w:rsidRPr="002234E3">
              <w:rPr>
                <w:sz w:val="20"/>
                <w:szCs w:val="20"/>
              </w:rPr>
              <w:t>–</w:t>
            </w:r>
          </w:p>
        </w:tc>
        <w:tc>
          <w:tcPr>
            <w:tcW w:w="0" w:type="auto"/>
            <w:tcBorders>
              <w:bottom w:val="single" w:sz="4" w:space="0" w:color="auto"/>
            </w:tcBorders>
          </w:tcPr>
          <w:p w14:paraId="600D8F03" w14:textId="77777777" w:rsidR="00D04776" w:rsidRPr="002234E3" w:rsidRDefault="00D04776" w:rsidP="00F0279E">
            <w:pPr>
              <w:pStyle w:val="Compact"/>
              <w:rPr>
                <w:sz w:val="20"/>
                <w:szCs w:val="20"/>
              </w:rPr>
            </w:pPr>
            <w:r w:rsidRPr="002234E3">
              <w:rPr>
                <w:sz w:val="20"/>
                <w:szCs w:val="20"/>
              </w:rPr>
              <w:t>***</w:t>
            </w:r>
          </w:p>
        </w:tc>
        <w:tc>
          <w:tcPr>
            <w:tcW w:w="0" w:type="auto"/>
            <w:tcBorders>
              <w:bottom w:val="single" w:sz="4" w:space="0" w:color="auto"/>
            </w:tcBorders>
          </w:tcPr>
          <w:p w14:paraId="03344900" w14:textId="77777777" w:rsidR="00D04776" w:rsidRPr="002234E3" w:rsidRDefault="00D04776" w:rsidP="00F0279E">
            <w:pPr>
              <w:pStyle w:val="Compact"/>
              <w:rPr>
                <w:sz w:val="20"/>
                <w:szCs w:val="20"/>
              </w:rPr>
            </w:pPr>
          </w:p>
        </w:tc>
        <w:tc>
          <w:tcPr>
            <w:tcW w:w="0" w:type="auto"/>
            <w:tcBorders>
              <w:bottom w:val="single" w:sz="4" w:space="0" w:color="auto"/>
            </w:tcBorders>
          </w:tcPr>
          <w:p w14:paraId="07E12F7D" w14:textId="77777777" w:rsidR="00D04776" w:rsidRPr="002234E3" w:rsidRDefault="00D04776" w:rsidP="00F0279E">
            <w:pPr>
              <w:pStyle w:val="Compact"/>
              <w:rPr>
                <w:sz w:val="20"/>
                <w:szCs w:val="20"/>
              </w:rPr>
            </w:pPr>
          </w:p>
        </w:tc>
      </w:tr>
    </w:tbl>
    <w:p w14:paraId="09645187" w14:textId="77777777" w:rsidR="002F370B" w:rsidRDefault="002F370B" w:rsidP="002F370B">
      <w:pPr>
        <w:pStyle w:val="BodyText"/>
        <w:sectPr w:rsidR="002F370B" w:rsidSect="002F370B">
          <w:pgSz w:w="15840" w:h="12240" w:orient="landscape"/>
          <w:pgMar w:top="1440" w:right="1440" w:bottom="1440" w:left="1440" w:header="720" w:footer="720" w:gutter="0"/>
          <w:lnNumType w:countBy="1" w:restart="continuous"/>
          <w:cols w:space="720"/>
          <w:docGrid w:linePitch="326"/>
        </w:sectPr>
      </w:pPr>
    </w:p>
    <w:p w14:paraId="2DED29F0" w14:textId="21B3CA4B" w:rsidR="00D04776" w:rsidRDefault="00D04776" w:rsidP="002F370B">
      <w:pPr>
        <w:pStyle w:val="BodyText"/>
      </w:pPr>
      <w:r>
        <w:lastRenderedPageBreak/>
        <w:t xml:space="preserve">Table 3: Interpretation of region-specific scale-dependencies in Figure 4. Positive scale-dependence (+) means a greater magnitude of effect on </w:t>
      </w:r>
      <w:r>
        <w:rPr>
          <w:i/>
        </w:rPr>
        <w:t>S</w:t>
      </w:r>
      <w:r>
        <w:t xml:space="preserve"> at broader spatial scales; negative scale-dependence (–) means a greater magnitude of effect on </w:t>
      </w:r>
      <w:r>
        <w:rPr>
          <w:i/>
        </w:rPr>
        <w:t>S</w:t>
      </w:r>
      <w:r>
        <w:t xml:space="preserve"> at smaller spatial scales.</w:t>
      </w:r>
    </w:p>
    <w:tbl>
      <w:tblPr>
        <w:tblStyle w:val="Table"/>
        <w:tblW w:w="0"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1949"/>
        <w:gridCol w:w="1503"/>
        <w:gridCol w:w="1043"/>
      </w:tblGrid>
      <w:tr w:rsidR="00D04776" w14:paraId="1E9A69BD" w14:textId="77777777" w:rsidTr="00D04776">
        <w:tc>
          <w:tcPr>
            <w:tcW w:w="0" w:type="auto"/>
            <w:tcBorders>
              <w:top w:val="single" w:sz="4" w:space="0" w:color="auto"/>
              <w:bottom w:val="single" w:sz="2" w:space="0" w:color="auto"/>
            </w:tcBorders>
            <w:vAlign w:val="bottom"/>
          </w:tcPr>
          <w:p w14:paraId="7E6EA743" w14:textId="77777777" w:rsidR="00D04776" w:rsidRDefault="00D04776" w:rsidP="00D04776">
            <w:pPr>
              <w:pStyle w:val="Compact"/>
              <w:jc w:val="center"/>
            </w:pPr>
            <w:r>
              <w:t>Scale-dependence</w:t>
            </w:r>
          </w:p>
        </w:tc>
        <w:tc>
          <w:tcPr>
            <w:tcW w:w="0" w:type="auto"/>
            <w:tcBorders>
              <w:top w:val="single" w:sz="4" w:space="0" w:color="auto"/>
              <w:bottom w:val="single" w:sz="2" w:space="0" w:color="auto"/>
            </w:tcBorders>
            <w:vAlign w:val="bottom"/>
          </w:tcPr>
          <w:p w14:paraId="7613B5B0" w14:textId="77777777" w:rsidR="00D04776" w:rsidRDefault="00D04776" w:rsidP="00D04776">
            <w:pPr>
              <w:pStyle w:val="Compact"/>
            </w:pPr>
            <w:r>
              <w:t>GCFR</w:t>
            </w:r>
          </w:p>
        </w:tc>
        <w:tc>
          <w:tcPr>
            <w:tcW w:w="0" w:type="auto"/>
            <w:tcBorders>
              <w:top w:val="single" w:sz="4" w:space="0" w:color="auto"/>
              <w:bottom w:val="single" w:sz="2" w:space="0" w:color="auto"/>
            </w:tcBorders>
            <w:vAlign w:val="bottom"/>
          </w:tcPr>
          <w:p w14:paraId="6D2E26FB" w14:textId="77777777" w:rsidR="00D04776" w:rsidRDefault="00D04776" w:rsidP="00D04776">
            <w:pPr>
              <w:pStyle w:val="Compact"/>
            </w:pPr>
            <w:r>
              <w:t>SWAFR</w:t>
            </w:r>
          </w:p>
        </w:tc>
      </w:tr>
      <w:tr w:rsidR="00D04776" w14:paraId="14F49DAF" w14:textId="77777777" w:rsidTr="00D04776">
        <w:tc>
          <w:tcPr>
            <w:tcW w:w="0" w:type="auto"/>
            <w:tcBorders>
              <w:top w:val="single" w:sz="2" w:space="0" w:color="auto"/>
            </w:tcBorders>
          </w:tcPr>
          <w:p w14:paraId="24D7498F" w14:textId="77777777" w:rsidR="00D04776" w:rsidRDefault="00D04776" w:rsidP="005F573D">
            <w:pPr>
              <w:pStyle w:val="Compact"/>
              <w:jc w:val="center"/>
            </w:pPr>
            <w:r>
              <w:t>+</w:t>
            </w:r>
          </w:p>
        </w:tc>
        <w:tc>
          <w:tcPr>
            <w:tcW w:w="0" w:type="auto"/>
            <w:tcBorders>
              <w:top w:val="single" w:sz="2" w:space="0" w:color="auto"/>
            </w:tcBorders>
          </w:tcPr>
          <w:p w14:paraId="722DBAE1" w14:textId="77777777" w:rsidR="00D04776" w:rsidRDefault="00D04776" w:rsidP="00D04776">
            <w:pPr>
              <w:pStyle w:val="Compact"/>
            </w:pPr>
            <w:r>
              <w:t>Clay, pH</w:t>
            </w:r>
          </w:p>
        </w:tc>
        <w:tc>
          <w:tcPr>
            <w:tcW w:w="0" w:type="auto"/>
            <w:tcBorders>
              <w:top w:val="single" w:sz="2" w:space="0" w:color="auto"/>
            </w:tcBorders>
          </w:tcPr>
          <w:p w14:paraId="5F6731F6" w14:textId="77777777" w:rsidR="00D04776" w:rsidRDefault="00D04776" w:rsidP="00D04776">
            <w:pPr>
              <w:pStyle w:val="Compact"/>
            </w:pPr>
          </w:p>
        </w:tc>
      </w:tr>
      <w:tr w:rsidR="00D04776" w14:paraId="03E39A6E" w14:textId="77777777" w:rsidTr="00D04776">
        <w:tc>
          <w:tcPr>
            <w:tcW w:w="0" w:type="auto"/>
          </w:tcPr>
          <w:p w14:paraId="07520AF5" w14:textId="77777777" w:rsidR="00D04776" w:rsidRDefault="00D04776" w:rsidP="005F573D">
            <w:pPr>
              <w:pStyle w:val="Compact"/>
              <w:jc w:val="center"/>
            </w:pPr>
            <w:r>
              <w:t>None</w:t>
            </w:r>
          </w:p>
        </w:tc>
        <w:tc>
          <w:tcPr>
            <w:tcW w:w="0" w:type="auto"/>
          </w:tcPr>
          <w:p w14:paraId="717B1E4F" w14:textId="77777777" w:rsidR="00D04776" w:rsidRDefault="00D04776" w:rsidP="00D04776">
            <w:pPr>
              <w:pStyle w:val="Compact"/>
            </w:pPr>
          </w:p>
        </w:tc>
        <w:tc>
          <w:tcPr>
            <w:tcW w:w="0" w:type="auto"/>
          </w:tcPr>
          <w:p w14:paraId="1B46BD94" w14:textId="77777777" w:rsidR="00D04776" w:rsidRDefault="00D04776" w:rsidP="00D04776">
            <w:pPr>
              <w:pStyle w:val="Compact"/>
            </w:pPr>
            <w:r>
              <w:t>CEC</w:t>
            </w:r>
          </w:p>
        </w:tc>
      </w:tr>
      <w:tr w:rsidR="00D04776" w14:paraId="282CD505" w14:textId="77777777" w:rsidTr="00D04776">
        <w:tc>
          <w:tcPr>
            <w:tcW w:w="0" w:type="auto"/>
            <w:tcBorders>
              <w:bottom w:val="single" w:sz="4" w:space="0" w:color="auto"/>
            </w:tcBorders>
          </w:tcPr>
          <w:p w14:paraId="4DA82243" w14:textId="77777777" w:rsidR="00D04776" w:rsidRDefault="00D04776" w:rsidP="005F573D">
            <w:pPr>
              <w:pStyle w:val="Compact"/>
              <w:jc w:val="center"/>
            </w:pPr>
            <w:r>
              <w:t>–</w:t>
            </w:r>
          </w:p>
        </w:tc>
        <w:tc>
          <w:tcPr>
            <w:tcW w:w="0" w:type="auto"/>
            <w:tcBorders>
              <w:bottom w:val="single" w:sz="4" w:space="0" w:color="auto"/>
            </w:tcBorders>
          </w:tcPr>
          <w:p w14:paraId="463735F0" w14:textId="77777777" w:rsidR="00D04776" w:rsidRDefault="00D04776" w:rsidP="00D04776">
            <w:pPr>
              <w:pStyle w:val="Compact"/>
            </w:pPr>
            <w:r>
              <w:t>NDVI, soil C</w:t>
            </w:r>
          </w:p>
        </w:tc>
        <w:tc>
          <w:tcPr>
            <w:tcW w:w="0" w:type="auto"/>
            <w:tcBorders>
              <w:bottom w:val="single" w:sz="4" w:space="0" w:color="auto"/>
            </w:tcBorders>
          </w:tcPr>
          <w:p w14:paraId="4F1D0A9C" w14:textId="77777777" w:rsidR="00D04776" w:rsidRDefault="00D04776" w:rsidP="00D04776">
            <w:pPr>
              <w:pStyle w:val="Compact"/>
            </w:pPr>
            <w:r>
              <w:t>PDQ</w:t>
            </w:r>
          </w:p>
        </w:tc>
      </w:tr>
    </w:tbl>
    <w:p w14:paraId="5AF4EC31" w14:textId="77777777" w:rsidR="00D04776" w:rsidRDefault="00D04776" w:rsidP="00D04776">
      <w:pPr>
        <w:pStyle w:val="BodyText"/>
        <w:rPr>
          <w:rFonts w:eastAsiaTheme="majorEastAsia" w:cstheme="majorBidi"/>
          <w:color w:val="000000" w:themeColor="text1"/>
          <w:sz w:val="28"/>
          <w:szCs w:val="32"/>
        </w:rPr>
      </w:pPr>
      <w:bookmarkStart w:id="10" w:name="figures"/>
      <w:r>
        <w:br w:type="page"/>
      </w:r>
    </w:p>
    <w:p w14:paraId="011609AB" w14:textId="77777777" w:rsidR="00D04776" w:rsidRDefault="00D04776" w:rsidP="00F8593E">
      <w:pPr>
        <w:pStyle w:val="Heading1"/>
      </w:pPr>
      <w:r>
        <w:lastRenderedPageBreak/>
        <w:t>Figures</w:t>
      </w:r>
      <w:bookmarkEnd w:id="10"/>
    </w:p>
    <w:p w14:paraId="457D8DE2" w14:textId="77777777" w:rsidR="00D04776" w:rsidRDefault="00D04776" w:rsidP="00D04776">
      <w:pPr>
        <w:pStyle w:val="CaptionedFigure"/>
      </w:pPr>
      <w:r>
        <w:rPr>
          <w:noProof/>
          <w:lang w:val="en-ZA" w:eastAsia="en-ZA"/>
        </w:rPr>
        <w:drawing>
          <wp:inline distT="0" distB="0" distL="0" distR="0" wp14:anchorId="4180D9B2" wp14:editId="072C63D3">
            <wp:extent cx="5943600" cy="3962400"/>
            <wp:effectExtent l="0" t="0" r="0" b="0"/>
            <wp:docPr id="1" name="Picture"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3"/>
                    <a:stretch>
                      <a:fillRect/>
                    </a:stretch>
                  </pic:blipFill>
                  <pic:spPr bwMode="auto">
                    <a:xfrm>
                      <a:off x="0" y="0"/>
                      <a:ext cx="5953400" cy="3968933"/>
                    </a:xfrm>
                    <a:prstGeom prst="rect">
                      <a:avLst/>
                    </a:prstGeom>
                    <a:noFill/>
                    <a:ln w="9525">
                      <a:noFill/>
                      <a:headEnd/>
                      <a:tailEnd/>
                    </a:ln>
                  </pic:spPr>
                </pic:pic>
              </a:graphicData>
            </a:graphic>
          </wp:inline>
        </w:drawing>
      </w:r>
    </w:p>
    <w:p w14:paraId="7CB8E9BF" w14:textId="682B28A1" w:rsidR="00D04776" w:rsidRDefault="00D04776" w:rsidP="00D04776">
      <w:pPr>
        <w:pStyle w:val="ImageCaption"/>
      </w:pPr>
      <w:r>
        <w:t>Figure 1: Simple linear regressions of the common language effect size (</w:t>
      </w:r>
      <w:r>
        <w:rPr>
          <w:i/>
        </w:rPr>
        <w:t>CLES</w:t>
      </w:r>
      <w:r>
        <w:t>; ref) of (a–</w:t>
      </w:r>
      <w:proofErr w:type="spellStart"/>
      <w:r>
        <w:t>i</w:t>
      </w:r>
      <w:proofErr w:type="spellEnd"/>
      <w:r>
        <w:t xml:space="preserve">) various forms of </w:t>
      </w:r>
      <w:r w:rsidR="007948F4">
        <w:t>environmental heterogeneity</w:t>
      </w:r>
      <w:r>
        <w:t xml:space="preserve"> and (j) the first principal component of </w:t>
      </w:r>
      <w:r w:rsidR="007948F4">
        <w:t>environmental heterogeneity</w:t>
      </w:r>
      <w:r>
        <w:t xml:space="preserve"> (PC1), where the </w:t>
      </w:r>
      <w:r>
        <w:rPr>
          <w:i/>
        </w:rPr>
        <w:t>CLES</w:t>
      </w:r>
      <w:r>
        <w:t xml:space="preserve"> is treated as the effect of GCFR relative to SWAFR values. Only significant (</w:t>
      </w:r>
      <w:r>
        <w:rPr>
          <w:i/>
        </w:rPr>
        <w:t>P</w:t>
      </w:r>
      <w:r>
        <w:t xml:space="preserve"> ≤ 0.05) fits are plotted, </w:t>
      </w:r>
      <w:proofErr w:type="gramStart"/>
      <w:r>
        <w:t>with the exception of</w:t>
      </w:r>
      <w:proofErr w:type="gramEnd"/>
      <w:r>
        <w:t xml:space="preserve"> the fit for CEC, which was 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w:t>
      </w:r>
      <w:r w:rsidR="00D345A9">
        <w:t>0.5</w:t>
      </w:r>
      <w:r>
        <w:t xml:space="preserve"> following two-sided </w:t>
      </w:r>
      <w:r>
        <w:rPr>
          <w:i/>
        </w:rPr>
        <w:t>t</w:t>
      </w:r>
      <w:r>
        <w:t>-tests (</w:t>
      </w:r>
      <w:r>
        <w:rPr>
          <w:i/>
        </w:rPr>
        <w:t>P</w:t>
      </w:r>
      <w:r>
        <w:t xml:space="preserve"> &lt; 0.001). PC1 accounted for between 43.64 and 46.40% of the variation in </w:t>
      </w:r>
      <w:r w:rsidR="007948F4">
        <w:t>environmental heterogeneity</w:t>
      </w:r>
      <w:r>
        <w:t xml:space="preserve"> values across the five spatial scales at which it was calculated.</w:t>
      </w:r>
    </w:p>
    <w:p w14:paraId="5CEC371A" w14:textId="77777777" w:rsidR="00D04776" w:rsidRDefault="00D04776" w:rsidP="00D04776">
      <w:pPr>
        <w:pStyle w:val="BodyText"/>
      </w:pPr>
      <w:r>
        <w:br w:type="page"/>
      </w:r>
    </w:p>
    <w:p w14:paraId="6D0ABDE1" w14:textId="77777777" w:rsidR="00D04776" w:rsidRDefault="00D04776" w:rsidP="00D04776">
      <w:pPr>
        <w:pStyle w:val="CaptionedFigure"/>
      </w:pPr>
      <w:r>
        <w:rPr>
          <w:noProof/>
          <w:lang w:val="en-ZA" w:eastAsia="en-ZA"/>
        </w:rPr>
        <w:lastRenderedPageBreak/>
        <w:drawing>
          <wp:inline distT="0" distB="0" distL="0" distR="0" wp14:anchorId="4CFE472E" wp14:editId="51FD8C06">
            <wp:extent cx="5943600" cy="1937139"/>
            <wp:effectExtent l="0" t="0" r="0" b="0"/>
            <wp:docPr id="2" name="Picture"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4"/>
                    <a:stretch>
                      <a:fillRect/>
                    </a:stretch>
                  </pic:blipFill>
                  <pic:spPr bwMode="auto">
                    <a:xfrm>
                      <a:off x="0" y="0"/>
                      <a:ext cx="5943600" cy="1937139"/>
                    </a:xfrm>
                    <a:prstGeom prst="rect">
                      <a:avLst/>
                    </a:prstGeom>
                    <a:noFill/>
                    <a:ln w="9525">
                      <a:noFill/>
                      <a:headEnd/>
                      <a:tailEnd/>
                    </a:ln>
                  </pic:spPr>
                </pic:pic>
              </a:graphicData>
            </a:graphic>
          </wp:inline>
        </w:drawing>
      </w:r>
    </w:p>
    <w:p w14:paraId="50234DFC" w14:textId="7527DCE7" w:rsidR="00D04776" w:rsidRDefault="00D04776" w:rsidP="00D04776">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arise as their sum (i.e. increasing from lower-left to upper-right). Distributions of (a) HDS-scale species richness (</w:t>
      </w:r>
      <w:r>
        <w:rPr>
          <w:i/>
        </w:rPr>
        <w:t>S</w:t>
      </w:r>
      <w:r>
        <w:rPr>
          <w:vertAlign w:val="subscript"/>
        </w:rPr>
        <w:t>HDS</w:t>
      </w:r>
      <w:r>
        <w:t>) and (b)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 xml:space="preserve">-values inset are for comparisons where GCFR </w:t>
      </w:r>
      <w:r w:rsidR="007948F4">
        <w:t>environmental heterogeneity</w:t>
      </w:r>
      <w:r>
        <w:t xml:space="preserve">-values are greater than SWAFR </w:t>
      </w:r>
      <w:r w:rsidR="007948F4">
        <w:t>environmental heterogeneity</w:t>
      </w:r>
      <w:r>
        <w:t xml:space="preserve">-values;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14:paraId="75739017" w14:textId="77777777" w:rsidR="00D04776" w:rsidRDefault="00D04776" w:rsidP="00D04776">
      <w:pPr>
        <w:pStyle w:val="BodyText"/>
      </w:pPr>
      <w:r>
        <w:br w:type="page"/>
      </w:r>
    </w:p>
    <w:p w14:paraId="6D6BB07F" w14:textId="77777777" w:rsidR="00D04776" w:rsidRDefault="00D04776" w:rsidP="00D04776">
      <w:pPr>
        <w:pStyle w:val="CaptionedFigure"/>
      </w:pPr>
      <w:r>
        <w:rPr>
          <w:noProof/>
          <w:lang w:val="en-ZA" w:eastAsia="en-ZA"/>
        </w:rPr>
        <w:lastRenderedPageBreak/>
        <w:drawing>
          <wp:inline distT="0" distB="0" distL="0" distR="0" wp14:anchorId="06F193A1" wp14:editId="7CB94BF8">
            <wp:extent cx="5947846" cy="2971800"/>
            <wp:effectExtent l="0" t="0" r="0" b="0"/>
            <wp:docPr id="3" name="Picture"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5"/>
                    <a:stretch>
                      <a:fillRect/>
                    </a:stretch>
                  </pic:blipFill>
                  <pic:spPr bwMode="auto">
                    <a:xfrm>
                      <a:off x="0" y="0"/>
                      <a:ext cx="5966048" cy="2980895"/>
                    </a:xfrm>
                    <a:prstGeom prst="rect">
                      <a:avLst/>
                    </a:prstGeom>
                    <a:noFill/>
                    <a:ln w="9525">
                      <a:noFill/>
                      <a:headEnd/>
                      <a:tailEnd/>
                    </a:ln>
                  </pic:spPr>
                </pic:pic>
              </a:graphicData>
            </a:graphic>
          </wp:inline>
        </w:drawing>
      </w:r>
    </w:p>
    <w:p w14:paraId="575EF8F0" w14:textId="56C6732A" w:rsidR="00D04776" w:rsidRDefault="00D04776" w:rsidP="00D04776">
      <w:pPr>
        <w:pStyle w:val="ImageCaption"/>
      </w:pPr>
      <w:r>
        <w:t xml:space="preserve">Figure 3: Fits of simple linear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w:t>
      </w:r>
      <w:r w:rsidR="007948F4">
        <w:t>environmental heterogeneity</w:t>
      </w:r>
      <w:r>
        <w:t xml:space="preserve">, while at the HDS-scale PC1 explained 41.55% of the variation in </w:t>
      </w:r>
      <w:r w:rsidR="007948F4">
        <w:t>environmental heterogeneity</w:t>
      </w:r>
      <w:r>
        <w:t>.</w:t>
      </w:r>
    </w:p>
    <w:p w14:paraId="7180F251" w14:textId="77777777" w:rsidR="00D04776" w:rsidRDefault="00D04776" w:rsidP="00D04776">
      <w:pPr>
        <w:rPr>
          <w:rFonts w:asciiTheme="majorBidi" w:hAnsiTheme="majorBidi"/>
        </w:rPr>
      </w:pPr>
      <w:r>
        <w:br w:type="page"/>
      </w:r>
    </w:p>
    <w:p w14:paraId="7ADCF32D" w14:textId="77777777" w:rsidR="00D04776" w:rsidRDefault="00D04776" w:rsidP="00D04776">
      <w:pPr>
        <w:pStyle w:val="CaptionedFigure"/>
      </w:pPr>
      <w:r>
        <w:rPr>
          <w:noProof/>
          <w:lang w:val="en-ZA" w:eastAsia="en-ZA"/>
        </w:rPr>
        <w:lastRenderedPageBreak/>
        <w:drawing>
          <wp:inline distT="0" distB="0" distL="0" distR="0" wp14:anchorId="6BA46A0B" wp14:editId="1D851911">
            <wp:extent cx="5943600" cy="3962400"/>
            <wp:effectExtent l="0" t="0" r="0" b="0"/>
            <wp:docPr id="4" name="Picture"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6"/>
                    <a:stretch>
                      <a:fillRect/>
                    </a:stretch>
                  </pic:blipFill>
                  <pic:spPr bwMode="auto">
                    <a:xfrm>
                      <a:off x="0" y="0"/>
                      <a:ext cx="5956611" cy="3971074"/>
                    </a:xfrm>
                    <a:prstGeom prst="rect">
                      <a:avLst/>
                    </a:prstGeom>
                    <a:noFill/>
                    <a:ln w="9525">
                      <a:noFill/>
                      <a:headEnd/>
                      <a:tailEnd/>
                    </a:ln>
                  </pic:spPr>
                </pic:pic>
              </a:graphicData>
            </a:graphic>
          </wp:inline>
        </w:drawing>
      </w:r>
    </w:p>
    <w:p w14:paraId="0969F8F7" w14:textId="5246DBA0" w:rsidR="00D04776" w:rsidRDefault="00D04776" w:rsidP="00D04776">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bookmarkStart w:id="11" w:name="_GoBack"/>
      <w:bookmarkEnd w:id="11"/>
      <w:r>
        <w:t xml:space="preserve">t the various forms of </w:t>
      </w:r>
      <w:r w:rsidR="007948F4">
        <w:t>environmental heterogeneity</w:t>
      </w:r>
      <w:r>
        <w:t xml:space="preserve">. Each model was simplified, from a starting model with all predictors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 while those in grey were not.</w:t>
      </w:r>
    </w:p>
    <w:p w14:paraId="36B2E326" w14:textId="77777777" w:rsidR="00F614B4" w:rsidRDefault="00F614B4">
      <w:pPr>
        <w:rPr>
          <w:rFonts w:asciiTheme="majorBidi" w:hAnsiTheme="majorBidi"/>
        </w:rPr>
      </w:pPr>
      <w:r>
        <w:br w:type="page"/>
      </w:r>
    </w:p>
    <w:p w14:paraId="3FB275CB" w14:textId="113D9B77" w:rsidR="00DD2348" w:rsidRDefault="005F0FFB" w:rsidP="00F8593E">
      <w:pPr>
        <w:pStyle w:val="Heading1"/>
      </w:pPr>
      <w:bookmarkStart w:id="12" w:name="references"/>
      <w:commentRangeStart w:id="13"/>
      <w:r>
        <w:lastRenderedPageBreak/>
        <w:t>References</w:t>
      </w:r>
      <w:bookmarkEnd w:id="12"/>
      <w:commentRangeEnd w:id="13"/>
      <w:r w:rsidR="009A5C6C">
        <w:rPr>
          <w:rStyle w:val="CommentReference"/>
          <w:rFonts w:ascii="Times New Roman" w:eastAsiaTheme="minorHAnsi" w:hAnsiTheme="minorHAnsi" w:cstheme="minorBidi"/>
          <w:b w:val="0"/>
          <w:bCs w:val="0"/>
          <w:color w:val="auto"/>
        </w:rPr>
        <w:commentReference w:id="13"/>
      </w:r>
    </w:p>
    <w:p w14:paraId="3C5DD067" w14:textId="77777777" w:rsidR="00DD2348" w:rsidRDefault="005F0FFB">
      <w:pPr>
        <w:pStyle w:val="Bibliography"/>
      </w:pPr>
      <w:bookmarkStart w:id="14" w:name="ref-Bivand2017"/>
      <w:bookmarkStart w:id="15" w:name="refs"/>
      <w:proofErr w:type="spellStart"/>
      <w:r>
        <w:t>Bivand</w:t>
      </w:r>
      <w:proofErr w:type="spellEnd"/>
      <w:r>
        <w:t xml:space="preserve">, R., </w:t>
      </w:r>
      <w:proofErr w:type="spellStart"/>
      <w:r>
        <w:t>Keitt</w:t>
      </w:r>
      <w:proofErr w:type="spellEnd"/>
      <w:r>
        <w:t xml:space="preserve">, T., &amp; </w:t>
      </w:r>
      <w:proofErr w:type="spellStart"/>
      <w:r>
        <w:t>Rowlingson</w:t>
      </w:r>
      <w:proofErr w:type="spellEnd"/>
      <w:r>
        <w:t xml:space="preserve">, B. (2017) </w:t>
      </w:r>
      <w:proofErr w:type="spellStart"/>
      <w:r>
        <w:t>rgdal</w:t>
      </w:r>
      <w:proofErr w:type="spellEnd"/>
      <w:r>
        <w:t>: Bindings for the Geospatial Data Abstraction Library. R package version 1.2-</w:t>
      </w:r>
      <w:proofErr w:type="gramStart"/>
      <w:r>
        <w:t>7..</w:t>
      </w:r>
      <w:proofErr w:type="gramEnd"/>
      <w:r>
        <w:t xml:space="preserve"> </w:t>
      </w:r>
    </w:p>
    <w:p w14:paraId="7610C938" w14:textId="77777777" w:rsidR="00DD2348" w:rsidRDefault="005F0FFB">
      <w:pPr>
        <w:pStyle w:val="Bibliography"/>
      </w:pPr>
      <w:bookmarkStart w:id="16" w:name="ref-Chamberlain2016"/>
      <w:bookmarkEnd w:id="14"/>
      <w:r>
        <w:t xml:space="preserve">Chamberlain, S., </w:t>
      </w:r>
      <w:proofErr w:type="spellStart"/>
      <w:r>
        <w:t>Szoecs</w:t>
      </w:r>
      <w:proofErr w:type="spellEnd"/>
      <w:r>
        <w:t xml:space="preserve">, E., Foster, Z., </w:t>
      </w:r>
      <w:proofErr w:type="spellStart"/>
      <w:r>
        <w:t>Arendsee</w:t>
      </w:r>
      <w:proofErr w:type="spellEnd"/>
      <w:r>
        <w:t xml:space="preserve">, Z., Boettiger, C., Ram, K., </w:t>
      </w:r>
      <w:proofErr w:type="spellStart"/>
      <w:r>
        <w:t>Bartomeus</w:t>
      </w:r>
      <w:proofErr w:type="spellEnd"/>
      <w:r>
        <w:t xml:space="preserve">, I., Baumgartner, J., O’Donnell, J., Oksanen, J., </w:t>
      </w:r>
      <w:proofErr w:type="spellStart"/>
      <w:r>
        <w:t>Tzovaras</w:t>
      </w:r>
      <w:proofErr w:type="spellEnd"/>
      <w:r>
        <w:t xml:space="preserve">, B.G., Marchand, P., &amp; Tran, V. (2018) </w:t>
      </w:r>
      <w:proofErr w:type="spellStart"/>
      <w:r>
        <w:rPr>
          <w:i/>
        </w:rPr>
        <w:t>Taxize</w:t>
      </w:r>
      <w:proofErr w:type="spellEnd"/>
      <w:r>
        <w:rPr>
          <w:i/>
        </w:rPr>
        <w:t xml:space="preserve">: Taxonomic information from around the web. </w:t>
      </w:r>
    </w:p>
    <w:p w14:paraId="7D046652" w14:textId="77777777" w:rsidR="00DD2348" w:rsidRDefault="005F0FFB">
      <w:pPr>
        <w:pStyle w:val="Bibliography"/>
      </w:pPr>
      <w:bookmarkStart w:id="17" w:name="ref-Farr2007"/>
      <w:bookmarkEnd w:id="16"/>
      <w:r>
        <w:t xml:space="preserve">Farr, T., Rosen, P., Caro, E., Crippen, R., Duren, R., Hensley, S., </w:t>
      </w:r>
      <w:proofErr w:type="spellStart"/>
      <w:r>
        <w:t>Kobrick</w:t>
      </w:r>
      <w:proofErr w:type="spellEnd"/>
      <w:r>
        <w:t xml:space="preserve">, M., </w:t>
      </w:r>
      <w:proofErr w:type="spellStart"/>
      <w:r>
        <w:t>Paller</w:t>
      </w:r>
      <w:proofErr w:type="spellEnd"/>
      <w:r>
        <w:t xml:space="preserve">, M., Rodriguez, E., Roth, L., Seal, D., Shaffer, S., Shimada, J., Umland, J., Werner, M., Oskin, M., Burbank, D., &amp; </w:t>
      </w:r>
      <w:proofErr w:type="spellStart"/>
      <w:r>
        <w:t>Alsdorf</w:t>
      </w:r>
      <w:proofErr w:type="spellEnd"/>
      <w:r>
        <w:t xml:space="preserve">, D. (2007) The shuttle radar topography mission. </w:t>
      </w:r>
      <w:r>
        <w:rPr>
          <w:i/>
        </w:rPr>
        <w:t>Reviews of Geophysics</w:t>
      </w:r>
      <w:r>
        <w:t xml:space="preserve">, </w:t>
      </w:r>
      <w:r>
        <w:rPr>
          <w:b/>
        </w:rPr>
        <w:t>45</w:t>
      </w:r>
      <w:r>
        <w:t xml:space="preserve">, 1–33. </w:t>
      </w:r>
    </w:p>
    <w:p w14:paraId="2CD65718" w14:textId="77777777" w:rsidR="00DD2348" w:rsidRDefault="005F0FFB">
      <w:pPr>
        <w:pStyle w:val="Bibliography"/>
      </w:pPr>
      <w:bookmarkStart w:id="18" w:name="ref-Funk2015"/>
      <w:bookmarkEnd w:id="17"/>
      <w:r>
        <w:t xml:space="preserve">Funk, C.C., Peterson, P.J., </w:t>
      </w:r>
      <w:proofErr w:type="spellStart"/>
      <w:r>
        <w:t>Landsfeld</w:t>
      </w:r>
      <w:proofErr w:type="spellEnd"/>
      <w:r>
        <w:t xml:space="preserve">, M., </w:t>
      </w:r>
      <w:proofErr w:type="spellStart"/>
      <w:r>
        <w:t>Pedreros</w:t>
      </w:r>
      <w:proofErr w:type="spellEnd"/>
      <w:r>
        <w:t xml:space="preserve">, D.H., </w:t>
      </w:r>
      <w:proofErr w:type="spellStart"/>
      <w:r>
        <w:t>Verdin</w:t>
      </w:r>
      <w:proofErr w:type="spellEnd"/>
      <w:r>
        <w:t xml:space="preserve">, J., Shukla, S., </w:t>
      </w:r>
      <w:proofErr w:type="spellStart"/>
      <w:r>
        <w:t>Husak</w:t>
      </w:r>
      <w:proofErr w:type="spellEnd"/>
      <w:r>
        <w:t xml:space="preserve">, G., Rowland, J.D., Harrison, L., </w:t>
      </w:r>
      <w:proofErr w:type="spellStart"/>
      <w:r>
        <w:t>Hoell</w:t>
      </w:r>
      <w:proofErr w:type="spellEnd"/>
      <w:r>
        <w:t xml:space="preserve">, A., &amp; </w:t>
      </w:r>
      <w:proofErr w:type="spellStart"/>
      <w:r>
        <w:t>Michaelsen</w:t>
      </w:r>
      <w:proofErr w:type="spellEnd"/>
      <w:r>
        <w:t xml:space="preserve">, J. (2015) The climate hazards infrared precipitation with stations—a new environmental record for monitoring extremes. </w:t>
      </w:r>
      <w:r>
        <w:rPr>
          <w:i/>
        </w:rPr>
        <w:t>Scientific Data</w:t>
      </w:r>
      <w:r>
        <w:t xml:space="preserve">, </w:t>
      </w:r>
      <w:r>
        <w:rPr>
          <w:b/>
        </w:rPr>
        <w:t>2</w:t>
      </w:r>
      <w:r>
        <w:t xml:space="preserve">, 150066. </w:t>
      </w:r>
    </w:p>
    <w:p w14:paraId="35D7FE93" w14:textId="3221DF05" w:rsidR="00DD2348" w:rsidRDefault="005F0FFB">
      <w:pPr>
        <w:pStyle w:val="Bibliography"/>
      </w:pPr>
      <w:bookmarkStart w:id="19" w:name="ref-GBIFCape"/>
      <w:bookmarkEnd w:id="18"/>
      <w:commentRangeStart w:id="20"/>
      <w:r>
        <w:t>GBIF (24 July 2017) GBIF Occurrence Download.</w:t>
      </w:r>
      <w:r w:rsidR="009A5C6C">
        <w:t xml:space="preserve"> </w:t>
      </w:r>
    </w:p>
    <w:p w14:paraId="3A4E127D" w14:textId="45085AC5" w:rsidR="00DD2348" w:rsidRDefault="005F0FFB">
      <w:pPr>
        <w:pStyle w:val="Bibliography"/>
      </w:pPr>
      <w:bookmarkStart w:id="21" w:name="ref-GBIFSWA"/>
      <w:bookmarkEnd w:id="19"/>
      <w:r>
        <w:t xml:space="preserve">GBIF (24 July 2017) GBIF Occurrence Download. </w:t>
      </w:r>
      <w:commentRangeEnd w:id="20"/>
      <w:r w:rsidR="009A5C6C">
        <w:rPr>
          <w:rStyle w:val="CommentReference"/>
          <w:rFonts w:ascii="Times New Roman" w:hAnsiTheme="minorHAnsi"/>
        </w:rPr>
        <w:commentReference w:id="20"/>
      </w:r>
    </w:p>
    <w:p w14:paraId="60280B04" w14:textId="77777777" w:rsidR="00DD2348" w:rsidRDefault="005F0FFB">
      <w:pPr>
        <w:pStyle w:val="Bibliography"/>
      </w:pPr>
      <w:bookmarkStart w:id="22" w:name="ref-Gioia2017"/>
      <w:bookmarkEnd w:id="21"/>
      <w:proofErr w:type="spellStart"/>
      <w:r>
        <w:t>Gioia</w:t>
      </w:r>
      <w:proofErr w:type="spellEnd"/>
      <w:r>
        <w:t xml:space="preserve">, P. &amp; Hopper, S.D. (2017) A new phytogeographic map for the Southwest Australian Floristic Region after an exceptional decade of collection and discovery. </w:t>
      </w:r>
      <w:r>
        <w:rPr>
          <w:i/>
        </w:rPr>
        <w:t xml:space="preserve">Botanical Journal of the </w:t>
      </w:r>
      <w:proofErr w:type="spellStart"/>
      <w:r>
        <w:rPr>
          <w:i/>
        </w:rPr>
        <w:t>Linnean</w:t>
      </w:r>
      <w:proofErr w:type="spellEnd"/>
      <w:r>
        <w:rPr>
          <w:i/>
        </w:rPr>
        <w:t xml:space="preserve"> Society</w:t>
      </w:r>
      <w:r>
        <w:t xml:space="preserve">, </w:t>
      </w:r>
      <w:r>
        <w:rPr>
          <w:b/>
        </w:rPr>
        <w:t>184</w:t>
      </w:r>
      <w:r>
        <w:t xml:space="preserve">, 1–15. </w:t>
      </w:r>
    </w:p>
    <w:p w14:paraId="7B3B8ED6" w14:textId="77777777" w:rsidR="00DD2348" w:rsidRDefault="005F0FFB">
      <w:pPr>
        <w:pStyle w:val="Bibliography"/>
      </w:pPr>
      <w:bookmarkStart w:id="23" w:name="ref-Hengl2017"/>
      <w:bookmarkEnd w:id="22"/>
      <w:proofErr w:type="spellStart"/>
      <w:r>
        <w:t>Hengl</w:t>
      </w:r>
      <w:proofErr w:type="spellEnd"/>
      <w:r>
        <w:t xml:space="preserve">, T., Mendes de Jesus, J., </w:t>
      </w:r>
      <w:proofErr w:type="spellStart"/>
      <w:r>
        <w:t>Heuvelink</w:t>
      </w:r>
      <w:proofErr w:type="spellEnd"/>
      <w:r>
        <w:t xml:space="preserve">, G.B.M., </w:t>
      </w:r>
      <w:proofErr w:type="spellStart"/>
      <w:r>
        <w:t>Ruiperez</w:t>
      </w:r>
      <w:proofErr w:type="spellEnd"/>
      <w:r>
        <w:t xml:space="preserve"> Gonzalez, M., </w:t>
      </w:r>
      <w:proofErr w:type="spellStart"/>
      <w:r>
        <w:t>Kilibarda</w:t>
      </w:r>
      <w:proofErr w:type="spellEnd"/>
      <w:r>
        <w:t xml:space="preserve">, M., </w:t>
      </w:r>
      <w:proofErr w:type="spellStart"/>
      <w:r>
        <w:t>Blagoti</w:t>
      </w:r>
      <w:proofErr w:type="spellEnd"/>
      <w:r>
        <w:t xml:space="preserve">?, A., </w:t>
      </w:r>
      <w:proofErr w:type="spellStart"/>
      <w:r>
        <w:t>Shangguan</w:t>
      </w:r>
      <w:proofErr w:type="spellEnd"/>
      <w:r>
        <w:t xml:space="preserve">, W., Wright, M.N., </w:t>
      </w:r>
      <w:proofErr w:type="spellStart"/>
      <w:r>
        <w:t>Geng</w:t>
      </w:r>
      <w:proofErr w:type="spellEnd"/>
      <w:r>
        <w:t>, X., Bauer-</w:t>
      </w:r>
      <w:proofErr w:type="spellStart"/>
      <w:r>
        <w:t>Marschallinger</w:t>
      </w:r>
      <w:proofErr w:type="spellEnd"/>
      <w:r>
        <w:t xml:space="preserve">, B., Guevara, M.A., Vargas, R., MacMillan, R.A., </w:t>
      </w:r>
      <w:proofErr w:type="spellStart"/>
      <w:r>
        <w:t>Batjes</w:t>
      </w:r>
      <w:proofErr w:type="spellEnd"/>
      <w:r>
        <w:t xml:space="preserve">, N.H., </w:t>
      </w:r>
      <w:proofErr w:type="spellStart"/>
      <w:r>
        <w:t>Leenaars</w:t>
      </w:r>
      <w:proofErr w:type="spellEnd"/>
      <w:r>
        <w:t xml:space="preserve">, J.G.B., Ribeiro, E., Wheeler, I., Mantel, S., &amp; </w:t>
      </w:r>
      <w:proofErr w:type="spellStart"/>
      <w:r>
        <w:t>Kempen</w:t>
      </w:r>
      <w:proofErr w:type="spellEnd"/>
      <w:r>
        <w:t xml:space="preserve">, B. (2017) SoilGrids250m: Global gridded soil information based on machine learning. </w:t>
      </w:r>
      <w:proofErr w:type="spellStart"/>
      <w:r>
        <w:rPr>
          <w:i/>
        </w:rPr>
        <w:t>PLoS</w:t>
      </w:r>
      <w:proofErr w:type="spellEnd"/>
      <w:r>
        <w:rPr>
          <w:i/>
        </w:rPr>
        <w:t xml:space="preserve"> ONE</w:t>
      </w:r>
      <w:r>
        <w:t xml:space="preserve">, </w:t>
      </w:r>
      <w:r>
        <w:rPr>
          <w:b/>
        </w:rPr>
        <w:t>12</w:t>
      </w:r>
      <w:r>
        <w:t xml:space="preserve">, e0169748. </w:t>
      </w:r>
    </w:p>
    <w:p w14:paraId="36E3A7A5" w14:textId="77777777" w:rsidR="00DD2348" w:rsidRDefault="005F0FFB">
      <w:pPr>
        <w:pStyle w:val="Bibliography"/>
      </w:pPr>
      <w:bookmarkStart w:id="24" w:name="ref-Hijmans2016"/>
      <w:bookmarkEnd w:id="23"/>
      <w:proofErr w:type="spellStart"/>
      <w:r>
        <w:t>Hijmans</w:t>
      </w:r>
      <w:proofErr w:type="spellEnd"/>
      <w:r>
        <w:t>, R.J. (2016) raster: Geographic Data Analysis and Modeling. R package version 2.5-</w:t>
      </w:r>
      <w:proofErr w:type="gramStart"/>
      <w:r>
        <w:t>8..</w:t>
      </w:r>
      <w:proofErr w:type="gramEnd"/>
      <w:r>
        <w:t xml:space="preserve"> </w:t>
      </w:r>
    </w:p>
    <w:p w14:paraId="56A3412D" w14:textId="77777777" w:rsidR="00DD2348" w:rsidRDefault="005F0FFB">
      <w:pPr>
        <w:pStyle w:val="Bibliography"/>
      </w:pPr>
      <w:bookmarkStart w:id="25" w:name="ref-Hopper2004"/>
      <w:bookmarkEnd w:id="24"/>
      <w:r>
        <w:lastRenderedPageBreak/>
        <w:t xml:space="preserve">Hopper, S.D. &amp; </w:t>
      </w:r>
      <w:proofErr w:type="spellStart"/>
      <w:r>
        <w:t>Gioia</w:t>
      </w:r>
      <w:proofErr w:type="spellEnd"/>
      <w:r>
        <w:t xml:space="preserve">, P. (2004) The Southwest Australian Floristic Region: Evolution and Conservation of a Global Hot Spot of Biodiversity. </w:t>
      </w:r>
      <w:r>
        <w:rPr>
          <w:i/>
        </w:rPr>
        <w:t>Annual Review of Ecology, Evolution, and Systematics</w:t>
      </w:r>
      <w:r>
        <w:t xml:space="preserve">, </w:t>
      </w:r>
      <w:r>
        <w:rPr>
          <w:b/>
        </w:rPr>
        <w:t>35</w:t>
      </w:r>
      <w:r>
        <w:t xml:space="preserve">, 623–650. </w:t>
      </w:r>
    </w:p>
    <w:p w14:paraId="50084C30" w14:textId="77777777" w:rsidR="00DD2348" w:rsidRDefault="005F0FFB">
      <w:pPr>
        <w:pStyle w:val="Bibliography"/>
      </w:pPr>
      <w:bookmarkStart w:id="26" w:name="ref-Larsen2009"/>
      <w:bookmarkEnd w:id="25"/>
      <w:r>
        <w:t xml:space="preserve">Larsen, R., </w:t>
      </w:r>
      <w:proofErr w:type="spellStart"/>
      <w:r>
        <w:t>Holmern</w:t>
      </w:r>
      <w:proofErr w:type="spellEnd"/>
      <w:r>
        <w:t xml:space="preserve">, T., Prager, S.D., </w:t>
      </w:r>
      <w:proofErr w:type="spellStart"/>
      <w:r>
        <w:t>Maliti</w:t>
      </w:r>
      <w:proofErr w:type="spellEnd"/>
      <w:r>
        <w:t xml:space="preserve">, H., &amp; </w:t>
      </w:r>
      <w:proofErr w:type="spellStart"/>
      <w:r>
        <w:t>Røskaft</w:t>
      </w:r>
      <w:proofErr w:type="spellEnd"/>
      <w:r>
        <w:t xml:space="preserve">, E. (2009) Using the extended quarter degree grid cell system to unify mapping and sharing of biodiversity data. </w:t>
      </w:r>
      <w:r>
        <w:rPr>
          <w:i/>
        </w:rPr>
        <w:t>African Journal of Ecology</w:t>
      </w:r>
      <w:r>
        <w:t xml:space="preserve">, </w:t>
      </w:r>
      <w:r>
        <w:rPr>
          <w:b/>
        </w:rPr>
        <w:t>47</w:t>
      </w:r>
      <w:r>
        <w:t xml:space="preserve">, 382–392. </w:t>
      </w:r>
    </w:p>
    <w:p w14:paraId="695FBC67" w14:textId="77777777" w:rsidR="00DD2348" w:rsidRDefault="005F0FFB">
      <w:pPr>
        <w:pStyle w:val="Bibliography"/>
      </w:pPr>
      <w:bookmarkStart w:id="27" w:name="ref-Mucina2006"/>
      <w:bookmarkEnd w:id="26"/>
      <w:proofErr w:type="spellStart"/>
      <w:r>
        <w:t>Mucina</w:t>
      </w:r>
      <w:proofErr w:type="spellEnd"/>
      <w:r>
        <w:t xml:space="preserve">, L. &amp; Rutherford, M.C. (2006) </w:t>
      </w:r>
      <w:r>
        <w:rPr>
          <w:i/>
        </w:rPr>
        <w:t xml:space="preserve">The vegetation of South Africa, Lesotho and Swaziland. </w:t>
      </w:r>
      <w:r>
        <w:t xml:space="preserve">South African National Biodiversity Institute, </w:t>
      </w:r>
    </w:p>
    <w:p w14:paraId="18CBBBFF" w14:textId="77777777" w:rsidR="00DD2348" w:rsidRDefault="005F0FFB">
      <w:pPr>
        <w:pStyle w:val="Bibliography"/>
      </w:pPr>
      <w:bookmarkStart w:id="28" w:name="ref-MOD13C2"/>
      <w:bookmarkEnd w:id="27"/>
      <w:r>
        <w:t xml:space="preserve">NASA (?) Vegetation indices monthly l3 global 0.05Deg </w:t>
      </w:r>
      <w:proofErr w:type="spellStart"/>
      <w:r>
        <w:t>cmg</w:t>
      </w:r>
      <w:proofErr w:type="spellEnd"/>
      <w:r>
        <w:t xml:space="preserve"> (mod13c2) v[Version]. </w:t>
      </w:r>
      <w:r>
        <w:rPr>
          <w:i/>
        </w:rPr>
        <w:t xml:space="preserve">NASA EOSDIS Land Processes DAAC, USGS Earth Resources Observation and Science (EROS) Center, Sioux Falls, South </w:t>
      </w:r>
      <w:proofErr w:type="gramStart"/>
      <w:r>
        <w:rPr>
          <w:i/>
        </w:rPr>
        <w:t>Dakota</w:t>
      </w:r>
      <w:r>
        <w:t>,.</w:t>
      </w:r>
      <w:proofErr w:type="gramEnd"/>
      <w:r>
        <w:t xml:space="preserve"> </w:t>
      </w:r>
    </w:p>
    <w:p w14:paraId="5AF7F3C9" w14:textId="77777777" w:rsidR="00DD2348" w:rsidRDefault="005F0FFB">
      <w:pPr>
        <w:pStyle w:val="Bibliography"/>
      </w:pPr>
      <w:bookmarkStart w:id="29" w:name="ref-MOD11C3"/>
      <w:bookmarkEnd w:id="28"/>
      <w:r>
        <w:t xml:space="preserve">NASA (?) Land surface temperature/emissivity monthly l3 global 0.05Deg </w:t>
      </w:r>
      <w:proofErr w:type="spellStart"/>
      <w:r>
        <w:t>cmg</w:t>
      </w:r>
      <w:proofErr w:type="spellEnd"/>
      <w:r>
        <w:t xml:space="preserve"> (mod11c3) v[Version]. </w:t>
      </w:r>
      <w:r>
        <w:rPr>
          <w:i/>
        </w:rPr>
        <w:t xml:space="preserve">NASA EOSDIS Land Processes DAAC, USGS Earth Resources Observation and Science (EROS) Center, Sioux Falls, South </w:t>
      </w:r>
      <w:proofErr w:type="gramStart"/>
      <w:r>
        <w:rPr>
          <w:i/>
        </w:rPr>
        <w:t>Dakota</w:t>
      </w:r>
      <w:r>
        <w:t>,.</w:t>
      </w:r>
      <w:proofErr w:type="gramEnd"/>
      <w:r>
        <w:t xml:space="preserve"> </w:t>
      </w:r>
    </w:p>
    <w:p w14:paraId="7550512A" w14:textId="77777777" w:rsidR="00DD2348" w:rsidRDefault="005F0FFB">
      <w:pPr>
        <w:pStyle w:val="Bibliography"/>
      </w:pPr>
      <w:bookmarkStart w:id="30" w:name="ref-Olson2001"/>
      <w:bookmarkEnd w:id="29"/>
      <w:r>
        <w:t xml:space="preserve">Olson, D.M., </w:t>
      </w:r>
      <w:proofErr w:type="spellStart"/>
      <w:r>
        <w:t>Dinerstein</w:t>
      </w:r>
      <w:proofErr w:type="spellEnd"/>
      <w:r>
        <w:t xml:space="preserve">, E., </w:t>
      </w:r>
      <w:proofErr w:type="spellStart"/>
      <w:r>
        <w:t>Wikramanayake</w:t>
      </w:r>
      <w:proofErr w:type="spellEnd"/>
      <w:r>
        <w:t xml:space="preserve">, E.D., Burgess, N.D., Powell, G.V.N., Underwood, E.C., </w:t>
      </w:r>
      <w:proofErr w:type="spellStart"/>
      <w:r>
        <w:t>D’amico</w:t>
      </w:r>
      <w:proofErr w:type="spellEnd"/>
      <w:r>
        <w:t xml:space="preserve">, J.A., </w:t>
      </w:r>
      <w:proofErr w:type="spellStart"/>
      <w:r>
        <w:t>Itoua</w:t>
      </w:r>
      <w:proofErr w:type="spellEnd"/>
      <w:r>
        <w:t xml:space="preserve">, I., Strand, H.E., Morrison, J.C., &amp; Others (2001) Terrestrial Ecoregions of the World: A New Map of Life on Earth: A new global map of terrestrial ecoregions provides an innovative tool for conserving biodiversity. </w:t>
      </w:r>
      <w:proofErr w:type="spellStart"/>
      <w:r>
        <w:rPr>
          <w:i/>
        </w:rPr>
        <w:t>BioScience</w:t>
      </w:r>
      <w:proofErr w:type="spellEnd"/>
      <w:r>
        <w:t xml:space="preserve">, </w:t>
      </w:r>
      <w:r>
        <w:rPr>
          <w:b/>
        </w:rPr>
        <w:t>51</w:t>
      </w:r>
      <w:r>
        <w:t xml:space="preserve">, 933–938. </w:t>
      </w:r>
    </w:p>
    <w:p w14:paraId="2546AEB9" w14:textId="77777777" w:rsidR="00DD2348" w:rsidRDefault="005F0FFB">
      <w:pPr>
        <w:pStyle w:val="Bibliography"/>
      </w:pPr>
      <w:bookmarkStart w:id="31" w:name="ref-RCoreTeam2018"/>
      <w:bookmarkEnd w:id="30"/>
      <w:r>
        <w:t xml:space="preserve">R Core Team (2018) </w:t>
      </w:r>
      <w:r>
        <w:rPr>
          <w:i/>
        </w:rPr>
        <w:t xml:space="preserve">R: A Language and Environment for Statistical Computing. Version 3.5.0. </w:t>
      </w:r>
      <w:r>
        <w:t xml:space="preserve">R Foundation for Statistical Computing, Vienna, Austria. </w:t>
      </w:r>
    </w:p>
    <w:p w14:paraId="23A9A96E" w14:textId="77777777" w:rsidR="00DD2348" w:rsidRDefault="005F0FFB">
      <w:pPr>
        <w:pStyle w:val="Bibliography"/>
      </w:pPr>
      <w:bookmarkStart w:id="32" w:name="ref-R-taxize"/>
      <w:bookmarkEnd w:id="31"/>
      <w:r>
        <w:t xml:space="preserve">Scott Chamberlain &amp; Eduard </w:t>
      </w:r>
      <w:proofErr w:type="spellStart"/>
      <w:r>
        <w:t>Szocs</w:t>
      </w:r>
      <w:proofErr w:type="spellEnd"/>
      <w:r>
        <w:t xml:space="preserve"> (2013) </w:t>
      </w:r>
      <w:proofErr w:type="spellStart"/>
      <w:r>
        <w:t>Taxize</w:t>
      </w:r>
      <w:proofErr w:type="spellEnd"/>
      <w:r>
        <w:t xml:space="preserve"> - taxonomic search and retrieval in r. </w:t>
      </w:r>
      <w:r>
        <w:rPr>
          <w:i/>
        </w:rPr>
        <w:t>F1000</w:t>
      </w:r>
      <w:proofErr w:type="gramStart"/>
      <w:r>
        <w:rPr>
          <w:i/>
        </w:rPr>
        <w:t>Research</w:t>
      </w:r>
      <w:r>
        <w:t>,.</w:t>
      </w:r>
      <w:proofErr w:type="gramEnd"/>
      <w:r>
        <w:t xml:space="preserve"> </w:t>
      </w:r>
      <w:bookmarkEnd w:id="15"/>
      <w:bookmarkEnd w:id="32"/>
    </w:p>
    <w:sectPr w:rsidR="00DD2348" w:rsidSect="00A45BB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an Van Mazijk" w:date="2019-08-14T14:16:00Z" w:initials="RVM">
    <w:p w14:paraId="1D73AB48" w14:textId="77777777" w:rsidR="003B10FC" w:rsidRDefault="003B10FC" w:rsidP="00D04776">
      <w:pPr>
        <w:pStyle w:val="CommentText"/>
      </w:pPr>
      <w:r>
        <w:rPr>
          <w:rStyle w:val="CommentReference"/>
        </w:rPr>
        <w:annotationRef/>
      </w:r>
      <w:r>
        <w:t>Will find these numbers later from the data used in the latest analyses</w:t>
      </w:r>
    </w:p>
  </w:comment>
  <w:comment w:id="7" w:author="GAV" w:date="2019-08-22T12:35:00Z" w:initials="WU">
    <w:p w14:paraId="2E2A465C" w14:textId="69CE98B8" w:rsidR="007D673C" w:rsidRDefault="007D673C">
      <w:pPr>
        <w:pStyle w:val="CommentText"/>
      </w:pPr>
      <w:r>
        <w:rPr>
          <w:rStyle w:val="CommentReference"/>
        </w:rPr>
        <w:annotationRef/>
      </w:r>
      <w:r>
        <w:t>Should this be one sided, and test whether the mean CLES &gt; 0.5?</w:t>
      </w:r>
    </w:p>
  </w:comment>
  <w:comment w:id="8" w:author="Ruan Van Mazijk [2]" w:date="2019-08-22T15:21:00Z" w:initials="RVM">
    <w:p w14:paraId="1A2C8953" w14:textId="2637AE61" w:rsidR="00BF0B3F" w:rsidRDefault="00BF0B3F">
      <w:pPr>
        <w:pStyle w:val="CommentText"/>
      </w:pPr>
      <w:r>
        <w:rPr>
          <w:rStyle w:val="CommentReference"/>
        </w:rPr>
        <w:annotationRef/>
      </w:r>
      <w:r>
        <w:t>Yes, my mistake!</w:t>
      </w:r>
    </w:p>
  </w:comment>
  <w:comment w:id="13" w:author="Ruan Van Mazijk" w:date="2019-08-14T14:27:00Z" w:initials="RVM">
    <w:p w14:paraId="1CCCE409" w14:textId="583B2A13" w:rsidR="003B10FC" w:rsidRDefault="003B10FC">
      <w:pPr>
        <w:pStyle w:val="CommentText"/>
      </w:pPr>
      <w:r>
        <w:rPr>
          <w:rStyle w:val="CommentReference"/>
        </w:rPr>
        <w:annotationRef/>
      </w:r>
      <w:r>
        <w:t>Will tidy these up later, of course</w:t>
      </w:r>
    </w:p>
  </w:comment>
  <w:comment w:id="20" w:author="Ruan Van Mazijk" w:date="2019-08-14T14:24:00Z" w:initials="RVM">
    <w:p w14:paraId="2ADA3438" w14:textId="10120557" w:rsidR="003B10FC" w:rsidRDefault="003B10F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3AB48" w15:done="0"/>
  <w15:commentEx w15:paraId="2E2A465C" w15:done="1"/>
  <w15:commentEx w15:paraId="1A2C8953" w15:paraIdParent="2E2A465C" w15:done="0"/>
  <w15:commentEx w15:paraId="1CCCE409" w15:done="0"/>
  <w15:commentEx w15:paraId="2ADA3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3AB48" w16cid:durableId="21092DB6"/>
  <w16cid:commentId w16cid:paraId="2E2A465C" w16cid:durableId="21092DB7"/>
  <w16cid:commentId w16cid:paraId="1A2C8953" w16cid:durableId="2109318F"/>
  <w16cid:commentId w16cid:paraId="1CCCE409" w16cid:durableId="20FE98E9"/>
  <w16cid:commentId w16cid:paraId="2ADA3438" w16cid:durableId="20FE9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036D7" w14:textId="77777777" w:rsidR="00C77223" w:rsidRDefault="00C77223">
      <w:pPr>
        <w:spacing w:after="0"/>
      </w:pPr>
      <w:r>
        <w:separator/>
      </w:r>
    </w:p>
  </w:endnote>
  <w:endnote w:type="continuationSeparator" w:id="0">
    <w:p w14:paraId="296DA56D" w14:textId="77777777" w:rsidR="00C77223" w:rsidRDefault="00C77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40834" w14:textId="77777777" w:rsidR="00C77223" w:rsidRDefault="00C77223">
      <w:r>
        <w:separator/>
      </w:r>
    </w:p>
  </w:footnote>
  <w:footnote w:type="continuationSeparator" w:id="0">
    <w:p w14:paraId="1EC77657" w14:textId="77777777" w:rsidR="00C77223" w:rsidRDefault="00C7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GAV">
    <w15:presenceInfo w15:providerId="None" w15:userId="GAV"/>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202B4"/>
    <w:rsid w:val="00024A7B"/>
    <w:rsid w:val="00037267"/>
    <w:rsid w:val="00086052"/>
    <w:rsid w:val="000A44BE"/>
    <w:rsid w:val="000C1B2A"/>
    <w:rsid w:val="000C1DFD"/>
    <w:rsid w:val="000C57CB"/>
    <w:rsid w:val="000F5594"/>
    <w:rsid w:val="000F59F5"/>
    <w:rsid w:val="000F699D"/>
    <w:rsid w:val="00106E88"/>
    <w:rsid w:val="00114867"/>
    <w:rsid w:val="00153824"/>
    <w:rsid w:val="001541B2"/>
    <w:rsid w:val="001A23A6"/>
    <w:rsid w:val="001B0959"/>
    <w:rsid w:val="001C5D8A"/>
    <w:rsid w:val="001D4356"/>
    <w:rsid w:val="00221BC9"/>
    <w:rsid w:val="002234E3"/>
    <w:rsid w:val="00230AF5"/>
    <w:rsid w:val="00231B2B"/>
    <w:rsid w:val="002930F3"/>
    <w:rsid w:val="0029673C"/>
    <w:rsid w:val="002B0F5B"/>
    <w:rsid w:val="002C5C96"/>
    <w:rsid w:val="002D283F"/>
    <w:rsid w:val="002E3FF8"/>
    <w:rsid w:val="002F370B"/>
    <w:rsid w:val="00303501"/>
    <w:rsid w:val="00331CEC"/>
    <w:rsid w:val="00354D9C"/>
    <w:rsid w:val="003562E3"/>
    <w:rsid w:val="00357472"/>
    <w:rsid w:val="00364F0A"/>
    <w:rsid w:val="00374287"/>
    <w:rsid w:val="00382BBB"/>
    <w:rsid w:val="003913A0"/>
    <w:rsid w:val="003B10FC"/>
    <w:rsid w:val="003B2885"/>
    <w:rsid w:val="003B7C89"/>
    <w:rsid w:val="003C533D"/>
    <w:rsid w:val="003C74FE"/>
    <w:rsid w:val="003D65D2"/>
    <w:rsid w:val="003F1CDD"/>
    <w:rsid w:val="0040493A"/>
    <w:rsid w:val="00404DA4"/>
    <w:rsid w:val="004218EE"/>
    <w:rsid w:val="004632FE"/>
    <w:rsid w:val="00482491"/>
    <w:rsid w:val="00494991"/>
    <w:rsid w:val="004C331B"/>
    <w:rsid w:val="004D13EA"/>
    <w:rsid w:val="004E29B3"/>
    <w:rsid w:val="004F6F8D"/>
    <w:rsid w:val="005042D0"/>
    <w:rsid w:val="00531FB3"/>
    <w:rsid w:val="00531FF2"/>
    <w:rsid w:val="005527B5"/>
    <w:rsid w:val="00590D07"/>
    <w:rsid w:val="0059637F"/>
    <w:rsid w:val="005B22E7"/>
    <w:rsid w:val="005D24D5"/>
    <w:rsid w:val="005F0FFB"/>
    <w:rsid w:val="005F573D"/>
    <w:rsid w:val="0060601F"/>
    <w:rsid w:val="00634215"/>
    <w:rsid w:val="00647F5C"/>
    <w:rsid w:val="0066712E"/>
    <w:rsid w:val="006C6B1A"/>
    <w:rsid w:val="006D35C5"/>
    <w:rsid w:val="006D58C7"/>
    <w:rsid w:val="006F0BA2"/>
    <w:rsid w:val="007612C7"/>
    <w:rsid w:val="00774C5C"/>
    <w:rsid w:val="00775A42"/>
    <w:rsid w:val="00784D58"/>
    <w:rsid w:val="007948F4"/>
    <w:rsid w:val="007C5AFE"/>
    <w:rsid w:val="007C7D4C"/>
    <w:rsid w:val="007D673C"/>
    <w:rsid w:val="007E72DA"/>
    <w:rsid w:val="00800FA8"/>
    <w:rsid w:val="00842DF6"/>
    <w:rsid w:val="00866587"/>
    <w:rsid w:val="008A59B2"/>
    <w:rsid w:val="008A5AB4"/>
    <w:rsid w:val="008A7439"/>
    <w:rsid w:val="008C1C71"/>
    <w:rsid w:val="008D6863"/>
    <w:rsid w:val="008E0FD5"/>
    <w:rsid w:val="008E3382"/>
    <w:rsid w:val="008E671D"/>
    <w:rsid w:val="008F0AB7"/>
    <w:rsid w:val="00923DF4"/>
    <w:rsid w:val="0095435C"/>
    <w:rsid w:val="00964F94"/>
    <w:rsid w:val="0098402B"/>
    <w:rsid w:val="0099210D"/>
    <w:rsid w:val="00996B78"/>
    <w:rsid w:val="009A5C6C"/>
    <w:rsid w:val="009B6D40"/>
    <w:rsid w:val="009D54AF"/>
    <w:rsid w:val="00A006BE"/>
    <w:rsid w:val="00A45BBE"/>
    <w:rsid w:val="00A778BB"/>
    <w:rsid w:val="00A85228"/>
    <w:rsid w:val="00A87D09"/>
    <w:rsid w:val="00A95D88"/>
    <w:rsid w:val="00AF7AFF"/>
    <w:rsid w:val="00B44249"/>
    <w:rsid w:val="00B502B0"/>
    <w:rsid w:val="00B6082F"/>
    <w:rsid w:val="00B86B75"/>
    <w:rsid w:val="00B96FA0"/>
    <w:rsid w:val="00BA5D8B"/>
    <w:rsid w:val="00BB096B"/>
    <w:rsid w:val="00BB1BCE"/>
    <w:rsid w:val="00BB2557"/>
    <w:rsid w:val="00BB3791"/>
    <w:rsid w:val="00BC333A"/>
    <w:rsid w:val="00BC48D5"/>
    <w:rsid w:val="00BC5EDB"/>
    <w:rsid w:val="00BF0B3F"/>
    <w:rsid w:val="00C04D03"/>
    <w:rsid w:val="00C36279"/>
    <w:rsid w:val="00C53D2C"/>
    <w:rsid w:val="00C67A1C"/>
    <w:rsid w:val="00C77223"/>
    <w:rsid w:val="00C85460"/>
    <w:rsid w:val="00CC3BF9"/>
    <w:rsid w:val="00CF189F"/>
    <w:rsid w:val="00D04776"/>
    <w:rsid w:val="00D305E0"/>
    <w:rsid w:val="00D345A9"/>
    <w:rsid w:val="00D40708"/>
    <w:rsid w:val="00D51F0E"/>
    <w:rsid w:val="00D61D4D"/>
    <w:rsid w:val="00D91644"/>
    <w:rsid w:val="00D96D52"/>
    <w:rsid w:val="00DC7F3D"/>
    <w:rsid w:val="00DD0DE4"/>
    <w:rsid w:val="00DD2348"/>
    <w:rsid w:val="00DD62FC"/>
    <w:rsid w:val="00DE0FC4"/>
    <w:rsid w:val="00DE3D40"/>
    <w:rsid w:val="00DE4AEB"/>
    <w:rsid w:val="00DE5FA7"/>
    <w:rsid w:val="00E25251"/>
    <w:rsid w:val="00E315A3"/>
    <w:rsid w:val="00E46B3C"/>
    <w:rsid w:val="00E52A66"/>
    <w:rsid w:val="00E7429C"/>
    <w:rsid w:val="00E75D74"/>
    <w:rsid w:val="00E96D62"/>
    <w:rsid w:val="00EB1A1E"/>
    <w:rsid w:val="00EB21F0"/>
    <w:rsid w:val="00EB52C0"/>
    <w:rsid w:val="00EC2AB9"/>
    <w:rsid w:val="00F0279E"/>
    <w:rsid w:val="00F07BEC"/>
    <w:rsid w:val="00F16319"/>
    <w:rsid w:val="00F1788A"/>
    <w:rsid w:val="00F358D2"/>
    <w:rsid w:val="00F614B4"/>
    <w:rsid w:val="00F80567"/>
    <w:rsid w:val="00F80A42"/>
    <w:rsid w:val="00F816D3"/>
    <w:rsid w:val="00F8593E"/>
    <w:rsid w:val="00FA3C08"/>
    <w:rsid w:val="00FA78DF"/>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ucngisd.org/gis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61D3B-5611-4C42-8227-C2C67FA2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83</cp:revision>
  <cp:lastPrinted>2019-08-22T08:46:00Z</cp:lastPrinted>
  <dcterms:created xsi:type="dcterms:W3CDTF">2019-08-22T06:09:00Z</dcterms:created>
  <dcterms:modified xsi:type="dcterms:W3CDTF">2019-08-22T13:30:00Z</dcterms:modified>
</cp:coreProperties>
</file>