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17B643A0" w:rsidR="00024A7B" w:rsidRDefault="00024A7B" w:rsidP="00024A7B">
      <w:pPr>
        <w:pStyle w:val="Title"/>
      </w:pPr>
      <w:bookmarkStart w:id="0" w:name="materials-and-methods"/>
      <w:r>
        <w:t xml:space="preserve">Environmental heterogeneity patterns plant species richness and turnover in two </w:t>
      </w:r>
      <w:proofErr w:type="spellStart"/>
      <w:r>
        <w:t>hyperdiverse</w:t>
      </w:r>
      <w:proofErr w:type="spellEnd"/>
      <w:r>
        <w:t xml:space="preserve"> floras</w:t>
      </w:r>
    </w:p>
    <w:p w14:paraId="4B2285EA" w14:textId="0BF52534" w:rsidR="006B3D28" w:rsidRDefault="006B3D28" w:rsidP="009E59E0">
      <w:pPr>
        <w:pStyle w:val="BodyText"/>
      </w:pPr>
      <w:r>
        <w:rPr>
          <w:b/>
        </w:rPr>
        <w:t>Running title:</w:t>
      </w:r>
      <w:r>
        <w:t xml:space="preserve"> Environmental heterogeneity and plant species richness</w:t>
      </w:r>
    </w:p>
    <w:p w14:paraId="7B377CF4" w14:textId="2E45E9AE" w:rsidR="00024A7B" w:rsidRDefault="00024A7B" w:rsidP="00C5660B">
      <w:pPr>
        <w:pStyle w:val="Author"/>
      </w:pPr>
      <w:r>
        <w:t xml:space="preserve">Ruan van Mazijk, Michael D. Cramer </w:t>
      </w:r>
      <w:r w:rsidR="00374287">
        <w:t>and</w:t>
      </w:r>
      <w:r>
        <w:t xml:space="preserve"> G. Anthony </w:t>
      </w:r>
      <w:proofErr w:type="spellStart"/>
      <w:r>
        <w:t>Verboom</w:t>
      </w:r>
      <w:proofErr w:type="spellEnd"/>
    </w:p>
    <w:p w14:paraId="1AC18ACA" w14:textId="77777777" w:rsidR="00024A7B" w:rsidRDefault="00024A7B" w:rsidP="00024A7B">
      <w:pPr>
        <w:pStyle w:val="FirstParagraph"/>
        <w:spacing w:line="240" w:lineRule="auto"/>
      </w:pPr>
      <w:r>
        <w:t>Department of Biological Sciences, University of Cape Town, Rondebosch, South Africa</w:t>
      </w:r>
    </w:p>
    <w:p w14:paraId="0DF61B76" w14:textId="7F90324A" w:rsidR="00024A7B" w:rsidRDefault="00024A7B" w:rsidP="00024A7B">
      <w:pPr>
        <w:pStyle w:val="BodyText"/>
      </w:pPr>
      <w:r>
        <w:t xml:space="preserve">Corresponding author: </w:t>
      </w:r>
      <w:proofErr w:type="spellStart"/>
      <w:r>
        <w:t>R</w:t>
      </w:r>
      <w:r w:rsidR="002A0204">
        <w:t>v</w:t>
      </w:r>
      <w:r>
        <w:t>M</w:t>
      </w:r>
      <w:proofErr w:type="spellEnd"/>
      <w:r>
        <w:t xml:space="preserve"> (</w:t>
      </w:r>
      <w:hyperlink r:id="rId8">
        <w:r>
          <w:rPr>
            <w:rStyle w:val="Hyperlink"/>
          </w:rPr>
          <w:t>ruanvmazijk@gmail.com</w:t>
        </w:r>
      </w:hyperlink>
      <w:r>
        <w:t>, +27 21 650 3684)</w:t>
      </w:r>
    </w:p>
    <w:p w14:paraId="73C7192D" w14:textId="77777777" w:rsidR="00024A7B" w:rsidRDefault="00024A7B" w:rsidP="00024A7B">
      <w:pPr>
        <w:pStyle w:val="BodyText"/>
        <w:spacing w:line="240" w:lineRule="auto"/>
      </w:pPr>
      <w:r>
        <w:t>ORCID nos.:</w:t>
      </w:r>
    </w:p>
    <w:p w14:paraId="02D06178" w14:textId="0B782187" w:rsidR="00024A7B" w:rsidRDefault="00024A7B" w:rsidP="00024A7B">
      <w:pPr>
        <w:pStyle w:val="BodyText"/>
        <w:spacing w:line="240" w:lineRule="auto"/>
        <w:ind w:firstLine="720"/>
      </w:pPr>
      <w:proofErr w:type="spellStart"/>
      <w:r>
        <w:t>RvM</w:t>
      </w:r>
      <w:proofErr w:type="spellEnd"/>
      <w:r>
        <w:t>: 0000-0003-2659-6909</w:t>
      </w:r>
    </w:p>
    <w:p w14:paraId="4A03E91A" w14:textId="4F073368" w:rsidR="00024A7B" w:rsidRDefault="00024A7B" w:rsidP="00024A7B">
      <w:pPr>
        <w:pStyle w:val="BodyText"/>
        <w:spacing w:line="240" w:lineRule="auto"/>
        <w:ind w:firstLine="720"/>
      </w:pPr>
      <w:r>
        <w:t>MDC: 0000-0003-0989-3266</w:t>
      </w:r>
    </w:p>
    <w:p w14:paraId="35883A8F" w14:textId="31A9613B" w:rsidR="00024A7B" w:rsidRDefault="00024A7B" w:rsidP="00024A7B">
      <w:pPr>
        <w:pStyle w:val="BodyText"/>
        <w:ind w:firstLine="720"/>
      </w:pPr>
      <w:r>
        <w:t>GAV: 0000-0002-1363-9781</w:t>
      </w:r>
    </w:p>
    <w:p w14:paraId="68B5BB40" w14:textId="77777777" w:rsidR="009E59E0" w:rsidRDefault="009E59E0" w:rsidP="009E59E0">
      <w:pPr>
        <w:pStyle w:val="Heading1"/>
      </w:pPr>
      <w:bookmarkStart w:id="1" w:name="abstract"/>
      <w:bookmarkStart w:id="2" w:name="acknowledgements"/>
      <w:r>
        <w:t>Acknowledgements</w:t>
      </w:r>
      <w:bookmarkEnd w:id="2"/>
    </w:p>
    <w:p w14:paraId="1EDD8076" w14:textId="77777777" w:rsidR="009E59E0" w:rsidRPr="00024A7B" w:rsidRDefault="009E59E0" w:rsidP="009E59E0">
      <w:pPr>
        <w:pStyle w:val="FirstParagraph"/>
      </w:pPr>
      <w:r>
        <w:t xml:space="preserve">This work was funded by the South African Department of Science and Technology and the National Research Foundation under the Freestanding Innovation </w:t>
      </w:r>
      <w:proofErr w:type="spellStart"/>
      <w:r>
        <w:t>Honours</w:t>
      </w:r>
      <w:proofErr w:type="spellEnd"/>
      <w:r>
        <w:t xml:space="preserve"> </w:t>
      </w:r>
      <w:r w:rsidRPr="006B0E2E">
        <w:t>Scholarship</w:t>
      </w:r>
      <w:r>
        <w:t xml:space="preserve"> and by the South African Association of Botanists </w:t>
      </w:r>
      <w:proofErr w:type="spellStart"/>
      <w:r>
        <w:t>Honours</w:t>
      </w:r>
      <w:proofErr w:type="spellEnd"/>
      <w:r>
        <w:t xml:space="preserve"> Scholarship (both to </w:t>
      </w:r>
      <w:proofErr w:type="spellStart"/>
      <w:r>
        <w:t>RvM</w:t>
      </w:r>
      <w:proofErr w:type="spellEnd"/>
      <w:r>
        <w:t>). Thanks also go to the Department of Biological Sciences, University of Cape Town, for providing a 2TB external hard drive for local GIS data storage.</w:t>
      </w:r>
    </w:p>
    <w:p w14:paraId="0178B695" w14:textId="77777777" w:rsidR="00024A7B" w:rsidRDefault="00024A7B" w:rsidP="00024A7B">
      <w:pPr>
        <w:pStyle w:val="Heading1"/>
      </w:pPr>
      <w:r>
        <w:t>Abstract</w:t>
      </w:r>
      <w:bookmarkEnd w:id="1"/>
    </w:p>
    <w:p w14:paraId="064B794C" w14:textId="5AF0437D" w:rsidR="00024A7B" w:rsidRPr="00024A7B" w:rsidRDefault="00024A7B" w:rsidP="00024A7B">
      <w:pPr>
        <w:pStyle w:val="BodyText"/>
        <w:rPr>
          <w:b/>
        </w:rPr>
      </w:pPr>
      <w:r w:rsidRPr="00024A7B">
        <w:rPr>
          <w:b/>
        </w:rPr>
        <w:t>Aim:</w:t>
      </w:r>
    </w:p>
    <w:p w14:paraId="4E5A0187" w14:textId="4FCF7252" w:rsidR="00024A7B" w:rsidRDefault="00024A7B" w:rsidP="00024A7B">
      <w:pPr>
        <w:pStyle w:val="BodyText"/>
        <w:rPr>
          <w:b/>
        </w:rPr>
      </w:pPr>
      <w:r>
        <w:rPr>
          <w:b/>
        </w:rPr>
        <w:t>Location:</w:t>
      </w:r>
    </w:p>
    <w:p w14:paraId="64618502" w14:textId="1D7154AE" w:rsidR="00024A7B" w:rsidRDefault="00024A7B" w:rsidP="00024A7B">
      <w:pPr>
        <w:pStyle w:val="BodyText"/>
        <w:rPr>
          <w:b/>
        </w:rPr>
      </w:pPr>
      <w:r>
        <w:rPr>
          <w:b/>
        </w:rPr>
        <w:t>Taxon:</w:t>
      </w:r>
    </w:p>
    <w:p w14:paraId="1FCA4F09" w14:textId="36FD9820" w:rsidR="00024A7B" w:rsidRDefault="00024A7B" w:rsidP="00024A7B">
      <w:pPr>
        <w:pStyle w:val="BodyText"/>
        <w:rPr>
          <w:b/>
        </w:rPr>
      </w:pPr>
      <w:r>
        <w:rPr>
          <w:b/>
        </w:rPr>
        <w:t>Methods:</w:t>
      </w:r>
    </w:p>
    <w:p w14:paraId="39C1CEA1" w14:textId="068F2A1A" w:rsidR="00024A7B" w:rsidRDefault="00024A7B" w:rsidP="00024A7B">
      <w:pPr>
        <w:pStyle w:val="BodyText"/>
        <w:rPr>
          <w:b/>
        </w:rPr>
      </w:pPr>
      <w:r>
        <w:rPr>
          <w:b/>
        </w:rPr>
        <w:lastRenderedPageBreak/>
        <w:t>Results:</w:t>
      </w:r>
    </w:p>
    <w:p w14:paraId="3D4EE8B5" w14:textId="0A8B98BF" w:rsidR="00024A7B" w:rsidRDefault="00024A7B" w:rsidP="00024A7B">
      <w:pPr>
        <w:pStyle w:val="BodyText"/>
        <w:rPr>
          <w:b/>
        </w:rPr>
      </w:pPr>
      <w:r>
        <w:rPr>
          <w:b/>
        </w:rPr>
        <w:t>Main conclusions:</w:t>
      </w:r>
    </w:p>
    <w:p w14:paraId="4458AFCC" w14:textId="78B316BC" w:rsidR="00024A7B" w:rsidRDefault="00024A7B" w:rsidP="00024A7B">
      <w:pPr>
        <w:pStyle w:val="BodyText"/>
      </w:pPr>
      <w:r>
        <w:rPr>
          <w:i/>
        </w:rPr>
        <w:t>Keywords:</w:t>
      </w:r>
    </w:p>
    <w:p w14:paraId="301CD1AC" w14:textId="58270AF1" w:rsidR="00D04776" w:rsidRDefault="00C408A8" w:rsidP="00D04776">
      <w:pPr>
        <w:pStyle w:val="Heading1"/>
      </w:pPr>
      <w:r>
        <w:t xml:space="preserve">1 </w:t>
      </w:r>
      <w:r w:rsidR="00D04776">
        <w:t>Introduction</w:t>
      </w:r>
    </w:p>
    <w:p w14:paraId="5CA48634" w14:textId="2FA78755" w:rsidR="00D04776" w:rsidRPr="002F0553" w:rsidRDefault="00D04776" w:rsidP="00D04776">
      <w:pPr>
        <w:pStyle w:val="FirstParagraph"/>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w:t>
      </w:r>
      <w:proofErr w:type="spellStart"/>
      <w:r w:rsidRPr="002F0553">
        <w:t>Ricklefs</w:t>
      </w:r>
      <w:proofErr w:type="spellEnd"/>
      <w:r w:rsidRPr="002F0553">
        <w:t xml:space="preserve"> 1987, 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(refs), with physically-heterogeneous regions being especially prone to be species-rich (refs). For example, given that the recruitment success of immigrant lineages into a region is often dictated by the pre-adaptations of those lineages (</w:t>
      </w:r>
      <w:proofErr w:type="spellStart"/>
      <w:r w:rsidRPr="002F0553">
        <w:t>Ackerly</w:t>
      </w:r>
      <w:proofErr w:type="spellEnd"/>
      <w:r w:rsidRPr="002F0553">
        <w:t>, Donoghue, Crisp), a physically-heterogenous environment may promote diversity by admitting a</w:t>
      </w:r>
      <w:r>
        <w:t xml:space="preserve"> more functionally-diverse array of</w:t>
      </w:r>
      <w:r w:rsidRPr="002F0553">
        <w:t xml:space="preserve"> immigrant lineages (ref).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 xml:space="preserve">most models (Wiens 2004a, b; Sobel et al. 2010; </w:t>
      </w:r>
      <w:proofErr w:type="spellStart"/>
      <w:r w:rsidRPr="002F0553">
        <w:t>Nosil</w:t>
      </w:r>
      <w:proofErr w:type="spellEnd"/>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(refs Byrne?). Finally, </w:t>
      </w:r>
      <w:r w:rsidR="007948F4">
        <w:t>environmental heterogeneity</w:t>
      </w:r>
      <w:r w:rsidRPr="002F0553">
        <w:t xml:space="preserve"> has repeatedly been shown to facilitate species coexistence at a variety of scales, and so enhance regional species richness (refs).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time-frames within which their biotas have assembled.</w:t>
      </w:r>
    </w:p>
    <w:p w14:paraId="2EBD671D" w14:textId="77777777" w:rsidR="00D04776" w:rsidRDefault="00D04776" w:rsidP="00D04776">
      <w:pPr>
        <w:pStyle w:val="FirstParagraph"/>
      </w:pPr>
      <w:r w:rsidRPr="002F0553">
        <w:t xml:space="preserve">The </w:t>
      </w:r>
      <w:r>
        <w:t xml:space="preserve">floristically-rich </w:t>
      </w:r>
      <w:r w:rsidRPr="002F0553">
        <w:t xml:space="preserve">South Western Australian Floristic Region (SWAFR; Hopper and </w:t>
      </w:r>
      <w:proofErr w:type="spellStart"/>
      <w:r w:rsidRPr="002F0553">
        <w:t>Gioia</w:t>
      </w:r>
      <w:proofErr w:type="spellEnd"/>
      <w:r w:rsidRPr="002F0553">
        <w:t xml:space="preserve"> 2004) and Greater Cape Floristic Region of South Africa (GCFR; Born et al. 2007) </w:t>
      </w:r>
      <w:r>
        <w:t>constitute</w:t>
      </w:r>
      <w:r w:rsidRPr="002F0553">
        <w:t xml:space="preserve"> a case in point. Situated on the southwestern corners of their respective continents, the climates of </w:t>
      </w:r>
      <w:r w:rsidRPr="002F0553">
        <w:lastRenderedPageBreak/>
        <w:t xml:space="preserve">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proofErr w:type="spellStart"/>
      <w:r w:rsidRPr="002F0553">
        <w:t>Rundel</w:t>
      </w:r>
      <w:proofErr w:type="spellEnd"/>
      <w:r w:rsidRPr="002F0553">
        <w:t xml:space="preserve"> et al. 2016; Lamont and He 2017) or Late Miocene (GCFR: Dupont et al. 2011; Hoffmann et al 2015). </w:t>
      </w:r>
      <w:r>
        <w:t>In addition</w:t>
      </w:r>
      <w:r w:rsidRPr="00A432DE">
        <w:t xml:space="preserve">, both regions have been unglaciated since the Permian and are dominated by ancient, weathered landscapes whose soil-nutritional status is amongst the lowest of any landscape on Earth (Stock and </w:t>
      </w:r>
      <w:proofErr w:type="spellStart"/>
      <w:r w:rsidRPr="00A432DE">
        <w:t>Verboom</w:t>
      </w:r>
      <w:proofErr w:type="spellEnd"/>
      <w:r w:rsidRPr="00A432DE">
        <w:t>)</w:t>
      </w:r>
      <w:r>
        <w:t xml:space="preserve">, hence their designation as “OCBILs” (“old, climatically-buffered infertile landscapes”; Hopper 2009). Owing to these environmental similarities, the SWAFR and GCFR floras are very similar in terms of their functional trait spectra (Cowling and Witkowski 1994), though the presence of a significant tree component in the SWAFR underpins a striking difference in vegetation physiognomy (ref). 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(refs), with evidence of a long history of transoceanic dispersal between the two (refs). In this context, it is unsurprising that the two floras show strong taxonomic affinities and that both are species-rich, with high levels of regional endemism (refs). </w:t>
      </w:r>
    </w:p>
    <w:p w14:paraId="33297E6E" w14:textId="308FB23F" w:rsidR="00D04776" w:rsidRDefault="00D04776" w:rsidP="00D04776">
      <w:pPr>
        <w:pStyle w:val="FirstParagraph"/>
      </w:pPr>
      <w:r>
        <w:t>Notwithstanding these similarities, the SWAFR and GCFR differ markedly in terms of their vascular plant species</w:t>
      </w:r>
      <w:r w:rsidR="001541B2">
        <w:t xml:space="preserve"> </w:t>
      </w:r>
      <w:r>
        <w:t>richness, particularly when considered in relation to geographical area. Where the SWAFR accommodates ~7,380 species in an area of ~302,600 km</w:t>
      </w:r>
      <w:r>
        <w:rPr>
          <w:vertAlign w:val="superscript"/>
        </w:rPr>
        <w:t>2</w:t>
      </w:r>
      <w:r>
        <w:t xml:space="preserve"> (i.e. 0.024 species km</w:t>
      </w:r>
      <w:r>
        <w:rPr>
          <w:vertAlign w:val="superscript"/>
        </w:rPr>
        <w:t>-2</w:t>
      </w:r>
      <w:r>
        <w:t xml:space="preserve">; Hopper and </w:t>
      </w:r>
      <w:proofErr w:type="spellStart"/>
      <w:r>
        <w:t>Gioia</w:t>
      </w:r>
      <w:proofErr w:type="spellEnd"/>
      <w:r>
        <w:t xml:space="preserve"> 2004), the GCFR accommodates ~11,430 species in an area of ~189,700 km</w:t>
      </w:r>
      <w:r>
        <w:rPr>
          <w:vertAlign w:val="superscript"/>
        </w:rPr>
        <w:t>2</w:t>
      </w:r>
      <w:r>
        <w:t xml:space="preserve"> (i.e. 0.060 species km</w:t>
      </w:r>
      <w:r>
        <w:rPr>
          <w:vertAlign w:val="superscript"/>
        </w:rPr>
        <w:t>-2</w:t>
      </w:r>
      <w:r>
        <w:t xml:space="preserve">; </w:t>
      </w:r>
      <w:proofErr w:type="spellStart"/>
      <w:r>
        <w:t>Snijman</w:t>
      </w:r>
      <w:proofErr w:type="spellEnd"/>
      <w:r>
        <w:t xml:space="preserve"> 2013). One explanation for this striking 2.5-fold species richness difference (per area) relates to differences in the physical heterogeneity of the two regions. Where much of the GCFR, particularly the hyper-diverse (~9,400 species in ~90,800 km</w:t>
      </w:r>
      <w:r>
        <w:rPr>
          <w:vertAlign w:val="superscript"/>
        </w:rPr>
        <w:t>2</w:t>
      </w:r>
      <w:r>
        <w:t>; 0.104 species km</w:t>
      </w:r>
      <w:r>
        <w:rPr>
          <w:vertAlign w:val="superscript"/>
        </w:rPr>
        <w:t>-2</w:t>
      </w:r>
      <w:r>
        <w:t>) “core” Cape Floristic Region (CFR; Goldblatt 1978), is rugged and mountainous, the SWAFR landscape is much more subdued, comprising an ancient, weathered plateau. Since the strong relief of the GCFR underlies steep climat</w:t>
      </w:r>
      <w:r w:rsidR="001541B2">
        <w:t xml:space="preserve">ic and edaphic gradients (refs),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 and half-degree square (HDS) scales</w:t>
      </w:r>
      <w:r w:rsidR="000F59F5">
        <w:t xml:space="preserve"> (</w:t>
      </w:r>
      <w:proofErr w:type="spellStart"/>
      <w:r w:rsidR="000F59F5">
        <w:t>sensu</w:t>
      </w:r>
      <w:proofErr w:type="spellEnd"/>
      <w:r w:rsidR="000F59F5">
        <w:t xml:space="preserve"> Larsen et al., 2009)</w:t>
      </w:r>
      <w:r>
        <w:t>, we first compare the distribution of species richness between the two regions</w:t>
      </w:r>
      <w:r w:rsidR="00E96D62">
        <w:t xml:space="preserve">, and </w:t>
      </w:r>
      <w:r w:rsidR="0059637F">
        <w:t>each region</w:t>
      </w:r>
      <w:r w:rsidR="00E96D62">
        <w:t xml:space="preserve"> decompos</w:t>
      </w:r>
      <w:r w:rsidR="0059637F">
        <w:t>e HDS richness</w:t>
      </w:r>
      <w:r w:rsidR="00E96D62">
        <w:t xml:space="preserve"> in</w:t>
      </w:r>
      <w:r w:rsidR="004F6F8D">
        <w:t>to</w:t>
      </w:r>
      <w:r w:rsidR="00E96D62">
        <w:t xml:space="preserve"> mean QDS richness and between-QDS turnover.</w:t>
      </w:r>
      <w:r>
        <w:t xml:space="preserve"> Thereafter, we </w:t>
      </w:r>
      <w:r>
        <w:lastRenderedPageBreak/>
        <w:t xml:space="preserve">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w:t>
      </w:r>
      <w:proofErr w:type="gramStart"/>
      <w:r>
        <w:t>sufficient</w:t>
      </w:r>
      <w:proofErr w:type="gramEnd"/>
      <w:r>
        <w:t xml:space="preserve"> to explain observed differences in species richness between the two regions. </w:t>
      </w:r>
    </w:p>
    <w:p w14:paraId="70315767" w14:textId="0F06A8CB" w:rsidR="00DD2348" w:rsidRDefault="00970650">
      <w:pPr>
        <w:pStyle w:val="Heading1"/>
      </w:pPr>
      <w:r w:rsidRPr="00DD7307">
        <w:t>2</w:t>
      </w:r>
      <w:r w:rsidR="00DD7307">
        <w:t xml:space="preserve"> </w:t>
      </w:r>
      <w:r w:rsidR="005F0FFB" w:rsidRPr="00DD7307">
        <w:t>Materials</w:t>
      </w:r>
      <w:r w:rsidR="005F0FFB">
        <w:t xml:space="preserve"> and methods</w:t>
      </w:r>
      <w:bookmarkEnd w:id="0"/>
    </w:p>
    <w:p w14:paraId="37E86CBC" w14:textId="3C43A32A" w:rsidR="00D04776" w:rsidRDefault="00970650" w:rsidP="00D04776">
      <w:pPr>
        <w:pStyle w:val="Heading2"/>
      </w:pPr>
      <w:bookmarkStart w:id="3" w:name="comparing-regions-environmental-heteroge"/>
      <w:r>
        <w:t xml:space="preserve">2.1 </w:t>
      </w:r>
      <w:r w:rsidR="00D04776">
        <w:t>Comparing species richness</w:t>
      </w:r>
    </w:p>
    <w:p w14:paraId="22B117E5" w14:textId="1ED81EE7" w:rsidR="00D04776" w:rsidRDefault="00D04776" w:rsidP="000F699D">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 xml:space="preserve">from the Global Biodiversity Information Facility (GBIF, see Table 1). </w:t>
      </w:r>
      <w:r w:rsidR="001C5D8A">
        <w:t xml:space="preserve">For this purpose, the GCFR was treated as the area occupied by the Succulent Karoo and Fynbos Biomes </w:t>
      </w:r>
      <w:r w:rsidR="006F0BA2">
        <w:t>(</w:t>
      </w:r>
      <w:proofErr w:type="spellStart"/>
      <w:r w:rsidR="001C5D8A">
        <w:t>Mucina</w:t>
      </w:r>
      <w:proofErr w:type="spellEnd"/>
      <w:r w:rsidR="001C5D8A">
        <w:t xml:space="preserve"> &amp; Rutherford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(Olson et al., 2001) in order to match the current deli</w:t>
      </w:r>
      <w:r w:rsidR="006F0BA2">
        <w:t>mitation of the</w:t>
      </w:r>
      <w:r w:rsidR="001C5D8A">
        <w:t xml:space="preserve"> SWAFR (Hopper &amp; </w:t>
      </w:r>
      <w:proofErr w:type="spellStart"/>
      <w:r w:rsidR="001C5D8A">
        <w:t>Gioia</w:t>
      </w:r>
      <w:proofErr w:type="spellEnd"/>
      <w:r w:rsidR="001C5D8A">
        <w:t xml:space="preserve"> 2004</w:t>
      </w:r>
      <w:r w:rsidR="006F0BA2">
        <w:t>;</w:t>
      </w:r>
      <w:r w:rsidR="006F0BA2" w:rsidRPr="006F0BA2">
        <w:t xml:space="preserve"> </w:t>
      </w:r>
      <w:proofErr w:type="spellStart"/>
      <w:r w:rsidR="006F0BA2">
        <w:t>Gioia</w:t>
      </w:r>
      <w:proofErr w:type="spellEnd"/>
      <w:r w:rsidR="006F0BA2">
        <w:t xml:space="preserve"> &amp; Hopper,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he R package “</w:t>
      </w:r>
      <w:proofErr w:type="spellStart"/>
      <w:r>
        <w:t>taxize</w:t>
      </w:r>
      <w:proofErr w:type="spellEnd"/>
      <w:r>
        <w:t xml:space="preserve">” (Chamberlain &amp; </w:t>
      </w:r>
      <w:proofErr w:type="spellStart"/>
      <w:r>
        <w:t>Szocs</w:t>
      </w:r>
      <w:proofErr w:type="spellEnd"/>
      <w:r>
        <w:t xml:space="preserve">, 2013; Chamberlain et al.,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 and the Taxonomic Name Resolution Service (TNRS).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s high (GCFR: XXX; SWAFR: XXX),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 xml:space="preserve">queried against the </w:t>
      </w:r>
      <w:proofErr w:type="spellStart"/>
      <w:r w:rsidR="007C7D4C">
        <w:t>Tropicos</w:t>
      </w:r>
      <w:proofErr w:type="spellEnd"/>
      <w:r w:rsidR="007C7D4C">
        <w:t xml:space="preserve"> and Integrated Taxonomic Information System (ITIS)</w:t>
      </w:r>
      <w:r w:rsidR="007C7D4C" w:rsidRPr="007C7D4C">
        <w:t xml:space="preserve"> </w:t>
      </w:r>
      <w:r w:rsidR="007C7D4C">
        <w:t>for known synonyms, again using “</w:t>
      </w:r>
      <w:proofErr w:type="spellStart"/>
      <w:r w:rsidR="007C7D4C">
        <w:t>taxize</w:t>
      </w:r>
      <w:proofErr w:type="spellEnd"/>
      <w:r w:rsidR="007C7D4C">
        <w:t xml:space="preserve">.” Finally, </w:t>
      </w:r>
      <w:r w:rsidR="00FE713B">
        <w:t xml:space="preserve">we removed </w:t>
      </w:r>
      <w:r w:rsidR="007C7D4C">
        <w:t xml:space="preserve">all </w:t>
      </w:r>
      <w:r>
        <w:t xml:space="preserve">records of </w:t>
      </w:r>
      <w:r w:rsidR="00FE713B">
        <w:t xml:space="preserve">species </w:t>
      </w:r>
      <w:proofErr w:type="spellStart"/>
      <w:r w:rsidR="00A87D09">
        <w:t>identied</w:t>
      </w:r>
      <w:proofErr w:type="spellEnd"/>
      <w:r w:rsidR="00A87D09">
        <w:t xml:space="preserve">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The final species richness </w:t>
      </w:r>
      <w:r w:rsidR="00D61D4D">
        <w:t xml:space="preserve">totals </w:t>
      </w:r>
      <w:r w:rsidR="00800FA8">
        <w:t xml:space="preserve">thus obtained </w:t>
      </w:r>
      <w:r>
        <w:t>w</w:t>
      </w:r>
      <w:r w:rsidR="00D61D4D">
        <w:t>ere</w:t>
      </w:r>
      <w:r>
        <w:t xml:space="preserve"> XXX and XXX for the GCFR and SWAFR</w:t>
      </w:r>
      <w:r w:rsidR="00D61D4D">
        <w:t>,</w:t>
      </w:r>
      <w:r>
        <w:t xml:space="preserve"> respectively.</w:t>
      </w:r>
      <w:r w:rsidR="000F699D">
        <w:t xml:space="preserve"> </w:t>
      </w:r>
      <w:r w:rsidR="000F59F5">
        <w:t>Using R, t</w:t>
      </w:r>
      <w:r w:rsidR="00A87D09">
        <w:t xml:space="preserve">he </w:t>
      </w:r>
      <w:r w:rsidR="000F59F5">
        <w:t xml:space="preserve">cleaned </w:t>
      </w:r>
      <w:r w:rsidR="000F59F5">
        <w:lastRenderedPageBreak/>
        <w:t xml:space="preserve">species occurrence record data were </w:t>
      </w:r>
      <w:r>
        <w:t xml:space="preserve">converted to </w:t>
      </w:r>
      <w:r w:rsidR="000F59F5">
        <w:t xml:space="preserve">QDS- and HDS-resolution </w:t>
      </w:r>
      <w:r>
        <w:t>raster-layers</w:t>
      </w:r>
      <w:r w:rsidR="000F59F5">
        <w:t xml:space="preserve"> for use in subsequent analyses</w:t>
      </w:r>
      <w:r>
        <w:t xml:space="preserve">. </w:t>
      </w:r>
      <w:r w:rsidR="000F59F5">
        <w:t xml:space="preserve">In addition, </w:t>
      </w:r>
      <w:r w:rsidR="003562E3">
        <w:t xml:space="preserve">following Whittaker’s (ref) original additive decomposition of </w:t>
      </w:r>
      <w:r w:rsidR="003562E3" w:rsidRPr="003562E3">
        <w:rPr>
          <w:rFonts w:cstheme="majorBidi"/>
          <w:i/>
        </w:rPr>
        <w:t>γ</w:t>
      </w:r>
      <w:r w:rsidR="003562E3">
        <w:t xml:space="preserve">-diversity, we decomposed the </w:t>
      </w:r>
      <w:r w:rsidR="000F59F5">
        <w:t>species richness</w:t>
      </w:r>
      <w:r>
        <w:t xml:space="preserve"> </w:t>
      </w:r>
      <w:r w:rsidR="000F59F5">
        <w:t xml:space="preserve">of </w:t>
      </w:r>
      <w:r w:rsidR="003562E3">
        <w:t>each</w:t>
      </w:r>
      <w:r w:rsidR="000F59F5">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t xml:space="preserve"> </w:t>
      </w:r>
    </w:p>
    <w:p w14:paraId="7E288C5F" w14:textId="77777777" w:rsidR="002E6995" w:rsidRDefault="007051DF" w:rsidP="002D283F">
      <w:pPr>
        <w:pStyle w:val="BodyText"/>
        <w:ind w:firstLine="720"/>
        <w:jc w:val="center"/>
        <w:rPr>
          <w:rFonts w:eastAsiaTheme="minorEastAsia"/>
        </w:rP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m:t>
          </m:r>
        </m:oMath>
      </m:oMathPara>
    </w:p>
    <w:p w14:paraId="7EEE77B7" w14:textId="7072C626" w:rsidR="00D04776" w:rsidRDefault="002D283F" w:rsidP="002E6995">
      <w:pPr>
        <w:pStyle w:val="BodyText"/>
        <w:ind w:firstLine="720"/>
        <w:jc w:val="right"/>
      </w:pPr>
      <w:r>
        <w:rPr>
          <w:rFonts w:eastAsiaTheme="minorEastAsia"/>
        </w:rPr>
        <w:t>(Equation 1)</w:t>
      </w:r>
    </w:p>
    <w:p w14:paraId="7E2DAD40" w14:textId="6C04204F" w:rsidR="00364F0A" w:rsidRPr="003D65D2" w:rsidRDefault="00364F0A" w:rsidP="00364F0A">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is the average species richness of the four constituent QDS</w:t>
      </w:r>
      <w:r w:rsidR="00EB1A1E">
        <w:t>,</w:t>
      </w:r>
      <w:r>
        <w:t xml:space="preserve"> and</w:t>
      </w:r>
      <w:r w:rsidR="00BC5EDB">
        <w:t xml:space="preserve"> </w:t>
      </w:r>
      <w:r w:rsidR="00BC5EDB">
        <w:rPr>
          <w:i/>
        </w:rPr>
        <w:t>T</w:t>
      </w:r>
      <w:r w:rsidR="00BC5EDB">
        <w:rPr>
          <w:vertAlign w:val="subscript"/>
        </w:rPr>
        <w:t>QDS</w:t>
      </w:r>
      <w:r w:rsidR="00BC5EDB">
        <w:t xml:space="preserve"> </w:t>
      </w:r>
      <w:r>
        <w:t xml:space="preserve">is </w:t>
      </w:r>
      <w:r w:rsidR="003D65D2">
        <w:t xml:space="preserve">the residual (i.e. turnover-based) richness, </w:t>
      </w:r>
      <w:r>
        <w:t>determined as</w:t>
      </w:r>
      <w:r w:rsidR="00BC5EDB">
        <w:t xml:space="preserve"> </w:t>
      </w:r>
      <w:r w:rsidR="00BC5EDB">
        <w:rPr>
          <w:i/>
        </w:rPr>
        <w:t>S</w:t>
      </w:r>
      <w:r w:rsidR="00BC5EDB">
        <w:rPr>
          <w:i/>
        </w:rPr>
        <w:softHyphen/>
      </w:r>
      <w:r w:rsidR="00BC5EDB">
        <w:rPr>
          <w:vertAlign w:val="subscript"/>
        </w:rPr>
        <w:t>HDS</w:t>
      </w:r>
      <w:r w:rsidR="00BC5EDB">
        <w:t xml:space="preserve"> </w:t>
      </w:r>
      <w:r w:rsidR="00BC5EDB">
        <w:softHyphen/>
        <w:t xml:space="preserv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rPr>
          <w:rFonts w:eastAsiaTheme="minorEastAsia"/>
        </w:rPr>
        <w:t>.</w:t>
      </w:r>
      <w:r w:rsidR="003D65D2">
        <w:rPr>
          <w:rFonts w:eastAsiaTheme="minorEastAsia"/>
        </w:rPr>
        <w:t xml:space="preserve">  </w:t>
      </w:r>
    </w:p>
    <w:p w14:paraId="2FF2F365" w14:textId="092EC089" w:rsidR="00DD2348" w:rsidRDefault="00970650" w:rsidP="00F8593E">
      <w:pPr>
        <w:pStyle w:val="Heading2"/>
      </w:pPr>
      <w:r>
        <w:t xml:space="preserve">2.2 </w:t>
      </w:r>
      <w:r w:rsidR="005F0FFB">
        <w:t>Comparing environmental heterogeneity</w:t>
      </w:r>
      <w:bookmarkEnd w:id="3"/>
    </w:p>
    <w:p w14:paraId="16702F9A" w14:textId="22763C36" w:rsidR="00DD2348" w:rsidRDefault="00B6082F">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303501">
        <w:t>ten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proofErr w:type="spellStart"/>
      <w:r w:rsidR="003B10FC">
        <w:t>mediterranean</w:t>
      </w:r>
      <w:proofErr w:type="spellEnd"/>
      <w:r w:rsidR="003B10FC">
        <w:t>-type climates (ref). Variable selection was, however, constrained by the availability of suitable raster-layers. Thus, although soil [P] is probably an important determinant of plant distribution in both the GCFR and SWAFR (refs),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3B10FC">
        <w:t xml:space="preserve"> </w:t>
      </w:r>
      <w:r w:rsidR="003F1CDD">
        <w:t>Where s</w:t>
      </w:r>
      <w:r w:rsidR="007612C7">
        <w:t>oil variables were summarized as</w:t>
      </w:r>
      <w:r w:rsidR="005F0FFB">
        <w:t xml:space="preserve"> depth-interval weighted average</w:t>
      </w:r>
      <w:r w:rsidR="007612C7">
        <w:t>s, climatic a</w:t>
      </w:r>
      <w:r w:rsidR="005F0FFB">
        <w:t xml:space="preserve">nd spectral </w:t>
      </w:r>
      <w:r w:rsidR="007612C7">
        <w:t>variables</w:t>
      </w:r>
      <w:r w:rsidR="005F0FFB">
        <w:t xml:space="preserve"> </w:t>
      </w:r>
      <w:r w:rsidR="003F1CDD">
        <w:t xml:space="preserve">were summarized </w:t>
      </w:r>
      <w:r w:rsidR="007612C7">
        <w:t>as</w:t>
      </w:r>
      <w:r w:rsidR="005F0FFB">
        <w:t xml:space="preserve"> </w:t>
      </w:r>
      <w:r w:rsidR="007612C7">
        <w:t>annual means</w:t>
      </w:r>
      <w:r w:rsidR="003F1CDD">
        <w:t xml:space="preserve"> using the “raster” package for R</w:t>
      </w:r>
      <w:r w:rsidR="000202B4">
        <w:t xml:space="preserve"> (</w:t>
      </w:r>
      <w:proofErr w:type="spellStart"/>
      <w:r w:rsidR="000202B4">
        <w:t>Hijmans</w:t>
      </w:r>
      <w:proofErr w:type="spellEnd"/>
      <w:r w:rsidR="000202B4">
        <w:t>, 2016)</w:t>
      </w:r>
      <w:r w:rsidR="003F1CDD">
        <w:t xml:space="preserve">. All layers were then </w:t>
      </w:r>
      <w:r w:rsidR="005F0FFB">
        <w:t>projected to a common coordinate reference system (WGS84; ref) using the “</w:t>
      </w:r>
      <w:proofErr w:type="spellStart"/>
      <w:r w:rsidR="005F0FFB">
        <w:t>rgdal</w:t>
      </w:r>
      <w:proofErr w:type="spellEnd"/>
      <w:r w:rsidR="005F0FFB">
        <w:t>” package</w:t>
      </w:r>
      <w:r w:rsidR="003F1CDD">
        <w:t xml:space="preserve"> (</w:t>
      </w:r>
      <w:proofErr w:type="spellStart"/>
      <w:r w:rsidR="003F1CDD">
        <w:t>Bivand</w:t>
      </w:r>
      <w:proofErr w:type="spellEnd"/>
      <w:r w:rsidR="003F1CDD">
        <w:t xml:space="preserve"> et al., 2017) and</w:t>
      </w:r>
      <w:r w:rsidR="005F0FFB">
        <w:t xml:space="preserve"> resampled to 0.05º resolution using the “resample” function in “raster</w:t>
      </w:r>
      <w:r w:rsidR="000202B4">
        <w:t>,</w:t>
      </w:r>
      <w:r w:rsidR="005F0FFB">
        <w:t xml:space="preserve">” with the “bilinear” method. </w:t>
      </w:r>
    </w:p>
    <w:p w14:paraId="68DEEC7A" w14:textId="4CC76EB5" w:rsidR="00DD2348" w:rsidRDefault="000C57CB">
      <w:pPr>
        <w:pStyle w:val="BodyText"/>
      </w:pPr>
      <w:r>
        <w:t>To quantify heterogeneity in the variables under study, w</w:t>
      </w:r>
      <w:r w:rsidR="005F0FFB">
        <w:t>e developed an index that would account for the spatial configuration of different environmental conditions</w:t>
      </w:r>
      <w:r w:rsidR="00E7429C">
        <w:t xml:space="preserve"> at a range of scales</w:t>
      </w:r>
      <w:r w:rsidR="005F0FFB">
        <w:t xml:space="preserve">. </w:t>
      </w:r>
      <w:r w:rsidR="005F0FFB">
        <w:lastRenderedPageBreak/>
        <w:t xml:space="preserve">Our index, </w:t>
      </w:r>
      <w:r w:rsidR="00DE5FA7">
        <w:t>based on</w:t>
      </w:r>
      <w:r w:rsidR="005F0FFB">
        <w:t xml:space="preserve"> raster data, employs a moving-window of nine pixels, </w:t>
      </w:r>
      <w:r w:rsidR="00E7429C">
        <w:t>comprising</w:t>
      </w:r>
      <w:r w:rsidR="005F0FFB">
        <w:t xml:space="preserve"> </w:t>
      </w:r>
      <w:r w:rsidR="00E7429C">
        <w:t xml:space="preserve">a focal pixel and its </w:t>
      </w:r>
      <w:r w:rsidR="005F0FFB">
        <w:t xml:space="preserve">eight </w:t>
      </w:r>
      <w:proofErr w:type="spellStart"/>
      <w:r w:rsidR="006D35C5">
        <w:t>neighbouring</w:t>
      </w:r>
      <w:proofErr w:type="spellEnd"/>
      <w:r w:rsidR="00E7429C">
        <w:t xml:space="preserve"> </w:t>
      </w:r>
      <w:r w:rsidR="005F0FFB">
        <w:t>pixels</w:t>
      </w:r>
      <w:r w:rsidR="00E7429C">
        <w:t>.</w:t>
      </w:r>
      <w:r w:rsidR="005F0FFB">
        <w:t xml:space="preserve"> </w:t>
      </w:r>
      <w:r w:rsidR="00153824">
        <w:t xml:space="preserve">The heterogeneity </w:t>
      </w:r>
      <w:r w:rsidR="00331CEC">
        <w:t>(</w:t>
      </w:r>
      <w:r w:rsidR="00331CEC" w:rsidRPr="00331CEC">
        <w:rPr>
          <w:i/>
        </w:rPr>
        <w:t>EH</w:t>
      </w:r>
      <w:r w:rsidR="00331CEC">
        <w:t xml:space="preserve">) </w:t>
      </w:r>
      <w:r w:rsidR="00153824">
        <w:t>of a pixel is determined as</w:t>
      </w:r>
      <w:r w:rsidR="005F0FFB">
        <w:t xml:space="preserve"> the </w:t>
      </w:r>
      <w:r w:rsidR="00153824">
        <w:t>mean</w:t>
      </w:r>
      <w:r w:rsidR="005F0FFB">
        <w:t xml:space="preserve"> magnitude of the difference between </w:t>
      </w:r>
      <w:r w:rsidR="00E7429C">
        <w:t xml:space="preserve">the </w:t>
      </w:r>
      <w:r w:rsidR="00C67A1C">
        <w:t xml:space="preserve">value of the </w:t>
      </w:r>
      <w:r w:rsidR="00E7429C">
        <w:t xml:space="preserve">focal pixel </w:t>
      </w:r>
      <w:r w:rsidR="00382BBB">
        <w:t>(</w:t>
      </w:r>
      <w:r w:rsidR="00C67A1C" w:rsidRPr="00C67A1C">
        <w:rPr>
          <w:i/>
        </w:rPr>
        <w:t>x</w:t>
      </w:r>
      <w:r w:rsidR="00C67A1C" w:rsidRPr="00C67A1C">
        <w:rPr>
          <w:vertAlign w:val="superscript"/>
        </w:rPr>
        <w:t>*</w:t>
      </w:r>
      <w:r w:rsidR="00382BBB">
        <w:t xml:space="preserve">) </w:t>
      </w:r>
      <w:r w:rsidR="00E7429C">
        <w:t xml:space="preserve">and </w:t>
      </w:r>
      <w:r w:rsidR="00C67A1C">
        <w:t xml:space="preserve">those of </w:t>
      </w:r>
      <w:r w:rsidR="00E7429C">
        <w:t xml:space="preserve">its </w:t>
      </w:r>
      <w:proofErr w:type="spellStart"/>
      <w:r w:rsidR="006D35C5">
        <w:t>neighbour</w:t>
      </w:r>
      <w:proofErr w:type="spellEnd"/>
      <w:r w:rsidR="00E7429C">
        <w:t xml:space="preserve"> pixels</w:t>
      </w:r>
      <w:r w:rsidR="00382BBB">
        <w:t xml:space="preserve"> </w:t>
      </w:r>
      <w:r w:rsidR="004D13EA">
        <w:t>(</w:t>
      </w:r>
      <w:r w:rsidR="004D13EA" w:rsidRPr="00E75D74">
        <w:rPr>
          <w:i/>
        </w:rPr>
        <w:t>x</w:t>
      </w:r>
      <w:r w:rsidR="004D13EA">
        <w:rPr>
          <w:vertAlign w:val="subscript"/>
        </w:rPr>
        <w:t>1</w:t>
      </w:r>
      <w:r w:rsidR="004D13EA">
        <w:t xml:space="preserve">, </w:t>
      </w:r>
      <w:r w:rsidR="004D13EA" w:rsidRPr="00E75D74">
        <w:rPr>
          <w:i/>
        </w:rPr>
        <w:t>x</w:t>
      </w:r>
      <w:r w:rsidR="004D13EA">
        <w:rPr>
          <w:vertAlign w:val="subscript"/>
        </w:rPr>
        <w:t>2</w:t>
      </w:r>
      <w:r w:rsidR="004D13EA">
        <w:t xml:space="preserve">, … </w:t>
      </w:r>
      <w:r w:rsidR="004D13EA" w:rsidRPr="00E75D74">
        <w:rPr>
          <w:i/>
        </w:rPr>
        <w:t>x</w:t>
      </w:r>
      <w:r w:rsidR="004D13EA">
        <w:rPr>
          <w:vertAlign w:val="subscript"/>
        </w:rPr>
        <w:t>8</w:t>
      </w:r>
      <w:r w:rsidR="00E75D74">
        <w:t>)</w:t>
      </w:r>
      <w:r w:rsidR="005F0FFB">
        <w:t xml:space="preserve"> as follows:</w:t>
      </w:r>
    </w:p>
    <w:p w14:paraId="227586EF" w14:textId="77777777" w:rsidR="004C331B" w:rsidRPr="00B13C22" w:rsidRDefault="00BB2557" w:rsidP="004C331B">
      <w:pPr>
        <w:pStyle w:val="BodyText"/>
        <w:ind w:left="720" w:firstLine="720"/>
        <w:rPr>
          <w:rFonts w:eastAsiaTheme="minorEastAsia"/>
        </w:rPr>
      </w:pPr>
      <m:oMathPara>
        <m:oMath>
          <m:r>
            <w:rPr>
              <w:rFonts w:ascii="Cambria Math" w:hAnsi="Cambria Math"/>
            </w:rPr>
            <m:t>EH</m:t>
          </m:r>
          <m:d>
            <m:dPr>
              <m:ctrlPr>
                <w:rPr>
                  <w:rFonts w:ascii="Cambria Math" w:hAnsi="Cambria Math"/>
                  <w:i/>
                </w:rPr>
              </m:ctrlPr>
            </m:dPr>
            <m:e>
              <m:sSup>
                <m:sSupPr>
                  <m:ctrlPr>
                    <w:rPr>
                      <w:rFonts w:ascii="Cambria Math" w:hAnsi="Cambria Math"/>
                    </w:rPr>
                  </m:ctrlPr>
                </m:sSupPr>
                <m:e>
                  <m: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3</m:t>
                        </m:r>
                      </m:sub>
                    </m:sSub>
                  </m:e>
                </m:mr>
                <m:mr>
                  <m:e>
                    <m:sSub>
                      <m:sSubPr>
                        <m:ctrlPr>
                          <w:rPr>
                            <w:rFonts w:ascii="Cambria Math" w:hAnsi="Cambria Math"/>
                          </w:rPr>
                        </m:ctrlPr>
                      </m:sSubPr>
                      <m:e>
                        <m:r>
                          <w:rPr>
                            <w:rFonts w:ascii="Cambria Math" w:hAnsi="Cambria Math"/>
                          </w:rPr>
                          <m:t>x</m:t>
                        </m:r>
                      </m:e>
                      <m:sub>
                        <m:r>
                          <w:rPr>
                            <w:rFonts w:ascii="Cambria Math" w:hAnsi="Cambria Math"/>
                          </w:rPr>
                          <m:t>4</m:t>
                        </m:r>
                      </m:sub>
                    </m:sSub>
                  </m:e>
                  <m:e>
                    <m:sSup>
                      <m:sSupPr>
                        <m:ctrlPr>
                          <w:rPr>
                            <w:rFonts w:ascii="Cambria Math" w:hAnsi="Cambria Math"/>
                          </w:rPr>
                        </m:ctrlPr>
                      </m:sSupPr>
                      <m:e>
                        <m:r>
                          <w:rPr>
                            <w:rFonts w:ascii="Cambria Math" w:hAnsi="Cambria Math"/>
                          </w:rPr>
                          <m:t>x</m:t>
                        </m:r>
                      </m:e>
                      <m:sup>
                        <m:r>
                          <w:rPr>
                            <w:rFonts w:ascii="Cambria Math" w:hAnsi="Cambria Math"/>
                          </w:rPr>
                          <m:t>*</m:t>
                        </m:r>
                      </m:sup>
                    </m:sSup>
                  </m:e>
                  <m:e>
                    <m:sSub>
                      <m:sSubPr>
                        <m:ctrlPr>
                          <w:rPr>
                            <w:rFonts w:ascii="Cambria Math" w:hAnsi="Cambria Math"/>
                          </w:rPr>
                        </m:ctrlPr>
                      </m:sSubPr>
                      <m:e>
                        <m:r>
                          <w:rPr>
                            <w:rFonts w:ascii="Cambria Math" w:hAnsi="Cambria Math"/>
                          </w:rPr>
                          <m:t>x</m:t>
                        </m:r>
                      </m:e>
                      <m:sub>
                        <m:r>
                          <w:rPr>
                            <w:rFonts w:ascii="Cambria Math" w:hAnsi="Cambria Math"/>
                          </w:rPr>
                          <m:t>5</m:t>
                        </m:r>
                      </m:sub>
                    </m:sSub>
                  </m:e>
                </m:mr>
                <m:mr>
                  <m:e>
                    <m:sSub>
                      <m:sSubPr>
                        <m:ctrlPr>
                          <w:rPr>
                            <w:rFonts w:ascii="Cambria Math" w:hAnsi="Cambria Math"/>
                          </w:rPr>
                        </m:ctrlPr>
                      </m:sSubPr>
                      <m:e>
                        <m:r>
                          <w:rPr>
                            <w:rFonts w:ascii="Cambria Math" w:hAnsi="Cambria Math"/>
                          </w:rPr>
                          <m:t>x</m:t>
                        </m:r>
                      </m:e>
                      <m:sub>
                        <m:r>
                          <w:rPr>
                            <w:rFonts w:ascii="Cambria Math" w:hAnsi="Cambria Math"/>
                          </w:rPr>
                          <m:t>6</m:t>
                        </m:r>
                      </m:sub>
                    </m:sSub>
                  </m:e>
                  <m:e>
                    <m:sSub>
                      <m:sSubPr>
                        <m:ctrlPr>
                          <w:rPr>
                            <w:rFonts w:ascii="Cambria Math" w:hAnsi="Cambria Math"/>
                          </w:rPr>
                        </m:ctrlPr>
                      </m:sSubPr>
                      <m:e>
                        <m:r>
                          <w:rPr>
                            <w:rFonts w:ascii="Cambria Math" w:hAnsi="Cambria Math"/>
                          </w:rPr>
                          <m:t>x</m:t>
                        </m:r>
                      </m:e>
                      <m:sub>
                        <m:r>
                          <w:rPr>
                            <w:rFonts w:ascii="Cambria Math" w:hAnsi="Cambria Math"/>
                          </w:rPr>
                          <m:t>7</m:t>
                        </m:r>
                      </m:sub>
                    </m:sSub>
                  </m:e>
                  <m:e>
                    <m:sSub>
                      <m:sSubPr>
                        <m:ctrlPr>
                          <w:rPr>
                            <w:rFonts w:ascii="Cambria Math" w:hAnsi="Cambria Math"/>
                          </w:rPr>
                        </m:ctrlPr>
                      </m:sSubPr>
                      <m:e>
                        <m:r>
                          <w:rPr>
                            <w:rFonts w:ascii="Cambria Math" w:hAnsi="Cambria Math"/>
                          </w:rPr>
                          <m:t>x</m:t>
                        </m:r>
                      </m:e>
                      <m:sub>
                        <m:r>
                          <w:rPr>
                            <w:rFonts w:ascii="Cambria Math" w:hAnsi="Cambria Math"/>
                          </w:rPr>
                          <m:t>8</m:t>
                        </m:r>
                      </m:sub>
                    </m:sSub>
                  </m:e>
                </m:mr>
              </m:m>
            </m:e>
          </m:d>
        </m:oMath>
      </m:oMathPara>
    </w:p>
    <w:p w14:paraId="4FBAFCB0" w14:textId="77777777" w:rsidR="009A20D3" w:rsidRPr="00B13C22" w:rsidRDefault="004C331B" w:rsidP="009A20D3">
      <w:pPr>
        <w:pStyle w:val="BodyText"/>
        <w:ind w:left="1440" w:firstLine="720"/>
        <w:rPr>
          <w:rFonts w:eastAsiaTheme="minorEastAsia"/>
        </w:rPr>
      </w:pPr>
      <m:oMathPara>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8</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t>
              </m:r>
            </m:e>
          </m:nary>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m:t>
          </m:r>
        </m:oMath>
      </m:oMathPara>
    </w:p>
    <w:p w14:paraId="4B22F3BD" w14:textId="113C41F5" w:rsidR="00DD2348" w:rsidRPr="004C331B" w:rsidRDefault="002D283F" w:rsidP="009A20D3">
      <w:pPr>
        <w:pStyle w:val="BodyText"/>
        <w:jc w:val="right"/>
        <w:rPr>
          <w:rFonts w:eastAsiaTheme="minorEastAsia"/>
        </w:rPr>
      </w:pPr>
      <w:r>
        <w:rPr>
          <w:rFonts w:eastAsiaTheme="minorEastAsia"/>
        </w:rPr>
        <w:t>(Equation 2)</w:t>
      </w:r>
    </w:p>
    <w:p w14:paraId="7BCE38E8" w14:textId="77777777" w:rsidR="007E72DA" w:rsidRDefault="00E7429C" w:rsidP="007E72DA">
      <w:pPr>
        <w:pStyle w:val="FirstParagraph"/>
      </w:pPr>
      <w:r>
        <w:t xml:space="preserve">We implemented this measure of </w:t>
      </w:r>
      <w:r w:rsidR="007E72DA">
        <w:t>heterogeneity</w:t>
      </w:r>
      <w:r>
        <w:t xml:space="preserve"> using the “focal” function in the R package “raster” (</w:t>
      </w:r>
      <w:proofErr w:type="spellStart"/>
      <w:r>
        <w:t>Hijmans</w:t>
      </w:r>
      <w:proofErr w:type="spellEnd"/>
      <w:r>
        <w:t>, 2016), applying it only to</w:t>
      </w:r>
      <w:r w:rsidR="005F0FFB">
        <w:t xml:space="preserve"> pixels ha</w:t>
      </w:r>
      <w:r>
        <w:t>ving</w:t>
      </w:r>
      <w:r w:rsidR="005F0FFB">
        <w:t xml:space="preserve"> at least one </w:t>
      </w:r>
      <w:proofErr w:type="spellStart"/>
      <w:r w:rsidR="005F0FFB">
        <w:t>neighbour</w:t>
      </w:r>
      <w:proofErr w:type="spellEnd"/>
      <w:r w:rsidR="005F0FFB">
        <w:t xml:space="preserve"> pixel. </w:t>
      </w:r>
    </w:p>
    <w:p w14:paraId="7CF2F70C" w14:textId="316A2819" w:rsidR="002D283F" w:rsidRDefault="000C57CB" w:rsidP="007E72DA">
      <w:pPr>
        <w:pStyle w:val="FirstParagraph"/>
      </w:pPr>
      <w:r>
        <w:t xml:space="preserve">Since </w:t>
      </w:r>
      <w:r w:rsidR="005F0FFB">
        <w:t>spatial scale is an important consideration in ecological studies (refs)</w:t>
      </w:r>
      <w:r>
        <w:t xml:space="preserve">, </w:t>
      </w:r>
      <w:r w:rsidR="007948F4">
        <w:t>environmental heterogeneity</w:t>
      </w:r>
      <w:r w:rsidR="005F0FFB">
        <w:t xml:space="preserve"> </w:t>
      </w:r>
      <w:r>
        <w:t>was considered</w:t>
      </w:r>
      <w:r w:rsidR="005F0FFB">
        <w:t xml:space="preserve"> </w:t>
      </w:r>
      <w:r w:rsidR="003913A0">
        <w:t>at</w:t>
      </w:r>
      <w:r w:rsidR="005F0FFB">
        <w:t xml:space="preserve"> five spatial scales: 0.05º x 0.05º squares (the finest common resolution among the environmental data sources used), eighth degree squares (EDS), QDS, HDS and three-quarter degree squares (3QDS) (</w:t>
      </w:r>
      <w:proofErr w:type="spellStart"/>
      <w:r w:rsidR="005F0FFB">
        <w:t>sensu</w:t>
      </w:r>
      <w:proofErr w:type="spellEnd"/>
      <w:r w:rsidR="005F0FFB">
        <w:t xml:space="preserve"> Larsen et al., 2009). To do this, the absolute environmental raster data were </w:t>
      </w:r>
      <w:r w:rsidR="002D283F">
        <w:t xml:space="preserve">first </w:t>
      </w:r>
      <w:r w:rsidR="005F0FFB">
        <w:t>aggregated to broader spatial scales from 0.05º x 0.05º, using the “aggregate” function in “raster” (</w:t>
      </w:r>
      <w:proofErr w:type="spellStart"/>
      <w:r w:rsidR="005F0FFB">
        <w:t>Hijmans</w:t>
      </w:r>
      <w:proofErr w:type="spellEnd"/>
      <w:r w:rsidR="005F0FFB">
        <w:t xml:space="preserve">, 2016), with the “mean” method. We then converted these to </w:t>
      </w:r>
      <w:proofErr w:type="spellStart"/>
      <w:r w:rsidR="005F0FFB">
        <w:t>rasters</w:t>
      </w:r>
      <w:proofErr w:type="spellEnd"/>
      <w:r w:rsidR="005F0FFB">
        <w:t xml:space="preserve"> of </w:t>
      </w:r>
      <w:r w:rsidR="007948F4">
        <w:t>environmental heterogeneity</w:t>
      </w:r>
      <w:r w:rsidR="005F0FFB">
        <w:t xml:space="preserve"> using Equation </w:t>
      </w:r>
      <w:r w:rsidR="002D283F">
        <w:t>2</w:t>
      </w:r>
      <w:r w:rsidR="005F0FFB">
        <w:t>.</w:t>
      </w:r>
    </w:p>
    <w:p w14:paraId="4910D4CC" w14:textId="5689DC73" w:rsidR="00DD2348" w:rsidRDefault="005F0FFB">
      <w:pPr>
        <w:pStyle w:val="BodyText"/>
      </w:pPr>
      <w:r>
        <w:t xml:space="preserve">Finally, we </w:t>
      </w:r>
      <w:r w:rsidR="00FD3C3A">
        <w:t>used principal components analysis (PCA), applied to the ten environmental variables across both regions, to derive a measure of</w:t>
      </w:r>
      <w:r>
        <w:t xml:space="preserve"> overall </w:t>
      </w:r>
      <w:r w:rsidR="007948F4">
        <w:t>environmental heterogeneity</w:t>
      </w:r>
      <w:r>
        <w:t xml:space="preserve">. </w:t>
      </w:r>
      <w:r w:rsidR="00F358D2">
        <w:t xml:space="preserve">For this purpose, the layers describing heterogeneity in the ten environmental variables at each spatial scale first </w:t>
      </w:r>
      <w:proofErr w:type="gramStart"/>
      <w:r w:rsidR="00F358D2">
        <w:t>log(</w:t>
      </w:r>
      <w:proofErr w:type="gramEnd"/>
      <w:r w:rsidR="00F358D2" w:rsidRPr="00F358D2">
        <w:rPr>
          <w:i/>
        </w:rPr>
        <w:t>x</w:t>
      </w:r>
      <w:r w:rsidR="00F358D2">
        <w:t xml:space="preserve"> + 1) transformed to ensure normality and then subjected to PCA. A separate PCA was done for</w:t>
      </w:r>
      <w:r>
        <w:t xml:space="preserve"> each </w:t>
      </w:r>
      <w:r w:rsidR="00FD3C3A">
        <w:t>spatial scale</w:t>
      </w:r>
      <w:r w:rsidR="00F358D2">
        <w:t xml:space="preserve">. </w:t>
      </w:r>
      <w:r>
        <w:t xml:space="preserve">The first </w:t>
      </w:r>
      <w:r w:rsidR="00E52A66">
        <w:t>axis</w:t>
      </w:r>
      <w:r>
        <w:t xml:space="preserve"> </w:t>
      </w:r>
      <w:r w:rsidR="002B0F5B">
        <w:t xml:space="preserve">(PC1) </w:t>
      </w:r>
      <w:r w:rsidR="00E52A66">
        <w:t xml:space="preserve">extracted </w:t>
      </w:r>
      <w:r>
        <w:t xml:space="preserve">from each of the five PCAs represents the major axis of heterogeneity </w:t>
      </w:r>
      <w:r w:rsidR="00E52A66">
        <w:t xml:space="preserve">across </w:t>
      </w:r>
      <w:r>
        <w:t xml:space="preserve">the </w:t>
      </w:r>
      <w:r w:rsidR="00E52A66">
        <w:t xml:space="preserve">ten </w:t>
      </w:r>
      <w:r>
        <w:t xml:space="preserve">environmental </w:t>
      </w:r>
      <w:r w:rsidR="00E52A66">
        <w:t xml:space="preserve">variables </w:t>
      </w:r>
      <w:r>
        <w:t xml:space="preserve">considered </w:t>
      </w:r>
      <w:r w:rsidR="00E52A66">
        <w:t>in this study</w:t>
      </w:r>
      <w:r>
        <w:t>.</w:t>
      </w:r>
    </w:p>
    <w:p w14:paraId="043425BC" w14:textId="3FD53518" w:rsidR="007E72DA" w:rsidRPr="003D414F" w:rsidRDefault="007E72DA">
      <w:pPr>
        <w:pStyle w:val="BodyText"/>
      </w:pPr>
      <w:r w:rsidRPr="003D414F">
        <w:rPr>
          <w:highlight w:val="yellow"/>
        </w:rPr>
        <w:t xml:space="preserve">We need </w:t>
      </w:r>
      <w:r w:rsidR="002930F3" w:rsidRPr="003D414F">
        <w:rPr>
          <w:highlight w:val="yellow"/>
        </w:rPr>
        <w:t xml:space="preserve">here </w:t>
      </w:r>
      <w:r w:rsidRPr="003D414F">
        <w:rPr>
          <w:highlight w:val="yellow"/>
        </w:rPr>
        <w:t>an explanation of the method used to compare heterogeneity of the ten variables and the major axis of heterogeneity between the two regions.</w:t>
      </w:r>
    </w:p>
    <w:p w14:paraId="362E99FC" w14:textId="44EC99A1" w:rsidR="00DD2348" w:rsidRDefault="00DD7307">
      <w:pPr>
        <w:pStyle w:val="Heading2"/>
      </w:pPr>
      <w:bookmarkStart w:id="4" w:name="environmental-heterogeneity-as-an-explan"/>
      <w:r>
        <w:lastRenderedPageBreak/>
        <w:t xml:space="preserve">2.3 </w:t>
      </w:r>
      <w:r w:rsidR="005F0FFB">
        <w:t>Environmental heterogeneity as an explanation of species richness</w:t>
      </w:r>
      <w:bookmarkEnd w:id="4"/>
    </w:p>
    <w:p w14:paraId="34D62F9D" w14:textId="3642E169" w:rsidR="00DD2348" w:rsidRDefault="00842DF6" w:rsidP="00C53D2C">
      <w:pPr>
        <w:pStyle w:val="FirstParagraph"/>
      </w:pPr>
      <w:r>
        <w:t>In the absence of</w:t>
      </w:r>
      <w:r w:rsidR="00FE3E67">
        <w:t xml:space="preserve"> strong nonlinearity of the relationships between environmental heterogeneity (</w:t>
      </w:r>
      <w:r>
        <w:t xml:space="preserve">in </w:t>
      </w:r>
      <w:r w:rsidR="00FE3E67">
        <w:t>the ten selected variables</w:t>
      </w:r>
      <w:r>
        <w:t>,</w:t>
      </w:r>
      <w:r w:rsidR="00FE3E67">
        <w:t xml:space="preserve"> and the major heterogen</w:t>
      </w:r>
      <w:r>
        <w:t>e</w:t>
      </w:r>
      <w:r w:rsidR="00FE3E67">
        <w:t>ity axis represented by PC1) and species richness at either the QDS</w:t>
      </w:r>
      <w:r w:rsidR="00A95D88">
        <w:t>-</w:t>
      </w:r>
      <w:r w:rsidR="00FE3E67">
        <w:t xml:space="preserve"> or HDS</w:t>
      </w:r>
      <w:r w:rsidR="00A95D88">
        <w:t>-</w:t>
      </w:r>
      <w:r w:rsidR="00FE3E67">
        <w:t>scale, we used linear models</w:t>
      </w:r>
      <w:r>
        <w:t>, at both the QDS- and HDS-scales,</w:t>
      </w:r>
      <w:r w:rsidR="00FE3E67">
        <w:t xml:space="preserve"> 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 xml:space="preserve">the species richness data collated at the QDS- and HDS-scales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 xml:space="preserve">. </w:t>
      </w:r>
      <w:r>
        <w:t xml:space="preserve">Since the moving-window </w:t>
      </w:r>
      <w:r w:rsidR="00647F5C">
        <w:t>approach to</w:t>
      </w:r>
      <w:r>
        <w:t xml:space="preserve"> </w:t>
      </w:r>
      <w:r w:rsidR="00647F5C">
        <w:t xml:space="preserve">determining heterogeneity (outlined above) quantifies the </w:t>
      </w:r>
      <w:r w:rsidR="00B44249">
        <w:t xml:space="preserve">mean </w:t>
      </w:r>
      <w:r w:rsidR="00647F5C">
        <w:t xml:space="preserve">difference </w:t>
      </w:r>
      <w:r w:rsidR="00B44249">
        <w:t>of</w:t>
      </w:r>
      <w:r w:rsidR="00647F5C">
        <w:t xml:space="preserve"> a </w:t>
      </w:r>
      <w:proofErr w:type="gramStart"/>
      <w:r w:rsidR="00647F5C">
        <w:t>particular pixel</w:t>
      </w:r>
      <w:proofErr w:type="gramEnd"/>
      <w:r w:rsidR="00647F5C">
        <w:t xml:space="preserve"> (e.g. </w:t>
      </w:r>
      <w:r w:rsidR="00B44249">
        <w:t>Q</w:t>
      </w:r>
      <w:r w:rsidR="00647F5C">
        <w:t xml:space="preserve">DS or HDS) </w:t>
      </w:r>
      <w:r w:rsidR="00B44249">
        <w:t>from</w:t>
      </w:r>
      <w:r w:rsidR="00647F5C">
        <w:t xml:space="preserve"> its </w:t>
      </w:r>
      <w:r w:rsidR="00AE08F6">
        <w:t>eight</w:t>
      </w:r>
      <w:r w:rsidR="00647F5C">
        <w:t xml:space="preserve"> </w:t>
      </w:r>
      <w:proofErr w:type="spellStart"/>
      <w:r w:rsidR="00647F5C">
        <w:t>neighbours</w:t>
      </w:r>
      <w:proofErr w:type="spellEnd"/>
      <w:r w:rsidR="00B44249">
        <w:t>,</w:t>
      </w:r>
      <w:r w:rsidR="00647F5C">
        <w:t xml:space="preserve"> rather than its internal heterogeneity, </w:t>
      </w:r>
      <w:r w:rsidR="00B44249">
        <w:t xml:space="preserve">we </w:t>
      </w:r>
      <w:r w:rsidR="00331CEC">
        <w:t>developed</w:t>
      </w:r>
      <w:r w:rsidR="00B44249">
        <w:t xml:space="preserve"> a different measure of heterogeneity for</w:t>
      </w:r>
      <w:r w:rsidR="00647F5C">
        <w:t xml:space="preserve"> the purpose of relating pixel species richness to </w:t>
      </w:r>
      <w:r w:rsidR="00357472">
        <w:t xml:space="preserve">internal </w:t>
      </w:r>
      <w:r w:rsidR="00647F5C">
        <w:t>pixel heterogeneity</w:t>
      </w:r>
      <w:r w:rsidR="00B44249">
        <w:t xml:space="preserve">. </w:t>
      </w:r>
      <w:r w:rsidR="00331CEC">
        <w:t xml:space="preserve">Under this measure, each pixel is </w:t>
      </w:r>
      <w:r w:rsidR="00C53D2C">
        <w:t>treated as comprising</w:t>
      </w:r>
      <w:r w:rsidR="00331CEC">
        <w:t xml:space="preserve"> four </w:t>
      </w:r>
      <w:r w:rsidR="00C53D2C">
        <w:t xml:space="preserve">subpixels </w:t>
      </w:r>
      <w:r w:rsidR="00331CEC">
        <w:t>(e.g. four QDS</w:t>
      </w:r>
      <w:r w:rsidR="00C53D2C">
        <w:t xml:space="preserve"> in an HDS; four EDS in a QDS) and the </w:t>
      </w:r>
      <w:r w:rsidR="00331CEC">
        <w:t>environmental heterogeneity (</w:t>
      </w:r>
      <w:r w:rsidR="00331CEC" w:rsidRPr="00C53D2C">
        <w:rPr>
          <w:i/>
        </w:rPr>
        <w:t>EH</w:t>
      </w:r>
      <w:r w:rsidR="00331CEC">
        <w:t xml:space="preserve">) </w:t>
      </w:r>
      <w:r w:rsidR="00C53D2C">
        <w:t xml:space="preserve">is </w:t>
      </w:r>
      <w:r w:rsidR="00331CEC">
        <w:t>determined as</w:t>
      </w:r>
      <w:r w:rsidR="005F0FFB">
        <w:t xml:space="preserve"> the mean absolute difference </w:t>
      </w:r>
      <w:r w:rsidR="00106E88">
        <w:t xml:space="preserve">between </w:t>
      </w:r>
      <w:r w:rsidR="00C53D2C">
        <w:t xml:space="preserve">the value of each constituent subpixel </w:t>
      </w:r>
      <w:r w:rsidR="005F0FFB">
        <w:t xml:space="preserve">and the other three </w:t>
      </w:r>
      <w:r w:rsidR="00F80567">
        <w:t xml:space="preserve">subpixels within the more inclusive pixel. </w:t>
      </w:r>
      <w:r w:rsidR="00106E88">
        <w:t>Specifically,</w:t>
      </w:r>
    </w:p>
    <w:p w14:paraId="1360848A" w14:textId="77777777" w:rsidR="001D4356" w:rsidRPr="00D03561" w:rsidRDefault="001D4356" w:rsidP="001D4356">
      <w:pPr>
        <w:pStyle w:val="BodyText"/>
        <w:ind w:left="720" w:firstLine="720"/>
        <w:rPr>
          <w:rFonts w:eastAsiaTheme="minorEastAsia"/>
        </w:rPr>
      </w:pPr>
      <m:oMathPara>
        <m:oMath>
          <m:r>
            <w:rPr>
              <w:rFonts w:ascii="Cambria Math" w:hAnsi="Cambria Math"/>
            </w:rPr>
            <m:t>EH</m:t>
          </m:r>
          <m:d>
            <m:dPr>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x</m:t>
                        </m:r>
                      </m:e>
                      <m:sub>
                        <m:r>
                          <w:rPr>
                            <w:rFonts w:ascii="Cambria Math" w:hAnsi="Cambria Math"/>
                          </w:rPr>
                          <m:t>4</m:t>
                        </m:r>
                      </m:sub>
                    </m:sSub>
                  </m:e>
                </m:mr>
              </m:m>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f</m:t>
              </m:r>
            </m:e>
          </m:nary>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32D547E5" w14:textId="0E3C50BE" w:rsidR="00A17592" w:rsidRPr="00D03561" w:rsidRDefault="001D4356" w:rsidP="0056633D">
      <w:pPr>
        <w:pStyle w:val="BodyText"/>
        <w:ind w:left="2160" w:firstLine="720"/>
        <w:rPr>
          <w:rFonts w:eastAsiaTheme="minorEastAsia"/>
        </w:rPr>
      </w:pPr>
      <m:oMathPara>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nary>
                    <m:naryPr>
                      <m:chr m:val="∑"/>
                      <m:limLoc m:val="undOvr"/>
                      <m:supHide m:val="1"/>
                      <m:ctrlPr>
                        <w:rPr>
                          <w:rFonts w:ascii="Cambria Math" w:hAnsi="Cambria Math"/>
                        </w:rPr>
                      </m:ctrlPr>
                    </m:naryPr>
                    <m:sub>
                      <m:r>
                        <w:rPr>
                          <w:rFonts w:ascii="Cambria Math" w:hAnsi="Cambria Math"/>
                        </w:rPr>
                        <m:t>j≠i</m:t>
                      </m:r>
                    </m:sub>
                    <m:sup>
                      <m:r>
                        <w:rPr>
                          <w:rFonts w:ascii="Cambria Math" w:hAnsi="Cambria Math"/>
                        </w:rPr>
                        <m:t>​</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nary>
          <m:r>
            <w:rPr>
              <w:rFonts w:ascii="Cambria Math" w:hAnsi="Cambria Math"/>
            </w:rPr>
            <m:t>.</m:t>
          </m:r>
        </m:oMath>
      </m:oMathPara>
    </w:p>
    <w:p w14:paraId="17ED766D" w14:textId="2FF05AB9" w:rsidR="00DD2348" w:rsidRPr="00A17592" w:rsidRDefault="00F80567" w:rsidP="00A17592">
      <w:pPr>
        <w:pStyle w:val="BodyText"/>
        <w:jc w:val="right"/>
        <w:rPr>
          <w:rFonts w:eastAsiaTheme="minorEastAsia"/>
        </w:rPr>
      </w:pPr>
      <w:r>
        <w:rPr>
          <w:rFonts w:eastAsiaTheme="minorEastAsia"/>
        </w:rPr>
        <w:t>(</w:t>
      </w:r>
      <w:r w:rsidR="00BB3791">
        <w:rPr>
          <w:rFonts w:eastAsiaTheme="minorEastAsia"/>
        </w:rPr>
        <w:t>Equation 3</w:t>
      </w:r>
      <w:r>
        <w:rPr>
          <w:rFonts w:eastAsiaTheme="minorEastAsia"/>
        </w:rPr>
        <w:t>)</w:t>
      </w:r>
    </w:p>
    <w:p w14:paraId="0CE33B4D" w14:textId="77777777" w:rsidR="0040493A" w:rsidRDefault="005042D0" w:rsidP="005042D0">
      <w:pPr>
        <w:pStyle w:val="FirstParagraph"/>
      </w:pPr>
      <w:r>
        <w:t>As for the moving-window measure of heterogeneity, t</w:t>
      </w:r>
      <w:r w:rsidR="005F0FFB">
        <w:t>he</w:t>
      </w:r>
      <w:r>
        <w:t xml:space="preserve"> heterogeneities of the ten selected environmental variables</w:t>
      </w:r>
      <w:r w:rsidR="005F0FFB">
        <w:t xml:space="preserve"> </w:t>
      </w:r>
      <w:r w:rsidR="00357472">
        <w:t xml:space="preserve">were </w:t>
      </w:r>
      <w:proofErr w:type="gramStart"/>
      <w:r w:rsidR="005F0FFB">
        <w:t>log(</w:t>
      </w:r>
      <w:proofErr w:type="gramEnd"/>
      <w:r w:rsidR="005F0FFB" w:rsidRPr="005042D0">
        <w:rPr>
          <w:i/>
        </w:rPr>
        <w:t>x</w:t>
      </w:r>
      <w:r w:rsidR="005F0FFB">
        <w:t xml:space="preserve"> + 1)-transformed </w:t>
      </w:r>
      <w:r>
        <w:t>and subjected to</w:t>
      </w:r>
      <w:r w:rsidR="005F0FFB">
        <w:t xml:space="preserve"> PCA to </w:t>
      </w:r>
      <w:r>
        <w:t>yield a major axis of environmental heterogeneity (PC1).</w:t>
      </w:r>
    </w:p>
    <w:p w14:paraId="5DB6CA6B" w14:textId="7D2E4063" w:rsidR="00037267" w:rsidRPr="004632FE" w:rsidRDefault="0040493A" w:rsidP="005042D0">
      <w:pPr>
        <w:pStyle w:val="FirstParagraph"/>
        <w:rPr>
          <w:highlight w:val="yellow"/>
        </w:rPr>
      </w:pPr>
      <w:r w:rsidRPr="004632FE">
        <w:rPr>
          <w:highlight w:val="yellow"/>
        </w:rPr>
        <w:t xml:space="preserve">To test the dependence of species richness on environmental heterogeneity and to assess whether the form of this dependence is identical across the two regions, we fitted </w:t>
      </w:r>
      <w:r w:rsidR="00037267" w:rsidRPr="004632FE">
        <w:rPr>
          <w:highlight w:val="yellow"/>
        </w:rPr>
        <w:t xml:space="preserve">simple and multiple </w:t>
      </w:r>
      <w:r w:rsidRPr="004632FE">
        <w:rPr>
          <w:highlight w:val="yellow"/>
        </w:rPr>
        <w:t xml:space="preserve">linear </w:t>
      </w:r>
      <w:r w:rsidR="00037267" w:rsidRPr="004632FE">
        <w:rPr>
          <w:highlight w:val="yellow"/>
        </w:rPr>
        <w:t xml:space="preserve">regression </w:t>
      </w:r>
      <w:r w:rsidRPr="004632FE">
        <w:rPr>
          <w:highlight w:val="yellow"/>
        </w:rPr>
        <w:t xml:space="preserve">models </w:t>
      </w:r>
      <w:r w:rsidR="00037267" w:rsidRPr="004632FE">
        <w:rPr>
          <w:highlight w:val="yellow"/>
        </w:rPr>
        <w:t xml:space="preserve">specifying </w:t>
      </w:r>
      <m:oMath>
        <m:sSub>
          <m:sSubPr>
            <m:ctrlPr>
              <w:rPr>
                <w:rFonts w:ascii="Cambria Math" w:hAnsi="Cambria Math"/>
                <w:highlight w:val="yellow"/>
              </w:rPr>
            </m:ctrlPr>
          </m:sSubPr>
          <m:e>
            <m:r>
              <w:rPr>
                <w:rFonts w:ascii="Cambria Math" w:hAnsi="Cambria Math"/>
                <w:highlight w:val="yellow"/>
              </w:rPr>
              <m:t>S</m:t>
            </m:r>
          </m:e>
          <m:sub>
            <m:r>
              <m:rPr>
                <m:sty m:val="p"/>
              </m:rPr>
              <w:rPr>
                <w:rFonts w:ascii="Cambria Math" w:hAnsi="Cambria Math"/>
                <w:highlight w:val="yellow"/>
              </w:rPr>
              <m:t>HDS</m:t>
            </m:r>
          </m:sub>
        </m:sSub>
      </m:oMath>
      <w:r w:rsidR="00037267" w:rsidRPr="004632FE">
        <w:rPr>
          <w:highlight w:val="yellow"/>
        </w:rPr>
        <w:t xml:space="preserve"> or </w:t>
      </w:r>
      <m:oMath>
        <m:sSub>
          <m:sSubPr>
            <m:ctrlPr>
              <w:rPr>
                <w:rFonts w:ascii="Cambria Math" w:hAnsi="Cambria Math"/>
                <w:highlight w:val="yellow"/>
              </w:rPr>
            </m:ctrlPr>
          </m:sSubPr>
          <m:e>
            <m:r>
              <w:rPr>
                <w:rFonts w:ascii="Cambria Math" w:hAnsi="Cambria Math"/>
                <w:highlight w:val="yellow"/>
              </w:rPr>
              <m:t>S</m:t>
            </m:r>
          </m:e>
          <m:sub>
            <m:r>
              <m:rPr>
                <m:sty m:val="p"/>
              </m:rPr>
              <w:rPr>
                <w:rFonts w:ascii="Cambria Math" w:hAnsi="Cambria Math"/>
                <w:highlight w:val="yellow"/>
              </w:rPr>
              <m:t>QDS</m:t>
            </m:r>
          </m:sub>
        </m:sSub>
      </m:oMath>
      <w:r w:rsidR="00037267" w:rsidRPr="004632FE">
        <w:rPr>
          <w:rFonts w:eastAsiaTheme="minorEastAsia"/>
          <w:highlight w:val="yellow"/>
        </w:rPr>
        <w:t xml:space="preserve"> as a function of environmental heterogeneity. </w:t>
      </w:r>
      <w:r w:rsidR="005527B5" w:rsidRPr="004632FE">
        <w:rPr>
          <w:rFonts w:eastAsiaTheme="minorEastAsia"/>
          <w:highlight w:val="yellow"/>
        </w:rPr>
        <w:t>In each instance, we fitted three models, an</w:t>
      </w:r>
      <w:r w:rsidR="001B6D6F">
        <w:rPr>
          <w:rFonts w:eastAsiaTheme="minorEastAsia"/>
          <w:highlight w:val="yellow"/>
        </w:rPr>
        <w:t xml:space="preserve"> …</w:t>
      </w:r>
    </w:p>
    <w:p w14:paraId="674AF808" w14:textId="7AA0EBFB" w:rsidR="00F614B4" w:rsidRDefault="005F0FFB" w:rsidP="005042D0">
      <w:pPr>
        <w:pStyle w:val="FirstParagraph"/>
      </w:pPr>
      <w:r w:rsidRPr="004632FE">
        <w:rPr>
          <w:highlight w:val="yellow"/>
        </w:rPr>
        <w:lastRenderedPageBreak/>
        <w:t xml:space="preserve">In order to understand the relationships between environmental heterogeneity and species richness differ between the GCFR and SWAFR, we fit both simple and multiple linear regression models as functions of </w:t>
      </w:r>
      <w:r w:rsidR="007948F4" w:rsidRPr="004632FE">
        <w:rPr>
          <w:highlight w:val="yellow"/>
        </w:rPr>
        <w:t>environmental heterogeneity</w:t>
      </w:r>
      <w:r w:rsidRPr="004632FE">
        <w:rPr>
          <w:highlight w:val="yellow"/>
        </w:rPr>
        <w:t xml:space="preserve"> values. The rationale of the univariate models was to describe empirical patterns of covariance between </w:t>
      </w:r>
      <w:proofErr w:type="gramStart"/>
      <w:r w:rsidRPr="004632FE">
        <w:rPr>
          <w:highlight w:val="yellow"/>
        </w:rPr>
        <w:t>the each</w:t>
      </w:r>
      <w:proofErr w:type="gramEnd"/>
      <w:r w:rsidRPr="004632FE">
        <w:rPr>
          <w:highlight w:val="yellow"/>
        </w:rPr>
        <w:t xml:space="preserve"> axis of </w:t>
      </w:r>
      <w:r w:rsidR="007948F4" w:rsidRPr="004632FE">
        <w:rPr>
          <w:highlight w:val="yellow"/>
        </w:rPr>
        <w:t>environmental heterogeneity</w:t>
      </w:r>
      <w:r w:rsidRPr="004632FE">
        <w:rPr>
          <w:highlight w:val="yellow"/>
        </w:rPr>
        <w:t xml:space="preserve"> and species richness. The multivariate models allow us to account for differences in richness across multiple axes of </w:t>
      </w:r>
      <w:r w:rsidR="007948F4" w:rsidRPr="004632FE">
        <w:rPr>
          <w:highlight w:val="yellow"/>
        </w:rPr>
        <w:t>environmental heterogeneity</w:t>
      </w:r>
      <w:r w:rsidRPr="004632FE">
        <w:rPr>
          <w:highlight w:val="yellow"/>
        </w:rPr>
        <w:t xml:space="preserve"> simultaneously.</w:t>
      </w:r>
    </w:p>
    <w:p w14:paraId="5B8B0085" w14:textId="1E635DD3" w:rsidR="00D04776" w:rsidRDefault="00DD7307" w:rsidP="00D04776">
      <w:pPr>
        <w:pStyle w:val="Heading1"/>
      </w:pPr>
      <w:bookmarkStart w:id="5" w:name="results"/>
      <w:r>
        <w:t xml:space="preserve">3 </w:t>
      </w:r>
      <w:r w:rsidR="00D04776">
        <w:t>Results</w:t>
      </w:r>
      <w:bookmarkEnd w:id="5"/>
    </w:p>
    <w:p w14:paraId="233719EB" w14:textId="4D7D132E" w:rsidR="0060601F" w:rsidRDefault="00DD7307" w:rsidP="0060601F">
      <w:pPr>
        <w:pStyle w:val="Heading2"/>
      </w:pPr>
      <w:r>
        <w:t xml:space="preserve">3.1 </w:t>
      </w:r>
      <w:r w:rsidR="0060601F">
        <w:t xml:space="preserve">Comparing </w:t>
      </w:r>
      <w:r>
        <w:t xml:space="preserve">regions’ </w:t>
      </w:r>
      <w:r w:rsidR="0060601F">
        <w:t>species richness</w:t>
      </w:r>
    </w:p>
    <w:p w14:paraId="61323EF7" w14:textId="5DF7CB53" w:rsidR="00114867" w:rsidRPr="00D96D52" w:rsidRDefault="007D673C" w:rsidP="0060601F">
      <w:pPr>
        <w:pStyle w:val="FirstParagraph"/>
        <w:rPr>
          <w:i/>
          <w:highlight w:val="yellow"/>
        </w:rPr>
      </w:pPr>
      <w:r w:rsidRPr="00D96D52">
        <w:rPr>
          <w:highlight w:val="yellow"/>
        </w:rPr>
        <w:t>Comparison of QDS- and HDS-scale species richness between the GCFR and SWAFR confirms the gre</w:t>
      </w:r>
      <w:r w:rsidR="00964F94" w:rsidRPr="00D96D52">
        <w:rPr>
          <w:highlight w:val="yellow"/>
        </w:rPr>
        <w:t xml:space="preserve">ater richness of the former, </w:t>
      </w:r>
      <w:r w:rsidRPr="00D96D52">
        <w:rPr>
          <w:highlight w:val="yellow"/>
        </w:rPr>
        <w:t xml:space="preserve"> </w:t>
      </w:r>
    </w:p>
    <w:p w14:paraId="13EA0CAA" w14:textId="16DD923D" w:rsidR="0060601F" w:rsidRDefault="0060601F" w:rsidP="0060601F">
      <w:pPr>
        <w:pStyle w:val="FirstParagraph"/>
      </w:pPr>
      <w:r w:rsidRPr="00D96D52">
        <w:rPr>
          <w:highlight w:val="yellow"/>
        </w:rPr>
        <w:t xml:space="preserve">Using Whittaker’s definition of additive turnover (ref), we partitioned </w:t>
      </w:r>
      <w:r w:rsidRPr="00D96D52">
        <w:rPr>
          <w:i/>
          <w:highlight w:val="yellow"/>
        </w:rPr>
        <w:t>S</w:t>
      </w:r>
      <w:r w:rsidRPr="00D96D52">
        <w:rPr>
          <w:highlight w:val="yellow"/>
          <w:vertAlign w:val="subscript"/>
        </w:rPr>
        <w:t>HDS</w:t>
      </w:r>
      <w:r w:rsidRPr="00D96D52">
        <w:rPr>
          <w:highlight w:val="yellow"/>
        </w:rPr>
        <w:t xml:space="preserve"> into its </w:t>
      </w:r>
      <m:oMath>
        <m:r>
          <w:rPr>
            <w:rFonts w:ascii="Cambria Math" w:hAnsi="Cambria Math"/>
            <w:highlight w:val="yellow"/>
          </w:rPr>
          <m:t>α</m:t>
        </m:r>
      </m:oMath>
      <w:r w:rsidRPr="00D96D52">
        <w:rPr>
          <w:highlight w:val="yellow"/>
        </w:rPr>
        <w:t xml:space="preserve">- and </w:t>
      </w:r>
      <m:oMath>
        <m:r>
          <w:rPr>
            <w:rFonts w:ascii="Cambria Math" w:hAnsi="Cambria Math"/>
            <w:highlight w:val="yellow"/>
          </w:rPr>
          <m:t>β</m:t>
        </m:r>
      </m:oMath>
      <w:r w:rsidRPr="00D96D52">
        <w:rPr>
          <w:highlight w:val="yellow"/>
        </w:rPr>
        <w:t>-components (</w:t>
      </w:r>
      <m:oMath>
        <m:bar>
          <m:barPr>
            <m:pos m:val="top"/>
            <m:ctrlPr>
              <w:rPr>
                <w:rFonts w:ascii="Cambria Math" w:hAnsi="Cambria Math"/>
                <w:highlight w:val="yellow"/>
              </w:rPr>
            </m:ctrlPr>
          </m:barPr>
          <m:e>
            <m:r>
              <w:rPr>
                <w:rFonts w:ascii="Cambria Math" w:hAnsi="Cambria Math"/>
                <w:highlight w:val="yellow"/>
              </w:rPr>
              <m:t>S</m:t>
            </m:r>
          </m:e>
        </m:bar>
      </m:oMath>
      <w:r w:rsidRPr="00D96D52">
        <w:rPr>
          <w:highlight w:val="yellow"/>
          <w:vertAlign w:val="subscript"/>
        </w:rPr>
        <w:t>QDS</w:t>
      </w:r>
      <w:r w:rsidRPr="00D96D52">
        <w:rPr>
          <w:highlight w:val="yellow"/>
        </w:rPr>
        <w:t xml:space="preserve"> and </w:t>
      </w:r>
      <w:r w:rsidRPr="00D96D52">
        <w:rPr>
          <w:i/>
          <w:highlight w:val="yellow"/>
        </w:rPr>
        <w:t>T</w:t>
      </w:r>
      <w:r w:rsidRPr="00D96D52">
        <w:rPr>
          <w:highlight w:val="yellow"/>
          <w:vertAlign w:val="subscript"/>
        </w:rPr>
        <w:t>QDS</w:t>
      </w:r>
      <w:r w:rsidRPr="00D96D52">
        <w:rPr>
          <w:highlight w:val="yellow"/>
        </w:rPr>
        <w:t xml:space="preserve"> respectively). Using this method, we can see that almost all HDS in both the GCFR and SWAFR are composed of QDS that only account for no more than ca. 50% of </w:t>
      </w:r>
      <w:r w:rsidRPr="00D96D52">
        <w:rPr>
          <w:i/>
          <w:highlight w:val="yellow"/>
        </w:rPr>
        <w:t>S</w:t>
      </w:r>
      <w:r w:rsidRPr="00D96D52">
        <w:rPr>
          <w:highlight w:val="yellow"/>
          <w:vertAlign w:val="subscript"/>
        </w:rPr>
        <w:t>HDS</w:t>
      </w:r>
      <w:r w:rsidRPr="00D96D52">
        <w:rPr>
          <w:highlight w:val="yellow"/>
        </w:rPr>
        <w:t xml:space="preserve"> (Figure 2a). After accounting for the generally greater </w:t>
      </w:r>
      <w:r w:rsidRPr="00D96D52">
        <w:rPr>
          <w:i/>
          <w:highlight w:val="yellow"/>
        </w:rPr>
        <w:t>S</w:t>
      </w:r>
      <w:r w:rsidRPr="00D96D52">
        <w:rPr>
          <w:highlight w:val="yellow"/>
          <w:vertAlign w:val="subscript"/>
        </w:rPr>
        <w:t>HDS</w:t>
      </w:r>
      <w:r w:rsidRPr="00D96D52">
        <w:rPr>
          <w:highlight w:val="yellow"/>
        </w:rPr>
        <w:t xml:space="preserve"> in the GCFR (Figure 2b), </w:t>
      </w:r>
      <w:r w:rsidRPr="00D96D52">
        <w:rPr>
          <w:i/>
          <w:highlight w:val="yellow"/>
        </w:rPr>
        <w:t>S</w:t>
      </w:r>
      <w:r w:rsidRPr="00D96D52">
        <w:rPr>
          <w:highlight w:val="yellow"/>
          <w:vertAlign w:val="subscript"/>
        </w:rPr>
        <w:t>HDS</w:t>
      </w:r>
      <w:r w:rsidRPr="00D96D52">
        <w:rPr>
          <w:highlight w:val="yellow"/>
        </w:rPr>
        <w:t xml:space="preserve"> is more attributable to floristic turnover in in the GCFR than it is in the SWAFR (Figure 2c).</w:t>
      </w:r>
    </w:p>
    <w:p w14:paraId="7E9FCA66" w14:textId="504F16CE" w:rsidR="00D04776" w:rsidRDefault="00DD7307" w:rsidP="00D04776">
      <w:pPr>
        <w:pStyle w:val="Heading2"/>
      </w:pPr>
      <w:r>
        <w:t xml:space="preserve">3.2 </w:t>
      </w:r>
      <w:r w:rsidR="00D04776">
        <w:t>Comparing regions’ environmental heterogeneity</w:t>
      </w:r>
    </w:p>
    <w:p w14:paraId="1B35984F" w14:textId="4934A2FE" w:rsidR="001A23A6" w:rsidRPr="001A23A6" w:rsidRDefault="001A23A6" w:rsidP="00D04776">
      <w:pPr>
        <w:pStyle w:val="FirstParagraph"/>
      </w:pPr>
      <w:r w:rsidRPr="00221BC9">
        <w:rPr>
          <w:highlight w:val="yellow"/>
        </w:rPr>
        <w:t xml:space="preserve">Regressions of </w:t>
      </w:r>
      <w:r w:rsidRPr="00221BC9">
        <w:rPr>
          <w:i/>
          <w:highlight w:val="yellow"/>
        </w:rPr>
        <w:t>CLES</w:t>
      </w:r>
      <w:r w:rsidRPr="00221BC9">
        <w:rPr>
          <w:highlight w:val="yellow"/>
        </w:rPr>
        <w:t xml:space="preserve"> </w:t>
      </w:r>
      <w:r w:rsidR="0060601F" w:rsidRPr="00221BC9">
        <w:rPr>
          <w:highlight w:val="yellow"/>
        </w:rPr>
        <w:t xml:space="preserve">against spatial scale identified the GCFR as being consistently more heterogeneous than the SWAFR for all nine environmental variables, across the full range of spatial scales studied (Fig. 1; </w:t>
      </w:r>
      <w:r w:rsidR="00CC3BF9" w:rsidRPr="00221BC9">
        <w:rPr>
          <w:highlight w:val="yellow"/>
        </w:rPr>
        <w:t>Two-sided t test</w:t>
      </w:r>
      <w:r w:rsidR="00C85460" w:rsidRPr="00221BC9">
        <w:rPr>
          <w:highlight w:val="yellow"/>
        </w:rPr>
        <w:t xml:space="preserve"> (</w:t>
      </w:r>
      <w:r w:rsidR="00CC3BF9" w:rsidRPr="00221BC9">
        <w:rPr>
          <w:highlight w:val="yellow"/>
        </w:rPr>
        <w:t xml:space="preserve">mean </w:t>
      </w:r>
      <w:r w:rsidR="0060601F" w:rsidRPr="00221BC9">
        <w:rPr>
          <w:i/>
          <w:highlight w:val="yellow"/>
        </w:rPr>
        <w:t>CLES</w:t>
      </w:r>
      <w:r w:rsidR="0060601F" w:rsidRPr="00221BC9">
        <w:rPr>
          <w:highlight w:val="yellow"/>
        </w:rPr>
        <w:t xml:space="preserve"> &gt; </w:t>
      </w:r>
      <w:commentRangeStart w:id="6"/>
      <w:commentRangeStart w:id="7"/>
      <w:r w:rsidR="0060601F" w:rsidRPr="00221BC9">
        <w:rPr>
          <w:highlight w:val="yellow"/>
        </w:rPr>
        <w:t>0</w:t>
      </w:r>
      <w:commentRangeEnd w:id="6"/>
      <w:r w:rsidR="007D673C" w:rsidRPr="00221BC9">
        <w:rPr>
          <w:rStyle w:val="CommentReference"/>
          <w:rFonts w:ascii="Times New Roman" w:hAnsiTheme="minorHAnsi"/>
          <w:highlight w:val="yellow"/>
        </w:rPr>
        <w:commentReference w:id="6"/>
      </w:r>
      <w:commentRangeEnd w:id="7"/>
      <w:r w:rsidR="00BF0B3F">
        <w:rPr>
          <w:rStyle w:val="CommentReference"/>
          <w:rFonts w:ascii="Times New Roman" w:hAnsiTheme="minorHAnsi"/>
        </w:rPr>
        <w:commentReference w:id="7"/>
      </w:r>
      <w:r w:rsidR="00BF0B3F">
        <w:rPr>
          <w:highlight w:val="yellow"/>
        </w:rPr>
        <w:t>.5</w:t>
      </w:r>
      <w:r w:rsidR="00C85460" w:rsidRPr="00221BC9">
        <w:rPr>
          <w:highlight w:val="yellow"/>
        </w:rPr>
        <w:t>):</w:t>
      </w:r>
      <w:r w:rsidR="00CC3BF9" w:rsidRPr="00221BC9">
        <w:rPr>
          <w:highlight w:val="yellow"/>
        </w:rPr>
        <w:t xml:space="preserve"> </w:t>
      </w:r>
      <w:r w:rsidR="00C85460" w:rsidRPr="00221BC9">
        <w:rPr>
          <w:highlight w:val="yellow"/>
        </w:rPr>
        <w:t xml:space="preserve">t = ***, df = ***, </w:t>
      </w:r>
      <w:r w:rsidR="00CC3BF9" w:rsidRPr="00221BC9">
        <w:rPr>
          <w:highlight w:val="yellow"/>
        </w:rPr>
        <w:t>P &lt; 0.001</w:t>
      </w:r>
      <w:r w:rsidR="0060601F" w:rsidRPr="00221BC9">
        <w:rPr>
          <w:highlight w:val="yellow"/>
        </w:rPr>
        <w:t>)</w:t>
      </w:r>
      <w:r w:rsidR="00A778BB" w:rsidRPr="00221BC9">
        <w:rPr>
          <w:highlight w:val="yellow"/>
        </w:rPr>
        <w:t xml:space="preserve">. </w:t>
      </w:r>
      <w:r w:rsidR="00FA78DF" w:rsidRPr="00221BC9">
        <w:rPr>
          <w:highlight w:val="yellow"/>
        </w:rPr>
        <w:t>The same was true for the major axis of heterogeneity</w:t>
      </w:r>
      <w:r w:rsidR="00BB1BCE" w:rsidRPr="00221BC9">
        <w:rPr>
          <w:highlight w:val="yellow"/>
        </w:rPr>
        <w:t>,</w:t>
      </w:r>
      <w:r w:rsidR="00FA78DF" w:rsidRPr="00221BC9">
        <w:rPr>
          <w:highlight w:val="yellow"/>
        </w:rPr>
        <w:t xml:space="preserve"> described by PC1, which accounted for between 43.64% and 46.40% of the variance in all nine variables across the five spatial scales.</w:t>
      </w:r>
      <w:r w:rsidR="00FA78DF">
        <w:t xml:space="preserve"> </w:t>
      </w:r>
      <w:r w:rsidR="0060601F">
        <w:t xml:space="preserve">In addition, for </w:t>
      </w:r>
      <w:r w:rsidR="00A778BB">
        <w:t>MAP, Surface T, CEC</w:t>
      </w:r>
      <w:r w:rsidR="00CC3BF9">
        <w:t>,</w:t>
      </w:r>
      <w:r w:rsidR="00A778BB">
        <w:t xml:space="preserve"> Soil C</w:t>
      </w:r>
      <w:r w:rsidR="00CC3BF9">
        <w:t xml:space="preserve"> and PC1</w:t>
      </w:r>
      <w:r w:rsidR="00A778BB">
        <w:t xml:space="preserve">, </w:t>
      </w:r>
      <w:r w:rsidR="00A778BB" w:rsidRPr="001A23A6">
        <w:rPr>
          <w:i/>
        </w:rPr>
        <w:t>CLES</w:t>
      </w:r>
      <w:r w:rsidR="00A778BB">
        <w:t xml:space="preserve"> was negatively related to spatial scale, indicating that the greater heterogeneity of the GCFR was e</w:t>
      </w:r>
      <w:r w:rsidR="00FA78DF">
        <w:t>s</w:t>
      </w:r>
      <w:r w:rsidR="00A778BB">
        <w:t>pe</w:t>
      </w:r>
      <w:r w:rsidR="00FA78DF">
        <w:t>ci</w:t>
      </w:r>
      <w:r w:rsidR="00A778BB">
        <w:t xml:space="preserve">ally pronounced at small spatial scales. The opposite was true of elevation and Clay, in which the </w:t>
      </w:r>
      <w:r w:rsidR="00FA78DF">
        <w:t xml:space="preserve">greater heterogeneity of the GCFR was </w:t>
      </w:r>
      <w:r w:rsidR="0066712E">
        <w:t>more</w:t>
      </w:r>
      <w:r w:rsidR="00FA78DF">
        <w:t xml:space="preserve"> pronounced at large spatial scales.</w:t>
      </w:r>
      <w:r w:rsidR="00CC3BF9">
        <w:t xml:space="preserve"> NDVI and pH showed no scale-dependence.</w:t>
      </w:r>
    </w:p>
    <w:p w14:paraId="6A280C6C" w14:textId="1D1ED177" w:rsidR="00D04776" w:rsidRDefault="00DD7307" w:rsidP="00D04776">
      <w:pPr>
        <w:pStyle w:val="Heading2"/>
      </w:pPr>
      <w:r>
        <w:lastRenderedPageBreak/>
        <w:t xml:space="preserve">3.3 </w:t>
      </w:r>
      <w:r w:rsidR="00D04776">
        <w:t>Environmental heterogeneity as an explanation of species richness</w:t>
      </w:r>
    </w:p>
    <w:p w14:paraId="1D71793B" w14:textId="18C34FD3" w:rsidR="00D04776" w:rsidRDefault="00D04776" w:rsidP="00D04776">
      <w:pPr>
        <w:pStyle w:val="FirstParagraph"/>
      </w:pPr>
      <w:r>
        <w:t>We regressed vascular plant species richness (</w:t>
      </w:r>
      <w:r>
        <w:rPr>
          <w:i/>
        </w:rPr>
        <w:t>S</w:t>
      </w:r>
      <w:r>
        <w:t xml:space="preserve">) against each axis of </w:t>
      </w:r>
      <w:r w:rsidR="007948F4">
        <w:t>environmental heterogeneity</w:t>
      </w:r>
      <w:r>
        <w:t xml:space="preserve"> separately (Table 2, Figure 3) and in multivariate models (Figure 4) at both HDS- (Table 2a, Figure 4a) and QDS-scales (Table 2b, Figure 4b). Heterogeneity in elevation and mean annual surface temperature were consistently positively “main effect only” across scales when considered in univariate models (Table 2). This pattern is mirrored by the major axis of </w:t>
      </w:r>
      <w:r w:rsidR="007948F4">
        <w:t>environmental heterogeneity</w:t>
      </w:r>
      <w:r>
        <w:t xml:space="preserve">: PC1 (Figure 3), though there is scale-dependence in the slope of that relationship.  In a univariate context, all other </w:t>
      </w:r>
      <w:r w:rsidR="007948F4">
        <w:t>environmental heterogeneity</w:t>
      </w:r>
      <w:r>
        <w:t xml:space="preserve">-variables showed varying degrees of covariance with </w:t>
      </w:r>
      <w:r>
        <w:rPr>
          <w:i/>
        </w:rPr>
        <w:t>S</w:t>
      </w:r>
      <w:r>
        <w:t xml:space="preserve"> (Table 2).</w:t>
      </w:r>
    </w:p>
    <w:p w14:paraId="6690E00C" w14:textId="52FDFD09" w:rsidR="00602D3B" w:rsidRDefault="00D04776" w:rsidP="00602D3B">
      <w:pPr>
        <w:pStyle w:val="BodyText"/>
      </w:pPr>
      <w:r>
        <w:t xml:space="preserve">Considering the multivariate models of </w:t>
      </w:r>
      <w:r>
        <w:rPr>
          <w:i/>
        </w:rPr>
        <w:t>S</w:t>
      </w:r>
      <w:r>
        <w:rPr>
          <w:vertAlign w:val="subscript"/>
        </w:rPr>
        <w:t>HDS</w:t>
      </w:r>
      <w:r>
        <w:t xml:space="preserve"> (Figure 4a) and </w:t>
      </w:r>
      <w:r>
        <w:rPr>
          <w:i/>
        </w:rPr>
        <w:t>S</w:t>
      </w:r>
      <w:r>
        <w:rPr>
          <w:vertAlign w:val="subscript"/>
        </w:rPr>
        <w:t>QDS</w:t>
      </w:r>
      <w:r>
        <w:t xml:space="preserve"> (Figure 4b), the importance of different axes of </w:t>
      </w:r>
      <w:r w:rsidR="007948F4">
        <w:t>environmental heterogeneity</w:t>
      </w:r>
      <w:r>
        <w:t xml:space="preserve"> varies between the HDS- and QDS-scales (Table 3). At the HDS-scale, the GCFR and SWAFR share no “common effects” of </w:t>
      </w:r>
      <w:r w:rsidR="007948F4">
        <w:t>environmental heterogeneity</w:t>
      </w:r>
      <w:r>
        <w:t xml:space="preserve"> on </w:t>
      </w:r>
      <w:r>
        <w:rPr>
          <w:i/>
        </w:rPr>
        <w:t>S</w:t>
      </w:r>
      <w:r>
        <w:t xml:space="preserve">, while at the QDS-scale the relationships between </w:t>
      </w:r>
      <w:r>
        <w:rPr>
          <w:i/>
        </w:rPr>
        <w:t>S</w:t>
      </w:r>
      <w:r>
        <w:t xml:space="preserve"> and heterogeneity in elevation, MAP and CEC are common to the two regions.</w:t>
      </w:r>
    </w:p>
    <w:p w14:paraId="54E8A135" w14:textId="77777777" w:rsidR="00602D3B" w:rsidRDefault="00602D3B" w:rsidP="00602D3B">
      <w:pPr>
        <w:pStyle w:val="BodyText"/>
        <w:rPr>
          <w:highlight w:val="yellow"/>
        </w:rPr>
      </w:pPr>
      <w:r w:rsidRPr="00602D3B">
        <w:rPr>
          <w:highlight w:val="yellow"/>
        </w:rPr>
        <w:t xml:space="preserve">At the HDS-scale (i.e. for _S_~HDS~; Table 2a), there is evidence for a difference in the slopes of the GCFR and SWAFR's relationships with heterogeneity in MAP. </w:t>
      </w:r>
      <w:proofErr w:type="spellStart"/>
      <w:r w:rsidRPr="00602D3B">
        <w:rPr>
          <w:highlight w:val="yellow"/>
        </w:rPr>
        <w:t>Heterogneity</w:t>
      </w:r>
      <w:proofErr w:type="spellEnd"/>
      <w:r w:rsidRPr="00602D3B">
        <w:rPr>
          <w:highlight w:val="yellow"/>
        </w:rPr>
        <w:t xml:space="preserve"> in NDVI and clay only present evidence for the same slope in each </w:t>
      </w:r>
      <w:proofErr w:type="gramStart"/>
      <w:r w:rsidRPr="00602D3B">
        <w:rPr>
          <w:highlight w:val="yellow"/>
        </w:rPr>
        <w:t>region, but</w:t>
      </w:r>
      <w:proofErr w:type="gramEnd"/>
      <w:r w:rsidRPr="00602D3B">
        <w:rPr>
          <w:highlight w:val="yellow"/>
        </w:rPr>
        <w:t xml:space="preserve"> differing intercepts. Heterogeneity in CEC and pH have non-significant slopes and </w:t>
      </w:r>
      <w:proofErr w:type="spellStart"/>
      <w:r w:rsidRPr="00602D3B">
        <w:rPr>
          <w:highlight w:val="yellow"/>
        </w:rPr>
        <w:t>signficiant</w:t>
      </w:r>
      <w:proofErr w:type="spellEnd"/>
      <w:r w:rsidRPr="00602D3B">
        <w:rPr>
          <w:highlight w:val="yellow"/>
        </w:rPr>
        <w:t xml:space="preserve"> region-effects---suggesting that these variables values' have weak relationships with _S_~HDS~, and that the region-effect explains more of the variance. Other variables (heterogeneity in elevation, PDQ, surface T and soil C) only present evidence for a continuous effect of that heterogeneity, explaining the difference in the regions' _S_~HDS~ in terms of the roughness values themselves, without the need to invoke a region term. Think of it this way:</w:t>
      </w:r>
    </w:p>
    <w:p w14:paraId="41596B79" w14:textId="1F375876" w:rsidR="00602D3B" w:rsidRPr="00602D3B" w:rsidRDefault="00602D3B" w:rsidP="00602D3B">
      <w:pPr>
        <w:pStyle w:val="BodyText"/>
        <w:numPr>
          <w:ilvl w:val="0"/>
          <w:numId w:val="14"/>
        </w:numPr>
        <w:rPr>
          <w:highlight w:val="yellow"/>
        </w:rPr>
      </w:pPr>
      <w:r w:rsidRPr="00602D3B">
        <w:rPr>
          <w:highlight w:val="yellow"/>
        </w:rPr>
        <w:t>If there is no need for any information concerning the region a cell belongs to, then the environmental roughness "rule" is followed well across the two regions in a similar way.</w:t>
      </w:r>
    </w:p>
    <w:p w14:paraId="1E7CC884" w14:textId="39295A21" w:rsidR="00602D3B" w:rsidRPr="00602D3B" w:rsidRDefault="00602D3B" w:rsidP="00602D3B">
      <w:pPr>
        <w:pStyle w:val="BodyText"/>
        <w:numPr>
          <w:ilvl w:val="0"/>
          <w:numId w:val="14"/>
        </w:numPr>
        <w:rPr>
          <w:highlight w:val="yellow"/>
        </w:rPr>
      </w:pPr>
      <w:r w:rsidRPr="00602D3B">
        <w:rPr>
          <w:highlight w:val="yellow"/>
        </w:rPr>
        <w:t xml:space="preserve">If the region-effect is significant, but not the roughness effect, then that roughness axis isn't doing a very good job of explaining </w:t>
      </w:r>
      <w:proofErr w:type="gramStart"/>
      <w:r w:rsidRPr="00602D3B">
        <w:rPr>
          <w:highlight w:val="yellow"/>
        </w:rPr>
        <w:t>anything, and</w:t>
      </w:r>
      <w:proofErr w:type="gramEnd"/>
      <w:r w:rsidRPr="00602D3B">
        <w:rPr>
          <w:highlight w:val="yellow"/>
        </w:rPr>
        <w:t xml:space="preserve"> must defer to the region-effect.</w:t>
      </w:r>
    </w:p>
    <w:p w14:paraId="34253556" w14:textId="6946331E" w:rsidR="00602D3B" w:rsidRPr="00602D3B" w:rsidRDefault="00602D3B" w:rsidP="00602D3B">
      <w:pPr>
        <w:pStyle w:val="BodyText"/>
        <w:numPr>
          <w:ilvl w:val="0"/>
          <w:numId w:val="14"/>
        </w:numPr>
        <w:rPr>
          <w:highlight w:val="yellow"/>
        </w:rPr>
      </w:pPr>
      <w:r w:rsidRPr="00602D3B">
        <w:rPr>
          <w:highlight w:val="yellow"/>
        </w:rPr>
        <w:lastRenderedPageBreak/>
        <w:t>When both the region- and roughness-effect are significant, this represents a softer version of the above, where the roughness axis can explain some variance, but not all.</w:t>
      </w:r>
    </w:p>
    <w:p w14:paraId="3AF4701C" w14:textId="7CC894AB" w:rsidR="00602D3B" w:rsidRPr="00602D3B" w:rsidRDefault="00602D3B" w:rsidP="00602D3B">
      <w:pPr>
        <w:pStyle w:val="BodyText"/>
        <w:numPr>
          <w:ilvl w:val="0"/>
          <w:numId w:val="14"/>
        </w:numPr>
        <w:rPr>
          <w:highlight w:val="yellow"/>
        </w:rPr>
      </w:pPr>
      <w:bookmarkStart w:id="8" w:name="_GoBack"/>
      <w:bookmarkEnd w:id="8"/>
      <w:r w:rsidRPr="00602D3B">
        <w:rPr>
          <w:highlight w:val="yellow"/>
        </w:rPr>
        <w:t>When there is a significant interaction between region and roughness, then each region is playing a whole new game with that axes in terms of how richness is being driven.</w:t>
      </w:r>
    </w:p>
    <w:p w14:paraId="48D08EB1" w14:textId="6C1729CE" w:rsidR="00602D3B" w:rsidRPr="00602D3B" w:rsidRDefault="00602D3B" w:rsidP="00602D3B">
      <w:pPr>
        <w:pStyle w:val="BodyText"/>
        <w:rPr>
          <w:highlight w:val="yellow"/>
        </w:rPr>
      </w:pPr>
      <w:r w:rsidRPr="00602D3B">
        <w:rPr>
          <w:highlight w:val="yellow"/>
        </w:rPr>
        <w:t>At the QDS-scale (i.e. for _S_~QDS~; Table 2b), it is noteworthy that all axes best-supported to have an additive region term only also had non-significant roughness-effects [expand?].</w:t>
      </w:r>
    </w:p>
    <w:p w14:paraId="0B7DC05A" w14:textId="5A920182" w:rsidR="00602D3B" w:rsidRDefault="00602D3B" w:rsidP="00602D3B">
      <w:pPr>
        <w:pStyle w:val="BodyText"/>
      </w:pPr>
      <w:r w:rsidRPr="00602D3B">
        <w:rPr>
          <w:highlight w:val="yellow"/>
        </w:rPr>
        <w:t xml:space="preserve">I also regressed against PC1. Like heterogeneity in elevation and surface T, PC1 was the only explanatory variable "needed" in regressions for _S_~HDS~ (also see Figure 3) and _S_~QDS~. Figure 3 shows quite nicely how, in general, the GCFR and SWAFR are following the same "rule" (species richness increases with increasing environmental heterogeneity (PC1)) but occupy different areas along that relationship (the GCFR being </w:t>
      </w:r>
      <w:proofErr w:type="gramStart"/>
      <w:r w:rsidRPr="00602D3B">
        <w:rPr>
          <w:highlight w:val="yellow"/>
        </w:rPr>
        <w:t>more rich</w:t>
      </w:r>
      <w:proofErr w:type="gramEnd"/>
      <w:r w:rsidRPr="00602D3B">
        <w:rPr>
          <w:highlight w:val="yellow"/>
        </w:rPr>
        <w:t xml:space="preserve"> and more rough than the SWAFR).</w:t>
      </w:r>
    </w:p>
    <w:p w14:paraId="573F5A1A" w14:textId="67A193AE" w:rsidR="00F8593E" w:rsidRDefault="00DD7307" w:rsidP="00891FE6">
      <w:pPr>
        <w:pStyle w:val="Heading1"/>
      </w:pPr>
      <w:r>
        <w:t xml:space="preserve">4 </w:t>
      </w:r>
      <w:r w:rsidR="00F8593E" w:rsidRPr="00891FE6">
        <w:t>Discussion</w:t>
      </w:r>
    </w:p>
    <w:p w14:paraId="6ADD3F5B" w14:textId="3901C137" w:rsidR="00F8593E" w:rsidRPr="00F8593E" w:rsidRDefault="00F8593E" w:rsidP="00F8593E">
      <w:pPr>
        <w:pStyle w:val="BodyText"/>
      </w:pPr>
      <w:r>
        <w:t>…</w:t>
      </w:r>
    </w:p>
    <w:p w14:paraId="53A63461" w14:textId="77777777" w:rsidR="00D04776" w:rsidRDefault="00D04776" w:rsidP="00D04776">
      <w:pPr>
        <w:rPr>
          <w:rFonts w:asciiTheme="majorBidi" w:eastAsiaTheme="majorEastAsia" w:hAnsiTheme="majorBidi" w:cstheme="majorBidi"/>
          <w:b/>
          <w:bCs/>
          <w:color w:val="000000" w:themeColor="text1"/>
          <w:sz w:val="28"/>
          <w:szCs w:val="32"/>
        </w:rPr>
      </w:pPr>
      <w:bookmarkStart w:id="9" w:name="tables"/>
      <w:r>
        <w:br w:type="page"/>
      </w:r>
    </w:p>
    <w:p w14:paraId="2A345384" w14:textId="77777777" w:rsidR="00D04776" w:rsidRDefault="00D04776" w:rsidP="00F8593E">
      <w:pPr>
        <w:pStyle w:val="Heading1"/>
      </w:pPr>
      <w:r>
        <w:lastRenderedPageBreak/>
        <w:t>Tables</w:t>
      </w:r>
      <w:bookmarkEnd w:id="9"/>
    </w:p>
    <w:p w14:paraId="0B8BF017" w14:textId="1142FE1B" w:rsidR="003C533D" w:rsidRDefault="003C533D" w:rsidP="003C533D">
      <w:pPr>
        <w:pStyle w:val="TableCaption"/>
      </w:pPr>
      <w:r>
        <w:t xml:space="preserve">Table 1: Georeferenced environmental data and vascular plant species </w:t>
      </w:r>
      <w:proofErr w:type="spellStart"/>
      <w:r>
        <w:t>occurence</w:t>
      </w:r>
      <w:proofErr w:type="spellEnd"/>
      <w:r>
        <w:t xml:space="preserve"> data sources </w:t>
      </w:r>
      <w:r w:rsidR="00B96FA0">
        <w:t>u</w:t>
      </w:r>
      <w:r>
        <w:t xml:space="preserve">sed in this study. Data were acquired for the GCFR and SWAFR regions, with the temporal extent of data products used described where applicable. Abbreviations are as follows: MAP, mean annual precipitation; PDQ, precipitation in the driest quarter; CEC, cation exchange capacity. </w:t>
      </w:r>
    </w:p>
    <w:tbl>
      <w:tblPr>
        <w:tblStyle w:val="Table"/>
        <w:tblW w:w="5301"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409"/>
        <w:gridCol w:w="3402"/>
        <w:gridCol w:w="2127"/>
        <w:gridCol w:w="1985"/>
      </w:tblGrid>
      <w:tr w:rsidR="003C533D" w:rsidRPr="00F0279E" w14:paraId="41027193" w14:textId="77777777" w:rsidTr="002234E3">
        <w:tc>
          <w:tcPr>
            <w:tcW w:w="1214" w:type="pct"/>
            <w:tcBorders>
              <w:top w:val="single" w:sz="4" w:space="0" w:color="auto"/>
              <w:bottom w:val="single" w:sz="2" w:space="0" w:color="auto"/>
            </w:tcBorders>
            <w:vAlign w:val="bottom"/>
          </w:tcPr>
          <w:p w14:paraId="12864CB1" w14:textId="77777777" w:rsidR="003C533D" w:rsidRPr="00F0279E" w:rsidRDefault="003C533D" w:rsidP="00904B0D">
            <w:pPr>
              <w:pStyle w:val="Compact"/>
              <w:spacing w:line="240" w:lineRule="auto"/>
              <w:rPr>
                <w:sz w:val="20"/>
                <w:szCs w:val="20"/>
              </w:rPr>
            </w:pPr>
            <w:r w:rsidRPr="00F0279E">
              <w:rPr>
                <w:sz w:val="20"/>
                <w:szCs w:val="20"/>
              </w:rPr>
              <w:t>Dataset</w:t>
            </w:r>
          </w:p>
        </w:tc>
        <w:tc>
          <w:tcPr>
            <w:tcW w:w="1714" w:type="pct"/>
            <w:tcBorders>
              <w:top w:val="single" w:sz="4" w:space="0" w:color="auto"/>
              <w:bottom w:val="single" w:sz="2" w:space="0" w:color="auto"/>
            </w:tcBorders>
            <w:vAlign w:val="bottom"/>
          </w:tcPr>
          <w:p w14:paraId="4538EDD4" w14:textId="77777777" w:rsidR="003C533D" w:rsidRPr="00F0279E" w:rsidRDefault="003C533D" w:rsidP="00904B0D">
            <w:pPr>
              <w:pStyle w:val="Compact"/>
              <w:spacing w:line="240" w:lineRule="auto"/>
              <w:rPr>
                <w:sz w:val="20"/>
                <w:szCs w:val="20"/>
              </w:rPr>
            </w:pPr>
            <w:r w:rsidRPr="00F0279E">
              <w:rPr>
                <w:sz w:val="20"/>
                <w:szCs w:val="20"/>
              </w:rPr>
              <w:t>Source</w:t>
            </w:r>
          </w:p>
        </w:tc>
        <w:tc>
          <w:tcPr>
            <w:tcW w:w="1072" w:type="pct"/>
            <w:tcBorders>
              <w:top w:val="single" w:sz="4" w:space="0" w:color="auto"/>
              <w:bottom w:val="single" w:sz="2" w:space="0" w:color="auto"/>
            </w:tcBorders>
            <w:vAlign w:val="bottom"/>
          </w:tcPr>
          <w:p w14:paraId="3408BB74" w14:textId="77777777" w:rsidR="003C533D" w:rsidRPr="00F0279E" w:rsidRDefault="003C533D" w:rsidP="00904B0D">
            <w:pPr>
              <w:pStyle w:val="Compact"/>
              <w:spacing w:line="240" w:lineRule="auto"/>
              <w:rPr>
                <w:sz w:val="20"/>
                <w:szCs w:val="20"/>
              </w:rPr>
            </w:pPr>
            <w:r w:rsidRPr="00F0279E">
              <w:rPr>
                <w:sz w:val="20"/>
                <w:szCs w:val="20"/>
              </w:rPr>
              <w:t>Temporal extent</w:t>
            </w:r>
          </w:p>
        </w:tc>
        <w:tc>
          <w:tcPr>
            <w:tcW w:w="1001" w:type="pct"/>
            <w:tcBorders>
              <w:top w:val="single" w:sz="4" w:space="0" w:color="auto"/>
              <w:bottom w:val="single" w:sz="2" w:space="0" w:color="auto"/>
            </w:tcBorders>
            <w:vAlign w:val="bottom"/>
          </w:tcPr>
          <w:p w14:paraId="4E0C1806" w14:textId="77777777" w:rsidR="003C533D" w:rsidRPr="00F0279E" w:rsidRDefault="003C533D" w:rsidP="00904B0D">
            <w:pPr>
              <w:pStyle w:val="Compact"/>
              <w:spacing w:line="240" w:lineRule="auto"/>
              <w:rPr>
                <w:sz w:val="20"/>
                <w:szCs w:val="20"/>
              </w:rPr>
            </w:pPr>
            <w:r w:rsidRPr="00F0279E">
              <w:rPr>
                <w:sz w:val="20"/>
                <w:szCs w:val="20"/>
              </w:rPr>
              <w:t>Citation(s)</w:t>
            </w:r>
          </w:p>
        </w:tc>
      </w:tr>
      <w:tr w:rsidR="003C533D" w:rsidRPr="00F0279E" w14:paraId="62D443AE" w14:textId="77777777" w:rsidTr="002234E3">
        <w:tc>
          <w:tcPr>
            <w:tcW w:w="1214" w:type="pct"/>
            <w:tcBorders>
              <w:top w:val="single" w:sz="2" w:space="0" w:color="auto"/>
            </w:tcBorders>
          </w:tcPr>
          <w:p w14:paraId="15CBF49D" w14:textId="77777777" w:rsidR="003C533D" w:rsidRPr="00F0279E" w:rsidRDefault="003C533D" w:rsidP="00904B0D">
            <w:pPr>
              <w:pStyle w:val="Compact"/>
              <w:spacing w:line="240" w:lineRule="auto"/>
              <w:rPr>
                <w:sz w:val="20"/>
                <w:szCs w:val="20"/>
              </w:rPr>
            </w:pPr>
            <w:r w:rsidRPr="00F0279E">
              <w:rPr>
                <w:sz w:val="20"/>
                <w:szCs w:val="20"/>
              </w:rPr>
              <w:t>Elevation</w:t>
            </w:r>
          </w:p>
        </w:tc>
        <w:tc>
          <w:tcPr>
            <w:tcW w:w="1714" w:type="pct"/>
            <w:tcBorders>
              <w:top w:val="single" w:sz="2" w:space="0" w:color="auto"/>
            </w:tcBorders>
          </w:tcPr>
          <w:p w14:paraId="4C73E734" w14:textId="77777777" w:rsidR="003C533D" w:rsidRPr="00F0279E" w:rsidRDefault="003C533D" w:rsidP="00904B0D">
            <w:pPr>
              <w:pStyle w:val="Compact"/>
              <w:spacing w:line="240" w:lineRule="auto"/>
              <w:rPr>
                <w:sz w:val="20"/>
                <w:szCs w:val="20"/>
              </w:rPr>
            </w:pPr>
            <w:r w:rsidRPr="00F0279E">
              <w:rPr>
                <w:sz w:val="20"/>
                <w:szCs w:val="20"/>
              </w:rPr>
              <w:t>SRTM v2.0</w:t>
            </w:r>
          </w:p>
        </w:tc>
        <w:tc>
          <w:tcPr>
            <w:tcW w:w="1072" w:type="pct"/>
            <w:tcBorders>
              <w:top w:val="single" w:sz="2" w:space="0" w:color="auto"/>
            </w:tcBorders>
          </w:tcPr>
          <w:p w14:paraId="15798A43" w14:textId="77777777" w:rsidR="003C533D" w:rsidRPr="00F0279E" w:rsidRDefault="003C533D" w:rsidP="00904B0D">
            <w:pPr>
              <w:pStyle w:val="Compact"/>
              <w:spacing w:line="240" w:lineRule="auto"/>
              <w:rPr>
                <w:sz w:val="20"/>
                <w:szCs w:val="20"/>
              </w:rPr>
            </w:pPr>
          </w:p>
        </w:tc>
        <w:tc>
          <w:tcPr>
            <w:tcW w:w="1001" w:type="pct"/>
            <w:tcBorders>
              <w:top w:val="single" w:sz="2" w:space="0" w:color="auto"/>
            </w:tcBorders>
          </w:tcPr>
          <w:p w14:paraId="72B9F40B" w14:textId="77777777" w:rsidR="003C533D" w:rsidRPr="00F0279E" w:rsidRDefault="003C533D" w:rsidP="00904B0D">
            <w:pPr>
              <w:pStyle w:val="Compact"/>
              <w:spacing w:line="240" w:lineRule="auto"/>
              <w:rPr>
                <w:sz w:val="20"/>
                <w:szCs w:val="20"/>
              </w:rPr>
            </w:pPr>
            <w:r w:rsidRPr="00F0279E">
              <w:rPr>
                <w:sz w:val="20"/>
                <w:szCs w:val="20"/>
              </w:rPr>
              <w:t>Farr et al. (2007)</w:t>
            </w:r>
          </w:p>
        </w:tc>
      </w:tr>
      <w:tr w:rsidR="003C533D" w:rsidRPr="00F0279E" w14:paraId="094B5D5D" w14:textId="77777777" w:rsidTr="007612C7">
        <w:tc>
          <w:tcPr>
            <w:tcW w:w="1214" w:type="pct"/>
          </w:tcPr>
          <w:p w14:paraId="04354374" w14:textId="77777777" w:rsidR="003C533D" w:rsidRPr="00F0279E" w:rsidRDefault="003C533D" w:rsidP="00904B0D">
            <w:pPr>
              <w:pStyle w:val="Compact"/>
              <w:spacing w:line="240" w:lineRule="auto"/>
              <w:rPr>
                <w:sz w:val="20"/>
                <w:szCs w:val="20"/>
              </w:rPr>
            </w:pPr>
            <w:r w:rsidRPr="00F0279E">
              <w:rPr>
                <w:sz w:val="20"/>
                <w:szCs w:val="20"/>
              </w:rPr>
              <w:t>NDVI</w:t>
            </w:r>
          </w:p>
        </w:tc>
        <w:tc>
          <w:tcPr>
            <w:tcW w:w="1714" w:type="pct"/>
          </w:tcPr>
          <w:p w14:paraId="0A69796F" w14:textId="77777777" w:rsidR="003C533D" w:rsidRPr="00F0279E" w:rsidRDefault="003C533D" w:rsidP="00904B0D">
            <w:pPr>
              <w:pStyle w:val="Compact"/>
              <w:spacing w:line="240" w:lineRule="auto"/>
              <w:rPr>
                <w:sz w:val="20"/>
                <w:szCs w:val="20"/>
              </w:rPr>
            </w:pPr>
            <w:r w:rsidRPr="00F0279E">
              <w:rPr>
                <w:sz w:val="20"/>
                <w:szCs w:val="20"/>
              </w:rPr>
              <w:t>MODIS (MOD13C2)</w:t>
            </w:r>
          </w:p>
        </w:tc>
        <w:tc>
          <w:tcPr>
            <w:tcW w:w="1072" w:type="pct"/>
          </w:tcPr>
          <w:p w14:paraId="0B6444F6" w14:textId="77777777" w:rsidR="003C533D" w:rsidRPr="00F0279E" w:rsidRDefault="003C533D" w:rsidP="00904B0D">
            <w:pPr>
              <w:pStyle w:val="Compact"/>
              <w:spacing w:line="240" w:lineRule="auto"/>
              <w:rPr>
                <w:sz w:val="20"/>
                <w:szCs w:val="20"/>
              </w:rPr>
            </w:pPr>
            <w:r w:rsidRPr="00F0279E">
              <w:rPr>
                <w:sz w:val="20"/>
                <w:szCs w:val="20"/>
              </w:rPr>
              <w:t>Feb. 2000 to Apr. 2017</w:t>
            </w:r>
          </w:p>
        </w:tc>
        <w:tc>
          <w:tcPr>
            <w:tcW w:w="1001" w:type="pct"/>
          </w:tcPr>
          <w:p w14:paraId="20B6363C" w14:textId="77777777" w:rsidR="003C533D" w:rsidRPr="00F0279E" w:rsidRDefault="003C533D" w:rsidP="00904B0D">
            <w:pPr>
              <w:pStyle w:val="Compact"/>
              <w:spacing w:line="240" w:lineRule="auto"/>
              <w:rPr>
                <w:sz w:val="20"/>
                <w:szCs w:val="20"/>
              </w:rPr>
            </w:pPr>
            <w:r w:rsidRPr="00F0279E">
              <w:rPr>
                <w:sz w:val="20"/>
                <w:szCs w:val="20"/>
              </w:rPr>
              <w:t>NASA (?)</w:t>
            </w:r>
          </w:p>
        </w:tc>
      </w:tr>
      <w:tr w:rsidR="003C533D" w:rsidRPr="00F0279E" w14:paraId="18F8E339" w14:textId="77777777" w:rsidTr="007612C7">
        <w:tc>
          <w:tcPr>
            <w:tcW w:w="1214" w:type="pct"/>
          </w:tcPr>
          <w:p w14:paraId="2B4969CA" w14:textId="77777777" w:rsidR="003C533D" w:rsidRPr="00F0279E" w:rsidRDefault="003C533D" w:rsidP="00904B0D">
            <w:pPr>
              <w:pStyle w:val="Compact"/>
              <w:spacing w:line="240" w:lineRule="auto"/>
              <w:rPr>
                <w:sz w:val="20"/>
                <w:szCs w:val="20"/>
              </w:rPr>
            </w:pPr>
            <w:r w:rsidRPr="00F0279E">
              <w:rPr>
                <w:sz w:val="20"/>
                <w:szCs w:val="20"/>
              </w:rPr>
              <w:t>Surface temperature</w:t>
            </w:r>
          </w:p>
        </w:tc>
        <w:tc>
          <w:tcPr>
            <w:tcW w:w="1714" w:type="pct"/>
          </w:tcPr>
          <w:p w14:paraId="3A6C3C48" w14:textId="77777777" w:rsidR="003C533D" w:rsidRPr="00F0279E" w:rsidRDefault="003C533D" w:rsidP="00904B0D">
            <w:pPr>
              <w:pStyle w:val="Compact"/>
              <w:spacing w:line="240" w:lineRule="auto"/>
              <w:rPr>
                <w:sz w:val="20"/>
                <w:szCs w:val="20"/>
              </w:rPr>
            </w:pPr>
            <w:r w:rsidRPr="00F0279E">
              <w:rPr>
                <w:sz w:val="20"/>
                <w:szCs w:val="20"/>
              </w:rPr>
              <w:t>MODIS (MOD11C3)</w:t>
            </w:r>
          </w:p>
        </w:tc>
        <w:tc>
          <w:tcPr>
            <w:tcW w:w="1072" w:type="pct"/>
          </w:tcPr>
          <w:p w14:paraId="65515E16" w14:textId="77777777" w:rsidR="003C533D" w:rsidRPr="00F0279E" w:rsidRDefault="003C533D" w:rsidP="00904B0D">
            <w:pPr>
              <w:pStyle w:val="Compact"/>
              <w:spacing w:line="240" w:lineRule="auto"/>
              <w:rPr>
                <w:sz w:val="20"/>
                <w:szCs w:val="20"/>
              </w:rPr>
            </w:pPr>
            <w:r w:rsidRPr="00F0279E">
              <w:rPr>
                <w:sz w:val="20"/>
                <w:szCs w:val="20"/>
              </w:rPr>
              <w:t>Feb. 2000 to Apr. 2017</w:t>
            </w:r>
          </w:p>
        </w:tc>
        <w:tc>
          <w:tcPr>
            <w:tcW w:w="1001" w:type="pct"/>
          </w:tcPr>
          <w:p w14:paraId="7D935A37" w14:textId="77777777" w:rsidR="003C533D" w:rsidRPr="00F0279E" w:rsidRDefault="003C533D" w:rsidP="00904B0D">
            <w:pPr>
              <w:pStyle w:val="Compact"/>
              <w:spacing w:line="240" w:lineRule="auto"/>
              <w:rPr>
                <w:sz w:val="20"/>
                <w:szCs w:val="20"/>
              </w:rPr>
            </w:pPr>
            <w:r w:rsidRPr="00F0279E">
              <w:rPr>
                <w:sz w:val="20"/>
                <w:szCs w:val="20"/>
              </w:rPr>
              <w:t>NASA (?)</w:t>
            </w:r>
          </w:p>
        </w:tc>
      </w:tr>
      <w:tr w:rsidR="003C533D" w:rsidRPr="00F0279E" w14:paraId="1B4D4C71" w14:textId="77777777" w:rsidTr="007612C7">
        <w:tc>
          <w:tcPr>
            <w:tcW w:w="1214" w:type="pct"/>
          </w:tcPr>
          <w:p w14:paraId="1F31C346" w14:textId="77777777" w:rsidR="003C533D" w:rsidRPr="00F0279E" w:rsidRDefault="003C533D" w:rsidP="00904B0D">
            <w:pPr>
              <w:pStyle w:val="Compact"/>
              <w:spacing w:line="240" w:lineRule="auto"/>
              <w:rPr>
                <w:sz w:val="20"/>
                <w:szCs w:val="20"/>
              </w:rPr>
            </w:pPr>
            <w:r w:rsidRPr="00F0279E">
              <w:rPr>
                <w:sz w:val="20"/>
                <w:szCs w:val="20"/>
              </w:rPr>
              <w:t>MAP</w:t>
            </w:r>
          </w:p>
        </w:tc>
        <w:tc>
          <w:tcPr>
            <w:tcW w:w="1714" w:type="pct"/>
          </w:tcPr>
          <w:p w14:paraId="531D056F" w14:textId="77777777" w:rsidR="003C533D" w:rsidRPr="00F0279E" w:rsidRDefault="003C533D" w:rsidP="00904B0D">
            <w:pPr>
              <w:pStyle w:val="Compact"/>
              <w:spacing w:line="240" w:lineRule="auto"/>
              <w:rPr>
                <w:sz w:val="20"/>
                <w:szCs w:val="20"/>
              </w:rPr>
            </w:pPr>
            <w:r w:rsidRPr="00F0279E">
              <w:rPr>
                <w:sz w:val="20"/>
                <w:szCs w:val="20"/>
              </w:rPr>
              <w:t>CHIRPS v2.0</w:t>
            </w:r>
          </w:p>
        </w:tc>
        <w:tc>
          <w:tcPr>
            <w:tcW w:w="1072" w:type="pct"/>
          </w:tcPr>
          <w:p w14:paraId="1B664539" w14:textId="77777777" w:rsidR="003C533D" w:rsidRPr="00F0279E" w:rsidRDefault="003C533D" w:rsidP="00904B0D">
            <w:pPr>
              <w:pStyle w:val="Compact"/>
              <w:spacing w:line="240" w:lineRule="auto"/>
              <w:rPr>
                <w:sz w:val="20"/>
                <w:szCs w:val="20"/>
              </w:rPr>
            </w:pPr>
            <w:r w:rsidRPr="00F0279E">
              <w:rPr>
                <w:sz w:val="20"/>
                <w:szCs w:val="20"/>
              </w:rPr>
              <w:t>Jan. 1981 to Feb. 2017</w:t>
            </w:r>
          </w:p>
        </w:tc>
        <w:tc>
          <w:tcPr>
            <w:tcW w:w="1001" w:type="pct"/>
          </w:tcPr>
          <w:p w14:paraId="3D7A63A4" w14:textId="77777777" w:rsidR="003C533D" w:rsidRPr="00F0279E" w:rsidRDefault="003C533D" w:rsidP="00904B0D">
            <w:pPr>
              <w:pStyle w:val="Compact"/>
              <w:spacing w:line="240" w:lineRule="auto"/>
              <w:rPr>
                <w:sz w:val="20"/>
                <w:szCs w:val="20"/>
              </w:rPr>
            </w:pPr>
            <w:r w:rsidRPr="00F0279E">
              <w:rPr>
                <w:sz w:val="20"/>
                <w:szCs w:val="20"/>
              </w:rPr>
              <w:t>Funk et al. (2015)</w:t>
            </w:r>
          </w:p>
        </w:tc>
      </w:tr>
      <w:tr w:rsidR="003C533D" w:rsidRPr="00F0279E" w14:paraId="53ED47E4" w14:textId="77777777" w:rsidTr="007612C7">
        <w:tc>
          <w:tcPr>
            <w:tcW w:w="1214" w:type="pct"/>
          </w:tcPr>
          <w:p w14:paraId="7F7A57EC" w14:textId="77777777" w:rsidR="003C533D" w:rsidRPr="00F0279E" w:rsidRDefault="003C533D" w:rsidP="00904B0D">
            <w:pPr>
              <w:pStyle w:val="Compact"/>
              <w:spacing w:line="240" w:lineRule="auto"/>
              <w:rPr>
                <w:sz w:val="20"/>
                <w:szCs w:val="20"/>
              </w:rPr>
            </w:pPr>
            <w:r w:rsidRPr="00F0279E">
              <w:rPr>
                <w:sz w:val="20"/>
                <w:szCs w:val="20"/>
              </w:rPr>
              <w:t>PDQ</w:t>
            </w:r>
          </w:p>
        </w:tc>
        <w:tc>
          <w:tcPr>
            <w:tcW w:w="1714" w:type="pct"/>
          </w:tcPr>
          <w:p w14:paraId="138C06E0" w14:textId="77777777" w:rsidR="003C533D" w:rsidRPr="00F0279E" w:rsidRDefault="003C533D" w:rsidP="00904B0D">
            <w:pPr>
              <w:pStyle w:val="Compact"/>
              <w:spacing w:line="240" w:lineRule="auto"/>
              <w:rPr>
                <w:sz w:val="20"/>
                <w:szCs w:val="20"/>
              </w:rPr>
            </w:pPr>
            <w:r w:rsidRPr="00F0279E">
              <w:rPr>
                <w:sz w:val="20"/>
                <w:szCs w:val="20"/>
              </w:rPr>
              <w:t>CHIRPS v2.0</w:t>
            </w:r>
          </w:p>
        </w:tc>
        <w:tc>
          <w:tcPr>
            <w:tcW w:w="1072" w:type="pct"/>
          </w:tcPr>
          <w:p w14:paraId="7DF088E0" w14:textId="77777777" w:rsidR="003C533D" w:rsidRPr="00F0279E" w:rsidRDefault="003C533D" w:rsidP="00904B0D">
            <w:pPr>
              <w:pStyle w:val="Compact"/>
              <w:spacing w:line="240" w:lineRule="auto"/>
              <w:rPr>
                <w:sz w:val="20"/>
                <w:szCs w:val="20"/>
              </w:rPr>
            </w:pPr>
            <w:r w:rsidRPr="00F0279E">
              <w:rPr>
                <w:sz w:val="20"/>
                <w:szCs w:val="20"/>
              </w:rPr>
              <w:t>Jan. 1981 to Feb. 2017</w:t>
            </w:r>
          </w:p>
        </w:tc>
        <w:tc>
          <w:tcPr>
            <w:tcW w:w="1001" w:type="pct"/>
          </w:tcPr>
          <w:p w14:paraId="0FC000D9" w14:textId="77777777" w:rsidR="003C533D" w:rsidRPr="00F0279E" w:rsidRDefault="003C533D" w:rsidP="00904B0D">
            <w:pPr>
              <w:pStyle w:val="Compact"/>
              <w:spacing w:line="240" w:lineRule="auto"/>
              <w:rPr>
                <w:sz w:val="20"/>
                <w:szCs w:val="20"/>
              </w:rPr>
            </w:pPr>
            <w:r w:rsidRPr="00F0279E">
              <w:rPr>
                <w:sz w:val="20"/>
                <w:szCs w:val="20"/>
              </w:rPr>
              <w:t>Funk et al. (2015)</w:t>
            </w:r>
          </w:p>
        </w:tc>
      </w:tr>
      <w:tr w:rsidR="003C533D" w:rsidRPr="00F0279E" w14:paraId="6D1B76AE" w14:textId="77777777" w:rsidTr="007612C7">
        <w:tc>
          <w:tcPr>
            <w:tcW w:w="1214" w:type="pct"/>
          </w:tcPr>
          <w:p w14:paraId="50EBE578" w14:textId="77777777" w:rsidR="003C533D" w:rsidRPr="00F0279E" w:rsidRDefault="003C533D" w:rsidP="00904B0D">
            <w:pPr>
              <w:pStyle w:val="Compact"/>
              <w:spacing w:line="240" w:lineRule="auto"/>
              <w:rPr>
                <w:sz w:val="20"/>
                <w:szCs w:val="20"/>
              </w:rPr>
            </w:pPr>
            <w:r w:rsidRPr="00F0279E">
              <w:rPr>
                <w:sz w:val="20"/>
                <w:szCs w:val="20"/>
              </w:rPr>
              <w:t>CEC</w:t>
            </w:r>
          </w:p>
        </w:tc>
        <w:tc>
          <w:tcPr>
            <w:tcW w:w="1714" w:type="pct"/>
          </w:tcPr>
          <w:p w14:paraId="04CF1F2A" w14:textId="77777777" w:rsidR="003C533D" w:rsidRPr="00F0279E" w:rsidRDefault="003C533D" w:rsidP="00904B0D">
            <w:pPr>
              <w:pStyle w:val="Compact"/>
              <w:spacing w:line="240" w:lineRule="auto"/>
              <w:rPr>
                <w:sz w:val="20"/>
                <w:szCs w:val="20"/>
              </w:rPr>
            </w:pPr>
            <w:r w:rsidRPr="00F0279E">
              <w:rPr>
                <w:sz w:val="20"/>
                <w:szCs w:val="20"/>
              </w:rPr>
              <w:t>SoilGrids250m (“CECSOL M 250m”)</w:t>
            </w:r>
          </w:p>
        </w:tc>
        <w:tc>
          <w:tcPr>
            <w:tcW w:w="1072" w:type="pct"/>
          </w:tcPr>
          <w:p w14:paraId="18EB3752" w14:textId="77777777" w:rsidR="003C533D" w:rsidRPr="00F0279E" w:rsidRDefault="003C533D" w:rsidP="00904B0D">
            <w:pPr>
              <w:pStyle w:val="Compact"/>
              <w:spacing w:line="240" w:lineRule="auto"/>
              <w:rPr>
                <w:sz w:val="20"/>
                <w:szCs w:val="20"/>
              </w:rPr>
            </w:pPr>
          </w:p>
        </w:tc>
        <w:tc>
          <w:tcPr>
            <w:tcW w:w="1001" w:type="pct"/>
          </w:tcPr>
          <w:p w14:paraId="12B60CF3" w14:textId="77777777" w:rsidR="003C533D" w:rsidRPr="00F0279E" w:rsidRDefault="003C533D" w:rsidP="00904B0D">
            <w:pPr>
              <w:pStyle w:val="Compact"/>
              <w:spacing w:line="240" w:lineRule="auto"/>
              <w:rPr>
                <w:sz w:val="20"/>
                <w:szCs w:val="20"/>
              </w:rPr>
            </w:pPr>
            <w:proofErr w:type="spellStart"/>
            <w:r w:rsidRPr="00F0279E">
              <w:rPr>
                <w:sz w:val="20"/>
                <w:szCs w:val="20"/>
              </w:rPr>
              <w:t>Hengl</w:t>
            </w:r>
            <w:proofErr w:type="spellEnd"/>
            <w:r w:rsidRPr="00F0279E">
              <w:rPr>
                <w:sz w:val="20"/>
                <w:szCs w:val="20"/>
              </w:rPr>
              <w:t xml:space="preserve"> et al. (2017)</w:t>
            </w:r>
          </w:p>
        </w:tc>
      </w:tr>
      <w:tr w:rsidR="003C533D" w:rsidRPr="00F0279E" w14:paraId="3A4F01B8" w14:textId="77777777" w:rsidTr="007612C7">
        <w:tc>
          <w:tcPr>
            <w:tcW w:w="1214" w:type="pct"/>
          </w:tcPr>
          <w:p w14:paraId="51A4D816" w14:textId="77777777" w:rsidR="003C533D" w:rsidRPr="00F0279E" w:rsidRDefault="003C533D" w:rsidP="00904B0D">
            <w:pPr>
              <w:pStyle w:val="Compact"/>
              <w:spacing w:line="240" w:lineRule="auto"/>
              <w:rPr>
                <w:sz w:val="20"/>
                <w:szCs w:val="20"/>
              </w:rPr>
            </w:pPr>
            <w:r w:rsidRPr="00F0279E">
              <w:rPr>
                <w:sz w:val="20"/>
                <w:szCs w:val="20"/>
              </w:rPr>
              <w:t>Clay</w:t>
            </w:r>
          </w:p>
        </w:tc>
        <w:tc>
          <w:tcPr>
            <w:tcW w:w="1714" w:type="pct"/>
          </w:tcPr>
          <w:p w14:paraId="3C02ACF8" w14:textId="77777777" w:rsidR="003C533D" w:rsidRPr="00F0279E" w:rsidRDefault="003C533D" w:rsidP="00904B0D">
            <w:pPr>
              <w:pStyle w:val="Compact"/>
              <w:spacing w:line="240" w:lineRule="auto"/>
              <w:rPr>
                <w:sz w:val="20"/>
                <w:szCs w:val="20"/>
              </w:rPr>
            </w:pPr>
            <w:r w:rsidRPr="00F0279E">
              <w:rPr>
                <w:sz w:val="20"/>
                <w:szCs w:val="20"/>
              </w:rPr>
              <w:t>SoilGrids250m (“CLYPPT M 250m”)</w:t>
            </w:r>
          </w:p>
        </w:tc>
        <w:tc>
          <w:tcPr>
            <w:tcW w:w="1072" w:type="pct"/>
          </w:tcPr>
          <w:p w14:paraId="4DB26BED" w14:textId="77777777" w:rsidR="003C533D" w:rsidRPr="00F0279E" w:rsidRDefault="003C533D" w:rsidP="00904B0D">
            <w:pPr>
              <w:pStyle w:val="Compact"/>
              <w:spacing w:line="240" w:lineRule="auto"/>
              <w:rPr>
                <w:sz w:val="20"/>
                <w:szCs w:val="20"/>
              </w:rPr>
            </w:pPr>
          </w:p>
        </w:tc>
        <w:tc>
          <w:tcPr>
            <w:tcW w:w="1001" w:type="pct"/>
          </w:tcPr>
          <w:p w14:paraId="50E34806" w14:textId="77777777" w:rsidR="003C533D" w:rsidRPr="00F0279E" w:rsidRDefault="003C533D" w:rsidP="00904B0D">
            <w:pPr>
              <w:pStyle w:val="Compact"/>
              <w:spacing w:line="240" w:lineRule="auto"/>
              <w:rPr>
                <w:sz w:val="20"/>
                <w:szCs w:val="20"/>
              </w:rPr>
            </w:pPr>
          </w:p>
        </w:tc>
      </w:tr>
      <w:tr w:rsidR="003C533D" w:rsidRPr="00F0279E" w14:paraId="4436128C" w14:textId="77777777" w:rsidTr="007612C7">
        <w:tc>
          <w:tcPr>
            <w:tcW w:w="1214" w:type="pct"/>
          </w:tcPr>
          <w:p w14:paraId="0401CD22" w14:textId="77777777" w:rsidR="003C533D" w:rsidRPr="00F0279E" w:rsidRDefault="003C533D" w:rsidP="00904B0D">
            <w:pPr>
              <w:pStyle w:val="Compact"/>
              <w:spacing w:line="240" w:lineRule="auto"/>
              <w:rPr>
                <w:sz w:val="20"/>
                <w:szCs w:val="20"/>
              </w:rPr>
            </w:pPr>
            <w:r w:rsidRPr="00F0279E">
              <w:rPr>
                <w:sz w:val="20"/>
                <w:szCs w:val="20"/>
              </w:rPr>
              <w:t>Soil carbon</w:t>
            </w:r>
          </w:p>
        </w:tc>
        <w:tc>
          <w:tcPr>
            <w:tcW w:w="1714" w:type="pct"/>
          </w:tcPr>
          <w:p w14:paraId="54274A4C" w14:textId="77777777" w:rsidR="003C533D" w:rsidRPr="00F0279E" w:rsidRDefault="003C533D" w:rsidP="00904B0D">
            <w:pPr>
              <w:pStyle w:val="Compact"/>
              <w:spacing w:line="240" w:lineRule="auto"/>
              <w:rPr>
                <w:sz w:val="20"/>
                <w:szCs w:val="20"/>
              </w:rPr>
            </w:pPr>
            <w:r w:rsidRPr="00F0279E">
              <w:rPr>
                <w:sz w:val="20"/>
                <w:szCs w:val="20"/>
              </w:rPr>
              <w:t>SoilGrids250m (“OCDENS M 250m”)</w:t>
            </w:r>
          </w:p>
        </w:tc>
        <w:tc>
          <w:tcPr>
            <w:tcW w:w="1072" w:type="pct"/>
          </w:tcPr>
          <w:p w14:paraId="025A2140" w14:textId="77777777" w:rsidR="003C533D" w:rsidRPr="00F0279E" w:rsidRDefault="003C533D" w:rsidP="00904B0D">
            <w:pPr>
              <w:pStyle w:val="Compact"/>
              <w:spacing w:line="240" w:lineRule="auto"/>
              <w:rPr>
                <w:sz w:val="20"/>
                <w:szCs w:val="20"/>
              </w:rPr>
            </w:pPr>
          </w:p>
        </w:tc>
        <w:tc>
          <w:tcPr>
            <w:tcW w:w="1001" w:type="pct"/>
          </w:tcPr>
          <w:p w14:paraId="56BA4D58" w14:textId="77777777" w:rsidR="003C533D" w:rsidRPr="00F0279E" w:rsidRDefault="003C533D" w:rsidP="00904B0D">
            <w:pPr>
              <w:pStyle w:val="Compact"/>
              <w:spacing w:line="240" w:lineRule="auto"/>
              <w:rPr>
                <w:sz w:val="20"/>
                <w:szCs w:val="20"/>
              </w:rPr>
            </w:pPr>
          </w:p>
        </w:tc>
      </w:tr>
      <w:tr w:rsidR="003C533D" w:rsidRPr="00F0279E" w14:paraId="7BE3BB46" w14:textId="77777777" w:rsidTr="002234E3">
        <w:tc>
          <w:tcPr>
            <w:tcW w:w="1214" w:type="pct"/>
          </w:tcPr>
          <w:p w14:paraId="69724CB7" w14:textId="77777777" w:rsidR="003C533D" w:rsidRPr="00F0279E" w:rsidRDefault="003C533D" w:rsidP="00904B0D">
            <w:pPr>
              <w:pStyle w:val="Compact"/>
              <w:spacing w:line="240" w:lineRule="auto"/>
              <w:rPr>
                <w:sz w:val="20"/>
                <w:szCs w:val="20"/>
              </w:rPr>
            </w:pPr>
            <w:r w:rsidRPr="00F0279E">
              <w:rPr>
                <w:sz w:val="20"/>
                <w:szCs w:val="20"/>
              </w:rPr>
              <w:t>pH</w:t>
            </w:r>
          </w:p>
        </w:tc>
        <w:tc>
          <w:tcPr>
            <w:tcW w:w="1714" w:type="pct"/>
          </w:tcPr>
          <w:p w14:paraId="60F5E9BC" w14:textId="77777777" w:rsidR="003C533D" w:rsidRPr="00F0279E" w:rsidRDefault="003C533D" w:rsidP="00904B0D">
            <w:pPr>
              <w:pStyle w:val="Compact"/>
              <w:spacing w:line="240" w:lineRule="auto"/>
              <w:rPr>
                <w:sz w:val="20"/>
                <w:szCs w:val="20"/>
              </w:rPr>
            </w:pPr>
            <w:r w:rsidRPr="00F0279E">
              <w:rPr>
                <w:sz w:val="20"/>
                <w:szCs w:val="20"/>
              </w:rPr>
              <w:t>SoilGrids250m (“PHIKCL M 250m”)</w:t>
            </w:r>
          </w:p>
        </w:tc>
        <w:tc>
          <w:tcPr>
            <w:tcW w:w="1072" w:type="pct"/>
          </w:tcPr>
          <w:p w14:paraId="5514C8A8" w14:textId="77777777" w:rsidR="003C533D" w:rsidRPr="00F0279E" w:rsidRDefault="003C533D" w:rsidP="00904B0D">
            <w:pPr>
              <w:pStyle w:val="Compact"/>
              <w:spacing w:line="240" w:lineRule="auto"/>
              <w:rPr>
                <w:sz w:val="20"/>
                <w:szCs w:val="20"/>
              </w:rPr>
            </w:pPr>
          </w:p>
        </w:tc>
        <w:tc>
          <w:tcPr>
            <w:tcW w:w="1001" w:type="pct"/>
          </w:tcPr>
          <w:p w14:paraId="1962BC6F" w14:textId="77777777" w:rsidR="003C533D" w:rsidRPr="00F0279E" w:rsidRDefault="003C533D" w:rsidP="00904B0D">
            <w:pPr>
              <w:pStyle w:val="Compact"/>
              <w:spacing w:line="240" w:lineRule="auto"/>
              <w:rPr>
                <w:sz w:val="20"/>
                <w:szCs w:val="20"/>
              </w:rPr>
            </w:pPr>
          </w:p>
        </w:tc>
      </w:tr>
      <w:tr w:rsidR="003C533D" w:rsidRPr="00F0279E" w14:paraId="6EAAC875" w14:textId="77777777" w:rsidTr="002234E3">
        <w:tc>
          <w:tcPr>
            <w:tcW w:w="1214" w:type="pct"/>
            <w:tcBorders>
              <w:bottom w:val="single" w:sz="4" w:space="0" w:color="auto"/>
            </w:tcBorders>
          </w:tcPr>
          <w:p w14:paraId="6A945B2C" w14:textId="77777777" w:rsidR="003C533D" w:rsidRPr="00F0279E" w:rsidRDefault="003C533D" w:rsidP="00904B0D">
            <w:pPr>
              <w:pStyle w:val="Compact"/>
              <w:spacing w:line="240" w:lineRule="auto"/>
              <w:rPr>
                <w:sz w:val="20"/>
                <w:szCs w:val="20"/>
              </w:rPr>
            </w:pPr>
            <w:r w:rsidRPr="00F0279E">
              <w:rPr>
                <w:sz w:val="20"/>
                <w:szCs w:val="20"/>
              </w:rPr>
              <w:t>Plant species occurrences</w:t>
            </w:r>
          </w:p>
        </w:tc>
        <w:tc>
          <w:tcPr>
            <w:tcW w:w="1714" w:type="pct"/>
            <w:tcBorders>
              <w:bottom w:val="single" w:sz="4" w:space="0" w:color="auto"/>
            </w:tcBorders>
          </w:tcPr>
          <w:p w14:paraId="587A92CE" w14:textId="77777777" w:rsidR="003C533D" w:rsidRPr="00F0279E" w:rsidRDefault="003C533D" w:rsidP="00904B0D">
            <w:pPr>
              <w:pStyle w:val="Compact"/>
              <w:spacing w:line="240" w:lineRule="auto"/>
              <w:rPr>
                <w:sz w:val="20"/>
                <w:szCs w:val="20"/>
              </w:rPr>
            </w:pPr>
            <w:r w:rsidRPr="00F0279E">
              <w:rPr>
                <w:sz w:val="20"/>
                <w:szCs w:val="20"/>
              </w:rPr>
              <w:t>GBIF</w:t>
            </w:r>
          </w:p>
        </w:tc>
        <w:tc>
          <w:tcPr>
            <w:tcW w:w="1072" w:type="pct"/>
            <w:tcBorders>
              <w:bottom w:val="single" w:sz="4" w:space="0" w:color="auto"/>
            </w:tcBorders>
          </w:tcPr>
          <w:p w14:paraId="715ED149" w14:textId="77777777" w:rsidR="003C533D" w:rsidRPr="00F0279E" w:rsidRDefault="003C533D" w:rsidP="00904B0D">
            <w:pPr>
              <w:pStyle w:val="Compact"/>
              <w:spacing w:line="240" w:lineRule="auto"/>
              <w:rPr>
                <w:sz w:val="20"/>
                <w:szCs w:val="20"/>
              </w:rPr>
            </w:pPr>
          </w:p>
        </w:tc>
        <w:tc>
          <w:tcPr>
            <w:tcW w:w="1001" w:type="pct"/>
            <w:tcBorders>
              <w:bottom w:val="single" w:sz="4" w:space="0" w:color="auto"/>
            </w:tcBorders>
          </w:tcPr>
          <w:p w14:paraId="5D8FBF4D" w14:textId="77777777" w:rsidR="003C533D" w:rsidRPr="00F0279E" w:rsidRDefault="003C533D" w:rsidP="00904B0D">
            <w:pPr>
              <w:pStyle w:val="Compact"/>
              <w:spacing w:line="240" w:lineRule="auto"/>
              <w:rPr>
                <w:sz w:val="20"/>
                <w:szCs w:val="20"/>
              </w:rPr>
            </w:pPr>
            <w:r w:rsidRPr="00F0279E">
              <w:rPr>
                <w:sz w:val="20"/>
                <w:szCs w:val="20"/>
              </w:rPr>
              <w:t>GBIF (24 July 2017), GBIF (24 July 2017)</w:t>
            </w:r>
          </w:p>
        </w:tc>
      </w:tr>
    </w:tbl>
    <w:p w14:paraId="28D92864" w14:textId="65BAEE95" w:rsidR="003C533D" w:rsidRDefault="003C533D" w:rsidP="003C533D">
      <w:pPr>
        <w:rPr>
          <w:rFonts w:asciiTheme="majorBidi" w:eastAsiaTheme="majorEastAsia" w:hAnsiTheme="majorBidi" w:cstheme="majorBidi"/>
          <w:b/>
          <w:bCs/>
          <w:color w:val="000000" w:themeColor="text1"/>
          <w:sz w:val="28"/>
          <w:szCs w:val="32"/>
        </w:rPr>
      </w:pPr>
      <w:r>
        <w:br w:type="page"/>
      </w:r>
    </w:p>
    <w:p w14:paraId="44D8CB67" w14:textId="03395D11" w:rsidR="0038260D" w:rsidRDefault="00D04776" w:rsidP="00B137C0">
      <w:pPr>
        <w:pStyle w:val="TableCaption"/>
      </w:pPr>
      <w:r>
        <w:lastRenderedPageBreak/>
        <w:t>Table 2</w:t>
      </w:r>
      <w:r w:rsidR="00923DF4">
        <w:t xml:space="preserve"> (next page)</w:t>
      </w:r>
      <w:r>
        <w:t xml:space="preserve">: Results of univariate regressions of vascular plant species richness against various axes of </w:t>
      </w:r>
      <w:r w:rsidR="007948F4">
        <w:t>environmental heterogeneity</w:t>
      </w:r>
      <w:r>
        <w:t xml:space="preserve"> and overall </w:t>
      </w:r>
      <w:r w:rsidR="007948F4">
        <w:t>environmental heterogeneity</w:t>
      </w:r>
      <w:r>
        <w:t xml:space="preserve"> (PC1) across the GCFR and SWAFR, at both (a) HDS- and (b) QDS-scale. For each axis of </w:t>
      </w:r>
      <w:r w:rsidR="007948F4">
        <w:t>environmental heterogeneity</w:t>
      </w:r>
      <w:r>
        <w:t xml:space="preserve">, we fit three univariate models: </w:t>
      </w:r>
      <w:r>
        <w:rPr>
          <w:i/>
        </w:rPr>
        <w:t>S</w:t>
      </w:r>
      <w:r>
        <w:t xml:space="preserve"> as a function of </w:t>
      </w:r>
      <w:r w:rsidR="007948F4">
        <w:t>environmental heterogeneity</w:t>
      </w:r>
      <w:r>
        <w:t xml:space="preserve">, </w:t>
      </w:r>
      <w:r>
        <w:rPr>
          <w:i/>
        </w:rPr>
        <w:t>S</w:t>
      </w:r>
      <w:r>
        <w:t xml:space="preserve"> as a function of </w:t>
      </w:r>
      <w:r w:rsidR="007948F4">
        <w:t>environmental heterogeneity</w:t>
      </w:r>
      <w:r>
        <w:t xml:space="preserve"> with an additive term describing region and </w:t>
      </w:r>
      <w:r>
        <w:rPr>
          <w:i/>
        </w:rPr>
        <w:t>S</w:t>
      </w:r>
      <w:r>
        <w:t xml:space="preserve"> as a of </w:t>
      </w:r>
      <w:r w:rsidR="007948F4">
        <w:t>environmental heterogeneity</w:t>
      </w:r>
      <w:r>
        <w:t xml:space="preserve"> with an interaction term for region. We used Akaike’s information criterion (</w:t>
      </w:r>
      <w:r>
        <w:rPr>
          <w:i/>
        </w:rPr>
        <w:t>AIC</w:t>
      </w:r>
      <w:r>
        <w:t xml:space="preserve">; ref) to select which of these three model types fit best for each </w:t>
      </w:r>
      <w:r w:rsidR="007948F4">
        <w:t>environmental heterogeneity</w:t>
      </w:r>
      <w:r>
        <w:t xml:space="preserve"> predictor variable. In each case, the best-fitting model (those presented) was selected as the simplest model with </w:t>
      </w:r>
      <w:r>
        <w:rPr>
          <w:i/>
        </w:rPr>
        <w:t>∆AIC</w:t>
      </w:r>
      <w:r>
        <w:t xml:space="preserve"> &lt; 2.  Abbreviations are as follows: MAP, mean annual precipitation; PDQ, precipitation in the driest quarter; CEC, cation exchange capacity; T, temperature.</w:t>
      </w:r>
    </w:p>
    <w:tbl>
      <w:tblPr>
        <w:tblStyle w:val="Table"/>
        <w:tblW w:w="5074"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994"/>
        <w:gridCol w:w="1982"/>
        <w:gridCol w:w="1135"/>
        <w:gridCol w:w="710"/>
        <w:gridCol w:w="708"/>
        <w:gridCol w:w="1417"/>
        <w:gridCol w:w="568"/>
        <w:gridCol w:w="1418"/>
        <w:gridCol w:w="539"/>
        <w:gridCol w:w="28"/>
      </w:tblGrid>
      <w:tr w:rsidR="0038260D" w14:paraId="4E13A69F" w14:textId="77777777" w:rsidTr="00046D81">
        <w:tc>
          <w:tcPr>
            <w:tcW w:w="994" w:type="dxa"/>
            <w:tcBorders>
              <w:top w:val="single" w:sz="4" w:space="0" w:color="auto"/>
            </w:tcBorders>
            <w:vAlign w:val="bottom"/>
          </w:tcPr>
          <w:p w14:paraId="7EEEC96C" w14:textId="77777777" w:rsidR="00D04776" w:rsidRPr="002234E3" w:rsidRDefault="00D04776" w:rsidP="00B137C0">
            <w:pPr>
              <w:pStyle w:val="Compact"/>
              <w:spacing w:line="240" w:lineRule="auto"/>
              <w:rPr>
                <w:sz w:val="20"/>
                <w:szCs w:val="20"/>
              </w:rPr>
            </w:pPr>
          </w:p>
        </w:tc>
        <w:tc>
          <w:tcPr>
            <w:tcW w:w="1982" w:type="dxa"/>
            <w:tcBorders>
              <w:top w:val="single" w:sz="4" w:space="0" w:color="auto"/>
            </w:tcBorders>
            <w:vAlign w:val="bottom"/>
          </w:tcPr>
          <w:p w14:paraId="29B240A7" w14:textId="77777777" w:rsidR="00D04776" w:rsidRPr="002234E3" w:rsidRDefault="00D04776" w:rsidP="00B137C0">
            <w:pPr>
              <w:pStyle w:val="Compact"/>
              <w:spacing w:line="240" w:lineRule="auto"/>
              <w:rPr>
                <w:sz w:val="20"/>
                <w:szCs w:val="20"/>
              </w:rPr>
            </w:pPr>
          </w:p>
        </w:tc>
        <w:tc>
          <w:tcPr>
            <w:tcW w:w="1135" w:type="dxa"/>
            <w:tcBorders>
              <w:top w:val="single" w:sz="4" w:space="0" w:color="auto"/>
            </w:tcBorders>
            <w:vAlign w:val="bottom"/>
          </w:tcPr>
          <w:p w14:paraId="3667096E" w14:textId="77777777" w:rsidR="00D04776" w:rsidRPr="002234E3" w:rsidRDefault="00D04776" w:rsidP="00B137C0">
            <w:pPr>
              <w:pStyle w:val="Compact"/>
              <w:spacing w:line="240" w:lineRule="auto"/>
              <w:rPr>
                <w:sz w:val="20"/>
                <w:szCs w:val="20"/>
              </w:rPr>
            </w:pPr>
          </w:p>
        </w:tc>
        <w:tc>
          <w:tcPr>
            <w:tcW w:w="5388" w:type="dxa"/>
            <w:gridSpan w:val="7"/>
            <w:tcBorders>
              <w:top w:val="single" w:sz="4" w:space="0" w:color="auto"/>
              <w:bottom w:val="single" w:sz="2" w:space="0" w:color="auto"/>
            </w:tcBorders>
            <w:vAlign w:val="bottom"/>
          </w:tcPr>
          <w:p w14:paraId="29E194BC" w14:textId="77777777" w:rsidR="00D04776" w:rsidRPr="002234E3" w:rsidRDefault="00D04776" w:rsidP="00B137C0">
            <w:pPr>
              <w:pStyle w:val="Compact"/>
              <w:spacing w:line="240" w:lineRule="auto"/>
              <w:jc w:val="center"/>
              <w:rPr>
                <w:sz w:val="20"/>
                <w:szCs w:val="20"/>
              </w:rPr>
            </w:pPr>
            <w:r w:rsidRPr="002234E3">
              <w:rPr>
                <w:sz w:val="20"/>
                <w:szCs w:val="20"/>
              </w:rPr>
              <w:t>Model term</w:t>
            </w:r>
          </w:p>
        </w:tc>
      </w:tr>
      <w:tr w:rsidR="00B137C0" w14:paraId="68C1A1ED" w14:textId="77777777" w:rsidTr="00046D81">
        <w:trPr>
          <w:gridAfter w:val="1"/>
          <w:wAfter w:w="28" w:type="dxa"/>
        </w:trPr>
        <w:tc>
          <w:tcPr>
            <w:tcW w:w="994" w:type="dxa"/>
            <w:tcBorders>
              <w:bottom w:val="single" w:sz="2" w:space="0" w:color="auto"/>
            </w:tcBorders>
            <w:vAlign w:val="bottom"/>
          </w:tcPr>
          <w:p w14:paraId="62EBEFAF" w14:textId="77777777" w:rsidR="00D04776" w:rsidRPr="002234E3" w:rsidRDefault="00D04776" w:rsidP="00B137C0">
            <w:pPr>
              <w:pStyle w:val="Compact"/>
              <w:spacing w:line="240" w:lineRule="auto"/>
              <w:rPr>
                <w:sz w:val="20"/>
                <w:szCs w:val="20"/>
              </w:rPr>
            </w:pPr>
            <w:r w:rsidRPr="002234E3">
              <w:rPr>
                <w:sz w:val="20"/>
                <w:szCs w:val="20"/>
              </w:rPr>
              <w:t>Response</w:t>
            </w:r>
          </w:p>
        </w:tc>
        <w:tc>
          <w:tcPr>
            <w:tcW w:w="1982" w:type="dxa"/>
            <w:tcBorders>
              <w:bottom w:val="single" w:sz="2" w:space="0" w:color="auto"/>
            </w:tcBorders>
            <w:vAlign w:val="bottom"/>
          </w:tcPr>
          <w:p w14:paraId="1057092F" w14:textId="77777777" w:rsidR="00D04776" w:rsidRPr="002234E3" w:rsidRDefault="00D04776" w:rsidP="00B137C0">
            <w:pPr>
              <w:pStyle w:val="Compact"/>
              <w:spacing w:line="240" w:lineRule="auto"/>
              <w:rPr>
                <w:sz w:val="20"/>
                <w:szCs w:val="20"/>
              </w:rPr>
            </w:pPr>
            <w:r w:rsidRPr="002234E3">
              <w:rPr>
                <w:sz w:val="20"/>
                <w:szCs w:val="20"/>
              </w:rPr>
              <w:t>Model type</w:t>
            </w:r>
          </w:p>
        </w:tc>
        <w:tc>
          <w:tcPr>
            <w:tcW w:w="1135" w:type="dxa"/>
            <w:tcBorders>
              <w:bottom w:val="single" w:sz="2" w:space="0" w:color="auto"/>
            </w:tcBorders>
            <w:vAlign w:val="bottom"/>
          </w:tcPr>
          <w:p w14:paraId="7608062B" w14:textId="23B856CA" w:rsidR="00D04776" w:rsidRPr="002234E3" w:rsidRDefault="00634215" w:rsidP="00B137C0">
            <w:pPr>
              <w:pStyle w:val="Compact"/>
              <w:spacing w:line="240" w:lineRule="auto"/>
              <w:rPr>
                <w:sz w:val="20"/>
                <w:szCs w:val="20"/>
              </w:rPr>
            </w:pPr>
            <w:r>
              <w:rPr>
                <w:sz w:val="20"/>
                <w:szCs w:val="20"/>
              </w:rPr>
              <w:t>P</w:t>
            </w:r>
            <w:r w:rsidR="00D04776" w:rsidRPr="002234E3">
              <w:rPr>
                <w:sz w:val="20"/>
                <w:szCs w:val="20"/>
              </w:rPr>
              <w:t>redictor</w:t>
            </w:r>
          </w:p>
        </w:tc>
        <w:tc>
          <w:tcPr>
            <w:tcW w:w="710" w:type="dxa"/>
            <w:tcBorders>
              <w:top w:val="single" w:sz="4" w:space="0" w:color="auto"/>
              <w:bottom w:val="single" w:sz="2" w:space="0" w:color="auto"/>
            </w:tcBorders>
            <w:vAlign w:val="bottom"/>
          </w:tcPr>
          <w:p w14:paraId="2CE1A55F" w14:textId="77777777" w:rsidR="00D04776" w:rsidRPr="002234E3" w:rsidRDefault="00D04776" w:rsidP="00B137C0">
            <w:pPr>
              <w:pStyle w:val="Compact"/>
              <w:spacing w:line="240" w:lineRule="auto"/>
              <w:jc w:val="center"/>
              <w:rPr>
                <w:sz w:val="20"/>
                <w:szCs w:val="20"/>
              </w:rPr>
            </w:pPr>
            <w:r w:rsidRPr="002234E3">
              <w:rPr>
                <w:sz w:val="20"/>
                <w:szCs w:val="20"/>
              </w:rPr>
              <w:t>Slope</w:t>
            </w:r>
          </w:p>
        </w:tc>
        <w:tc>
          <w:tcPr>
            <w:tcW w:w="708" w:type="dxa"/>
            <w:tcBorders>
              <w:top w:val="single" w:sz="4" w:space="0" w:color="auto"/>
              <w:bottom w:val="single" w:sz="2" w:space="0" w:color="auto"/>
            </w:tcBorders>
            <w:vAlign w:val="bottom"/>
          </w:tcPr>
          <w:p w14:paraId="6791E9D4" w14:textId="77777777" w:rsidR="00D04776" w:rsidRPr="002234E3" w:rsidRDefault="00D04776" w:rsidP="00B137C0">
            <w:pPr>
              <w:pStyle w:val="Compact"/>
              <w:spacing w:line="240" w:lineRule="auto"/>
              <w:rPr>
                <w:sz w:val="20"/>
                <w:szCs w:val="20"/>
              </w:rPr>
            </w:pPr>
          </w:p>
        </w:tc>
        <w:tc>
          <w:tcPr>
            <w:tcW w:w="1417" w:type="dxa"/>
            <w:tcBorders>
              <w:top w:val="single" w:sz="4" w:space="0" w:color="auto"/>
              <w:bottom w:val="single" w:sz="2" w:space="0" w:color="auto"/>
            </w:tcBorders>
            <w:vAlign w:val="bottom"/>
          </w:tcPr>
          <w:p w14:paraId="63C44C52" w14:textId="77777777" w:rsidR="00D04776" w:rsidRPr="002234E3" w:rsidRDefault="00D04776" w:rsidP="00B137C0">
            <w:pPr>
              <w:pStyle w:val="Compact"/>
              <w:spacing w:line="240" w:lineRule="auto"/>
              <w:jc w:val="center"/>
              <w:rPr>
                <w:sz w:val="20"/>
                <w:szCs w:val="20"/>
              </w:rPr>
            </w:pPr>
            <w:r w:rsidRPr="002234E3">
              <w:rPr>
                <w:sz w:val="20"/>
                <w:szCs w:val="20"/>
              </w:rPr>
              <w:t>SWAFR effect</w:t>
            </w:r>
          </w:p>
        </w:tc>
        <w:tc>
          <w:tcPr>
            <w:tcW w:w="568" w:type="dxa"/>
            <w:tcBorders>
              <w:top w:val="single" w:sz="4" w:space="0" w:color="auto"/>
              <w:bottom w:val="single" w:sz="2" w:space="0" w:color="auto"/>
            </w:tcBorders>
            <w:vAlign w:val="bottom"/>
          </w:tcPr>
          <w:p w14:paraId="7CB0CB9D" w14:textId="77777777" w:rsidR="00D04776" w:rsidRPr="002234E3" w:rsidRDefault="00D04776" w:rsidP="00B137C0">
            <w:pPr>
              <w:pStyle w:val="Compact"/>
              <w:spacing w:line="240" w:lineRule="auto"/>
              <w:rPr>
                <w:sz w:val="20"/>
                <w:szCs w:val="20"/>
              </w:rPr>
            </w:pPr>
          </w:p>
        </w:tc>
        <w:tc>
          <w:tcPr>
            <w:tcW w:w="1418" w:type="dxa"/>
            <w:tcBorders>
              <w:top w:val="single" w:sz="4" w:space="0" w:color="auto"/>
              <w:bottom w:val="single" w:sz="2" w:space="0" w:color="auto"/>
            </w:tcBorders>
            <w:vAlign w:val="bottom"/>
          </w:tcPr>
          <w:p w14:paraId="25804078" w14:textId="77777777" w:rsidR="00D04776" w:rsidRPr="002234E3" w:rsidRDefault="00D04776" w:rsidP="00B137C0">
            <w:pPr>
              <w:pStyle w:val="Compact"/>
              <w:spacing w:line="240" w:lineRule="auto"/>
              <w:jc w:val="center"/>
              <w:rPr>
                <w:sz w:val="20"/>
                <w:szCs w:val="20"/>
              </w:rPr>
            </w:pPr>
            <w:proofErr w:type="spellStart"/>
            <w:proofErr w:type="gramStart"/>
            <w:r w:rsidRPr="002234E3">
              <w:rPr>
                <w:sz w:val="20"/>
                <w:szCs w:val="20"/>
              </w:rPr>
              <w:t>Slope:SWAFR</w:t>
            </w:r>
            <w:proofErr w:type="spellEnd"/>
            <w:proofErr w:type="gramEnd"/>
          </w:p>
        </w:tc>
        <w:tc>
          <w:tcPr>
            <w:tcW w:w="539" w:type="dxa"/>
            <w:tcBorders>
              <w:top w:val="single" w:sz="4" w:space="0" w:color="auto"/>
              <w:bottom w:val="single" w:sz="2" w:space="0" w:color="auto"/>
            </w:tcBorders>
            <w:vAlign w:val="bottom"/>
          </w:tcPr>
          <w:p w14:paraId="44360DF1" w14:textId="77777777" w:rsidR="00D04776" w:rsidRPr="002234E3" w:rsidRDefault="00D04776" w:rsidP="00B137C0">
            <w:pPr>
              <w:pStyle w:val="Compact"/>
              <w:spacing w:line="240" w:lineRule="auto"/>
              <w:rPr>
                <w:sz w:val="20"/>
                <w:szCs w:val="20"/>
              </w:rPr>
            </w:pPr>
          </w:p>
        </w:tc>
      </w:tr>
      <w:tr w:rsidR="00B137C0" w14:paraId="1D4B725B" w14:textId="77777777" w:rsidTr="00667CCB">
        <w:trPr>
          <w:gridAfter w:val="1"/>
          <w:wAfter w:w="28" w:type="dxa"/>
        </w:trPr>
        <w:tc>
          <w:tcPr>
            <w:tcW w:w="994" w:type="dxa"/>
            <w:tcBorders>
              <w:top w:val="single" w:sz="2" w:space="0" w:color="auto"/>
            </w:tcBorders>
          </w:tcPr>
          <w:p w14:paraId="676DF6F5" w14:textId="77777777" w:rsidR="00D04776" w:rsidRPr="002234E3" w:rsidRDefault="00D04776" w:rsidP="00B137C0">
            <w:pPr>
              <w:pStyle w:val="Compact"/>
              <w:spacing w:line="240" w:lineRule="auto"/>
              <w:rPr>
                <w:sz w:val="20"/>
                <w:szCs w:val="20"/>
              </w:rPr>
            </w:pPr>
            <w:r w:rsidRPr="002234E3">
              <w:rPr>
                <w:sz w:val="20"/>
                <w:szCs w:val="20"/>
              </w:rPr>
              <w:t xml:space="preserve">(a) </w:t>
            </w:r>
            <w:r w:rsidRPr="002234E3">
              <w:rPr>
                <w:i/>
                <w:sz w:val="20"/>
                <w:szCs w:val="20"/>
              </w:rPr>
              <w:t>S</w:t>
            </w:r>
            <w:r w:rsidRPr="002234E3">
              <w:rPr>
                <w:sz w:val="20"/>
                <w:szCs w:val="20"/>
                <w:vertAlign w:val="subscript"/>
              </w:rPr>
              <w:t>HDS</w:t>
            </w:r>
          </w:p>
        </w:tc>
        <w:tc>
          <w:tcPr>
            <w:tcW w:w="1982" w:type="dxa"/>
            <w:tcBorders>
              <w:top w:val="single" w:sz="2" w:space="0" w:color="auto"/>
            </w:tcBorders>
          </w:tcPr>
          <w:p w14:paraId="00A80A7F" w14:textId="77777777" w:rsidR="00D04776" w:rsidRPr="002234E3" w:rsidRDefault="00D04776" w:rsidP="00B137C0">
            <w:pPr>
              <w:pStyle w:val="Compact"/>
              <w:spacing w:line="240" w:lineRule="auto"/>
              <w:rPr>
                <w:sz w:val="20"/>
                <w:szCs w:val="20"/>
              </w:rPr>
            </w:pPr>
            <w:r w:rsidRPr="002234E3">
              <w:rPr>
                <w:sz w:val="20"/>
                <w:szCs w:val="20"/>
              </w:rPr>
              <w:t>Main effect × region</w:t>
            </w:r>
          </w:p>
        </w:tc>
        <w:tc>
          <w:tcPr>
            <w:tcW w:w="1135" w:type="dxa"/>
            <w:tcBorders>
              <w:top w:val="single" w:sz="2" w:space="0" w:color="auto"/>
              <w:bottom w:val="dashed" w:sz="4" w:space="0" w:color="auto"/>
            </w:tcBorders>
          </w:tcPr>
          <w:p w14:paraId="49A7566B" w14:textId="77777777" w:rsidR="00D04776" w:rsidRPr="002234E3" w:rsidRDefault="00D04776" w:rsidP="00B137C0">
            <w:pPr>
              <w:pStyle w:val="Compact"/>
              <w:spacing w:line="240" w:lineRule="auto"/>
              <w:rPr>
                <w:sz w:val="20"/>
                <w:szCs w:val="20"/>
              </w:rPr>
            </w:pPr>
            <w:r w:rsidRPr="002234E3">
              <w:rPr>
                <w:sz w:val="20"/>
                <w:szCs w:val="20"/>
              </w:rPr>
              <w:t>MAP</w:t>
            </w:r>
          </w:p>
        </w:tc>
        <w:tc>
          <w:tcPr>
            <w:tcW w:w="710" w:type="dxa"/>
            <w:tcBorders>
              <w:top w:val="single" w:sz="2" w:space="0" w:color="auto"/>
              <w:bottom w:val="dashed" w:sz="4" w:space="0" w:color="auto"/>
            </w:tcBorders>
          </w:tcPr>
          <w:p w14:paraId="33AB2E20"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top w:val="single" w:sz="2" w:space="0" w:color="auto"/>
              <w:bottom w:val="dashed" w:sz="4" w:space="0" w:color="auto"/>
            </w:tcBorders>
          </w:tcPr>
          <w:p w14:paraId="49154C1A"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top w:val="single" w:sz="2" w:space="0" w:color="auto"/>
              <w:bottom w:val="dashed" w:sz="4" w:space="0" w:color="auto"/>
            </w:tcBorders>
          </w:tcPr>
          <w:p w14:paraId="5115706A"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top w:val="single" w:sz="2" w:space="0" w:color="auto"/>
              <w:bottom w:val="dashed" w:sz="4" w:space="0" w:color="auto"/>
            </w:tcBorders>
          </w:tcPr>
          <w:p w14:paraId="3E866CB9" w14:textId="77777777" w:rsidR="00D04776" w:rsidRPr="002234E3" w:rsidRDefault="00D04776" w:rsidP="00B137C0">
            <w:pPr>
              <w:pStyle w:val="Compact"/>
              <w:spacing w:line="240" w:lineRule="auto"/>
              <w:rPr>
                <w:sz w:val="20"/>
                <w:szCs w:val="20"/>
              </w:rPr>
            </w:pPr>
          </w:p>
        </w:tc>
        <w:tc>
          <w:tcPr>
            <w:tcW w:w="1418" w:type="dxa"/>
            <w:tcBorders>
              <w:top w:val="single" w:sz="2" w:space="0" w:color="auto"/>
              <w:bottom w:val="dashed" w:sz="4" w:space="0" w:color="auto"/>
            </w:tcBorders>
          </w:tcPr>
          <w:p w14:paraId="4605C35B"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39" w:type="dxa"/>
            <w:tcBorders>
              <w:top w:val="single" w:sz="2" w:space="0" w:color="auto"/>
              <w:bottom w:val="dashed" w:sz="4" w:space="0" w:color="auto"/>
            </w:tcBorders>
          </w:tcPr>
          <w:p w14:paraId="66246534" w14:textId="77777777" w:rsidR="00D04776" w:rsidRPr="002234E3" w:rsidRDefault="00D04776" w:rsidP="00B137C0">
            <w:pPr>
              <w:pStyle w:val="Compact"/>
              <w:spacing w:line="240" w:lineRule="auto"/>
              <w:rPr>
                <w:sz w:val="20"/>
                <w:szCs w:val="20"/>
              </w:rPr>
            </w:pPr>
            <w:r w:rsidRPr="002234E3">
              <w:rPr>
                <w:sz w:val="20"/>
                <w:szCs w:val="20"/>
              </w:rPr>
              <w:t>**</w:t>
            </w:r>
          </w:p>
        </w:tc>
      </w:tr>
      <w:tr w:rsidR="00B137C0" w14:paraId="2EE6DCB3" w14:textId="77777777" w:rsidTr="00667CCB">
        <w:trPr>
          <w:gridAfter w:val="1"/>
          <w:wAfter w:w="28" w:type="dxa"/>
        </w:trPr>
        <w:tc>
          <w:tcPr>
            <w:tcW w:w="994" w:type="dxa"/>
          </w:tcPr>
          <w:p w14:paraId="726EC733" w14:textId="77777777" w:rsidR="00D04776" w:rsidRPr="002234E3" w:rsidRDefault="00D04776" w:rsidP="00B137C0">
            <w:pPr>
              <w:pStyle w:val="Compact"/>
              <w:spacing w:line="240" w:lineRule="auto"/>
              <w:rPr>
                <w:sz w:val="20"/>
                <w:szCs w:val="20"/>
              </w:rPr>
            </w:pPr>
          </w:p>
        </w:tc>
        <w:tc>
          <w:tcPr>
            <w:tcW w:w="1982" w:type="dxa"/>
          </w:tcPr>
          <w:p w14:paraId="1EDCEDEF" w14:textId="77777777" w:rsidR="00D04776" w:rsidRPr="002234E3" w:rsidRDefault="00D04776" w:rsidP="00B137C0">
            <w:pPr>
              <w:pStyle w:val="Compact"/>
              <w:spacing w:line="240" w:lineRule="auto"/>
              <w:rPr>
                <w:sz w:val="20"/>
                <w:szCs w:val="20"/>
              </w:rPr>
            </w:pPr>
            <w:r w:rsidRPr="002234E3">
              <w:rPr>
                <w:sz w:val="20"/>
                <w:szCs w:val="20"/>
              </w:rPr>
              <w:t>Main effect + region</w:t>
            </w:r>
          </w:p>
        </w:tc>
        <w:tc>
          <w:tcPr>
            <w:tcW w:w="1135" w:type="dxa"/>
            <w:tcBorders>
              <w:top w:val="dashed" w:sz="4" w:space="0" w:color="auto"/>
            </w:tcBorders>
          </w:tcPr>
          <w:p w14:paraId="1CA0ADC9" w14:textId="77777777" w:rsidR="00D04776" w:rsidRPr="002234E3" w:rsidRDefault="00D04776" w:rsidP="00B137C0">
            <w:pPr>
              <w:pStyle w:val="Compact"/>
              <w:spacing w:line="240" w:lineRule="auto"/>
              <w:rPr>
                <w:sz w:val="20"/>
                <w:szCs w:val="20"/>
              </w:rPr>
            </w:pPr>
            <w:r w:rsidRPr="002234E3">
              <w:rPr>
                <w:sz w:val="20"/>
                <w:szCs w:val="20"/>
              </w:rPr>
              <w:t>Clay</w:t>
            </w:r>
          </w:p>
        </w:tc>
        <w:tc>
          <w:tcPr>
            <w:tcW w:w="710" w:type="dxa"/>
            <w:tcBorders>
              <w:top w:val="dashed" w:sz="4" w:space="0" w:color="auto"/>
            </w:tcBorders>
          </w:tcPr>
          <w:p w14:paraId="5B37C831"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top w:val="dashed" w:sz="4" w:space="0" w:color="auto"/>
            </w:tcBorders>
          </w:tcPr>
          <w:p w14:paraId="0607E748"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top w:val="dashed" w:sz="4" w:space="0" w:color="auto"/>
            </w:tcBorders>
          </w:tcPr>
          <w:p w14:paraId="784062B6"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top w:val="dashed" w:sz="4" w:space="0" w:color="auto"/>
            </w:tcBorders>
          </w:tcPr>
          <w:p w14:paraId="5917CABD" w14:textId="77777777" w:rsidR="00D04776" w:rsidRPr="002234E3" w:rsidRDefault="00D04776" w:rsidP="00B137C0">
            <w:pPr>
              <w:pStyle w:val="Compact"/>
              <w:spacing w:line="240" w:lineRule="auto"/>
              <w:rPr>
                <w:sz w:val="20"/>
                <w:szCs w:val="20"/>
              </w:rPr>
            </w:pPr>
            <w:r w:rsidRPr="002234E3">
              <w:rPr>
                <w:sz w:val="20"/>
                <w:szCs w:val="20"/>
              </w:rPr>
              <w:t>**</w:t>
            </w:r>
          </w:p>
        </w:tc>
        <w:tc>
          <w:tcPr>
            <w:tcW w:w="1418" w:type="dxa"/>
            <w:tcBorders>
              <w:top w:val="dashed" w:sz="4" w:space="0" w:color="auto"/>
            </w:tcBorders>
          </w:tcPr>
          <w:p w14:paraId="00C9A0C9" w14:textId="77777777" w:rsidR="00D04776" w:rsidRPr="002234E3" w:rsidRDefault="00D04776" w:rsidP="00B137C0">
            <w:pPr>
              <w:pStyle w:val="Compact"/>
              <w:spacing w:line="240" w:lineRule="auto"/>
              <w:rPr>
                <w:sz w:val="20"/>
                <w:szCs w:val="20"/>
              </w:rPr>
            </w:pPr>
          </w:p>
        </w:tc>
        <w:tc>
          <w:tcPr>
            <w:tcW w:w="539" w:type="dxa"/>
            <w:tcBorders>
              <w:top w:val="dashed" w:sz="4" w:space="0" w:color="auto"/>
            </w:tcBorders>
          </w:tcPr>
          <w:p w14:paraId="5229F69E" w14:textId="77777777" w:rsidR="00D04776" w:rsidRPr="002234E3" w:rsidRDefault="00D04776" w:rsidP="00B137C0">
            <w:pPr>
              <w:pStyle w:val="Compact"/>
              <w:spacing w:line="240" w:lineRule="auto"/>
              <w:rPr>
                <w:sz w:val="20"/>
                <w:szCs w:val="20"/>
              </w:rPr>
            </w:pPr>
          </w:p>
        </w:tc>
      </w:tr>
      <w:tr w:rsidR="00B137C0" w14:paraId="75AD89A2" w14:textId="77777777" w:rsidTr="00667CCB">
        <w:trPr>
          <w:gridAfter w:val="1"/>
          <w:wAfter w:w="28" w:type="dxa"/>
        </w:trPr>
        <w:tc>
          <w:tcPr>
            <w:tcW w:w="994" w:type="dxa"/>
          </w:tcPr>
          <w:p w14:paraId="69AD8109" w14:textId="77777777" w:rsidR="00D04776" w:rsidRPr="002234E3" w:rsidRDefault="00D04776" w:rsidP="00B137C0">
            <w:pPr>
              <w:pStyle w:val="Compact"/>
              <w:spacing w:line="240" w:lineRule="auto"/>
              <w:rPr>
                <w:sz w:val="20"/>
                <w:szCs w:val="20"/>
              </w:rPr>
            </w:pPr>
          </w:p>
        </w:tc>
        <w:tc>
          <w:tcPr>
            <w:tcW w:w="1982" w:type="dxa"/>
          </w:tcPr>
          <w:p w14:paraId="403C3772" w14:textId="77777777" w:rsidR="00D04776" w:rsidRPr="002234E3" w:rsidRDefault="00D04776" w:rsidP="00B137C0">
            <w:pPr>
              <w:pStyle w:val="Compact"/>
              <w:spacing w:line="240" w:lineRule="auto"/>
              <w:rPr>
                <w:sz w:val="20"/>
                <w:szCs w:val="20"/>
              </w:rPr>
            </w:pPr>
          </w:p>
        </w:tc>
        <w:tc>
          <w:tcPr>
            <w:tcW w:w="1135" w:type="dxa"/>
            <w:tcBorders>
              <w:bottom w:val="dashed" w:sz="4" w:space="0" w:color="auto"/>
            </w:tcBorders>
          </w:tcPr>
          <w:p w14:paraId="6127EFF2" w14:textId="77777777" w:rsidR="00D04776" w:rsidRPr="002234E3" w:rsidRDefault="00D04776" w:rsidP="00B137C0">
            <w:pPr>
              <w:pStyle w:val="Compact"/>
              <w:spacing w:line="240" w:lineRule="auto"/>
              <w:rPr>
                <w:sz w:val="20"/>
                <w:szCs w:val="20"/>
              </w:rPr>
            </w:pPr>
            <w:r w:rsidRPr="002234E3">
              <w:rPr>
                <w:sz w:val="20"/>
                <w:szCs w:val="20"/>
              </w:rPr>
              <w:t>NDVI</w:t>
            </w:r>
          </w:p>
        </w:tc>
        <w:tc>
          <w:tcPr>
            <w:tcW w:w="710" w:type="dxa"/>
            <w:tcBorders>
              <w:bottom w:val="dashed" w:sz="4" w:space="0" w:color="auto"/>
            </w:tcBorders>
          </w:tcPr>
          <w:p w14:paraId="542D0775"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bottom w:val="dashed" w:sz="4" w:space="0" w:color="auto"/>
            </w:tcBorders>
          </w:tcPr>
          <w:p w14:paraId="5E83E699"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bottom w:val="dashed" w:sz="4" w:space="0" w:color="auto"/>
            </w:tcBorders>
          </w:tcPr>
          <w:p w14:paraId="05326649"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bottom w:val="dashed" w:sz="4" w:space="0" w:color="auto"/>
            </w:tcBorders>
          </w:tcPr>
          <w:p w14:paraId="798AA4CE" w14:textId="77777777" w:rsidR="00D04776" w:rsidRPr="002234E3" w:rsidRDefault="00D04776" w:rsidP="00B137C0">
            <w:pPr>
              <w:pStyle w:val="Compact"/>
              <w:spacing w:line="240" w:lineRule="auto"/>
              <w:rPr>
                <w:sz w:val="20"/>
                <w:szCs w:val="20"/>
              </w:rPr>
            </w:pPr>
            <w:r w:rsidRPr="002234E3">
              <w:rPr>
                <w:sz w:val="20"/>
                <w:szCs w:val="20"/>
              </w:rPr>
              <w:t>*</w:t>
            </w:r>
          </w:p>
        </w:tc>
        <w:tc>
          <w:tcPr>
            <w:tcW w:w="1418" w:type="dxa"/>
            <w:tcBorders>
              <w:bottom w:val="dashed" w:sz="4" w:space="0" w:color="auto"/>
            </w:tcBorders>
          </w:tcPr>
          <w:p w14:paraId="56E16C12" w14:textId="77777777" w:rsidR="00D04776" w:rsidRPr="002234E3" w:rsidRDefault="00D04776" w:rsidP="00B137C0">
            <w:pPr>
              <w:pStyle w:val="Compact"/>
              <w:spacing w:line="240" w:lineRule="auto"/>
              <w:rPr>
                <w:sz w:val="20"/>
                <w:szCs w:val="20"/>
              </w:rPr>
            </w:pPr>
          </w:p>
        </w:tc>
        <w:tc>
          <w:tcPr>
            <w:tcW w:w="539" w:type="dxa"/>
            <w:tcBorders>
              <w:bottom w:val="dashed" w:sz="4" w:space="0" w:color="auto"/>
            </w:tcBorders>
          </w:tcPr>
          <w:p w14:paraId="20FBC47C" w14:textId="77777777" w:rsidR="00D04776" w:rsidRPr="002234E3" w:rsidRDefault="00D04776" w:rsidP="00B137C0">
            <w:pPr>
              <w:pStyle w:val="Compact"/>
              <w:spacing w:line="240" w:lineRule="auto"/>
              <w:rPr>
                <w:sz w:val="20"/>
                <w:szCs w:val="20"/>
              </w:rPr>
            </w:pPr>
          </w:p>
        </w:tc>
      </w:tr>
      <w:tr w:rsidR="00B137C0" w14:paraId="6C054DD1" w14:textId="77777777" w:rsidTr="00667CCB">
        <w:trPr>
          <w:gridAfter w:val="1"/>
          <w:wAfter w:w="28" w:type="dxa"/>
        </w:trPr>
        <w:tc>
          <w:tcPr>
            <w:tcW w:w="994" w:type="dxa"/>
          </w:tcPr>
          <w:p w14:paraId="1D85FBB9" w14:textId="77777777" w:rsidR="00D04776" w:rsidRPr="002234E3" w:rsidRDefault="00D04776" w:rsidP="00B137C0">
            <w:pPr>
              <w:pStyle w:val="Compact"/>
              <w:spacing w:line="240" w:lineRule="auto"/>
              <w:rPr>
                <w:sz w:val="20"/>
                <w:szCs w:val="20"/>
              </w:rPr>
            </w:pPr>
          </w:p>
        </w:tc>
        <w:tc>
          <w:tcPr>
            <w:tcW w:w="1982" w:type="dxa"/>
          </w:tcPr>
          <w:p w14:paraId="3816A307" w14:textId="77777777" w:rsidR="00D04776" w:rsidRPr="002234E3" w:rsidRDefault="00D04776" w:rsidP="00B137C0">
            <w:pPr>
              <w:pStyle w:val="Compact"/>
              <w:spacing w:line="240" w:lineRule="auto"/>
              <w:rPr>
                <w:sz w:val="20"/>
                <w:szCs w:val="20"/>
              </w:rPr>
            </w:pPr>
            <w:r w:rsidRPr="002234E3">
              <w:rPr>
                <w:sz w:val="20"/>
                <w:szCs w:val="20"/>
              </w:rPr>
              <w:t>Main effect only</w:t>
            </w:r>
          </w:p>
        </w:tc>
        <w:tc>
          <w:tcPr>
            <w:tcW w:w="1135" w:type="dxa"/>
            <w:tcBorders>
              <w:top w:val="dashed" w:sz="4" w:space="0" w:color="auto"/>
            </w:tcBorders>
          </w:tcPr>
          <w:p w14:paraId="57790D92" w14:textId="77777777" w:rsidR="00D04776" w:rsidRPr="002234E3" w:rsidRDefault="00D04776" w:rsidP="00B137C0">
            <w:pPr>
              <w:pStyle w:val="Compact"/>
              <w:spacing w:line="240" w:lineRule="auto"/>
              <w:rPr>
                <w:sz w:val="20"/>
                <w:szCs w:val="20"/>
              </w:rPr>
            </w:pPr>
            <w:r w:rsidRPr="002234E3">
              <w:rPr>
                <w:sz w:val="20"/>
                <w:szCs w:val="20"/>
              </w:rPr>
              <w:t>Elevation</w:t>
            </w:r>
          </w:p>
        </w:tc>
        <w:tc>
          <w:tcPr>
            <w:tcW w:w="710" w:type="dxa"/>
            <w:tcBorders>
              <w:top w:val="dashed" w:sz="4" w:space="0" w:color="auto"/>
            </w:tcBorders>
          </w:tcPr>
          <w:p w14:paraId="5A0A858F"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top w:val="dashed" w:sz="4" w:space="0" w:color="auto"/>
            </w:tcBorders>
          </w:tcPr>
          <w:p w14:paraId="60B2B1E3"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top w:val="dashed" w:sz="4" w:space="0" w:color="auto"/>
            </w:tcBorders>
          </w:tcPr>
          <w:p w14:paraId="425F43BB" w14:textId="77777777" w:rsidR="00D04776" w:rsidRPr="002234E3" w:rsidRDefault="00D04776" w:rsidP="00B137C0">
            <w:pPr>
              <w:pStyle w:val="Compact"/>
              <w:spacing w:line="240" w:lineRule="auto"/>
              <w:rPr>
                <w:sz w:val="20"/>
                <w:szCs w:val="20"/>
              </w:rPr>
            </w:pPr>
          </w:p>
        </w:tc>
        <w:tc>
          <w:tcPr>
            <w:tcW w:w="568" w:type="dxa"/>
            <w:tcBorders>
              <w:top w:val="dashed" w:sz="4" w:space="0" w:color="auto"/>
            </w:tcBorders>
          </w:tcPr>
          <w:p w14:paraId="5BB636D9" w14:textId="77777777" w:rsidR="00D04776" w:rsidRPr="002234E3" w:rsidRDefault="00D04776" w:rsidP="00B137C0">
            <w:pPr>
              <w:pStyle w:val="Compact"/>
              <w:spacing w:line="240" w:lineRule="auto"/>
              <w:rPr>
                <w:sz w:val="20"/>
                <w:szCs w:val="20"/>
              </w:rPr>
            </w:pPr>
          </w:p>
        </w:tc>
        <w:tc>
          <w:tcPr>
            <w:tcW w:w="1418" w:type="dxa"/>
            <w:tcBorders>
              <w:top w:val="dashed" w:sz="4" w:space="0" w:color="auto"/>
            </w:tcBorders>
          </w:tcPr>
          <w:p w14:paraId="7862FB78" w14:textId="77777777" w:rsidR="00D04776" w:rsidRPr="002234E3" w:rsidRDefault="00D04776" w:rsidP="00B137C0">
            <w:pPr>
              <w:pStyle w:val="Compact"/>
              <w:spacing w:line="240" w:lineRule="auto"/>
              <w:rPr>
                <w:sz w:val="20"/>
                <w:szCs w:val="20"/>
              </w:rPr>
            </w:pPr>
          </w:p>
        </w:tc>
        <w:tc>
          <w:tcPr>
            <w:tcW w:w="539" w:type="dxa"/>
            <w:tcBorders>
              <w:top w:val="dashed" w:sz="4" w:space="0" w:color="auto"/>
            </w:tcBorders>
          </w:tcPr>
          <w:p w14:paraId="0856263B" w14:textId="77777777" w:rsidR="00D04776" w:rsidRPr="002234E3" w:rsidRDefault="00D04776" w:rsidP="00B137C0">
            <w:pPr>
              <w:pStyle w:val="Compact"/>
              <w:spacing w:line="240" w:lineRule="auto"/>
              <w:rPr>
                <w:sz w:val="20"/>
                <w:szCs w:val="20"/>
              </w:rPr>
            </w:pPr>
          </w:p>
        </w:tc>
      </w:tr>
      <w:tr w:rsidR="00B137C0" w14:paraId="670286FE" w14:textId="77777777" w:rsidTr="00046D81">
        <w:trPr>
          <w:gridAfter w:val="1"/>
          <w:wAfter w:w="28" w:type="dxa"/>
        </w:trPr>
        <w:tc>
          <w:tcPr>
            <w:tcW w:w="994" w:type="dxa"/>
          </w:tcPr>
          <w:p w14:paraId="22874775" w14:textId="77777777" w:rsidR="00D04776" w:rsidRPr="002234E3" w:rsidRDefault="00D04776" w:rsidP="00B137C0">
            <w:pPr>
              <w:pStyle w:val="Compact"/>
              <w:spacing w:line="240" w:lineRule="auto"/>
              <w:rPr>
                <w:sz w:val="20"/>
                <w:szCs w:val="20"/>
              </w:rPr>
            </w:pPr>
          </w:p>
        </w:tc>
        <w:tc>
          <w:tcPr>
            <w:tcW w:w="1982" w:type="dxa"/>
          </w:tcPr>
          <w:p w14:paraId="3ACD2926" w14:textId="77777777" w:rsidR="00D04776" w:rsidRPr="002234E3" w:rsidRDefault="00D04776" w:rsidP="00B137C0">
            <w:pPr>
              <w:pStyle w:val="Compact"/>
              <w:spacing w:line="240" w:lineRule="auto"/>
              <w:rPr>
                <w:sz w:val="20"/>
                <w:szCs w:val="20"/>
              </w:rPr>
            </w:pPr>
          </w:p>
        </w:tc>
        <w:tc>
          <w:tcPr>
            <w:tcW w:w="1135" w:type="dxa"/>
          </w:tcPr>
          <w:p w14:paraId="6BB061E1" w14:textId="77777777" w:rsidR="00D04776" w:rsidRPr="002234E3" w:rsidRDefault="00D04776" w:rsidP="00B137C0">
            <w:pPr>
              <w:pStyle w:val="Compact"/>
              <w:spacing w:line="240" w:lineRule="auto"/>
              <w:rPr>
                <w:sz w:val="20"/>
                <w:szCs w:val="20"/>
              </w:rPr>
            </w:pPr>
            <w:r w:rsidRPr="002234E3">
              <w:rPr>
                <w:sz w:val="20"/>
                <w:szCs w:val="20"/>
              </w:rPr>
              <w:t>PDQ</w:t>
            </w:r>
          </w:p>
        </w:tc>
        <w:tc>
          <w:tcPr>
            <w:tcW w:w="710" w:type="dxa"/>
          </w:tcPr>
          <w:p w14:paraId="68A7F517"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Pr>
          <w:p w14:paraId="0E72530B"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Pr>
          <w:p w14:paraId="52E87EBF" w14:textId="77777777" w:rsidR="00D04776" w:rsidRPr="002234E3" w:rsidRDefault="00D04776" w:rsidP="00B137C0">
            <w:pPr>
              <w:pStyle w:val="Compact"/>
              <w:spacing w:line="240" w:lineRule="auto"/>
              <w:rPr>
                <w:sz w:val="20"/>
                <w:szCs w:val="20"/>
              </w:rPr>
            </w:pPr>
          </w:p>
        </w:tc>
        <w:tc>
          <w:tcPr>
            <w:tcW w:w="568" w:type="dxa"/>
          </w:tcPr>
          <w:p w14:paraId="3C53569B" w14:textId="77777777" w:rsidR="00D04776" w:rsidRPr="002234E3" w:rsidRDefault="00D04776" w:rsidP="00B137C0">
            <w:pPr>
              <w:pStyle w:val="Compact"/>
              <w:spacing w:line="240" w:lineRule="auto"/>
              <w:rPr>
                <w:sz w:val="20"/>
                <w:szCs w:val="20"/>
              </w:rPr>
            </w:pPr>
          </w:p>
        </w:tc>
        <w:tc>
          <w:tcPr>
            <w:tcW w:w="1418" w:type="dxa"/>
          </w:tcPr>
          <w:p w14:paraId="642E3D64" w14:textId="77777777" w:rsidR="00D04776" w:rsidRPr="002234E3" w:rsidRDefault="00D04776" w:rsidP="00B137C0">
            <w:pPr>
              <w:pStyle w:val="Compact"/>
              <w:spacing w:line="240" w:lineRule="auto"/>
              <w:rPr>
                <w:sz w:val="20"/>
                <w:szCs w:val="20"/>
              </w:rPr>
            </w:pPr>
          </w:p>
        </w:tc>
        <w:tc>
          <w:tcPr>
            <w:tcW w:w="539" w:type="dxa"/>
          </w:tcPr>
          <w:p w14:paraId="5CF6114C" w14:textId="77777777" w:rsidR="00D04776" w:rsidRPr="002234E3" w:rsidRDefault="00D04776" w:rsidP="00B137C0">
            <w:pPr>
              <w:pStyle w:val="Compact"/>
              <w:spacing w:line="240" w:lineRule="auto"/>
              <w:rPr>
                <w:sz w:val="20"/>
                <w:szCs w:val="20"/>
              </w:rPr>
            </w:pPr>
          </w:p>
        </w:tc>
      </w:tr>
      <w:tr w:rsidR="00B137C0" w14:paraId="285F946C" w14:textId="77777777" w:rsidTr="00046D81">
        <w:trPr>
          <w:gridAfter w:val="1"/>
          <w:wAfter w:w="28" w:type="dxa"/>
        </w:trPr>
        <w:tc>
          <w:tcPr>
            <w:tcW w:w="994" w:type="dxa"/>
          </w:tcPr>
          <w:p w14:paraId="6701BE2D" w14:textId="77777777" w:rsidR="00D04776" w:rsidRPr="002234E3" w:rsidRDefault="00D04776" w:rsidP="00B137C0">
            <w:pPr>
              <w:pStyle w:val="Compact"/>
              <w:spacing w:line="240" w:lineRule="auto"/>
              <w:rPr>
                <w:sz w:val="20"/>
                <w:szCs w:val="20"/>
              </w:rPr>
            </w:pPr>
          </w:p>
        </w:tc>
        <w:tc>
          <w:tcPr>
            <w:tcW w:w="1982" w:type="dxa"/>
          </w:tcPr>
          <w:p w14:paraId="48E9A082" w14:textId="77777777" w:rsidR="00D04776" w:rsidRPr="002234E3" w:rsidRDefault="00D04776" w:rsidP="00B137C0">
            <w:pPr>
              <w:pStyle w:val="Compact"/>
              <w:spacing w:line="240" w:lineRule="auto"/>
              <w:rPr>
                <w:sz w:val="20"/>
                <w:szCs w:val="20"/>
              </w:rPr>
            </w:pPr>
          </w:p>
        </w:tc>
        <w:tc>
          <w:tcPr>
            <w:tcW w:w="1135" w:type="dxa"/>
          </w:tcPr>
          <w:p w14:paraId="45BF851A" w14:textId="77777777" w:rsidR="00D04776" w:rsidRPr="002234E3" w:rsidRDefault="00D04776" w:rsidP="00B137C0">
            <w:pPr>
              <w:pStyle w:val="Compact"/>
              <w:spacing w:line="240" w:lineRule="auto"/>
              <w:rPr>
                <w:sz w:val="20"/>
                <w:szCs w:val="20"/>
              </w:rPr>
            </w:pPr>
            <w:r w:rsidRPr="002234E3">
              <w:rPr>
                <w:sz w:val="20"/>
                <w:szCs w:val="20"/>
              </w:rPr>
              <w:t>Soil C</w:t>
            </w:r>
          </w:p>
        </w:tc>
        <w:tc>
          <w:tcPr>
            <w:tcW w:w="710" w:type="dxa"/>
          </w:tcPr>
          <w:p w14:paraId="5F62032C"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Pr>
          <w:p w14:paraId="4E2088D3"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Pr>
          <w:p w14:paraId="512DD853" w14:textId="77777777" w:rsidR="00D04776" w:rsidRPr="002234E3" w:rsidRDefault="00D04776" w:rsidP="00B137C0">
            <w:pPr>
              <w:pStyle w:val="Compact"/>
              <w:spacing w:line="240" w:lineRule="auto"/>
              <w:rPr>
                <w:sz w:val="20"/>
                <w:szCs w:val="20"/>
              </w:rPr>
            </w:pPr>
          </w:p>
        </w:tc>
        <w:tc>
          <w:tcPr>
            <w:tcW w:w="568" w:type="dxa"/>
          </w:tcPr>
          <w:p w14:paraId="66D0C18A" w14:textId="77777777" w:rsidR="00D04776" w:rsidRPr="002234E3" w:rsidRDefault="00D04776" w:rsidP="00B137C0">
            <w:pPr>
              <w:pStyle w:val="Compact"/>
              <w:spacing w:line="240" w:lineRule="auto"/>
              <w:rPr>
                <w:sz w:val="20"/>
                <w:szCs w:val="20"/>
              </w:rPr>
            </w:pPr>
          </w:p>
        </w:tc>
        <w:tc>
          <w:tcPr>
            <w:tcW w:w="1418" w:type="dxa"/>
          </w:tcPr>
          <w:p w14:paraId="719DBFB8" w14:textId="77777777" w:rsidR="00D04776" w:rsidRPr="002234E3" w:rsidRDefault="00D04776" w:rsidP="00B137C0">
            <w:pPr>
              <w:pStyle w:val="Compact"/>
              <w:spacing w:line="240" w:lineRule="auto"/>
              <w:rPr>
                <w:sz w:val="20"/>
                <w:szCs w:val="20"/>
              </w:rPr>
            </w:pPr>
          </w:p>
        </w:tc>
        <w:tc>
          <w:tcPr>
            <w:tcW w:w="539" w:type="dxa"/>
          </w:tcPr>
          <w:p w14:paraId="4BD0E7F6" w14:textId="77777777" w:rsidR="00D04776" w:rsidRPr="002234E3" w:rsidRDefault="00D04776" w:rsidP="00B137C0">
            <w:pPr>
              <w:pStyle w:val="Compact"/>
              <w:spacing w:line="240" w:lineRule="auto"/>
              <w:rPr>
                <w:sz w:val="20"/>
                <w:szCs w:val="20"/>
              </w:rPr>
            </w:pPr>
          </w:p>
        </w:tc>
      </w:tr>
      <w:tr w:rsidR="00B137C0" w14:paraId="7E899585" w14:textId="77777777" w:rsidTr="00046D81">
        <w:trPr>
          <w:gridAfter w:val="1"/>
          <w:wAfter w:w="28" w:type="dxa"/>
        </w:trPr>
        <w:tc>
          <w:tcPr>
            <w:tcW w:w="994" w:type="dxa"/>
          </w:tcPr>
          <w:p w14:paraId="75CDB4B8" w14:textId="77777777" w:rsidR="00D04776" w:rsidRPr="002234E3" w:rsidRDefault="00D04776" w:rsidP="00B137C0">
            <w:pPr>
              <w:pStyle w:val="Compact"/>
              <w:spacing w:line="240" w:lineRule="auto"/>
              <w:rPr>
                <w:sz w:val="20"/>
                <w:szCs w:val="20"/>
              </w:rPr>
            </w:pPr>
          </w:p>
        </w:tc>
        <w:tc>
          <w:tcPr>
            <w:tcW w:w="1982" w:type="dxa"/>
          </w:tcPr>
          <w:p w14:paraId="6F9AED9A" w14:textId="77777777" w:rsidR="00D04776" w:rsidRPr="002234E3" w:rsidRDefault="00D04776" w:rsidP="00B137C0">
            <w:pPr>
              <w:pStyle w:val="Compact"/>
              <w:spacing w:line="240" w:lineRule="auto"/>
              <w:rPr>
                <w:sz w:val="20"/>
                <w:szCs w:val="20"/>
              </w:rPr>
            </w:pPr>
          </w:p>
        </w:tc>
        <w:tc>
          <w:tcPr>
            <w:tcW w:w="1135" w:type="dxa"/>
          </w:tcPr>
          <w:p w14:paraId="259A2967" w14:textId="77777777" w:rsidR="00D04776" w:rsidRPr="002234E3" w:rsidRDefault="00D04776" w:rsidP="00B137C0">
            <w:pPr>
              <w:pStyle w:val="Compact"/>
              <w:spacing w:line="240" w:lineRule="auto"/>
              <w:rPr>
                <w:sz w:val="20"/>
                <w:szCs w:val="20"/>
              </w:rPr>
            </w:pPr>
            <w:r w:rsidRPr="002234E3">
              <w:rPr>
                <w:sz w:val="20"/>
                <w:szCs w:val="20"/>
              </w:rPr>
              <w:t>Surface T</w:t>
            </w:r>
          </w:p>
        </w:tc>
        <w:tc>
          <w:tcPr>
            <w:tcW w:w="710" w:type="dxa"/>
          </w:tcPr>
          <w:p w14:paraId="26332305"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Pr>
          <w:p w14:paraId="12D33F0D"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Pr>
          <w:p w14:paraId="4D268D18" w14:textId="77777777" w:rsidR="00D04776" w:rsidRPr="002234E3" w:rsidRDefault="00D04776" w:rsidP="00B137C0">
            <w:pPr>
              <w:pStyle w:val="Compact"/>
              <w:spacing w:line="240" w:lineRule="auto"/>
              <w:rPr>
                <w:sz w:val="20"/>
                <w:szCs w:val="20"/>
              </w:rPr>
            </w:pPr>
          </w:p>
        </w:tc>
        <w:tc>
          <w:tcPr>
            <w:tcW w:w="568" w:type="dxa"/>
          </w:tcPr>
          <w:p w14:paraId="5AFFB479" w14:textId="77777777" w:rsidR="00D04776" w:rsidRPr="002234E3" w:rsidRDefault="00D04776" w:rsidP="00B137C0">
            <w:pPr>
              <w:pStyle w:val="Compact"/>
              <w:spacing w:line="240" w:lineRule="auto"/>
              <w:rPr>
                <w:sz w:val="20"/>
                <w:szCs w:val="20"/>
              </w:rPr>
            </w:pPr>
          </w:p>
        </w:tc>
        <w:tc>
          <w:tcPr>
            <w:tcW w:w="1418" w:type="dxa"/>
          </w:tcPr>
          <w:p w14:paraId="1EBB6F3C" w14:textId="77777777" w:rsidR="00D04776" w:rsidRPr="002234E3" w:rsidRDefault="00D04776" w:rsidP="00B137C0">
            <w:pPr>
              <w:pStyle w:val="Compact"/>
              <w:spacing w:line="240" w:lineRule="auto"/>
              <w:rPr>
                <w:sz w:val="20"/>
                <w:szCs w:val="20"/>
              </w:rPr>
            </w:pPr>
          </w:p>
        </w:tc>
        <w:tc>
          <w:tcPr>
            <w:tcW w:w="539" w:type="dxa"/>
          </w:tcPr>
          <w:p w14:paraId="17A70C25" w14:textId="77777777" w:rsidR="00D04776" w:rsidRPr="002234E3" w:rsidRDefault="00D04776" w:rsidP="00B137C0">
            <w:pPr>
              <w:pStyle w:val="Compact"/>
              <w:spacing w:line="240" w:lineRule="auto"/>
              <w:rPr>
                <w:sz w:val="20"/>
                <w:szCs w:val="20"/>
              </w:rPr>
            </w:pPr>
          </w:p>
        </w:tc>
      </w:tr>
      <w:tr w:rsidR="00B137C0" w14:paraId="4A161674" w14:textId="77777777" w:rsidTr="00667CCB">
        <w:trPr>
          <w:gridAfter w:val="1"/>
          <w:wAfter w:w="28" w:type="dxa"/>
        </w:trPr>
        <w:tc>
          <w:tcPr>
            <w:tcW w:w="994" w:type="dxa"/>
          </w:tcPr>
          <w:p w14:paraId="7F3A045A" w14:textId="77777777" w:rsidR="00D04776" w:rsidRPr="002234E3" w:rsidRDefault="00D04776" w:rsidP="00B137C0">
            <w:pPr>
              <w:pStyle w:val="Compact"/>
              <w:spacing w:line="240" w:lineRule="auto"/>
              <w:rPr>
                <w:sz w:val="20"/>
                <w:szCs w:val="20"/>
              </w:rPr>
            </w:pPr>
          </w:p>
        </w:tc>
        <w:tc>
          <w:tcPr>
            <w:tcW w:w="1982" w:type="dxa"/>
          </w:tcPr>
          <w:p w14:paraId="6FC5E668" w14:textId="77777777" w:rsidR="00D04776" w:rsidRPr="002234E3" w:rsidRDefault="00D04776" w:rsidP="00B137C0">
            <w:pPr>
              <w:pStyle w:val="Compact"/>
              <w:spacing w:line="240" w:lineRule="auto"/>
              <w:rPr>
                <w:sz w:val="20"/>
                <w:szCs w:val="20"/>
              </w:rPr>
            </w:pPr>
          </w:p>
        </w:tc>
        <w:tc>
          <w:tcPr>
            <w:tcW w:w="1135" w:type="dxa"/>
            <w:tcBorders>
              <w:bottom w:val="dashed" w:sz="4" w:space="0" w:color="auto"/>
            </w:tcBorders>
          </w:tcPr>
          <w:p w14:paraId="16250B69" w14:textId="77777777" w:rsidR="00D04776" w:rsidRPr="002234E3" w:rsidRDefault="00D04776" w:rsidP="00B137C0">
            <w:pPr>
              <w:pStyle w:val="Compact"/>
              <w:spacing w:line="240" w:lineRule="auto"/>
              <w:rPr>
                <w:sz w:val="20"/>
                <w:szCs w:val="20"/>
              </w:rPr>
            </w:pPr>
            <w:r w:rsidRPr="002234E3">
              <w:rPr>
                <w:sz w:val="20"/>
                <w:szCs w:val="20"/>
              </w:rPr>
              <w:t>PC1</w:t>
            </w:r>
          </w:p>
        </w:tc>
        <w:tc>
          <w:tcPr>
            <w:tcW w:w="710" w:type="dxa"/>
            <w:tcBorders>
              <w:bottom w:val="dashed" w:sz="4" w:space="0" w:color="auto"/>
            </w:tcBorders>
          </w:tcPr>
          <w:p w14:paraId="263376B7"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bottom w:val="dashed" w:sz="4" w:space="0" w:color="auto"/>
            </w:tcBorders>
          </w:tcPr>
          <w:p w14:paraId="1F5E0D78"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bottom w:val="dashed" w:sz="4" w:space="0" w:color="auto"/>
            </w:tcBorders>
          </w:tcPr>
          <w:p w14:paraId="763776E7" w14:textId="77777777" w:rsidR="00D04776" w:rsidRPr="002234E3" w:rsidRDefault="00D04776" w:rsidP="00B137C0">
            <w:pPr>
              <w:pStyle w:val="Compact"/>
              <w:spacing w:line="240" w:lineRule="auto"/>
              <w:rPr>
                <w:sz w:val="20"/>
                <w:szCs w:val="20"/>
              </w:rPr>
            </w:pPr>
          </w:p>
        </w:tc>
        <w:tc>
          <w:tcPr>
            <w:tcW w:w="568" w:type="dxa"/>
            <w:tcBorders>
              <w:bottom w:val="dashed" w:sz="4" w:space="0" w:color="auto"/>
            </w:tcBorders>
          </w:tcPr>
          <w:p w14:paraId="48D9729B" w14:textId="77777777" w:rsidR="00D04776" w:rsidRPr="002234E3" w:rsidRDefault="00D04776" w:rsidP="00B137C0">
            <w:pPr>
              <w:pStyle w:val="Compact"/>
              <w:spacing w:line="240" w:lineRule="auto"/>
              <w:rPr>
                <w:sz w:val="20"/>
                <w:szCs w:val="20"/>
              </w:rPr>
            </w:pPr>
          </w:p>
        </w:tc>
        <w:tc>
          <w:tcPr>
            <w:tcW w:w="1418" w:type="dxa"/>
            <w:tcBorders>
              <w:bottom w:val="dashed" w:sz="4" w:space="0" w:color="auto"/>
            </w:tcBorders>
          </w:tcPr>
          <w:p w14:paraId="590E735B" w14:textId="77777777" w:rsidR="00D04776" w:rsidRPr="002234E3" w:rsidRDefault="00D04776" w:rsidP="00B137C0">
            <w:pPr>
              <w:pStyle w:val="Compact"/>
              <w:spacing w:line="240" w:lineRule="auto"/>
              <w:rPr>
                <w:sz w:val="20"/>
                <w:szCs w:val="20"/>
              </w:rPr>
            </w:pPr>
          </w:p>
        </w:tc>
        <w:tc>
          <w:tcPr>
            <w:tcW w:w="539" w:type="dxa"/>
            <w:tcBorders>
              <w:bottom w:val="dashed" w:sz="4" w:space="0" w:color="auto"/>
            </w:tcBorders>
          </w:tcPr>
          <w:p w14:paraId="1A6C5C1A" w14:textId="77777777" w:rsidR="00D04776" w:rsidRPr="002234E3" w:rsidRDefault="00D04776" w:rsidP="00B137C0">
            <w:pPr>
              <w:pStyle w:val="Compact"/>
              <w:spacing w:line="240" w:lineRule="auto"/>
              <w:rPr>
                <w:sz w:val="20"/>
                <w:szCs w:val="20"/>
              </w:rPr>
            </w:pPr>
          </w:p>
        </w:tc>
      </w:tr>
      <w:tr w:rsidR="00B137C0" w14:paraId="77F382D9" w14:textId="77777777" w:rsidTr="00667CCB">
        <w:trPr>
          <w:gridAfter w:val="1"/>
          <w:wAfter w:w="28" w:type="dxa"/>
        </w:trPr>
        <w:tc>
          <w:tcPr>
            <w:tcW w:w="994" w:type="dxa"/>
          </w:tcPr>
          <w:p w14:paraId="4C684525" w14:textId="77777777" w:rsidR="00D04776" w:rsidRPr="002234E3" w:rsidRDefault="00D04776" w:rsidP="00B137C0">
            <w:pPr>
              <w:pStyle w:val="Compact"/>
              <w:spacing w:line="240" w:lineRule="auto"/>
              <w:rPr>
                <w:sz w:val="20"/>
                <w:szCs w:val="20"/>
              </w:rPr>
            </w:pPr>
          </w:p>
        </w:tc>
        <w:tc>
          <w:tcPr>
            <w:tcW w:w="1982" w:type="dxa"/>
          </w:tcPr>
          <w:p w14:paraId="57317096" w14:textId="77777777" w:rsidR="00D04776" w:rsidRPr="002234E3" w:rsidRDefault="00D04776" w:rsidP="00B137C0">
            <w:pPr>
              <w:pStyle w:val="Compact"/>
              <w:spacing w:line="240" w:lineRule="auto"/>
              <w:rPr>
                <w:sz w:val="20"/>
                <w:szCs w:val="20"/>
              </w:rPr>
            </w:pPr>
            <w:r w:rsidRPr="002234E3">
              <w:rPr>
                <w:sz w:val="20"/>
                <w:szCs w:val="20"/>
              </w:rPr>
              <w:t>Region only</w:t>
            </w:r>
          </w:p>
        </w:tc>
        <w:tc>
          <w:tcPr>
            <w:tcW w:w="1135" w:type="dxa"/>
            <w:tcBorders>
              <w:top w:val="dashed" w:sz="4" w:space="0" w:color="auto"/>
            </w:tcBorders>
          </w:tcPr>
          <w:p w14:paraId="1EB903A9" w14:textId="77777777" w:rsidR="00D04776" w:rsidRPr="002234E3" w:rsidRDefault="00D04776" w:rsidP="00B137C0">
            <w:pPr>
              <w:pStyle w:val="Compact"/>
              <w:spacing w:line="240" w:lineRule="auto"/>
              <w:rPr>
                <w:sz w:val="20"/>
                <w:szCs w:val="20"/>
              </w:rPr>
            </w:pPr>
            <w:r w:rsidRPr="002234E3">
              <w:rPr>
                <w:sz w:val="20"/>
                <w:szCs w:val="20"/>
              </w:rPr>
              <w:t>CEC</w:t>
            </w:r>
          </w:p>
        </w:tc>
        <w:tc>
          <w:tcPr>
            <w:tcW w:w="710" w:type="dxa"/>
            <w:tcBorders>
              <w:top w:val="dashed" w:sz="4" w:space="0" w:color="auto"/>
            </w:tcBorders>
          </w:tcPr>
          <w:p w14:paraId="3ACE23B7"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top w:val="dashed" w:sz="4" w:space="0" w:color="auto"/>
            </w:tcBorders>
          </w:tcPr>
          <w:p w14:paraId="113CFB99" w14:textId="77777777" w:rsidR="00D04776" w:rsidRPr="002234E3" w:rsidRDefault="00D04776" w:rsidP="00B137C0">
            <w:pPr>
              <w:pStyle w:val="Compact"/>
              <w:spacing w:line="240" w:lineRule="auto"/>
              <w:rPr>
                <w:sz w:val="20"/>
                <w:szCs w:val="20"/>
              </w:rPr>
            </w:pPr>
          </w:p>
        </w:tc>
        <w:tc>
          <w:tcPr>
            <w:tcW w:w="1417" w:type="dxa"/>
            <w:tcBorders>
              <w:top w:val="dashed" w:sz="4" w:space="0" w:color="auto"/>
            </w:tcBorders>
          </w:tcPr>
          <w:p w14:paraId="6B8CE76F"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top w:val="dashed" w:sz="4" w:space="0" w:color="auto"/>
            </w:tcBorders>
          </w:tcPr>
          <w:p w14:paraId="179778C6" w14:textId="77777777" w:rsidR="00D04776" w:rsidRPr="002234E3" w:rsidRDefault="00D04776" w:rsidP="00B137C0">
            <w:pPr>
              <w:pStyle w:val="Compact"/>
              <w:spacing w:line="240" w:lineRule="auto"/>
              <w:rPr>
                <w:sz w:val="20"/>
                <w:szCs w:val="20"/>
              </w:rPr>
            </w:pPr>
            <w:r w:rsidRPr="002234E3">
              <w:rPr>
                <w:sz w:val="20"/>
                <w:szCs w:val="20"/>
              </w:rPr>
              <w:t>**</w:t>
            </w:r>
          </w:p>
        </w:tc>
        <w:tc>
          <w:tcPr>
            <w:tcW w:w="1418" w:type="dxa"/>
            <w:tcBorders>
              <w:top w:val="dashed" w:sz="4" w:space="0" w:color="auto"/>
            </w:tcBorders>
          </w:tcPr>
          <w:p w14:paraId="290109B1" w14:textId="77777777" w:rsidR="00D04776" w:rsidRPr="002234E3" w:rsidRDefault="00D04776" w:rsidP="00B137C0">
            <w:pPr>
              <w:pStyle w:val="Compact"/>
              <w:spacing w:line="240" w:lineRule="auto"/>
              <w:rPr>
                <w:sz w:val="20"/>
                <w:szCs w:val="20"/>
              </w:rPr>
            </w:pPr>
          </w:p>
        </w:tc>
        <w:tc>
          <w:tcPr>
            <w:tcW w:w="539" w:type="dxa"/>
            <w:tcBorders>
              <w:top w:val="dashed" w:sz="4" w:space="0" w:color="auto"/>
            </w:tcBorders>
          </w:tcPr>
          <w:p w14:paraId="27DD82E6" w14:textId="77777777" w:rsidR="00D04776" w:rsidRPr="002234E3" w:rsidRDefault="00D04776" w:rsidP="00B137C0">
            <w:pPr>
              <w:pStyle w:val="Compact"/>
              <w:spacing w:line="240" w:lineRule="auto"/>
              <w:rPr>
                <w:sz w:val="20"/>
                <w:szCs w:val="20"/>
              </w:rPr>
            </w:pPr>
          </w:p>
        </w:tc>
      </w:tr>
      <w:tr w:rsidR="00B137C0" w14:paraId="3EF2B390" w14:textId="77777777" w:rsidTr="00046D81">
        <w:trPr>
          <w:gridAfter w:val="1"/>
          <w:wAfter w:w="28" w:type="dxa"/>
        </w:trPr>
        <w:tc>
          <w:tcPr>
            <w:tcW w:w="994" w:type="dxa"/>
            <w:tcBorders>
              <w:bottom w:val="single" w:sz="4" w:space="0" w:color="auto"/>
            </w:tcBorders>
          </w:tcPr>
          <w:p w14:paraId="53EFC21B" w14:textId="77777777" w:rsidR="00D04776" w:rsidRPr="002234E3" w:rsidRDefault="00D04776" w:rsidP="00B137C0">
            <w:pPr>
              <w:pStyle w:val="Compact"/>
              <w:spacing w:line="240" w:lineRule="auto"/>
              <w:rPr>
                <w:sz w:val="20"/>
                <w:szCs w:val="20"/>
              </w:rPr>
            </w:pPr>
          </w:p>
        </w:tc>
        <w:tc>
          <w:tcPr>
            <w:tcW w:w="1982" w:type="dxa"/>
            <w:tcBorders>
              <w:bottom w:val="single" w:sz="4" w:space="0" w:color="auto"/>
            </w:tcBorders>
          </w:tcPr>
          <w:p w14:paraId="2FF668A4" w14:textId="77777777" w:rsidR="00D04776" w:rsidRPr="002234E3" w:rsidRDefault="00D04776" w:rsidP="00B137C0">
            <w:pPr>
              <w:pStyle w:val="Compact"/>
              <w:spacing w:line="240" w:lineRule="auto"/>
              <w:rPr>
                <w:sz w:val="20"/>
                <w:szCs w:val="20"/>
              </w:rPr>
            </w:pPr>
          </w:p>
        </w:tc>
        <w:tc>
          <w:tcPr>
            <w:tcW w:w="1135" w:type="dxa"/>
            <w:tcBorders>
              <w:bottom w:val="single" w:sz="4" w:space="0" w:color="auto"/>
            </w:tcBorders>
          </w:tcPr>
          <w:p w14:paraId="1B192576" w14:textId="77777777" w:rsidR="00D04776" w:rsidRPr="002234E3" w:rsidRDefault="00D04776" w:rsidP="00B137C0">
            <w:pPr>
              <w:pStyle w:val="Compact"/>
              <w:spacing w:line="240" w:lineRule="auto"/>
              <w:rPr>
                <w:sz w:val="20"/>
                <w:szCs w:val="20"/>
              </w:rPr>
            </w:pPr>
            <w:r w:rsidRPr="002234E3">
              <w:rPr>
                <w:sz w:val="20"/>
                <w:szCs w:val="20"/>
              </w:rPr>
              <w:t>pH</w:t>
            </w:r>
          </w:p>
        </w:tc>
        <w:tc>
          <w:tcPr>
            <w:tcW w:w="710" w:type="dxa"/>
            <w:tcBorders>
              <w:bottom w:val="single" w:sz="4" w:space="0" w:color="auto"/>
            </w:tcBorders>
          </w:tcPr>
          <w:p w14:paraId="2EBED717"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bottom w:val="single" w:sz="4" w:space="0" w:color="auto"/>
            </w:tcBorders>
          </w:tcPr>
          <w:p w14:paraId="6A4E622C" w14:textId="77777777" w:rsidR="00D04776" w:rsidRPr="002234E3" w:rsidRDefault="00D04776" w:rsidP="00B137C0">
            <w:pPr>
              <w:pStyle w:val="Compact"/>
              <w:spacing w:line="240" w:lineRule="auto"/>
              <w:rPr>
                <w:sz w:val="20"/>
                <w:szCs w:val="20"/>
              </w:rPr>
            </w:pPr>
          </w:p>
        </w:tc>
        <w:tc>
          <w:tcPr>
            <w:tcW w:w="1417" w:type="dxa"/>
            <w:tcBorders>
              <w:bottom w:val="single" w:sz="4" w:space="0" w:color="auto"/>
            </w:tcBorders>
          </w:tcPr>
          <w:p w14:paraId="5C192380"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bottom w:val="single" w:sz="4" w:space="0" w:color="auto"/>
            </w:tcBorders>
          </w:tcPr>
          <w:p w14:paraId="4B73C675" w14:textId="77777777" w:rsidR="00D04776" w:rsidRPr="002234E3" w:rsidRDefault="00D04776" w:rsidP="00B137C0">
            <w:pPr>
              <w:pStyle w:val="Compact"/>
              <w:spacing w:line="240" w:lineRule="auto"/>
              <w:rPr>
                <w:sz w:val="20"/>
                <w:szCs w:val="20"/>
              </w:rPr>
            </w:pPr>
            <w:r w:rsidRPr="002234E3">
              <w:rPr>
                <w:sz w:val="20"/>
                <w:szCs w:val="20"/>
              </w:rPr>
              <w:t>**</w:t>
            </w:r>
          </w:p>
        </w:tc>
        <w:tc>
          <w:tcPr>
            <w:tcW w:w="1418" w:type="dxa"/>
            <w:tcBorders>
              <w:bottom w:val="single" w:sz="4" w:space="0" w:color="auto"/>
            </w:tcBorders>
          </w:tcPr>
          <w:p w14:paraId="339151FE" w14:textId="77777777" w:rsidR="00D04776" w:rsidRPr="002234E3" w:rsidRDefault="00D04776" w:rsidP="00B137C0">
            <w:pPr>
              <w:pStyle w:val="Compact"/>
              <w:spacing w:line="240" w:lineRule="auto"/>
              <w:rPr>
                <w:sz w:val="20"/>
                <w:szCs w:val="20"/>
              </w:rPr>
            </w:pPr>
          </w:p>
        </w:tc>
        <w:tc>
          <w:tcPr>
            <w:tcW w:w="539" w:type="dxa"/>
            <w:tcBorders>
              <w:bottom w:val="single" w:sz="4" w:space="0" w:color="auto"/>
            </w:tcBorders>
          </w:tcPr>
          <w:p w14:paraId="69034ECB" w14:textId="77777777" w:rsidR="00D04776" w:rsidRPr="002234E3" w:rsidRDefault="00D04776" w:rsidP="00B137C0">
            <w:pPr>
              <w:pStyle w:val="Compact"/>
              <w:spacing w:line="240" w:lineRule="auto"/>
              <w:rPr>
                <w:sz w:val="20"/>
                <w:szCs w:val="20"/>
              </w:rPr>
            </w:pPr>
          </w:p>
        </w:tc>
      </w:tr>
      <w:tr w:rsidR="00B137C0" w14:paraId="5E236C3F" w14:textId="77777777" w:rsidTr="00046D81">
        <w:trPr>
          <w:gridAfter w:val="1"/>
          <w:wAfter w:w="28" w:type="dxa"/>
        </w:trPr>
        <w:tc>
          <w:tcPr>
            <w:tcW w:w="994" w:type="dxa"/>
            <w:tcBorders>
              <w:top w:val="single" w:sz="4" w:space="0" w:color="auto"/>
            </w:tcBorders>
          </w:tcPr>
          <w:p w14:paraId="7FDF71C7" w14:textId="77777777" w:rsidR="00D04776" w:rsidRPr="002234E3" w:rsidRDefault="00D04776" w:rsidP="00B137C0">
            <w:pPr>
              <w:pStyle w:val="Compact"/>
              <w:spacing w:line="240" w:lineRule="auto"/>
              <w:rPr>
                <w:sz w:val="20"/>
                <w:szCs w:val="20"/>
              </w:rPr>
            </w:pPr>
            <w:r w:rsidRPr="002234E3">
              <w:rPr>
                <w:sz w:val="20"/>
                <w:szCs w:val="20"/>
              </w:rPr>
              <w:t xml:space="preserve">(b) </w:t>
            </w:r>
            <w:r w:rsidRPr="002234E3">
              <w:rPr>
                <w:i/>
                <w:sz w:val="20"/>
                <w:szCs w:val="20"/>
              </w:rPr>
              <w:t>S</w:t>
            </w:r>
            <w:r w:rsidRPr="002234E3">
              <w:rPr>
                <w:sz w:val="20"/>
                <w:szCs w:val="20"/>
                <w:vertAlign w:val="subscript"/>
              </w:rPr>
              <w:t>QDS</w:t>
            </w:r>
          </w:p>
        </w:tc>
        <w:tc>
          <w:tcPr>
            <w:tcW w:w="1982" w:type="dxa"/>
            <w:tcBorders>
              <w:top w:val="single" w:sz="4" w:space="0" w:color="auto"/>
            </w:tcBorders>
          </w:tcPr>
          <w:p w14:paraId="3A1CD0A9" w14:textId="77777777" w:rsidR="00D04776" w:rsidRPr="002234E3" w:rsidRDefault="00D04776" w:rsidP="00B137C0">
            <w:pPr>
              <w:pStyle w:val="Compact"/>
              <w:spacing w:line="240" w:lineRule="auto"/>
              <w:rPr>
                <w:sz w:val="20"/>
                <w:szCs w:val="20"/>
              </w:rPr>
            </w:pPr>
            <w:r w:rsidRPr="002234E3">
              <w:rPr>
                <w:sz w:val="20"/>
                <w:szCs w:val="20"/>
              </w:rPr>
              <w:t>Main effect × region</w:t>
            </w:r>
          </w:p>
        </w:tc>
        <w:tc>
          <w:tcPr>
            <w:tcW w:w="1135" w:type="dxa"/>
            <w:tcBorders>
              <w:top w:val="single" w:sz="4" w:space="0" w:color="auto"/>
            </w:tcBorders>
          </w:tcPr>
          <w:p w14:paraId="7E7DB67D" w14:textId="77777777" w:rsidR="00D04776" w:rsidRPr="002234E3" w:rsidRDefault="00D04776" w:rsidP="00B137C0">
            <w:pPr>
              <w:pStyle w:val="Compact"/>
              <w:spacing w:line="240" w:lineRule="auto"/>
              <w:rPr>
                <w:sz w:val="20"/>
                <w:szCs w:val="20"/>
              </w:rPr>
            </w:pPr>
            <w:r w:rsidRPr="002234E3">
              <w:rPr>
                <w:sz w:val="20"/>
                <w:szCs w:val="20"/>
              </w:rPr>
              <w:t>NDVI</w:t>
            </w:r>
          </w:p>
        </w:tc>
        <w:tc>
          <w:tcPr>
            <w:tcW w:w="710" w:type="dxa"/>
            <w:tcBorders>
              <w:top w:val="single" w:sz="4" w:space="0" w:color="auto"/>
            </w:tcBorders>
          </w:tcPr>
          <w:p w14:paraId="37CEC41C"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top w:val="single" w:sz="4" w:space="0" w:color="auto"/>
            </w:tcBorders>
          </w:tcPr>
          <w:p w14:paraId="124632D4"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top w:val="single" w:sz="4" w:space="0" w:color="auto"/>
            </w:tcBorders>
          </w:tcPr>
          <w:p w14:paraId="2A189B86"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top w:val="single" w:sz="4" w:space="0" w:color="auto"/>
            </w:tcBorders>
          </w:tcPr>
          <w:p w14:paraId="0D13397A" w14:textId="77777777" w:rsidR="00D04776" w:rsidRPr="002234E3" w:rsidRDefault="00D04776" w:rsidP="00B137C0">
            <w:pPr>
              <w:pStyle w:val="Compact"/>
              <w:spacing w:line="240" w:lineRule="auto"/>
              <w:rPr>
                <w:sz w:val="20"/>
                <w:szCs w:val="20"/>
              </w:rPr>
            </w:pPr>
            <w:r w:rsidRPr="002234E3">
              <w:rPr>
                <w:sz w:val="20"/>
                <w:szCs w:val="20"/>
              </w:rPr>
              <w:t>**</w:t>
            </w:r>
          </w:p>
        </w:tc>
        <w:tc>
          <w:tcPr>
            <w:tcW w:w="1418" w:type="dxa"/>
            <w:tcBorders>
              <w:top w:val="single" w:sz="4" w:space="0" w:color="auto"/>
            </w:tcBorders>
          </w:tcPr>
          <w:p w14:paraId="3590AFF9"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39" w:type="dxa"/>
            <w:tcBorders>
              <w:top w:val="single" w:sz="4" w:space="0" w:color="auto"/>
            </w:tcBorders>
          </w:tcPr>
          <w:p w14:paraId="0ABBB535" w14:textId="77777777" w:rsidR="00D04776" w:rsidRPr="002234E3" w:rsidRDefault="00D04776" w:rsidP="00B137C0">
            <w:pPr>
              <w:pStyle w:val="Compact"/>
              <w:spacing w:line="240" w:lineRule="auto"/>
              <w:rPr>
                <w:sz w:val="20"/>
                <w:szCs w:val="20"/>
              </w:rPr>
            </w:pPr>
            <w:r w:rsidRPr="002234E3">
              <w:rPr>
                <w:sz w:val="20"/>
                <w:szCs w:val="20"/>
              </w:rPr>
              <w:t>***</w:t>
            </w:r>
          </w:p>
        </w:tc>
      </w:tr>
      <w:tr w:rsidR="00B137C0" w14:paraId="7933C511" w14:textId="77777777" w:rsidTr="00046D81">
        <w:trPr>
          <w:gridAfter w:val="1"/>
          <w:wAfter w:w="28" w:type="dxa"/>
        </w:trPr>
        <w:tc>
          <w:tcPr>
            <w:tcW w:w="994" w:type="dxa"/>
          </w:tcPr>
          <w:p w14:paraId="0FFC9D5B" w14:textId="77777777" w:rsidR="00D04776" w:rsidRPr="002234E3" w:rsidRDefault="00D04776" w:rsidP="00B137C0">
            <w:pPr>
              <w:pStyle w:val="Compact"/>
              <w:spacing w:line="240" w:lineRule="auto"/>
              <w:rPr>
                <w:sz w:val="20"/>
                <w:szCs w:val="20"/>
              </w:rPr>
            </w:pPr>
          </w:p>
        </w:tc>
        <w:tc>
          <w:tcPr>
            <w:tcW w:w="1982" w:type="dxa"/>
          </w:tcPr>
          <w:p w14:paraId="692D782F" w14:textId="77777777" w:rsidR="00D04776" w:rsidRPr="002234E3" w:rsidRDefault="00D04776" w:rsidP="00B137C0">
            <w:pPr>
              <w:pStyle w:val="Compact"/>
              <w:spacing w:line="240" w:lineRule="auto"/>
              <w:rPr>
                <w:sz w:val="20"/>
                <w:szCs w:val="20"/>
              </w:rPr>
            </w:pPr>
          </w:p>
        </w:tc>
        <w:tc>
          <w:tcPr>
            <w:tcW w:w="1135" w:type="dxa"/>
          </w:tcPr>
          <w:p w14:paraId="106891E5" w14:textId="77777777" w:rsidR="00D04776" w:rsidRPr="002234E3" w:rsidRDefault="00D04776" w:rsidP="00B137C0">
            <w:pPr>
              <w:pStyle w:val="Compact"/>
              <w:spacing w:line="240" w:lineRule="auto"/>
              <w:rPr>
                <w:sz w:val="20"/>
                <w:szCs w:val="20"/>
              </w:rPr>
            </w:pPr>
            <w:r w:rsidRPr="002234E3">
              <w:rPr>
                <w:sz w:val="20"/>
                <w:szCs w:val="20"/>
              </w:rPr>
              <w:t>PDQ</w:t>
            </w:r>
          </w:p>
        </w:tc>
        <w:tc>
          <w:tcPr>
            <w:tcW w:w="710" w:type="dxa"/>
          </w:tcPr>
          <w:p w14:paraId="16B1CA79"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Pr>
          <w:p w14:paraId="3DB133FD"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Pr>
          <w:p w14:paraId="522434F2"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Pr>
          <w:p w14:paraId="520FFF0E" w14:textId="77777777" w:rsidR="00D04776" w:rsidRPr="002234E3" w:rsidRDefault="00D04776" w:rsidP="00B137C0">
            <w:pPr>
              <w:pStyle w:val="Compact"/>
              <w:spacing w:line="240" w:lineRule="auto"/>
              <w:rPr>
                <w:sz w:val="20"/>
                <w:szCs w:val="20"/>
              </w:rPr>
            </w:pPr>
          </w:p>
        </w:tc>
        <w:tc>
          <w:tcPr>
            <w:tcW w:w="1418" w:type="dxa"/>
          </w:tcPr>
          <w:p w14:paraId="4AB89F71"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39" w:type="dxa"/>
          </w:tcPr>
          <w:p w14:paraId="27C98659" w14:textId="77777777" w:rsidR="00D04776" w:rsidRPr="002234E3" w:rsidRDefault="00D04776" w:rsidP="00B137C0">
            <w:pPr>
              <w:pStyle w:val="Compact"/>
              <w:spacing w:line="240" w:lineRule="auto"/>
              <w:rPr>
                <w:sz w:val="20"/>
                <w:szCs w:val="20"/>
              </w:rPr>
            </w:pPr>
            <w:r w:rsidRPr="002234E3">
              <w:rPr>
                <w:sz w:val="20"/>
                <w:szCs w:val="20"/>
              </w:rPr>
              <w:t>***</w:t>
            </w:r>
          </w:p>
        </w:tc>
      </w:tr>
      <w:tr w:rsidR="00B137C0" w14:paraId="791B7B7E" w14:textId="77777777" w:rsidTr="00046D81">
        <w:trPr>
          <w:gridAfter w:val="1"/>
          <w:wAfter w:w="28" w:type="dxa"/>
        </w:trPr>
        <w:tc>
          <w:tcPr>
            <w:tcW w:w="994" w:type="dxa"/>
          </w:tcPr>
          <w:p w14:paraId="521C1AFB" w14:textId="77777777" w:rsidR="00D04776" w:rsidRPr="002234E3" w:rsidRDefault="00D04776" w:rsidP="00B137C0">
            <w:pPr>
              <w:pStyle w:val="Compact"/>
              <w:spacing w:line="240" w:lineRule="auto"/>
              <w:rPr>
                <w:sz w:val="20"/>
                <w:szCs w:val="20"/>
              </w:rPr>
            </w:pPr>
          </w:p>
        </w:tc>
        <w:tc>
          <w:tcPr>
            <w:tcW w:w="1982" w:type="dxa"/>
            <w:tcBorders>
              <w:bottom w:val="dashed" w:sz="4" w:space="0" w:color="auto"/>
            </w:tcBorders>
          </w:tcPr>
          <w:p w14:paraId="1B43E820" w14:textId="77777777" w:rsidR="00D04776" w:rsidRPr="002234E3" w:rsidRDefault="00D04776" w:rsidP="00B137C0">
            <w:pPr>
              <w:pStyle w:val="Compact"/>
              <w:spacing w:line="240" w:lineRule="auto"/>
              <w:rPr>
                <w:sz w:val="20"/>
                <w:szCs w:val="20"/>
              </w:rPr>
            </w:pPr>
          </w:p>
        </w:tc>
        <w:tc>
          <w:tcPr>
            <w:tcW w:w="1135" w:type="dxa"/>
            <w:tcBorders>
              <w:bottom w:val="dashed" w:sz="4" w:space="0" w:color="auto"/>
            </w:tcBorders>
          </w:tcPr>
          <w:p w14:paraId="172CDE68" w14:textId="77777777" w:rsidR="00D04776" w:rsidRPr="002234E3" w:rsidRDefault="00D04776" w:rsidP="00B137C0">
            <w:pPr>
              <w:pStyle w:val="Compact"/>
              <w:spacing w:line="240" w:lineRule="auto"/>
              <w:rPr>
                <w:sz w:val="20"/>
                <w:szCs w:val="20"/>
              </w:rPr>
            </w:pPr>
            <w:r w:rsidRPr="002234E3">
              <w:rPr>
                <w:sz w:val="20"/>
                <w:szCs w:val="20"/>
              </w:rPr>
              <w:t>Soil C</w:t>
            </w:r>
          </w:p>
        </w:tc>
        <w:tc>
          <w:tcPr>
            <w:tcW w:w="710" w:type="dxa"/>
            <w:tcBorders>
              <w:bottom w:val="dashed" w:sz="4" w:space="0" w:color="auto"/>
            </w:tcBorders>
          </w:tcPr>
          <w:p w14:paraId="2F5CF9E6"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bottom w:val="dashed" w:sz="4" w:space="0" w:color="auto"/>
            </w:tcBorders>
          </w:tcPr>
          <w:p w14:paraId="1CEBB649"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bottom w:val="dashed" w:sz="4" w:space="0" w:color="auto"/>
            </w:tcBorders>
          </w:tcPr>
          <w:p w14:paraId="19BCDE2C"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bottom w:val="dashed" w:sz="4" w:space="0" w:color="auto"/>
            </w:tcBorders>
          </w:tcPr>
          <w:p w14:paraId="7DA3F4AE" w14:textId="77777777" w:rsidR="00D04776" w:rsidRPr="002234E3" w:rsidRDefault="00D04776" w:rsidP="00B137C0">
            <w:pPr>
              <w:pStyle w:val="Compact"/>
              <w:spacing w:line="240" w:lineRule="auto"/>
              <w:rPr>
                <w:sz w:val="20"/>
                <w:szCs w:val="20"/>
              </w:rPr>
            </w:pPr>
          </w:p>
        </w:tc>
        <w:tc>
          <w:tcPr>
            <w:tcW w:w="1418" w:type="dxa"/>
            <w:tcBorders>
              <w:bottom w:val="dashed" w:sz="4" w:space="0" w:color="auto"/>
            </w:tcBorders>
          </w:tcPr>
          <w:p w14:paraId="15EEA7FB"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39" w:type="dxa"/>
            <w:tcBorders>
              <w:bottom w:val="dashed" w:sz="4" w:space="0" w:color="auto"/>
            </w:tcBorders>
          </w:tcPr>
          <w:p w14:paraId="7FAF09E4" w14:textId="77777777" w:rsidR="00D04776" w:rsidRPr="002234E3" w:rsidRDefault="00D04776" w:rsidP="00B137C0">
            <w:pPr>
              <w:pStyle w:val="Compact"/>
              <w:spacing w:line="240" w:lineRule="auto"/>
              <w:rPr>
                <w:sz w:val="20"/>
                <w:szCs w:val="20"/>
              </w:rPr>
            </w:pPr>
            <w:r w:rsidRPr="002234E3">
              <w:rPr>
                <w:sz w:val="20"/>
                <w:szCs w:val="20"/>
              </w:rPr>
              <w:t>**</w:t>
            </w:r>
          </w:p>
        </w:tc>
      </w:tr>
      <w:tr w:rsidR="00B137C0" w14:paraId="3395C1A3" w14:textId="77777777" w:rsidTr="00046D81">
        <w:trPr>
          <w:gridAfter w:val="1"/>
          <w:wAfter w:w="28" w:type="dxa"/>
        </w:trPr>
        <w:tc>
          <w:tcPr>
            <w:tcW w:w="994" w:type="dxa"/>
          </w:tcPr>
          <w:p w14:paraId="2E5D80CB" w14:textId="77777777" w:rsidR="00D04776" w:rsidRPr="002234E3" w:rsidRDefault="00D04776" w:rsidP="00B137C0">
            <w:pPr>
              <w:pStyle w:val="Compact"/>
              <w:spacing w:line="240" w:lineRule="auto"/>
              <w:rPr>
                <w:sz w:val="20"/>
                <w:szCs w:val="20"/>
              </w:rPr>
            </w:pPr>
          </w:p>
        </w:tc>
        <w:tc>
          <w:tcPr>
            <w:tcW w:w="1982" w:type="dxa"/>
            <w:tcBorders>
              <w:top w:val="dashed" w:sz="4" w:space="0" w:color="auto"/>
            </w:tcBorders>
          </w:tcPr>
          <w:p w14:paraId="5422B480" w14:textId="77777777" w:rsidR="00D04776" w:rsidRPr="002234E3" w:rsidRDefault="00D04776" w:rsidP="00B137C0">
            <w:pPr>
              <w:pStyle w:val="Compact"/>
              <w:spacing w:line="240" w:lineRule="auto"/>
              <w:rPr>
                <w:sz w:val="20"/>
                <w:szCs w:val="20"/>
              </w:rPr>
            </w:pPr>
            <w:r w:rsidRPr="002234E3">
              <w:rPr>
                <w:sz w:val="20"/>
                <w:szCs w:val="20"/>
              </w:rPr>
              <w:t>Main effect only</w:t>
            </w:r>
          </w:p>
        </w:tc>
        <w:tc>
          <w:tcPr>
            <w:tcW w:w="1135" w:type="dxa"/>
            <w:tcBorders>
              <w:top w:val="dashed" w:sz="4" w:space="0" w:color="auto"/>
            </w:tcBorders>
          </w:tcPr>
          <w:p w14:paraId="52737AA6" w14:textId="77777777" w:rsidR="00D04776" w:rsidRPr="002234E3" w:rsidRDefault="00D04776" w:rsidP="00B137C0">
            <w:pPr>
              <w:pStyle w:val="Compact"/>
              <w:spacing w:line="240" w:lineRule="auto"/>
              <w:rPr>
                <w:sz w:val="20"/>
                <w:szCs w:val="20"/>
              </w:rPr>
            </w:pPr>
            <w:r w:rsidRPr="002234E3">
              <w:rPr>
                <w:sz w:val="20"/>
                <w:szCs w:val="20"/>
              </w:rPr>
              <w:t>Elevation</w:t>
            </w:r>
          </w:p>
        </w:tc>
        <w:tc>
          <w:tcPr>
            <w:tcW w:w="710" w:type="dxa"/>
            <w:tcBorders>
              <w:top w:val="dashed" w:sz="4" w:space="0" w:color="auto"/>
            </w:tcBorders>
          </w:tcPr>
          <w:p w14:paraId="33351E94"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top w:val="dashed" w:sz="4" w:space="0" w:color="auto"/>
            </w:tcBorders>
          </w:tcPr>
          <w:p w14:paraId="17E2D94D"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top w:val="dashed" w:sz="4" w:space="0" w:color="auto"/>
            </w:tcBorders>
          </w:tcPr>
          <w:p w14:paraId="74B72806" w14:textId="77777777" w:rsidR="00D04776" w:rsidRPr="002234E3" w:rsidRDefault="00D04776" w:rsidP="00B137C0">
            <w:pPr>
              <w:pStyle w:val="Compact"/>
              <w:spacing w:line="240" w:lineRule="auto"/>
              <w:rPr>
                <w:sz w:val="20"/>
                <w:szCs w:val="20"/>
              </w:rPr>
            </w:pPr>
          </w:p>
        </w:tc>
        <w:tc>
          <w:tcPr>
            <w:tcW w:w="568" w:type="dxa"/>
            <w:tcBorders>
              <w:top w:val="dashed" w:sz="4" w:space="0" w:color="auto"/>
            </w:tcBorders>
          </w:tcPr>
          <w:p w14:paraId="31877234" w14:textId="77777777" w:rsidR="00D04776" w:rsidRPr="002234E3" w:rsidRDefault="00D04776" w:rsidP="00B137C0">
            <w:pPr>
              <w:pStyle w:val="Compact"/>
              <w:spacing w:line="240" w:lineRule="auto"/>
              <w:rPr>
                <w:sz w:val="20"/>
                <w:szCs w:val="20"/>
              </w:rPr>
            </w:pPr>
          </w:p>
        </w:tc>
        <w:tc>
          <w:tcPr>
            <w:tcW w:w="1418" w:type="dxa"/>
            <w:tcBorders>
              <w:top w:val="dashed" w:sz="4" w:space="0" w:color="auto"/>
            </w:tcBorders>
          </w:tcPr>
          <w:p w14:paraId="343510D4" w14:textId="77777777" w:rsidR="00D04776" w:rsidRPr="002234E3" w:rsidRDefault="00D04776" w:rsidP="00B137C0">
            <w:pPr>
              <w:pStyle w:val="Compact"/>
              <w:spacing w:line="240" w:lineRule="auto"/>
              <w:rPr>
                <w:sz w:val="20"/>
                <w:szCs w:val="20"/>
              </w:rPr>
            </w:pPr>
          </w:p>
        </w:tc>
        <w:tc>
          <w:tcPr>
            <w:tcW w:w="539" w:type="dxa"/>
            <w:tcBorders>
              <w:top w:val="dashed" w:sz="4" w:space="0" w:color="auto"/>
            </w:tcBorders>
          </w:tcPr>
          <w:p w14:paraId="72D369FB" w14:textId="77777777" w:rsidR="00D04776" w:rsidRPr="002234E3" w:rsidRDefault="00D04776" w:rsidP="00B137C0">
            <w:pPr>
              <w:pStyle w:val="Compact"/>
              <w:spacing w:line="240" w:lineRule="auto"/>
              <w:rPr>
                <w:sz w:val="20"/>
                <w:szCs w:val="20"/>
              </w:rPr>
            </w:pPr>
          </w:p>
        </w:tc>
      </w:tr>
      <w:tr w:rsidR="00B137C0" w14:paraId="4503C606" w14:textId="77777777" w:rsidTr="00046D81">
        <w:trPr>
          <w:gridAfter w:val="1"/>
          <w:wAfter w:w="28" w:type="dxa"/>
        </w:trPr>
        <w:tc>
          <w:tcPr>
            <w:tcW w:w="994" w:type="dxa"/>
          </w:tcPr>
          <w:p w14:paraId="13326302" w14:textId="77777777" w:rsidR="00D04776" w:rsidRPr="002234E3" w:rsidRDefault="00D04776" w:rsidP="00B137C0">
            <w:pPr>
              <w:pStyle w:val="Compact"/>
              <w:spacing w:line="240" w:lineRule="auto"/>
              <w:rPr>
                <w:sz w:val="20"/>
                <w:szCs w:val="20"/>
              </w:rPr>
            </w:pPr>
          </w:p>
        </w:tc>
        <w:tc>
          <w:tcPr>
            <w:tcW w:w="1982" w:type="dxa"/>
          </w:tcPr>
          <w:p w14:paraId="0F0D0092" w14:textId="77777777" w:rsidR="00D04776" w:rsidRPr="002234E3" w:rsidRDefault="00D04776" w:rsidP="00B137C0">
            <w:pPr>
              <w:pStyle w:val="Compact"/>
              <w:spacing w:line="240" w:lineRule="auto"/>
              <w:rPr>
                <w:sz w:val="20"/>
                <w:szCs w:val="20"/>
              </w:rPr>
            </w:pPr>
          </w:p>
        </w:tc>
        <w:tc>
          <w:tcPr>
            <w:tcW w:w="1135" w:type="dxa"/>
          </w:tcPr>
          <w:p w14:paraId="00DBA767" w14:textId="77777777" w:rsidR="00D04776" w:rsidRPr="002234E3" w:rsidRDefault="00D04776" w:rsidP="00B137C0">
            <w:pPr>
              <w:pStyle w:val="Compact"/>
              <w:spacing w:line="240" w:lineRule="auto"/>
              <w:rPr>
                <w:sz w:val="20"/>
                <w:szCs w:val="20"/>
              </w:rPr>
            </w:pPr>
            <w:r w:rsidRPr="002234E3">
              <w:rPr>
                <w:sz w:val="20"/>
                <w:szCs w:val="20"/>
              </w:rPr>
              <w:t>MAP</w:t>
            </w:r>
          </w:p>
        </w:tc>
        <w:tc>
          <w:tcPr>
            <w:tcW w:w="710" w:type="dxa"/>
          </w:tcPr>
          <w:p w14:paraId="05B1BD0A"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Pr>
          <w:p w14:paraId="0EADD8F7"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Pr>
          <w:p w14:paraId="3E6940C6" w14:textId="77777777" w:rsidR="00D04776" w:rsidRPr="002234E3" w:rsidRDefault="00D04776" w:rsidP="00B137C0">
            <w:pPr>
              <w:pStyle w:val="Compact"/>
              <w:spacing w:line="240" w:lineRule="auto"/>
              <w:rPr>
                <w:sz w:val="20"/>
                <w:szCs w:val="20"/>
              </w:rPr>
            </w:pPr>
          </w:p>
        </w:tc>
        <w:tc>
          <w:tcPr>
            <w:tcW w:w="568" w:type="dxa"/>
          </w:tcPr>
          <w:p w14:paraId="66E6B99C" w14:textId="77777777" w:rsidR="00D04776" w:rsidRPr="002234E3" w:rsidRDefault="00D04776" w:rsidP="00B137C0">
            <w:pPr>
              <w:pStyle w:val="Compact"/>
              <w:spacing w:line="240" w:lineRule="auto"/>
              <w:rPr>
                <w:sz w:val="20"/>
                <w:szCs w:val="20"/>
              </w:rPr>
            </w:pPr>
          </w:p>
        </w:tc>
        <w:tc>
          <w:tcPr>
            <w:tcW w:w="1418" w:type="dxa"/>
          </w:tcPr>
          <w:p w14:paraId="3C6B853E" w14:textId="77777777" w:rsidR="00D04776" w:rsidRPr="002234E3" w:rsidRDefault="00D04776" w:rsidP="00B137C0">
            <w:pPr>
              <w:pStyle w:val="Compact"/>
              <w:spacing w:line="240" w:lineRule="auto"/>
              <w:rPr>
                <w:sz w:val="20"/>
                <w:szCs w:val="20"/>
              </w:rPr>
            </w:pPr>
          </w:p>
        </w:tc>
        <w:tc>
          <w:tcPr>
            <w:tcW w:w="539" w:type="dxa"/>
          </w:tcPr>
          <w:p w14:paraId="03E360C3" w14:textId="77777777" w:rsidR="00D04776" w:rsidRPr="002234E3" w:rsidRDefault="00D04776" w:rsidP="00B137C0">
            <w:pPr>
              <w:pStyle w:val="Compact"/>
              <w:spacing w:line="240" w:lineRule="auto"/>
              <w:rPr>
                <w:sz w:val="20"/>
                <w:szCs w:val="20"/>
              </w:rPr>
            </w:pPr>
          </w:p>
        </w:tc>
      </w:tr>
      <w:tr w:rsidR="00B137C0" w14:paraId="2061C68C" w14:textId="77777777" w:rsidTr="00046D81">
        <w:trPr>
          <w:gridAfter w:val="1"/>
          <w:wAfter w:w="28" w:type="dxa"/>
        </w:trPr>
        <w:tc>
          <w:tcPr>
            <w:tcW w:w="994" w:type="dxa"/>
          </w:tcPr>
          <w:p w14:paraId="3CD09BF6" w14:textId="77777777" w:rsidR="00D04776" w:rsidRPr="002234E3" w:rsidRDefault="00D04776" w:rsidP="00B137C0">
            <w:pPr>
              <w:pStyle w:val="Compact"/>
              <w:spacing w:line="240" w:lineRule="auto"/>
              <w:rPr>
                <w:sz w:val="20"/>
                <w:szCs w:val="20"/>
              </w:rPr>
            </w:pPr>
          </w:p>
        </w:tc>
        <w:tc>
          <w:tcPr>
            <w:tcW w:w="1982" w:type="dxa"/>
          </w:tcPr>
          <w:p w14:paraId="29FC06A8" w14:textId="77777777" w:rsidR="00D04776" w:rsidRPr="002234E3" w:rsidRDefault="00D04776" w:rsidP="00B137C0">
            <w:pPr>
              <w:pStyle w:val="Compact"/>
              <w:spacing w:line="240" w:lineRule="auto"/>
              <w:rPr>
                <w:sz w:val="20"/>
                <w:szCs w:val="20"/>
              </w:rPr>
            </w:pPr>
          </w:p>
        </w:tc>
        <w:tc>
          <w:tcPr>
            <w:tcW w:w="1135" w:type="dxa"/>
          </w:tcPr>
          <w:p w14:paraId="44983026" w14:textId="77777777" w:rsidR="00D04776" w:rsidRPr="002234E3" w:rsidRDefault="00D04776" w:rsidP="00B137C0">
            <w:pPr>
              <w:pStyle w:val="Compact"/>
              <w:spacing w:line="240" w:lineRule="auto"/>
              <w:rPr>
                <w:sz w:val="20"/>
                <w:szCs w:val="20"/>
              </w:rPr>
            </w:pPr>
            <w:r w:rsidRPr="002234E3">
              <w:rPr>
                <w:sz w:val="20"/>
                <w:szCs w:val="20"/>
              </w:rPr>
              <w:t>Surface T</w:t>
            </w:r>
          </w:p>
        </w:tc>
        <w:tc>
          <w:tcPr>
            <w:tcW w:w="710" w:type="dxa"/>
          </w:tcPr>
          <w:p w14:paraId="1D7C08D5"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Pr>
          <w:p w14:paraId="3A6BA3DA"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Pr>
          <w:p w14:paraId="4E79BF2E" w14:textId="77777777" w:rsidR="00D04776" w:rsidRPr="002234E3" w:rsidRDefault="00D04776" w:rsidP="00B137C0">
            <w:pPr>
              <w:pStyle w:val="Compact"/>
              <w:spacing w:line="240" w:lineRule="auto"/>
              <w:rPr>
                <w:sz w:val="20"/>
                <w:szCs w:val="20"/>
              </w:rPr>
            </w:pPr>
          </w:p>
        </w:tc>
        <w:tc>
          <w:tcPr>
            <w:tcW w:w="568" w:type="dxa"/>
          </w:tcPr>
          <w:p w14:paraId="2FA83183" w14:textId="77777777" w:rsidR="00D04776" w:rsidRPr="002234E3" w:rsidRDefault="00D04776" w:rsidP="00B137C0">
            <w:pPr>
              <w:pStyle w:val="Compact"/>
              <w:spacing w:line="240" w:lineRule="auto"/>
              <w:rPr>
                <w:sz w:val="20"/>
                <w:szCs w:val="20"/>
              </w:rPr>
            </w:pPr>
          </w:p>
        </w:tc>
        <w:tc>
          <w:tcPr>
            <w:tcW w:w="1418" w:type="dxa"/>
          </w:tcPr>
          <w:p w14:paraId="62803459" w14:textId="77777777" w:rsidR="00D04776" w:rsidRPr="002234E3" w:rsidRDefault="00D04776" w:rsidP="00B137C0">
            <w:pPr>
              <w:pStyle w:val="Compact"/>
              <w:spacing w:line="240" w:lineRule="auto"/>
              <w:rPr>
                <w:sz w:val="20"/>
                <w:szCs w:val="20"/>
              </w:rPr>
            </w:pPr>
          </w:p>
        </w:tc>
        <w:tc>
          <w:tcPr>
            <w:tcW w:w="539" w:type="dxa"/>
          </w:tcPr>
          <w:p w14:paraId="6B65184A" w14:textId="77777777" w:rsidR="00D04776" w:rsidRPr="002234E3" w:rsidRDefault="00D04776" w:rsidP="00B137C0">
            <w:pPr>
              <w:pStyle w:val="Compact"/>
              <w:spacing w:line="240" w:lineRule="auto"/>
              <w:rPr>
                <w:sz w:val="20"/>
                <w:szCs w:val="20"/>
              </w:rPr>
            </w:pPr>
          </w:p>
        </w:tc>
      </w:tr>
      <w:tr w:rsidR="00B137C0" w14:paraId="61021E01" w14:textId="77777777" w:rsidTr="00046D81">
        <w:trPr>
          <w:gridAfter w:val="1"/>
          <w:wAfter w:w="28" w:type="dxa"/>
        </w:trPr>
        <w:tc>
          <w:tcPr>
            <w:tcW w:w="994" w:type="dxa"/>
          </w:tcPr>
          <w:p w14:paraId="620A9F7B" w14:textId="77777777" w:rsidR="00D04776" w:rsidRPr="002234E3" w:rsidRDefault="00D04776" w:rsidP="00B137C0">
            <w:pPr>
              <w:pStyle w:val="Compact"/>
              <w:spacing w:line="240" w:lineRule="auto"/>
              <w:rPr>
                <w:sz w:val="20"/>
                <w:szCs w:val="20"/>
              </w:rPr>
            </w:pPr>
          </w:p>
        </w:tc>
        <w:tc>
          <w:tcPr>
            <w:tcW w:w="1982" w:type="dxa"/>
            <w:tcBorders>
              <w:bottom w:val="dashed" w:sz="4" w:space="0" w:color="auto"/>
            </w:tcBorders>
          </w:tcPr>
          <w:p w14:paraId="4C951B7B" w14:textId="77777777" w:rsidR="00D04776" w:rsidRPr="002234E3" w:rsidRDefault="00D04776" w:rsidP="00B137C0">
            <w:pPr>
              <w:pStyle w:val="Compact"/>
              <w:spacing w:line="240" w:lineRule="auto"/>
              <w:rPr>
                <w:sz w:val="20"/>
                <w:szCs w:val="20"/>
              </w:rPr>
            </w:pPr>
          </w:p>
        </w:tc>
        <w:tc>
          <w:tcPr>
            <w:tcW w:w="1135" w:type="dxa"/>
            <w:tcBorders>
              <w:bottom w:val="dashed" w:sz="4" w:space="0" w:color="auto"/>
            </w:tcBorders>
          </w:tcPr>
          <w:p w14:paraId="0F4C29CF" w14:textId="77777777" w:rsidR="00D04776" w:rsidRPr="002234E3" w:rsidRDefault="00D04776" w:rsidP="00B137C0">
            <w:pPr>
              <w:pStyle w:val="Compact"/>
              <w:spacing w:line="240" w:lineRule="auto"/>
              <w:rPr>
                <w:sz w:val="20"/>
                <w:szCs w:val="20"/>
              </w:rPr>
            </w:pPr>
            <w:r w:rsidRPr="002234E3">
              <w:rPr>
                <w:sz w:val="20"/>
                <w:szCs w:val="20"/>
              </w:rPr>
              <w:t>PC1</w:t>
            </w:r>
          </w:p>
        </w:tc>
        <w:tc>
          <w:tcPr>
            <w:tcW w:w="710" w:type="dxa"/>
            <w:tcBorders>
              <w:bottom w:val="dashed" w:sz="4" w:space="0" w:color="auto"/>
            </w:tcBorders>
          </w:tcPr>
          <w:p w14:paraId="77ECA1CB"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bottom w:val="dashed" w:sz="4" w:space="0" w:color="auto"/>
            </w:tcBorders>
          </w:tcPr>
          <w:p w14:paraId="4C07E068" w14:textId="77777777" w:rsidR="00D04776" w:rsidRPr="002234E3" w:rsidRDefault="00D04776" w:rsidP="00B137C0">
            <w:pPr>
              <w:pStyle w:val="Compact"/>
              <w:spacing w:line="240" w:lineRule="auto"/>
              <w:rPr>
                <w:sz w:val="20"/>
                <w:szCs w:val="20"/>
              </w:rPr>
            </w:pPr>
            <w:r w:rsidRPr="002234E3">
              <w:rPr>
                <w:sz w:val="20"/>
                <w:szCs w:val="20"/>
              </w:rPr>
              <w:t>***</w:t>
            </w:r>
          </w:p>
        </w:tc>
        <w:tc>
          <w:tcPr>
            <w:tcW w:w="1417" w:type="dxa"/>
            <w:tcBorders>
              <w:bottom w:val="dashed" w:sz="4" w:space="0" w:color="auto"/>
            </w:tcBorders>
          </w:tcPr>
          <w:p w14:paraId="6538D2C4" w14:textId="77777777" w:rsidR="00D04776" w:rsidRPr="002234E3" w:rsidRDefault="00D04776" w:rsidP="00B137C0">
            <w:pPr>
              <w:pStyle w:val="Compact"/>
              <w:spacing w:line="240" w:lineRule="auto"/>
              <w:rPr>
                <w:sz w:val="20"/>
                <w:szCs w:val="20"/>
              </w:rPr>
            </w:pPr>
          </w:p>
        </w:tc>
        <w:tc>
          <w:tcPr>
            <w:tcW w:w="568" w:type="dxa"/>
            <w:tcBorders>
              <w:bottom w:val="dashed" w:sz="4" w:space="0" w:color="auto"/>
            </w:tcBorders>
          </w:tcPr>
          <w:p w14:paraId="4FFA9300" w14:textId="77777777" w:rsidR="00D04776" w:rsidRPr="002234E3" w:rsidRDefault="00D04776" w:rsidP="00B137C0">
            <w:pPr>
              <w:pStyle w:val="Compact"/>
              <w:spacing w:line="240" w:lineRule="auto"/>
              <w:rPr>
                <w:sz w:val="20"/>
                <w:szCs w:val="20"/>
              </w:rPr>
            </w:pPr>
          </w:p>
        </w:tc>
        <w:tc>
          <w:tcPr>
            <w:tcW w:w="1418" w:type="dxa"/>
            <w:tcBorders>
              <w:bottom w:val="dashed" w:sz="4" w:space="0" w:color="auto"/>
            </w:tcBorders>
          </w:tcPr>
          <w:p w14:paraId="5AE6531F" w14:textId="77777777" w:rsidR="00D04776" w:rsidRPr="002234E3" w:rsidRDefault="00D04776" w:rsidP="00B137C0">
            <w:pPr>
              <w:pStyle w:val="Compact"/>
              <w:spacing w:line="240" w:lineRule="auto"/>
              <w:rPr>
                <w:sz w:val="20"/>
                <w:szCs w:val="20"/>
              </w:rPr>
            </w:pPr>
          </w:p>
        </w:tc>
        <w:tc>
          <w:tcPr>
            <w:tcW w:w="539" w:type="dxa"/>
            <w:tcBorders>
              <w:bottom w:val="dashed" w:sz="4" w:space="0" w:color="auto"/>
            </w:tcBorders>
          </w:tcPr>
          <w:p w14:paraId="510FAA39" w14:textId="77777777" w:rsidR="00D04776" w:rsidRPr="002234E3" w:rsidRDefault="00D04776" w:rsidP="00B137C0">
            <w:pPr>
              <w:pStyle w:val="Compact"/>
              <w:spacing w:line="240" w:lineRule="auto"/>
              <w:rPr>
                <w:sz w:val="20"/>
                <w:szCs w:val="20"/>
              </w:rPr>
            </w:pPr>
          </w:p>
        </w:tc>
      </w:tr>
      <w:tr w:rsidR="00B137C0" w14:paraId="36C98A9B" w14:textId="77777777" w:rsidTr="00046D81">
        <w:trPr>
          <w:gridAfter w:val="1"/>
          <w:wAfter w:w="28" w:type="dxa"/>
        </w:trPr>
        <w:tc>
          <w:tcPr>
            <w:tcW w:w="994" w:type="dxa"/>
          </w:tcPr>
          <w:p w14:paraId="2945E947" w14:textId="77777777" w:rsidR="00D04776" w:rsidRPr="002234E3" w:rsidRDefault="00D04776" w:rsidP="00B137C0">
            <w:pPr>
              <w:pStyle w:val="Compact"/>
              <w:spacing w:line="240" w:lineRule="auto"/>
              <w:rPr>
                <w:sz w:val="20"/>
                <w:szCs w:val="20"/>
              </w:rPr>
            </w:pPr>
          </w:p>
        </w:tc>
        <w:tc>
          <w:tcPr>
            <w:tcW w:w="1982" w:type="dxa"/>
            <w:tcBorders>
              <w:top w:val="dashed" w:sz="4" w:space="0" w:color="auto"/>
            </w:tcBorders>
          </w:tcPr>
          <w:p w14:paraId="7A130542" w14:textId="77777777" w:rsidR="00D04776" w:rsidRPr="002234E3" w:rsidRDefault="00D04776" w:rsidP="00B137C0">
            <w:pPr>
              <w:pStyle w:val="Compact"/>
              <w:spacing w:line="240" w:lineRule="auto"/>
              <w:rPr>
                <w:sz w:val="20"/>
                <w:szCs w:val="20"/>
              </w:rPr>
            </w:pPr>
            <w:r w:rsidRPr="002234E3">
              <w:rPr>
                <w:sz w:val="20"/>
                <w:szCs w:val="20"/>
              </w:rPr>
              <w:t>Region only</w:t>
            </w:r>
          </w:p>
        </w:tc>
        <w:tc>
          <w:tcPr>
            <w:tcW w:w="1135" w:type="dxa"/>
            <w:tcBorders>
              <w:top w:val="dashed" w:sz="4" w:space="0" w:color="auto"/>
            </w:tcBorders>
          </w:tcPr>
          <w:p w14:paraId="46BDA538" w14:textId="77777777" w:rsidR="00D04776" w:rsidRPr="002234E3" w:rsidRDefault="00D04776" w:rsidP="00B137C0">
            <w:pPr>
              <w:pStyle w:val="Compact"/>
              <w:spacing w:line="240" w:lineRule="auto"/>
              <w:rPr>
                <w:sz w:val="20"/>
                <w:szCs w:val="20"/>
              </w:rPr>
            </w:pPr>
            <w:r w:rsidRPr="002234E3">
              <w:rPr>
                <w:sz w:val="20"/>
                <w:szCs w:val="20"/>
              </w:rPr>
              <w:t>CEC</w:t>
            </w:r>
          </w:p>
        </w:tc>
        <w:tc>
          <w:tcPr>
            <w:tcW w:w="710" w:type="dxa"/>
            <w:tcBorders>
              <w:top w:val="dashed" w:sz="4" w:space="0" w:color="auto"/>
            </w:tcBorders>
          </w:tcPr>
          <w:p w14:paraId="74783313"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top w:val="dashed" w:sz="4" w:space="0" w:color="auto"/>
            </w:tcBorders>
          </w:tcPr>
          <w:p w14:paraId="424C6905" w14:textId="77777777" w:rsidR="00D04776" w:rsidRPr="002234E3" w:rsidRDefault="00D04776" w:rsidP="00B137C0">
            <w:pPr>
              <w:pStyle w:val="Compact"/>
              <w:spacing w:line="240" w:lineRule="auto"/>
              <w:rPr>
                <w:sz w:val="20"/>
                <w:szCs w:val="20"/>
              </w:rPr>
            </w:pPr>
          </w:p>
        </w:tc>
        <w:tc>
          <w:tcPr>
            <w:tcW w:w="1417" w:type="dxa"/>
            <w:tcBorders>
              <w:top w:val="dashed" w:sz="4" w:space="0" w:color="auto"/>
            </w:tcBorders>
          </w:tcPr>
          <w:p w14:paraId="0865CE3F"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top w:val="dashed" w:sz="4" w:space="0" w:color="auto"/>
            </w:tcBorders>
          </w:tcPr>
          <w:p w14:paraId="44A5E9CE" w14:textId="77777777" w:rsidR="00D04776" w:rsidRPr="002234E3" w:rsidRDefault="00D04776" w:rsidP="00B137C0">
            <w:pPr>
              <w:pStyle w:val="Compact"/>
              <w:spacing w:line="240" w:lineRule="auto"/>
              <w:rPr>
                <w:sz w:val="20"/>
                <w:szCs w:val="20"/>
              </w:rPr>
            </w:pPr>
            <w:r w:rsidRPr="002234E3">
              <w:rPr>
                <w:sz w:val="20"/>
                <w:szCs w:val="20"/>
              </w:rPr>
              <w:t>***</w:t>
            </w:r>
          </w:p>
        </w:tc>
        <w:tc>
          <w:tcPr>
            <w:tcW w:w="1418" w:type="dxa"/>
            <w:tcBorders>
              <w:top w:val="dashed" w:sz="4" w:space="0" w:color="auto"/>
            </w:tcBorders>
          </w:tcPr>
          <w:p w14:paraId="2C07500A" w14:textId="77777777" w:rsidR="00D04776" w:rsidRPr="002234E3" w:rsidRDefault="00D04776" w:rsidP="00B137C0">
            <w:pPr>
              <w:pStyle w:val="Compact"/>
              <w:spacing w:line="240" w:lineRule="auto"/>
              <w:rPr>
                <w:sz w:val="20"/>
                <w:szCs w:val="20"/>
              </w:rPr>
            </w:pPr>
          </w:p>
        </w:tc>
        <w:tc>
          <w:tcPr>
            <w:tcW w:w="539" w:type="dxa"/>
            <w:tcBorders>
              <w:top w:val="dashed" w:sz="4" w:space="0" w:color="auto"/>
            </w:tcBorders>
          </w:tcPr>
          <w:p w14:paraId="2F965F0F" w14:textId="77777777" w:rsidR="00D04776" w:rsidRPr="002234E3" w:rsidRDefault="00D04776" w:rsidP="00B137C0">
            <w:pPr>
              <w:pStyle w:val="Compact"/>
              <w:spacing w:line="240" w:lineRule="auto"/>
              <w:rPr>
                <w:sz w:val="20"/>
                <w:szCs w:val="20"/>
              </w:rPr>
            </w:pPr>
          </w:p>
        </w:tc>
      </w:tr>
      <w:tr w:rsidR="00B137C0" w14:paraId="14F91A09" w14:textId="77777777" w:rsidTr="00046D81">
        <w:trPr>
          <w:gridAfter w:val="1"/>
          <w:wAfter w:w="28" w:type="dxa"/>
        </w:trPr>
        <w:tc>
          <w:tcPr>
            <w:tcW w:w="994" w:type="dxa"/>
          </w:tcPr>
          <w:p w14:paraId="6CD73313" w14:textId="77777777" w:rsidR="00D04776" w:rsidRPr="002234E3" w:rsidRDefault="00D04776" w:rsidP="00B137C0">
            <w:pPr>
              <w:pStyle w:val="Compact"/>
              <w:spacing w:line="240" w:lineRule="auto"/>
              <w:rPr>
                <w:sz w:val="20"/>
                <w:szCs w:val="20"/>
              </w:rPr>
            </w:pPr>
          </w:p>
        </w:tc>
        <w:tc>
          <w:tcPr>
            <w:tcW w:w="1982" w:type="dxa"/>
          </w:tcPr>
          <w:p w14:paraId="16CF46C8" w14:textId="77777777" w:rsidR="00D04776" w:rsidRPr="002234E3" w:rsidRDefault="00D04776" w:rsidP="00B137C0">
            <w:pPr>
              <w:pStyle w:val="Compact"/>
              <w:spacing w:line="240" w:lineRule="auto"/>
              <w:rPr>
                <w:sz w:val="20"/>
                <w:szCs w:val="20"/>
              </w:rPr>
            </w:pPr>
          </w:p>
        </w:tc>
        <w:tc>
          <w:tcPr>
            <w:tcW w:w="1135" w:type="dxa"/>
          </w:tcPr>
          <w:p w14:paraId="28DB2945" w14:textId="77777777" w:rsidR="00D04776" w:rsidRPr="002234E3" w:rsidRDefault="00D04776" w:rsidP="00B137C0">
            <w:pPr>
              <w:pStyle w:val="Compact"/>
              <w:spacing w:line="240" w:lineRule="auto"/>
              <w:rPr>
                <w:sz w:val="20"/>
                <w:szCs w:val="20"/>
              </w:rPr>
            </w:pPr>
            <w:r w:rsidRPr="002234E3">
              <w:rPr>
                <w:sz w:val="20"/>
                <w:szCs w:val="20"/>
              </w:rPr>
              <w:t>Clay</w:t>
            </w:r>
          </w:p>
        </w:tc>
        <w:tc>
          <w:tcPr>
            <w:tcW w:w="710" w:type="dxa"/>
          </w:tcPr>
          <w:p w14:paraId="7ACB01E5"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Pr>
          <w:p w14:paraId="5914B97B" w14:textId="77777777" w:rsidR="00D04776" w:rsidRPr="002234E3" w:rsidRDefault="00D04776" w:rsidP="00B137C0">
            <w:pPr>
              <w:pStyle w:val="Compact"/>
              <w:spacing w:line="240" w:lineRule="auto"/>
              <w:rPr>
                <w:sz w:val="20"/>
                <w:szCs w:val="20"/>
              </w:rPr>
            </w:pPr>
          </w:p>
        </w:tc>
        <w:tc>
          <w:tcPr>
            <w:tcW w:w="1417" w:type="dxa"/>
          </w:tcPr>
          <w:p w14:paraId="0B1C974D"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Pr>
          <w:p w14:paraId="62E522DD" w14:textId="77777777" w:rsidR="00D04776" w:rsidRPr="002234E3" w:rsidRDefault="00D04776" w:rsidP="00B137C0">
            <w:pPr>
              <w:pStyle w:val="Compact"/>
              <w:spacing w:line="240" w:lineRule="auto"/>
              <w:rPr>
                <w:sz w:val="20"/>
                <w:szCs w:val="20"/>
              </w:rPr>
            </w:pPr>
            <w:r w:rsidRPr="002234E3">
              <w:rPr>
                <w:sz w:val="20"/>
                <w:szCs w:val="20"/>
              </w:rPr>
              <w:t>***</w:t>
            </w:r>
          </w:p>
        </w:tc>
        <w:tc>
          <w:tcPr>
            <w:tcW w:w="1418" w:type="dxa"/>
          </w:tcPr>
          <w:p w14:paraId="0B77537A" w14:textId="77777777" w:rsidR="00D04776" w:rsidRPr="002234E3" w:rsidRDefault="00D04776" w:rsidP="00B137C0">
            <w:pPr>
              <w:pStyle w:val="Compact"/>
              <w:spacing w:line="240" w:lineRule="auto"/>
              <w:rPr>
                <w:sz w:val="20"/>
                <w:szCs w:val="20"/>
              </w:rPr>
            </w:pPr>
          </w:p>
        </w:tc>
        <w:tc>
          <w:tcPr>
            <w:tcW w:w="539" w:type="dxa"/>
          </w:tcPr>
          <w:p w14:paraId="7BCA24F7" w14:textId="77777777" w:rsidR="00D04776" w:rsidRPr="002234E3" w:rsidRDefault="00D04776" w:rsidP="00B137C0">
            <w:pPr>
              <w:pStyle w:val="Compact"/>
              <w:spacing w:line="240" w:lineRule="auto"/>
              <w:rPr>
                <w:sz w:val="20"/>
                <w:szCs w:val="20"/>
              </w:rPr>
            </w:pPr>
          </w:p>
        </w:tc>
      </w:tr>
      <w:tr w:rsidR="00B137C0" w14:paraId="64E78183" w14:textId="77777777" w:rsidTr="00046D81">
        <w:trPr>
          <w:gridAfter w:val="1"/>
          <w:wAfter w:w="28" w:type="dxa"/>
        </w:trPr>
        <w:tc>
          <w:tcPr>
            <w:tcW w:w="994" w:type="dxa"/>
            <w:tcBorders>
              <w:bottom w:val="single" w:sz="4" w:space="0" w:color="auto"/>
            </w:tcBorders>
          </w:tcPr>
          <w:p w14:paraId="336879F3" w14:textId="77777777" w:rsidR="00D04776" w:rsidRPr="002234E3" w:rsidRDefault="00D04776" w:rsidP="00B137C0">
            <w:pPr>
              <w:pStyle w:val="Compact"/>
              <w:spacing w:line="240" w:lineRule="auto"/>
              <w:rPr>
                <w:sz w:val="20"/>
                <w:szCs w:val="20"/>
              </w:rPr>
            </w:pPr>
          </w:p>
        </w:tc>
        <w:tc>
          <w:tcPr>
            <w:tcW w:w="1982" w:type="dxa"/>
            <w:tcBorders>
              <w:bottom w:val="single" w:sz="4" w:space="0" w:color="auto"/>
            </w:tcBorders>
          </w:tcPr>
          <w:p w14:paraId="4A1B3F56" w14:textId="77777777" w:rsidR="00D04776" w:rsidRPr="002234E3" w:rsidRDefault="00D04776" w:rsidP="00B137C0">
            <w:pPr>
              <w:pStyle w:val="Compact"/>
              <w:spacing w:line="240" w:lineRule="auto"/>
              <w:rPr>
                <w:sz w:val="20"/>
                <w:szCs w:val="20"/>
              </w:rPr>
            </w:pPr>
          </w:p>
        </w:tc>
        <w:tc>
          <w:tcPr>
            <w:tcW w:w="1135" w:type="dxa"/>
            <w:tcBorders>
              <w:bottom w:val="single" w:sz="4" w:space="0" w:color="auto"/>
            </w:tcBorders>
          </w:tcPr>
          <w:p w14:paraId="12599AD7" w14:textId="77777777" w:rsidR="00D04776" w:rsidRPr="002234E3" w:rsidRDefault="00D04776" w:rsidP="00B137C0">
            <w:pPr>
              <w:pStyle w:val="Compact"/>
              <w:spacing w:line="240" w:lineRule="auto"/>
              <w:rPr>
                <w:sz w:val="20"/>
                <w:szCs w:val="20"/>
              </w:rPr>
            </w:pPr>
            <w:r w:rsidRPr="002234E3">
              <w:rPr>
                <w:sz w:val="20"/>
                <w:szCs w:val="20"/>
              </w:rPr>
              <w:t>pH</w:t>
            </w:r>
          </w:p>
        </w:tc>
        <w:tc>
          <w:tcPr>
            <w:tcW w:w="710" w:type="dxa"/>
            <w:tcBorders>
              <w:bottom w:val="single" w:sz="4" w:space="0" w:color="auto"/>
            </w:tcBorders>
          </w:tcPr>
          <w:p w14:paraId="1295E05B"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708" w:type="dxa"/>
            <w:tcBorders>
              <w:bottom w:val="single" w:sz="4" w:space="0" w:color="auto"/>
            </w:tcBorders>
          </w:tcPr>
          <w:p w14:paraId="1ACCCA05" w14:textId="77777777" w:rsidR="00D04776" w:rsidRPr="002234E3" w:rsidRDefault="00D04776" w:rsidP="00B137C0">
            <w:pPr>
              <w:pStyle w:val="Compact"/>
              <w:spacing w:line="240" w:lineRule="auto"/>
              <w:rPr>
                <w:sz w:val="20"/>
                <w:szCs w:val="20"/>
              </w:rPr>
            </w:pPr>
          </w:p>
        </w:tc>
        <w:tc>
          <w:tcPr>
            <w:tcW w:w="1417" w:type="dxa"/>
            <w:tcBorders>
              <w:bottom w:val="single" w:sz="4" w:space="0" w:color="auto"/>
            </w:tcBorders>
          </w:tcPr>
          <w:p w14:paraId="3D6ED5D1" w14:textId="77777777" w:rsidR="00D04776" w:rsidRPr="002234E3" w:rsidRDefault="00D04776" w:rsidP="00B137C0">
            <w:pPr>
              <w:pStyle w:val="Compact"/>
              <w:spacing w:line="240" w:lineRule="auto"/>
              <w:jc w:val="center"/>
              <w:rPr>
                <w:sz w:val="20"/>
                <w:szCs w:val="20"/>
              </w:rPr>
            </w:pPr>
            <w:r w:rsidRPr="002234E3">
              <w:rPr>
                <w:sz w:val="20"/>
                <w:szCs w:val="20"/>
              </w:rPr>
              <w:t>–</w:t>
            </w:r>
          </w:p>
        </w:tc>
        <w:tc>
          <w:tcPr>
            <w:tcW w:w="568" w:type="dxa"/>
            <w:tcBorders>
              <w:bottom w:val="single" w:sz="4" w:space="0" w:color="auto"/>
            </w:tcBorders>
          </w:tcPr>
          <w:p w14:paraId="600D8F03" w14:textId="77777777" w:rsidR="00D04776" w:rsidRPr="002234E3" w:rsidRDefault="00D04776" w:rsidP="00B137C0">
            <w:pPr>
              <w:pStyle w:val="Compact"/>
              <w:spacing w:line="240" w:lineRule="auto"/>
              <w:rPr>
                <w:sz w:val="20"/>
                <w:szCs w:val="20"/>
              </w:rPr>
            </w:pPr>
            <w:r w:rsidRPr="002234E3">
              <w:rPr>
                <w:sz w:val="20"/>
                <w:szCs w:val="20"/>
              </w:rPr>
              <w:t>***</w:t>
            </w:r>
          </w:p>
        </w:tc>
        <w:tc>
          <w:tcPr>
            <w:tcW w:w="1418" w:type="dxa"/>
            <w:tcBorders>
              <w:bottom w:val="single" w:sz="4" w:space="0" w:color="auto"/>
            </w:tcBorders>
          </w:tcPr>
          <w:p w14:paraId="03344900" w14:textId="77777777" w:rsidR="00D04776" w:rsidRPr="002234E3" w:rsidRDefault="00D04776" w:rsidP="00B137C0">
            <w:pPr>
              <w:pStyle w:val="Compact"/>
              <w:spacing w:line="240" w:lineRule="auto"/>
              <w:rPr>
                <w:sz w:val="20"/>
                <w:szCs w:val="20"/>
              </w:rPr>
            </w:pPr>
          </w:p>
        </w:tc>
        <w:tc>
          <w:tcPr>
            <w:tcW w:w="539" w:type="dxa"/>
            <w:tcBorders>
              <w:bottom w:val="single" w:sz="4" w:space="0" w:color="auto"/>
            </w:tcBorders>
          </w:tcPr>
          <w:p w14:paraId="07E12F7D" w14:textId="77777777" w:rsidR="00D04776" w:rsidRPr="002234E3" w:rsidRDefault="00D04776" w:rsidP="00B137C0">
            <w:pPr>
              <w:pStyle w:val="Compact"/>
              <w:spacing w:line="240" w:lineRule="auto"/>
              <w:rPr>
                <w:sz w:val="20"/>
                <w:szCs w:val="20"/>
              </w:rPr>
            </w:pPr>
          </w:p>
        </w:tc>
      </w:tr>
    </w:tbl>
    <w:p w14:paraId="114DF2DC" w14:textId="77777777" w:rsidR="0038260D" w:rsidRDefault="0038260D">
      <w:pPr>
        <w:rPr>
          <w:rFonts w:asciiTheme="majorBidi" w:hAnsiTheme="majorBidi"/>
        </w:rPr>
      </w:pPr>
      <w:r>
        <w:br w:type="page"/>
      </w:r>
    </w:p>
    <w:p w14:paraId="2DED29F0" w14:textId="270BF8A1" w:rsidR="00D04776" w:rsidRDefault="00D04776" w:rsidP="002F370B">
      <w:pPr>
        <w:pStyle w:val="BodyText"/>
      </w:pPr>
      <w:r>
        <w:lastRenderedPageBreak/>
        <w:t xml:space="preserve">Table 3: Interpretation of region-specific scale-dependencies in Figure 4. Positive scale-dependence (+) means a greater magnitude of effect on </w:t>
      </w:r>
      <w:r>
        <w:rPr>
          <w:i/>
        </w:rPr>
        <w:t>S</w:t>
      </w:r>
      <w:r>
        <w:t xml:space="preserve"> at broader spatial scales; negative scale-dependence (–) means a greater magnitude of effect on </w:t>
      </w:r>
      <w:r>
        <w:rPr>
          <w:i/>
        </w:rPr>
        <w:t>S</w:t>
      </w:r>
      <w:r>
        <w:t xml:space="preserve"> at smaller spatial scales.</w:t>
      </w:r>
    </w:p>
    <w:tbl>
      <w:tblPr>
        <w:tblStyle w:val="Table"/>
        <w:tblW w:w="0"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1660"/>
        <w:gridCol w:w="1289"/>
        <w:gridCol w:w="906"/>
      </w:tblGrid>
      <w:tr w:rsidR="00D04776" w:rsidRPr="00904B0D" w14:paraId="1E9A69BD" w14:textId="77777777" w:rsidTr="00D04776">
        <w:tc>
          <w:tcPr>
            <w:tcW w:w="0" w:type="auto"/>
            <w:tcBorders>
              <w:top w:val="single" w:sz="4" w:space="0" w:color="auto"/>
              <w:bottom w:val="single" w:sz="2" w:space="0" w:color="auto"/>
            </w:tcBorders>
            <w:vAlign w:val="bottom"/>
          </w:tcPr>
          <w:p w14:paraId="7E6EA743" w14:textId="77777777" w:rsidR="00D04776" w:rsidRPr="00904B0D" w:rsidRDefault="00D04776" w:rsidP="00904B0D">
            <w:pPr>
              <w:pStyle w:val="Compact"/>
              <w:spacing w:line="240" w:lineRule="auto"/>
              <w:jc w:val="center"/>
              <w:rPr>
                <w:sz w:val="20"/>
                <w:szCs w:val="20"/>
              </w:rPr>
            </w:pPr>
            <w:r w:rsidRPr="00904B0D">
              <w:rPr>
                <w:sz w:val="20"/>
                <w:szCs w:val="20"/>
              </w:rPr>
              <w:t>Scale-dependence</w:t>
            </w:r>
          </w:p>
        </w:tc>
        <w:tc>
          <w:tcPr>
            <w:tcW w:w="0" w:type="auto"/>
            <w:tcBorders>
              <w:top w:val="single" w:sz="4" w:space="0" w:color="auto"/>
              <w:bottom w:val="single" w:sz="2" w:space="0" w:color="auto"/>
            </w:tcBorders>
            <w:vAlign w:val="bottom"/>
          </w:tcPr>
          <w:p w14:paraId="7613B5B0" w14:textId="77777777" w:rsidR="00D04776" w:rsidRPr="00904B0D" w:rsidRDefault="00D04776" w:rsidP="00904B0D">
            <w:pPr>
              <w:pStyle w:val="Compact"/>
              <w:spacing w:line="240" w:lineRule="auto"/>
              <w:rPr>
                <w:sz w:val="20"/>
                <w:szCs w:val="20"/>
              </w:rPr>
            </w:pPr>
            <w:r w:rsidRPr="00904B0D">
              <w:rPr>
                <w:sz w:val="20"/>
                <w:szCs w:val="20"/>
              </w:rPr>
              <w:t>GCFR</w:t>
            </w:r>
          </w:p>
        </w:tc>
        <w:tc>
          <w:tcPr>
            <w:tcW w:w="0" w:type="auto"/>
            <w:tcBorders>
              <w:top w:val="single" w:sz="4" w:space="0" w:color="auto"/>
              <w:bottom w:val="single" w:sz="2" w:space="0" w:color="auto"/>
            </w:tcBorders>
            <w:vAlign w:val="bottom"/>
          </w:tcPr>
          <w:p w14:paraId="6D2E26FB" w14:textId="77777777" w:rsidR="00D04776" w:rsidRPr="00904B0D" w:rsidRDefault="00D04776" w:rsidP="00904B0D">
            <w:pPr>
              <w:pStyle w:val="Compact"/>
              <w:spacing w:line="240" w:lineRule="auto"/>
              <w:rPr>
                <w:sz w:val="20"/>
                <w:szCs w:val="20"/>
              </w:rPr>
            </w:pPr>
            <w:r w:rsidRPr="00904B0D">
              <w:rPr>
                <w:sz w:val="20"/>
                <w:szCs w:val="20"/>
              </w:rPr>
              <w:t>SWAFR</w:t>
            </w:r>
          </w:p>
        </w:tc>
      </w:tr>
      <w:tr w:rsidR="00D04776" w:rsidRPr="00904B0D" w14:paraId="14F49DAF" w14:textId="77777777" w:rsidTr="00D04776">
        <w:tc>
          <w:tcPr>
            <w:tcW w:w="0" w:type="auto"/>
            <w:tcBorders>
              <w:top w:val="single" w:sz="2" w:space="0" w:color="auto"/>
            </w:tcBorders>
          </w:tcPr>
          <w:p w14:paraId="24D7498F" w14:textId="77777777" w:rsidR="00D04776" w:rsidRPr="00904B0D" w:rsidRDefault="00D04776" w:rsidP="00904B0D">
            <w:pPr>
              <w:pStyle w:val="Compact"/>
              <w:spacing w:line="240" w:lineRule="auto"/>
              <w:jc w:val="center"/>
              <w:rPr>
                <w:sz w:val="20"/>
                <w:szCs w:val="20"/>
              </w:rPr>
            </w:pPr>
            <w:r w:rsidRPr="00904B0D">
              <w:rPr>
                <w:sz w:val="20"/>
                <w:szCs w:val="20"/>
              </w:rPr>
              <w:t>+</w:t>
            </w:r>
          </w:p>
        </w:tc>
        <w:tc>
          <w:tcPr>
            <w:tcW w:w="0" w:type="auto"/>
            <w:tcBorders>
              <w:top w:val="single" w:sz="2" w:space="0" w:color="auto"/>
            </w:tcBorders>
          </w:tcPr>
          <w:p w14:paraId="722DBAE1" w14:textId="77777777" w:rsidR="00D04776" w:rsidRPr="00904B0D" w:rsidRDefault="00D04776" w:rsidP="00904B0D">
            <w:pPr>
              <w:pStyle w:val="Compact"/>
              <w:spacing w:line="240" w:lineRule="auto"/>
              <w:rPr>
                <w:sz w:val="20"/>
                <w:szCs w:val="20"/>
              </w:rPr>
            </w:pPr>
            <w:r w:rsidRPr="00904B0D">
              <w:rPr>
                <w:sz w:val="20"/>
                <w:szCs w:val="20"/>
              </w:rPr>
              <w:t>Clay, pH</w:t>
            </w:r>
          </w:p>
        </w:tc>
        <w:tc>
          <w:tcPr>
            <w:tcW w:w="0" w:type="auto"/>
            <w:tcBorders>
              <w:top w:val="single" w:sz="2" w:space="0" w:color="auto"/>
            </w:tcBorders>
          </w:tcPr>
          <w:p w14:paraId="5F6731F6" w14:textId="77777777" w:rsidR="00D04776" w:rsidRPr="00904B0D" w:rsidRDefault="00D04776" w:rsidP="00904B0D">
            <w:pPr>
              <w:pStyle w:val="Compact"/>
              <w:spacing w:line="240" w:lineRule="auto"/>
              <w:rPr>
                <w:sz w:val="20"/>
                <w:szCs w:val="20"/>
              </w:rPr>
            </w:pPr>
          </w:p>
        </w:tc>
      </w:tr>
      <w:tr w:rsidR="00D04776" w:rsidRPr="00904B0D" w14:paraId="03E39A6E" w14:textId="77777777" w:rsidTr="00D04776">
        <w:tc>
          <w:tcPr>
            <w:tcW w:w="0" w:type="auto"/>
          </w:tcPr>
          <w:p w14:paraId="07520AF5" w14:textId="77777777" w:rsidR="00D04776" w:rsidRPr="00904B0D" w:rsidRDefault="00D04776" w:rsidP="00904B0D">
            <w:pPr>
              <w:pStyle w:val="Compact"/>
              <w:spacing w:line="240" w:lineRule="auto"/>
              <w:jc w:val="center"/>
              <w:rPr>
                <w:sz w:val="20"/>
                <w:szCs w:val="20"/>
              </w:rPr>
            </w:pPr>
            <w:r w:rsidRPr="00904B0D">
              <w:rPr>
                <w:sz w:val="20"/>
                <w:szCs w:val="20"/>
              </w:rPr>
              <w:t>None</w:t>
            </w:r>
          </w:p>
        </w:tc>
        <w:tc>
          <w:tcPr>
            <w:tcW w:w="0" w:type="auto"/>
          </w:tcPr>
          <w:p w14:paraId="717B1E4F" w14:textId="77777777" w:rsidR="00D04776" w:rsidRPr="00904B0D" w:rsidRDefault="00D04776" w:rsidP="00904B0D">
            <w:pPr>
              <w:pStyle w:val="Compact"/>
              <w:spacing w:line="240" w:lineRule="auto"/>
              <w:rPr>
                <w:sz w:val="20"/>
                <w:szCs w:val="20"/>
              </w:rPr>
            </w:pPr>
          </w:p>
        </w:tc>
        <w:tc>
          <w:tcPr>
            <w:tcW w:w="0" w:type="auto"/>
          </w:tcPr>
          <w:p w14:paraId="1B46BD94" w14:textId="77777777" w:rsidR="00D04776" w:rsidRPr="00904B0D" w:rsidRDefault="00D04776" w:rsidP="00904B0D">
            <w:pPr>
              <w:pStyle w:val="Compact"/>
              <w:spacing w:line="240" w:lineRule="auto"/>
              <w:rPr>
                <w:sz w:val="20"/>
                <w:szCs w:val="20"/>
              </w:rPr>
            </w:pPr>
            <w:r w:rsidRPr="00904B0D">
              <w:rPr>
                <w:sz w:val="20"/>
                <w:szCs w:val="20"/>
              </w:rPr>
              <w:t>CEC</w:t>
            </w:r>
          </w:p>
        </w:tc>
      </w:tr>
      <w:tr w:rsidR="00D04776" w:rsidRPr="00904B0D" w14:paraId="282CD505" w14:textId="77777777" w:rsidTr="00D04776">
        <w:tc>
          <w:tcPr>
            <w:tcW w:w="0" w:type="auto"/>
            <w:tcBorders>
              <w:bottom w:val="single" w:sz="4" w:space="0" w:color="auto"/>
            </w:tcBorders>
          </w:tcPr>
          <w:p w14:paraId="4DA82243" w14:textId="77777777" w:rsidR="00D04776" w:rsidRPr="00904B0D" w:rsidRDefault="00D04776" w:rsidP="00904B0D">
            <w:pPr>
              <w:pStyle w:val="Compact"/>
              <w:spacing w:line="240" w:lineRule="auto"/>
              <w:jc w:val="center"/>
              <w:rPr>
                <w:sz w:val="20"/>
                <w:szCs w:val="20"/>
              </w:rPr>
            </w:pPr>
            <w:r w:rsidRPr="00904B0D">
              <w:rPr>
                <w:sz w:val="20"/>
                <w:szCs w:val="20"/>
              </w:rPr>
              <w:t>–</w:t>
            </w:r>
          </w:p>
        </w:tc>
        <w:tc>
          <w:tcPr>
            <w:tcW w:w="0" w:type="auto"/>
            <w:tcBorders>
              <w:bottom w:val="single" w:sz="4" w:space="0" w:color="auto"/>
            </w:tcBorders>
          </w:tcPr>
          <w:p w14:paraId="463735F0" w14:textId="77777777" w:rsidR="00D04776" w:rsidRPr="00904B0D" w:rsidRDefault="00D04776" w:rsidP="00904B0D">
            <w:pPr>
              <w:pStyle w:val="Compact"/>
              <w:spacing w:line="240" w:lineRule="auto"/>
              <w:rPr>
                <w:sz w:val="20"/>
                <w:szCs w:val="20"/>
              </w:rPr>
            </w:pPr>
            <w:r w:rsidRPr="00904B0D">
              <w:rPr>
                <w:sz w:val="20"/>
                <w:szCs w:val="20"/>
              </w:rPr>
              <w:t>NDVI, soil C</w:t>
            </w:r>
          </w:p>
        </w:tc>
        <w:tc>
          <w:tcPr>
            <w:tcW w:w="0" w:type="auto"/>
            <w:tcBorders>
              <w:bottom w:val="single" w:sz="4" w:space="0" w:color="auto"/>
            </w:tcBorders>
          </w:tcPr>
          <w:p w14:paraId="4F1D0A9C" w14:textId="77777777" w:rsidR="00D04776" w:rsidRPr="00904B0D" w:rsidRDefault="00D04776" w:rsidP="00904B0D">
            <w:pPr>
              <w:pStyle w:val="Compact"/>
              <w:spacing w:line="240" w:lineRule="auto"/>
              <w:rPr>
                <w:sz w:val="20"/>
                <w:szCs w:val="20"/>
              </w:rPr>
            </w:pPr>
            <w:r w:rsidRPr="00904B0D">
              <w:rPr>
                <w:sz w:val="20"/>
                <w:szCs w:val="20"/>
              </w:rPr>
              <w:t>PDQ</w:t>
            </w:r>
          </w:p>
        </w:tc>
      </w:tr>
    </w:tbl>
    <w:p w14:paraId="5AF4EC31" w14:textId="77777777" w:rsidR="00D04776" w:rsidRDefault="00D04776" w:rsidP="00D04776">
      <w:pPr>
        <w:pStyle w:val="BodyText"/>
        <w:rPr>
          <w:rFonts w:eastAsiaTheme="majorEastAsia" w:cstheme="majorBidi"/>
          <w:color w:val="000000" w:themeColor="text1"/>
          <w:sz w:val="28"/>
          <w:szCs w:val="32"/>
        </w:rPr>
      </w:pPr>
      <w:bookmarkStart w:id="10" w:name="figures"/>
      <w:r>
        <w:br w:type="page"/>
      </w:r>
    </w:p>
    <w:p w14:paraId="011609AB" w14:textId="77777777" w:rsidR="00D04776" w:rsidRDefault="00D04776" w:rsidP="00F8593E">
      <w:pPr>
        <w:pStyle w:val="Heading1"/>
      </w:pPr>
      <w:r>
        <w:lastRenderedPageBreak/>
        <w:t>Figures</w:t>
      </w:r>
      <w:bookmarkEnd w:id="10"/>
    </w:p>
    <w:p w14:paraId="457D8DE2" w14:textId="77777777" w:rsidR="00D04776" w:rsidRDefault="00D04776" w:rsidP="00D04776">
      <w:pPr>
        <w:pStyle w:val="CaptionedFigure"/>
      </w:pPr>
      <w:r>
        <w:rPr>
          <w:noProof/>
          <w:lang w:val="en-ZA" w:eastAsia="en-ZA"/>
        </w:rPr>
        <w:drawing>
          <wp:inline distT="0" distB="0" distL="0" distR="0" wp14:anchorId="4180D9B2" wp14:editId="072C63D3">
            <wp:extent cx="5943600" cy="3962400"/>
            <wp:effectExtent l="0" t="0" r="0" b="0"/>
            <wp:docPr id="1" name="Picture" descr="Figure 1: Simple linear regressions of the common language effect size (CLES; ref) of (a–i) various forms of EH and (j) the first principal component of EH (PC1), where the CLES is treated as the effect of GCFR relative to SWAFR values. Only significant (P ≤ 0.05) fits are plotted, with the exception of the fit for CEC, which was plotted in light of its marginal significance (P = 0.06). Grey bands denote 95% confidence intervals about the fitted lines. Across the five spatial scales, all CLES-values differed significantly from zero following two-sided t-tests (P &lt; 0.001). PC1 accounted for between 43.64 and 46.40% of the variation in EH values across the five spatial scales at which it was calcu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3"/>
                    <a:stretch>
                      <a:fillRect/>
                    </a:stretch>
                  </pic:blipFill>
                  <pic:spPr bwMode="auto">
                    <a:xfrm>
                      <a:off x="0" y="0"/>
                      <a:ext cx="5953400" cy="3968933"/>
                    </a:xfrm>
                    <a:prstGeom prst="rect">
                      <a:avLst/>
                    </a:prstGeom>
                    <a:noFill/>
                    <a:ln w="9525">
                      <a:noFill/>
                      <a:headEnd/>
                      <a:tailEnd/>
                    </a:ln>
                  </pic:spPr>
                </pic:pic>
              </a:graphicData>
            </a:graphic>
          </wp:inline>
        </w:drawing>
      </w:r>
    </w:p>
    <w:p w14:paraId="7CB8E9BF" w14:textId="682B28A1" w:rsidR="00D04776" w:rsidRDefault="00D04776" w:rsidP="00D04776">
      <w:pPr>
        <w:pStyle w:val="ImageCaption"/>
      </w:pPr>
      <w:r>
        <w:t>Figure 1: Simple linear regressions of the common language effect size (</w:t>
      </w:r>
      <w:r>
        <w:rPr>
          <w:i/>
        </w:rPr>
        <w:t>CLES</w:t>
      </w:r>
      <w:r>
        <w:t>; ref) of (a–</w:t>
      </w:r>
      <w:proofErr w:type="spellStart"/>
      <w:r>
        <w:t>i</w:t>
      </w:r>
      <w:proofErr w:type="spellEnd"/>
      <w:r>
        <w:t xml:space="preserve">) various forms of </w:t>
      </w:r>
      <w:r w:rsidR="007948F4">
        <w:t>environmental heterogeneity</w:t>
      </w:r>
      <w:r>
        <w:t xml:space="preserve"> and (j) the first principal component of </w:t>
      </w:r>
      <w:r w:rsidR="007948F4">
        <w:t>environmental heterogeneity</w:t>
      </w:r>
      <w:r>
        <w:t xml:space="preserve"> (PC1), where the </w:t>
      </w:r>
      <w:r>
        <w:rPr>
          <w:i/>
        </w:rPr>
        <w:t>CLES</w:t>
      </w:r>
      <w:r>
        <w:t xml:space="preserve"> is treated as the effect of GCFR relative to SWAFR values. Only significant (</w:t>
      </w:r>
      <w:r>
        <w:rPr>
          <w:i/>
        </w:rPr>
        <w:t>P</w:t>
      </w:r>
      <w:r>
        <w:t xml:space="preserve"> ≤ 0.05) fits are plotted, </w:t>
      </w:r>
      <w:proofErr w:type="gramStart"/>
      <w:r>
        <w:t>with the exception of</w:t>
      </w:r>
      <w:proofErr w:type="gramEnd"/>
      <w:r>
        <w:t xml:space="preserve"> the fit for CEC, which was plotted in light of its marginal significance (</w:t>
      </w:r>
      <w:r>
        <w:rPr>
          <w:i/>
        </w:rPr>
        <w:t>P</w:t>
      </w:r>
      <w:r>
        <w:t xml:space="preserve"> = 0.06). Grey bands denote 95% confidence intervals about the fitted lines. Across the five spatial scales, all </w:t>
      </w:r>
      <w:r>
        <w:rPr>
          <w:i/>
        </w:rPr>
        <w:t>CLES</w:t>
      </w:r>
      <w:r>
        <w:t xml:space="preserve">-values differed significantly from </w:t>
      </w:r>
      <w:r w:rsidR="00D345A9">
        <w:t>0.5</w:t>
      </w:r>
      <w:r>
        <w:t xml:space="preserve"> following two-sided </w:t>
      </w:r>
      <w:r>
        <w:rPr>
          <w:i/>
        </w:rPr>
        <w:t>t</w:t>
      </w:r>
      <w:r>
        <w:t>-tests (</w:t>
      </w:r>
      <w:r>
        <w:rPr>
          <w:i/>
        </w:rPr>
        <w:t>P</w:t>
      </w:r>
      <w:r>
        <w:t xml:space="preserve"> &lt; 0.001). PC1 accounted for between 43.64 and 46.40% of the variation in </w:t>
      </w:r>
      <w:r w:rsidR="007948F4">
        <w:t>environmental heterogeneity</w:t>
      </w:r>
      <w:r>
        <w:t xml:space="preserve"> values across the five spatial scales at which it was calculated.</w:t>
      </w:r>
    </w:p>
    <w:p w14:paraId="5CEC371A" w14:textId="77777777" w:rsidR="00D04776" w:rsidRDefault="00D04776" w:rsidP="00D04776">
      <w:pPr>
        <w:pStyle w:val="BodyText"/>
      </w:pPr>
      <w:r>
        <w:br w:type="page"/>
      </w:r>
    </w:p>
    <w:p w14:paraId="6D0ABDE1" w14:textId="77777777" w:rsidR="00D04776" w:rsidRDefault="00D04776" w:rsidP="00D04776">
      <w:pPr>
        <w:pStyle w:val="CaptionedFigure"/>
      </w:pPr>
      <w:r>
        <w:rPr>
          <w:noProof/>
          <w:lang w:val="en-ZA" w:eastAsia="en-ZA"/>
        </w:rPr>
        <w:lastRenderedPageBreak/>
        <w:drawing>
          <wp:inline distT="0" distB="0" distL="0" distR="0" wp14:anchorId="4CFE472E" wp14:editId="51FD8C06">
            <wp:extent cx="5943600" cy="1937139"/>
            <wp:effectExtent l="0" t="0" r="0" b="0"/>
            <wp:docPr id="2" name="Picture" descr="Figure 2: (a) Scatter plot of mean QDS-scale richness (\overline{S}QDS) and turnover (TQDS) with contour lines denoting the SHDS that would arise as their sum (i.e. increasing from lower-left to upper-right). Distributions of (a) HDS-scale species richness (SHDS) and (b) the turnover partition of that richness expressed as a proportion (TQDS / SHDS). CLES-values inset are for comparisons where GCFR EH-values are greater than SWAFR EH-values; P-values inset are from Mann-Whitney U-tests. Not shown here, when comparing raw QDS-scale species richness values (SQDS), the results are as follows: CLES = 0.60, P &lt; 0.00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4"/>
                    <a:stretch>
                      <a:fillRect/>
                    </a:stretch>
                  </pic:blipFill>
                  <pic:spPr bwMode="auto">
                    <a:xfrm>
                      <a:off x="0" y="0"/>
                      <a:ext cx="5943600" cy="1937139"/>
                    </a:xfrm>
                    <a:prstGeom prst="rect">
                      <a:avLst/>
                    </a:prstGeom>
                    <a:noFill/>
                    <a:ln w="9525">
                      <a:noFill/>
                      <a:headEnd/>
                      <a:tailEnd/>
                    </a:ln>
                  </pic:spPr>
                </pic:pic>
              </a:graphicData>
            </a:graphic>
          </wp:inline>
        </w:drawing>
      </w:r>
    </w:p>
    <w:p w14:paraId="50234DFC" w14:textId="7527DCE7" w:rsidR="00D04776" w:rsidRDefault="00D04776" w:rsidP="00D04776">
      <w:pPr>
        <w:pStyle w:val="ImageCaption"/>
      </w:pPr>
      <w:r>
        <w:t>Figure 2: (a) Scatter plot of mean QDS-scale richness (</w:t>
      </w:r>
      <m:oMath>
        <m:bar>
          <m:barPr>
            <m:pos m:val="top"/>
            <m:ctrlPr>
              <w:rPr>
                <w:rFonts w:ascii="Cambria Math" w:hAnsi="Cambria Math"/>
              </w:rPr>
            </m:ctrlPr>
          </m:barPr>
          <m:e>
            <m:r>
              <w:rPr>
                <w:rFonts w:ascii="Cambria Math" w:hAnsi="Cambria Math"/>
              </w:rPr>
              <m:t>S</m:t>
            </m:r>
          </m:e>
        </m:bar>
      </m:oMath>
      <w:r>
        <w:rPr>
          <w:vertAlign w:val="subscript"/>
        </w:rPr>
        <w:t>QDS</w:t>
      </w:r>
      <w:r>
        <w:t>) and turnover (</w:t>
      </w:r>
      <w:r>
        <w:rPr>
          <w:i/>
        </w:rPr>
        <w:t>T</w:t>
      </w:r>
      <w:r>
        <w:rPr>
          <w:vertAlign w:val="subscript"/>
        </w:rPr>
        <w:t>QDS</w:t>
      </w:r>
      <w:r>
        <w:t xml:space="preserve">) with contour lines denoting the </w:t>
      </w:r>
      <w:r>
        <w:rPr>
          <w:i/>
        </w:rPr>
        <w:t>S</w:t>
      </w:r>
      <w:r>
        <w:rPr>
          <w:vertAlign w:val="subscript"/>
        </w:rPr>
        <w:t>HDS</w:t>
      </w:r>
      <w:r>
        <w:t xml:space="preserve"> that would arise as their sum (i.e. increasing from lower-left to upper-right). Distributions of (a) HDS-scale species richness (</w:t>
      </w:r>
      <w:r>
        <w:rPr>
          <w:i/>
        </w:rPr>
        <w:t>S</w:t>
      </w:r>
      <w:r>
        <w:rPr>
          <w:vertAlign w:val="subscript"/>
        </w:rPr>
        <w:t>HDS</w:t>
      </w:r>
      <w:r>
        <w:t>) and (b) the turnover partition of that richness expressed as a proportion (</w:t>
      </w:r>
      <w:r>
        <w:rPr>
          <w:i/>
        </w:rPr>
        <w:t>T</w:t>
      </w:r>
      <w:r>
        <w:rPr>
          <w:vertAlign w:val="subscript"/>
        </w:rPr>
        <w:t>QDS</w:t>
      </w:r>
      <w:r>
        <w:t xml:space="preserve"> / </w:t>
      </w:r>
      <w:r>
        <w:rPr>
          <w:i/>
        </w:rPr>
        <w:t>S</w:t>
      </w:r>
      <w:r>
        <w:rPr>
          <w:vertAlign w:val="subscript"/>
        </w:rPr>
        <w:t>HDS</w:t>
      </w:r>
      <w:r>
        <w:t xml:space="preserve">). </w:t>
      </w:r>
      <w:r>
        <w:rPr>
          <w:i/>
        </w:rPr>
        <w:t>CLES</w:t>
      </w:r>
      <w:r>
        <w:t xml:space="preserve">-values inset are for comparisons where GCFR </w:t>
      </w:r>
      <w:r w:rsidR="007948F4">
        <w:t>environmental heterogeneity</w:t>
      </w:r>
      <w:r>
        <w:t xml:space="preserve">-values are greater than SWAFR </w:t>
      </w:r>
      <w:r w:rsidR="007948F4">
        <w:t>environmental heterogeneity</w:t>
      </w:r>
      <w:r>
        <w:t xml:space="preserve">-values; </w:t>
      </w:r>
      <w:r>
        <w:rPr>
          <w:i/>
        </w:rPr>
        <w:t>P</w:t>
      </w:r>
      <w:r>
        <w:t xml:space="preserve">-values inset are from Mann-Whitney </w:t>
      </w:r>
      <w:r>
        <w:rPr>
          <w:i/>
        </w:rPr>
        <w:t>U</w:t>
      </w:r>
      <w:r>
        <w:t>-tests. Not shown here, when comparing raw QDS-scale species richness values (</w:t>
      </w:r>
      <w:r>
        <w:rPr>
          <w:i/>
        </w:rPr>
        <w:t>S</w:t>
      </w:r>
      <w:r>
        <w:rPr>
          <w:vertAlign w:val="subscript"/>
        </w:rPr>
        <w:t>QDS</w:t>
      </w:r>
      <w:r>
        <w:t xml:space="preserve">), the results are as follows: </w:t>
      </w:r>
      <w:r>
        <w:rPr>
          <w:i/>
        </w:rPr>
        <w:t>CLES</w:t>
      </w:r>
      <w:r>
        <w:t xml:space="preserve"> = 0.60, </w:t>
      </w:r>
      <w:r>
        <w:rPr>
          <w:i/>
        </w:rPr>
        <w:t>P</w:t>
      </w:r>
      <w:r>
        <w:t xml:space="preserve"> &lt; 0.001.</w:t>
      </w:r>
    </w:p>
    <w:p w14:paraId="75739017" w14:textId="77777777" w:rsidR="00D04776" w:rsidRDefault="00D04776" w:rsidP="00D04776">
      <w:pPr>
        <w:pStyle w:val="BodyText"/>
      </w:pPr>
      <w:r>
        <w:br w:type="page"/>
      </w:r>
    </w:p>
    <w:p w14:paraId="6D6BB07F" w14:textId="77777777" w:rsidR="00D04776" w:rsidRDefault="00D04776" w:rsidP="00D04776">
      <w:pPr>
        <w:pStyle w:val="CaptionedFigure"/>
      </w:pPr>
      <w:r>
        <w:rPr>
          <w:noProof/>
          <w:lang w:val="en-ZA" w:eastAsia="en-ZA"/>
        </w:rPr>
        <w:lastRenderedPageBreak/>
        <w:drawing>
          <wp:inline distT="0" distB="0" distL="0" distR="0" wp14:anchorId="06F193A1" wp14:editId="7CB94BF8">
            <wp:extent cx="5947846" cy="2971800"/>
            <wp:effectExtent l="0" t="0" r="0" b="0"/>
            <wp:docPr id="3" name="Picture" descr="Figure 3: Fits of simple linear regressions of (a) SHDS (R2 = 0.23) and (b) SQDS (R2 = 0.15) against each respective scale’s PC1-values. Grey bands denote 95% confidence intervals. When calculated at the QDS-scale, PC1 explained 39.86% of the variation in EH, while at the HDS-scale PC1 explained 41.55% of the variation in 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5"/>
                    <a:stretch>
                      <a:fillRect/>
                    </a:stretch>
                  </pic:blipFill>
                  <pic:spPr bwMode="auto">
                    <a:xfrm>
                      <a:off x="0" y="0"/>
                      <a:ext cx="5966048" cy="2980895"/>
                    </a:xfrm>
                    <a:prstGeom prst="rect">
                      <a:avLst/>
                    </a:prstGeom>
                    <a:noFill/>
                    <a:ln w="9525">
                      <a:noFill/>
                      <a:headEnd/>
                      <a:tailEnd/>
                    </a:ln>
                  </pic:spPr>
                </pic:pic>
              </a:graphicData>
            </a:graphic>
          </wp:inline>
        </w:drawing>
      </w:r>
    </w:p>
    <w:p w14:paraId="575EF8F0" w14:textId="56C6732A" w:rsidR="00D04776" w:rsidRDefault="00D04776" w:rsidP="00D04776">
      <w:pPr>
        <w:pStyle w:val="ImageCaption"/>
      </w:pPr>
      <w:r>
        <w:t xml:space="preserve">Figure 3: Fits of simple linear regressions of (a) </w:t>
      </w:r>
      <w:r>
        <w:rPr>
          <w:i/>
        </w:rPr>
        <w:t>S</w:t>
      </w:r>
      <w:r>
        <w:rPr>
          <w:vertAlign w:val="subscript"/>
        </w:rPr>
        <w:t>HDS</w:t>
      </w:r>
      <w:r>
        <w:t xml:space="preserve"> (</w:t>
      </w:r>
      <w:r>
        <w:rPr>
          <w:i/>
        </w:rPr>
        <w:t>R</w:t>
      </w:r>
      <w:r>
        <w:rPr>
          <w:vertAlign w:val="superscript"/>
        </w:rPr>
        <w:t>2</w:t>
      </w:r>
      <w:r>
        <w:t xml:space="preserve"> = 0.23) and (b) </w:t>
      </w:r>
      <w:r>
        <w:rPr>
          <w:i/>
        </w:rPr>
        <w:t>S</w:t>
      </w:r>
      <w:r>
        <w:rPr>
          <w:vertAlign w:val="subscript"/>
        </w:rPr>
        <w:t>QDS</w:t>
      </w:r>
      <w:r>
        <w:t xml:space="preserve"> (</w:t>
      </w:r>
      <w:r>
        <w:rPr>
          <w:i/>
        </w:rPr>
        <w:t>R</w:t>
      </w:r>
      <w:r>
        <w:rPr>
          <w:vertAlign w:val="superscript"/>
        </w:rPr>
        <w:t>2</w:t>
      </w:r>
      <w:r>
        <w:t xml:space="preserve"> = 0.15) against each respective scale’s PC1-values. Grey bands denote 95% confidence intervals. When calculated at the QDS-scale, PC1 explained 39.86% of the variation in </w:t>
      </w:r>
      <w:r w:rsidR="007948F4">
        <w:t>environmental heterogeneity</w:t>
      </w:r>
      <w:r>
        <w:t xml:space="preserve">, while at the HDS-scale PC1 explained 41.55% of the variation in </w:t>
      </w:r>
      <w:r w:rsidR="007948F4">
        <w:t>environmental heterogeneity</w:t>
      </w:r>
      <w:r>
        <w:t>.</w:t>
      </w:r>
    </w:p>
    <w:p w14:paraId="7180F251" w14:textId="77777777" w:rsidR="00D04776" w:rsidRDefault="00D04776" w:rsidP="00D04776">
      <w:pPr>
        <w:rPr>
          <w:rFonts w:asciiTheme="majorBidi" w:hAnsiTheme="majorBidi"/>
        </w:rPr>
      </w:pPr>
      <w:r>
        <w:br w:type="page"/>
      </w:r>
    </w:p>
    <w:p w14:paraId="7ADCF32D" w14:textId="77777777" w:rsidR="00D04776" w:rsidRDefault="00D04776" w:rsidP="00D04776">
      <w:pPr>
        <w:pStyle w:val="CaptionedFigure"/>
      </w:pPr>
      <w:r>
        <w:rPr>
          <w:noProof/>
          <w:lang w:val="en-ZA" w:eastAsia="en-ZA"/>
        </w:rPr>
        <w:lastRenderedPageBreak/>
        <w:drawing>
          <wp:inline distT="0" distB="0" distL="0" distR="0" wp14:anchorId="6BA46A0B" wp14:editId="1D851911">
            <wp:extent cx="5943600" cy="3962400"/>
            <wp:effectExtent l="0" t="0" r="0" b="0"/>
            <wp:docPr id="4" name="Picture" descr="Figure 4: Slope estimates of the multiple linear regressions of (a) SHDS (R2adj = 0.49) and (b) SQDS (R2adj = 0.33) againt the various forms of EH. Each model was simplified, from a starting model with all predictors and their interactions with region, using reverse stepwise regression model selection based on AIC-scores in R. Points with error bars denote slope estimates and their 95% confidence intervals. Estimates illustrated in black were significant (P &lt; 0.05), while those in grey were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6"/>
                    <a:stretch>
                      <a:fillRect/>
                    </a:stretch>
                  </pic:blipFill>
                  <pic:spPr bwMode="auto">
                    <a:xfrm>
                      <a:off x="0" y="0"/>
                      <a:ext cx="5956611" cy="3971074"/>
                    </a:xfrm>
                    <a:prstGeom prst="rect">
                      <a:avLst/>
                    </a:prstGeom>
                    <a:noFill/>
                    <a:ln w="9525">
                      <a:noFill/>
                      <a:headEnd/>
                      <a:tailEnd/>
                    </a:ln>
                  </pic:spPr>
                </pic:pic>
              </a:graphicData>
            </a:graphic>
          </wp:inline>
        </w:drawing>
      </w:r>
    </w:p>
    <w:p w14:paraId="0969F8F7" w14:textId="5246DBA0" w:rsidR="00D04776" w:rsidRDefault="00D04776" w:rsidP="00D04776">
      <w:pPr>
        <w:pStyle w:val="ImageCaption"/>
      </w:pPr>
      <w:r>
        <w:t xml:space="preserve">Figure 4: Slope estimates of the multiple linear regressions of (a) </w:t>
      </w:r>
      <w:r>
        <w:rPr>
          <w:i/>
        </w:rPr>
        <w:t>S</w:t>
      </w:r>
      <w:r>
        <w:rPr>
          <w:vertAlign w:val="subscript"/>
        </w:rPr>
        <w:t>HDS</w:t>
      </w:r>
      <w:r>
        <w:t xml:space="preserve"> (</w:t>
      </w:r>
      <w:r>
        <w:rPr>
          <w:i/>
        </w:rPr>
        <w:t>R</w:t>
      </w:r>
      <w:r>
        <w:rPr>
          <w:vertAlign w:val="superscript"/>
        </w:rPr>
        <w:t>2</w:t>
      </w:r>
      <w:r>
        <w:rPr>
          <w:vertAlign w:val="subscript"/>
        </w:rPr>
        <w:t>adj</w:t>
      </w:r>
      <w:r>
        <w:t xml:space="preserve"> = 0.49) and (b) </w:t>
      </w:r>
      <w:r>
        <w:rPr>
          <w:i/>
        </w:rPr>
        <w:t>S</w:t>
      </w:r>
      <w:r>
        <w:rPr>
          <w:vertAlign w:val="subscript"/>
        </w:rPr>
        <w:t>QDS</w:t>
      </w:r>
      <w:r>
        <w:t xml:space="preserve"> (</w:t>
      </w:r>
      <w:r>
        <w:rPr>
          <w:i/>
        </w:rPr>
        <w:t>R</w:t>
      </w:r>
      <w:r>
        <w:rPr>
          <w:vertAlign w:val="superscript"/>
        </w:rPr>
        <w:t>2</w:t>
      </w:r>
      <w:r>
        <w:rPr>
          <w:vertAlign w:val="subscript"/>
        </w:rPr>
        <w:t>adj</w:t>
      </w:r>
      <w:r>
        <w:t xml:space="preserve"> = 0.33) again</w:t>
      </w:r>
      <w:r w:rsidR="008F0AB7">
        <w:t>s</w:t>
      </w:r>
      <w:r>
        <w:t xml:space="preserve">t the various forms of </w:t>
      </w:r>
      <w:r w:rsidR="007948F4">
        <w:t>environmental heterogeneity</w:t>
      </w:r>
      <w:r>
        <w:t xml:space="preserve">. Each model was simplified, from a starting model with all predictors and their interactions with region, using reverse stepwise regression model selection based on </w:t>
      </w:r>
      <w:r>
        <w:rPr>
          <w:i/>
        </w:rPr>
        <w:t>AIC</w:t>
      </w:r>
      <w:r>
        <w:t>-scores in R. Points with error bars denote slope estimates and their 95% confidence intervals. Estimates illustrated in black were significant (</w:t>
      </w:r>
      <w:r>
        <w:rPr>
          <w:i/>
        </w:rPr>
        <w:t>P</w:t>
      </w:r>
      <w:r>
        <w:t xml:space="preserve"> &lt; 0.05), while those in grey were not.</w:t>
      </w:r>
    </w:p>
    <w:p w14:paraId="36B2E326" w14:textId="77777777" w:rsidR="00F614B4" w:rsidRDefault="00F614B4">
      <w:pPr>
        <w:rPr>
          <w:rFonts w:asciiTheme="majorBidi" w:hAnsiTheme="majorBidi"/>
        </w:rPr>
      </w:pPr>
      <w:r>
        <w:br w:type="page"/>
      </w:r>
    </w:p>
    <w:p w14:paraId="1226C665" w14:textId="03A4E076" w:rsidR="009E59E0" w:rsidRDefault="009E59E0" w:rsidP="00F8593E">
      <w:pPr>
        <w:pStyle w:val="Heading1"/>
      </w:pPr>
      <w:bookmarkStart w:id="11" w:name="references"/>
      <w:r w:rsidRPr="009E59E0">
        <w:lastRenderedPageBreak/>
        <w:t>Data availability statement</w:t>
      </w:r>
    </w:p>
    <w:p w14:paraId="6743CDCE" w14:textId="20390954" w:rsidR="009E59E0" w:rsidRPr="009E59E0" w:rsidRDefault="009E59E0" w:rsidP="009E59E0">
      <w:pPr>
        <w:pStyle w:val="BodyText"/>
      </w:pPr>
      <w:r>
        <w:t>…</w:t>
      </w:r>
    </w:p>
    <w:p w14:paraId="3FB275CB" w14:textId="3DC037BB" w:rsidR="00DD2348" w:rsidRDefault="005F0FFB" w:rsidP="00F8593E">
      <w:pPr>
        <w:pStyle w:val="Heading1"/>
      </w:pPr>
      <w:r>
        <w:t>References</w:t>
      </w:r>
      <w:bookmarkEnd w:id="11"/>
    </w:p>
    <w:p w14:paraId="3C5DD067" w14:textId="77777777" w:rsidR="00DD2348" w:rsidRDefault="005F0FFB">
      <w:pPr>
        <w:pStyle w:val="Bibliography"/>
      </w:pPr>
      <w:bookmarkStart w:id="12" w:name="ref-Bivand2017"/>
      <w:bookmarkStart w:id="13" w:name="refs"/>
      <w:proofErr w:type="spellStart"/>
      <w:r>
        <w:t>Bivand</w:t>
      </w:r>
      <w:proofErr w:type="spellEnd"/>
      <w:r>
        <w:t xml:space="preserve">, R., </w:t>
      </w:r>
      <w:proofErr w:type="spellStart"/>
      <w:r>
        <w:t>Keitt</w:t>
      </w:r>
      <w:proofErr w:type="spellEnd"/>
      <w:r>
        <w:t xml:space="preserve">, T., &amp; </w:t>
      </w:r>
      <w:proofErr w:type="spellStart"/>
      <w:r>
        <w:t>Rowlingson</w:t>
      </w:r>
      <w:proofErr w:type="spellEnd"/>
      <w:r>
        <w:t xml:space="preserve">, B. (2017) </w:t>
      </w:r>
      <w:proofErr w:type="spellStart"/>
      <w:r>
        <w:t>rgdal</w:t>
      </w:r>
      <w:proofErr w:type="spellEnd"/>
      <w:r>
        <w:t>: Bindings for the Geospatial Data Abstraction Library. R package version 1.2-</w:t>
      </w:r>
      <w:proofErr w:type="gramStart"/>
      <w:r>
        <w:t>7..</w:t>
      </w:r>
      <w:proofErr w:type="gramEnd"/>
      <w:r>
        <w:t xml:space="preserve"> </w:t>
      </w:r>
    </w:p>
    <w:p w14:paraId="7610C938" w14:textId="77777777" w:rsidR="00DD2348" w:rsidRDefault="005F0FFB">
      <w:pPr>
        <w:pStyle w:val="Bibliography"/>
      </w:pPr>
      <w:bookmarkStart w:id="14" w:name="ref-Chamberlain2016"/>
      <w:bookmarkEnd w:id="12"/>
      <w:r>
        <w:t xml:space="preserve">Chamberlain, S., </w:t>
      </w:r>
      <w:proofErr w:type="spellStart"/>
      <w:r>
        <w:t>Szoecs</w:t>
      </w:r>
      <w:proofErr w:type="spellEnd"/>
      <w:r>
        <w:t xml:space="preserve">, E., Foster, Z., </w:t>
      </w:r>
      <w:proofErr w:type="spellStart"/>
      <w:r>
        <w:t>Arendsee</w:t>
      </w:r>
      <w:proofErr w:type="spellEnd"/>
      <w:r>
        <w:t xml:space="preserve">, Z., Boettiger, C., Ram, K., </w:t>
      </w:r>
      <w:proofErr w:type="spellStart"/>
      <w:r>
        <w:t>Bartomeus</w:t>
      </w:r>
      <w:proofErr w:type="spellEnd"/>
      <w:r>
        <w:t xml:space="preserve">, I., Baumgartner, J., O’Donnell, J., Oksanen, J., </w:t>
      </w:r>
      <w:proofErr w:type="spellStart"/>
      <w:r>
        <w:t>Tzovaras</w:t>
      </w:r>
      <w:proofErr w:type="spellEnd"/>
      <w:r>
        <w:t xml:space="preserve">, B.G., Marchand, P., &amp; Tran, V. (2018) </w:t>
      </w:r>
      <w:proofErr w:type="spellStart"/>
      <w:r>
        <w:rPr>
          <w:i/>
        </w:rPr>
        <w:t>Taxize</w:t>
      </w:r>
      <w:proofErr w:type="spellEnd"/>
      <w:r>
        <w:rPr>
          <w:i/>
        </w:rPr>
        <w:t xml:space="preserve">: Taxonomic information from around the web. </w:t>
      </w:r>
    </w:p>
    <w:p w14:paraId="7D046652" w14:textId="77777777" w:rsidR="00DD2348" w:rsidRDefault="005F0FFB">
      <w:pPr>
        <w:pStyle w:val="Bibliography"/>
      </w:pPr>
      <w:bookmarkStart w:id="15" w:name="ref-Farr2007"/>
      <w:bookmarkEnd w:id="14"/>
      <w:r>
        <w:t xml:space="preserve">Farr, T., Rosen, P., Caro, E., Crippen, R., Duren, R., Hensley, S., </w:t>
      </w:r>
      <w:proofErr w:type="spellStart"/>
      <w:r>
        <w:t>Kobrick</w:t>
      </w:r>
      <w:proofErr w:type="spellEnd"/>
      <w:r>
        <w:t xml:space="preserve">, M., </w:t>
      </w:r>
      <w:proofErr w:type="spellStart"/>
      <w:r>
        <w:t>Paller</w:t>
      </w:r>
      <w:proofErr w:type="spellEnd"/>
      <w:r>
        <w:t xml:space="preserve">, M., Rodriguez, E., Roth, L., Seal, D., Shaffer, S., Shimada, J., Umland, J., Werner, M., Oskin, M., Burbank, D., &amp; </w:t>
      </w:r>
      <w:proofErr w:type="spellStart"/>
      <w:r>
        <w:t>Alsdorf</w:t>
      </w:r>
      <w:proofErr w:type="spellEnd"/>
      <w:r>
        <w:t xml:space="preserve">, D. (2007) The shuttle radar topography mission. </w:t>
      </w:r>
      <w:r>
        <w:rPr>
          <w:i/>
        </w:rPr>
        <w:t>Reviews of Geophysics</w:t>
      </w:r>
      <w:r>
        <w:t xml:space="preserve">, </w:t>
      </w:r>
      <w:r>
        <w:rPr>
          <w:b/>
        </w:rPr>
        <w:t>45</w:t>
      </w:r>
      <w:r>
        <w:t xml:space="preserve">, 1–33. </w:t>
      </w:r>
    </w:p>
    <w:p w14:paraId="2CD65718" w14:textId="77777777" w:rsidR="00DD2348" w:rsidRDefault="005F0FFB">
      <w:pPr>
        <w:pStyle w:val="Bibliography"/>
      </w:pPr>
      <w:bookmarkStart w:id="16" w:name="ref-Funk2015"/>
      <w:bookmarkEnd w:id="15"/>
      <w:r>
        <w:t xml:space="preserve">Funk, C.C., Peterson, P.J., </w:t>
      </w:r>
      <w:proofErr w:type="spellStart"/>
      <w:r>
        <w:t>Landsfeld</w:t>
      </w:r>
      <w:proofErr w:type="spellEnd"/>
      <w:r>
        <w:t xml:space="preserve">, M., </w:t>
      </w:r>
      <w:proofErr w:type="spellStart"/>
      <w:r>
        <w:t>Pedreros</w:t>
      </w:r>
      <w:proofErr w:type="spellEnd"/>
      <w:r>
        <w:t xml:space="preserve">, D.H., </w:t>
      </w:r>
      <w:proofErr w:type="spellStart"/>
      <w:r>
        <w:t>Verdin</w:t>
      </w:r>
      <w:proofErr w:type="spellEnd"/>
      <w:r>
        <w:t xml:space="preserve">, J., Shukla, S., </w:t>
      </w:r>
      <w:proofErr w:type="spellStart"/>
      <w:r>
        <w:t>Husak</w:t>
      </w:r>
      <w:proofErr w:type="spellEnd"/>
      <w:r>
        <w:t xml:space="preserve">, G., Rowland, J.D., Harrison, L., </w:t>
      </w:r>
      <w:proofErr w:type="spellStart"/>
      <w:r>
        <w:t>Hoell</w:t>
      </w:r>
      <w:proofErr w:type="spellEnd"/>
      <w:r>
        <w:t xml:space="preserve">, A., &amp; </w:t>
      </w:r>
      <w:proofErr w:type="spellStart"/>
      <w:r>
        <w:t>Michaelsen</w:t>
      </w:r>
      <w:proofErr w:type="spellEnd"/>
      <w:r>
        <w:t xml:space="preserve">, J. (2015) The climate hazards infrared precipitation with stations—a new environmental record for monitoring extremes. </w:t>
      </w:r>
      <w:r>
        <w:rPr>
          <w:i/>
        </w:rPr>
        <w:t>Scientific Data</w:t>
      </w:r>
      <w:r>
        <w:t xml:space="preserve">, </w:t>
      </w:r>
      <w:r>
        <w:rPr>
          <w:b/>
        </w:rPr>
        <w:t>2</w:t>
      </w:r>
      <w:r>
        <w:t xml:space="preserve">, 150066. </w:t>
      </w:r>
    </w:p>
    <w:p w14:paraId="35D7FE93" w14:textId="3221DF05" w:rsidR="00DD2348" w:rsidRPr="00D06B5A" w:rsidRDefault="005F0FFB">
      <w:pPr>
        <w:pStyle w:val="Bibliography"/>
        <w:rPr>
          <w:highlight w:val="yellow"/>
        </w:rPr>
      </w:pPr>
      <w:bookmarkStart w:id="17" w:name="ref-GBIFCape"/>
      <w:bookmarkEnd w:id="16"/>
      <w:r w:rsidRPr="00D06B5A">
        <w:rPr>
          <w:highlight w:val="yellow"/>
        </w:rPr>
        <w:t>GBIF (24 July 2017) GBIF Occurrence Download.</w:t>
      </w:r>
      <w:r w:rsidR="009A5C6C" w:rsidRPr="00D06B5A">
        <w:rPr>
          <w:highlight w:val="yellow"/>
        </w:rPr>
        <w:t xml:space="preserve"> </w:t>
      </w:r>
    </w:p>
    <w:p w14:paraId="3A4E127D" w14:textId="45085AC5" w:rsidR="00DD2348" w:rsidRDefault="005F0FFB">
      <w:pPr>
        <w:pStyle w:val="Bibliography"/>
      </w:pPr>
      <w:bookmarkStart w:id="18" w:name="ref-GBIFSWA"/>
      <w:bookmarkEnd w:id="17"/>
      <w:r w:rsidRPr="00D06B5A">
        <w:rPr>
          <w:highlight w:val="yellow"/>
        </w:rPr>
        <w:t xml:space="preserve">GBIF (24 July 2017) GBIF Occurrence Download. </w:t>
      </w:r>
    </w:p>
    <w:p w14:paraId="60280B04" w14:textId="77777777" w:rsidR="00DD2348" w:rsidRDefault="005F0FFB">
      <w:pPr>
        <w:pStyle w:val="Bibliography"/>
      </w:pPr>
      <w:bookmarkStart w:id="19" w:name="ref-Gioia2017"/>
      <w:bookmarkEnd w:id="18"/>
      <w:proofErr w:type="spellStart"/>
      <w:r>
        <w:t>Gioia</w:t>
      </w:r>
      <w:proofErr w:type="spellEnd"/>
      <w:r>
        <w:t xml:space="preserve">, P. &amp; Hopper, S.D. (2017) A new phytogeographic map for the Southwest Australian Floristic Region after an exceptional decade of collection and discovery. </w:t>
      </w:r>
      <w:r>
        <w:rPr>
          <w:i/>
        </w:rPr>
        <w:t xml:space="preserve">Botanical Journal of the </w:t>
      </w:r>
      <w:proofErr w:type="spellStart"/>
      <w:r>
        <w:rPr>
          <w:i/>
        </w:rPr>
        <w:t>Linnean</w:t>
      </w:r>
      <w:proofErr w:type="spellEnd"/>
      <w:r>
        <w:rPr>
          <w:i/>
        </w:rPr>
        <w:t xml:space="preserve"> Society</w:t>
      </w:r>
      <w:r>
        <w:t xml:space="preserve">, </w:t>
      </w:r>
      <w:r>
        <w:rPr>
          <w:b/>
        </w:rPr>
        <w:t>184</w:t>
      </w:r>
      <w:r>
        <w:t xml:space="preserve">, 1–15. </w:t>
      </w:r>
    </w:p>
    <w:p w14:paraId="7B3B8ED6" w14:textId="77777777" w:rsidR="00DD2348" w:rsidRDefault="005F0FFB">
      <w:pPr>
        <w:pStyle w:val="Bibliography"/>
      </w:pPr>
      <w:bookmarkStart w:id="20" w:name="ref-Hengl2017"/>
      <w:bookmarkEnd w:id="19"/>
      <w:proofErr w:type="spellStart"/>
      <w:r>
        <w:t>Hengl</w:t>
      </w:r>
      <w:proofErr w:type="spellEnd"/>
      <w:r>
        <w:t xml:space="preserve">, T., Mendes de Jesus, J., </w:t>
      </w:r>
      <w:proofErr w:type="spellStart"/>
      <w:r>
        <w:t>Heuvelink</w:t>
      </w:r>
      <w:proofErr w:type="spellEnd"/>
      <w:r>
        <w:t xml:space="preserve">, G.B.M., </w:t>
      </w:r>
      <w:proofErr w:type="spellStart"/>
      <w:r>
        <w:t>Ruiperez</w:t>
      </w:r>
      <w:proofErr w:type="spellEnd"/>
      <w:r>
        <w:t xml:space="preserve"> Gonzalez, M., </w:t>
      </w:r>
      <w:proofErr w:type="spellStart"/>
      <w:r>
        <w:t>Kilibarda</w:t>
      </w:r>
      <w:proofErr w:type="spellEnd"/>
      <w:r>
        <w:t xml:space="preserve">, M., </w:t>
      </w:r>
      <w:proofErr w:type="spellStart"/>
      <w:r>
        <w:t>Blagoti</w:t>
      </w:r>
      <w:proofErr w:type="spellEnd"/>
      <w:r>
        <w:t xml:space="preserve">?, A., </w:t>
      </w:r>
      <w:proofErr w:type="spellStart"/>
      <w:r>
        <w:t>Shangguan</w:t>
      </w:r>
      <w:proofErr w:type="spellEnd"/>
      <w:r>
        <w:t xml:space="preserve">, W., Wright, M.N., </w:t>
      </w:r>
      <w:proofErr w:type="spellStart"/>
      <w:r>
        <w:t>Geng</w:t>
      </w:r>
      <w:proofErr w:type="spellEnd"/>
      <w:r>
        <w:t>, X., Bauer-</w:t>
      </w:r>
      <w:proofErr w:type="spellStart"/>
      <w:r>
        <w:t>Marschallinger</w:t>
      </w:r>
      <w:proofErr w:type="spellEnd"/>
      <w:r>
        <w:t xml:space="preserve">, B., Guevara, M.A., Vargas, R., MacMillan, R.A., </w:t>
      </w:r>
      <w:proofErr w:type="spellStart"/>
      <w:r>
        <w:t>Batjes</w:t>
      </w:r>
      <w:proofErr w:type="spellEnd"/>
      <w:r>
        <w:t xml:space="preserve">, N.H., </w:t>
      </w:r>
      <w:proofErr w:type="spellStart"/>
      <w:r>
        <w:t>Leenaars</w:t>
      </w:r>
      <w:proofErr w:type="spellEnd"/>
      <w:r>
        <w:t xml:space="preserve">, J.G.B., Ribeiro, E., Wheeler, I., </w:t>
      </w:r>
      <w:r>
        <w:lastRenderedPageBreak/>
        <w:t xml:space="preserve">Mantel, S., &amp; </w:t>
      </w:r>
      <w:proofErr w:type="spellStart"/>
      <w:r>
        <w:t>Kempen</w:t>
      </w:r>
      <w:proofErr w:type="spellEnd"/>
      <w:r>
        <w:t xml:space="preserve">, B. (2017) SoilGrids250m: Global gridded soil information based on machine learning. </w:t>
      </w:r>
      <w:proofErr w:type="spellStart"/>
      <w:r>
        <w:rPr>
          <w:i/>
        </w:rPr>
        <w:t>PLoS</w:t>
      </w:r>
      <w:proofErr w:type="spellEnd"/>
      <w:r>
        <w:rPr>
          <w:i/>
        </w:rPr>
        <w:t xml:space="preserve"> ONE</w:t>
      </w:r>
      <w:r>
        <w:t xml:space="preserve">, </w:t>
      </w:r>
      <w:r>
        <w:rPr>
          <w:b/>
        </w:rPr>
        <w:t>12</w:t>
      </w:r>
      <w:r>
        <w:t xml:space="preserve">, e0169748. </w:t>
      </w:r>
    </w:p>
    <w:p w14:paraId="36E3A7A5" w14:textId="77777777" w:rsidR="00DD2348" w:rsidRDefault="005F0FFB">
      <w:pPr>
        <w:pStyle w:val="Bibliography"/>
      </w:pPr>
      <w:bookmarkStart w:id="21" w:name="ref-Hijmans2016"/>
      <w:bookmarkEnd w:id="20"/>
      <w:proofErr w:type="spellStart"/>
      <w:r>
        <w:t>Hijmans</w:t>
      </w:r>
      <w:proofErr w:type="spellEnd"/>
      <w:r>
        <w:t>, R.J. (2016) raster: Geographic Data Analysis and Modeling. R package version 2.5-</w:t>
      </w:r>
      <w:proofErr w:type="gramStart"/>
      <w:r>
        <w:t>8..</w:t>
      </w:r>
      <w:proofErr w:type="gramEnd"/>
      <w:r>
        <w:t xml:space="preserve"> </w:t>
      </w:r>
    </w:p>
    <w:p w14:paraId="56A3412D" w14:textId="77777777" w:rsidR="00DD2348" w:rsidRDefault="005F0FFB">
      <w:pPr>
        <w:pStyle w:val="Bibliography"/>
      </w:pPr>
      <w:bookmarkStart w:id="22" w:name="ref-Hopper2004"/>
      <w:bookmarkEnd w:id="21"/>
      <w:r>
        <w:t xml:space="preserve">Hopper, S.D. &amp; </w:t>
      </w:r>
      <w:proofErr w:type="spellStart"/>
      <w:r>
        <w:t>Gioia</w:t>
      </w:r>
      <w:proofErr w:type="spellEnd"/>
      <w:r>
        <w:t xml:space="preserve">, P. (2004) The Southwest Australian Floristic Region: Evolution and Conservation of a Global Hot Spot of Biodiversity. </w:t>
      </w:r>
      <w:r>
        <w:rPr>
          <w:i/>
        </w:rPr>
        <w:t>Annual Review of Ecology, Evolution, and Systematics</w:t>
      </w:r>
      <w:r>
        <w:t xml:space="preserve">, </w:t>
      </w:r>
      <w:r>
        <w:rPr>
          <w:b/>
        </w:rPr>
        <w:t>35</w:t>
      </w:r>
      <w:r>
        <w:t xml:space="preserve">, 623–650. </w:t>
      </w:r>
    </w:p>
    <w:p w14:paraId="50084C30" w14:textId="77777777" w:rsidR="00DD2348" w:rsidRDefault="005F0FFB">
      <w:pPr>
        <w:pStyle w:val="Bibliography"/>
      </w:pPr>
      <w:bookmarkStart w:id="23" w:name="ref-Larsen2009"/>
      <w:bookmarkEnd w:id="22"/>
      <w:r>
        <w:t xml:space="preserve">Larsen, R., </w:t>
      </w:r>
      <w:proofErr w:type="spellStart"/>
      <w:r>
        <w:t>Holmern</w:t>
      </w:r>
      <w:proofErr w:type="spellEnd"/>
      <w:r>
        <w:t xml:space="preserve">, T., Prager, S.D., </w:t>
      </w:r>
      <w:proofErr w:type="spellStart"/>
      <w:r>
        <w:t>Maliti</w:t>
      </w:r>
      <w:proofErr w:type="spellEnd"/>
      <w:r>
        <w:t xml:space="preserve">, H., &amp; </w:t>
      </w:r>
      <w:proofErr w:type="spellStart"/>
      <w:r>
        <w:t>Røskaft</w:t>
      </w:r>
      <w:proofErr w:type="spellEnd"/>
      <w:r>
        <w:t xml:space="preserve">, E. (2009) Using the extended quarter degree grid cell system to unify mapping and sharing of biodiversity data. </w:t>
      </w:r>
      <w:r>
        <w:rPr>
          <w:i/>
        </w:rPr>
        <w:t>African Journal of Ecology</w:t>
      </w:r>
      <w:r>
        <w:t xml:space="preserve">, </w:t>
      </w:r>
      <w:r>
        <w:rPr>
          <w:b/>
        </w:rPr>
        <w:t>47</w:t>
      </w:r>
      <w:r>
        <w:t xml:space="preserve">, 382–392. </w:t>
      </w:r>
    </w:p>
    <w:p w14:paraId="695FBC67" w14:textId="77777777" w:rsidR="00DD2348" w:rsidRDefault="005F0FFB">
      <w:pPr>
        <w:pStyle w:val="Bibliography"/>
      </w:pPr>
      <w:bookmarkStart w:id="24" w:name="ref-Mucina2006"/>
      <w:bookmarkEnd w:id="23"/>
      <w:proofErr w:type="spellStart"/>
      <w:r>
        <w:t>Mucina</w:t>
      </w:r>
      <w:proofErr w:type="spellEnd"/>
      <w:r>
        <w:t xml:space="preserve">, L. &amp; Rutherford, M.C. (2006) </w:t>
      </w:r>
      <w:r>
        <w:rPr>
          <w:i/>
        </w:rPr>
        <w:t xml:space="preserve">The vegetation of South Africa, Lesotho and Swaziland. </w:t>
      </w:r>
      <w:r>
        <w:t xml:space="preserve">South African National Biodiversity Institute, </w:t>
      </w:r>
    </w:p>
    <w:p w14:paraId="18CBBBFF" w14:textId="77777777" w:rsidR="00DD2348" w:rsidRDefault="005F0FFB">
      <w:pPr>
        <w:pStyle w:val="Bibliography"/>
      </w:pPr>
      <w:bookmarkStart w:id="25" w:name="ref-MOD13C2"/>
      <w:bookmarkEnd w:id="24"/>
      <w:r>
        <w:t xml:space="preserve">NASA (?) Vegetation indices monthly l3 global 0.05Deg </w:t>
      </w:r>
      <w:proofErr w:type="spellStart"/>
      <w:r>
        <w:t>cmg</w:t>
      </w:r>
      <w:proofErr w:type="spellEnd"/>
      <w:r>
        <w:t xml:space="preserve"> (mod13c2) v[Version]. </w:t>
      </w:r>
      <w:r>
        <w:rPr>
          <w:i/>
        </w:rPr>
        <w:t xml:space="preserve">NASA EOSDIS Land Processes DAAC, USGS Earth Resources Observation and Science (EROS) Center, Sioux Falls, South </w:t>
      </w:r>
      <w:proofErr w:type="gramStart"/>
      <w:r>
        <w:rPr>
          <w:i/>
        </w:rPr>
        <w:t>Dakota</w:t>
      </w:r>
      <w:r>
        <w:t>,.</w:t>
      </w:r>
      <w:proofErr w:type="gramEnd"/>
      <w:r>
        <w:t xml:space="preserve"> </w:t>
      </w:r>
    </w:p>
    <w:p w14:paraId="5AF7F3C9" w14:textId="77777777" w:rsidR="00DD2348" w:rsidRDefault="005F0FFB">
      <w:pPr>
        <w:pStyle w:val="Bibliography"/>
      </w:pPr>
      <w:bookmarkStart w:id="26" w:name="ref-MOD11C3"/>
      <w:bookmarkEnd w:id="25"/>
      <w:r>
        <w:t xml:space="preserve">NASA (?) Land surface temperature/emissivity monthly l3 global 0.05Deg </w:t>
      </w:r>
      <w:proofErr w:type="spellStart"/>
      <w:r>
        <w:t>cmg</w:t>
      </w:r>
      <w:proofErr w:type="spellEnd"/>
      <w:r>
        <w:t xml:space="preserve"> (mod11c3) v[Version]. </w:t>
      </w:r>
      <w:r>
        <w:rPr>
          <w:i/>
        </w:rPr>
        <w:t xml:space="preserve">NASA EOSDIS Land Processes DAAC, USGS Earth Resources Observation and Science (EROS) Center, Sioux Falls, South </w:t>
      </w:r>
      <w:proofErr w:type="gramStart"/>
      <w:r>
        <w:rPr>
          <w:i/>
        </w:rPr>
        <w:t>Dakota</w:t>
      </w:r>
      <w:r>
        <w:t>,.</w:t>
      </w:r>
      <w:proofErr w:type="gramEnd"/>
      <w:r>
        <w:t xml:space="preserve"> </w:t>
      </w:r>
    </w:p>
    <w:p w14:paraId="7550512A" w14:textId="77777777" w:rsidR="00DD2348" w:rsidRDefault="005F0FFB">
      <w:pPr>
        <w:pStyle w:val="Bibliography"/>
      </w:pPr>
      <w:bookmarkStart w:id="27" w:name="ref-Olson2001"/>
      <w:bookmarkEnd w:id="26"/>
      <w:r>
        <w:t xml:space="preserve">Olson, D.M., </w:t>
      </w:r>
      <w:proofErr w:type="spellStart"/>
      <w:r>
        <w:t>Dinerstein</w:t>
      </w:r>
      <w:proofErr w:type="spellEnd"/>
      <w:r>
        <w:t xml:space="preserve">, E., </w:t>
      </w:r>
      <w:proofErr w:type="spellStart"/>
      <w:r>
        <w:t>Wikramanayake</w:t>
      </w:r>
      <w:proofErr w:type="spellEnd"/>
      <w:r>
        <w:t xml:space="preserve">, E.D., Burgess, N.D., Powell, G.V.N., Underwood, E.C., </w:t>
      </w:r>
      <w:proofErr w:type="spellStart"/>
      <w:r>
        <w:t>D’amico</w:t>
      </w:r>
      <w:proofErr w:type="spellEnd"/>
      <w:r>
        <w:t xml:space="preserve">, J.A., </w:t>
      </w:r>
      <w:proofErr w:type="spellStart"/>
      <w:r>
        <w:t>Itoua</w:t>
      </w:r>
      <w:proofErr w:type="spellEnd"/>
      <w:r>
        <w:t xml:space="preserve">, I., Strand, H.E., Morrison, J.C., &amp; Others (2001) Terrestrial Ecoregions of the World: A New Map of Life on Earth: A new global map of terrestrial ecoregions provides an innovative tool for conserving biodiversity. </w:t>
      </w:r>
      <w:proofErr w:type="spellStart"/>
      <w:r>
        <w:rPr>
          <w:i/>
        </w:rPr>
        <w:t>BioScience</w:t>
      </w:r>
      <w:proofErr w:type="spellEnd"/>
      <w:r>
        <w:t xml:space="preserve">, </w:t>
      </w:r>
      <w:r>
        <w:rPr>
          <w:b/>
        </w:rPr>
        <w:t>51</w:t>
      </w:r>
      <w:r>
        <w:t xml:space="preserve">, 933–938. </w:t>
      </w:r>
    </w:p>
    <w:p w14:paraId="2546AEB9" w14:textId="77777777" w:rsidR="00DD2348" w:rsidRDefault="005F0FFB">
      <w:pPr>
        <w:pStyle w:val="Bibliography"/>
      </w:pPr>
      <w:bookmarkStart w:id="28" w:name="ref-RCoreTeam2018"/>
      <w:bookmarkEnd w:id="27"/>
      <w:r>
        <w:t xml:space="preserve">R Core Team (2018) </w:t>
      </w:r>
      <w:r>
        <w:rPr>
          <w:i/>
        </w:rPr>
        <w:t xml:space="preserve">R: A Language and Environment for Statistical Computing. Version 3.5.0. </w:t>
      </w:r>
      <w:r>
        <w:t xml:space="preserve">R Foundation for Statistical Computing, Vienna, Austria. </w:t>
      </w:r>
    </w:p>
    <w:p w14:paraId="23A9A96E" w14:textId="2B325FEA" w:rsidR="00DD2348" w:rsidRDefault="005F0FFB">
      <w:pPr>
        <w:pStyle w:val="Bibliography"/>
      </w:pPr>
      <w:bookmarkStart w:id="29" w:name="ref-R-taxize"/>
      <w:bookmarkEnd w:id="28"/>
      <w:r>
        <w:t xml:space="preserve">Scott Chamberlain &amp; Eduard </w:t>
      </w:r>
      <w:proofErr w:type="spellStart"/>
      <w:r>
        <w:t>Szocs</w:t>
      </w:r>
      <w:proofErr w:type="spellEnd"/>
      <w:r>
        <w:t xml:space="preserve"> (2013) </w:t>
      </w:r>
      <w:proofErr w:type="spellStart"/>
      <w:r>
        <w:t>Taxize</w:t>
      </w:r>
      <w:proofErr w:type="spellEnd"/>
      <w:r>
        <w:t xml:space="preserve"> - taxonomic search and retrieval in r. </w:t>
      </w:r>
      <w:r>
        <w:rPr>
          <w:i/>
        </w:rPr>
        <w:t>F1000</w:t>
      </w:r>
      <w:proofErr w:type="gramStart"/>
      <w:r>
        <w:rPr>
          <w:i/>
        </w:rPr>
        <w:t>Research</w:t>
      </w:r>
      <w:r>
        <w:t>,.</w:t>
      </w:r>
      <w:proofErr w:type="gramEnd"/>
      <w:r>
        <w:t xml:space="preserve"> </w:t>
      </w:r>
      <w:bookmarkEnd w:id="13"/>
      <w:bookmarkEnd w:id="29"/>
    </w:p>
    <w:p w14:paraId="46966AC6" w14:textId="7BA8169F" w:rsidR="004D4AE1" w:rsidRDefault="004D4AE1" w:rsidP="00891FE6">
      <w:pPr>
        <w:pStyle w:val="Heading1"/>
      </w:pPr>
      <w:proofErr w:type="spellStart"/>
      <w:r w:rsidRPr="004D4AE1">
        <w:lastRenderedPageBreak/>
        <w:t>Biosketch</w:t>
      </w:r>
      <w:r>
        <w:t>es</w:t>
      </w:r>
      <w:proofErr w:type="spellEnd"/>
    </w:p>
    <w:p w14:paraId="7A78D841" w14:textId="3A389573" w:rsidR="004D4AE1" w:rsidRPr="004D4AE1" w:rsidRDefault="004D4AE1" w:rsidP="004D4AE1">
      <w:pPr>
        <w:pStyle w:val="BodyText"/>
      </w:pPr>
      <w:r>
        <w:t>…</w:t>
      </w:r>
    </w:p>
    <w:sectPr w:rsidR="004D4AE1" w:rsidRPr="004D4AE1" w:rsidSect="00A45BBE">
      <w:footerReference w:type="default" r:id="rId17"/>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GAV" w:date="2019-08-22T12:35:00Z" w:initials="WU">
    <w:p w14:paraId="2E2A465C" w14:textId="69CE98B8" w:rsidR="007D673C" w:rsidRDefault="007D673C">
      <w:pPr>
        <w:pStyle w:val="CommentText"/>
      </w:pPr>
      <w:r>
        <w:rPr>
          <w:rStyle w:val="CommentReference"/>
        </w:rPr>
        <w:annotationRef/>
      </w:r>
      <w:r>
        <w:t>Should this be one sided, and test whether the mean CLES &gt; 0.5?</w:t>
      </w:r>
    </w:p>
  </w:comment>
  <w:comment w:id="7" w:author="Ruan Van Mazijk" w:date="2019-08-22T15:21:00Z" w:initials="RVM">
    <w:p w14:paraId="1A2C8953" w14:textId="2637AE61" w:rsidR="00BF0B3F" w:rsidRDefault="00BF0B3F">
      <w:pPr>
        <w:pStyle w:val="CommentText"/>
      </w:pPr>
      <w:r>
        <w:rPr>
          <w:rStyle w:val="CommentReference"/>
        </w:rPr>
        <w:annotationRef/>
      </w:r>
      <w:r>
        <w:t>Yes, my mistake!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A465C" w15:done="1"/>
  <w15:commentEx w15:paraId="1A2C8953" w15:paraIdParent="2E2A46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A465C" w16cid:durableId="21092DB7"/>
  <w16cid:commentId w16cid:paraId="1A2C8953" w16cid:durableId="210931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F9DA6" w14:textId="77777777" w:rsidR="007051DF" w:rsidRDefault="007051DF">
      <w:pPr>
        <w:spacing w:after="0"/>
      </w:pPr>
      <w:r>
        <w:separator/>
      </w:r>
    </w:p>
  </w:endnote>
  <w:endnote w:type="continuationSeparator" w:id="0">
    <w:p w14:paraId="3F5B4FFE" w14:textId="77777777" w:rsidR="007051DF" w:rsidRDefault="007051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817192" w:rsidRDefault="008171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817192" w:rsidRDefault="00817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1326E" w14:textId="77777777" w:rsidR="007051DF" w:rsidRDefault="007051DF">
      <w:r>
        <w:separator/>
      </w:r>
    </w:p>
  </w:footnote>
  <w:footnote w:type="continuationSeparator" w:id="0">
    <w:p w14:paraId="1CB74356" w14:textId="77777777" w:rsidR="007051DF" w:rsidRDefault="007051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V">
    <w15:presenceInfo w15:providerId="None" w15:userId="GAV"/>
  </w15:person>
  <w15:person w15:author="Ruan Van Mazijk">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D0D"/>
    <w:rsid w:val="00011C8B"/>
    <w:rsid w:val="000202B4"/>
    <w:rsid w:val="00024A7B"/>
    <w:rsid w:val="00032731"/>
    <w:rsid w:val="00037267"/>
    <w:rsid w:val="00046D81"/>
    <w:rsid w:val="00086052"/>
    <w:rsid w:val="000A44BE"/>
    <w:rsid w:val="000A737C"/>
    <w:rsid w:val="000C1B2A"/>
    <w:rsid w:val="000C1DFD"/>
    <w:rsid w:val="000C57CB"/>
    <w:rsid w:val="000C78F5"/>
    <w:rsid w:val="000F5594"/>
    <w:rsid w:val="000F59F5"/>
    <w:rsid w:val="000F699D"/>
    <w:rsid w:val="00106E88"/>
    <w:rsid w:val="00114867"/>
    <w:rsid w:val="00137BA5"/>
    <w:rsid w:val="00153824"/>
    <w:rsid w:val="001541B2"/>
    <w:rsid w:val="001A23A6"/>
    <w:rsid w:val="001B0959"/>
    <w:rsid w:val="001B6D6F"/>
    <w:rsid w:val="001C1E9D"/>
    <w:rsid w:val="001C5D8A"/>
    <w:rsid w:val="001C7670"/>
    <w:rsid w:val="001D4356"/>
    <w:rsid w:val="00210CA7"/>
    <w:rsid w:val="00221BC9"/>
    <w:rsid w:val="002234E3"/>
    <w:rsid w:val="00230AF5"/>
    <w:rsid w:val="00231B2B"/>
    <w:rsid w:val="00285784"/>
    <w:rsid w:val="002930F3"/>
    <w:rsid w:val="0029673C"/>
    <w:rsid w:val="002A0204"/>
    <w:rsid w:val="002B0F5B"/>
    <w:rsid w:val="002C5C96"/>
    <w:rsid w:val="002D283F"/>
    <w:rsid w:val="002E3FF8"/>
    <w:rsid w:val="002E6995"/>
    <w:rsid w:val="002F370B"/>
    <w:rsid w:val="00303501"/>
    <w:rsid w:val="00331CEC"/>
    <w:rsid w:val="00352382"/>
    <w:rsid w:val="00354D9C"/>
    <w:rsid w:val="003562E3"/>
    <w:rsid w:val="00357472"/>
    <w:rsid w:val="00364F0A"/>
    <w:rsid w:val="00374287"/>
    <w:rsid w:val="0038260D"/>
    <w:rsid w:val="00382BBB"/>
    <w:rsid w:val="003913A0"/>
    <w:rsid w:val="003B10FC"/>
    <w:rsid w:val="003B2885"/>
    <w:rsid w:val="003B7C89"/>
    <w:rsid w:val="003C533D"/>
    <w:rsid w:val="003C74FE"/>
    <w:rsid w:val="003D414F"/>
    <w:rsid w:val="003D65D2"/>
    <w:rsid w:val="003F1CDD"/>
    <w:rsid w:val="0040493A"/>
    <w:rsid w:val="00404DA4"/>
    <w:rsid w:val="004121C0"/>
    <w:rsid w:val="004218EE"/>
    <w:rsid w:val="0044052A"/>
    <w:rsid w:val="004632FE"/>
    <w:rsid w:val="00481C6F"/>
    <w:rsid w:val="00482491"/>
    <w:rsid w:val="00485879"/>
    <w:rsid w:val="00494991"/>
    <w:rsid w:val="004C331B"/>
    <w:rsid w:val="004D13EA"/>
    <w:rsid w:val="004D4AE1"/>
    <w:rsid w:val="004E29B3"/>
    <w:rsid w:val="004F6F8D"/>
    <w:rsid w:val="005042D0"/>
    <w:rsid w:val="005216AD"/>
    <w:rsid w:val="00531FB3"/>
    <w:rsid w:val="00531FF2"/>
    <w:rsid w:val="005527B5"/>
    <w:rsid w:val="005637B6"/>
    <w:rsid w:val="0056633D"/>
    <w:rsid w:val="00590D07"/>
    <w:rsid w:val="0059637F"/>
    <w:rsid w:val="005A6B10"/>
    <w:rsid w:val="005B22E7"/>
    <w:rsid w:val="005D24D5"/>
    <w:rsid w:val="005F0FFB"/>
    <w:rsid w:val="005F573D"/>
    <w:rsid w:val="00602D3B"/>
    <w:rsid w:val="0060601F"/>
    <w:rsid w:val="00634215"/>
    <w:rsid w:val="00634D1A"/>
    <w:rsid w:val="00647F5C"/>
    <w:rsid w:val="0066712E"/>
    <w:rsid w:val="00667CCB"/>
    <w:rsid w:val="0067407E"/>
    <w:rsid w:val="00681E6F"/>
    <w:rsid w:val="006A4603"/>
    <w:rsid w:val="006B0E2E"/>
    <w:rsid w:val="006B3D28"/>
    <w:rsid w:val="006C6B1A"/>
    <w:rsid w:val="006D35C5"/>
    <w:rsid w:val="006D58C7"/>
    <w:rsid w:val="006F0BA2"/>
    <w:rsid w:val="00704287"/>
    <w:rsid w:val="007051DF"/>
    <w:rsid w:val="0072582D"/>
    <w:rsid w:val="0073580D"/>
    <w:rsid w:val="00760A5C"/>
    <w:rsid w:val="007612C7"/>
    <w:rsid w:val="00774C5C"/>
    <w:rsid w:val="00775A42"/>
    <w:rsid w:val="00784D58"/>
    <w:rsid w:val="007948F4"/>
    <w:rsid w:val="007968A1"/>
    <w:rsid w:val="007C5AFE"/>
    <w:rsid w:val="007C79A1"/>
    <w:rsid w:val="007C7D4C"/>
    <w:rsid w:val="007D673C"/>
    <w:rsid w:val="007E72DA"/>
    <w:rsid w:val="00800FA8"/>
    <w:rsid w:val="00817192"/>
    <w:rsid w:val="00842DF6"/>
    <w:rsid w:val="00866587"/>
    <w:rsid w:val="00891FE6"/>
    <w:rsid w:val="008A59B2"/>
    <w:rsid w:val="008A5AB4"/>
    <w:rsid w:val="008A7439"/>
    <w:rsid w:val="008C1C71"/>
    <w:rsid w:val="008D6863"/>
    <w:rsid w:val="008E0FD5"/>
    <w:rsid w:val="008E3382"/>
    <w:rsid w:val="008E671D"/>
    <w:rsid w:val="008F0AB7"/>
    <w:rsid w:val="00904B0D"/>
    <w:rsid w:val="00923DF4"/>
    <w:rsid w:val="00945BC5"/>
    <w:rsid w:val="0095435C"/>
    <w:rsid w:val="00964F94"/>
    <w:rsid w:val="00970650"/>
    <w:rsid w:val="00976198"/>
    <w:rsid w:val="0098402B"/>
    <w:rsid w:val="0099210D"/>
    <w:rsid w:val="00996B78"/>
    <w:rsid w:val="009A20D3"/>
    <w:rsid w:val="009A5C6C"/>
    <w:rsid w:val="009B6D40"/>
    <w:rsid w:val="009D54AF"/>
    <w:rsid w:val="009E59E0"/>
    <w:rsid w:val="00A006BE"/>
    <w:rsid w:val="00A17592"/>
    <w:rsid w:val="00A45BBE"/>
    <w:rsid w:val="00A778BB"/>
    <w:rsid w:val="00A85228"/>
    <w:rsid w:val="00A87D09"/>
    <w:rsid w:val="00A95D88"/>
    <w:rsid w:val="00AE08F6"/>
    <w:rsid w:val="00AF7AFF"/>
    <w:rsid w:val="00B137C0"/>
    <w:rsid w:val="00B13C22"/>
    <w:rsid w:val="00B240EF"/>
    <w:rsid w:val="00B44249"/>
    <w:rsid w:val="00B502B0"/>
    <w:rsid w:val="00B6082F"/>
    <w:rsid w:val="00B71D27"/>
    <w:rsid w:val="00B86B75"/>
    <w:rsid w:val="00B96FA0"/>
    <w:rsid w:val="00BA5D8B"/>
    <w:rsid w:val="00BB096B"/>
    <w:rsid w:val="00BB1BCE"/>
    <w:rsid w:val="00BB2557"/>
    <w:rsid w:val="00BB3791"/>
    <w:rsid w:val="00BC333A"/>
    <w:rsid w:val="00BC48D5"/>
    <w:rsid w:val="00BC5EDB"/>
    <w:rsid w:val="00BE7C13"/>
    <w:rsid w:val="00BF0B3F"/>
    <w:rsid w:val="00C04D03"/>
    <w:rsid w:val="00C36279"/>
    <w:rsid w:val="00C408A8"/>
    <w:rsid w:val="00C42B96"/>
    <w:rsid w:val="00C53D2C"/>
    <w:rsid w:val="00C5660B"/>
    <w:rsid w:val="00C67A1C"/>
    <w:rsid w:val="00C77223"/>
    <w:rsid w:val="00C85460"/>
    <w:rsid w:val="00CC3BF9"/>
    <w:rsid w:val="00CF189F"/>
    <w:rsid w:val="00D03561"/>
    <w:rsid w:val="00D04776"/>
    <w:rsid w:val="00D06B5A"/>
    <w:rsid w:val="00D305E0"/>
    <w:rsid w:val="00D345A9"/>
    <w:rsid w:val="00D35C08"/>
    <w:rsid w:val="00D40106"/>
    <w:rsid w:val="00D40708"/>
    <w:rsid w:val="00D44C27"/>
    <w:rsid w:val="00D51F0E"/>
    <w:rsid w:val="00D61D4D"/>
    <w:rsid w:val="00D91644"/>
    <w:rsid w:val="00D96D52"/>
    <w:rsid w:val="00DA5533"/>
    <w:rsid w:val="00DC7F3D"/>
    <w:rsid w:val="00DD0DE4"/>
    <w:rsid w:val="00DD2348"/>
    <w:rsid w:val="00DD62FC"/>
    <w:rsid w:val="00DD7307"/>
    <w:rsid w:val="00DE0FC4"/>
    <w:rsid w:val="00DE3D40"/>
    <w:rsid w:val="00DE4AEB"/>
    <w:rsid w:val="00DE5FA7"/>
    <w:rsid w:val="00E25251"/>
    <w:rsid w:val="00E315A3"/>
    <w:rsid w:val="00E46B3C"/>
    <w:rsid w:val="00E52A66"/>
    <w:rsid w:val="00E6005D"/>
    <w:rsid w:val="00E7429C"/>
    <w:rsid w:val="00E75D74"/>
    <w:rsid w:val="00E96D62"/>
    <w:rsid w:val="00EA1251"/>
    <w:rsid w:val="00EB1A1E"/>
    <w:rsid w:val="00EB21F0"/>
    <w:rsid w:val="00EB52C0"/>
    <w:rsid w:val="00EC2AB9"/>
    <w:rsid w:val="00F0279E"/>
    <w:rsid w:val="00F057A2"/>
    <w:rsid w:val="00F07BEC"/>
    <w:rsid w:val="00F16319"/>
    <w:rsid w:val="00F1788A"/>
    <w:rsid w:val="00F358D2"/>
    <w:rsid w:val="00F614B4"/>
    <w:rsid w:val="00F80567"/>
    <w:rsid w:val="00F80A42"/>
    <w:rsid w:val="00F816D3"/>
    <w:rsid w:val="00F81E82"/>
    <w:rsid w:val="00F8593E"/>
    <w:rsid w:val="00F9010D"/>
    <w:rsid w:val="00FA3C08"/>
    <w:rsid w:val="00FA78DF"/>
    <w:rsid w:val="00FD3C3A"/>
    <w:rsid w:val="00FE3E67"/>
    <w:rsid w:val="00FE713B"/>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5129F-4639-4BFE-8CCF-4E02F417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20</Pages>
  <Words>4354</Words>
  <Characters>24822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148</cp:revision>
  <cp:lastPrinted>2019-08-22T08:46:00Z</cp:lastPrinted>
  <dcterms:created xsi:type="dcterms:W3CDTF">2019-08-22T06:09:00Z</dcterms:created>
  <dcterms:modified xsi:type="dcterms:W3CDTF">2019-08-22T15:46:00Z</dcterms:modified>
</cp:coreProperties>
</file>