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6.png" ContentType="image/png"/>
  <Override PartName="/word/media/rId28.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Analyses</w:t>
      </w:r>
      <w:r>
        <w:t xml:space="preserve"> </w:t>
      </w:r>
      <w:r>
        <w:t xml:space="preserve">&amp;</w:t>
      </w:r>
      <w:r>
        <w:t xml:space="preserve"> </w:t>
      </w:r>
      <w:r>
        <w:t xml:space="preserve">results</w:t>
      </w:r>
    </w:p>
    <w:p>
      <w:pPr>
        <w:pStyle w:val="Subtitle"/>
      </w:pPr>
      <w:r>
        <w:t xml:space="preserve">GCFR</w:t>
      </w:r>
      <w:r>
        <w:t xml:space="preserve"> </w:t>
      </w:r>
      <w:r>
        <w:t xml:space="preserve">vs</w:t>
      </w:r>
      <w:r>
        <w:t xml:space="preserve"> </w:t>
      </w:r>
      <w:r>
        <w:t xml:space="preserve">SWAFR</w:t>
      </w:r>
      <w:r>
        <w:t xml:space="preserve"> </w:t>
      </w:r>
      <w:r>
        <w:t xml:space="preserve">manuscript</w:t>
      </w:r>
    </w:p>
    <w:p>
      <w:pPr>
        <w:pStyle w:val="Author"/>
      </w:pPr>
      <w:r>
        <w:t xml:space="preserve">Ruan</w:t>
      </w:r>
      <w:r>
        <w:t xml:space="preserve"> </w:t>
      </w:r>
      <w:r>
        <w:t xml:space="preserve">van</w:t>
      </w:r>
      <w:r>
        <w:t xml:space="preserve"> </w:t>
      </w:r>
      <w:r>
        <w:t xml:space="preserve">Mazijk</w:t>
      </w:r>
    </w:p>
    <w:p>
      <w:pPr>
        <w:pStyle w:val="Date"/>
      </w:pPr>
      <w:r>
        <w:t xml:space="preserve">2019-08-29</w:t>
      </w:r>
    </w:p>
    <w:p>
      <w:pPr>
        <w:pStyle w:val="Heading1"/>
      </w:pPr>
      <w:bookmarkStart w:id="20" w:name="comparing-environmental-heterogeneity"/>
      <w:r>
        <w:t xml:space="preserve">1. Comparing environmental heterogeneity</w:t>
      </w:r>
      <w:bookmarkEnd w:id="20"/>
    </w:p>
    <w:p>
      <w:pPr>
        <w:pStyle w:val="TableCaption"/>
      </w:pPr>
      <w:r>
        <w:t xml:space="preserve">Slopes of</w:t>
      </w:r>
      <w:r>
        <w:t xml:space="preserve"> </w:t>
      </w:r>
      <w:r>
        <w:rPr>
          <w:i/>
        </w:rPr>
        <w:t xml:space="preserve">CLES</w:t>
      </w:r>
      <w:r>
        <w:t xml:space="preserve"> </w:t>
      </w:r>
      <w:r>
        <w:t xml:space="preserve">against …</w:t>
      </w:r>
    </w:p>
    <w:tbl>
      <w:tblPr>
        <w:tblStyle w:val="Table"/>
        <w:tblW w:type="pct" w:w="0.0"/>
        <w:tblLook w:firstRow="1"/>
        <w:tblCaption w:val="Slopes of CLES against …"/>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rPr>
                <w:i/>
              </w:rPr>
              <w:t xml:space="preserve">P</w:t>
            </w:r>
          </w:p>
        </w:tc>
        <w:tc>
          <w:tcPr>
            <w:tcBorders>
              <w:bottom w:val="single"/>
            </w:tcBorders>
            <w:vAlign w:val="bottom"/>
          </w:tcPr>
          <w:p/>
        </w:tc>
      </w:tr>
      <w:tr>
        <w:tc>
          <w:p>
            <w:pPr>
              <w:pStyle w:val="Compact"/>
              <w:jc w:val="left"/>
            </w:pPr>
            <w:r>
              <w:t xml:space="preserve">Elevation</w:t>
            </w:r>
          </w:p>
        </w:tc>
        <w:tc>
          <w:p>
            <w:pPr>
              <w:pStyle w:val="Compact"/>
              <w:jc w:val="right"/>
            </w:pPr>
            <w:r>
              <w:t xml:space="preserve">-0.029</w:t>
            </w:r>
          </w:p>
        </w:tc>
        <w:tc>
          <w:p>
            <w:pPr>
              <w:pStyle w:val="Compact"/>
              <w:jc w:val="right"/>
            </w:pPr>
            <w:r>
              <w:t xml:space="preserve">0.135</w:t>
            </w:r>
          </w:p>
        </w:tc>
        <w:tc>
          <w:p/>
        </w:tc>
      </w:tr>
      <w:tr>
        <w:tc>
          <w:p>
            <w:pPr>
              <w:pStyle w:val="Compact"/>
              <w:jc w:val="left"/>
            </w:pPr>
            <w:r>
              <w:t xml:space="preserve">MAP</w:t>
            </w:r>
          </w:p>
        </w:tc>
        <w:tc>
          <w:p>
            <w:pPr>
              <w:pStyle w:val="Compact"/>
              <w:jc w:val="right"/>
            </w:pPr>
            <w:r>
              <w:t xml:space="preserve">-0.224</w:t>
            </w:r>
          </w:p>
        </w:tc>
        <w:tc>
          <w:p>
            <w:pPr>
              <w:pStyle w:val="Compact"/>
              <w:jc w:val="right"/>
            </w:pPr>
            <w:r>
              <w:t xml:space="preserve">0.028</w:t>
            </w:r>
          </w:p>
        </w:tc>
        <w:tc>
          <w:p>
            <w:pPr>
              <w:pStyle w:val="Compact"/>
              <w:jc w:val="left"/>
            </w:pPr>
            <w:r>
              <w:t xml:space="preserve">*</w:t>
            </w:r>
          </w:p>
        </w:tc>
      </w:tr>
      <w:tr>
        <w:tc>
          <w:p>
            <w:pPr>
              <w:pStyle w:val="Compact"/>
              <w:jc w:val="left"/>
            </w:pPr>
            <w:r>
              <w:t xml:space="preserve">PDQ</w:t>
            </w:r>
          </w:p>
        </w:tc>
        <w:tc>
          <w:p>
            <w:pPr>
              <w:pStyle w:val="Compact"/>
              <w:jc w:val="right"/>
            </w:pPr>
            <w:r>
              <w:t xml:space="preserve">-0.055</w:t>
            </w:r>
          </w:p>
        </w:tc>
        <w:tc>
          <w:p>
            <w:pPr>
              <w:pStyle w:val="Compact"/>
              <w:jc w:val="right"/>
            </w:pPr>
            <w:r>
              <w:t xml:space="preserve">0.260</w:t>
            </w:r>
          </w:p>
        </w:tc>
        <w:tc>
          <w:p/>
        </w:tc>
      </w:tr>
      <w:tr>
        <w:tc>
          <w:p>
            <w:pPr>
              <w:pStyle w:val="Compact"/>
              <w:jc w:val="left"/>
            </w:pPr>
            <w:r>
              <w:t xml:space="preserve">Surface_T</w:t>
            </w:r>
          </w:p>
        </w:tc>
        <w:tc>
          <w:p>
            <w:pPr>
              <w:pStyle w:val="Compact"/>
              <w:jc w:val="right"/>
            </w:pPr>
            <w:r>
              <w:t xml:space="preserve">-0.062</w:t>
            </w:r>
          </w:p>
        </w:tc>
        <w:tc>
          <w:p>
            <w:pPr>
              <w:pStyle w:val="Compact"/>
              <w:jc w:val="right"/>
            </w:pPr>
            <w:r>
              <w:t xml:space="preserve">0.207</w:t>
            </w:r>
          </w:p>
        </w:tc>
        <w:tc>
          <w:p/>
        </w:tc>
      </w:tr>
      <w:tr>
        <w:tc>
          <w:p>
            <w:pPr>
              <w:pStyle w:val="Compact"/>
              <w:jc w:val="left"/>
            </w:pPr>
            <w:r>
              <w:t xml:space="preserve">NDVI</w:t>
            </w:r>
          </w:p>
        </w:tc>
        <w:tc>
          <w:p>
            <w:pPr>
              <w:pStyle w:val="Compact"/>
              <w:jc w:val="right"/>
            </w:pPr>
            <w:r>
              <w:t xml:space="preserve">0.059</w:t>
            </w:r>
          </w:p>
        </w:tc>
        <w:tc>
          <w:p>
            <w:pPr>
              <w:pStyle w:val="Compact"/>
              <w:jc w:val="right"/>
            </w:pPr>
            <w:r>
              <w:t xml:space="preserve">0.134</w:t>
            </w:r>
          </w:p>
        </w:tc>
        <w:tc>
          <w:p/>
        </w:tc>
      </w:tr>
      <w:tr>
        <w:tc>
          <w:p>
            <w:pPr>
              <w:pStyle w:val="Compact"/>
              <w:jc w:val="left"/>
            </w:pPr>
            <w:r>
              <w:t xml:space="preserve">CEC</w:t>
            </w:r>
          </w:p>
        </w:tc>
        <w:tc>
          <w:p>
            <w:pPr>
              <w:pStyle w:val="Compact"/>
              <w:jc w:val="right"/>
            </w:pPr>
            <w:r>
              <w:t xml:space="preserve">-0.054</w:t>
            </w:r>
          </w:p>
        </w:tc>
        <w:tc>
          <w:p>
            <w:pPr>
              <w:pStyle w:val="Compact"/>
              <w:jc w:val="right"/>
            </w:pPr>
            <w:r>
              <w:t xml:space="preserve">0.361</w:t>
            </w:r>
          </w:p>
        </w:tc>
        <w:tc>
          <w:p/>
        </w:tc>
      </w:tr>
      <w:tr>
        <w:tc>
          <w:p>
            <w:pPr>
              <w:pStyle w:val="Compact"/>
              <w:jc w:val="left"/>
            </w:pPr>
            <w:r>
              <w:t xml:space="preserve">Clay</w:t>
            </w:r>
          </w:p>
        </w:tc>
        <w:tc>
          <w:p>
            <w:pPr>
              <w:pStyle w:val="Compact"/>
              <w:jc w:val="right"/>
            </w:pPr>
            <w:r>
              <w:t xml:space="preserve">0.104</w:t>
            </w:r>
          </w:p>
        </w:tc>
        <w:tc>
          <w:p>
            <w:pPr>
              <w:pStyle w:val="Compact"/>
              <w:jc w:val="right"/>
            </w:pPr>
            <w:r>
              <w:t xml:space="preserve">0.143</w:t>
            </w:r>
          </w:p>
        </w:tc>
        <w:tc>
          <w:p/>
        </w:tc>
      </w:tr>
      <w:tr>
        <w:tc>
          <w:p>
            <w:pPr>
              <w:pStyle w:val="Compact"/>
              <w:jc w:val="left"/>
            </w:pPr>
            <w:r>
              <w:t xml:space="preserve">Soil_C</w:t>
            </w:r>
          </w:p>
        </w:tc>
        <w:tc>
          <w:p>
            <w:pPr>
              <w:pStyle w:val="Compact"/>
              <w:jc w:val="right"/>
            </w:pPr>
            <w:r>
              <w:t xml:space="preserve">-0.065</w:t>
            </w:r>
          </w:p>
        </w:tc>
        <w:tc>
          <w:p>
            <w:pPr>
              <w:pStyle w:val="Compact"/>
              <w:jc w:val="right"/>
            </w:pPr>
            <w:r>
              <w:t xml:space="preserve">0.270</w:t>
            </w:r>
          </w:p>
        </w:tc>
        <w:tc>
          <w:p/>
        </w:tc>
      </w:tr>
      <w:tr>
        <w:tc>
          <w:p>
            <w:pPr>
              <w:pStyle w:val="Compact"/>
              <w:jc w:val="left"/>
            </w:pPr>
            <w:r>
              <w:t xml:space="preserve">pH</w:t>
            </w:r>
          </w:p>
        </w:tc>
        <w:tc>
          <w:p>
            <w:pPr>
              <w:pStyle w:val="Compact"/>
              <w:jc w:val="right"/>
            </w:pPr>
            <w:r>
              <w:t xml:space="preserve">-0.013</w:t>
            </w:r>
          </w:p>
        </w:tc>
        <w:tc>
          <w:p>
            <w:pPr>
              <w:pStyle w:val="Compact"/>
              <w:jc w:val="right"/>
            </w:pPr>
            <w:r>
              <w:t xml:space="preserve">0.729</w:t>
            </w:r>
          </w:p>
        </w:tc>
        <w:tc>
          <w:p/>
        </w:tc>
      </w:tr>
      <w:tr>
        <w:tc>
          <w:p>
            <w:pPr>
              <w:pStyle w:val="Compact"/>
              <w:jc w:val="left"/>
            </w:pPr>
            <w:r>
              <w:t xml:space="preserve">PC1</w:t>
            </w:r>
          </w:p>
        </w:tc>
        <w:tc>
          <w:p>
            <w:pPr>
              <w:pStyle w:val="Compact"/>
              <w:jc w:val="right"/>
            </w:pPr>
            <w:r>
              <w:t xml:space="preserve">-0.076</w:t>
            </w:r>
          </w:p>
        </w:tc>
        <w:tc>
          <w:p>
            <w:pPr>
              <w:pStyle w:val="Compact"/>
              <w:jc w:val="right"/>
            </w:pPr>
            <w:r>
              <w:t xml:space="preserve">0.059</w:t>
            </w:r>
          </w:p>
        </w:tc>
        <w:tc>
          <w:p>
            <w:pPr>
              <w:pStyle w:val="Compact"/>
              <w:jc w:val="left"/>
            </w:pPr>
            <w:r>
              <w:t xml:space="preserve">.</w:t>
            </w:r>
          </w:p>
        </w:tc>
      </w:tr>
    </w:tbl>
    <w:p>
      <w:pPr>
        <w:pStyle w:val="CaptionedFigure"/>
      </w:pPr>
      <w:r>
        <w:drawing>
          <wp:inline>
            <wp:extent cx="4620126" cy="3696101"/>
            <wp:effectExtent b="0" l="0" r="0" t="0"/>
            <wp:docPr descr="The common language effect size (CLES) of (a–i) various forms of environmental heterogeneity (log10-transformed) and (j) the major axis thereof (PC1) in the GCFR and SWAFR. The CLES here is treated as the effect of GCFR relative to SWAFR values. Filled points represent comparisons where the GCFR and SWAFR significantly differed in heterogeneity (P â‰¤ 0.05, Mann-Whitney U-tests), while unfilled points represent those that were not significant (P &gt; 0.05). Following simple linear regressions of CLES against scale, negative relationships (depicted by lines) were found for MAP (slope = -0.224, P = 0.028) and PC1 (slope = -0.076, P = 0.059). Abbreviations are as in Table 1." title="" id="1" name="Picture"/>
            <a:graphic>
              <a:graphicData uri="http://schemas.openxmlformats.org/drawingml/2006/picture">
                <pic:pic>
                  <pic:nvPicPr>
                    <pic:cNvPr descr="figures/plot-CLES-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common language effect size (</w:t>
      </w:r>
      <w:r>
        <w:rPr>
          <w:i/>
        </w:rPr>
        <w:t xml:space="preserve">CLES</w:t>
      </w:r>
      <w:r>
        <w:t xml:space="preserve">) of (a–i) various forms of environmental heterogeneity (log</w:t>
      </w:r>
      <w:r>
        <w:rPr>
          <w:vertAlign w:val="subscript"/>
        </w:rPr>
        <w:t xml:space="preserve">10</w:t>
      </w:r>
      <w:r>
        <w:t xml:space="preserve">-transformed) and (j) the major axis thereof (PC1) in the GCFR and SWAFR. The</w:t>
      </w:r>
      <w:r>
        <w:t xml:space="preserve"> </w:t>
      </w:r>
      <w:r>
        <w:rPr>
          <w:i/>
        </w:rPr>
        <w:t xml:space="preserve">CLES</w:t>
      </w:r>
      <w:r>
        <w:t xml:space="preserve"> </w:t>
      </w:r>
      <w:r>
        <w:t xml:space="preserve">here is treated as the effect of GCFR relative to SWAFR values. Filled points represent comparisons where the GCFR and SWAFR significantly differed in heterogeneity (</w:t>
      </w:r>
      <w:r>
        <w:rPr>
          <w:i/>
        </w:rPr>
        <w:t xml:space="preserve">P</w:t>
      </w:r>
      <w:r>
        <w:t xml:space="preserve"> </w:t>
      </w:r>
      <w:r>
        <w:t xml:space="preserve">â‰¤ 0.05, Mann-Whitney U-tests), while unfilled points represent those that were not significant (</w:t>
      </w:r>
      <w:r>
        <w:rPr>
          <w:i/>
        </w:rPr>
        <w:t xml:space="preserve">P</w:t>
      </w:r>
      <w:r>
        <w:t xml:space="preserve"> </w:t>
      </w:r>
      <w:r>
        <w:t xml:space="preserve">&gt; 0.05). Following simple linear regressions of CLES against scale, negative relationships (depicted by lines) were found for MAP (slope = -0.224, P = 0.028) and PC1 (slope = -0.076, P = 0.059). Abbreviations are as in Table 1.</w:t>
      </w:r>
    </w:p>
    <w:p>
      <w:pPr>
        <w:pStyle w:val="Heading1"/>
      </w:pPr>
      <w:bookmarkStart w:id="22" w:name="comparing-species-richness"/>
      <w:r>
        <w:t xml:space="preserve">2. Comparing species richness</w:t>
      </w:r>
      <w:bookmarkEnd w:id="22"/>
    </w:p>
    <w:p>
      <w:pPr>
        <w:pStyle w:val="CaptionedFigure"/>
      </w:pPr>
      <w:r>
        <w:drawing>
          <wp:inline>
            <wp:extent cx="5334000" cy="4572000"/>
            <wp:effectExtent b="0" l="0" r="0" t="0"/>
            <wp:docPr descr="Distributions of (a) QDS- and (b) HDS-scale vascular plant species richness in the GCFR and SWAFR. (c) Scatter plot of mean QDS-scale richness (\overline{S}QDS) and turnover (TQDS; Equation 1) with contour lines denoting the SHDS that arises as their sum. (d) The distribution of the turnover partition of SHDS (TQDS; in c) expressed as a proportion (TQDS / \overline{S}HDS)." title="" id="1" name="Picture"/>
            <a:graphic>
              <a:graphicData uri="http://schemas.openxmlformats.org/drawingml/2006/picture">
                <pic:pic>
                  <pic:nvPicPr>
                    <pic:cNvPr descr="figures/plot-richness-distributions-and-partitions-1.png" id="0" name="Picture"/>
                    <pic:cNvPicPr>
                      <a:picLocks noChangeArrowheads="1" noChangeAspect="1"/>
                    </pic:cNvPicPr>
                  </pic:nvPicPr>
                  <pic:blipFill>
                    <a:blip r:embed="rId23"/>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Distributions of (a) QDS- and (b) HDS-scale vascular plant species richness in the GCFR and SWAFR. (c) Scatter plot of mean QDS-scale richness (</w:t>
      </w:r>
      <m:oMath>
        <m:bar>
          <m:barPr>
            <m:pos m:val="top"/>
          </m:barPr>
          <m:e>
            <m:r>
              <m:t>S</m:t>
            </m:r>
          </m:e>
        </m:bar>
      </m:oMath>
      <w:r>
        <w:rPr>
          <w:vertAlign w:val="subscript"/>
        </w:rPr>
        <w:t xml:space="preserve">QDS</w:t>
      </w:r>
      <w:r>
        <w:t xml:space="preserve">) and turnover (</w:t>
      </w:r>
      <w:r>
        <w:rPr>
          <w:i/>
        </w:rPr>
        <w:t xml:space="preserve">T</w:t>
      </w:r>
      <w:r>
        <w:rPr>
          <w:vertAlign w:val="subscript"/>
        </w:rPr>
        <w:t xml:space="preserve">QDS</w:t>
      </w:r>
      <w:r>
        <w:t xml:space="preserve">; Equation 1) with contour lines denoting the</w:t>
      </w:r>
      <w:r>
        <w:t xml:space="preserve"> </w:t>
      </w:r>
      <w:r>
        <w:rPr>
          <w:i/>
        </w:rPr>
        <w:t xml:space="preserve">S</w:t>
      </w:r>
      <w:r>
        <w:rPr>
          <w:vertAlign w:val="subscript"/>
        </w:rPr>
        <w:t xml:space="preserve">HDS</w:t>
      </w:r>
      <w:r>
        <w:t xml:space="preserve"> </w:t>
      </w:r>
      <w:r>
        <w:t xml:space="preserve">that arises as their sum. (d) The distribution of the turnover partition of</w:t>
      </w:r>
      <w:r>
        <w:t xml:space="preserve"> </w:t>
      </w:r>
      <w:r>
        <w:rPr>
          <w:i/>
        </w:rPr>
        <w:t xml:space="preserve">S</w:t>
      </w:r>
      <w:r>
        <w:rPr>
          <w:vertAlign w:val="subscript"/>
        </w:rPr>
        <w:t xml:space="preserve">HDS</w:t>
      </w:r>
      <w:r>
        <w:t xml:space="preserve"> </w:t>
      </w:r>
      <w:r>
        <w:t xml:space="preserve">(</w:t>
      </w:r>
      <w:r>
        <w:rPr>
          <w:i/>
        </w:rPr>
        <w:t xml:space="preserve">T</w:t>
      </w:r>
      <w:r>
        <w:rPr>
          <w:vertAlign w:val="subscript"/>
        </w:rPr>
        <w:t xml:space="preserve">QDS</w:t>
      </w:r>
      <w:r>
        <w:t xml:space="preserve">; in c) expressed as a proportion (</w:t>
      </w:r>
      <w:r>
        <w:rPr>
          <w:i/>
        </w:rPr>
        <w:t xml:space="preserve">T</w:t>
      </w:r>
      <w:r>
        <w:rPr>
          <w:vertAlign w:val="subscript"/>
        </w:rPr>
        <w:t xml:space="preserve">QDS</w:t>
      </w:r>
      <w:r>
        <w:t xml:space="preserve"> </w:t>
      </w:r>
      <w:r>
        <w:t xml:space="preserve">/</w:t>
      </w:r>
      <w:r>
        <w:t xml:space="preserve"> </w:t>
      </w:r>
      <m:oMath>
        <m:bar>
          <m:barPr>
            <m:pos m:val="top"/>
          </m:barPr>
          <m:e>
            <m:r>
              <m:t>S</m:t>
            </m:r>
          </m:e>
        </m:bar>
      </m:oMath>
      <w:r>
        <w:rPr>
          <w:vertAlign w:val="subscript"/>
        </w:rPr>
        <w:t xml:space="preserve">HDS</w:t>
      </w:r>
      <w:r>
        <w:t xml:space="preserve">).</w:t>
      </w:r>
    </w:p>
    <w:p>
      <w:pPr>
        <w:pStyle w:val="TableCaption"/>
      </w:pPr>
      <w:r>
        <w:t xml:space="preserve">…</w:t>
      </w:r>
    </w:p>
    <w:tbl>
      <w:tblPr>
        <w:tblStyle w:val="Table"/>
        <w:tblW w:type="pct" w:w="0.0"/>
        <w:tblLook w:firstRow="1"/>
        <w:tblCaption w:val="…"/>
      </w:tblPr>
      <w:tblGrid/>
      <w:tr>
        <w:trPr>
          <w:cnfStyle w:firstRow="1"/>
        </w:trPr>
        <w:tc>
          <w:tcPr>
            <w:tcBorders>
              <w:bottom w:val="single"/>
            </w:tcBorders>
            <w:vAlign w:val="bottom"/>
          </w:tcPr>
          <w:p>
            <w:pPr>
              <w:pStyle w:val="Compact"/>
              <w:jc w:val="left"/>
            </w:pPr>
            <w:r>
              <w:t xml:space="preserve">metric</w:t>
            </w:r>
          </w:p>
        </w:tc>
        <w:tc>
          <w:tcPr>
            <w:tcBorders>
              <w:bottom w:val="single"/>
            </w:tcBorders>
            <w:vAlign w:val="bottom"/>
          </w:tcPr>
          <w:p>
            <w:pPr>
              <w:pStyle w:val="Compact"/>
              <w:jc w:val="right"/>
            </w:pPr>
            <w:r>
              <w:t xml:space="preserve">P_U</w:t>
            </w:r>
          </w:p>
        </w:tc>
        <w:tc>
          <w:tcPr>
            <w:tcBorders>
              <w:bottom w:val="single"/>
            </w:tcBorders>
            <w:vAlign w:val="bottom"/>
          </w:tcPr>
          <w:p>
            <w:pPr>
              <w:pStyle w:val="Compact"/>
              <w:jc w:val="right"/>
            </w:pPr>
            <w:r>
              <w:t xml:space="preserve">CLES_value</w:t>
            </w:r>
          </w:p>
        </w:tc>
      </w:tr>
      <w:tr>
        <w:tc>
          <w:p>
            <w:pPr>
              <w:pStyle w:val="Compact"/>
              <w:jc w:val="left"/>
            </w:pPr>
            <w:r>
              <w:t xml:space="preserve">QDS_richness</w:t>
            </w:r>
          </w:p>
        </w:tc>
        <w:tc>
          <w:p>
            <w:pPr>
              <w:pStyle w:val="Compact"/>
              <w:jc w:val="right"/>
            </w:pPr>
            <w:r>
              <w:t xml:space="preserve">0.0002828</w:t>
            </w:r>
          </w:p>
        </w:tc>
        <w:tc>
          <w:p>
            <w:pPr>
              <w:pStyle w:val="Compact"/>
              <w:jc w:val="right"/>
            </w:pPr>
            <w:r>
              <w:t xml:space="preserve">0.5882409</w:t>
            </w:r>
          </w:p>
        </w:tc>
      </w:tr>
      <w:tr>
        <w:tc>
          <w:p>
            <w:pPr>
              <w:pStyle w:val="Compact"/>
              <w:jc w:val="left"/>
            </w:pPr>
            <w:r>
              <w:t xml:space="preserve">HDS_richness</w:t>
            </w:r>
          </w:p>
        </w:tc>
        <w:tc>
          <w:p>
            <w:pPr>
              <w:pStyle w:val="Compact"/>
              <w:jc w:val="right"/>
            </w:pPr>
            <w:r>
              <w:t xml:space="preserve">0.0454020</w:t>
            </w:r>
          </w:p>
        </w:tc>
        <w:tc>
          <w:p>
            <w:pPr>
              <w:pStyle w:val="Compact"/>
              <w:jc w:val="right"/>
            </w:pPr>
            <w:r>
              <w:t xml:space="preserve">0.5875460</w:t>
            </w:r>
          </w:p>
        </w:tc>
      </w:tr>
      <w:tr>
        <w:tc>
          <w:p>
            <w:pPr>
              <w:pStyle w:val="Compact"/>
              <w:jc w:val="left"/>
            </w:pPr>
            <w:r>
              <w:t xml:space="preserve">DS_richness</w:t>
            </w:r>
          </w:p>
        </w:tc>
        <w:tc>
          <w:p>
            <w:pPr>
              <w:pStyle w:val="Compact"/>
              <w:jc w:val="right"/>
            </w:pPr>
            <w:r>
              <w:t xml:space="preserve">0.0067394</w:t>
            </w:r>
          </w:p>
        </w:tc>
        <w:tc>
          <w:p>
            <w:pPr>
              <w:pStyle w:val="Compact"/>
              <w:jc w:val="right"/>
            </w:pPr>
            <w:r>
              <w:t xml:space="preserve">0.7318339</w:t>
            </w:r>
          </w:p>
        </w:tc>
      </w:tr>
      <w:tr>
        <w:tc>
          <w:p>
            <w:pPr>
              <w:pStyle w:val="Compact"/>
              <w:jc w:val="left"/>
            </w:pPr>
            <w:r>
              <w:t xml:space="preserve">QDS_turnover_prop</w:t>
            </w:r>
          </w:p>
        </w:tc>
        <w:tc>
          <w:p>
            <w:pPr>
              <w:pStyle w:val="Compact"/>
              <w:jc w:val="right"/>
            </w:pPr>
            <w:r>
              <w:t xml:space="preserve">0.0000000</w:t>
            </w:r>
          </w:p>
        </w:tc>
        <w:tc>
          <w:p>
            <w:pPr>
              <w:pStyle w:val="Compact"/>
              <w:jc w:val="right"/>
            </w:pPr>
            <w:r>
              <w:t xml:space="preserve">0.7400046</w:t>
            </w:r>
          </w:p>
        </w:tc>
      </w:tr>
      <w:tr>
        <w:tc>
          <w:p>
            <w:pPr>
              <w:pStyle w:val="Compact"/>
              <w:jc w:val="left"/>
            </w:pPr>
            <w:r>
              <w:t xml:space="preserve">HDS_turnover_prop</w:t>
            </w:r>
          </w:p>
        </w:tc>
        <w:tc>
          <w:p>
            <w:pPr>
              <w:pStyle w:val="Compact"/>
              <w:jc w:val="right"/>
            </w:pPr>
            <w:r>
              <w:t xml:space="preserve">0.0001875</w:t>
            </w:r>
          </w:p>
        </w:tc>
        <w:tc>
          <w:p>
            <w:pPr>
              <w:pStyle w:val="Compact"/>
              <w:jc w:val="right"/>
            </w:pPr>
            <w:r>
              <w:t xml:space="preserve">0.8114187</w:t>
            </w:r>
          </w:p>
        </w:tc>
      </w:tr>
    </w:tbl>
    <w:p>
      <w:pPr>
        <w:pStyle w:val="Heading1"/>
      </w:pPr>
      <w:bookmarkStart w:id="24" w:name="Xf43d987df7540ba1bdba45073c9ea5fa78358e6"/>
      <w:r>
        <w:t xml:space="preserve">3. Environmental heterogeneity as an explanation of species richness</w:t>
      </w:r>
      <w:bookmarkEnd w:id="24"/>
    </w:p>
    <w:p>
      <w:pPr>
        <w:pStyle w:val="Heading2"/>
      </w:pPr>
      <w:bookmarkStart w:id="25" w:name="univariate-models"/>
      <w:r>
        <w:t xml:space="preserve">3.1. Univariate models</w:t>
      </w:r>
      <w:bookmarkEnd w:id="25"/>
    </w:p>
    <w:p>
      <w:pPr>
        <w:pStyle w:val="CaptionedFigure"/>
      </w:pPr>
      <w:r>
        <w:drawing>
          <wp:inline>
            <wp:extent cx="5334000" cy="2286000"/>
            <wp:effectExtent b="0" l="0" r="0" t="0"/>
            <wp:docPr descr="…" title="" id="1" name="Picture"/>
            <a:graphic>
              <a:graphicData uri="http://schemas.openxmlformats.org/drawingml/2006/picture">
                <pic:pic>
                  <pic:nvPicPr>
                    <pic:cNvPr descr="figures/plot-PC1-models-1.png" id="0" name="Picture"/>
                    <pic:cNvPicPr>
                      <a:picLocks noChangeArrowheads="1" noChangeAspect="1"/>
                    </pic:cNvPicPr>
                  </pic:nvPicPr>
                  <pic:blipFill>
                    <a:blip r:embed="rId26"/>
                    <a:stretch>
                      <a:fillRect/>
                    </a:stretch>
                  </pic:blipFill>
                  <pic:spPr bwMode="auto">
                    <a:xfrm>
                      <a:off x="0" y="0"/>
                      <a:ext cx="5334000" cy="2286000"/>
                    </a:xfrm>
                    <a:prstGeom prst="rect">
                      <a:avLst/>
                    </a:prstGeom>
                    <a:noFill/>
                    <a:ln w="9525">
                      <a:noFill/>
                      <a:headEnd/>
                      <a:tailEnd/>
                    </a:ln>
                  </pic:spPr>
                </pic:pic>
              </a:graphicData>
            </a:graphic>
          </wp:inline>
        </w:drawing>
      </w:r>
    </w:p>
    <w:p>
      <w:pPr>
        <w:pStyle w:val="ImageCaption"/>
      </w:pPr>
      <w:r>
        <w:t xml:space="preserve">…</w:t>
      </w:r>
    </w:p>
    <w:p>
      <w:pPr>
        <w:pStyle w:val="TableCaption"/>
      </w:pPr>
      <w:r>
        <w:t xml:space="preserve">Summarised results of the best fitting separate simple linear regressions of log</w:t>
      </w:r>
      <w:r>
        <w:rPr>
          <w:vertAlign w:val="subscript"/>
        </w:rPr>
        <w:t xml:space="preserve">10</w:t>
      </w:r>
      <w:r>
        <w:t xml:space="preserve">[</w:t>
      </w:r>
      <w:r>
        <w:rPr>
          <w:i/>
        </w:rPr>
        <w:t xml:space="preserve">S</w:t>
      </w:r>
      <w:r>
        <w:rPr>
          <w:vertAlign w:val="subscript"/>
        </w:rPr>
        <w:t xml:space="preserve">QDS</w:t>
      </w:r>
      <w:r>
        <w:t xml:space="preserve">] against environmental heterogeneity.</w:t>
      </w:r>
    </w:p>
    <w:tbl>
      <w:tblPr>
        <w:tblStyle w:val="Table"/>
        <w:tblW w:type="pct" w:w="0.0"/>
        <w:tblLook w:firstRow="1"/>
        <w:tblCaption w:val="Summarised results of the best fitting separate simple linear regressions of log10[SQDS] against environmental heterogeneity."/>
      </w:tblPr>
      <w:tblGrid/>
      <w:tr>
        <w:trPr>
          <w:cnfStyle w:firstRow="1"/>
        </w:trPr>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Heterogeneity predictor</w:t>
            </w:r>
          </w:p>
        </w:tc>
        <w:tc>
          <w:tcPr>
            <w:tcBorders>
              <w:bottom w:val="single"/>
            </w:tcBorders>
            <w:vAlign w:val="bottom"/>
          </w:tcPr>
          <w:p>
            <w:pPr>
              <w:pStyle w:val="Compact"/>
              <w:jc w:val="center"/>
            </w:pPr>
            <w:r>
              <w:t xml:space="preserve">Slope</w:t>
            </w:r>
          </w:p>
        </w:tc>
        <w:tc>
          <w:tcPr>
            <w:tcBorders>
              <w:bottom w:val="single"/>
            </w:tcBorders>
            <w:vAlign w:val="bottom"/>
          </w:tcPr>
          <w:p/>
        </w:tc>
        <w:tc>
          <w:tcPr>
            <w:tcBorders>
              <w:bottom w:val="single"/>
            </w:tcBorders>
            <w:vAlign w:val="bottom"/>
          </w:tcPr>
          <w:p>
            <w:pPr>
              <w:pStyle w:val="Compact"/>
              <w:jc w:val="center"/>
            </w:pPr>
            <w:r>
              <w:t xml:space="preserve">SWAFR effect</w:t>
            </w:r>
          </w:p>
        </w:tc>
        <w:tc>
          <w:tcPr>
            <w:tcBorders>
              <w:bottom w:val="single"/>
            </w:tcBorders>
            <w:vAlign w:val="bottom"/>
          </w:tcPr>
          <w:p/>
        </w:tc>
      </w:tr>
      <w:tr>
        <w:tc>
          <w:p>
            <w:pPr>
              <w:pStyle w:val="Compact"/>
              <w:jc w:val="left"/>
            </w:pPr>
            <w:r>
              <w:t xml:space="preserve">Main effect + region</w:t>
            </w:r>
          </w:p>
        </w:tc>
        <w:tc>
          <w:p>
            <w:pPr>
              <w:pStyle w:val="Compact"/>
              <w:jc w:val="left"/>
            </w:pPr>
            <w:r>
              <w:t xml:space="preserve">NDVI</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r>
      <w:tr>
        <w:tc>
          <w:p/>
        </w:tc>
        <w:tc>
          <w:p>
            <w:pPr>
              <w:pStyle w:val="Compact"/>
              <w:jc w:val="left"/>
            </w:pPr>
            <w:r>
              <w:t xml:space="preserve">Soil C</w:t>
            </w:r>
          </w:p>
        </w:tc>
        <w:tc>
          <w:p>
            <w:pPr>
              <w:pStyle w:val="Compact"/>
              <w:jc w:val="center"/>
            </w:pPr>
            <w:r>
              <w:t xml:space="preserve">+</w:t>
            </w:r>
          </w:p>
        </w:tc>
        <w:tc>
          <w:p>
            <w:pPr>
              <w:pStyle w:val="Compact"/>
              <w:jc w:val="left"/>
            </w:pPr>
            <w:r>
              <w:t xml:space="preserve">**</w:t>
            </w:r>
          </w:p>
        </w:tc>
        <w:tc>
          <w:p>
            <w:pPr>
              <w:pStyle w:val="Compact"/>
              <w:jc w:val="center"/>
            </w:pPr>
            <w:r>
              <w:t xml:space="preserve">-</w:t>
            </w:r>
          </w:p>
        </w:tc>
        <w:tc>
          <w:p>
            <w:pPr>
              <w:pStyle w:val="Compact"/>
              <w:jc w:val="left"/>
            </w:pPr>
            <w:r>
              <w:t xml:space="preserve">*</w:t>
            </w:r>
          </w:p>
        </w:tc>
      </w:tr>
      <w:tr>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tc>
        <w:tc>
          <w:p/>
        </w:tc>
      </w:tr>
      <w:tr>
        <w:tc>
          <w:p/>
        </w:tc>
        <w:tc>
          <w:p>
            <w:pPr>
              <w:pStyle w:val="Compact"/>
              <w:jc w:val="left"/>
            </w:pPr>
            <w:r>
              <w:t xml:space="preserve">MAP</w:t>
            </w:r>
          </w:p>
        </w:tc>
        <w:tc>
          <w:p>
            <w:pPr>
              <w:pStyle w:val="Compact"/>
              <w:jc w:val="center"/>
            </w:pPr>
            <w:r>
              <w:t xml:space="preserve">+</w:t>
            </w:r>
          </w:p>
        </w:tc>
        <w:tc>
          <w:p>
            <w:pPr>
              <w:pStyle w:val="Compact"/>
              <w:jc w:val="left"/>
            </w:pPr>
            <w:r>
              <w:t xml:space="preserve">***</w:t>
            </w:r>
          </w:p>
        </w:tc>
        <w:tc>
          <w:p/>
        </w:tc>
        <w:tc>
          <w:p/>
        </w:tc>
      </w:tr>
      <w:tr>
        <w:tc>
          <w:p/>
        </w:tc>
        <w:tc>
          <w:p>
            <w:pPr>
              <w:pStyle w:val="Compact"/>
              <w:jc w:val="left"/>
            </w:pPr>
            <w:r>
              <w:t xml:space="preserve">PDQ</w:t>
            </w:r>
          </w:p>
        </w:tc>
        <w:tc>
          <w:p>
            <w:pPr>
              <w:pStyle w:val="Compact"/>
              <w:jc w:val="center"/>
            </w:pPr>
            <w:r>
              <w:t xml:space="preserve">+</w:t>
            </w:r>
          </w:p>
        </w:tc>
        <w:tc>
          <w:p>
            <w:pPr>
              <w:pStyle w:val="Compact"/>
              <w:jc w:val="left"/>
            </w:pPr>
            <w:r>
              <w:t xml:space="preserve">***</w:t>
            </w:r>
          </w:p>
        </w:tc>
        <w:tc>
          <w:p/>
        </w:tc>
        <w:tc>
          <w:p/>
        </w:tc>
      </w:tr>
      <w:tr>
        <w:tc>
          <w:p/>
        </w:tc>
        <w:tc>
          <w:p>
            <w:pPr>
              <w:pStyle w:val="Compact"/>
              <w:jc w:val="left"/>
            </w:pPr>
            <w:r>
              <w:t xml:space="preserve">Surface T</w:t>
            </w:r>
          </w:p>
        </w:tc>
        <w:tc>
          <w:p>
            <w:pPr>
              <w:pStyle w:val="Compact"/>
              <w:jc w:val="center"/>
            </w:pPr>
            <w:r>
              <w:t xml:space="preserve">+</w:t>
            </w:r>
          </w:p>
        </w:tc>
        <w:tc>
          <w:p>
            <w:pPr>
              <w:pStyle w:val="Compact"/>
              <w:jc w:val="left"/>
            </w:pPr>
            <w:r>
              <w:t xml:space="preserve">***</w:t>
            </w:r>
          </w:p>
        </w:tc>
        <w:tc>
          <w:p/>
        </w:tc>
        <w:tc>
          <w:p/>
        </w:tc>
      </w:tr>
      <w:tr>
        <w:tc>
          <w:p/>
        </w:tc>
        <w:tc>
          <w:p>
            <w:pPr>
              <w:pStyle w:val="Compact"/>
              <w:jc w:val="left"/>
            </w:pPr>
            <w:r>
              <w:t xml:space="preserve">PC1</w:t>
            </w:r>
          </w:p>
        </w:tc>
        <w:tc>
          <w:p>
            <w:pPr>
              <w:pStyle w:val="Compact"/>
              <w:jc w:val="center"/>
            </w:pPr>
            <w:r>
              <w:t xml:space="preserve">+</w:t>
            </w:r>
          </w:p>
        </w:tc>
        <w:tc>
          <w:p>
            <w:pPr>
              <w:pStyle w:val="Compact"/>
              <w:jc w:val="left"/>
            </w:pPr>
            <w:r>
              <w:t xml:space="preserve">***</w:t>
            </w:r>
          </w:p>
        </w:tc>
        <w:tc>
          <w:p/>
        </w:tc>
        <w:tc>
          <w:p/>
        </w:tc>
      </w:tr>
      <w:tr>
        <w:tc>
          <w:p>
            <w:pPr>
              <w:pStyle w:val="Compact"/>
              <w:jc w:val="left"/>
            </w:pPr>
            <w:r>
              <w:t xml:space="preserve">Region only</w:t>
            </w:r>
          </w:p>
        </w:tc>
        <w:tc>
          <w:p>
            <w:pPr>
              <w:pStyle w:val="Compact"/>
              <w:jc w:val="left"/>
            </w:pPr>
            <w:r>
              <w:t xml:space="preserve">CEC</w:t>
            </w:r>
          </w:p>
        </w:tc>
        <w:tc>
          <w:p>
            <w:pPr>
              <w:pStyle w:val="Compact"/>
              <w:jc w:val="center"/>
            </w:pPr>
            <w:r>
              <w:t xml:space="preserve">-</w:t>
            </w:r>
          </w:p>
        </w:tc>
        <w:tc>
          <w:p/>
        </w:tc>
        <w:tc>
          <w:p>
            <w:pPr>
              <w:pStyle w:val="Compact"/>
              <w:jc w:val="center"/>
            </w:pPr>
            <w:r>
              <w:t xml:space="preserve">-</w:t>
            </w:r>
          </w:p>
        </w:tc>
        <w:tc>
          <w:p>
            <w:pPr>
              <w:pStyle w:val="Compact"/>
              <w:jc w:val="left"/>
            </w:pPr>
            <w:r>
              <w:t xml:space="preserve">***</w:t>
            </w:r>
          </w:p>
        </w:tc>
      </w:tr>
      <w:tr>
        <w:tc>
          <w:p/>
        </w:tc>
        <w:tc>
          <w:p>
            <w:pPr>
              <w:pStyle w:val="Compact"/>
              <w:jc w:val="left"/>
            </w:pPr>
            <w:r>
              <w:t xml:space="preserve">Clay</w:t>
            </w:r>
          </w:p>
        </w:tc>
        <w:tc>
          <w:p>
            <w:pPr>
              <w:pStyle w:val="Compact"/>
              <w:jc w:val="center"/>
            </w:pPr>
            <w:r>
              <w:t xml:space="preserve">+</w:t>
            </w:r>
          </w:p>
        </w:tc>
        <w:tc>
          <w:p/>
        </w:tc>
        <w:tc>
          <w:p>
            <w:pPr>
              <w:pStyle w:val="Compact"/>
              <w:jc w:val="center"/>
            </w:pPr>
            <w:r>
              <w:t xml:space="preserve">-</w:t>
            </w:r>
          </w:p>
        </w:tc>
        <w:tc>
          <w:p>
            <w:pPr>
              <w:pStyle w:val="Compact"/>
              <w:jc w:val="left"/>
            </w:pPr>
            <w:r>
              <w:t xml:space="preserve">***</w:t>
            </w:r>
          </w:p>
        </w:tc>
      </w:tr>
      <w:tr>
        <w:tc>
          <w:p/>
        </w:tc>
        <w:tc>
          <w:p>
            <w:pPr>
              <w:pStyle w:val="Compact"/>
              <w:jc w:val="left"/>
            </w:pPr>
            <w:r>
              <w:t xml:space="preserve">pH</w:t>
            </w:r>
          </w:p>
        </w:tc>
        <w:tc>
          <w:p>
            <w:pPr>
              <w:pStyle w:val="Compact"/>
              <w:jc w:val="center"/>
            </w:pPr>
            <w:r>
              <w:t xml:space="preserve">-</w:t>
            </w:r>
          </w:p>
        </w:tc>
        <w:tc>
          <w:p/>
        </w:tc>
        <w:tc>
          <w:p>
            <w:pPr>
              <w:pStyle w:val="Compact"/>
              <w:jc w:val="center"/>
            </w:pPr>
            <w:r>
              <w:t xml:space="preserve">-</w:t>
            </w:r>
          </w:p>
        </w:tc>
        <w:tc>
          <w:p>
            <w:pPr>
              <w:pStyle w:val="Compact"/>
              <w:jc w:val="left"/>
            </w:pPr>
            <w:r>
              <w:t xml:space="preserve">***</w:t>
            </w:r>
          </w:p>
        </w:tc>
      </w:tr>
    </w:tbl>
    <w:p>
      <w:pPr>
        <w:pStyle w:val="TableCaption"/>
      </w:pPr>
      <w:r>
        <w:t xml:space="preserve">Summarised results of the best fitting separate simple linear regressions of log</w:t>
      </w:r>
      <w:r>
        <w:rPr>
          <w:vertAlign w:val="subscript"/>
        </w:rPr>
        <w:t xml:space="preserve">10</w:t>
      </w:r>
      <w:r>
        <w:t xml:space="preserve">[</w:t>
      </w:r>
      <w:r>
        <w:rPr>
          <w:i/>
        </w:rPr>
        <w:t xml:space="preserve">S</w:t>
      </w:r>
      <w:r>
        <w:rPr>
          <w:vertAlign w:val="subscript"/>
        </w:rPr>
        <w:t xml:space="preserve">HDS</w:t>
      </w:r>
      <w:r>
        <w:t xml:space="preserve">] against environmental heterogeneity.</w:t>
      </w:r>
    </w:p>
    <w:tbl>
      <w:tblPr>
        <w:tblStyle w:val="Table"/>
        <w:tblW w:type="pct" w:w="0.0"/>
        <w:tblLook w:firstRow="1"/>
        <w:tblCaption w:val="Summarised results of the best fitting separate simple linear regressions of log10[SHDS] against environmental heterogeneity."/>
      </w:tblPr>
      <w:tblGrid/>
      <w:tr>
        <w:trPr>
          <w:cnfStyle w:firstRow="1"/>
        </w:trPr>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Heterogeneity predictor</w:t>
            </w:r>
          </w:p>
        </w:tc>
        <w:tc>
          <w:tcPr>
            <w:tcBorders>
              <w:bottom w:val="single"/>
            </w:tcBorders>
            <w:vAlign w:val="bottom"/>
          </w:tcPr>
          <w:p>
            <w:pPr>
              <w:pStyle w:val="Compact"/>
              <w:jc w:val="center"/>
            </w:pPr>
            <w:r>
              <w:t xml:space="preserve">Slope</w:t>
            </w:r>
          </w:p>
        </w:tc>
        <w:tc>
          <w:tcPr>
            <w:tcBorders>
              <w:bottom w:val="single"/>
            </w:tcBorders>
            <w:vAlign w:val="bottom"/>
          </w:tcPr>
          <w:p/>
        </w:tc>
      </w:tr>
      <w:tr>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r>
      <w:tr>
        <w:tc>
          <w:p/>
        </w:tc>
        <w:tc>
          <w:p>
            <w:pPr>
              <w:pStyle w:val="Compact"/>
              <w:jc w:val="left"/>
            </w:pPr>
            <w:r>
              <w:t xml:space="preserve">MAP</w:t>
            </w:r>
          </w:p>
        </w:tc>
        <w:tc>
          <w:p>
            <w:pPr>
              <w:pStyle w:val="Compact"/>
              <w:jc w:val="center"/>
            </w:pPr>
            <w:r>
              <w:t xml:space="preserve">+</w:t>
            </w:r>
          </w:p>
        </w:tc>
        <w:tc>
          <w:p>
            <w:pPr>
              <w:pStyle w:val="Compact"/>
              <w:jc w:val="left"/>
            </w:pPr>
            <w:r>
              <w:t xml:space="preserve">***</w:t>
            </w:r>
          </w:p>
        </w:tc>
      </w:tr>
      <w:tr>
        <w:tc>
          <w:p/>
        </w:tc>
        <w:tc>
          <w:p>
            <w:pPr>
              <w:pStyle w:val="Compact"/>
              <w:jc w:val="left"/>
            </w:pPr>
            <w:r>
              <w:t xml:space="preserve">PDQ</w:t>
            </w:r>
          </w:p>
        </w:tc>
        <w:tc>
          <w:p>
            <w:pPr>
              <w:pStyle w:val="Compact"/>
              <w:jc w:val="center"/>
            </w:pPr>
            <w:r>
              <w:t xml:space="preserve">+</w:t>
            </w:r>
          </w:p>
        </w:tc>
        <w:tc>
          <w:p>
            <w:pPr>
              <w:pStyle w:val="Compact"/>
              <w:jc w:val="left"/>
            </w:pPr>
            <w:r>
              <w:t xml:space="preserve">***</w:t>
            </w:r>
          </w:p>
        </w:tc>
      </w:tr>
      <w:tr>
        <w:tc>
          <w:p/>
        </w:tc>
        <w:tc>
          <w:p>
            <w:pPr>
              <w:pStyle w:val="Compact"/>
              <w:jc w:val="left"/>
            </w:pPr>
            <w:r>
              <w:t xml:space="preserve">Surface T</w:t>
            </w:r>
          </w:p>
        </w:tc>
        <w:tc>
          <w:p>
            <w:pPr>
              <w:pStyle w:val="Compact"/>
              <w:jc w:val="center"/>
            </w:pPr>
            <w:r>
              <w:t xml:space="preserve">+</w:t>
            </w:r>
          </w:p>
        </w:tc>
        <w:tc>
          <w:p>
            <w:pPr>
              <w:pStyle w:val="Compact"/>
              <w:jc w:val="left"/>
            </w:pPr>
            <w:r>
              <w:t xml:space="preserve">*</w:t>
            </w:r>
          </w:p>
        </w:tc>
      </w:tr>
      <w:tr>
        <w:tc>
          <w:p/>
        </w:tc>
        <w:tc>
          <w:p>
            <w:pPr>
              <w:pStyle w:val="Compact"/>
              <w:jc w:val="left"/>
            </w:pPr>
            <w:r>
              <w:t xml:space="preserve">NDVI</w:t>
            </w:r>
          </w:p>
        </w:tc>
        <w:tc>
          <w:p>
            <w:pPr>
              <w:pStyle w:val="Compact"/>
              <w:jc w:val="center"/>
            </w:pPr>
            <w:r>
              <w:t xml:space="preserve">+</w:t>
            </w:r>
          </w:p>
        </w:tc>
        <w:tc>
          <w:p>
            <w:pPr>
              <w:pStyle w:val="Compact"/>
              <w:jc w:val="left"/>
            </w:pPr>
            <w:r>
              <w:t xml:space="preserve">***</w:t>
            </w:r>
          </w:p>
        </w:tc>
      </w:tr>
      <w:tr>
        <w:tc>
          <w:p/>
        </w:tc>
        <w:tc>
          <w:p>
            <w:pPr>
              <w:pStyle w:val="Compact"/>
              <w:jc w:val="left"/>
            </w:pPr>
            <w:r>
              <w:t xml:space="preserve">CEC</w:t>
            </w:r>
          </w:p>
        </w:tc>
        <w:tc>
          <w:p>
            <w:pPr>
              <w:pStyle w:val="Compact"/>
              <w:jc w:val="center"/>
            </w:pPr>
            <w:r>
              <w:t xml:space="preserve">-</w:t>
            </w:r>
          </w:p>
        </w:tc>
        <w:tc>
          <w:p/>
        </w:tc>
      </w:tr>
      <w:tr>
        <w:tc>
          <w:p/>
        </w:tc>
        <w:tc>
          <w:p>
            <w:pPr>
              <w:pStyle w:val="Compact"/>
              <w:jc w:val="left"/>
            </w:pPr>
            <w:r>
              <w:t xml:space="preserve">Clay</w:t>
            </w:r>
          </w:p>
        </w:tc>
        <w:tc>
          <w:p>
            <w:pPr>
              <w:pStyle w:val="Compact"/>
              <w:jc w:val="center"/>
            </w:pPr>
            <w:r>
              <w:t xml:space="preserve">+</w:t>
            </w:r>
          </w:p>
        </w:tc>
        <w:tc>
          <w:p>
            <w:pPr>
              <w:pStyle w:val="Compact"/>
              <w:jc w:val="left"/>
            </w:pPr>
            <w:r>
              <w:t xml:space="preserve">**</w:t>
            </w:r>
          </w:p>
        </w:tc>
      </w:tr>
      <w:tr>
        <w:tc>
          <w:p/>
        </w:tc>
        <w:tc>
          <w:p>
            <w:pPr>
              <w:pStyle w:val="Compact"/>
              <w:jc w:val="left"/>
            </w:pPr>
            <w:r>
              <w:t xml:space="preserve">Soil C</w:t>
            </w:r>
          </w:p>
        </w:tc>
        <w:tc>
          <w:p>
            <w:pPr>
              <w:pStyle w:val="Compact"/>
              <w:jc w:val="center"/>
            </w:pPr>
            <w:r>
              <w:t xml:space="preserve">+</w:t>
            </w:r>
          </w:p>
        </w:tc>
        <w:tc>
          <w:p>
            <w:pPr>
              <w:pStyle w:val="Compact"/>
              <w:jc w:val="left"/>
            </w:pPr>
            <w:r>
              <w:t xml:space="preserve">*</w:t>
            </w:r>
          </w:p>
        </w:tc>
      </w:tr>
      <w:tr>
        <w:tc>
          <w:p/>
        </w:tc>
        <w:tc>
          <w:p>
            <w:pPr>
              <w:pStyle w:val="Compact"/>
              <w:jc w:val="left"/>
            </w:pPr>
            <w:r>
              <w:t xml:space="preserve">pH</w:t>
            </w:r>
          </w:p>
        </w:tc>
        <w:tc>
          <w:p>
            <w:pPr>
              <w:pStyle w:val="Compact"/>
              <w:jc w:val="center"/>
            </w:pPr>
            <w:r>
              <w:t xml:space="preserve">+</w:t>
            </w:r>
          </w:p>
        </w:tc>
        <w:tc>
          <w:p/>
        </w:tc>
      </w:tr>
      <w:tr>
        <w:tc>
          <w:p/>
        </w:tc>
        <w:tc>
          <w:p>
            <w:pPr>
              <w:pStyle w:val="Compact"/>
              <w:jc w:val="left"/>
            </w:pPr>
            <w:r>
              <w:t xml:space="preserve">PC1</w:t>
            </w:r>
          </w:p>
        </w:tc>
        <w:tc>
          <w:p>
            <w:pPr>
              <w:pStyle w:val="Compact"/>
              <w:jc w:val="center"/>
            </w:pPr>
            <w:r>
              <w:t xml:space="preserve">+</w:t>
            </w:r>
          </w:p>
        </w:tc>
        <w:tc>
          <w:p>
            <w:pPr>
              <w:pStyle w:val="Compact"/>
              <w:jc w:val="left"/>
            </w:pPr>
            <w:r>
              <w:t xml:space="preserve">***</w:t>
            </w:r>
          </w:p>
        </w:tc>
      </w:tr>
    </w:tbl>
    <w:p>
      <w:pPr>
        <w:pStyle w:val="TableCaption"/>
      </w:pPr>
      <w:r>
        <w:t xml:space="preserve">Summarised results of the best fitting separate simple linear regressions of log</w:t>
      </w:r>
      <w:r>
        <w:rPr>
          <w:vertAlign w:val="subscript"/>
        </w:rPr>
        <w:t xml:space="preserve">10</w:t>
      </w:r>
      <w:r>
        <w:t xml:space="preserve">[</w:t>
      </w:r>
      <w:r>
        <w:rPr>
          <w:i/>
        </w:rPr>
        <w:t xml:space="preserve">S</w:t>
      </w:r>
      <w:r>
        <w:rPr>
          <w:vertAlign w:val="subscript"/>
        </w:rPr>
        <w:t xml:space="preserve">DS</w:t>
      </w:r>
      <w:r>
        <w:t xml:space="preserve">] against environmental heterogeneity.</w:t>
      </w:r>
    </w:p>
    <w:tbl>
      <w:tblPr>
        <w:tblStyle w:val="Table"/>
        <w:tblW w:type="pct" w:w="0.0"/>
        <w:tblLook w:firstRow="1"/>
        <w:tblCaption w:val="Summarised results of the best fitting separate simple linear regressions of log10[SDS] against environmental heterogeneity."/>
      </w:tblPr>
      <w:tblGrid/>
      <w:tr>
        <w:trPr>
          <w:cnfStyle w:firstRow="1"/>
        </w:trPr>
        <w:tc>
          <w:tcPr>
            <w:tcBorders>
              <w:bottom w:val="single"/>
            </w:tcBorders>
            <w:vAlign w:val="bottom"/>
          </w:tcPr>
          <w:p>
            <w:pPr>
              <w:pStyle w:val="Compact"/>
              <w:jc w:val="left"/>
            </w:pPr>
            <w:r>
              <w:t xml:space="preserve">Model type</w:t>
            </w:r>
          </w:p>
        </w:tc>
        <w:tc>
          <w:tcPr>
            <w:tcBorders>
              <w:bottom w:val="single"/>
            </w:tcBorders>
            <w:vAlign w:val="bottom"/>
          </w:tcPr>
          <w:p>
            <w:pPr>
              <w:pStyle w:val="Compact"/>
              <w:jc w:val="left"/>
            </w:pPr>
            <w:r>
              <w:t xml:space="preserve">Heterogeneity predictor</w:t>
            </w:r>
          </w:p>
        </w:tc>
        <w:tc>
          <w:tcPr>
            <w:tcBorders>
              <w:bottom w:val="single"/>
            </w:tcBorders>
            <w:vAlign w:val="bottom"/>
          </w:tcPr>
          <w:p>
            <w:pPr>
              <w:pStyle w:val="Compact"/>
              <w:jc w:val="center"/>
            </w:pPr>
            <w:r>
              <w:t xml:space="preserve">Slope</w:t>
            </w:r>
          </w:p>
        </w:tc>
        <w:tc>
          <w:tcPr>
            <w:tcBorders>
              <w:bottom w:val="single"/>
            </w:tcBorders>
            <w:vAlign w:val="bottom"/>
          </w:tcPr>
          <w:p/>
        </w:tc>
        <w:tc>
          <w:tcPr>
            <w:tcBorders>
              <w:bottom w:val="single"/>
            </w:tcBorders>
            <w:vAlign w:val="bottom"/>
          </w:tcPr>
          <w:p>
            <w:pPr>
              <w:pStyle w:val="Compact"/>
              <w:jc w:val="center"/>
            </w:pPr>
            <w:r>
              <w:t xml:space="preserve">SWAFR effect</w:t>
            </w:r>
          </w:p>
        </w:tc>
        <w:tc>
          <w:tcPr>
            <w:tcBorders>
              <w:bottom w:val="single"/>
            </w:tcBorders>
            <w:vAlign w:val="bottom"/>
          </w:tcPr>
          <w:p/>
        </w:tc>
      </w:tr>
      <w:tr>
        <w:tc>
          <w:p>
            <w:pPr>
              <w:pStyle w:val="Compact"/>
              <w:jc w:val="left"/>
            </w:pPr>
            <w:r>
              <w:t xml:space="preserve">Main effect only</w:t>
            </w:r>
          </w:p>
        </w:tc>
        <w:tc>
          <w:p>
            <w:pPr>
              <w:pStyle w:val="Compact"/>
              <w:jc w:val="left"/>
            </w:pPr>
            <w:r>
              <w:t xml:space="preserve">Elevation</w:t>
            </w:r>
          </w:p>
        </w:tc>
        <w:tc>
          <w:p>
            <w:pPr>
              <w:pStyle w:val="Compact"/>
              <w:jc w:val="center"/>
            </w:pPr>
            <w:r>
              <w:t xml:space="preserve">+</w:t>
            </w:r>
          </w:p>
        </w:tc>
        <w:tc>
          <w:p>
            <w:pPr>
              <w:pStyle w:val="Compact"/>
              <w:jc w:val="left"/>
            </w:pPr>
            <w:r>
              <w:t xml:space="preserve">**</w:t>
            </w:r>
          </w:p>
        </w:tc>
        <w:tc>
          <w:p/>
        </w:tc>
        <w:tc>
          <w:p/>
        </w:tc>
      </w:tr>
      <w:tr>
        <w:tc>
          <w:p/>
        </w:tc>
        <w:tc>
          <w:p>
            <w:pPr>
              <w:pStyle w:val="Compact"/>
              <w:jc w:val="left"/>
            </w:pPr>
            <w:r>
              <w:t xml:space="preserve">MAP</w:t>
            </w:r>
          </w:p>
        </w:tc>
        <w:tc>
          <w:p>
            <w:pPr>
              <w:pStyle w:val="Compact"/>
              <w:jc w:val="center"/>
            </w:pPr>
            <w:r>
              <w:t xml:space="preserve">+</w:t>
            </w:r>
          </w:p>
        </w:tc>
        <w:tc>
          <w:p>
            <w:pPr>
              <w:pStyle w:val="Compact"/>
              <w:jc w:val="left"/>
            </w:pPr>
            <w:r>
              <w:t xml:space="preserve">***</w:t>
            </w:r>
          </w:p>
        </w:tc>
        <w:tc>
          <w:p/>
        </w:tc>
        <w:tc>
          <w:p/>
        </w:tc>
      </w:tr>
      <w:tr>
        <w:tc>
          <w:p/>
        </w:tc>
        <w:tc>
          <w:p>
            <w:pPr>
              <w:pStyle w:val="Compact"/>
              <w:jc w:val="left"/>
            </w:pPr>
            <w:r>
              <w:t xml:space="preserve">PDQ</w:t>
            </w:r>
          </w:p>
        </w:tc>
        <w:tc>
          <w:p>
            <w:pPr>
              <w:pStyle w:val="Compact"/>
              <w:jc w:val="center"/>
            </w:pPr>
            <w:r>
              <w:t xml:space="preserve">+</w:t>
            </w:r>
          </w:p>
        </w:tc>
        <w:tc>
          <w:p>
            <w:pPr>
              <w:pStyle w:val="Compact"/>
              <w:jc w:val="left"/>
            </w:pPr>
            <w:r>
              <w:t xml:space="preserve">***</w:t>
            </w:r>
          </w:p>
        </w:tc>
        <w:tc>
          <w:p/>
        </w:tc>
        <w:tc>
          <w:p/>
        </w:tc>
      </w:tr>
      <w:tr>
        <w:tc>
          <w:p/>
        </w:tc>
        <w:tc>
          <w:p>
            <w:pPr>
              <w:pStyle w:val="Compact"/>
              <w:jc w:val="left"/>
            </w:pPr>
            <w:r>
              <w:t xml:space="preserve">Clay</w:t>
            </w:r>
          </w:p>
        </w:tc>
        <w:tc>
          <w:p>
            <w:pPr>
              <w:pStyle w:val="Compact"/>
              <w:jc w:val="center"/>
            </w:pPr>
            <w:r>
              <w:t xml:space="preserve">+</w:t>
            </w:r>
          </w:p>
        </w:tc>
        <w:tc>
          <w:p>
            <w:pPr>
              <w:pStyle w:val="Compact"/>
              <w:jc w:val="left"/>
            </w:pPr>
            <w:r>
              <w:t xml:space="preserve">***</w:t>
            </w:r>
          </w:p>
        </w:tc>
        <w:tc>
          <w:p/>
        </w:tc>
        <w:tc>
          <w:p/>
        </w:tc>
      </w:tr>
      <w:tr>
        <w:tc>
          <w:p/>
        </w:tc>
        <w:tc>
          <w:p>
            <w:pPr>
              <w:pStyle w:val="Compact"/>
              <w:jc w:val="left"/>
            </w:pPr>
            <w:r>
              <w:t xml:space="preserve">Soil C</w:t>
            </w:r>
          </w:p>
        </w:tc>
        <w:tc>
          <w:p>
            <w:pPr>
              <w:pStyle w:val="Compact"/>
              <w:jc w:val="center"/>
            </w:pPr>
            <w:r>
              <w:t xml:space="preserve">+</w:t>
            </w:r>
          </w:p>
        </w:tc>
        <w:tc>
          <w:p>
            <w:pPr>
              <w:pStyle w:val="Compact"/>
              <w:jc w:val="left"/>
            </w:pPr>
            <w:r>
              <w:t xml:space="preserve">*</w:t>
            </w:r>
          </w:p>
        </w:tc>
        <w:tc>
          <w:p/>
        </w:tc>
        <w:tc>
          <w:p/>
        </w:tc>
      </w:tr>
      <w:tr>
        <w:tc>
          <w:p/>
        </w:tc>
        <w:tc>
          <w:p>
            <w:pPr>
              <w:pStyle w:val="Compact"/>
              <w:jc w:val="left"/>
            </w:pPr>
            <w:r>
              <w:t xml:space="preserve">PC1</w:t>
            </w:r>
          </w:p>
        </w:tc>
        <w:tc>
          <w:p>
            <w:pPr>
              <w:pStyle w:val="Compact"/>
              <w:jc w:val="center"/>
            </w:pPr>
            <w:r>
              <w:t xml:space="preserve">+</w:t>
            </w:r>
          </w:p>
        </w:tc>
        <w:tc>
          <w:p>
            <w:pPr>
              <w:pStyle w:val="Compact"/>
              <w:jc w:val="left"/>
            </w:pPr>
            <w:r>
              <w:t xml:space="preserve">***</w:t>
            </w:r>
          </w:p>
        </w:tc>
        <w:tc>
          <w:p/>
        </w:tc>
        <w:tc>
          <w:p/>
        </w:tc>
      </w:tr>
      <w:tr>
        <w:tc>
          <w:p>
            <w:pPr>
              <w:pStyle w:val="Compact"/>
              <w:jc w:val="left"/>
            </w:pPr>
            <w:r>
              <w:t xml:space="preserve">Region only</w:t>
            </w:r>
          </w:p>
        </w:tc>
        <w:tc>
          <w:p>
            <w:pPr>
              <w:pStyle w:val="Compact"/>
              <w:jc w:val="left"/>
            </w:pPr>
            <w:r>
              <w:t xml:space="preserve">Surface T</w:t>
            </w:r>
          </w:p>
        </w:tc>
        <w:tc>
          <w:p>
            <w:pPr>
              <w:pStyle w:val="Compact"/>
              <w:jc w:val="center"/>
            </w:pPr>
            <w:r>
              <w:t xml:space="preserve">+</w:t>
            </w:r>
          </w:p>
        </w:tc>
        <w:tc>
          <w:p/>
        </w:tc>
        <w:tc>
          <w:p>
            <w:pPr>
              <w:pStyle w:val="Compact"/>
              <w:jc w:val="center"/>
            </w:pPr>
            <w:r>
              <w:t xml:space="preserve">-</w:t>
            </w:r>
          </w:p>
        </w:tc>
        <w:tc>
          <w:p>
            <w:pPr>
              <w:pStyle w:val="Compact"/>
              <w:jc w:val="left"/>
            </w:pPr>
            <w:r>
              <w:t xml:space="preserve">*</w:t>
            </w:r>
          </w:p>
        </w:tc>
      </w:tr>
      <w:tr>
        <w:tc>
          <w:p/>
        </w:tc>
        <w:tc>
          <w:p>
            <w:pPr>
              <w:pStyle w:val="Compact"/>
              <w:jc w:val="left"/>
            </w:pPr>
            <w:r>
              <w:t xml:space="preserve">NDVI</w:t>
            </w:r>
          </w:p>
        </w:tc>
        <w:tc>
          <w:p>
            <w:pPr>
              <w:pStyle w:val="Compact"/>
              <w:jc w:val="center"/>
            </w:pPr>
            <w:r>
              <w:t xml:space="preserve">+</w:t>
            </w:r>
          </w:p>
        </w:tc>
        <w:tc>
          <w:p/>
        </w:tc>
        <w:tc>
          <w:p>
            <w:pPr>
              <w:pStyle w:val="Compact"/>
              <w:jc w:val="center"/>
            </w:pPr>
            <w:r>
              <w:t xml:space="preserve">-</w:t>
            </w:r>
          </w:p>
        </w:tc>
        <w:tc>
          <w:p>
            <w:pPr>
              <w:pStyle w:val="Compact"/>
              <w:jc w:val="left"/>
            </w:pPr>
            <w:r>
              <w:t xml:space="preserve">.</w:t>
            </w:r>
          </w:p>
        </w:tc>
      </w:tr>
      <w:tr>
        <w:tc>
          <w:p/>
        </w:tc>
        <w:tc>
          <w:p>
            <w:pPr>
              <w:pStyle w:val="Compact"/>
              <w:jc w:val="left"/>
            </w:pPr>
            <w:r>
              <w:t xml:space="preserve">CEC</w:t>
            </w:r>
          </w:p>
        </w:tc>
        <w:tc>
          <w:p>
            <w:pPr>
              <w:pStyle w:val="Compact"/>
              <w:jc w:val="center"/>
            </w:pPr>
            <w:r>
              <w:t xml:space="preserve">-</w:t>
            </w:r>
          </w:p>
        </w:tc>
        <w:tc>
          <w:p/>
        </w:tc>
        <w:tc>
          <w:p>
            <w:pPr>
              <w:pStyle w:val="Compact"/>
              <w:jc w:val="center"/>
            </w:pPr>
            <w:r>
              <w:t xml:space="preserve">-</w:t>
            </w:r>
          </w:p>
        </w:tc>
        <w:tc>
          <w:p>
            <w:pPr>
              <w:pStyle w:val="Compact"/>
              <w:jc w:val="left"/>
            </w:pPr>
            <w:r>
              <w:t xml:space="preserve">**</w:t>
            </w:r>
          </w:p>
        </w:tc>
      </w:tr>
      <w:tr>
        <w:tc>
          <w:p/>
        </w:tc>
        <w:tc>
          <w:p>
            <w:pPr>
              <w:pStyle w:val="Compact"/>
              <w:jc w:val="left"/>
            </w:pPr>
            <w:r>
              <w:t xml:space="preserve">pH</w:t>
            </w:r>
          </w:p>
        </w:tc>
        <w:tc>
          <w:p>
            <w:pPr>
              <w:pStyle w:val="Compact"/>
              <w:jc w:val="center"/>
            </w:pPr>
            <w:r>
              <w:t xml:space="preserve">+</w:t>
            </w:r>
          </w:p>
        </w:tc>
        <w:tc>
          <w:p/>
        </w:tc>
        <w:tc>
          <w:p>
            <w:pPr>
              <w:pStyle w:val="Compact"/>
              <w:jc w:val="center"/>
            </w:pPr>
            <w:r>
              <w:t xml:space="preserve">-</w:t>
            </w:r>
          </w:p>
        </w:tc>
        <w:tc>
          <w:p>
            <w:pPr>
              <w:pStyle w:val="Compact"/>
              <w:jc w:val="left"/>
            </w:pPr>
            <w:r>
              <w:t xml:space="preserve">*</w:t>
            </w:r>
          </w:p>
        </w:tc>
      </w:tr>
    </w:tbl>
    <w:p>
      <w:pPr>
        <w:pStyle w:val="Heading2"/>
      </w:pPr>
      <w:bookmarkStart w:id="27" w:name="multivariate-models"/>
      <w:r>
        <w:t xml:space="preserve">3.2. Multivariate models</w:t>
      </w:r>
      <w:bookmarkEnd w:id="27"/>
    </w:p>
    <w:p>
      <w:pPr>
        <w:pStyle w:val="CaptionedFigure"/>
      </w:pPr>
      <w:r>
        <w:drawing>
          <wp:inline>
            <wp:extent cx="5334000" cy="4572000"/>
            <wp:effectExtent b="0" l="0" r="0" t="0"/>
            <wp:docPr descr="…" title="" id="1" name="Picture"/>
            <a:graphic>
              <a:graphicData uri="http://schemas.openxmlformats.org/drawingml/2006/picture">
                <pic:pic>
                  <pic:nvPicPr>
                    <pic:cNvPr descr="figures/plot-multivariate-models-1.png" id="0" name="Picture"/>
                    <pic:cNvPicPr>
                      <a:picLocks noChangeArrowheads="1" noChangeAspect="1"/>
                    </pic:cNvPicPr>
                  </pic:nvPicPr>
                  <pic:blipFill>
                    <a:blip r:embed="rId28"/>
                    <a:stretch>
                      <a:fillRect/>
                    </a:stretch>
                  </pic:blipFill>
                  <pic:spPr bwMode="auto">
                    <a:xfrm>
                      <a:off x="0" y="0"/>
                      <a:ext cx="5334000" cy="4572000"/>
                    </a:xfrm>
                    <a:prstGeom prst="rect">
                      <a:avLst/>
                    </a:prstGeom>
                    <a:noFill/>
                    <a:ln w="9525">
                      <a:noFill/>
                      <a:headEnd/>
                      <a:tailEnd/>
                    </a:ln>
                  </pic:spPr>
                </pic:pic>
              </a:graphicData>
            </a:graphic>
          </wp:inline>
        </w:drawing>
      </w:r>
    </w:p>
    <w:p>
      <w:pPr>
        <w:pStyle w:val="ImageCaption"/>
      </w:pP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Analyses &amp; results</dc:title>
  <dc:creator>Ruan van Mazijk</dc:creator>
  <cp:keywords/>
  <dcterms:created xsi:type="dcterms:W3CDTF">2019-08-29T12:08:00Z</dcterms:created>
  <dcterms:modified xsi:type="dcterms:W3CDTF">2019-08-29T12:08:00Z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2019-08-29</vt:lpwstr>
  </property>
  <property fmtid="{D5CDD505-2E9C-101B-9397-08002B2CF9AE}" pid="3" name="geometry">
    <vt:lpwstr>a4paper, margin=1in</vt:lpwstr>
  </property>
  <property fmtid="{D5CDD505-2E9C-101B-9397-08002B2CF9AE}" pid="4" name="output">
    <vt:lpwstr/>
  </property>
  <property fmtid="{D5CDD505-2E9C-101B-9397-08002B2CF9AE}" pid="5" name="subtitle">
    <vt:lpwstr>GCFR vs SWAFR manuscript</vt:lpwstr>
  </property>
</Properties>
</file>