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41CB43EB"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w:t>
      </w:r>
      <w:bookmarkStart w:id="1" w:name="_GoBack"/>
      <w:bookmarkEnd w:id="1"/>
      <w:r w:rsidRPr="00D44BB7">
        <w:rPr>
          <w:b w:val="0"/>
        </w:rPr>
        <w:t>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2" w:name="acknowledgements"/>
      <w:bookmarkStart w:id="3" w:name="abstract"/>
      <w:r>
        <w:t>Acknowledgements</w:t>
      </w:r>
      <w:bookmarkEnd w:id="2"/>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3"/>
    </w:p>
    <w:p w14:paraId="064B794C" w14:textId="03E8295C" w:rsidR="00024A7B" w:rsidRPr="00024A7B" w:rsidRDefault="00024A7B" w:rsidP="008A4E97">
      <w:pPr>
        <w:pStyle w:val="BodyText"/>
        <w:spacing w:line="240" w:lineRule="auto"/>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5CEDA513" w:rsidR="00024A7B" w:rsidRDefault="00024A7B" w:rsidP="008A4E97">
      <w:pPr>
        <w:pStyle w:val="BodyText"/>
        <w:spacing w:line="240" w:lineRule="auto"/>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spacing w:line="240" w:lineRule="auto"/>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spacing w:line="240" w:lineRule="auto"/>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spacing w:line="240" w:lineRule="auto"/>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52C440C9"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with physically-heterogeneous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functionally-diverse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 2004a,b; Sobel et al.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1966C32D"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w:t>
      </w:r>
      <w:r w:rsidR="00B8268E">
        <w:t>&amp;</w:t>
      </w:r>
      <w:r w:rsidRPr="002F0553">
        <w:t xml:space="preserve"> Gioia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w:t>
      </w:r>
      <w:r w:rsidR="00B8268E">
        <w:t>&amp;</w:t>
      </w:r>
      <w:r w:rsidRPr="002F0553">
        <w:t xml:space="preserve"> He 2017) or Late Miocene (GCFR: Dupont et al. 2011; Hoffmann et al</w:t>
      </w:r>
      <w:r w:rsidR="00B36D68">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C40608">
        <w:t xml:space="preserve"> </w:t>
      </w:r>
      <w:r w:rsidR="00C40608" w:rsidRPr="00C40608">
        <w:rPr>
          <w:highlight w:val="yellow"/>
        </w:rPr>
        <w:t>XXXX</w:t>
      </w:r>
      <w:r w:rsidRPr="00A432DE">
        <w:t>)</w:t>
      </w:r>
      <w:r>
        <w:t xml:space="preserve">, hence their designation as “OCBILs” (“old, climatically-buffered infertile landscapes”; Hopper 2009). Owing to these environmental similarities, the SWAFR and GCFR floras are very similar in terms of their functional trait spectra (Cowling </w:t>
      </w:r>
      <w:r w:rsidR="00B8268E">
        <w:t>&amp;</w:t>
      </w:r>
      <w:r>
        <w:t xml:space="preserve"> Witkowski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433A9E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Gioia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Snijman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Larsen et al.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4" w:name="comparing-regions-environmental-heteroge"/>
      <w:r>
        <w:t>2.1</w:t>
      </w:r>
      <w:r w:rsidR="00F31AF3">
        <w:t>:</w:t>
      </w:r>
      <w:r>
        <w:t xml:space="preserve"> </w:t>
      </w:r>
      <w:r w:rsidR="00D04776">
        <w:t>Comparing species richness</w:t>
      </w:r>
    </w:p>
    <w:p w14:paraId="52348C6B" w14:textId="77777777" w:rsidR="006A239A" w:rsidRDefault="00D04776" w:rsidP="00FE0731">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Gioia 2004</w:t>
      </w:r>
      <w:r w:rsidR="006F0BA2">
        <w:t>;</w:t>
      </w:r>
      <w:r w:rsidR="006F0BA2" w:rsidRPr="006F0BA2">
        <w:t xml:space="preserve"> </w:t>
      </w:r>
      <w:r w:rsidR="006F0BA2">
        <w:t>Gioia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package “taxize” (Chamberlain &amp; Szocs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Pr="009475D4">
        <w:rPr>
          <w:highlight w:val="yellow"/>
        </w:rPr>
        <w:t>XXX</w:t>
      </w:r>
      <w:r>
        <w:t xml:space="preserve"> and </w:t>
      </w:r>
      <w:r w:rsidRPr="009475D4">
        <w:rPr>
          <w:highlight w:val="yellow"/>
        </w:rPr>
        <w:t>XXX</w:t>
      </w:r>
      <w:r>
        <w:t xml:space="preserve"> for the GCFR and SWAFR</w:t>
      </w:r>
      <w:r w:rsidR="00D61D4D">
        <w:t>,</w:t>
      </w:r>
      <w:r>
        <w:t xml:space="preserve"> respectively.</w:t>
      </w:r>
    </w:p>
    <w:p w14:paraId="26664BCB" w14:textId="10CBCEC3" w:rsidR="00FE0731" w:rsidRDefault="000F59F5" w:rsidP="00FE0731">
      <w:pPr>
        <w:pStyle w:val="FirstParagraph"/>
        <w:spacing w:line="240" w:lineRule="auto"/>
      </w:pPr>
      <w:r>
        <w:t>Using R,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BB55C1"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BB55C1"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spacing w:line="240" w:lineRule="auto"/>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4"/>
    </w:p>
    <w:p w14:paraId="16702F9A" w14:textId="00704709"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7BCE38E8" w14:textId="60F4EC90" w:rsidR="007E72DA" w:rsidRPr="002810B1" w:rsidRDefault="00946957" w:rsidP="002810B1">
      <w:pPr>
        <w:pStyle w:val="BodyText"/>
        <w:spacing w:line="240" w:lineRule="auto"/>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(Hijmans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index describes heterogeneity within pixels as opposed to between pixels as in “terrain”. The former is comparable with species richness data, and is thus used here.</w:t>
      </w:r>
    </w:p>
    <w:p w14:paraId="4910D4CC" w14:textId="6888FF7A" w:rsidR="00DD2348" w:rsidRDefault="00C116AB" w:rsidP="008A4E97">
      <w:pPr>
        <w:pStyle w:val="BodyText"/>
        <w:spacing w:line="240" w:lineRule="auto"/>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spacing w:line="240" w:lineRule="auto"/>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exceeds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5" w:name="environmental-heterogeneity-as-an-explan"/>
      <w:r>
        <w:t>2.3</w:t>
      </w:r>
      <w:r w:rsidR="0009179A">
        <w:t>:</w:t>
      </w:r>
      <w:r>
        <w:t xml:space="preserve"> </w:t>
      </w:r>
      <w:r w:rsidR="005F0FFB">
        <w:t>Environmental heterogeneity as an explanation of species richness</w:t>
      </w:r>
      <w:bookmarkEnd w:id="5"/>
    </w:p>
    <w:p w14:paraId="23BA1837" w14:textId="77777777" w:rsidR="002F092D" w:rsidRDefault="00842DF6" w:rsidP="00DF0226">
      <w:pPr>
        <w:pStyle w:val="FirstParagraph"/>
        <w:spacing w:line="240" w:lineRule="auto"/>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 xml:space="preserve">specifying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629F252B" w:rsidR="00DF0226" w:rsidRPr="00D67CEB" w:rsidRDefault="00711950" w:rsidP="00DF0226">
      <w:pPr>
        <w:pStyle w:val="FirstParagraph"/>
        <w:spacing w:line="240" w:lineRule="auto"/>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674AF808" w14:textId="6AE962DD" w:rsidR="00F614B4" w:rsidRPr="00070D03" w:rsidRDefault="00070D03" w:rsidP="008A4E97">
      <w:pPr>
        <w:pStyle w:val="FirstParagraph"/>
        <w:spacing w:line="240" w:lineRule="auto"/>
      </w:pPr>
      <w:r w:rsidRPr="00070D03">
        <w:lastRenderedPageBreak/>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simultaneously</w:t>
      </w:r>
      <w:r>
        <w:t xml:space="preserve"> </w:t>
      </w:r>
      <w:r w:rsidRPr="00070D03">
        <w:rPr>
          <w:highlight w:val="yellow"/>
        </w:rPr>
        <w:t>[expand?]</w:t>
      </w:r>
      <w:r w:rsidR="005F0FFB" w:rsidRPr="00070D03">
        <w:t>.</w:t>
      </w:r>
    </w:p>
    <w:p w14:paraId="5B8B0085" w14:textId="716A78D0" w:rsidR="00D04776" w:rsidRDefault="00DD7307" w:rsidP="008A4E97">
      <w:pPr>
        <w:pStyle w:val="Heading1"/>
        <w:spacing w:line="240" w:lineRule="auto"/>
      </w:pPr>
      <w:bookmarkStart w:id="6" w:name="results"/>
      <w:r>
        <w:t>3</w:t>
      </w:r>
      <w:r w:rsidR="00E4661A">
        <w:t>:</w:t>
      </w:r>
      <w:r>
        <w:t xml:space="preserve"> </w:t>
      </w:r>
      <w:r w:rsidR="00D04776">
        <w:t>Results</w:t>
      </w:r>
      <w:bookmarkEnd w:id="6"/>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BA36819" w:rsidR="00114867" w:rsidRPr="00B332AF" w:rsidRDefault="007D673C" w:rsidP="003F5B2B">
      <w:pPr>
        <w:pStyle w:val="FirstParagraph"/>
        <w:spacing w:line="240" w:lineRule="auto"/>
        <w:rPr>
          <w:i/>
        </w:rPr>
      </w:pPr>
      <w:r w:rsidRPr="00B332AF">
        <w:t>Comparison</w:t>
      </w:r>
      <w:r w:rsidR="00B332AF">
        <w:t>s</w:t>
      </w:r>
      <w:r w:rsidRPr="00B332AF">
        <w:t xml:space="preserve"> of </w:t>
      </w:r>
      <w:r w:rsidR="002566BD">
        <w:t xml:space="preserve">the </w:t>
      </w:r>
      <w:r w:rsidRPr="00B332AF">
        <w:t xml:space="preserve">QDS- and HDS-scale </w:t>
      </w:r>
      <w:r w:rsidR="00B332AF">
        <w:t xml:space="preserve">vascular plant </w:t>
      </w:r>
      <w:r w:rsidRPr="00B332AF">
        <w:t xml:space="preserve">species richness </w:t>
      </w:r>
      <w:r w:rsidR="00474DE5">
        <w:t>of</w:t>
      </w:r>
      <w:r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are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t>(</w:t>
      </w:r>
      <w:r w:rsidR="008823B9">
        <w:t xml:space="preserve">for </w:t>
      </w:r>
      <w:r w:rsidR="00BB55C1" w:rsidRPr="00DE6B05">
        <w:rPr>
          <w:i/>
        </w:rPr>
        <w:t>S</w:t>
      </w:r>
      <w:r w:rsidR="00BB55C1">
        <w:rPr>
          <w:vertAlign w:val="subscript"/>
        </w:rPr>
        <w:t>QDS</w:t>
      </w:r>
      <w:r w:rsidR="008823B9">
        <w:t xml:space="preserve">: </w:t>
      </w:r>
      <w:r w:rsidR="008823B9">
        <w:rPr>
          <w:i/>
        </w:rPr>
        <w:t>CLES</w:t>
      </w:r>
      <w:r w:rsidR="008823B9">
        <w:t xml:space="preserve"> =</w:t>
      </w:r>
      <w:r w:rsidR="00BB55C1">
        <w:t xml:space="preserve"> 0.59, </w:t>
      </w:r>
      <w:r w:rsidR="00BB55C1" w:rsidRPr="00DE6B05">
        <w:rPr>
          <w:i/>
        </w:rPr>
        <w:t>S</w:t>
      </w:r>
      <w:r w:rsidR="00BB55C1">
        <w:rPr>
          <w:vertAlign w:val="subscript"/>
        </w:rPr>
        <w:t>HDS</w:t>
      </w:r>
      <w:r w:rsidR="00BB55C1">
        <w:t xml:space="preserve">: 0.59, </w:t>
      </w:r>
      <w:r w:rsidR="00BB55C1" w:rsidRPr="004E2D58">
        <w:rPr>
          <w:i/>
          <w:highlight w:val="yellow"/>
        </w:rPr>
        <w:t>S</w:t>
      </w:r>
      <w:r w:rsidR="00BB55C1" w:rsidRPr="004E2D58">
        <w:rPr>
          <w:highlight w:val="yellow"/>
          <w:vertAlign w:val="subscript"/>
        </w:rPr>
        <w:t>DS</w:t>
      </w:r>
      <w:r w:rsidR="00BB55C1" w:rsidRPr="004E2D58">
        <w:rPr>
          <w:highlight w:val="yellow"/>
        </w:rPr>
        <w:t>: 0.73 (see SI)</w:t>
      </w:r>
      <w:r w:rsidR="008823B9">
        <w:t>).</w:t>
      </w:r>
    </w:p>
    <w:p w14:paraId="13EA0CAA" w14:textId="36F939B6" w:rsidR="0060601F" w:rsidRPr="003F5B2B" w:rsidRDefault="00A3472A" w:rsidP="003F5B2B">
      <w:pPr>
        <w:pStyle w:val="FirstParagraph"/>
        <w:spacing w:line="240" w:lineRule="auto"/>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104482" w:rsidRPr="00D16E1A">
        <w:t xml:space="preserve">, and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SWAFR (Figure 2</w:t>
      </w:r>
      <w:r w:rsidR="009C356A">
        <w:t>d</w:t>
      </w:r>
      <w:r w:rsidR="003F5B2B">
        <w:t xml:space="preserve">; for </w:t>
      </w:r>
      <w:r w:rsidR="003F5B2B" w:rsidRPr="00D81A2B">
        <w:rPr>
          <w:i/>
        </w:rPr>
        <w:t>T</w:t>
      </w:r>
      <w:r w:rsidR="003F5B2B" w:rsidRPr="00D81A2B">
        <w:rPr>
          <w:vertAlign w:val="subscript"/>
        </w:rPr>
        <w:t>QDS</w:t>
      </w:r>
      <w:r w:rsidR="003F5B2B" w:rsidRPr="002C037D">
        <w:t xml:space="preserve"> / </w:t>
      </w:r>
      <m:oMath>
        <m:bar>
          <m:barPr>
            <m:pos m:val="top"/>
            <m:ctrlPr>
              <w:rPr>
                <w:rFonts w:ascii="Cambria Math" w:hAnsi="Cambria Math"/>
              </w:rPr>
            </m:ctrlPr>
          </m:barPr>
          <m:e>
            <m:r>
              <w:rPr>
                <w:rFonts w:ascii="Cambria Math" w:hAnsi="Cambria Math"/>
              </w:rPr>
              <m:t>S</m:t>
            </m:r>
          </m:e>
        </m:bar>
      </m:oMath>
      <w:r w:rsidR="003F5B2B" w:rsidRPr="00074006">
        <w:rPr>
          <w:vertAlign w:val="subscript"/>
        </w:rPr>
        <w:t>QDS</w:t>
      </w:r>
      <w:r w:rsidR="003F5B2B">
        <w:t xml:space="preserve">: </w:t>
      </w:r>
      <w:r w:rsidR="003F5B2B" w:rsidRPr="003F5B2B">
        <w:rPr>
          <w:i/>
        </w:rPr>
        <w:t>CLES</w:t>
      </w:r>
      <w:r w:rsidR="003F5B2B">
        <w:t xml:space="preserve"> = 0.74,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0.81 (see SI)</w:t>
      </w:r>
      <w:r w:rsidR="003F5B2B">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13A1FB38" w:rsidR="00AD4DCC" w:rsidRDefault="001A23A6" w:rsidP="008A4E97">
      <w:pPr>
        <w:pStyle w:val="FirstParagraph"/>
        <w:spacing w:line="240" w:lineRule="auto"/>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 which accounted for between </w:t>
      </w:r>
      <w:r w:rsidR="00916B93" w:rsidRPr="00916B93">
        <w:rPr>
          <w:highlight w:val="yellow"/>
        </w:rPr>
        <w:t>XXX</w:t>
      </w:r>
      <w:r w:rsidR="00FA78DF" w:rsidRPr="00916B93">
        <w:t>% and 4</w:t>
      </w:r>
      <w:r w:rsidR="00916B93" w:rsidRPr="00916B93">
        <w:t>2</w:t>
      </w:r>
      <w:r w:rsidR="00FA78DF" w:rsidRPr="00916B93">
        <w:t>.4</w:t>
      </w:r>
      <w:r w:rsidR="00916B93" w:rsidRPr="00916B93">
        <w:t>2</w:t>
      </w:r>
      <w:r w:rsidR="00FA78DF" w:rsidRPr="00916B93">
        <w:t xml:space="preserve">% 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0484620F" w:rsidR="00F45440" w:rsidRPr="00F45440" w:rsidRDefault="00880A28" w:rsidP="005D1374">
      <w:pPr>
        <w:pStyle w:val="FirstParagraph"/>
        <w:spacing w:line="240" w:lineRule="auto"/>
      </w:pPr>
      <w:r>
        <w:t>The degree to which the GCFR is more heterogeneous than the SWAFR is largely scale-independent</w:t>
      </w:r>
      <w:r w:rsidR="00346C28">
        <w:t>, with the notable exception of MAP (Figure 1</w:t>
      </w:r>
      <w:r w:rsidR="0012073A">
        <w:t>b</w:t>
      </w:r>
      <w:r w:rsidR="00346C28">
        <w:t>)</w:t>
      </w:r>
      <w:r w:rsidR="000C5AAD">
        <w:t>, in which the GCFR and SWAFR are more similarly heterogeneous at coarser spatial scales.</w:t>
      </w:r>
      <w:r w:rsidR="005171EA">
        <w:t xml:space="preserve"> Indeed, other heterogeneity variables (NDVI and CEC</w:t>
      </w:r>
      <w:r w:rsidR="0012073A">
        <w:t>; Figure 1e,f</w:t>
      </w:r>
      <w:r w:rsidR="005171EA">
        <w:t>) did not differ significantly between the two regions</w:t>
      </w:r>
      <w:r w:rsidR="005B1454">
        <w:t xml:space="preserve"> at some coarser 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5B1454">
        <w:t xml:space="preserve">, though this did not yield significant slopes when regressing </w:t>
      </w:r>
      <w:r w:rsidR="005B1454">
        <w:rPr>
          <w:i/>
        </w:rPr>
        <w:t>CLES</w:t>
      </w:r>
      <w:r w:rsidR="005B1454">
        <w:t xml:space="preserve"> against spatial scale.</w:t>
      </w:r>
      <w:r w:rsidR="005171EA">
        <w:t xml:space="preserve"> Th</w:t>
      </w:r>
      <w:r w:rsidR="005B1454">
        <w:t xml:space="preserve">e marked scale-dependence of heterogeneity in MAP, and the weaker scale-dependence in other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declines with marginal significance with increasing spatial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5EE6AF80" w14:textId="53ABFE09" w:rsidR="006175A1" w:rsidRDefault="00D04776" w:rsidP="009B77AC">
      <w:pPr>
        <w:pStyle w:val="FirstParagraph"/>
        <w:spacing w:line="240" w:lineRule="auto"/>
      </w:pPr>
      <w:r w:rsidRPr="00FB7B57">
        <w:t xml:space="preserve">We regressed vascular plant species richness against each axis of </w:t>
      </w:r>
      <w:r w:rsidR="007948F4" w:rsidRPr="00FB7B57">
        <w:t>environmental heterogeneity</w:t>
      </w:r>
      <w:r w:rsidRPr="00FB7B57">
        <w:t xml:space="preserve"> </w:t>
      </w:r>
      <w:r w:rsidR="00FB7B57" w:rsidRPr="00FB7B57">
        <w:t xml:space="preserve">and the major axis of heterogeneity (PC1) </w:t>
      </w:r>
      <w:r w:rsidRPr="00FB7B57">
        <w:t>separately (Table 2, Figure 3)</w:t>
      </w:r>
      <w:r w:rsidR="00E34B52">
        <w:t xml:space="preserve">. </w:t>
      </w:r>
      <w:r w:rsidR="00BA4AE5">
        <w:t xml:space="preserve">Generally, we found </w:t>
      </w:r>
      <w:r w:rsidR="00BA4AE5">
        <w:lastRenderedPageBreak/>
        <w:t xml:space="preserve">strong support for a common set of axes of environmental </w:t>
      </w:r>
      <w:r w:rsidR="004F61C5">
        <w:t xml:space="preserve">heterogeneity positively associated with species richness across </w:t>
      </w:r>
      <w:r w:rsidR="005F60E0">
        <w:t>the GCFR and SWAFR</w:t>
      </w:r>
      <w:r w:rsidR="004F61C5">
        <w:t xml:space="preserve">. </w:t>
      </w:r>
      <w:r w:rsidR="007B7ACC">
        <w:t xml:space="preserve">The best fitting </w:t>
      </w:r>
      <w:r w:rsidR="0044606A" w:rsidRPr="00AA2965">
        <w:rPr>
          <w:highlight w:val="yellow"/>
        </w:rPr>
        <w:t>[…]</w:t>
      </w:r>
      <w:r w:rsidR="00037D6D">
        <w:t xml:space="preserve"> </w:t>
      </w:r>
      <w:r w:rsidR="00037D6D" w:rsidRPr="00037D6D">
        <w:rPr>
          <w:highlight w:val="yellow"/>
        </w:rPr>
        <w:t>[expand on univariate model results]</w:t>
      </w:r>
      <w:r w:rsidR="00037D6D">
        <w:t>.</w:t>
      </w:r>
      <w:r w:rsidR="00244E17">
        <w:t xml:space="preserve"> </w:t>
      </w:r>
      <w:r w:rsidR="009119A3">
        <w:t>These patterns are reflected in the models of species richness predicted by PC1 (Figure 3)</w:t>
      </w:r>
      <w:r w:rsidR="00AA2965">
        <w:t xml:space="preserve">. The best fitting model for each spatial scale was a “main effect only” model, which demonstrates the common relationship between species richness and environmental heterogeneity across the two regions. The GCFR and SWAFR </w:t>
      </w:r>
      <w:r w:rsidR="00AA2965" w:rsidRPr="007B5DBC">
        <w:rPr>
          <w:highlight w:val="yellow"/>
        </w:rPr>
        <w:t>occupy different areas along this relationship [reword</w:t>
      </w:r>
      <w:r w:rsidR="00AA2965" w:rsidRPr="00AA2965">
        <w:rPr>
          <w:highlight w:val="yellow"/>
        </w:rPr>
        <w:t>]</w:t>
      </w:r>
      <w:r w:rsidR="00AA2965">
        <w:t>.</w:t>
      </w:r>
      <w:r w:rsidR="006C529A">
        <w:t xml:space="preserve"> Additionally, </w:t>
      </w:r>
      <w:r w:rsidR="006C529A">
        <w:rPr>
          <w:highlight w:val="yellow"/>
        </w:rPr>
        <w:t>u</w:t>
      </w:r>
      <w:r w:rsidR="006C529A" w:rsidRPr="008B3F0E">
        <w:rPr>
          <w:highlight w:val="yellow"/>
        </w:rPr>
        <w:t xml:space="preserve">sing </w:t>
      </w:r>
      <w:r w:rsidR="006C529A">
        <w:rPr>
          <w:highlight w:val="yellow"/>
        </w:rPr>
        <w:t>an</w:t>
      </w:r>
      <w:r w:rsidR="006C529A" w:rsidRPr="008B3F0E">
        <w:rPr>
          <w:highlight w:val="yellow"/>
        </w:rPr>
        <w:t xml:space="preserve"> ANCOVA-like approach</w:t>
      </w:r>
      <w:r w:rsidR="006C529A">
        <w:rPr>
          <w:highlight w:val="yellow"/>
        </w:rPr>
        <w:t xml:space="preserve"> akin to that used in the univariate models (Table 2)</w:t>
      </w:r>
      <w:r w:rsidR="007B5DBC">
        <w:rPr>
          <w:highlight w:val="yellow"/>
        </w:rPr>
        <w:t xml:space="preserve"> [reword]</w:t>
      </w:r>
      <w:r w:rsidR="006C529A" w:rsidRPr="007B5DBC">
        <w:t xml:space="preserve">, we regressed species richness against PC1 </w:t>
      </w:r>
      <w:r w:rsidR="007B5DBC" w:rsidRPr="007B5DBC">
        <w:t>using</w:t>
      </w:r>
      <w:r w:rsidR="006C529A" w:rsidRPr="007B5DBC">
        <w:t xml:space="preserve"> </w:t>
      </w:r>
      <w:r w:rsidR="00DA6C74" w:rsidRPr="007B5DBC">
        <w:t>a combined dataset</w:t>
      </w:r>
      <w:r w:rsidR="006C529A" w:rsidRPr="007B5DBC">
        <w:t xml:space="preserve"> </w:t>
      </w:r>
      <w:r w:rsidR="00DA6C74" w:rsidRPr="007B5DBC">
        <w:t>across all</w:t>
      </w:r>
      <w:r w:rsidR="006C529A" w:rsidRPr="007B5DBC">
        <w:t xml:space="preserve"> three scale</w:t>
      </w:r>
      <w:r w:rsidR="007B5DBC" w:rsidRPr="007B5DBC">
        <w:t>s to test for differences in the slope of this relationship with spatial scale</w:t>
      </w:r>
      <w:r w:rsidR="006C529A" w:rsidRPr="007B5DBC">
        <w:t xml:space="preserve">. Following this, we found no evidence for </w:t>
      </w:r>
      <w:r w:rsidR="007B5DBC">
        <w:t>scale-dependence in the richness-heterogeneity relationship</w:t>
      </w:r>
      <w:r w:rsidR="00823FCD">
        <w:t xml:space="preserve"> </w:t>
      </w:r>
      <w:r w:rsidR="00823FCD" w:rsidRPr="00823FCD">
        <w:rPr>
          <w:highlight w:val="yellow"/>
        </w:rPr>
        <w:t>[quote stats?]</w:t>
      </w:r>
      <w:r w:rsidR="007B5DBC">
        <w:t>.</w:t>
      </w:r>
    </w:p>
    <w:p w14:paraId="3C92AF4D" w14:textId="417E72F1" w:rsidR="006B19D7" w:rsidRDefault="00244E17" w:rsidP="009B77AC">
      <w:pPr>
        <w:pStyle w:val="FirstParagraph"/>
        <w:spacing w:line="240" w:lineRule="auto"/>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4B48F7" w:rsidRPr="00037D6D">
        <w:rPr>
          <w:highlight w:val="yellow"/>
        </w:rPr>
        <w:t>[</w:t>
      </w:r>
      <w:r w:rsidR="004B48F7">
        <w:rPr>
          <w:highlight w:val="yellow"/>
        </w:rPr>
        <w:t>E</w:t>
      </w:r>
      <w:r w:rsidR="004B48F7" w:rsidRPr="00037D6D">
        <w:rPr>
          <w:highlight w:val="yellow"/>
        </w:rPr>
        <w:t xml:space="preserve">xpand on </w:t>
      </w:r>
      <w:r w:rsidR="004B48F7">
        <w:rPr>
          <w:highlight w:val="yellow"/>
        </w:rPr>
        <w:t>multi</w:t>
      </w:r>
      <w:r w:rsidR="004B48F7" w:rsidRPr="00037D6D">
        <w:rPr>
          <w:highlight w:val="yellow"/>
        </w:rPr>
        <w:t>variate model results</w:t>
      </w:r>
      <w:r w:rsidR="004B48F7">
        <w:rPr>
          <w:highlight w:val="yellow"/>
        </w:rPr>
        <w:t>.</w:t>
      </w:r>
      <w:r w:rsidR="004B48F7" w:rsidRPr="00037D6D">
        <w:rPr>
          <w:highlight w:val="yellow"/>
        </w:rPr>
        <w:t>]</w:t>
      </w:r>
    </w:p>
    <w:p w14:paraId="78AFA183" w14:textId="7E6D7879" w:rsidR="00532F79" w:rsidRPr="00532F79" w:rsidRDefault="00532F79" w:rsidP="00532F79">
      <w:pPr>
        <w:pStyle w:val="BodyText"/>
      </w:pPr>
      <w:r w:rsidRPr="00532F79">
        <w:rPr>
          <w:highlight w:val="yellow"/>
        </w:rPr>
        <w:t xml:space="preserve">[Compare </w:t>
      </w:r>
      <w:proofErr w:type="spellStart"/>
      <w:r w:rsidRPr="00532F79">
        <w:rPr>
          <w:highlight w:val="yellow"/>
        </w:rPr>
        <w:t>uni</w:t>
      </w:r>
      <w:proofErr w:type="spellEnd"/>
      <w:r w:rsidRPr="00532F79">
        <w:rPr>
          <w:highlight w:val="yellow"/>
        </w:rPr>
        <w:t>- and multivariate results.]</w:t>
      </w:r>
    </w:p>
    <w:p w14:paraId="1D71793B" w14:textId="5E54F5B0" w:rsidR="00D04776" w:rsidRPr="001E4787" w:rsidRDefault="00D04776" w:rsidP="008A4E97">
      <w:pPr>
        <w:pStyle w:val="FirstParagraph"/>
        <w:spacing w:line="240" w:lineRule="auto"/>
        <w:rPr>
          <w:highlight w:val="red"/>
        </w:rPr>
      </w:pPr>
      <w:r w:rsidRPr="001E4787">
        <w:rPr>
          <w:highlight w:val="red"/>
        </w:rPr>
        <w:t xml:space="preserve"> Heterogeneity in elevation and mean annual surface temperature were consistently positively “main effect only” across scales when considered in univariate models (Table 2). This pattern is mirrored by the major axis of </w:t>
      </w:r>
      <w:r w:rsidR="007948F4" w:rsidRPr="001E4787">
        <w:rPr>
          <w:highlight w:val="red"/>
        </w:rPr>
        <w:t>environmental heterogeneity</w:t>
      </w:r>
      <w:r w:rsidRPr="001E4787">
        <w:rPr>
          <w:highlight w:val="red"/>
        </w:rPr>
        <w:t xml:space="preserve">: PC1 (Figure 3), though there is scale-dependence in the slope of that relationship.  In a univariate context, all other </w:t>
      </w:r>
      <w:r w:rsidR="007948F4" w:rsidRPr="001E4787">
        <w:rPr>
          <w:highlight w:val="red"/>
        </w:rPr>
        <w:t>environmental heterogeneity</w:t>
      </w:r>
      <w:r w:rsidRPr="001E4787">
        <w:rPr>
          <w:highlight w:val="red"/>
        </w:rPr>
        <w:t xml:space="preserve">-variables showed varying degrees of covariance with </w:t>
      </w:r>
      <w:r w:rsidRPr="001E4787">
        <w:rPr>
          <w:i/>
          <w:highlight w:val="red"/>
        </w:rPr>
        <w:t>S</w:t>
      </w:r>
      <w:r w:rsidRPr="001E4787">
        <w:rPr>
          <w:highlight w:val="red"/>
        </w:rPr>
        <w:t xml:space="preserve"> (Table 2).</w:t>
      </w:r>
    </w:p>
    <w:p w14:paraId="6690E00C" w14:textId="52FDFD09" w:rsidR="00602D3B" w:rsidRDefault="00D04776" w:rsidP="008A4E97">
      <w:pPr>
        <w:pStyle w:val="BodyText"/>
        <w:spacing w:line="240" w:lineRule="auto"/>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3AF4701C" w14:textId="467D1BB6" w:rsidR="00602D3B" w:rsidRPr="00602D3B" w:rsidRDefault="00602D3B" w:rsidP="00CF00DE">
      <w:pPr>
        <w:pStyle w:val="BodyText"/>
        <w:spacing w:line="240" w:lineRule="auto"/>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neity in NDVI and clay only present evidence for the same slope in each region, but differing intercepts. Heterogeneity 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04268AD5" w:rsidR="00F8593E" w:rsidRDefault="00DD7307" w:rsidP="008A4E97">
      <w:pPr>
        <w:pStyle w:val="Heading1"/>
        <w:spacing w:line="240" w:lineRule="auto"/>
      </w:pPr>
      <w:r>
        <w:lastRenderedPageBreak/>
        <w:t>4</w:t>
      </w:r>
      <w:r w:rsidR="00765FAE">
        <w:t>:</w:t>
      </w:r>
      <w:r>
        <w:t xml:space="preserve"> </w:t>
      </w:r>
      <w:r w:rsidR="00F8593E" w:rsidRPr="00891FE6">
        <w:t>Discussion</w:t>
      </w:r>
    </w:p>
    <w:p w14:paraId="0FFE1E1A" w14:textId="69D9D678" w:rsidR="005B56E1" w:rsidRDefault="006B19E5" w:rsidP="00C43F93">
      <w:pPr>
        <w:pStyle w:val="BodyText"/>
        <w:spacing w:line="240" w:lineRule="auto"/>
      </w:pPr>
      <w:bookmarkStart w:id="7" w:name="tables"/>
      <w:r>
        <w:t>[</w:t>
      </w:r>
      <w:r w:rsidR="00506F78">
        <w:t>Major results</w:t>
      </w:r>
      <w:r w:rsidR="005B56E1">
        <w:t>:</w:t>
      </w:r>
    </w:p>
    <w:p w14:paraId="547F20A6" w14:textId="77777777" w:rsidR="006D73B6" w:rsidRDefault="00EC3BCE" w:rsidP="00F22BD5">
      <w:pPr>
        <w:pStyle w:val="BodyText"/>
        <w:numPr>
          <w:ilvl w:val="0"/>
          <w:numId w:val="15"/>
        </w:numPr>
        <w:spacing w:line="240" w:lineRule="auto"/>
      </w:pPr>
      <w:r>
        <w:t>Species richness:</w:t>
      </w:r>
    </w:p>
    <w:p w14:paraId="3628F03F" w14:textId="0BCC6DEF" w:rsidR="006D73B6" w:rsidRDefault="00EC3BCE" w:rsidP="006D73B6">
      <w:pPr>
        <w:pStyle w:val="BodyText"/>
        <w:numPr>
          <w:ilvl w:val="1"/>
          <w:numId w:val="15"/>
        </w:numPr>
        <w:spacing w:line="240" w:lineRule="auto"/>
      </w:pPr>
      <w:r>
        <w:t>GCFR &gt; SWAFR</w:t>
      </w:r>
      <w:r w:rsidR="00FD5A99">
        <w:t>,</w:t>
      </w:r>
      <w:r w:rsidR="006D73B6">
        <w:t xml:space="preserve"> generally</w:t>
      </w:r>
    </w:p>
    <w:p w14:paraId="1F4B025B" w14:textId="77777777" w:rsidR="009F0932" w:rsidRDefault="006D73B6" w:rsidP="006D73B6">
      <w:pPr>
        <w:pStyle w:val="BodyText"/>
        <w:numPr>
          <w:ilvl w:val="1"/>
          <w:numId w:val="15"/>
        </w:numPr>
        <w:spacing w:line="240" w:lineRule="auto"/>
      </w:pPr>
      <w:r>
        <w:t>E</w:t>
      </w:r>
      <w:r w:rsidR="00EC3BCE">
        <w:t>specially at broader spatial scales</w:t>
      </w:r>
    </w:p>
    <w:p w14:paraId="1B2454F0" w14:textId="290B1D9C" w:rsidR="00EC3BCE" w:rsidRDefault="009F0932" w:rsidP="009F0932">
      <w:pPr>
        <w:pStyle w:val="BodyText"/>
        <w:numPr>
          <w:ilvl w:val="2"/>
          <w:numId w:val="15"/>
        </w:numPr>
        <w:spacing w:line="240" w:lineRule="auto"/>
      </w:pPr>
      <w:r>
        <w:t>L</w:t>
      </w:r>
      <w:r w:rsidR="00EC3BCE">
        <w:t>ikely due to greater floristic turnover between GCFR pixels</w:t>
      </w:r>
    </w:p>
    <w:p w14:paraId="3C184C66" w14:textId="77777777" w:rsidR="00F73120" w:rsidRDefault="00EC3BCE" w:rsidP="00F22BD5">
      <w:pPr>
        <w:pStyle w:val="BodyText"/>
        <w:numPr>
          <w:ilvl w:val="0"/>
          <w:numId w:val="15"/>
        </w:numPr>
        <w:spacing w:line="240" w:lineRule="auto"/>
      </w:pPr>
      <w:r>
        <w:t xml:space="preserve">Environmental heterogeneity: </w:t>
      </w:r>
    </w:p>
    <w:p w14:paraId="53C26E8C" w14:textId="73B00C1F" w:rsidR="00F73120" w:rsidRDefault="00E90FAD" w:rsidP="00F73120">
      <w:pPr>
        <w:pStyle w:val="BodyText"/>
        <w:numPr>
          <w:ilvl w:val="1"/>
          <w:numId w:val="15"/>
        </w:numPr>
        <w:spacing w:line="240" w:lineRule="auto"/>
      </w:pPr>
      <w:r>
        <w:t>GCFR &gt; SWAFR</w:t>
      </w:r>
      <w:r w:rsidR="00FD5A99">
        <w:t>,</w:t>
      </w:r>
      <w:r w:rsidR="00F73120">
        <w:t xml:space="preserve"> generally</w:t>
      </w:r>
    </w:p>
    <w:p w14:paraId="22381ED5" w14:textId="77777777" w:rsidR="00F73120" w:rsidRDefault="00F73120" w:rsidP="00F73120">
      <w:pPr>
        <w:pStyle w:val="BodyText"/>
        <w:numPr>
          <w:ilvl w:val="1"/>
          <w:numId w:val="15"/>
        </w:numPr>
        <w:spacing w:line="240" w:lineRule="auto"/>
      </w:pPr>
      <w:r w:rsidRPr="00F73120">
        <w:rPr>
          <w:i/>
        </w:rPr>
        <w:t>S</w:t>
      </w:r>
      <w:r w:rsidR="00E90FAD" w:rsidRPr="006D73B6">
        <w:rPr>
          <w:i/>
        </w:rPr>
        <w:t>lightly</w:t>
      </w:r>
      <w:r w:rsidR="00E90FAD">
        <w:t xml:space="preserve"> less so</w:t>
      </w:r>
      <w:r w:rsidR="00E90FAD">
        <w:t xml:space="preserve"> at broader spatial scales</w:t>
      </w:r>
    </w:p>
    <w:p w14:paraId="5C5E901F" w14:textId="5704529E" w:rsidR="00B20019" w:rsidRDefault="00F73120" w:rsidP="00F73120">
      <w:pPr>
        <w:pStyle w:val="BodyText"/>
        <w:numPr>
          <w:ilvl w:val="1"/>
          <w:numId w:val="15"/>
        </w:numPr>
        <w:spacing w:line="240" w:lineRule="auto"/>
      </w:pPr>
      <w:r>
        <w:rPr>
          <w:i/>
        </w:rPr>
        <w:t>S</w:t>
      </w:r>
      <w:r w:rsidR="00E90FAD" w:rsidRPr="006D73B6">
        <w:rPr>
          <w:i/>
        </w:rPr>
        <w:t>lightly</w:t>
      </w:r>
      <w:r w:rsidR="00E90FAD">
        <w:t xml:space="preserve"> less so in edaphic axes</w:t>
      </w:r>
    </w:p>
    <w:p w14:paraId="244816F3" w14:textId="77777777" w:rsidR="00F73120" w:rsidRDefault="00E22781" w:rsidP="00F22BD5">
      <w:pPr>
        <w:pStyle w:val="BodyText"/>
        <w:numPr>
          <w:ilvl w:val="0"/>
          <w:numId w:val="15"/>
        </w:numPr>
        <w:spacing w:line="240" w:lineRule="auto"/>
      </w:pPr>
      <w:r>
        <w:t>SR ~ EH:</w:t>
      </w:r>
    </w:p>
    <w:p w14:paraId="34BDD331" w14:textId="77777777" w:rsidR="00F73120" w:rsidRDefault="00F73120" w:rsidP="00F73120">
      <w:pPr>
        <w:pStyle w:val="BodyText"/>
        <w:numPr>
          <w:ilvl w:val="1"/>
          <w:numId w:val="15"/>
        </w:numPr>
        <w:spacing w:line="240" w:lineRule="auto"/>
      </w:pPr>
      <w:r>
        <w:t>S</w:t>
      </w:r>
      <w:r w:rsidR="006D73B6">
        <w:t>cale</w:t>
      </w:r>
      <w:r>
        <w:t>-</w:t>
      </w:r>
      <w:r w:rsidR="006D73B6">
        <w:t xml:space="preserve">independent </w:t>
      </w:r>
      <w:r>
        <w:t>relationship</w:t>
      </w:r>
      <w:r w:rsidR="006D73B6">
        <w:t xml:space="preserve">, </w:t>
      </w:r>
      <w:r>
        <w:t>generally</w:t>
      </w:r>
    </w:p>
    <w:p w14:paraId="35AA6DE8" w14:textId="77777777" w:rsidR="00AC6269" w:rsidRDefault="00F73120" w:rsidP="00F73120">
      <w:pPr>
        <w:pStyle w:val="BodyText"/>
        <w:numPr>
          <w:ilvl w:val="1"/>
          <w:numId w:val="15"/>
        </w:numPr>
        <w:spacing w:line="240" w:lineRule="auto"/>
      </w:pPr>
      <w:r>
        <w:t xml:space="preserve">GCFR and SWAFR </w:t>
      </w:r>
      <w:r>
        <w:t>have b</w:t>
      </w:r>
      <w:r w:rsidR="006D73B6">
        <w:t>road similarities</w:t>
      </w:r>
    </w:p>
    <w:p w14:paraId="77FED944" w14:textId="65B26C94" w:rsidR="00E51DB7" w:rsidRDefault="00AC6269" w:rsidP="00AC6269">
      <w:pPr>
        <w:pStyle w:val="BodyText"/>
        <w:numPr>
          <w:ilvl w:val="2"/>
          <w:numId w:val="15"/>
        </w:numPr>
        <w:spacing w:line="240" w:lineRule="auto"/>
      </w:pPr>
      <w:r>
        <w:t xml:space="preserve">A </w:t>
      </w:r>
      <w:r w:rsidR="006D73B6">
        <w:t>“common relationship”</w:t>
      </w:r>
    </w:p>
    <w:p w14:paraId="1BA611C0" w14:textId="77777777" w:rsidR="003A1781" w:rsidRDefault="00E51DB7" w:rsidP="00F73120">
      <w:pPr>
        <w:pStyle w:val="BodyText"/>
        <w:numPr>
          <w:ilvl w:val="1"/>
          <w:numId w:val="15"/>
        </w:numPr>
        <w:spacing w:line="240" w:lineRule="auto"/>
      </w:pPr>
      <w:r>
        <w:t>T</w:t>
      </w:r>
      <w:r w:rsidR="006D73B6">
        <w:t xml:space="preserve">hough there are regional </w:t>
      </w:r>
      <w:r>
        <w:t>“</w:t>
      </w:r>
      <w:r w:rsidR="006D73B6">
        <w:t>idiosyncrasies</w:t>
      </w:r>
      <w:r>
        <w:t>”</w:t>
      </w:r>
    </w:p>
    <w:p w14:paraId="62D97860" w14:textId="18C4CEE7" w:rsidR="00AC6269" w:rsidRDefault="003A1781" w:rsidP="00F73120">
      <w:pPr>
        <w:pStyle w:val="BodyText"/>
        <w:numPr>
          <w:ilvl w:val="1"/>
          <w:numId w:val="15"/>
        </w:numPr>
        <w:spacing w:line="240" w:lineRule="auto"/>
      </w:pPr>
      <w:r>
        <w:t>Unexplained richness = history</w:t>
      </w:r>
    </w:p>
    <w:p w14:paraId="53A63461" w14:textId="7D8C583C" w:rsidR="00D04776" w:rsidRPr="00C43F93" w:rsidRDefault="00AC6269" w:rsidP="00AC6269">
      <w:pPr>
        <w:pStyle w:val="BodyText"/>
        <w:numPr>
          <w:ilvl w:val="2"/>
          <w:numId w:val="15"/>
        </w:numPr>
        <w:spacing w:line="240" w:lineRule="auto"/>
      </w:pPr>
      <w:r>
        <w:t>Re: drought refu</w:t>
      </w:r>
      <w:r w:rsidR="009509A8">
        <w:t>g</w:t>
      </w:r>
      <w:r>
        <w:t>ia</w:t>
      </w:r>
      <w:r w:rsidR="00C71A0C">
        <w:t>?</w:t>
      </w:r>
      <w:r w:rsidR="006B19E5">
        <w:t>]</w:t>
      </w:r>
      <w:r w:rsidR="00D04776">
        <w:br w:type="page"/>
      </w:r>
    </w:p>
    <w:p w14:paraId="2A345384" w14:textId="77777777" w:rsidR="00D04776" w:rsidRDefault="00D04776" w:rsidP="008A4E97">
      <w:pPr>
        <w:pStyle w:val="Heading1"/>
      </w:pPr>
      <w:r w:rsidRPr="008A4E97">
        <w:lastRenderedPageBreak/>
        <w:t>Tables</w:t>
      </w:r>
      <w:bookmarkEnd w:id="7"/>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spacing w:line="240" w:lineRule="auto"/>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spacing w:line="240" w:lineRule="auto"/>
            </w:pPr>
            <w:r w:rsidRPr="008A4E97">
              <w:t>Plant species occurrences</w:t>
            </w:r>
          </w:p>
        </w:tc>
        <w:tc>
          <w:tcPr>
            <w:tcW w:w="1232" w:type="pct"/>
          </w:tcPr>
          <w:p w14:paraId="7927A043" w14:textId="77777777" w:rsidR="00A526C4" w:rsidRPr="008A4E97" w:rsidRDefault="00A526C4" w:rsidP="00684A84">
            <w:pPr>
              <w:pStyle w:val="Compact"/>
              <w:spacing w:line="240" w:lineRule="auto"/>
            </w:pPr>
            <w:r w:rsidRPr="008A4E97">
              <w:t>GBIF</w:t>
            </w:r>
          </w:p>
        </w:tc>
        <w:tc>
          <w:tcPr>
            <w:tcW w:w="1305" w:type="pct"/>
          </w:tcPr>
          <w:p w14:paraId="003C2766" w14:textId="77777777" w:rsidR="00A526C4" w:rsidRPr="008A4E97" w:rsidRDefault="00A526C4" w:rsidP="00684A84">
            <w:pPr>
              <w:pStyle w:val="Compact"/>
              <w:spacing w:line="240" w:lineRule="auto"/>
            </w:pPr>
          </w:p>
        </w:tc>
        <w:tc>
          <w:tcPr>
            <w:tcW w:w="1086" w:type="pct"/>
          </w:tcPr>
          <w:p w14:paraId="1EC02DAD" w14:textId="77777777" w:rsidR="00A526C4" w:rsidRPr="008A4E97" w:rsidRDefault="00A526C4" w:rsidP="00684A84">
            <w:pPr>
              <w:pStyle w:val="Compact"/>
              <w:spacing w:line="240" w:lineRule="auto"/>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spacing w:line="240" w:lineRule="auto"/>
            </w:pPr>
            <w:r w:rsidRPr="008A4E97">
              <w:t>Elevation</w:t>
            </w:r>
          </w:p>
        </w:tc>
        <w:tc>
          <w:tcPr>
            <w:tcW w:w="1232" w:type="pct"/>
          </w:tcPr>
          <w:p w14:paraId="2AB8D95C" w14:textId="21F6F96B" w:rsidR="00A526C4" w:rsidRPr="008A4E97" w:rsidRDefault="00A526C4" w:rsidP="00684A84">
            <w:pPr>
              <w:pStyle w:val="Compact"/>
              <w:spacing w:line="240" w:lineRule="auto"/>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spacing w:line="240" w:lineRule="auto"/>
            </w:pPr>
          </w:p>
        </w:tc>
        <w:tc>
          <w:tcPr>
            <w:tcW w:w="1086" w:type="pct"/>
          </w:tcPr>
          <w:p w14:paraId="51507F64" w14:textId="77777777" w:rsidR="00A526C4" w:rsidRPr="008A4E97" w:rsidRDefault="00A526C4" w:rsidP="00684A84">
            <w:pPr>
              <w:pStyle w:val="Compact"/>
              <w:spacing w:line="240" w:lineRule="auto"/>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spacing w:line="240" w:lineRule="auto"/>
            </w:pPr>
            <w:r w:rsidRPr="008A4E97">
              <w:t>NDVI</w:t>
            </w:r>
          </w:p>
        </w:tc>
        <w:tc>
          <w:tcPr>
            <w:tcW w:w="1232" w:type="pct"/>
          </w:tcPr>
          <w:p w14:paraId="0A69796F" w14:textId="66E50E8D" w:rsidR="003C533D" w:rsidRPr="008A4E97" w:rsidRDefault="00686E1D" w:rsidP="008A4E97">
            <w:pPr>
              <w:pStyle w:val="Compact"/>
              <w:spacing w:line="240" w:lineRule="auto"/>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spacing w:line="240" w:lineRule="auto"/>
            </w:pPr>
            <w:r w:rsidRPr="008A4E97">
              <w:t>Feb. 2000 to Apr. 2017</w:t>
            </w:r>
          </w:p>
        </w:tc>
        <w:tc>
          <w:tcPr>
            <w:tcW w:w="1086" w:type="pct"/>
          </w:tcPr>
          <w:p w14:paraId="20B6363C" w14:textId="2E24E88D" w:rsidR="003C533D" w:rsidRPr="008A4E97" w:rsidRDefault="003C533D" w:rsidP="008A4E97">
            <w:pPr>
              <w:pStyle w:val="Compact"/>
              <w:spacing w:line="240" w:lineRule="auto"/>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spacing w:line="240" w:lineRule="auto"/>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spacing w:line="240" w:lineRule="auto"/>
            </w:pPr>
            <w:r w:rsidRPr="008A4E97">
              <w:t>Feb. 2000 to Apr. 2017</w:t>
            </w:r>
          </w:p>
        </w:tc>
        <w:tc>
          <w:tcPr>
            <w:tcW w:w="1086" w:type="pct"/>
          </w:tcPr>
          <w:p w14:paraId="7D935A37" w14:textId="6125C850" w:rsidR="003C533D" w:rsidRPr="002E6AC4" w:rsidRDefault="003C533D" w:rsidP="008A4E97">
            <w:pPr>
              <w:pStyle w:val="Compact"/>
              <w:spacing w:line="240" w:lineRule="auto"/>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spacing w:line="240" w:lineRule="auto"/>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spacing w:line="240" w:lineRule="auto"/>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spacing w:line="240" w:lineRule="auto"/>
            </w:pPr>
            <w:r w:rsidRPr="008A4E97">
              <w:t>Jan. 1981 to Feb. 2017</w:t>
            </w:r>
          </w:p>
        </w:tc>
        <w:tc>
          <w:tcPr>
            <w:tcW w:w="1086"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spacing w:line="240" w:lineRule="auto"/>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spacing w:line="240" w:lineRule="auto"/>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spacing w:line="240" w:lineRule="auto"/>
            </w:pPr>
          </w:p>
        </w:tc>
        <w:tc>
          <w:tcPr>
            <w:tcW w:w="1086" w:type="pct"/>
            <w:tcBorders>
              <w:bottom w:val="single" w:sz="4" w:space="0" w:color="auto"/>
            </w:tcBorders>
          </w:tcPr>
          <w:p w14:paraId="12B60CF3" w14:textId="77777777" w:rsidR="003C533D" w:rsidRPr="008A4E97" w:rsidRDefault="003C533D" w:rsidP="008A4E97">
            <w:pPr>
              <w:pStyle w:val="Compact"/>
              <w:spacing w:line="240" w:lineRule="auto"/>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34280087" w:rsidR="00146F57" w:rsidRDefault="00D04776" w:rsidP="00E44024">
      <w:pPr>
        <w:pStyle w:val="TableCaption"/>
        <w:spacing w:line="240" w:lineRule="auto"/>
      </w:pPr>
      <w:r w:rsidRPr="00242181">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4240"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1"/>
        <w:gridCol w:w="2318"/>
        <w:gridCol w:w="1276"/>
        <w:gridCol w:w="683"/>
        <w:gridCol w:w="708"/>
        <w:gridCol w:w="852"/>
        <w:gridCol w:w="849"/>
      </w:tblGrid>
      <w:tr w:rsidR="008041FB" w:rsidRPr="00300D68" w14:paraId="68C1A1ED" w14:textId="77777777" w:rsidTr="005350C1">
        <w:tc>
          <w:tcPr>
            <w:tcW w:w="1251" w:type="dxa"/>
            <w:tcBorders>
              <w:top w:val="single" w:sz="4" w:space="0" w:color="auto"/>
              <w:bottom w:val="single" w:sz="2" w:space="0" w:color="auto"/>
            </w:tcBorders>
            <w:vAlign w:val="bottom"/>
          </w:tcPr>
          <w:p w14:paraId="62EBEFAF" w14:textId="77777777" w:rsidR="008041FB" w:rsidRPr="00300D68" w:rsidRDefault="008041FB" w:rsidP="0018462C">
            <w:pPr>
              <w:pStyle w:val="Compact"/>
              <w:spacing w:line="240" w:lineRule="auto"/>
              <w:rPr>
                <w:rFonts w:ascii="Times New Roman" w:hAnsi="Times New Roman" w:cs="Times New Roman"/>
              </w:rPr>
            </w:pPr>
            <w:r w:rsidRPr="00300D68">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8041FB" w:rsidRPr="00300D68" w:rsidRDefault="008041FB" w:rsidP="0018462C">
            <w:pPr>
              <w:pStyle w:val="Compact"/>
              <w:spacing w:line="240" w:lineRule="auto"/>
              <w:rPr>
                <w:rFonts w:ascii="Times New Roman" w:hAnsi="Times New Roman" w:cs="Times New Roman"/>
              </w:rPr>
            </w:pPr>
            <w:r w:rsidRPr="00300D68">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8041FB" w:rsidRPr="00300D68" w:rsidRDefault="008041FB" w:rsidP="0018462C">
            <w:pPr>
              <w:pStyle w:val="Compact"/>
              <w:spacing w:line="240" w:lineRule="auto"/>
              <w:rPr>
                <w:rFonts w:ascii="Times New Roman" w:hAnsi="Times New Roman" w:cs="Times New Roman"/>
              </w:rPr>
            </w:pPr>
            <w:r w:rsidRPr="00300D68">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8041FB" w:rsidRPr="00300D68" w:rsidRDefault="005350C1" w:rsidP="008041FB">
            <w:pPr>
              <w:pStyle w:val="Compact"/>
              <w:spacing w:line="240" w:lineRule="auto"/>
              <w:jc w:val="center"/>
              <w:rPr>
                <w:rFonts w:ascii="Times New Roman" w:hAnsi="Times New Roman" w:cs="Times New Roman"/>
              </w:rPr>
            </w:pPr>
            <w:r w:rsidRPr="00300D68">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8041FB" w:rsidRPr="00300D68" w:rsidRDefault="008041FB" w:rsidP="008041FB">
            <w:pPr>
              <w:pStyle w:val="Compact"/>
              <w:spacing w:line="240" w:lineRule="auto"/>
              <w:jc w:val="center"/>
              <w:rPr>
                <w:rFonts w:ascii="Times New Roman" w:hAnsi="Times New Roman" w:cs="Times New Roman"/>
              </w:rPr>
            </w:pPr>
            <w:r w:rsidRPr="00300D68">
              <w:rPr>
                <w:rFonts w:ascii="Times New Roman" w:hAnsi="Times New Roman" w:cs="Times New Roman"/>
              </w:rPr>
              <w:t>SWAFR effect</w:t>
            </w:r>
          </w:p>
        </w:tc>
      </w:tr>
      <w:tr w:rsidR="00E2160D" w:rsidRPr="00300D68" w14:paraId="5E236C3F" w14:textId="77777777" w:rsidTr="008041FB">
        <w:tc>
          <w:tcPr>
            <w:tcW w:w="1251" w:type="dxa"/>
            <w:tcBorders>
              <w:top w:val="single" w:sz="4" w:space="0" w:color="auto"/>
            </w:tcBorders>
          </w:tcPr>
          <w:p w14:paraId="7FDF71C7" w14:textId="65BB2C33" w:rsidR="00E2160D" w:rsidRPr="00300D68" w:rsidRDefault="00E2160D" w:rsidP="001739C8">
            <w:pPr>
              <w:pStyle w:val="Compact"/>
              <w:spacing w:line="240" w:lineRule="auto"/>
              <w:rPr>
                <w:rFonts w:ascii="Times New Roman" w:hAnsi="Times New Roman" w:cs="Times New Roman"/>
              </w:rPr>
            </w:pPr>
            <w:r w:rsidRPr="00300D68">
              <w:rPr>
                <w:rFonts w:ascii="Times New Roman" w:hAnsi="Times New Roman" w:cs="Times New Roman"/>
              </w:rPr>
              <w:t xml:space="preserve">(a) </w:t>
            </w:r>
            <w:r w:rsidRPr="00300D68">
              <w:rPr>
                <w:rFonts w:ascii="Times New Roman" w:hAnsi="Times New Roman" w:cs="Times New Roman"/>
                <w:i/>
              </w:rPr>
              <w:t>S</w:t>
            </w:r>
            <w:r w:rsidRPr="00300D68">
              <w:rPr>
                <w:rFonts w:ascii="Times New Roman" w:hAnsi="Times New Roman" w:cs="Times New Roman"/>
                <w:vertAlign w:val="subscript"/>
              </w:rPr>
              <w:t>QDS</w:t>
            </w:r>
          </w:p>
        </w:tc>
        <w:tc>
          <w:tcPr>
            <w:tcW w:w="2318" w:type="dxa"/>
            <w:tcBorders>
              <w:top w:val="single" w:sz="4" w:space="0" w:color="auto"/>
            </w:tcBorders>
          </w:tcPr>
          <w:p w14:paraId="3A1CD0A9" w14:textId="5BD76A8D"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Main effect + region</w:t>
            </w:r>
          </w:p>
        </w:tc>
        <w:tc>
          <w:tcPr>
            <w:tcW w:w="1276" w:type="dxa"/>
            <w:tcBorders>
              <w:top w:val="single" w:sz="4" w:space="0" w:color="auto"/>
            </w:tcBorders>
          </w:tcPr>
          <w:p w14:paraId="7E7DB67D" w14:textId="3CA62524"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NDVI</w:t>
            </w:r>
          </w:p>
        </w:tc>
        <w:tc>
          <w:tcPr>
            <w:tcW w:w="683" w:type="dxa"/>
            <w:tcBorders>
              <w:top w:val="single" w:sz="4" w:space="0" w:color="auto"/>
            </w:tcBorders>
          </w:tcPr>
          <w:p w14:paraId="37CEC41C" w14:textId="07F9A55C"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single" w:sz="4" w:space="0" w:color="auto"/>
            </w:tcBorders>
          </w:tcPr>
          <w:p w14:paraId="124632D4" w14:textId="0D71B498"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top w:val="single" w:sz="4" w:space="0" w:color="auto"/>
            </w:tcBorders>
          </w:tcPr>
          <w:p w14:paraId="2A189B86" w14:textId="27B2F565"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Borders>
              <w:top w:val="single" w:sz="4" w:space="0" w:color="auto"/>
            </w:tcBorders>
          </w:tcPr>
          <w:p w14:paraId="0D13397A" w14:textId="60A67E38"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7933C511" w14:textId="77777777" w:rsidTr="00174C2A">
        <w:tc>
          <w:tcPr>
            <w:tcW w:w="1251" w:type="dxa"/>
          </w:tcPr>
          <w:p w14:paraId="0FFC9D5B"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bottom w:val="dashSmallGap" w:sz="4" w:space="0" w:color="auto"/>
            </w:tcBorders>
          </w:tcPr>
          <w:p w14:paraId="692D782F"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Borders>
              <w:bottom w:val="dashSmallGap" w:sz="4" w:space="0" w:color="auto"/>
            </w:tcBorders>
          </w:tcPr>
          <w:p w14:paraId="106891E5" w14:textId="6A2E4031"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Soil C</w:t>
            </w:r>
          </w:p>
        </w:tc>
        <w:tc>
          <w:tcPr>
            <w:tcW w:w="683" w:type="dxa"/>
            <w:tcBorders>
              <w:bottom w:val="dashSmallGap" w:sz="4" w:space="0" w:color="auto"/>
            </w:tcBorders>
          </w:tcPr>
          <w:p w14:paraId="16B1CA79" w14:textId="35B5E23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dashSmallGap" w:sz="4" w:space="0" w:color="auto"/>
            </w:tcBorders>
          </w:tcPr>
          <w:p w14:paraId="3DB133FD" w14:textId="22FF6CF3"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522434F2" w14:textId="6D61428D"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Borders>
              <w:bottom w:val="dashSmallGap" w:sz="4" w:space="0" w:color="auto"/>
            </w:tcBorders>
          </w:tcPr>
          <w:p w14:paraId="520FFF0E" w14:textId="4CED746A"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791B7B7E" w14:textId="77777777" w:rsidTr="00174C2A">
        <w:tc>
          <w:tcPr>
            <w:tcW w:w="1251" w:type="dxa"/>
          </w:tcPr>
          <w:p w14:paraId="521C1AFB"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top w:val="dashSmallGap" w:sz="4" w:space="0" w:color="auto"/>
            </w:tcBorders>
          </w:tcPr>
          <w:p w14:paraId="1B43E820" w14:textId="4C97DE53"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dashSmallGap" w:sz="4" w:space="0" w:color="auto"/>
            </w:tcBorders>
          </w:tcPr>
          <w:p w14:paraId="172CDE68" w14:textId="17AF3CB5"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Elevation</w:t>
            </w:r>
          </w:p>
        </w:tc>
        <w:tc>
          <w:tcPr>
            <w:tcW w:w="683" w:type="dxa"/>
            <w:tcBorders>
              <w:top w:val="dashSmallGap" w:sz="4" w:space="0" w:color="auto"/>
            </w:tcBorders>
          </w:tcPr>
          <w:p w14:paraId="2F5CF9E6" w14:textId="20454F24"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dashSmallGap" w:sz="4" w:space="0" w:color="auto"/>
            </w:tcBorders>
          </w:tcPr>
          <w:p w14:paraId="1CEBB649" w14:textId="12959D2D"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top w:val="dashSmallGap" w:sz="4" w:space="0" w:color="auto"/>
            </w:tcBorders>
          </w:tcPr>
          <w:p w14:paraId="19BCDE2C" w14:textId="10BB7D86"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top w:val="dashSmallGap" w:sz="4" w:space="0" w:color="auto"/>
            </w:tcBorders>
          </w:tcPr>
          <w:p w14:paraId="7DA3F4AE"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3395C1A3" w14:textId="77777777" w:rsidTr="008041FB">
        <w:tc>
          <w:tcPr>
            <w:tcW w:w="1251" w:type="dxa"/>
          </w:tcPr>
          <w:p w14:paraId="2E5D80CB"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5422B480" w14:textId="03CB3DAC"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52737AA6" w14:textId="386FC106"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MAP</w:t>
            </w:r>
          </w:p>
        </w:tc>
        <w:tc>
          <w:tcPr>
            <w:tcW w:w="683" w:type="dxa"/>
          </w:tcPr>
          <w:p w14:paraId="33351E94" w14:textId="45EB06FA"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17E2D94D" w14:textId="56ECAEF2"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74B72806"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31877234"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4503C606" w14:textId="77777777" w:rsidTr="008041FB">
        <w:tc>
          <w:tcPr>
            <w:tcW w:w="1251" w:type="dxa"/>
          </w:tcPr>
          <w:p w14:paraId="13326302"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0F0D0092"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00DBA767" w14:textId="15D056D2"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PDQ</w:t>
            </w:r>
          </w:p>
        </w:tc>
        <w:tc>
          <w:tcPr>
            <w:tcW w:w="683" w:type="dxa"/>
          </w:tcPr>
          <w:p w14:paraId="05B1BD0A" w14:textId="24E27C45"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0EADD8F7" w14:textId="117D7494"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3E6940C6"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66E6B99C"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2061C68C" w14:textId="77777777" w:rsidTr="008041FB">
        <w:tc>
          <w:tcPr>
            <w:tcW w:w="1251" w:type="dxa"/>
          </w:tcPr>
          <w:p w14:paraId="3CD09BF6"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29FC06A8"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44983026" w14:textId="0CEC8EF0"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Surface T</w:t>
            </w:r>
          </w:p>
        </w:tc>
        <w:tc>
          <w:tcPr>
            <w:tcW w:w="683" w:type="dxa"/>
          </w:tcPr>
          <w:p w14:paraId="1D7C08D5" w14:textId="70C71541"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A6BA3DA" w14:textId="052D7F9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4E79BF2E"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2FA83183"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61021E01" w14:textId="77777777" w:rsidTr="00174C2A">
        <w:tc>
          <w:tcPr>
            <w:tcW w:w="1251" w:type="dxa"/>
          </w:tcPr>
          <w:p w14:paraId="620A9F7B"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bottom w:val="dashSmallGap" w:sz="4" w:space="0" w:color="auto"/>
            </w:tcBorders>
          </w:tcPr>
          <w:p w14:paraId="4C951B7B"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Borders>
              <w:bottom w:val="dashSmallGap" w:sz="4" w:space="0" w:color="auto"/>
            </w:tcBorders>
          </w:tcPr>
          <w:p w14:paraId="0F4C29CF" w14:textId="1CAF3764"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PC1</w:t>
            </w:r>
          </w:p>
        </w:tc>
        <w:tc>
          <w:tcPr>
            <w:tcW w:w="683" w:type="dxa"/>
            <w:tcBorders>
              <w:bottom w:val="dashSmallGap" w:sz="4" w:space="0" w:color="auto"/>
            </w:tcBorders>
          </w:tcPr>
          <w:p w14:paraId="77ECA1CB" w14:textId="7D277290"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dashSmallGap" w:sz="4" w:space="0" w:color="auto"/>
            </w:tcBorders>
          </w:tcPr>
          <w:p w14:paraId="4C07E068" w14:textId="06A8E3B6"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6538D2C4"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bottom w:val="dashSmallGap" w:sz="4" w:space="0" w:color="auto"/>
            </w:tcBorders>
          </w:tcPr>
          <w:p w14:paraId="4FFA9300"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36C98A9B" w14:textId="77777777" w:rsidTr="00174C2A">
        <w:tc>
          <w:tcPr>
            <w:tcW w:w="1251" w:type="dxa"/>
          </w:tcPr>
          <w:p w14:paraId="2945E947"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top w:val="dashSmallGap" w:sz="4" w:space="0" w:color="auto"/>
            </w:tcBorders>
          </w:tcPr>
          <w:p w14:paraId="7A130542" w14:textId="2E96CB7A"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46BDA538" w14:textId="727BEA83"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CEC</w:t>
            </w:r>
          </w:p>
        </w:tc>
        <w:tc>
          <w:tcPr>
            <w:tcW w:w="683" w:type="dxa"/>
            <w:tcBorders>
              <w:top w:val="dashSmallGap" w:sz="4" w:space="0" w:color="auto"/>
            </w:tcBorders>
          </w:tcPr>
          <w:p w14:paraId="74783313" w14:textId="50C1081F"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dashSmallGap" w:sz="4" w:space="0" w:color="auto"/>
            </w:tcBorders>
          </w:tcPr>
          <w:p w14:paraId="424C6905"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Borders>
              <w:top w:val="dashSmallGap" w:sz="4" w:space="0" w:color="auto"/>
            </w:tcBorders>
          </w:tcPr>
          <w:p w14:paraId="0865CE3F" w14:textId="21226FB5"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Borders>
              <w:top w:val="dashSmallGap" w:sz="4" w:space="0" w:color="auto"/>
            </w:tcBorders>
          </w:tcPr>
          <w:p w14:paraId="44A5E9CE" w14:textId="7C906CC1"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14F91A09" w14:textId="77777777" w:rsidTr="008041FB">
        <w:tc>
          <w:tcPr>
            <w:tcW w:w="1251" w:type="dxa"/>
          </w:tcPr>
          <w:p w14:paraId="6CD73313"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16CF46C8"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28DB2945" w14:textId="2FD64748"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Clay</w:t>
            </w:r>
          </w:p>
        </w:tc>
        <w:tc>
          <w:tcPr>
            <w:tcW w:w="683" w:type="dxa"/>
          </w:tcPr>
          <w:p w14:paraId="7ACB01E5" w14:textId="2B684F11"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5914B97B"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0B1C974D" w14:textId="5A530DEC"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Pr>
          <w:p w14:paraId="62E522DD" w14:textId="0F04735B"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64E78183" w14:textId="77777777" w:rsidTr="00300D68">
        <w:tc>
          <w:tcPr>
            <w:tcW w:w="1251" w:type="dxa"/>
            <w:tcBorders>
              <w:bottom w:val="single" w:sz="4" w:space="0" w:color="auto"/>
            </w:tcBorders>
          </w:tcPr>
          <w:p w14:paraId="336879F3"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4A1B3F56"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12599AD7" w14:textId="3B915150"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pH</w:t>
            </w:r>
          </w:p>
        </w:tc>
        <w:tc>
          <w:tcPr>
            <w:tcW w:w="683" w:type="dxa"/>
          </w:tcPr>
          <w:p w14:paraId="1295E05B" w14:textId="4A3945C2"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1ACCCA05"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3D6ED5D1" w14:textId="162BE071"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Pr>
          <w:p w14:paraId="600D8F03" w14:textId="5F17327C"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1D077985" w14:textId="77777777" w:rsidTr="00300D68">
        <w:tc>
          <w:tcPr>
            <w:tcW w:w="1251" w:type="dxa"/>
            <w:tcBorders>
              <w:top w:val="single" w:sz="4" w:space="0" w:color="auto"/>
            </w:tcBorders>
          </w:tcPr>
          <w:p w14:paraId="6E4CF490" w14:textId="041C0560"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 xml:space="preserve">(b) </w:t>
            </w:r>
            <w:r w:rsidRPr="00300D68">
              <w:rPr>
                <w:rFonts w:ascii="Times New Roman" w:hAnsi="Times New Roman" w:cs="Times New Roman"/>
                <w:i/>
              </w:rPr>
              <w:t>S</w:t>
            </w:r>
            <w:r w:rsidRPr="00300D68">
              <w:rPr>
                <w:rFonts w:ascii="Times New Roman" w:hAnsi="Times New Roman" w:cs="Times New Roman"/>
                <w:vertAlign w:val="subscript"/>
              </w:rPr>
              <w:t>HDS</w:t>
            </w:r>
          </w:p>
        </w:tc>
        <w:tc>
          <w:tcPr>
            <w:tcW w:w="2318" w:type="dxa"/>
            <w:tcBorders>
              <w:top w:val="single" w:sz="2" w:space="0" w:color="auto"/>
            </w:tcBorders>
          </w:tcPr>
          <w:p w14:paraId="194F390B"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2" w:space="0" w:color="auto"/>
            </w:tcBorders>
          </w:tcPr>
          <w:p w14:paraId="0F4C10DF"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Elevation</w:t>
            </w:r>
          </w:p>
        </w:tc>
        <w:tc>
          <w:tcPr>
            <w:tcW w:w="683" w:type="dxa"/>
            <w:tcBorders>
              <w:top w:val="single" w:sz="2" w:space="0" w:color="auto"/>
            </w:tcBorders>
          </w:tcPr>
          <w:p w14:paraId="7430057D"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single" w:sz="2" w:space="0" w:color="auto"/>
            </w:tcBorders>
          </w:tcPr>
          <w:p w14:paraId="714F7B60"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top w:val="single" w:sz="2" w:space="0" w:color="auto"/>
            </w:tcBorders>
          </w:tcPr>
          <w:p w14:paraId="113D1288"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top w:val="single" w:sz="2" w:space="0" w:color="auto"/>
            </w:tcBorders>
          </w:tcPr>
          <w:p w14:paraId="6EFC9A3C"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6B625CED" w14:textId="77777777" w:rsidTr="008041FB">
        <w:tc>
          <w:tcPr>
            <w:tcW w:w="1251" w:type="dxa"/>
          </w:tcPr>
          <w:p w14:paraId="42CDAA33"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670739EC"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1B45F2F2"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MAP</w:t>
            </w:r>
          </w:p>
        </w:tc>
        <w:tc>
          <w:tcPr>
            <w:tcW w:w="683" w:type="dxa"/>
          </w:tcPr>
          <w:p w14:paraId="6585EA14"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5D71FBFF"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78DD53B4"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5DE11A13"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5210E479" w14:textId="77777777" w:rsidTr="008041FB">
        <w:tc>
          <w:tcPr>
            <w:tcW w:w="1251" w:type="dxa"/>
          </w:tcPr>
          <w:p w14:paraId="3793E1B1"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3F4604DD"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7C3569A6"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PDQ</w:t>
            </w:r>
          </w:p>
        </w:tc>
        <w:tc>
          <w:tcPr>
            <w:tcW w:w="683" w:type="dxa"/>
          </w:tcPr>
          <w:p w14:paraId="2822FD91"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61666BAE"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313DE168"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2DFD1B8A"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67434E0C" w14:textId="77777777" w:rsidTr="008041FB">
        <w:tc>
          <w:tcPr>
            <w:tcW w:w="1251" w:type="dxa"/>
          </w:tcPr>
          <w:p w14:paraId="6D19E55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1581718A"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21ED70B5"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Surface T</w:t>
            </w:r>
          </w:p>
        </w:tc>
        <w:tc>
          <w:tcPr>
            <w:tcW w:w="683" w:type="dxa"/>
          </w:tcPr>
          <w:p w14:paraId="2D09A4B9"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6601264B"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55270A53"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55C3EE63"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27B21AD3" w14:textId="77777777" w:rsidTr="008041FB">
        <w:tc>
          <w:tcPr>
            <w:tcW w:w="1251" w:type="dxa"/>
          </w:tcPr>
          <w:p w14:paraId="1C1616E0"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16785429"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214178FF"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NDVI</w:t>
            </w:r>
          </w:p>
        </w:tc>
        <w:tc>
          <w:tcPr>
            <w:tcW w:w="683" w:type="dxa"/>
          </w:tcPr>
          <w:p w14:paraId="67CB88C7"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064B38B3"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0ECAEEEA"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1A3C5037"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122B6F0E" w14:textId="77777777" w:rsidTr="008041FB">
        <w:tc>
          <w:tcPr>
            <w:tcW w:w="1251" w:type="dxa"/>
          </w:tcPr>
          <w:p w14:paraId="76BBEAF0"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2230F4AC"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4B272B26"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CEC</w:t>
            </w:r>
          </w:p>
        </w:tc>
        <w:tc>
          <w:tcPr>
            <w:tcW w:w="683" w:type="dxa"/>
          </w:tcPr>
          <w:p w14:paraId="38AF2147" w14:textId="3C52B281"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19C7DC8"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5B922517"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10A5CF7B"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5ABA2A23" w14:textId="77777777" w:rsidTr="008041FB">
        <w:tc>
          <w:tcPr>
            <w:tcW w:w="1251" w:type="dxa"/>
          </w:tcPr>
          <w:p w14:paraId="2750288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4930B078"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6BEEC01C"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Clay</w:t>
            </w:r>
          </w:p>
        </w:tc>
        <w:tc>
          <w:tcPr>
            <w:tcW w:w="683" w:type="dxa"/>
          </w:tcPr>
          <w:p w14:paraId="414CEE2E"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F5A25DD"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006B703F"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34BDD603"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06A9E078" w14:textId="77777777" w:rsidTr="008041FB">
        <w:tc>
          <w:tcPr>
            <w:tcW w:w="1251" w:type="dxa"/>
          </w:tcPr>
          <w:p w14:paraId="32EF69C4"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25B95102"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165742B"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Soil C</w:t>
            </w:r>
          </w:p>
        </w:tc>
        <w:tc>
          <w:tcPr>
            <w:tcW w:w="683" w:type="dxa"/>
          </w:tcPr>
          <w:p w14:paraId="3C268989"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2D772689"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4F0E2079"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6C009F77"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7180B734" w14:textId="77777777" w:rsidTr="008041FB">
        <w:tc>
          <w:tcPr>
            <w:tcW w:w="1251" w:type="dxa"/>
          </w:tcPr>
          <w:p w14:paraId="3E151716"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4A23895F"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059EE4F"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pH</w:t>
            </w:r>
          </w:p>
        </w:tc>
        <w:tc>
          <w:tcPr>
            <w:tcW w:w="683" w:type="dxa"/>
          </w:tcPr>
          <w:p w14:paraId="25181CA6"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290FDEE1"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60E617A8"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76267187"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193508D6" w14:textId="77777777" w:rsidTr="008041FB">
        <w:tc>
          <w:tcPr>
            <w:tcW w:w="1251" w:type="dxa"/>
            <w:tcBorders>
              <w:bottom w:val="single" w:sz="4" w:space="0" w:color="auto"/>
            </w:tcBorders>
          </w:tcPr>
          <w:p w14:paraId="72012CC4"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bottom w:val="single" w:sz="4" w:space="0" w:color="auto"/>
            </w:tcBorders>
          </w:tcPr>
          <w:p w14:paraId="321F442E"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Borders>
              <w:bottom w:val="single" w:sz="4" w:space="0" w:color="auto"/>
            </w:tcBorders>
          </w:tcPr>
          <w:p w14:paraId="74875E9E"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PC1</w:t>
            </w:r>
          </w:p>
        </w:tc>
        <w:tc>
          <w:tcPr>
            <w:tcW w:w="683" w:type="dxa"/>
            <w:tcBorders>
              <w:bottom w:val="single" w:sz="4" w:space="0" w:color="auto"/>
            </w:tcBorders>
          </w:tcPr>
          <w:p w14:paraId="0845BF4D"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single" w:sz="4" w:space="0" w:color="auto"/>
            </w:tcBorders>
          </w:tcPr>
          <w:p w14:paraId="76C88FA9"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single" w:sz="4" w:space="0" w:color="auto"/>
            </w:tcBorders>
          </w:tcPr>
          <w:p w14:paraId="073C4A6C"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bottom w:val="single" w:sz="4" w:space="0" w:color="auto"/>
            </w:tcBorders>
          </w:tcPr>
          <w:p w14:paraId="2EFFC6CF"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732DC4E4" w14:textId="77777777" w:rsidTr="008041FB">
        <w:tc>
          <w:tcPr>
            <w:tcW w:w="1251" w:type="dxa"/>
          </w:tcPr>
          <w:p w14:paraId="45910090" w14:textId="1CD4D8BF"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 xml:space="preserve">(c) </w:t>
            </w:r>
            <w:r w:rsidRPr="00300D68">
              <w:rPr>
                <w:rFonts w:ascii="Times New Roman" w:hAnsi="Times New Roman" w:cs="Times New Roman"/>
                <w:i/>
              </w:rPr>
              <w:t>S</w:t>
            </w:r>
            <w:r w:rsidRPr="00300D68">
              <w:rPr>
                <w:rFonts w:ascii="Times New Roman" w:hAnsi="Times New Roman" w:cs="Times New Roman"/>
                <w:vertAlign w:val="subscript"/>
              </w:rPr>
              <w:t>DS</w:t>
            </w:r>
          </w:p>
        </w:tc>
        <w:tc>
          <w:tcPr>
            <w:tcW w:w="2318" w:type="dxa"/>
          </w:tcPr>
          <w:p w14:paraId="66CF7711" w14:textId="3239BEC5"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Main effect only</w:t>
            </w:r>
          </w:p>
        </w:tc>
        <w:tc>
          <w:tcPr>
            <w:tcW w:w="1276" w:type="dxa"/>
          </w:tcPr>
          <w:p w14:paraId="4017B073" w14:textId="6C5856D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Elevation</w:t>
            </w:r>
          </w:p>
        </w:tc>
        <w:tc>
          <w:tcPr>
            <w:tcW w:w="683" w:type="dxa"/>
          </w:tcPr>
          <w:p w14:paraId="67D90D7B" w14:textId="1409718C"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0CE7227F" w14:textId="4955B4BE"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1A230A73"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4D54ACFA"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3202EACA" w14:textId="77777777" w:rsidTr="008041FB">
        <w:tc>
          <w:tcPr>
            <w:tcW w:w="1251" w:type="dxa"/>
          </w:tcPr>
          <w:p w14:paraId="41C4392E" w14:textId="50CFE1DD" w:rsidR="00E2160D" w:rsidRPr="00300D68" w:rsidRDefault="00E2160D" w:rsidP="00847682">
            <w:pPr>
              <w:pStyle w:val="Compact"/>
              <w:spacing w:line="240" w:lineRule="auto"/>
              <w:rPr>
                <w:rFonts w:ascii="Times New Roman" w:hAnsi="Times New Roman" w:cs="Times New Roman"/>
              </w:rPr>
            </w:pPr>
          </w:p>
        </w:tc>
        <w:tc>
          <w:tcPr>
            <w:tcW w:w="2318" w:type="dxa"/>
          </w:tcPr>
          <w:p w14:paraId="1FD269A9"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662C4AF7" w14:textId="7803AF4B"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MAP</w:t>
            </w:r>
          </w:p>
        </w:tc>
        <w:tc>
          <w:tcPr>
            <w:tcW w:w="683" w:type="dxa"/>
          </w:tcPr>
          <w:p w14:paraId="4C44C603" w14:textId="4068BB05"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056D4A98" w14:textId="0CDB8284"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4CD3531A"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6227FAE3"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24D9F533" w14:textId="77777777" w:rsidTr="008041FB">
        <w:tc>
          <w:tcPr>
            <w:tcW w:w="1251" w:type="dxa"/>
          </w:tcPr>
          <w:p w14:paraId="16CD37FC"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59E974A5"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6C2CBD53" w14:textId="5C2AB14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PDQ</w:t>
            </w:r>
          </w:p>
        </w:tc>
        <w:tc>
          <w:tcPr>
            <w:tcW w:w="683" w:type="dxa"/>
          </w:tcPr>
          <w:p w14:paraId="0B67FBC3" w14:textId="6CE0F5BE"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2F321CD1" w14:textId="0D407642"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30884183"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76461248"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4BAEC65F" w14:textId="77777777" w:rsidTr="008041FB">
        <w:tc>
          <w:tcPr>
            <w:tcW w:w="1251" w:type="dxa"/>
          </w:tcPr>
          <w:p w14:paraId="4712CEB3"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37907335"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3BA08B5A" w14:textId="7D057BB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Clay</w:t>
            </w:r>
          </w:p>
        </w:tc>
        <w:tc>
          <w:tcPr>
            <w:tcW w:w="683" w:type="dxa"/>
          </w:tcPr>
          <w:p w14:paraId="190EC008" w14:textId="566929F3"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65E9BF8E" w14:textId="1B7B27EC"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5366A3D2"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23A78516"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734D55D8" w14:textId="77777777" w:rsidTr="008041FB">
        <w:tc>
          <w:tcPr>
            <w:tcW w:w="1251" w:type="dxa"/>
          </w:tcPr>
          <w:p w14:paraId="3EE9157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0EEA7AA9"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47070D9" w14:textId="5EB737A3"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Soil C</w:t>
            </w:r>
          </w:p>
        </w:tc>
        <w:tc>
          <w:tcPr>
            <w:tcW w:w="683" w:type="dxa"/>
          </w:tcPr>
          <w:p w14:paraId="78A60B4C" w14:textId="35DE5D2E"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150C53FB" w14:textId="2EA975F1"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14FE70EB"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003EABB6"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49B40E0E" w14:textId="77777777" w:rsidTr="00174C2A">
        <w:tc>
          <w:tcPr>
            <w:tcW w:w="1251" w:type="dxa"/>
          </w:tcPr>
          <w:p w14:paraId="1BC98CC9"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bottom w:val="dashSmallGap" w:sz="4" w:space="0" w:color="auto"/>
            </w:tcBorders>
          </w:tcPr>
          <w:p w14:paraId="1E2ACB7F"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Borders>
              <w:bottom w:val="dashSmallGap" w:sz="4" w:space="0" w:color="auto"/>
            </w:tcBorders>
          </w:tcPr>
          <w:p w14:paraId="6ACD7DC2" w14:textId="361E7C49"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PC1</w:t>
            </w:r>
          </w:p>
        </w:tc>
        <w:tc>
          <w:tcPr>
            <w:tcW w:w="683" w:type="dxa"/>
            <w:tcBorders>
              <w:bottom w:val="dashSmallGap" w:sz="4" w:space="0" w:color="auto"/>
            </w:tcBorders>
          </w:tcPr>
          <w:p w14:paraId="685E6546" w14:textId="4A92DF46"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Borders>
              <w:bottom w:val="dashSmallGap" w:sz="4" w:space="0" w:color="auto"/>
            </w:tcBorders>
          </w:tcPr>
          <w:p w14:paraId="08601A8E" w14:textId="7F8C69B3"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69E7712E"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Borders>
              <w:bottom w:val="dashSmallGap" w:sz="4" w:space="0" w:color="auto"/>
            </w:tcBorders>
          </w:tcPr>
          <w:p w14:paraId="6EEDE95E"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03DCF9E4" w14:textId="77777777" w:rsidTr="00174C2A">
        <w:tc>
          <w:tcPr>
            <w:tcW w:w="1251" w:type="dxa"/>
          </w:tcPr>
          <w:p w14:paraId="2C26BCAD"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top w:val="dashSmallGap" w:sz="4" w:space="0" w:color="auto"/>
            </w:tcBorders>
          </w:tcPr>
          <w:p w14:paraId="6520F10B" w14:textId="48C00019"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3BCC15AD" w14:textId="08D09388"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Surface T</w:t>
            </w:r>
          </w:p>
        </w:tc>
        <w:tc>
          <w:tcPr>
            <w:tcW w:w="683" w:type="dxa"/>
            <w:tcBorders>
              <w:top w:val="dashSmallGap" w:sz="4" w:space="0" w:color="auto"/>
            </w:tcBorders>
          </w:tcPr>
          <w:p w14:paraId="1F687028" w14:textId="44B870B8"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Borders>
              <w:top w:val="dashSmallGap" w:sz="4" w:space="0" w:color="auto"/>
            </w:tcBorders>
          </w:tcPr>
          <w:p w14:paraId="04A36E00"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Borders>
              <w:top w:val="dashSmallGap" w:sz="4" w:space="0" w:color="auto"/>
            </w:tcBorders>
          </w:tcPr>
          <w:p w14:paraId="0CBFA3B6" w14:textId="2449FC8F"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Borders>
              <w:top w:val="dashSmallGap" w:sz="4" w:space="0" w:color="auto"/>
            </w:tcBorders>
          </w:tcPr>
          <w:p w14:paraId="2EF828F4" w14:textId="26C6099D"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w:t>
            </w:r>
          </w:p>
        </w:tc>
      </w:tr>
      <w:tr w:rsidR="00E2160D" w:rsidRPr="00300D68" w14:paraId="6EC09B0B" w14:textId="77777777" w:rsidTr="008041FB">
        <w:tc>
          <w:tcPr>
            <w:tcW w:w="1251" w:type="dxa"/>
          </w:tcPr>
          <w:p w14:paraId="417441B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240B1F12"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9B3B17B" w14:textId="166B88C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NDVI</w:t>
            </w:r>
          </w:p>
        </w:tc>
        <w:tc>
          <w:tcPr>
            <w:tcW w:w="683" w:type="dxa"/>
          </w:tcPr>
          <w:p w14:paraId="5DACA182" w14:textId="366C063A"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42BCF2A9"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65B60F97" w14:textId="4E46A8BD"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Pr>
          <w:p w14:paraId="1480F7AA" w14:textId="22AC6624" w:rsidR="00E2160D" w:rsidRPr="00300D68" w:rsidRDefault="00B34B13" w:rsidP="00847682">
            <w:pPr>
              <w:pStyle w:val="Compact"/>
              <w:spacing w:line="240" w:lineRule="auto"/>
              <w:rPr>
                <w:rFonts w:ascii="Times New Roman" w:hAnsi="Times New Roman" w:cs="Times New Roman"/>
              </w:rPr>
            </w:pPr>
            <w:r w:rsidRPr="00300D68">
              <w:rPr>
                <w:rFonts w:ascii="Times New Roman" w:hAnsi="Times New Roman" w:cs="Times New Roman"/>
                <w:highlight w:val="yellow"/>
              </w:rPr>
              <w:t>~</w:t>
            </w:r>
          </w:p>
        </w:tc>
      </w:tr>
      <w:tr w:rsidR="00E2160D" w:rsidRPr="00300D68" w14:paraId="134D8943" w14:textId="77777777" w:rsidTr="008041FB">
        <w:tc>
          <w:tcPr>
            <w:tcW w:w="1251" w:type="dxa"/>
          </w:tcPr>
          <w:p w14:paraId="6D8D73E7"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66A44EB7"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486CAE9A" w14:textId="5E2D6F67"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CEC</w:t>
            </w:r>
          </w:p>
        </w:tc>
        <w:tc>
          <w:tcPr>
            <w:tcW w:w="683" w:type="dxa"/>
          </w:tcPr>
          <w:p w14:paraId="0C7327E9" w14:textId="6C84B6E6"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38CEC094"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6EBECAAD" w14:textId="78DB10F8"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Pr>
          <w:p w14:paraId="287231AE" w14:textId="7532D29D"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w:t>
            </w:r>
          </w:p>
        </w:tc>
      </w:tr>
      <w:tr w:rsidR="00E2160D" w:rsidRPr="00300D68" w14:paraId="1660C718" w14:textId="77777777" w:rsidTr="008041FB">
        <w:tc>
          <w:tcPr>
            <w:tcW w:w="1251" w:type="dxa"/>
            <w:tcBorders>
              <w:bottom w:val="single" w:sz="4" w:space="0" w:color="auto"/>
            </w:tcBorders>
          </w:tcPr>
          <w:p w14:paraId="5C8E4A60"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bottom w:val="single" w:sz="4" w:space="0" w:color="auto"/>
            </w:tcBorders>
          </w:tcPr>
          <w:p w14:paraId="59C830FF"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Borders>
              <w:bottom w:val="single" w:sz="4" w:space="0" w:color="auto"/>
            </w:tcBorders>
          </w:tcPr>
          <w:p w14:paraId="700C8498" w14:textId="39C6CCB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pH</w:t>
            </w:r>
          </w:p>
        </w:tc>
        <w:tc>
          <w:tcPr>
            <w:tcW w:w="683" w:type="dxa"/>
            <w:tcBorders>
              <w:bottom w:val="single" w:sz="4" w:space="0" w:color="auto"/>
            </w:tcBorders>
          </w:tcPr>
          <w:p w14:paraId="2B47B2E1" w14:textId="1AA96AAB"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Borders>
              <w:bottom w:val="single" w:sz="4" w:space="0" w:color="auto"/>
            </w:tcBorders>
          </w:tcPr>
          <w:p w14:paraId="78A63EB9"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Borders>
              <w:bottom w:val="single" w:sz="4" w:space="0" w:color="auto"/>
            </w:tcBorders>
          </w:tcPr>
          <w:p w14:paraId="1CC12902" w14:textId="7BD18B70"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Borders>
              <w:bottom w:val="single" w:sz="4" w:space="0" w:color="auto"/>
            </w:tcBorders>
          </w:tcPr>
          <w:p w14:paraId="394EF77C" w14:textId="44319784"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w:t>
            </w:r>
          </w:p>
        </w:tc>
      </w:tr>
    </w:tbl>
    <w:p w14:paraId="7D7717D9" w14:textId="5C23B985" w:rsidR="00230C87" w:rsidRDefault="00230C87" w:rsidP="00230C87">
      <w:pPr>
        <w:pStyle w:val="BodyText"/>
        <w:spacing w:before="0" w:after="0" w:line="240" w:lineRule="auto"/>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line="240" w:lineRule="auto"/>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0.05</w:t>
      </w:r>
      <w:r w:rsidR="009D1A46" w:rsidRPr="00B34B13">
        <w:rPr>
          <w:highlight w:val="yellow"/>
        </w:rPr>
        <w:t xml:space="preserve">;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spacing w:line="240" w:lineRule="auto"/>
      </w:pPr>
      <w:r w:rsidRPr="00242181">
        <w:rPr>
          <w:b/>
        </w:rPr>
        <w:lastRenderedPageBreak/>
        <w:t>Table 3:</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1E9A69BD" w14:textId="6DDAE6EC" w:rsidTr="00902AF1">
        <w:tc>
          <w:tcPr>
            <w:tcW w:w="1465" w:type="pct"/>
            <w:tcBorders>
              <w:top w:val="single" w:sz="4" w:space="0" w:color="auto"/>
              <w:bottom w:val="single" w:sz="2" w:space="0" w:color="auto"/>
            </w:tcBorders>
            <w:vAlign w:val="bottom"/>
          </w:tcPr>
          <w:p w14:paraId="7E6EA743" w14:textId="77777777" w:rsidR="00363038" w:rsidRPr="00BA47F0" w:rsidRDefault="00363038" w:rsidP="00363038">
            <w:pPr>
              <w:pStyle w:val="Compact"/>
              <w:spacing w:line="240" w:lineRule="auto"/>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spacing w:line="240" w:lineRule="auto"/>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spacing w:line="240" w:lineRule="auto"/>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spacing w:line="240" w:lineRule="auto"/>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spacing w:line="240" w:lineRule="auto"/>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spacing w:line="240" w:lineRule="auto"/>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spacing w:line="240" w:lineRule="auto"/>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spacing w:line="240" w:lineRule="auto"/>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spacing w:line="240" w:lineRule="auto"/>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spacing w:line="240" w:lineRule="auto"/>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spacing w:line="240" w:lineRule="auto"/>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spacing w:line="240" w:lineRule="auto"/>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line="240" w:lineRule="auto"/>
        <w:rPr>
          <w:sz w:val="32"/>
        </w:rPr>
      </w:pPr>
      <w:bookmarkStart w:id="8"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368DA5D">
            <wp:extent cx="5720440" cy="3960304"/>
            <wp:effectExtent l="0" t="0" r="0"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0440" cy="3960304"/>
                    </a:xfrm>
                    <a:prstGeom prst="rect">
                      <a:avLst/>
                    </a:prstGeom>
                    <a:noFill/>
                    <a:ln w="9525">
                      <a:noFill/>
                      <a:headEnd/>
                      <a:tailEnd/>
                    </a:ln>
                  </pic:spPr>
                </pic:pic>
              </a:graphicData>
            </a:graphic>
          </wp:inline>
        </w:drawing>
      </w:r>
    </w:p>
    <w:p w14:paraId="5CEC371A" w14:textId="65A01D7B" w:rsidR="00D04776" w:rsidRDefault="002C037D" w:rsidP="0018462C">
      <w:pPr>
        <w:pStyle w:val="BodyText"/>
        <w:spacing w:line="240" w:lineRule="auto"/>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t>we found some evidence for</w:t>
      </w:r>
      <w:r w:rsidR="00FF2D9A">
        <w:t xml:space="preserve"> </w:t>
      </w:r>
      <w:r w:rsidR="006A6996" w:rsidRPr="006A6996">
        <w:t xml:space="preserve">negative relationships (depicted by lines) for MAP (slope = </w:t>
      </w:r>
      <w:r w:rsidR="00D14040" w:rsidRPr="006A6996">
        <w:t>–</w:t>
      </w:r>
      <w:r w:rsidR="006A6996" w:rsidRPr="006A6996">
        <w:t>0.224</w:t>
      </w:r>
      <w:r w:rsidR="00D91165">
        <w:t>;</w:t>
      </w:r>
      <w:r w:rsidR="006A6996" w:rsidRPr="006A6996">
        <w:t xml:space="preserve"> </w:t>
      </w:r>
      <w:r w:rsidR="006A6996" w:rsidRPr="00D14040">
        <w:rPr>
          <w:i/>
        </w:rPr>
        <w:t>P</w:t>
      </w:r>
      <w:r w:rsidR="006A6996" w:rsidRPr="006A6996">
        <w:t xml:space="preserve"> = 0.028) and PC1 (slope = </w:t>
      </w:r>
      <w:r w:rsidR="00D14040" w:rsidRPr="006A6996">
        <w:t>–</w:t>
      </w:r>
      <w:r w:rsidR="006A6996" w:rsidRPr="006A6996">
        <w:t>0.076</w:t>
      </w:r>
      <w:r w:rsidR="00DD0559">
        <w:t>;</w:t>
      </w:r>
      <w:r w:rsidR="006A6996" w:rsidRPr="006A6996">
        <w:t xml:space="preserve"> </w:t>
      </w:r>
      <w:r w:rsidR="006A6996" w:rsidRPr="00D14040">
        <w:rPr>
          <w:i/>
        </w:rPr>
        <w:t>P</w:t>
      </w:r>
      <w:r w:rsidR="006A6996" w:rsidRPr="006A6996">
        <w:t xml:space="preserve"> = 0.059).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439A2C1E">
            <wp:extent cx="5577063" cy="4780339"/>
            <wp:effectExtent l="0" t="0" r="508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77063" cy="4780339"/>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0A38E33">
            <wp:extent cx="5966048" cy="2556877"/>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6048" cy="2556877"/>
                    </a:xfrm>
                    <a:prstGeom prst="rect">
                      <a:avLst/>
                    </a:prstGeom>
                    <a:noFill/>
                    <a:ln w="9525">
                      <a:noFill/>
                      <a:headEnd/>
                      <a:tailEnd/>
                    </a:ln>
                  </pic:spPr>
                </pic:pic>
              </a:graphicData>
            </a:graphic>
          </wp:inline>
        </w:drawing>
      </w:r>
    </w:p>
    <w:p w14:paraId="7180F251" w14:textId="5FE635C3"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Pr="000951C2">
        <w:t xml:space="preserve"> </w:t>
      </w:r>
      <w:r w:rsidR="00EE4268">
        <w:t>(note log</w:t>
      </w:r>
      <w:r w:rsidR="00EE4268">
        <w:rPr>
          <w:vertAlign w:val="subscript"/>
        </w:rPr>
        <w:t>10</w:t>
      </w:r>
      <w:r w:rsidR="00EE4268">
        <w:rPr>
          <w:vertAlign w:val="subscript"/>
        </w:rPr>
        <w:softHyphen/>
      </w:r>
      <w:r w:rsidR="00EE4268">
        <w:t xml:space="preserve">-scaled vertical axis)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 xml:space="preserve">These three linear models are presented in Table 2. </w:t>
      </w:r>
      <w:r w:rsidRPr="000951C2">
        <w:t>Grey bands denote 95% confidence intervals</w:t>
      </w:r>
      <w:r w:rsidR="00132E42" w:rsidRPr="000951C2">
        <w:t xml:space="preserve"> about the fitted lines</w:t>
      </w:r>
      <w:r w:rsidRPr="000951C2">
        <w:t xml:space="preserve">. </w:t>
      </w:r>
      <w:r w:rsidR="005D4530">
        <w:t xml:space="preserve">The </w:t>
      </w:r>
      <w:r w:rsidR="005D4530">
        <w:rPr>
          <w:i/>
        </w:rPr>
        <w:t>R</w:t>
      </w:r>
      <w:r w:rsidR="005D4530">
        <w:rPr>
          <w:vertAlign w:val="superscript"/>
        </w:rPr>
        <w:t>2</w:t>
      </w:r>
      <w:r w:rsidR="005D4530">
        <w:t>-values of each model and the variation in environmental heterogeneity explained by 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B436CB3">
            <wp:extent cx="5939624" cy="5091106"/>
            <wp:effectExtent l="0" t="0" r="4445"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5061" cy="5112909"/>
                    </a:xfrm>
                    <a:prstGeom prst="rect">
                      <a:avLst/>
                    </a:prstGeom>
                    <a:noFill/>
                    <a:ln w="9525">
                      <a:noFill/>
                      <a:headEnd/>
                      <a:tailEnd/>
                    </a:ln>
                  </pic:spPr>
                </pic:pic>
              </a:graphicData>
            </a:graphic>
          </wp:inline>
        </w:drawing>
      </w:r>
    </w:p>
    <w:p w14:paraId="784FFE15" w14:textId="40192337"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741F6E" w:rsidRPr="00EB7331">
        <w:t>across GCFR</w:t>
      </w:r>
      <w:r w:rsidR="00F53C09">
        <w:t xml:space="preserve"> and </w:t>
      </w:r>
      <w:r w:rsidR="00741F6E" w:rsidRPr="00EB7331">
        <w:t>SWAFR</w:t>
      </w:r>
      <w:r w:rsidRPr="00EB7331">
        <w:t xml:space="preserve">. </w:t>
      </w:r>
      <w:r w:rsidRPr="0021176B">
        <w:rPr>
          <w:highlight w:val="yellow"/>
        </w:rPr>
        <w:t xml:space="preserve">Each </w:t>
      </w:r>
      <w:r w:rsidR="00F53C09" w:rsidRPr="0021176B">
        <w:rPr>
          <w:highlight w:val="yellow"/>
        </w:rPr>
        <w:t xml:space="preserve">of these three </w:t>
      </w:r>
      <w:r w:rsidRPr="0021176B">
        <w:rPr>
          <w:highlight w:val="yellow"/>
        </w:rPr>
        <w:t>model</w:t>
      </w:r>
      <w:r w:rsidR="00F53C09" w:rsidRPr="0021176B">
        <w:rPr>
          <w:highlight w:val="yellow"/>
        </w:rPr>
        <w:t>s</w:t>
      </w:r>
      <w:r w:rsidRPr="0021176B">
        <w:rPr>
          <w:highlight w:val="yellow"/>
        </w:rPr>
        <w:t xml:space="preserve"> was simplified, from a starting model with all predictors and their interactions with </w:t>
      </w:r>
      <w:r w:rsidR="00711D8E" w:rsidRPr="0021176B">
        <w:rPr>
          <w:highlight w:val="yellow"/>
        </w:rPr>
        <w:t xml:space="preserve">a </w:t>
      </w:r>
      <w:r w:rsidRPr="0021176B">
        <w:rPr>
          <w:highlight w:val="yellow"/>
        </w:rPr>
        <w:t>region</w:t>
      </w:r>
      <w:r w:rsidR="00711D8E" w:rsidRPr="0021176B">
        <w:rPr>
          <w:highlight w:val="yellow"/>
        </w:rPr>
        <w:t>-term</w:t>
      </w:r>
      <w:r w:rsidRPr="0021176B">
        <w:rPr>
          <w:highlight w:val="yellow"/>
        </w:rPr>
        <w:t xml:space="preserve">, using reverse stepwise regression model selection based on </w:t>
      </w:r>
      <w:r w:rsidRPr="0021176B">
        <w:rPr>
          <w:i/>
          <w:highlight w:val="yellow"/>
        </w:rPr>
        <w:t>AIC</w:t>
      </w:r>
      <w:r w:rsidRPr="0021176B">
        <w:rPr>
          <w:highlight w:val="yellow"/>
        </w:rPr>
        <w:t>-scores in 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spacing w:line="240" w:lineRule="auto"/>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spacing w:line="240" w:lineRule="auto"/>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4"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spacing w:line="240" w:lineRule="auto"/>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5"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spacing w:line="240" w:lineRule="auto"/>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6"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9"/>
    </w:p>
    <w:p w14:paraId="3C5DD067" w14:textId="77777777" w:rsidR="00DD2348" w:rsidRPr="0086613F" w:rsidRDefault="005F0FFB" w:rsidP="0018462C">
      <w:pPr>
        <w:pStyle w:val="Bibliography"/>
        <w:spacing w:line="240" w:lineRule="auto"/>
      </w:pPr>
      <w:bookmarkStart w:id="10" w:name="ref-Bivand2017"/>
      <w:bookmarkStart w:id="11" w:name="refs"/>
      <w:r w:rsidRPr="0086613F">
        <w:t xml:space="preserve">Bivand, R., Keitt, T., &amp; Rowlingson, B. (2017) rgdal: Bindings for the Geospatial Data Abstraction Library. R package version 1.2-7..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77777777" w:rsidR="00DD2348" w:rsidRPr="0086613F" w:rsidRDefault="005F0FFB" w:rsidP="0018462C">
      <w:pPr>
        <w:pStyle w:val="Bibliography"/>
        <w:spacing w:line="240" w:lineRule="auto"/>
      </w:pPr>
      <w:bookmarkStart w:id="19" w:name="ref-Hijmans2016"/>
      <w:bookmarkEnd w:id="18"/>
      <w:r w:rsidRPr="0086613F">
        <w:t xml:space="preserve">Hijmans, R.J. (2016) raster: Geographic Data Analysis and Modeling. R package version 2.5-8..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77777777"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NASA EOSDIS Land Processes DAAC, USGS Earth Resources Observation and Science (EROS) Center, Sioux Falls, South Dakota</w:t>
      </w:r>
      <w:r w:rsidRPr="0086613F">
        <w:t xml:space="preserve">,. </w:t>
      </w:r>
    </w:p>
    <w:p w14:paraId="5AF7F3C9" w14:textId="77777777"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NASA EOSDIS Land Processes DAAC, USGS Earth Resources Observation and Science (EROS) Center, Sioux Falls, South Dakota</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2B325FEA"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F1000Research</w:t>
      </w:r>
      <w:r w:rsidRPr="0086613F">
        <w:t xml:space="preserve">,. </w:t>
      </w:r>
      <w:bookmarkEnd w:id="11"/>
      <w:bookmarkEnd w:id="27"/>
    </w:p>
    <w:p w14:paraId="46966AC6" w14:textId="7BA8169F" w:rsidR="004D4AE1" w:rsidRDefault="004D4AE1" w:rsidP="001453CD">
      <w:pPr>
        <w:pStyle w:val="Heading1"/>
        <w:spacing w:line="240" w:lineRule="auto"/>
      </w:pPr>
      <w:r w:rsidRPr="004D4AE1">
        <w:t>Biosketch</w:t>
      </w:r>
      <w:r>
        <w:t>es</w:t>
      </w:r>
    </w:p>
    <w:p w14:paraId="7A78D841" w14:textId="590337D9" w:rsidR="004D4AE1" w:rsidRDefault="007E7D27" w:rsidP="001453CD">
      <w:pPr>
        <w:pStyle w:val="BodyText"/>
        <w:spacing w:line="240" w:lineRule="auto"/>
      </w:pPr>
      <w:r>
        <w:rPr>
          <w:highlight w:val="yellow"/>
        </w:rPr>
        <w:t>[</w:t>
      </w:r>
      <w:r w:rsidR="004D4AE1" w:rsidRPr="00200991">
        <w:rPr>
          <w:highlight w:val="yellow"/>
        </w:rPr>
        <w:t>…</w:t>
      </w:r>
      <w:r>
        <w:t>]</w:t>
      </w:r>
    </w:p>
    <w:p w14:paraId="5FCEE1EB" w14:textId="6487F5A3"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spacing w:line="240" w:lineRule="auto"/>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5B03E" w14:textId="77777777" w:rsidR="00867C7A" w:rsidRDefault="00867C7A">
      <w:pPr>
        <w:spacing w:after="0"/>
      </w:pPr>
      <w:r>
        <w:separator/>
      </w:r>
    </w:p>
  </w:endnote>
  <w:endnote w:type="continuationSeparator" w:id="0">
    <w:p w14:paraId="6E5DEB88" w14:textId="77777777" w:rsidR="00867C7A" w:rsidRDefault="00867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BA4AE5" w:rsidRDefault="00BA4A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BA4AE5" w:rsidRDefault="00BA4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96A9B" w14:textId="77777777" w:rsidR="00867C7A" w:rsidRDefault="00867C7A">
      <w:r>
        <w:separator/>
      </w:r>
    </w:p>
  </w:footnote>
  <w:footnote w:type="continuationSeparator" w:id="0">
    <w:p w14:paraId="7A361C60" w14:textId="77777777" w:rsidR="00867C7A" w:rsidRDefault="00867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017B5"/>
    <w:multiLevelType w:val="hybridMultilevel"/>
    <w:tmpl w:val="E8AA45DE"/>
    <w:lvl w:ilvl="0" w:tplc="D54C71FA">
      <w:start w:val="4"/>
      <w:numFmt w:val="bullet"/>
      <w:lvlText w:val="-"/>
      <w:lvlJc w:val="left"/>
      <w:pPr>
        <w:ind w:left="720" w:hanging="360"/>
      </w:pPr>
      <w:rPr>
        <w:rFonts w:ascii="Times New Roman" w:eastAsiaTheme="minorHAnsi"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embedSystemFonts/>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4A7B"/>
    <w:rsid w:val="00030FA3"/>
    <w:rsid w:val="00032420"/>
    <w:rsid w:val="00032731"/>
    <w:rsid w:val="00036900"/>
    <w:rsid w:val="00037267"/>
    <w:rsid w:val="00037D6D"/>
    <w:rsid w:val="00042E25"/>
    <w:rsid w:val="00043102"/>
    <w:rsid w:val="00043D4E"/>
    <w:rsid w:val="000469ED"/>
    <w:rsid w:val="00046D81"/>
    <w:rsid w:val="0004779B"/>
    <w:rsid w:val="000519A1"/>
    <w:rsid w:val="000558A9"/>
    <w:rsid w:val="00060E27"/>
    <w:rsid w:val="000611F5"/>
    <w:rsid w:val="000622E8"/>
    <w:rsid w:val="00062A2B"/>
    <w:rsid w:val="00064E62"/>
    <w:rsid w:val="000657EC"/>
    <w:rsid w:val="00066121"/>
    <w:rsid w:val="00070D03"/>
    <w:rsid w:val="00072164"/>
    <w:rsid w:val="00074006"/>
    <w:rsid w:val="000747BD"/>
    <w:rsid w:val="00083308"/>
    <w:rsid w:val="00083DD4"/>
    <w:rsid w:val="000847C4"/>
    <w:rsid w:val="00086052"/>
    <w:rsid w:val="00087B3B"/>
    <w:rsid w:val="0009179A"/>
    <w:rsid w:val="000951C2"/>
    <w:rsid w:val="0009756C"/>
    <w:rsid w:val="000A44BE"/>
    <w:rsid w:val="000A737C"/>
    <w:rsid w:val="000B1C91"/>
    <w:rsid w:val="000C1B2A"/>
    <w:rsid w:val="000C1DFD"/>
    <w:rsid w:val="000C57CB"/>
    <w:rsid w:val="000C58EB"/>
    <w:rsid w:val="000C5AAD"/>
    <w:rsid w:val="000C78F5"/>
    <w:rsid w:val="000D1A3D"/>
    <w:rsid w:val="000D698A"/>
    <w:rsid w:val="000D6AB1"/>
    <w:rsid w:val="000E4213"/>
    <w:rsid w:val="000E5000"/>
    <w:rsid w:val="000E72CC"/>
    <w:rsid w:val="000E7EAD"/>
    <w:rsid w:val="000F419D"/>
    <w:rsid w:val="000F5594"/>
    <w:rsid w:val="000F59F5"/>
    <w:rsid w:val="000F699D"/>
    <w:rsid w:val="00104482"/>
    <w:rsid w:val="00105FAF"/>
    <w:rsid w:val="00106E88"/>
    <w:rsid w:val="00114867"/>
    <w:rsid w:val="0012073A"/>
    <w:rsid w:val="00126A24"/>
    <w:rsid w:val="001320BF"/>
    <w:rsid w:val="00132E42"/>
    <w:rsid w:val="00137BA5"/>
    <w:rsid w:val="0014323A"/>
    <w:rsid w:val="001453CD"/>
    <w:rsid w:val="001462B5"/>
    <w:rsid w:val="00146F57"/>
    <w:rsid w:val="001506B6"/>
    <w:rsid w:val="00152374"/>
    <w:rsid w:val="00152B31"/>
    <w:rsid w:val="001530FE"/>
    <w:rsid w:val="00153824"/>
    <w:rsid w:val="00153B86"/>
    <w:rsid w:val="001541B2"/>
    <w:rsid w:val="0015465B"/>
    <w:rsid w:val="00157417"/>
    <w:rsid w:val="001640D1"/>
    <w:rsid w:val="001729D4"/>
    <w:rsid w:val="001739C8"/>
    <w:rsid w:val="00174C2A"/>
    <w:rsid w:val="001755D7"/>
    <w:rsid w:val="00176E4F"/>
    <w:rsid w:val="00181A68"/>
    <w:rsid w:val="0018462C"/>
    <w:rsid w:val="00185A50"/>
    <w:rsid w:val="00190D4A"/>
    <w:rsid w:val="00191261"/>
    <w:rsid w:val="001A23A6"/>
    <w:rsid w:val="001A6192"/>
    <w:rsid w:val="001B0959"/>
    <w:rsid w:val="001B34DA"/>
    <w:rsid w:val="001B40FF"/>
    <w:rsid w:val="001B412D"/>
    <w:rsid w:val="001B6D6F"/>
    <w:rsid w:val="001C1E9D"/>
    <w:rsid w:val="001C4D68"/>
    <w:rsid w:val="001C5D8A"/>
    <w:rsid w:val="001C64D6"/>
    <w:rsid w:val="001C7670"/>
    <w:rsid w:val="001D4356"/>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C037D"/>
    <w:rsid w:val="002C5C96"/>
    <w:rsid w:val="002C7938"/>
    <w:rsid w:val="002D0B56"/>
    <w:rsid w:val="002D283F"/>
    <w:rsid w:val="002D4FA9"/>
    <w:rsid w:val="002E231B"/>
    <w:rsid w:val="002E3FF8"/>
    <w:rsid w:val="002E6995"/>
    <w:rsid w:val="002E6AC4"/>
    <w:rsid w:val="002F092D"/>
    <w:rsid w:val="002F370B"/>
    <w:rsid w:val="00300D68"/>
    <w:rsid w:val="00303501"/>
    <w:rsid w:val="00305C02"/>
    <w:rsid w:val="00305F60"/>
    <w:rsid w:val="003061B2"/>
    <w:rsid w:val="00310608"/>
    <w:rsid w:val="00310871"/>
    <w:rsid w:val="003251C7"/>
    <w:rsid w:val="0032532C"/>
    <w:rsid w:val="00325EB1"/>
    <w:rsid w:val="0033192D"/>
    <w:rsid w:val="00331CEC"/>
    <w:rsid w:val="00331D2E"/>
    <w:rsid w:val="00334B9B"/>
    <w:rsid w:val="00335E0E"/>
    <w:rsid w:val="0033748B"/>
    <w:rsid w:val="00342111"/>
    <w:rsid w:val="00346C28"/>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E74"/>
    <w:rsid w:val="0038369B"/>
    <w:rsid w:val="003847BF"/>
    <w:rsid w:val="00390292"/>
    <w:rsid w:val="003912CF"/>
    <w:rsid w:val="003913A0"/>
    <w:rsid w:val="003939AA"/>
    <w:rsid w:val="003A0E03"/>
    <w:rsid w:val="003A1781"/>
    <w:rsid w:val="003A587C"/>
    <w:rsid w:val="003B10FC"/>
    <w:rsid w:val="003B2885"/>
    <w:rsid w:val="003B7C89"/>
    <w:rsid w:val="003C1C5A"/>
    <w:rsid w:val="003C30C4"/>
    <w:rsid w:val="003C34D2"/>
    <w:rsid w:val="003C533D"/>
    <w:rsid w:val="003C58E2"/>
    <w:rsid w:val="003C74FE"/>
    <w:rsid w:val="003C7B0D"/>
    <w:rsid w:val="003D414F"/>
    <w:rsid w:val="003D65D2"/>
    <w:rsid w:val="003E1A90"/>
    <w:rsid w:val="003E46DC"/>
    <w:rsid w:val="003E4723"/>
    <w:rsid w:val="003E5397"/>
    <w:rsid w:val="003E7786"/>
    <w:rsid w:val="003F1CDD"/>
    <w:rsid w:val="003F5B2B"/>
    <w:rsid w:val="00401CC9"/>
    <w:rsid w:val="0040493A"/>
    <w:rsid w:val="00404DA4"/>
    <w:rsid w:val="00405952"/>
    <w:rsid w:val="004063C5"/>
    <w:rsid w:val="00407D70"/>
    <w:rsid w:val="004121C0"/>
    <w:rsid w:val="004218EE"/>
    <w:rsid w:val="00427A07"/>
    <w:rsid w:val="00433400"/>
    <w:rsid w:val="0043502F"/>
    <w:rsid w:val="0044052A"/>
    <w:rsid w:val="00442282"/>
    <w:rsid w:val="0044606A"/>
    <w:rsid w:val="004511B3"/>
    <w:rsid w:val="00452B2E"/>
    <w:rsid w:val="004570D3"/>
    <w:rsid w:val="00457659"/>
    <w:rsid w:val="00462611"/>
    <w:rsid w:val="00462E55"/>
    <w:rsid w:val="004632FE"/>
    <w:rsid w:val="00464662"/>
    <w:rsid w:val="00465238"/>
    <w:rsid w:val="00466172"/>
    <w:rsid w:val="00472407"/>
    <w:rsid w:val="00472BBD"/>
    <w:rsid w:val="00474DE5"/>
    <w:rsid w:val="004769C5"/>
    <w:rsid w:val="00481C6F"/>
    <w:rsid w:val="00482491"/>
    <w:rsid w:val="00485879"/>
    <w:rsid w:val="00486DF3"/>
    <w:rsid w:val="00491E5D"/>
    <w:rsid w:val="00493CCF"/>
    <w:rsid w:val="00494991"/>
    <w:rsid w:val="004A14DD"/>
    <w:rsid w:val="004B3293"/>
    <w:rsid w:val="004B48F7"/>
    <w:rsid w:val="004B5684"/>
    <w:rsid w:val="004C00F7"/>
    <w:rsid w:val="004C28BF"/>
    <w:rsid w:val="004C331B"/>
    <w:rsid w:val="004D0F24"/>
    <w:rsid w:val="004D13EA"/>
    <w:rsid w:val="004D4AE1"/>
    <w:rsid w:val="004D5D8A"/>
    <w:rsid w:val="004D7400"/>
    <w:rsid w:val="004E1D08"/>
    <w:rsid w:val="004E29B3"/>
    <w:rsid w:val="004E2D58"/>
    <w:rsid w:val="004E6B1C"/>
    <w:rsid w:val="004E6FFF"/>
    <w:rsid w:val="004F1DC1"/>
    <w:rsid w:val="004F61C5"/>
    <w:rsid w:val="004F6F8D"/>
    <w:rsid w:val="00502FAF"/>
    <w:rsid w:val="005042D0"/>
    <w:rsid w:val="00505F87"/>
    <w:rsid w:val="0050654E"/>
    <w:rsid w:val="00506692"/>
    <w:rsid w:val="00506F78"/>
    <w:rsid w:val="00515DC1"/>
    <w:rsid w:val="005171EA"/>
    <w:rsid w:val="00520289"/>
    <w:rsid w:val="005216AD"/>
    <w:rsid w:val="00524DDF"/>
    <w:rsid w:val="00526608"/>
    <w:rsid w:val="00531FB3"/>
    <w:rsid w:val="00531FF2"/>
    <w:rsid w:val="00532F79"/>
    <w:rsid w:val="005350C1"/>
    <w:rsid w:val="005527B5"/>
    <w:rsid w:val="005637B6"/>
    <w:rsid w:val="0056568D"/>
    <w:rsid w:val="0056633D"/>
    <w:rsid w:val="00583EAA"/>
    <w:rsid w:val="0058659A"/>
    <w:rsid w:val="00590D07"/>
    <w:rsid w:val="00595B0A"/>
    <w:rsid w:val="0059637F"/>
    <w:rsid w:val="005A3FC0"/>
    <w:rsid w:val="005A6B10"/>
    <w:rsid w:val="005B1454"/>
    <w:rsid w:val="005B1C53"/>
    <w:rsid w:val="005B22E7"/>
    <w:rsid w:val="005B39FE"/>
    <w:rsid w:val="005B56E1"/>
    <w:rsid w:val="005B5B14"/>
    <w:rsid w:val="005C2A1A"/>
    <w:rsid w:val="005C752F"/>
    <w:rsid w:val="005D1374"/>
    <w:rsid w:val="005D1597"/>
    <w:rsid w:val="005D24D5"/>
    <w:rsid w:val="005D4530"/>
    <w:rsid w:val="005E19A4"/>
    <w:rsid w:val="005F03CE"/>
    <w:rsid w:val="005F0D12"/>
    <w:rsid w:val="005F0FFB"/>
    <w:rsid w:val="005F573D"/>
    <w:rsid w:val="005F60E0"/>
    <w:rsid w:val="005F79BD"/>
    <w:rsid w:val="005F7AE4"/>
    <w:rsid w:val="005F7E3B"/>
    <w:rsid w:val="00602D3B"/>
    <w:rsid w:val="00603141"/>
    <w:rsid w:val="0060601F"/>
    <w:rsid w:val="0061190A"/>
    <w:rsid w:val="006175A1"/>
    <w:rsid w:val="006255A4"/>
    <w:rsid w:val="006277B7"/>
    <w:rsid w:val="00632A02"/>
    <w:rsid w:val="00633C2F"/>
    <w:rsid w:val="00634215"/>
    <w:rsid w:val="00634D1A"/>
    <w:rsid w:val="00635CA7"/>
    <w:rsid w:val="0063745C"/>
    <w:rsid w:val="006462CD"/>
    <w:rsid w:val="00647F5C"/>
    <w:rsid w:val="006507B4"/>
    <w:rsid w:val="00653D19"/>
    <w:rsid w:val="00662457"/>
    <w:rsid w:val="00663CF3"/>
    <w:rsid w:val="00663F53"/>
    <w:rsid w:val="0066712E"/>
    <w:rsid w:val="00667CCB"/>
    <w:rsid w:val="006703E1"/>
    <w:rsid w:val="00671F3F"/>
    <w:rsid w:val="0067407E"/>
    <w:rsid w:val="00681E6F"/>
    <w:rsid w:val="00684A84"/>
    <w:rsid w:val="00686E1D"/>
    <w:rsid w:val="00692368"/>
    <w:rsid w:val="00695A6F"/>
    <w:rsid w:val="0069711B"/>
    <w:rsid w:val="006A239A"/>
    <w:rsid w:val="006A4603"/>
    <w:rsid w:val="006A6996"/>
    <w:rsid w:val="006B0E2E"/>
    <w:rsid w:val="006B19D7"/>
    <w:rsid w:val="006B19E5"/>
    <w:rsid w:val="006B2D93"/>
    <w:rsid w:val="006B3D28"/>
    <w:rsid w:val="006B6D35"/>
    <w:rsid w:val="006C0C2B"/>
    <w:rsid w:val="006C15F8"/>
    <w:rsid w:val="006C20C8"/>
    <w:rsid w:val="006C529A"/>
    <w:rsid w:val="006C58CE"/>
    <w:rsid w:val="006C6014"/>
    <w:rsid w:val="006C6B1A"/>
    <w:rsid w:val="006D35C5"/>
    <w:rsid w:val="006D58C7"/>
    <w:rsid w:val="006D6FEA"/>
    <w:rsid w:val="006D73B6"/>
    <w:rsid w:val="006E039C"/>
    <w:rsid w:val="006E62E9"/>
    <w:rsid w:val="006F043C"/>
    <w:rsid w:val="006F0BA2"/>
    <w:rsid w:val="006F1CA8"/>
    <w:rsid w:val="006F3914"/>
    <w:rsid w:val="006F3A86"/>
    <w:rsid w:val="00702F14"/>
    <w:rsid w:val="00704287"/>
    <w:rsid w:val="007051DF"/>
    <w:rsid w:val="00706CF1"/>
    <w:rsid w:val="00711950"/>
    <w:rsid w:val="00711D48"/>
    <w:rsid w:val="00711D8E"/>
    <w:rsid w:val="0071300C"/>
    <w:rsid w:val="0072582D"/>
    <w:rsid w:val="0073036F"/>
    <w:rsid w:val="0073171D"/>
    <w:rsid w:val="0073580D"/>
    <w:rsid w:val="00736302"/>
    <w:rsid w:val="00741F6E"/>
    <w:rsid w:val="00753A5E"/>
    <w:rsid w:val="00760A5C"/>
    <w:rsid w:val="007612C7"/>
    <w:rsid w:val="00762256"/>
    <w:rsid w:val="00765FAE"/>
    <w:rsid w:val="007704C7"/>
    <w:rsid w:val="00773D2C"/>
    <w:rsid w:val="00774484"/>
    <w:rsid w:val="00774C5C"/>
    <w:rsid w:val="00774D41"/>
    <w:rsid w:val="007755AC"/>
    <w:rsid w:val="00775A42"/>
    <w:rsid w:val="00784D58"/>
    <w:rsid w:val="00786594"/>
    <w:rsid w:val="0079178A"/>
    <w:rsid w:val="007948F4"/>
    <w:rsid w:val="007968A1"/>
    <w:rsid w:val="007A1C58"/>
    <w:rsid w:val="007B1591"/>
    <w:rsid w:val="007B5DBC"/>
    <w:rsid w:val="007B7ACC"/>
    <w:rsid w:val="007C5AFE"/>
    <w:rsid w:val="007C706A"/>
    <w:rsid w:val="007C79A1"/>
    <w:rsid w:val="007C7D4C"/>
    <w:rsid w:val="007D673C"/>
    <w:rsid w:val="007E55CB"/>
    <w:rsid w:val="007E72DA"/>
    <w:rsid w:val="007E7D27"/>
    <w:rsid w:val="007F2F46"/>
    <w:rsid w:val="00800BA0"/>
    <w:rsid w:val="00800FA8"/>
    <w:rsid w:val="008041FB"/>
    <w:rsid w:val="0080611D"/>
    <w:rsid w:val="00807BE4"/>
    <w:rsid w:val="00810E40"/>
    <w:rsid w:val="008132FA"/>
    <w:rsid w:val="00817192"/>
    <w:rsid w:val="00822DD5"/>
    <w:rsid w:val="00823FCD"/>
    <w:rsid w:val="008259DB"/>
    <w:rsid w:val="00826383"/>
    <w:rsid w:val="008337E4"/>
    <w:rsid w:val="00835502"/>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80670"/>
    <w:rsid w:val="00880A28"/>
    <w:rsid w:val="008823B9"/>
    <w:rsid w:val="00891FE6"/>
    <w:rsid w:val="0089544E"/>
    <w:rsid w:val="00896206"/>
    <w:rsid w:val="008A08EA"/>
    <w:rsid w:val="008A4E97"/>
    <w:rsid w:val="008A59B2"/>
    <w:rsid w:val="008A5AB4"/>
    <w:rsid w:val="008A683E"/>
    <w:rsid w:val="008A7439"/>
    <w:rsid w:val="008B0471"/>
    <w:rsid w:val="008B33E1"/>
    <w:rsid w:val="008B3F0E"/>
    <w:rsid w:val="008B4347"/>
    <w:rsid w:val="008B688E"/>
    <w:rsid w:val="008C1C71"/>
    <w:rsid w:val="008D1C35"/>
    <w:rsid w:val="008D2DC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CD7"/>
    <w:rsid w:val="00916B93"/>
    <w:rsid w:val="00923DF4"/>
    <w:rsid w:val="009266B9"/>
    <w:rsid w:val="0093209B"/>
    <w:rsid w:val="00932EF4"/>
    <w:rsid w:val="00933CCA"/>
    <w:rsid w:val="0094242D"/>
    <w:rsid w:val="00945B71"/>
    <w:rsid w:val="00945BC5"/>
    <w:rsid w:val="009460AD"/>
    <w:rsid w:val="00946957"/>
    <w:rsid w:val="009475D4"/>
    <w:rsid w:val="009509A8"/>
    <w:rsid w:val="0095435C"/>
    <w:rsid w:val="00957784"/>
    <w:rsid w:val="00964F94"/>
    <w:rsid w:val="00970650"/>
    <w:rsid w:val="0097174D"/>
    <w:rsid w:val="00976198"/>
    <w:rsid w:val="00980EDB"/>
    <w:rsid w:val="0098402B"/>
    <w:rsid w:val="009841C7"/>
    <w:rsid w:val="00987906"/>
    <w:rsid w:val="009910D8"/>
    <w:rsid w:val="0099210D"/>
    <w:rsid w:val="00994922"/>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54AF"/>
    <w:rsid w:val="009E3C9B"/>
    <w:rsid w:val="009E59E0"/>
    <w:rsid w:val="009F0932"/>
    <w:rsid w:val="00A006BE"/>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BBE"/>
    <w:rsid w:val="00A46B1F"/>
    <w:rsid w:val="00A46D13"/>
    <w:rsid w:val="00A523A6"/>
    <w:rsid w:val="00A526C4"/>
    <w:rsid w:val="00A52CA1"/>
    <w:rsid w:val="00A5557E"/>
    <w:rsid w:val="00A74BCA"/>
    <w:rsid w:val="00A76FDF"/>
    <w:rsid w:val="00A77872"/>
    <w:rsid w:val="00A778BB"/>
    <w:rsid w:val="00A82B4F"/>
    <w:rsid w:val="00A8363E"/>
    <w:rsid w:val="00A85228"/>
    <w:rsid w:val="00A87D09"/>
    <w:rsid w:val="00A90499"/>
    <w:rsid w:val="00A9441F"/>
    <w:rsid w:val="00A95D88"/>
    <w:rsid w:val="00A9751F"/>
    <w:rsid w:val="00AA2965"/>
    <w:rsid w:val="00AB0E53"/>
    <w:rsid w:val="00AB5AE8"/>
    <w:rsid w:val="00AC205D"/>
    <w:rsid w:val="00AC6269"/>
    <w:rsid w:val="00AD4DCC"/>
    <w:rsid w:val="00AD644F"/>
    <w:rsid w:val="00AD6510"/>
    <w:rsid w:val="00AE08F6"/>
    <w:rsid w:val="00AE1842"/>
    <w:rsid w:val="00AE3336"/>
    <w:rsid w:val="00AE5077"/>
    <w:rsid w:val="00AF00CB"/>
    <w:rsid w:val="00AF7AFF"/>
    <w:rsid w:val="00B0446E"/>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3F36"/>
    <w:rsid w:val="00B56820"/>
    <w:rsid w:val="00B6082F"/>
    <w:rsid w:val="00B60E07"/>
    <w:rsid w:val="00B6436E"/>
    <w:rsid w:val="00B645EA"/>
    <w:rsid w:val="00B67B46"/>
    <w:rsid w:val="00B71D27"/>
    <w:rsid w:val="00B75ACD"/>
    <w:rsid w:val="00B80C23"/>
    <w:rsid w:val="00B8268E"/>
    <w:rsid w:val="00B826BC"/>
    <w:rsid w:val="00B843C7"/>
    <w:rsid w:val="00B8447D"/>
    <w:rsid w:val="00B86B75"/>
    <w:rsid w:val="00B90487"/>
    <w:rsid w:val="00B96FA0"/>
    <w:rsid w:val="00BA0095"/>
    <w:rsid w:val="00BA2B8D"/>
    <w:rsid w:val="00BA47F0"/>
    <w:rsid w:val="00BA4AE5"/>
    <w:rsid w:val="00BA5D8B"/>
    <w:rsid w:val="00BB096B"/>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B31"/>
    <w:rsid w:val="00BE7C13"/>
    <w:rsid w:val="00BF0B3F"/>
    <w:rsid w:val="00BF54E8"/>
    <w:rsid w:val="00BF6C46"/>
    <w:rsid w:val="00C01215"/>
    <w:rsid w:val="00C04D03"/>
    <w:rsid w:val="00C06955"/>
    <w:rsid w:val="00C116AB"/>
    <w:rsid w:val="00C11B97"/>
    <w:rsid w:val="00C225E6"/>
    <w:rsid w:val="00C26903"/>
    <w:rsid w:val="00C36279"/>
    <w:rsid w:val="00C40608"/>
    <w:rsid w:val="00C408A8"/>
    <w:rsid w:val="00C41A61"/>
    <w:rsid w:val="00C42B96"/>
    <w:rsid w:val="00C43F93"/>
    <w:rsid w:val="00C45000"/>
    <w:rsid w:val="00C53D2C"/>
    <w:rsid w:val="00C5660B"/>
    <w:rsid w:val="00C57F5D"/>
    <w:rsid w:val="00C630F3"/>
    <w:rsid w:val="00C64E7E"/>
    <w:rsid w:val="00C67A1C"/>
    <w:rsid w:val="00C70A73"/>
    <w:rsid w:val="00C71A0C"/>
    <w:rsid w:val="00C72741"/>
    <w:rsid w:val="00C744F8"/>
    <w:rsid w:val="00C77223"/>
    <w:rsid w:val="00C82F98"/>
    <w:rsid w:val="00C83A82"/>
    <w:rsid w:val="00C85460"/>
    <w:rsid w:val="00CA0D48"/>
    <w:rsid w:val="00CA485B"/>
    <w:rsid w:val="00CB0067"/>
    <w:rsid w:val="00CC0323"/>
    <w:rsid w:val="00CC3BF9"/>
    <w:rsid w:val="00CD5330"/>
    <w:rsid w:val="00CD7A9B"/>
    <w:rsid w:val="00CE6847"/>
    <w:rsid w:val="00CF00DE"/>
    <w:rsid w:val="00CF189F"/>
    <w:rsid w:val="00CF20C9"/>
    <w:rsid w:val="00CF30BA"/>
    <w:rsid w:val="00CF50C3"/>
    <w:rsid w:val="00D00BA8"/>
    <w:rsid w:val="00D03561"/>
    <w:rsid w:val="00D04776"/>
    <w:rsid w:val="00D05C06"/>
    <w:rsid w:val="00D06B5A"/>
    <w:rsid w:val="00D0764A"/>
    <w:rsid w:val="00D1137D"/>
    <w:rsid w:val="00D14040"/>
    <w:rsid w:val="00D16E1A"/>
    <w:rsid w:val="00D1761D"/>
    <w:rsid w:val="00D23BC6"/>
    <w:rsid w:val="00D24377"/>
    <w:rsid w:val="00D305E0"/>
    <w:rsid w:val="00D345A9"/>
    <w:rsid w:val="00D35C08"/>
    <w:rsid w:val="00D366C1"/>
    <w:rsid w:val="00D40106"/>
    <w:rsid w:val="00D40708"/>
    <w:rsid w:val="00D44BB7"/>
    <w:rsid w:val="00D44C27"/>
    <w:rsid w:val="00D50517"/>
    <w:rsid w:val="00D51E2F"/>
    <w:rsid w:val="00D51F0E"/>
    <w:rsid w:val="00D56403"/>
    <w:rsid w:val="00D61D4D"/>
    <w:rsid w:val="00D62239"/>
    <w:rsid w:val="00D67CEB"/>
    <w:rsid w:val="00D7233A"/>
    <w:rsid w:val="00D81A2B"/>
    <w:rsid w:val="00D91165"/>
    <w:rsid w:val="00D91644"/>
    <w:rsid w:val="00D924AA"/>
    <w:rsid w:val="00D9295F"/>
    <w:rsid w:val="00D946BB"/>
    <w:rsid w:val="00D96D52"/>
    <w:rsid w:val="00DA5533"/>
    <w:rsid w:val="00DA5915"/>
    <w:rsid w:val="00DA6C74"/>
    <w:rsid w:val="00DA79C7"/>
    <w:rsid w:val="00DB3FDF"/>
    <w:rsid w:val="00DC0A04"/>
    <w:rsid w:val="00DC17CC"/>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8BB"/>
    <w:rsid w:val="00DE6B05"/>
    <w:rsid w:val="00DE7007"/>
    <w:rsid w:val="00DF0226"/>
    <w:rsid w:val="00DF1F56"/>
    <w:rsid w:val="00DF2439"/>
    <w:rsid w:val="00DF4D79"/>
    <w:rsid w:val="00E00A67"/>
    <w:rsid w:val="00E0137F"/>
    <w:rsid w:val="00E04EBE"/>
    <w:rsid w:val="00E07FF6"/>
    <w:rsid w:val="00E2160D"/>
    <w:rsid w:val="00E22781"/>
    <w:rsid w:val="00E25251"/>
    <w:rsid w:val="00E30530"/>
    <w:rsid w:val="00E315A3"/>
    <w:rsid w:val="00E34B52"/>
    <w:rsid w:val="00E40561"/>
    <w:rsid w:val="00E423C5"/>
    <w:rsid w:val="00E43CF5"/>
    <w:rsid w:val="00E44024"/>
    <w:rsid w:val="00E4661A"/>
    <w:rsid w:val="00E46771"/>
    <w:rsid w:val="00E46B3C"/>
    <w:rsid w:val="00E51DB7"/>
    <w:rsid w:val="00E525BC"/>
    <w:rsid w:val="00E52A66"/>
    <w:rsid w:val="00E545A9"/>
    <w:rsid w:val="00E6005D"/>
    <w:rsid w:val="00E604FC"/>
    <w:rsid w:val="00E640C8"/>
    <w:rsid w:val="00E66E17"/>
    <w:rsid w:val="00E715C9"/>
    <w:rsid w:val="00E7429C"/>
    <w:rsid w:val="00E75D74"/>
    <w:rsid w:val="00E837D3"/>
    <w:rsid w:val="00E90FAD"/>
    <w:rsid w:val="00E93541"/>
    <w:rsid w:val="00E95E7D"/>
    <w:rsid w:val="00E96D62"/>
    <w:rsid w:val="00E97CBA"/>
    <w:rsid w:val="00EA1251"/>
    <w:rsid w:val="00EA4453"/>
    <w:rsid w:val="00EB1A1E"/>
    <w:rsid w:val="00EB21F0"/>
    <w:rsid w:val="00EB34AB"/>
    <w:rsid w:val="00EB52C0"/>
    <w:rsid w:val="00EB7331"/>
    <w:rsid w:val="00EB755A"/>
    <w:rsid w:val="00EC1A8F"/>
    <w:rsid w:val="00EC29F2"/>
    <w:rsid w:val="00EC2AB9"/>
    <w:rsid w:val="00EC3B98"/>
    <w:rsid w:val="00EC3BCE"/>
    <w:rsid w:val="00EC4132"/>
    <w:rsid w:val="00EC572B"/>
    <w:rsid w:val="00EE0D7A"/>
    <w:rsid w:val="00EE4268"/>
    <w:rsid w:val="00EF33BB"/>
    <w:rsid w:val="00EF3B9C"/>
    <w:rsid w:val="00EF53EC"/>
    <w:rsid w:val="00EF6737"/>
    <w:rsid w:val="00EF6C4B"/>
    <w:rsid w:val="00F0148A"/>
    <w:rsid w:val="00F0279E"/>
    <w:rsid w:val="00F055C7"/>
    <w:rsid w:val="00F057A2"/>
    <w:rsid w:val="00F07BEC"/>
    <w:rsid w:val="00F11B78"/>
    <w:rsid w:val="00F1488F"/>
    <w:rsid w:val="00F16319"/>
    <w:rsid w:val="00F1788A"/>
    <w:rsid w:val="00F17DEF"/>
    <w:rsid w:val="00F20A95"/>
    <w:rsid w:val="00F22BD5"/>
    <w:rsid w:val="00F2441A"/>
    <w:rsid w:val="00F27281"/>
    <w:rsid w:val="00F31AF3"/>
    <w:rsid w:val="00F358D2"/>
    <w:rsid w:val="00F45440"/>
    <w:rsid w:val="00F512F3"/>
    <w:rsid w:val="00F53C09"/>
    <w:rsid w:val="00F614B4"/>
    <w:rsid w:val="00F70B73"/>
    <w:rsid w:val="00F70EA3"/>
    <w:rsid w:val="00F73120"/>
    <w:rsid w:val="00F73BC7"/>
    <w:rsid w:val="00F80567"/>
    <w:rsid w:val="00F80A42"/>
    <w:rsid w:val="00F80AE8"/>
    <w:rsid w:val="00F816D3"/>
    <w:rsid w:val="00F81E82"/>
    <w:rsid w:val="00F8593E"/>
    <w:rsid w:val="00F9010D"/>
    <w:rsid w:val="00F92E75"/>
    <w:rsid w:val="00FA00D1"/>
    <w:rsid w:val="00FA3C08"/>
    <w:rsid w:val="00FA6E2B"/>
    <w:rsid w:val="00FA78DF"/>
    <w:rsid w:val="00FB7B57"/>
    <w:rsid w:val="00FC4F1F"/>
    <w:rsid w:val="00FC55F5"/>
    <w:rsid w:val="00FC6DF6"/>
    <w:rsid w:val="00FD18C0"/>
    <w:rsid w:val="00FD3C3A"/>
    <w:rsid w:val="00FD5A99"/>
    <w:rsid w:val="00FD66B9"/>
    <w:rsid w:val="00FE0731"/>
    <w:rsid w:val="00FE3E67"/>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0989-326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hyperlink" Target="https://orcid.org/0000-0003-2659-6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727-42A4-463F-AB17-DC893993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17</Pages>
  <Words>4822</Words>
  <Characters>27490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742</cp:revision>
  <cp:lastPrinted>2019-08-23T08:15:00Z</cp:lastPrinted>
  <dcterms:created xsi:type="dcterms:W3CDTF">2019-08-22T06:09:00Z</dcterms:created>
  <dcterms:modified xsi:type="dcterms:W3CDTF">2019-08-29T15:34:00Z</dcterms:modified>
</cp:coreProperties>
</file>