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41CB43EB"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B9850F1" w:rsidR="00024A7B" w:rsidRPr="00024A7B" w:rsidRDefault="00024A7B" w:rsidP="008A4E97">
      <w:pPr>
        <w:pStyle w:val="BodyText"/>
        <w:spacing w:line="240" w:lineRule="auto"/>
        <w:rPr>
          <w:b/>
        </w:rPr>
      </w:pPr>
      <w:r w:rsidRPr="00024A7B">
        <w:rPr>
          <w:b/>
        </w:rPr>
        <w:t>Aim:</w:t>
      </w:r>
      <w:r w:rsidR="004C00F7" w:rsidRPr="004C00F7">
        <w:t xml:space="preserve"> </w:t>
      </w:r>
      <w:r w:rsidR="004C00F7" w:rsidRPr="004C00F7">
        <w:rPr>
          <w:highlight w:val="yellow"/>
        </w:rPr>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0B86F12B" w:rsidR="00024A7B" w:rsidRDefault="00024A7B" w:rsidP="008A4E97">
      <w:pPr>
        <w:pStyle w:val="BodyText"/>
        <w:spacing w:line="240" w:lineRule="auto"/>
        <w:rPr>
          <w:b/>
        </w:rPr>
      </w:pPr>
      <w:r>
        <w:rPr>
          <w:b/>
        </w:rPr>
        <w:t>Methods:</w:t>
      </w:r>
      <w:r w:rsidR="004C00F7">
        <w:rPr>
          <w:b/>
        </w:rPr>
        <w:t xml:space="preserve"> </w:t>
      </w:r>
      <w:r w:rsidR="004C00F7" w:rsidRPr="004C00F7">
        <w:rPr>
          <w:highlight w:val="yellow"/>
        </w:rPr>
        <w:t>…</w:t>
      </w:r>
    </w:p>
    <w:p w14:paraId="39C1CEA1" w14:textId="5A953D60" w:rsidR="00024A7B" w:rsidRDefault="00024A7B" w:rsidP="008A4E97">
      <w:pPr>
        <w:pStyle w:val="BodyText"/>
        <w:spacing w:line="240" w:lineRule="auto"/>
        <w:rPr>
          <w:b/>
        </w:rPr>
      </w:pPr>
      <w:r>
        <w:rPr>
          <w:b/>
        </w:rPr>
        <w:t>Results:</w:t>
      </w:r>
      <w:r w:rsidR="004C00F7">
        <w:rPr>
          <w:b/>
        </w:rPr>
        <w:t xml:space="preserve"> </w:t>
      </w:r>
      <w:r w:rsidR="004C00F7" w:rsidRPr="004C00F7">
        <w:rPr>
          <w:highlight w:val="yellow"/>
        </w:rPr>
        <w:t>…</w:t>
      </w:r>
    </w:p>
    <w:p w14:paraId="3D4EE8B5" w14:textId="6FB7F1F9" w:rsidR="00024A7B" w:rsidRDefault="00024A7B" w:rsidP="008A4E97">
      <w:pPr>
        <w:pStyle w:val="BodyText"/>
        <w:spacing w:line="240" w:lineRule="auto"/>
        <w:rPr>
          <w:b/>
        </w:rPr>
      </w:pPr>
      <w:r>
        <w:rPr>
          <w:b/>
        </w:rPr>
        <w:t>Main conclusions:</w:t>
      </w:r>
      <w:r w:rsidR="004C00F7">
        <w:rPr>
          <w:b/>
        </w:rPr>
        <w:t xml:space="preserve"> </w:t>
      </w:r>
      <w:r w:rsidR="004C00F7" w:rsidRPr="004C00F7">
        <w:rPr>
          <w:highlight w:val="yellow"/>
        </w:rPr>
        <w:t>…</w:t>
      </w:r>
    </w:p>
    <w:p w14:paraId="4458AFCC" w14:textId="5032AB62" w:rsidR="00C41A61" w:rsidRDefault="00024A7B" w:rsidP="008A4E97">
      <w:pPr>
        <w:pStyle w:val="BodyText"/>
        <w:spacing w:line="240" w:lineRule="auto"/>
        <w:rPr>
          <w:highlight w:val="yellow"/>
        </w:rPr>
      </w:pPr>
      <w:r>
        <w:rPr>
          <w:i/>
        </w:rPr>
        <w:t>Keywords</w:t>
      </w:r>
      <w:r w:rsidRPr="004C00F7">
        <w:rPr>
          <w:i/>
        </w:rPr>
        <w:t>:</w:t>
      </w:r>
      <w:r w:rsidR="004C00F7" w:rsidRPr="004C00F7">
        <w:t xml:space="preserve"> </w:t>
      </w:r>
      <w:r w:rsidR="004C00F7" w:rsidRPr="004C00F7">
        <w:rPr>
          <w:highlight w:val="yellow"/>
        </w:rPr>
        <w:t>…</w:t>
      </w:r>
    </w:p>
    <w:p w14:paraId="42E5A392" w14:textId="77777777" w:rsidR="00C41A61" w:rsidRDefault="00C41A61">
      <w:pPr>
        <w:rPr>
          <w:rFonts w:asciiTheme="majorBidi" w:hAnsiTheme="majorBidi"/>
          <w:highlight w:val="yellow"/>
        </w:rPr>
      </w:pPr>
      <w:r>
        <w:rPr>
          <w:highlight w:val="yellow"/>
        </w:rPr>
        <w:br w:type="page"/>
      </w:r>
    </w:p>
    <w:p w14:paraId="301CD1AC" w14:textId="58270AF1" w:rsidR="00D04776" w:rsidRDefault="00C408A8" w:rsidP="008A4E97">
      <w:pPr>
        <w:pStyle w:val="Heading1"/>
        <w:spacing w:line="240" w:lineRule="auto"/>
      </w:pPr>
      <w:r>
        <w:lastRenderedPageBreak/>
        <w:t xml:space="preserve">1 </w:t>
      </w:r>
      <w:r w:rsidR="00D04776">
        <w:t>Introduction</w:t>
      </w:r>
    </w:p>
    <w:p w14:paraId="5CA48634" w14:textId="52C440C9"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with physically-heterogeneous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functionally-diverse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1966C32D"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C40608">
        <w:t xml:space="preserve"> </w:t>
      </w:r>
      <w:r w:rsidR="00C40608" w:rsidRPr="00C40608">
        <w:rPr>
          <w:highlight w:val="yellow"/>
        </w:rPr>
        <w:t>XXXX</w:t>
      </w:r>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6664BCB" w14:textId="07808D76" w:rsidR="00FE0731"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w:t>
      </w:r>
      <w:proofErr w:type="spellStart"/>
      <w:r w:rsidR="001C5D8A">
        <w:t>Gioia</w:t>
      </w:r>
      <w:proofErr w:type="spellEnd"/>
      <w:r w:rsidR="001C5D8A">
        <w:t xml:space="preserve">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he R package “</w:t>
      </w:r>
      <w:proofErr w:type="spellStart"/>
      <w:r>
        <w:t>taxize</w:t>
      </w:r>
      <w:proofErr w:type="spellEnd"/>
      <w:r>
        <w:t xml:space="preserv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Pr="009475D4">
        <w:rPr>
          <w:highlight w:val="yellow"/>
        </w:rPr>
        <w:t>XXX</w:t>
      </w:r>
      <w:r>
        <w:t xml:space="preserve"> and </w:t>
      </w:r>
      <w:r w:rsidRPr="009475D4">
        <w:rPr>
          <w:highlight w:val="yellow"/>
        </w:rPr>
        <w:t>XXX</w:t>
      </w:r>
      <w:r>
        <w:t xml:space="preserve"> for the GCFR and SWAFR</w:t>
      </w:r>
      <w:r w:rsidR="00D61D4D">
        <w:t>,</w:t>
      </w:r>
      <w:r>
        <w:t xml:space="preserve"> </w:t>
      </w:r>
      <w:r>
        <w:lastRenderedPageBreak/>
        <w:t>respectively.</w:t>
      </w:r>
      <w:r w:rsidR="000F699D">
        <w:t xml:space="preserve"> </w:t>
      </w:r>
      <w:r w:rsidR="000F59F5">
        <w:t>Using R, t</w:t>
      </w:r>
      <w:r w:rsidR="00A87D09">
        <w:t>he</w:t>
      </w:r>
      <w:r w:rsidR="002314C2">
        <w:t>se</w:t>
      </w:r>
      <w:r w:rsidR="00A87D09">
        <w:t xml:space="preserv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t xml:space="preserve"> </w:t>
      </w:r>
    </w:p>
    <w:p w14:paraId="037F7D6A" w14:textId="4C1745BF" w:rsidR="00FE0731" w:rsidRPr="00FE0731" w:rsidRDefault="00DE7007"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DE7007"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D90C84B" w:rsidR="00364F0A" w:rsidRPr="00B6436E"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092EC089" w:rsidR="00DD2348" w:rsidRDefault="00970650" w:rsidP="008A4E97">
      <w:pPr>
        <w:pStyle w:val="Heading2"/>
        <w:spacing w:line="240" w:lineRule="auto"/>
      </w:pPr>
      <w:r>
        <w:t xml:space="preserve">2.2 </w:t>
      </w:r>
      <w:r w:rsidR="005F0FFB">
        <w:t>Comparing environmental heterogeneity</w:t>
      </w:r>
      <w:bookmarkEnd w:id="3"/>
    </w:p>
    <w:p w14:paraId="16702F9A" w14:textId="551D4C3A"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w:t>
      </w:r>
      <w:proofErr w:type="spellStart"/>
      <w:r w:rsidR="003F1CDD">
        <w:t>summari</w:t>
      </w:r>
      <w:r w:rsidR="00EB34AB">
        <w:t>s</w:t>
      </w:r>
      <w:r w:rsidR="003F1CDD">
        <w:t>ed</w:t>
      </w:r>
      <w:proofErr w:type="spellEnd"/>
      <w:r w:rsidR="003F1CDD">
        <w:t xml:space="preserve">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1CE074D6"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 (</w:t>
      </w:r>
      <w:r w:rsidR="00A5557E">
        <w:t>EDS</w:t>
      </w:r>
      <w:r w:rsidR="00945B71">
        <w:t>)</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7429C" w:rsidRPr="0001739B">
        <w:t xml:space="preserve"> 2016)</w:t>
      </w:r>
      <w:r w:rsidR="00A30A5A">
        <w:t>).</w:t>
      </w:r>
      <w:r w:rsidR="00DE7007">
        <w:t xml:space="preserve"> This index only uses </w:t>
      </w:r>
      <w:proofErr w:type="spellStart"/>
      <w:r w:rsidR="00DE7007">
        <w:t>neighbouring</w:t>
      </w:r>
      <w:proofErr w:type="spellEnd"/>
      <w:r w:rsidR="00DE7007">
        <w:t xml:space="preserve"> pixels to describe heterogeneity, similar to indices implemented in the “terrain” function in “raster”. </w:t>
      </w:r>
      <w:r w:rsidR="00A34738">
        <w:t>However, our index describes heterogeneity within pixels as opposed to between pixels as in “terrain”. The former is comparable with species richness data, and is thus used here.</w:t>
      </w:r>
    </w:p>
    <w:p w14:paraId="4910D4CC" w14:textId="6888FF7A"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w:t>
      </w:r>
      <w:r w:rsidR="00F358D2">
        <w:lastRenderedPageBreak/>
        <w:t xml:space="preserve">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spacing w:line="240" w:lineRule="auto"/>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23BA1837" w14:textId="77777777" w:rsidR="002F092D" w:rsidRDefault="00842DF6" w:rsidP="00DF0226">
      <w:pPr>
        <w:pStyle w:val="FirstParagraph"/>
        <w:spacing w:line="240" w:lineRule="auto"/>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629F252B" w:rsidR="00DF0226" w:rsidRPr="00D67CEB" w:rsidRDefault="00711950" w:rsidP="00DF0226">
      <w:pPr>
        <w:pStyle w:val="FirstParagraph"/>
        <w:spacing w:line="240" w:lineRule="auto"/>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Pr>
          <w:rFonts w:eastAsiaTheme="minorEastAsia"/>
        </w:rPr>
        <w:t>(</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w:t>
      </w:r>
      <w:r w:rsidR="00DF0226">
        <w:rPr>
          <w:rFonts w:eastAsiaTheme="minorEastAsia"/>
        </w:rPr>
        <w:t xml:space="preserve">i.e. when a </w:t>
      </w:r>
      <w:r w:rsidR="00DF0226">
        <w:rPr>
          <w:rFonts w:eastAsiaTheme="minorEastAsia"/>
        </w:rPr>
        <w:t xml:space="preserve">“main effect </w:t>
      </w:r>
      <w:r w:rsidR="00DF0226">
        <w:rPr>
          <w:rFonts w:eastAsiaTheme="minorEastAsia" w:cstheme="majorBidi"/>
        </w:rPr>
        <w:t>×</w:t>
      </w:r>
      <w:r w:rsidR="00DF0226">
        <w:rPr>
          <w:rFonts w:eastAsiaTheme="minorEastAsia"/>
        </w:rPr>
        <w:t xml:space="preserve"> region”</w:t>
      </w:r>
      <w:r w:rsidR="00DF0226">
        <w:rPr>
          <w:rFonts w:eastAsiaTheme="minorEastAsia"/>
        </w:rPr>
        <w:t xml:space="preserve">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674AF808" w14:textId="6AE962DD" w:rsidR="00F614B4" w:rsidRPr="00070D03" w:rsidRDefault="00070D03" w:rsidP="008A4E97">
      <w:pPr>
        <w:pStyle w:val="FirstParagraph"/>
        <w:spacing w:line="240" w:lineRule="auto"/>
      </w:pPr>
      <w:r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simultaneously</w:t>
      </w:r>
      <w:r>
        <w:t xml:space="preserve"> </w:t>
      </w:r>
      <w:r w:rsidRPr="00070D03">
        <w:rPr>
          <w:highlight w:val="yellow"/>
        </w:rPr>
        <w:t>[expand?]</w:t>
      </w:r>
      <w:r w:rsidR="005F0FFB" w:rsidRPr="00070D03">
        <w:t>.</w:t>
      </w:r>
    </w:p>
    <w:p w14:paraId="5B8B0085" w14:textId="1E635DD3" w:rsidR="00D04776" w:rsidRDefault="00DD7307" w:rsidP="008A4E97">
      <w:pPr>
        <w:pStyle w:val="Heading1"/>
        <w:spacing w:line="240" w:lineRule="auto"/>
      </w:pPr>
      <w:bookmarkStart w:id="5" w:name="results"/>
      <w:r>
        <w:lastRenderedPageBreak/>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4C690229" w:rsidR="0060601F" w:rsidRDefault="00A3472A" w:rsidP="008A4E97">
      <w:pPr>
        <w:pStyle w:val="FirstParagraph"/>
        <w:spacing w:line="240" w:lineRule="auto"/>
      </w:pPr>
      <w:r>
        <w:rPr>
          <w:highlight w:val="yellow"/>
        </w:rPr>
        <w:t>We</w:t>
      </w:r>
      <w:r w:rsidR="0060601F" w:rsidRPr="00D96D52">
        <w:rPr>
          <w:highlight w:val="yellow"/>
        </w:rPr>
        <w:t xml:space="preserve"> partitioned </w:t>
      </w:r>
      <w:r w:rsidR="0060601F" w:rsidRPr="00D96D52">
        <w:rPr>
          <w:i/>
          <w:highlight w:val="yellow"/>
        </w:rPr>
        <w:t>S</w:t>
      </w:r>
      <w:r w:rsidR="0060601F" w:rsidRPr="00D96D52">
        <w:rPr>
          <w:highlight w:val="yellow"/>
          <w:vertAlign w:val="subscript"/>
        </w:rPr>
        <w:t>HDS</w:t>
      </w:r>
      <w:r w:rsidR="0060601F" w:rsidRPr="00D96D52">
        <w:rPr>
          <w:highlight w:val="yellow"/>
        </w:rPr>
        <w:t xml:space="preserve"> into its </w:t>
      </w:r>
      <m:oMath>
        <m:r>
          <w:rPr>
            <w:rFonts w:ascii="Cambria Math" w:hAnsi="Cambria Math"/>
            <w:highlight w:val="yellow"/>
          </w:rPr>
          <m:t>α</m:t>
        </m:r>
      </m:oMath>
      <w:r w:rsidR="0060601F" w:rsidRPr="00D96D52">
        <w:rPr>
          <w:highlight w:val="yellow"/>
        </w:rPr>
        <w:t xml:space="preserve">- and </w:t>
      </w:r>
      <m:oMath>
        <m:r>
          <w:rPr>
            <w:rFonts w:ascii="Cambria Math" w:hAnsi="Cambria Math"/>
            <w:highlight w:val="yellow"/>
          </w:rPr>
          <m:t>β</m:t>
        </m:r>
      </m:oMath>
      <w:r w:rsidR="0060601F"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0060601F" w:rsidRPr="00D96D52">
        <w:rPr>
          <w:highlight w:val="yellow"/>
          <w:vertAlign w:val="subscript"/>
        </w:rPr>
        <w:t>QDS</w:t>
      </w:r>
      <w:r w:rsidR="0060601F" w:rsidRPr="00D96D52">
        <w:rPr>
          <w:highlight w:val="yellow"/>
        </w:rPr>
        <w:t xml:space="preserve"> and </w:t>
      </w:r>
      <w:r w:rsidR="0060601F" w:rsidRPr="00D96D52">
        <w:rPr>
          <w:i/>
          <w:highlight w:val="yellow"/>
        </w:rPr>
        <w:t>T</w:t>
      </w:r>
      <w:r w:rsidR="0060601F" w:rsidRPr="00D96D52">
        <w:rPr>
          <w:highlight w:val="yellow"/>
          <w:vertAlign w:val="subscript"/>
        </w:rPr>
        <w:t>QDS</w:t>
      </w:r>
      <w:r w:rsidR="0060601F" w:rsidRPr="00D96D52">
        <w:rPr>
          <w:highlight w:val="yellow"/>
        </w:rPr>
        <w:t xml:space="preserve"> respectively)</w:t>
      </w:r>
      <w:r w:rsidR="00104482">
        <w:rPr>
          <w:highlight w:val="yellow"/>
        </w:rPr>
        <w:t xml:space="preserve">, and demonstrate that </w:t>
      </w:r>
      <w:r w:rsidR="0060601F" w:rsidRPr="00D96D52">
        <w:rPr>
          <w:highlight w:val="yellow"/>
        </w:rPr>
        <w:t xml:space="preserve">almost all HDS in both the GCFR and SWAFR are composed of QDS that only account for no more than ca. 50% of </w:t>
      </w:r>
      <w:r w:rsidR="0060601F" w:rsidRPr="00D96D52">
        <w:rPr>
          <w:i/>
          <w:highlight w:val="yellow"/>
        </w:rPr>
        <w:t>S</w:t>
      </w:r>
      <w:r w:rsidR="0060601F" w:rsidRPr="00D96D52">
        <w:rPr>
          <w:highlight w:val="yellow"/>
          <w:vertAlign w:val="subscript"/>
        </w:rPr>
        <w:t>HDS</w:t>
      </w:r>
      <w:r w:rsidR="0060601F" w:rsidRPr="00D96D52">
        <w:rPr>
          <w:highlight w:val="yellow"/>
        </w:rPr>
        <w:t xml:space="preserve"> (Figure 2a). After accounting for the generally greater </w:t>
      </w:r>
      <w:r w:rsidR="0060601F" w:rsidRPr="00D96D52">
        <w:rPr>
          <w:i/>
          <w:highlight w:val="yellow"/>
        </w:rPr>
        <w:t>S</w:t>
      </w:r>
      <w:r w:rsidR="0060601F" w:rsidRPr="00D96D52">
        <w:rPr>
          <w:highlight w:val="yellow"/>
          <w:vertAlign w:val="subscript"/>
        </w:rPr>
        <w:t>HDS</w:t>
      </w:r>
      <w:r w:rsidR="0060601F" w:rsidRPr="00D96D52">
        <w:rPr>
          <w:highlight w:val="yellow"/>
        </w:rPr>
        <w:t xml:space="preserve"> in the GCFR (Figure 2b), </w:t>
      </w:r>
      <w:r w:rsidR="0060601F" w:rsidRPr="00D96D52">
        <w:rPr>
          <w:i/>
          <w:highlight w:val="yellow"/>
        </w:rPr>
        <w:t>S</w:t>
      </w:r>
      <w:r w:rsidR="0060601F" w:rsidRPr="00D96D52">
        <w:rPr>
          <w:highlight w:val="yellow"/>
          <w:vertAlign w:val="subscript"/>
        </w:rPr>
        <w:t>HDS</w:t>
      </w:r>
      <w:r w:rsidR="0060601F"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30910454"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 xml:space="preserve">MAP, </w:t>
      </w:r>
      <w:r w:rsidR="00CF20C9">
        <w:t>s</w:t>
      </w:r>
      <w:r w:rsidR="00A778BB">
        <w:t>urface T, CEC</w:t>
      </w:r>
      <w:r w:rsidR="00CC3BF9">
        <w:t>,</w:t>
      </w:r>
      <w:r w:rsidR="00A778BB">
        <w:t xml:space="preserve"> </w:t>
      </w:r>
      <w:r w:rsidR="00CF20C9">
        <w:t>s</w:t>
      </w:r>
      <w:r w:rsidR="00A778BB">
        <w:t>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w:t>
      </w:r>
      <w:r w:rsidRPr="00602D3B">
        <w:rPr>
          <w:highlight w:val="yellow"/>
        </w:rPr>
        <w:lastRenderedPageBreak/>
        <w:t xml:space="preserve">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6ADD3F5B" w14:textId="3901C137" w:rsidR="00F8593E" w:rsidRPr="00F8593E" w:rsidRDefault="00F8593E" w:rsidP="008A4E97">
      <w:pPr>
        <w:pStyle w:val="BodyText"/>
        <w:spacing w:line="240" w:lineRule="auto"/>
      </w:pPr>
      <w:r w:rsidRPr="006703E1">
        <w:rPr>
          <w:highlight w:val="yellow"/>
        </w:rP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6" w:name="tables"/>
      <w:r>
        <w:br w:type="page"/>
      </w:r>
    </w:p>
    <w:p w14:paraId="2A345384" w14:textId="77777777" w:rsidR="00D04776" w:rsidRDefault="00D04776" w:rsidP="008A4E97">
      <w:pPr>
        <w:pStyle w:val="Heading1"/>
      </w:pPr>
      <w:r w:rsidRPr="008A4E97">
        <w:lastRenderedPageBreak/>
        <w:t>Tables</w:t>
      </w:r>
      <w:bookmarkEnd w:id="6"/>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3A8CE2DD"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w:t>
      </w:r>
      <w:r w:rsidR="00AB5AE8">
        <w:t>different</w:t>
      </w:r>
      <w:r>
        <w:t xml:space="preserve">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44F8BD6B" w:rsidR="00D04776" w:rsidRPr="0018462C" w:rsidRDefault="00D04776" w:rsidP="0018462C">
            <w:pPr>
              <w:pStyle w:val="Compact"/>
              <w:spacing w:line="240" w:lineRule="auto"/>
              <w:jc w:val="center"/>
            </w:pPr>
            <w:r w:rsidRPr="0018462C">
              <w:t>Model term</w:t>
            </w:r>
            <w:r w:rsidR="0024759A">
              <w:t xml:space="preserve"> (signs and significances)</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single" w:sz="2" w:space="0" w:color="auto"/>
              <w:bottom w:val="dashed" w:sz="4" w:space="0" w:color="auto"/>
            </w:tcBorders>
          </w:tcPr>
          <w:p w14:paraId="49A7566B" w14:textId="77777777" w:rsidR="00D04776" w:rsidRPr="00BA47F0" w:rsidRDefault="00D04776" w:rsidP="0018462C">
            <w:pPr>
              <w:pStyle w:val="Compact"/>
              <w:spacing w:line="240" w:lineRule="auto"/>
              <w:rPr>
                <w:highlight w:val="red"/>
              </w:rPr>
            </w:pPr>
            <w:r w:rsidRPr="00BA47F0">
              <w:rPr>
                <w:highlight w:val="red"/>
              </w:rPr>
              <w:t>MAP</w:t>
            </w:r>
          </w:p>
        </w:tc>
        <w:tc>
          <w:tcPr>
            <w:tcW w:w="710" w:type="dxa"/>
            <w:tcBorders>
              <w:top w:val="single" w:sz="2" w:space="0" w:color="auto"/>
              <w:bottom w:val="dashed" w:sz="4" w:space="0" w:color="auto"/>
            </w:tcBorders>
          </w:tcPr>
          <w:p w14:paraId="33AB2E20"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single" w:sz="2" w:space="0" w:color="auto"/>
              <w:bottom w:val="dashed" w:sz="4" w:space="0" w:color="auto"/>
            </w:tcBorders>
          </w:tcPr>
          <w:p w14:paraId="49154C1A"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single" w:sz="2" w:space="0" w:color="auto"/>
              <w:bottom w:val="dashed" w:sz="4" w:space="0" w:color="auto"/>
            </w:tcBorders>
          </w:tcPr>
          <w:p w14:paraId="5115706A"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single" w:sz="2" w:space="0" w:color="auto"/>
              <w:bottom w:val="dashed" w:sz="4" w:space="0" w:color="auto"/>
            </w:tcBorders>
          </w:tcPr>
          <w:p w14:paraId="3E866CB9" w14:textId="77777777" w:rsidR="00D04776" w:rsidRPr="00BA47F0" w:rsidRDefault="00D04776" w:rsidP="0018462C">
            <w:pPr>
              <w:pStyle w:val="Compact"/>
              <w:spacing w:line="240" w:lineRule="auto"/>
              <w:rPr>
                <w:highlight w:val="red"/>
              </w:rPr>
            </w:pPr>
          </w:p>
        </w:tc>
        <w:tc>
          <w:tcPr>
            <w:tcW w:w="1418" w:type="dxa"/>
            <w:tcBorders>
              <w:top w:val="single" w:sz="2" w:space="0" w:color="auto"/>
              <w:bottom w:val="dashed" w:sz="4" w:space="0" w:color="auto"/>
            </w:tcBorders>
          </w:tcPr>
          <w:p w14:paraId="4605C35B"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top w:val="single" w:sz="2" w:space="0" w:color="auto"/>
              <w:bottom w:val="dashed" w:sz="4" w:space="0" w:color="auto"/>
            </w:tcBorders>
          </w:tcPr>
          <w:p w14:paraId="66246534"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dashed" w:sz="4" w:space="0" w:color="auto"/>
            </w:tcBorders>
          </w:tcPr>
          <w:p w14:paraId="1CA0ADC9" w14:textId="77777777" w:rsidR="00D04776" w:rsidRPr="00BA47F0" w:rsidRDefault="00D04776" w:rsidP="0018462C">
            <w:pPr>
              <w:pStyle w:val="Compact"/>
              <w:spacing w:line="240" w:lineRule="auto"/>
              <w:rPr>
                <w:highlight w:val="red"/>
              </w:rPr>
            </w:pPr>
            <w:r w:rsidRPr="00BA47F0">
              <w:rPr>
                <w:highlight w:val="red"/>
              </w:rPr>
              <w:t>Clay</w:t>
            </w:r>
          </w:p>
        </w:tc>
        <w:tc>
          <w:tcPr>
            <w:tcW w:w="710" w:type="dxa"/>
            <w:tcBorders>
              <w:top w:val="dashed" w:sz="4" w:space="0" w:color="auto"/>
            </w:tcBorders>
          </w:tcPr>
          <w:p w14:paraId="5B37C831"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0607E74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784062B6"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5917CABD"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00C9A0C9"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5229F69E" w14:textId="77777777" w:rsidR="00D04776" w:rsidRPr="00BA47F0" w:rsidRDefault="00D04776" w:rsidP="0018462C">
            <w:pPr>
              <w:pStyle w:val="Compact"/>
              <w:spacing w:line="240" w:lineRule="auto"/>
              <w:rPr>
                <w:highlight w:val="red"/>
              </w:rPr>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6127EFF2" w14:textId="77777777" w:rsidR="00D04776" w:rsidRPr="00BA47F0" w:rsidRDefault="00D04776" w:rsidP="0018462C">
            <w:pPr>
              <w:pStyle w:val="Compact"/>
              <w:spacing w:line="240" w:lineRule="auto"/>
              <w:rPr>
                <w:highlight w:val="red"/>
              </w:rPr>
            </w:pPr>
            <w:r w:rsidRPr="00BA47F0">
              <w:rPr>
                <w:highlight w:val="red"/>
              </w:rPr>
              <w:t>NDVI</w:t>
            </w:r>
          </w:p>
        </w:tc>
        <w:tc>
          <w:tcPr>
            <w:tcW w:w="710" w:type="dxa"/>
            <w:tcBorders>
              <w:bottom w:val="dashed" w:sz="4" w:space="0" w:color="auto"/>
            </w:tcBorders>
          </w:tcPr>
          <w:p w14:paraId="542D077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5E83E699"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05326649"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dashed" w:sz="4" w:space="0" w:color="auto"/>
            </w:tcBorders>
          </w:tcPr>
          <w:p w14:paraId="798AA4CE"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dashed" w:sz="4" w:space="0" w:color="auto"/>
            </w:tcBorders>
          </w:tcPr>
          <w:p w14:paraId="56E16C12"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20FBC47C" w14:textId="77777777" w:rsidR="00D04776" w:rsidRPr="00BA47F0" w:rsidRDefault="00D04776" w:rsidP="0018462C">
            <w:pPr>
              <w:pStyle w:val="Compact"/>
              <w:spacing w:line="240" w:lineRule="auto"/>
              <w:rPr>
                <w:highlight w:val="red"/>
              </w:rPr>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BA47F0" w:rsidRDefault="00D04776" w:rsidP="0018462C">
            <w:pPr>
              <w:pStyle w:val="Compact"/>
              <w:spacing w:line="240" w:lineRule="auto"/>
              <w:rPr>
                <w:highlight w:val="red"/>
              </w:rPr>
            </w:pPr>
            <w:r w:rsidRPr="00BA47F0">
              <w:rPr>
                <w:highlight w:val="red"/>
              </w:rPr>
              <w:t>Main effect only</w:t>
            </w:r>
          </w:p>
        </w:tc>
        <w:tc>
          <w:tcPr>
            <w:tcW w:w="1135" w:type="dxa"/>
            <w:tcBorders>
              <w:top w:val="dashed" w:sz="4" w:space="0" w:color="auto"/>
            </w:tcBorders>
          </w:tcPr>
          <w:p w14:paraId="57790D92" w14:textId="77777777" w:rsidR="00D04776" w:rsidRPr="00BA47F0" w:rsidRDefault="00D04776" w:rsidP="0018462C">
            <w:pPr>
              <w:pStyle w:val="Compact"/>
              <w:spacing w:line="240" w:lineRule="auto"/>
              <w:rPr>
                <w:highlight w:val="red"/>
              </w:rPr>
            </w:pPr>
            <w:r w:rsidRPr="00BA47F0">
              <w:rPr>
                <w:highlight w:val="red"/>
              </w:rPr>
              <w:t>Elevation</w:t>
            </w:r>
          </w:p>
        </w:tc>
        <w:tc>
          <w:tcPr>
            <w:tcW w:w="710" w:type="dxa"/>
            <w:tcBorders>
              <w:top w:val="dashed" w:sz="4" w:space="0" w:color="auto"/>
            </w:tcBorders>
          </w:tcPr>
          <w:p w14:paraId="5A0A858F"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60B2B1E3"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425F43BB" w14:textId="77777777" w:rsidR="00D04776" w:rsidRPr="00BA47F0" w:rsidRDefault="00D04776" w:rsidP="0018462C">
            <w:pPr>
              <w:pStyle w:val="Compact"/>
              <w:spacing w:line="240" w:lineRule="auto"/>
              <w:rPr>
                <w:highlight w:val="red"/>
              </w:rPr>
            </w:pPr>
          </w:p>
        </w:tc>
        <w:tc>
          <w:tcPr>
            <w:tcW w:w="568" w:type="dxa"/>
            <w:tcBorders>
              <w:top w:val="dashed" w:sz="4" w:space="0" w:color="auto"/>
            </w:tcBorders>
          </w:tcPr>
          <w:p w14:paraId="5BB636D9" w14:textId="77777777" w:rsidR="00D04776" w:rsidRPr="00BA47F0" w:rsidRDefault="00D04776" w:rsidP="0018462C">
            <w:pPr>
              <w:pStyle w:val="Compact"/>
              <w:spacing w:line="240" w:lineRule="auto"/>
              <w:rPr>
                <w:highlight w:val="red"/>
              </w:rPr>
            </w:pPr>
          </w:p>
        </w:tc>
        <w:tc>
          <w:tcPr>
            <w:tcW w:w="1418" w:type="dxa"/>
            <w:tcBorders>
              <w:top w:val="dashed" w:sz="4" w:space="0" w:color="auto"/>
            </w:tcBorders>
          </w:tcPr>
          <w:p w14:paraId="7862FB78"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0856263B" w14:textId="77777777" w:rsidR="00D04776" w:rsidRPr="00BA47F0" w:rsidRDefault="00D04776" w:rsidP="0018462C">
            <w:pPr>
              <w:pStyle w:val="Compact"/>
              <w:spacing w:line="240" w:lineRule="auto"/>
              <w:rPr>
                <w:highlight w:val="red"/>
              </w:rPr>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BA47F0" w:rsidRDefault="00D04776" w:rsidP="0018462C">
            <w:pPr>
              <w:pStyle w:val="Compact"/>
              <w:spacing w:line="240" w:lineRule="auto"/>
              <w:rPr>
                <w:highlight w:val="red"/>
              </w:rPr>
            </w:pPr>
          </w:p>
        </w:tc>
        <w:tc>
          <w:tcPr>
            <w:tcW w:w="1135" w:type="dxa"/>
          </w:tcPr>
          <w:p w14:paraId="6BB061E1" w14:textId="77777777" w:rsidR="00D04776" w:rsidRPr="00BA47F0" w:rsidRDefault="00D04776" w:rsidP="0018462C">
            <w:pPr>
              <w:pStyle w:val="Compact"/>
              <w:spacing w:line="240" w:lineRule="auto"/>
              <w:rPr>
                <w:highlight w:val="red"/>
              </w:rPr>
            </w:pPr>
            <w:r w:rsidRPr="00BA47F0">
              <w:rPr>
                <w:highlight w:val="red"/>
              </w:rPr>
              <w:t>PDQ</w:t>
            </w:r>
          </w:p>
        </w:tc>
        <w:tc>
          <w:tcPr>
            <w:tcW w:w="710" w:type="dxa"/>
          </w:tcPr>
          <w:p w14:paraId="68A7F51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0E72530B"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2E87EBF" w14:textId="77777777" w:rsidR="00D04776" w:rsidRPr="00BA47F0" w:rsidRDefault="00D04776" w:rsidP="0018462C">
            <w:pPr>
              <w:pStyle w:val="Compact"/>
              <w:spacing w:line="240" w:lineRule="auto"/>
              <w:rPr>
                <w:highlight w:val="red"/>
              </w:rPr>
            </w:pPr>
          </w:p>
        </w:tc>
        <w:tc>
          <w:tcPr>
            <w:tcW w:w="568" w:type="dxa"/>
          </w:tcPr>
          <w:p w14:paraId="3C53569B" w14:textId="77777777" w:rsidR="00D04776" w:rsidRPr="00BA47F0" w:rsidRDefault="00D04776" w:rsidP="0018462C">
            <w:pPr>
              <w:pStyle w:val="Compact"/>
              <w:spacing w:line="240" w:lineRule="auto"/>
              <w:rPr>
                <w:highlight w:val="red"/>
              </w:rPr>
            </w:pPr>
          </w:p>
        </w:tc>
        <w:tc>
          <w:tcPr>
            <w:tcW w:w="1418" w:type="dxa"/>
          </w:tcPr>
          <w:p w14:paraId="642E3D64" w14:textId="77777777" w:rsidR="00D04776" w:rsidRPr="00BA47F0" w:rsidRDefault="00D04776" w:rsidP="0018462C">
            <w:pPr>
              <w:pStyle w:val="Compact"/>
              <w:spacing w:line="240" w:lineRule="auto"/>
              <w:rPr>
                <w:highlight w:val="red"/>
              </w:rPr>
            </w:pPr>
          </w:p>
        </w:tc>
        <w:tc>
          <w:tcPr>
            <w:tcW w:w="539" w:type="dxa"/>
          </w:tcPr>
          <w:p w14:paraId="5CF6114C" w14:textId="77777777" w:rsidR="00D04776" w:rsidRPr="00BA47F0" w:rsidRDefault="00D04776" w:rsidP="0018462C">
            <w:pPr>
              <w:pStyle w:val="Compact"/>
              <w:spacing w:line="240" w:lineRule="auto"/>
              <w:rPr>
                <w:highlight w:val="red"/>
              </w:rPr>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BA47F0" w:rsidRDefault="00D04776" w:rsidP="0018462C">
            <w:pPr>
              <w:pStyle w:val="Compact"/>
              <w:spacing w:line="240" w:lineRule="auto"/>
              <w:rPr>
                <w:highlight w:val="red"/>
              </w:rPr>
            </w:pPr>
          </w:p>
        </w:tc>
        <w:tc>
          <w:tcPr>
            <w:tcW w:w="1135" w:type="dxa"/>
          </w:tcPr>
          <w:p w14:paraId="45BF851A" w14:textId="77777777" w:rsidR="00D04776" w:rsidRPr="00BA47F0" w:rsidRDefault="00D04776" w:rsidP="0018462C">
            <w:pPr>
              <w:pStyle w:val="Compact"/>
              <w:spacing w:line="240" w:lineRule="auto"/>
              <w:rPr>
                <w:highlight w:val="red"/>
              </w:rPr>
            </w:pPr>
            <w:r w:rsidRPr="00BA47F0">
              <w:rPr>
                <w:highlight w:val="red"/>
              </w:rPr>
              <w:t>Soil C</w:t>
            </w:r>
          </w:p>
        </w:tc>
        <w:tc>
          <w:tcPr>
            <w:tcW w:w="710" w:type="dxa"/>
          </w:tcPr>
          <w:p w14:paraId="5F62032C"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4E2088D3"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12DD853" w14:textId="77777777" w:rsidR="00D04776" w:rsidRPr="00BA47F0" w:rsidRDefault="00D04776" w:rsidP="0018462C">
            <w:pPr>
              <w:pStyle w:val="Compact"/>
              <w:spacing w:line="240" w:lineRule="auto"/>
              <w:rPr>
                <w:highlight w:val="red"/>
              </w:rPr>
            </w:pPr>
          </w:p>
        </w:tc>
        <w:tc>
          <w:tcPr>
            <w:tcW w:w="568" w:type="dxa"/>
          </w:tcPr>
          <w:p w14:paraId="66D0C18A" w14:textId="77777777" w:rsidR="00D04776" w:rsidRPr="00BA47F0" w:rsidRDefault="00D04776" w:rsidP="0018462C">
            <w:pPr>
              <w:pStyle w:val="Compact"/>
              <w:spacing w:line="240" w:lineRule="auto"/>
              <w:rPr>
                <w:highlight w:val="red"/>
              </w:rPr>
            </w:pPr>
          </w:p>
        </w:tc>
        <w:tc>
          <w:tcPr>
            <w:tcW w:w="1418" w:type="dxa"/>
          </w:tcPr>
          <w:p w14:paraId="719DBFB8" w14:textId="77777777" w:rsidR="00D04776" w:rsidRPr="00BA47F0" w:rsidRDefault="00D04776" w:rsidP="0018462C">
            <w:pPr>
              <w:pStyle w:val="Compact"/>
              <w:spacing w:line="240" w:lineRule="auto"/>
              <w:rPr>
                <w:highlight w:val="red"/>
              </w:rPr>
            </w:pPr>
          </w:p>
        </w:tc>
        <w:tc>
          <w:tcPr>
            <w:tcW w:w="539" w:type="dxa"/>
          </w:tcPr>
          <w:p w14:paraId="4BD0E7F6" w14:textId="77777777" w:rsidR="00D04776" w:rsidRPr="00BA47F0" w:rsidRDefault="00D04776" w:rsidP="0018462C">
            <w:pPr>
              <w:pStyle w:val="Compact"/>
              <w:spacing w:line="240" w:lineRule="auto"/>
              <w:rPr>
                <w:highlight w:val="red"/>
              </w:rPr>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BA47F0" w:rsidRDefault="00D04776" w:rsidP="0018462C">
            <w:pPr>
              <w:pStyle w:val="Compact"/>
              <w:spacing w:line="240" w:lineRule="auto"/>
              <w:rPr>
                <w:highlight w:val="red"/>
              </w:rPr>
            </w:pPr>
          </w:p>
        </w:tc>
        <w:tc>
          <w:tcPr>
            <w:tcW w:w="1135" w:type="dxa"/>
          </w:tcPr>
          <w:p w14:paraId="259A2967" w14:textId="77777777" w:rsidR="00D04776" w:rsidRPr="00BA47F0" w:rsidRDefault="00D04776" w:rsidP="0018462C">
            <w:pPr>
              <w:pStyle w:val="Compact"/>
              <w:spacing w:line="240" w:lineRule="auto"/>
              <w:rPr>
                <w:highlight w:val="red"/>
              </w:rPr>
            </w:pPr>
            <w:r w:rsidRPr="00BA47F0">
              <w:rPr>
                <w:highlight w:val="red"/>
              </w:rPr>
              <w:t>Surface T</w:t>
            </w:r>
          </w:p>
        </w:tc>
        <w:tc>
          <w:tcPr>
            <w:tcW w:w="710" w:type="dxa"/>
          </w:tcPr>
          <w:p w14:paraId="2633230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12D33F0D"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4D268D18" w14:textId="77777777" w:rsidR="00D04776" w:rsidRPr="00BA47F0" w:rsidRDefault="00D04776" w:rsidP="0018462C">
            <w:pPr>
              <w:pStyle w:val="Compact"/>
              <w:spacing w:line="240" w:lineRule="auto"/>
              <w:rPr>
                <w:highlight w:val="red"/>
              </w:rPr>
            </w:pPr>
          </w:p>
        </w:tc>
        <w:tc>
          <w:tcPr>
            <w:tcW w:w="568" w:type="dxa"/>
          </w:tcPr>
          <w:p w14:paraId="5AFFB479" w14:textId="77777777" w:rsidR="00D04776" w:rsidRPr="00BA47F0" w:rsidRDefault="00D04776" w:rsidP="0018462C">
            <w:pPr>
              <w:pStyle w:val="Compact"/>
              <w:spacing w:line="240" w:lineRule="auto"/>
              <w:rPr>
                <w:highlight w:val="red"/>
              </w:rPr>
            </w:pPr>
          </w:p>
        </w:tc>
        <w:tc>
          <w:tcPr>
            <w:tcW w:w="1418" w:type="dxa"/>
          </w:tcPr>
          <w:p w14:paraId="1EBB6F3C" w14:textId="77777777" w:rsidR="00D04776" w:rsidRPr="00BA47F0" w:rsidRDefault="00D04776" w:rsidP="0018462C">
            <w:pPr>
              <w:pStyle w:val="Compact"/>
              <w:spacing w:line="240" w:lineRule="auto"/>
              <w:rPr>
                <w:highlight w:val="red"/>
              </w:rPr>
            </w:pPr>
          </w:p>
        </w:tc>
        <w:tc>
          <w:tcPr>
            <w:tcW w:w="539" w:type="dxa"/>
          </w:tcPr>
          <w:p w14:paraId="17A70C25" w14:textId="77777777" w:rsidR="00D04776" w:rsidRPr="00BA47F0" w:rsidRDefault="00D04776" w:rsidP="0018462C">
            <w:pPr>
              <w:pStyle w:val="Compact"/>
              <w:spacing w:line="240" w:lineRule="auto"/>
              <w:rPr>
                <w:highlight w:val="red"/>
              </w:rPr>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16250B69" w14:textId="77777777" w:rsidR="00D04776" w:rsidRPr="00BA47F0" w:rsidRDefault="00D04776" w:rsidP="0018462C">
            <w:pPr>
              <w:pStyle w:val="Compact"/>
              <w:spacing w:line="240" w:lineRule="auto"/>
              <w:rPr>
                <w:highlight w:val="red"/>
              </w:rPr>
            </w:pPr>
            <w:r w:rsidRPr="00BA47F0">
              <w:rPr>
                <w:highlight w:val="red"/>
              </w:rPr>
              <w:t>PC1</w:t>
            </w:r>
          </w:p>
        </w:tc>
        <w:tc>
          <w:tcPr>
            <w:tcW w:w="710" w:type="dxa"/>
            <w:tcBorders>
              <w:bottom w:val="dashed" w:sz="4" w:space="0" w:color="auto"/>
            </w:tcBorders>
          </w:tcPr>
          <w:p w14:paraId="263376B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1F5E0D7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763776E7" w14:textId="77777777" w:rsidR="00D04776" w:rsidRPr="00BA47F0" w:rsidRDefault="00D04776" w:rsidP="0018462C">
            <w:pPr>
              <w:pStyle w:val="Compact"/>
              <w:spacing w:line="240" w:lineRule="auto"/>
              <w:rPr>
                <w:highlight w:val="red"/>
              </w:rPr>
            </w:pPr>
          </w:p>
        </w:tc>
        <w:tc>
          <w:tcPr>
            <w:tcW w:w="568" w:type="dxa"/>
            <w:tcBorders>
              <w:bottom w:val="dashed" w:sz="4" w:space="0" w:color="auto"/>
            </w:tcBorders>
          </w:tcPr>
          <w:p w14:paraId="48D9729B"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590E735B"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1A6C5C1A" w14:textId="77777777" w:rsidR="00D04776" w:rsidRPr="00BA47F0" w:rsidRDefault="00D04776" w:rsidP="0018462C">
            <w:pPr>
              <w:pStyle w:val="Compact"/>
              <w:spacing w:line="240" w:lineRule="auto"/>
              <w:rPr>
                <w:highlight w:val="red"/>
              </w:rPr>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BA47F0" w:rsidRDefault="00D04776" w:rsidP="0018462C">
            <w:pPr>
              <w:pStyle w:val="Compact"/>
              <w:spacing w:line="240" w:lineRule="auto"/>
              <w:rPr>
                <w:highlight w:val="red"/>
              </w:rPr>
            </w:pPr>
            <w:r w:rsidRPr="00BA47F0">
              <w:rPr>
                <w:highlight w:val="red"/>
              </w:rPr>
              <w:t>Region only</w:t>
            </w:r>
          </w:p>
        </w:tc>
        <w:tc>
          <w:tcPr>
            <w:tcW w:w="1135" w:type="dxa"/>
            <w:tcBorders>
              <w:top w:val="dashed" w:sz="4" w:space="0" w:color="auto"/>
            </w:tcBorders>
          </w:tcPr>
          <w:p w14:paraId="1EB903A9" w14:textId="77777777" w:rsidR="00D04776" w:rsidRPr="00BA47F0" w:rsidRDefault="00D04776" w:rsidP="0018462C">
            <w:pPr>
              <w:pStyle w:val="Compact"/>
              <w:spacing w:line="240" w:lineRule="auto"/>
              <w:rPr>
                <w:highlight w:val="red"/>
              </w:rPr>
            </w:pPr>
            <w:r w:rsidRPr="00BA47F0">
              <w:rPr>
                <w:highlight w:val="red"/>
              </w:rPr>
              <w:t>CEC</w:t>
            </w:r>
          </w:p>
        </w:tc>
        <w:tc>
          <w:tcPr>
            <w:tcW w:w="710" w:type="dxa"/>
            <w:tcBorders>
              <w:top w:val="dashed" w:sz="4" w:space="0" w:color="auto"/>
            </w:tcBorders>
          </w:tcPr>
          <w:p w14:paraId="3ACE23B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113CFB99" w14:textId="77777777" w:rsidR="00D04776" w:rsidRPr="00BA47F0" w:rsidRDefault="00D04776" w:rsidP="0018462C">
            <w:pPr>
              <w:pStyle w:val="Compact"/>
              <w:spacing w:line="240" w:lineRule="auto"/>
              <w:rPr>
                <w:highlight w:val="red"/>
              </w:rPr>
            </w:pPr>
          </w:p>
        </w:tc>
        <w:tc>
          <w:tcPr>
            <w:tcW w:w="1417" w:type="dxa"/>
            <w:tcBorders>
              <w:top w:val="dashed" w:sz="4" w:space="0" w:color="auto"/>
            </w:tcBorders>
          </w:tcPr>
          <w:p w14:paraId="6B8CE76F"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179778C6"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290109B1"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27DD82E6" w14:textId="77777777" w:rsidR="00D04776" w:rsidRPr="00BA47F0" w:rsidRDefault="00D04776" w:rsidP="0018462C">
            <w:pPr>
              <w:pStyle w:val="Compact"/>
              <w:spacing w:line="240" w:lineRule="auto"/>
              <w:rPr>
                <w:highlight w:val="red"/>
              </w:rPr>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BA47F0" w:rsidRDefault="00D04776" w:rsidP="0018462C">
            <w:pPr>
              <w:pStyle w:val="Compact"/>
              <w:spacing w:line="240" w:lineRule="auto"/>
              <w:rPr>
                <w:highlight w:val="red"/>
              </w:rPr>
            </w:pPr>
          </w:p>
        </w:tc>
        <w:tc>
          <w:tcPr>
            <w:tcW w:w="1135" w:type="dxa"/>
            <w:tcBorders>
              <w:bottom w:val="single" w:sz="4" w:space="0" w:color="auto"/>
            </w:tcBorders>
          </w:tcPr>
          <w:p w14:paraId="1B192576" w14:textId="77777777" w:rsidR="00D04776" w:rsidRPr="00BA47F0" w:rsidRDefault="00D04776" w:rsidP="0018462C">
            <w:pPr>
              <w:pStyle w:val="Compact"/>
              <w:spacing w:line="240" w:lineRule="auto"/>
              <w:rPr>
                <w:highlight w:val="red"/>
              </w:rPr>
            </w:pPr>
            <w:r w:rsidRPr="00BA47F0">
              <w:rPr>
                <w:highlight w:val="red"/>
              </w:rPr>
              <w:t>pH</w:t>
            </w:r>
          </w:p>
        </w:tc>
        <w:tc>
          <w:tcPr>
            <w:tcW w:w="710" w:type="dxa"/>
            <w:tcBorders>
              <w:bottom w:val="single" w:sz="4" w:space="0" w:color="auto"/>
            </w:tcBorders>
          </w:tcPr>
          <w:p w14:paraId="2EBED717"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single" w:sz="4" w:space="0" w:color="auto"/>
            </w:tcBorders>
          </w:tcPr>
          <w:p w14:paraId="6A4E622C" w14:textId="77777777" w:rsidR="00D04776" w:rsidRPr="00BA47F0" w:rsidRDefault="00D04776" w:rsidP="0018462C">
            <w:pPr>
              <w:pStyle w:val="Compact"/>
              <w:spacing w:line="240" w:lineRule="auto"/>
              <w:rPr>
                <w:highlight w:val="red"/>
              </w:rPr>
            </w:pPr>
          </w:p>
        </w:tc>
        <w:tc>
          <w:tcPr>
            <w:tcW w:w="1417" w:type="dxa"/>
            <w:tcBorders>
              <w:bottom w:val="single" w:sz="4" w:space="0" w:color="auto"/>
            </w:tcBorders>
          </w:tcPr>
          <w:p w14:paraId="5C192380"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single" w:sz="4" w:space="0" w:color="auto"/>
            </w:tcBorders>
          </w:tcPr>
          <w:p w14:paraId="4B73C675"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single" w:sz="4" w:space="0" w:color="auto"/>
            </w:tcBorders>
          </w:tcPr>
          <w:p w14:paraId="339151FE" w14:textId="77777777" w:rsidR="00D04776" w:rsidRPr="00BA47F0" w:rsidRDefault="00D04776" w:rsidP="0018462C">
            <w:pPr>
              <w:pStyle w:val="Compact"/>
              <w:spacing w:line="240" w:lineRule="auto"/>
              <w:rPr>
                <w:highlight w:val="red"/>
              </w:rPr>
            </w:pPr>
          </w:p>
        </w:tc>
        <w:tc>
          <w:tcPr>
            <w:tcW w:w="539" w:type="dxa"/>
            <w:tcBorders>
              <w:bottom w:val="single" w:sz="4" w:space="0" w:color="auto"/>
            </w:tcBorders>
          </w:tcPr>
          <w:p w14:paraId="69034ECB" w14:textId="77777777" w:rsidR="00D04776" w:rsidRPr="00BA47F0" w:rsidRDefault="00D04776" w:rsidP="0018462C">
            <w:pPr>
              <w:pStyle w:val="Compact"/>
              <w:spacing w:line="240" w:lineRule="auto"/>
              <w:rPr>
                <w:highlight w:val="red"/>
              </w:rPr>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BA47F0" w:rsidRDefault="00D04776" w:rsidP="0018462C">
            <w:pPr>
              <w:pStyle w:val="Compact"/>
              <w:spacing w:line="240" w:lineRule="auto"/>
              <w:rPr>
                <w:highlight w:val="red"/>
              </w:rPr>
            </w:pPr>
            <w:r w:rsidRPr="00BA47F0">
              <w:rPr>
                <w:highlight w:val="red"/>
              </w:rPr>
              <w:t>Main effect × region</w:t>
            </w:r>
          </w:p>
        </w:tc>
        <w:tc>
          <w:tcPr>
            <w:tcW w:w="1135" w:type="dxa"/>
            <w:tcBorders>
              <w:top w:val="single" w:sz="4" w:space="0" w:color="auto"/>
            </w:tcBorders>
          </w:tcPr>
          <w:p w14:paraId="7E7DB67D" w14:textId="77777777" w:rsidR="00D04776" w:rsidRPr="00BA47F0" w:rsidRDefault="00D04776" w:rsidP="0018462C">
            <w:pPr>
              <w:pStyle w:val="Compact"/>
              <w:spacing w:line="240" w:lineRule="auto"/>
              <w:rPr>
                <w:highlight w:val="red"/>
              </w:rPr>
            </w:pPr>
            <w:r w:rsidRPr="00BA47F0">
              <w:rPr>
                <w:highlight w:val="red"/>
              </w:rPr>
              <w:t>NDVI</w:t>
            </w:r>
          </w:p>
        </w:tc>
        <w:tc>
          <w:tcPr>
            <w:tcW w:w="710" w:type="dxa"/>
            <w:tcBorders>
              <w:top w:val="single" w:sz="4" w:space="0" w:color="auto"/>
            </w:tcBorders>
          </w:tcPr>
          <w:p w14:paraId="37CEC41C"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single" w:sz="4" w:space="0" w:color="auto"/>
            </w:tcBorders>
          </w:tcPr>
          <w:p w14:paraId="124632D4"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single" w:sz="4" w:space="0" w:color="auto"/>
            </w:tcBorders>
          </w:tcPr>
          <w:p w14:paraId="2A189B86"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single" w:sz="4" w:space="0" w:color="auto"/>
            </w:tcBorders>
          </w:tcPr>
          <w:p w14:paraId="0D13397A"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single" w:sz="4" w:space="0" w:color="auto"/>
            </w:tcBorders>
          </w:tcPr>
          <w:p w14:paraId="3590AFF9"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top w:val="single" w:sz="4" w:space="0" w:color="auto"/>
            </w:tcBorders>
          </w:tcPr>
          <w:p w14:paraId="0ABBB535"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BA47F0" w:rsidRDefault="00D04776" w:rsidP="0018462C">
            <w:pPr>
              <w:pStyle w:val="Compact"/>
              <w:spacing w:line="240" w:lineRule="auto"/>
              <w:rPr>
                <w:highlight w:val="red"/>
              </w:rPr>
            </w:pPr>
          </w:p>
        </w:tc>
        <w:tc>
          <w:tcPr>
            <w:tcW w:w="1135" w:type="dxa"/>
          </w:tcPr>
          <w:p w14:paraId="106891E5" w14:textId="77777777" w:rsidR="00D04776" w:rsidRPr="00BA47F0" w:rsidRDefault="00D04776" w:rsidP="0018462C">
            <w:pPr>
              <w:pStyle w:val="Compact"/>
              <w:spacing w:line="240" w:lineRule="auto"/>
              <w:rPr>
                <w:highlight w:val="red"/>
              </w:rPr>
            </w:pPr>
            <w:r w:rsidRPr="00BA47F0">
              <w:rPr>
                <w:highlight w:val="red"/>
              </w:rPr>
              <w:t>PDQ</w:t>
            </w:r>
          </w:p>
        </w:tc>
        <w:tc>
          <w:tcPr>
            <w:tcW w:w="710" w:type="dxa"/>
          </w:tcPr>
          <w:p w14:paraId="16B1CA79"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3DB133FD"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522434F2"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Pr>
          <w:p w14:paraId="520FFF0E" w14:textId="77777777" w:rsidR="00D04776" w:rsidRPr="00BA47F0" w:rsidRDefault="00D04776" w:rsidP="0018462C">
            <w:pPr>
              <w:pStyle w:val="Compact"/>
              <w:spacing w:line="240" w:lineRule="auto"/>
              <w:rPr>
                <w:highlight w:val="red"/>
              </w:rPr>
            </w:pPr>
          </w:p>
        </w:tc>
        <w:tc>
          <w:tcPr>
            <w:tcW w:w="1418" w:type="dxa"/>
          </w:tcPr>
          <w:p w14:paraId="4AB89F71"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Pr>
          <w:p w14:paraId="27C98659"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172CDE68" w14:textId="77777777" w:rsidR="00D04776" w:rsidRPr="00BA47F0" w:rsidRDefault="00D04776" w:rsidP="0018462C">
            <w:pPr>
              <w:pStyle w:val="Compact"/>
              <w:spacing w:line="240" w:lineRule="auto"/>
              <w:rPr>
                <w:highlight w:val="red"/>
              </w:rPr>
            </w:pPr>
            <w:r w:rsidRPr="00BA47F0">
              <w:rPr>
                <w:highlight w:val="red"/>
              </w:rPr>
              <w:t>Soil C</w:t>
            </w:r>
          </w:p>
        </w:tc>
        <w:tc>
          <w:tcPr>
            <w:tcW w:w="710" w:type="dxa"/>
            <w:tcBorders>
              <w:bottom w:val="dashed" w:sz="4" w:space="0" w:color="auto"/>
            </w:tcBorders>
          </w:tcPr>
          <w:p w14:paraId="2F5CF9E6"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1CEBB649"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19BCDE2C"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dashed" w:sz="4" w:space="0" w:color="auto"/>
            </w:tcBorders>
          </w:tcPr>
          <w:p w14:paraId="7DA3F4AE"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15EEA7FB" w14:textId="77777777" w:rsidR="00D04776" w:rsidRPr="00BA47F0" w:rsidRDefault="00D04776" w:rsidP="0018462C">
            <w:pPr>
              <w:pStyle w:val="Compact"/>
              <w:spacing w:line="240" w:lineRule="auto"/>
              <w:jc w:val="center"/>
              <w:rPr>
                <w:highlight w:val="red"/>
              </w:rPr>
            </w:pPr>
            <w:r w:rsidRPr="00BA47F0">
              <w:rPr>
                <w:highlight w:val="red"/>
              </w:rPr>
              <w:t>–</w:t>
            </w:r>
          </w:p>
        </w:tc>
        <w:tc>
          <w:tcPr>
            <w:tcW w:w="539" w:type="dxa"/>
            <w:tcBorders>
              <w:bottom w:val="dashed" w:sz="4" w:space="0" w:color="auto"/>
            </w:tcBorders>
          </w:tcPr>
          <w:p w14:paraId="7FAF09E4" w14:textId="77777777" w:rsidR="00D04776" w:rsidRPr="00BA47F0" w:rsidRDefault="00D04776" w:rsidP="0018462C">
            <w:pPr>
              <w:pStyle w:val="Compact"/>
              <w:spacing w:line="240" w:lineRule="auto"/>
              <w:rPr>
                <w:highlight w:val="red"/>
              </w:rPr>
            </w:pPr>
            <w:r w:rsidRPr="00BA47F0">
              <w:rPr>
                <w:highlight w:val="red"/>
              </w:rPr>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BA47F0" w:rsidRDefault="00D04776" w:rsidP="0018462C">
            <w:pPr>
              <w:pStyle w:val="Compact"/>
              <w:spacing w:line="240" w:lineRule="auto"/>
              <w:rPr>
                <w:highlight w:val="red"/>
              </w:rPr>
            </w:pPr>
            <w:r w:rsidRPr="00BA47F0">
              <w:rPr>
                <w:highlight w:val="red"/>
              </w:rPr>
              <w:t>Main effect only</w:t>
            </w:r>
          </w:p>
        </w:tc>
        <w:tc>
          <w:tcPr>
            <w:tcW w:w="1135" w:type="dxa"/>
            <w:tcBorders>
              <w:top w:val="dashed" w:sz="4" w:space="0" w:color="auto"/>
            </w:tcBorders>
          </w:tcPr>
          <w:p w14:paraId="52737AA6" w14:textId="77777777" w:rsidR="00D04776" w:rsidRPr="00BA47F0" w:rsidRDefault="00D04776" w:rsidP="0018462C">
            <w:pPr>
              <w:pStyle w:val="Compact"/>
              <w:spacing w:line="240" w:lineRule="auto"/>
              <w:rPr>
                <w:highlight w:val="red"/>
              </w:rPr>
            </w:pPr>
            <w:r w:rsidRPr="00BA47F0">
              <w:rPr>
                <w:highlight w:val="red"/>
              </w:rPr>
              <w:t>Elevation</w:t>
            </w:r>
          </w:p>
        </w:tc>
        <w:tc>
          <w:tcPr>
            <w:tcW w:w="710" w:type="dxa"/>
            <w:tcBorders>
              <w:top w:val="dashed" w:sz="4" w:space="0" w:color="auto"/>
            </w:tcBorders>
          </w:tcPr>
          <w:p w14:paraId="33351E94"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17E2D94D"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top w:val="dashed" w:sz="4" w:space="0" w:color="auto"/>
            </w:tcBorders>
          </w:tcPr>
          <w:p w14:paraId="74B72806" w14:textId="77777777" w:rsidR="00D04776" w:rsidRPr="00BA47F0" w:rsidRDefault="00D04776" w:rsidP="0018462C">
            <w:pPr>
              <w:pStyle w:val="Compact"/>
              <w:spacing w:line="240" w:lineRule="auto"/>
              <w:rPr>
                <w:highlight w:val="red"/>
              </w:rPr>
            </w:pPr>
          </w:p>
        </w:tc>
        <w:tc>
          <w:tcPr>
            <w:tcW w:w="568" w:type="dxa"/>
            <w:tcBorders>
              <w:top w:val="dashed" w:sz="4" w:space="0" w:color="auto"/>
            </w:tcBorders>
          </w:tcPr>
          <w:p w14:paraId="31877234" w14:textId="77777777" w:rsidR="00D04776" w:rsidRPr="00BA47F0" w:rsidRDefault="00D04776" w:rsidP="0018462C">
            <w:pPr>
              <w:pStyle w:val="Compact"/>
              <w:spacing w:line="240" w:lineRule="auto"/>
              <w:rPr>
                <w:highlight w:val="red"/>
              </w:rPr>
            </w:pPr>
          </w:p>
        </w:tc>
        <w:tc>
          <w:tcPr>
            <w:tcW w:w="1418" w:type="dxa"/>
            <w:tcBorders>
              <w:top w:val="dashed" w:sz="4" w:space="0" w:color="auto"/>
            </w:tcBorders>
          </w:tcPr>
          <w:p w14:paraId="343510D4"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72D369FB" w14:textId="77777777" w:rsidR="00D04776" w:rsidRPr="00BA47F0" w:rsidRDefault="00D04776" w:rsidP="0018462C">
            <w:pPr>
              <w:pStyle w:val="Compact"/>
              <w:spacing w:line="240" w:lineRule="auto"/>
              <w:rPr>
                <w:highlight w:val="red"/>
              </w:rPr>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BA47F0" w:rsidRDefault="00D04776" w:rsidP="0018462C">
            <w:pPr>
              <w:pStyle w:val="Compact"/>
              <w:spacing w:line="240" w:lineRule="auto"/>
              <w:rPr>
                <w:highlight w:val="red"/>
              </w:rPr>
            </w:pPr>
          </w:p>
        </w:tc>
        <w:tc>
          <w:tcPr>
            <w:tcW w:w="1135" w:type="dxa"/>
          </w:tcPr>
          <w:p w14:paraId="00DBA767" w14:textId="77777777" w:rsidR="00D04776" w:rsidRPr="00BA47F0" w:rsidRDefault="00D04776" w:rsidP="0018462C">
            <w:pPr>
              <w:pStyle w:val="Compact"/>
              <w:spacing w:line="240" w:lineRule="auto"/>
              <w:rPr>
                <w:highlight w:val="red"/>
              </w:rPr>
            </w:pPr>
            <w:r w:rsidRPr="00BA47F0">
              <w:rPr>
                <w:highlight w:val="red"/>
              </w:rPr>
              <w:t>MAP</w:t>
            </w:r>
          </w:p>
        </w:tc>
        <w:tc>
          <w:tcPr>
            <w:tcW w:w="710" w:type="dxa"/>
          </w:tcPr>
          <w:p w14:paraId="05B1BD0A"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0EADD8F7"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3E6940C6" w14:textId="77777777" w:rsidR="00D04776" w:rsidRPr="00BA47F0" w:rsidRDefault="00D04776" w:rsidP="0018462C">
            <w:pPr>
              <w:pStyle w:val="Compact"/>
              <w:spacing w:line="240" w:lineRule="auto"/>
              <w:rPr>
                <w:highlight w:val="red"/>
              </w:rPr>
            </w:pPr>
          </w:p>
        </w:tc>
        <w:tc>
          <w:tcPr>
            <w:tcW w:w="568" w:type="dxa"/>
          </w:tcPr>
          <w:p w14:paraId="66E6B99C" w14:textId="77777777" w:rsidR="00D04776" w:rsidRPr="00BA47F0" w:rsidRDefault="00D04776" w:rsidP="0018462C">
            <w:pPr>
              <w:pStyle w:val="Compact"/>
              <w:spacing w:line="240" w:lineRule="auto"/>
              <w:rPr>
                <w:highlight w:val="red"/>
              </w:rPr>
            </w:pPr>
          </w:p>
        </w:tc>
        <w:tc>
          <w:tcPr>
            <w:tcW w:w="1418" w:type="dxa"/>
          </w:tcPr>
          <w:p w14:paraId="3C6B853E" w14:textId="77777777" w:rsidR="00D04776" w:rsidRPr="00BA47F0" w:rsidRDefault="00D04776" w:rsidP="0018462C">
            <w:pPr>
              <w:pStyle w:val="Compact"/>
              <w:spacing w:line="240" w:lineRule="auto"/>
              <w:rPr>
                <w:highlight w:val="red"/>
              </w:rPr>
            </w:pPr>
          </w:p>
        </w:tc>
        <w:tc>
          <w:tcPr>
            <w:tcW w:w="539" w:type="dxa"/>
          </w:tcPr>
          <w:p w14:paraId="03E360C3" w14:textId="77777777" w:rsidR="00D04776" w:rsidRPr="00BA47F0" w:rsidRDefault="00D04776" w:rsidP="0018462C">
            <w:pPr>
              <w:pStyle w:val="Compact"/>
              <w:spacing w:line="240" w:lineRule="auto"/>
              <w:rPr>
                <w:highlight w:val="red"/>
              </w:rPr>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BA47F0" w:rsidRDefault="00D04776" w:rsidP="0018462C">
            <w:pPr>
              <w:pStyle w:val="Compact"/>
              <w:spacing w:line="240" w:lineRule="auto"/>
              <w:rPr>
                <w:highlight w:val="red"/>
              </w:rPr>
            </w:pPr>
          </w:p>
        </w:tc>
        <w:tc>
          <w:tcPr>
            <w:tcW w:w="1135" w:type="dxa"/>
          </w:tcPr>
          <w:p w14:paraId="44983026" w14:textId="77777777" w:rsidR="00D04776" w:rsidRPr="00BA47F0" w:rsidRDefault="00D04776" w:rsidP="0018462C">
            <w:pPr>
              <w:pStyle w:val="Compact"/>
              <w:spacing w:line="240" w:lineRule="auto"/>
              <w:rPr>
                <w:highlight w:val="red"/>
              </w:rPr>
            </w:pPr>
            <w:r w:rsidRPr="00BA47F0">
              <w:rPr>
                <w:highlight w:val="red"/>
              </w:rPr>
              <w:t>Surface T</w:t>
            </w:r>
          </w:p>
        </w:tc>
        <w:tc>
          <w:tcPr>
            <w:tcW w:w="710" w:type="dxa"/>
          </w:tcPr>
          <w:p w14:paraId="1D7C08D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3A6BA3DA" w14:textId="77777777" w:rsidR="00D04776" w:rsidRPr="00BA47F0" w:rsidRDefault="00D04776" w:rsidP="0018462C">
            <w:pPr>
              <w:pStyle w:val="Compact"/>
              <w:spacing w:line="240" w:lineRule="auto"/>
              <w:rPr>
                <w:highlight w:val="red"/>
              </w:rPr>
            </w:pPr>
            <w:r w:rsidRPr="00BA47F0">
              <w:rPr>
                <w:highlight w:val="red"/>
              </w:rPr>
              <w:t>***</w:t>
            </w:r>
          </w:p>
        </w:tc>
        <w:tc>
          <w:tcPr>
            <w:tcW w:w="1417" w:type="dxa"/>
          </w:tcPr>
          <w:p w14:paraId="4E79BF2E" w14:textId="77777777" w:rsidR="00D04776" w:rsidRPr="00BA47F0" w:rsidRDefault="00D04776" w:rsidP="0018462C">
            <w:pPr>
              <w:pStyle w:val="Compact"/>
              <w:spacing w:line="240" w:lineRule="auto"/>
              <w:rPr>
                <w:highlight w:val="red"/>
              </w:rPr>
            </w:pPr>
          </w:p>
        </w:tc>
        <w:tc>
          <w:tcPr>
            <w:tcW w:w="568" w:type="dxa"/>
          </w:tcPr>
          <w:p w14:paraId="2FA83183" w14:textId="77777777" w:rsidR="00D04776" w:rsidRPr="00BA47F0" w:rsidRDefault="00D04776" w:rsidP="0018462C">
            <w:pPr>
              <w:pStyle w:val="Compact"/>
              <w:spacing w:line="240" w:lineRule="auto"/>
              <w:rPr>
                <w:highlight w:val="red"/>
              </w:rPr>
            </w:pPr>
          </w:p>
        </w:tc>
        <w:tc>
          <w:tcPr>
            <w:tcW w:w="1418" w:type="dxa"/>
          </w:tcPr>
          <w:p w14:paraId="62803459" w14:textId="77777777" w:rsidR="00D04776" w:rsidRPr="00BA47F0" w:rsidRDefault="00D04776" w:rsidP="0018462C">
            <w:pPr>
              <w:pStyle w:val="Compact"/>
              <w:spacing w:line="240" w:lineRule="auto"/>
              <w:rPr>
                <w:highlight w:val="red"/>
              </w:rPr>
            </w:pPr>
          </w:p>
        </w:tc>
        <w:tc>
          <w:tcPr>
            <w:tcW w:w="539" w:type="dxa"/>
          </w:tcPr>
          <w:p w14:paraId="6B65184A" w14:textId="77777777" w:rsidR="00D04776" w:rsidRPr="00BA47F0" w:rsidRDefault="00D04776" w:rsidP="0018462C">
            <w:pPr>
              <w:pStyle w:val="Compact"/>
              <w:spacing w:line="240" w:lineRule="auto"/>
              <w:rPr>
                <w:highlight w:val="red"/>
              </w:rPr>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BA47F0" w:rsidRDefault="00D04776" w:rsidP="0018462C">
            <w:pPr>
              <w:pStyle w:val="Compact"/>
              <w:spacing w:line="240" w:lineRule="auto"/>
              <w:rPr>
                <w:highlight w:val="red"/>
              </w:rPr>
            </w:pPr>
          </w:p>
        </w:tc>
        <w:tc>
          <w:tcPr>
            <w:tcW w:w="1135" w:type="dxa"/>
            <w:tcBorders>
              <w:bottom w:val="dashed" w:sz="4" w:space="0" w:color="auto"/>
            </w:tcBorders>
          </w:tcPr>
          <w:p w14:paraId="0F4C29CF" w14:textId="77777777" w:rsidR="00D04776" w:rsidRPr="00BA47F0" w:rsidRDefault="00D04776" w:rsidP="0018462C">
            <w:pPr>
              <w:pStyle w:val="Compact"/>
              <w:spacing w:line="240" w:lineRule="auto"/>
              <w:rPr>
                <w:highlight w:val="red"/>
              </w:rPr>
            </w:pPr>
            <w:r w:rsidRPr="00BA47F0">
              <w:rPr>
                <w:highlight w:val="red"/>
              </w:rPr>
              <w:t>PC1</w:t>
            </w:r>
          </w:p>
        </w:tc>
        <w:tc>
          <w:tcPr>
            <w:tcW w:w="710" w:type="dxa"/>
            <w:tcBorders>
              <w:bottom w:val="dashed" w:sz="4" w:space="0" w:color="auto"/>
            </w:tcBorders>
          </w:tcPr>
          <w:p w14:paraId="77ECA1CB"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dashed" w:sz="4" w:space="0" w:color="auto"/>
            </w:tcBorders>
          </w:tcPr>
          <w:p w14:paraId="4C07E068" w14:textId="77777777" w:rsidR="00D04776" w:rsidRPr="00BA47F0" w:rsidRDefault="00D04776" w:rsidP="0018462C">
            <w:pPr>
              <w:pStyle w:val="Compact"/>
              <w:spacing w:line="240" w:lineRule="auto"/>
              <w:rPr>
                <w:highlight w:val="red"/>
              </w:rPr>
            </w:pPr>
            <w:r w:rsidRPr="00BA47F0">
              <w:rPr>
                <w:highlight w:val="red"/>
              </w:rPr>
              <w:t>***</w:t>
            </w:r>
          </w:p>
        </w:tc>
        <w:tc>
          <w:tcPr>
            <w:tcW w:w="1417" w:type="dxa"/>
            <w:tcBorders>
              <w:bottom w:val="dashed" w:sz="4" w:space="0" w:color="auto"/>
            </w:tcBorders>
          </w:tcPr>
          <w:p w14:paraId="6538D2C4" w14:textId="77777777" w:rsidR="00D04776" w:rsidRPr="00BA47F0" w:rsidRDefault="00D04776" w:rsidP="0018462C">
            <w:pPr>
              <w:pStyle w:val="Compact"/>
              <w:spacing w:line="240" w:lineRule="auto"/>
              <w:rPr>
                <w:highlight w:val="red"/>
              </w:rPr>
            </w:pPr>
          </w:p>
        </w:tc>
        <w:tc>
          <w:tcPr>
            <w:tcW w:w="568" w:type="dxa"/>
            <w:tcBorders>
              <w:bottom w:val="dashed" w:sz="4" w:space="0" w:color="auto"/>
            </w:tcBorders>
          </w:tcPr>
          <w:p w14:paraId="4FFA9300" w14:textId="77777777" w:rsidR="00D04776" w:rsidRPr="00BA47F0" w:rsidRDefault="00D04776" w:rsidP="0018462C">
            <w:pPr>
              <w:pStyle w:val="Compact"/>
              <w:spacing w:line="240" w:lineRule="auto"/>
              <w:rPr>
                <w:highlight w:val="red"/>
              </w:rPr>
            </w:pPr>
          </w:p>
        </w:tc>
        <w:tc>
          <w:tcPr>
            <w:tcW w:w="1418" w:type="dxa"/>
            <w:tcBorders>
              <w:bottom w:val="dashed" w:sz="4" w:space="0" w:color="auto"/>
            </w:tcBorders>
          </w:tcPr>
          <w:p w14:paraId="5AE6531F" w14:textId="77777777" w:rsidR="00D04776" w:rsidRPr="00BA47F0" w:rsidRDefault="00D04776" w:rsidP="0018462C">
            <w:pPr>
              <w:pStyle w:val="Compact"/>
              <w:spacing w:line="240" w:lineRule="auto"/>
              <w:rPr>
                <w:highlight w:val="red"/>
              </w:rPr>
            </w:pPr>
          </w:p>
        </w:tc>
        <w:tc>
          <w:tcPr>
            <w:tcW w:w="539" w:type="dxa"/>
            <w:tcBorders>
              <w:bottom w:val="dashed" w:sz="4" w:space="0" w:color="auto"/>
            </w:tcBorders>
          </w:tcPr>
          <w:p w14:paraId="510FAA39" w14:textId="77777777" w:rsidR="00D04776" w:rsidRPr="00BA47F0" w:rsidRDefault="00D04776" w:rsidP="0018462C">
            <w:pPr>
              <w:pStyle w:val="Compact"/>
              <w:spacing w:line="240" w:lineRule="auto"/>
              <w:rPr>
                <w:highlight w:val="red"/>
              </w:rPr>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BA47F0" w:rsidRDefault="00D04776" w:rsidP="0018462C">
            <w:pPr>
              <w:pStyle w:val="Compact"/>
              <w:spacing w:line="240" w:lineRule="auto"/>
              <w:rPr>
                <w:highlight w:val="red"/>
              </w:rPr>
            </w:pPr>
            <w:r w:rsidRPr="00BA47F0">
              <w:rPr>
                <w:highlight w:val="red"/>
              </w:rPr>
              <w:t>Region only</w:t>
            </w:r>
          </w:p>
        </w:tc>
        <w:tc>
          <w:tcPr>
            <w:tcW w:w="1135" w:type="dxa"/>
            <w:tcBorders>
              <w:top w:val="dashed" w:sz="4" w:space="0" w:color="auto"/>
            </w:tcBorders>
          </w:tcPr>
          <w:p w14:paraId="46BDA538" w14:textId="77777777" w:rsidR="00D04776" w:rsidRPr="00BA47F0" w:rsidRDefault="00D04776" w:rsidP="0018462C">
            <w:pPr>
              <w:pStyle w:val="Compact"/>
              <w:spacing w:line="240" w:lineRule="auto"/>
              <w:rPr>
                <w:highlight w:val="red"/>
              </w:rPr>
            </w:pPr>
            <w:r w:rsidRPr="00BA47F0">
              <w:rPr>
                <w:highlight w:val="red"/>
              </w:rPr>
              <w:t>CEC</w:t>
            </w:r>
          </w:p>
        </w:tc>
        <w:tc>
          <w:tcPr>
            <w:tcW w:w="710" w:type="dxa"/>
            <w:tcBorders>
              <w:top w:val="dashed" w:sz="4" w:space="0" w:color="auto"/>
            </w:tcBorders>
          </w:tcPr>
          <w:p w14:paraId="74783313"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top w:val="dashed" w:sz="4" w:space="0" w:color="auto"/>
            </w:tcBorders>
          </w:tcPr>
          <w:p w14:paraId="424C6905" w14:textId="77777777" w:rsidR="00D04776" w:rsidRPr="00BA47F0" w:rsidRDefault="00D04776" w:rsidP="0018462C">
            <w:pPr>
              <w:pStyle w:val="Compact"/>
              <w:spacing w:line="240" w:lineRule="auto"/>
              <w:rPr>
                <w:highlight w:val="red"/>
              </w:rPr>
            </w:pPr>
          </w:p>
        </w:tc>
        <w:tc>
          <w:tcPr>
            <w:tcW w:w="1417" w:type="dxa"/>
            <w:tcBorders>
              <w:top w:val="dashed" w:sz="4" w:space="0" w:color="auto"/>
            </w:tcBorders>
          </w:tcPr>
          <w:p w14:paraId="0865CE3F"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top w:val="dashed" w:sz="4" w:space="0" w:color="auto"/>
            </w:tcBorders>
          </w:tcPr>
          <w:p w14:paraId="44A5E9CE"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top w:val="dashed" w:sz="4" w:space="0" w:color="auto"/>
            </w:tcBorders>
          </w:tcPr>
          <w:p w14:paraId="2C07500A" w14:textId="77777777" w:rsidR="00D04776" w:rsidRPr="00BA47F0" w:rsidRDefault="00D04776" w:rsidP="0018462C">
            <w:pPr>
              <w:pStyle w:val="Compact"/>
              <w:spacing w:line="240" w:lineRule="auto"/>
              <w:rPr>
                <w:highlight w:val="red"/>
              </w:rPr>
            </w:pPr>
          </w:p>
        </w:tc>
        <w:tc>
          <w:tcPr>
            <w:tcW w:w="539" w:type="dxa"/>
            <w:tcBorders>
              <w:top w:val="dashed" w:sz="4" w:space="0" w:color="auto"/>
            </w:tcBorders>
          </w:tcPr>
          <w:p w14:paraId="2F965F0F" w14:textId="77777777" w:rsidR="00D04776" w:rsidRPr="00BA47F0" w:rsidRDefault="00D04776" w:rsidP="0018462C">
            <w:pPr>
              <w:pStyle w:val="Compact"/>
              <w:spacing w:line="240" w:lineRule="auto"/>
              <w:rPr>
                <w:highlight w:val="red"/>
              </w:rPr>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BA47F0" w:rsidRDefault="00D04776" w:rsidP="0018462C">
            <w:pPr>
              <w:pStyle w:val="Compact"/>
              <w:spacing w:line="240" w:lineRule="auto"/>
              <w:rPr>
                <w:highlight w:val="red"/>
              </w:rPr>
            </w:pPr>
          </w:p>
        </w:tc>
        <w:tc>
          <w:tcPr>
            <w:tcW w:w="1135" w:type="dxa"/>
          </w:tcPr>
          <w:p w14:paraId="28DB2945" w14:textId="77777777" w:rsidR="00D04776" w:rsidRPr="00BA47F0" w:rsidRDefault="00D04776" w:rsidP="0018462C">
            <w:pPr>
              <w:pStyle w:val="Compact"/>
              <w:spacing w:line="240" w:lineRule="auto"/>
              <w:rPr>
                <w:highlight w:val="red"/>
              </w:rPr>
            </w:pPr>
            <w:r w:rsidRPr="00BA47F0">
              <w:rPr>
                <w:highlight w:val="red"/>
              </w:rPr>
              <w:t>Clay</w:t>
            </w:r>
          </w:p>
        </w:tc>
        <w:tc>
          <w:tcPr>
            <w:tcW w:w="710" w:type="dxa"/>
          </w:tcPr>
          <w:p w14:paraId="7ACB01E5"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Pr>
          <w:p w14:paraId="5914B97B" w14:textId="77777777" w:rsidR="00D04776" w:rsidRPr="00BA47F0" w:rsidRDefault="00D04776" w:rsidP="0018462C">
            <w:pPr>
              <w:pStyle w:val="Compact"/>
              <w:spacing w:line="240" w:lineRule="auto"/>
              <w:rPr>
                <w:highlight w:val="red"/>
              </w:rPr>
            </w:pPr>
          </w:p>
        </w:tc>
        <w:tc>
          <w:tcPr>
            <w:tcW w:w="1417" w:type="dxa"/>
          </w:tcPr>
          <w:p w14:paraId="0B1C974D"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Pr>
          <w:p w14:paraId="62E522DD" w14:textId="77777777" w:rsidR="00D04776" w:rsidRPr="00BA47F0" w:rsidRDefault="00D04776" w:rsidP="0018462C">
            <w:pPr>
              <w:pStyle w:val="Compact"/>
              <w:spacing w:line="240" w:lineRule="auto"/>
              <w:rPr>
                <w:highlight w:val="red"/>
              </w:rPr>
            </w:pPr>
            <w:r w:rsidRPr="00BA47F0">
              <w:rPr>
                <w:highlight w:val="red"/>
              </w:rPr>
              <w:t>***</w:t>
            </w:r>
          </w:p>
        </w:tc>
        <w:tc>
          <w:tcPr>
            <w:tcW w:w="1418" w:type="dxa"/>
          </w:tcPr>
          <w:p w14:paraId="0B77537A" w14:textId="77777777" w:rsidR="00D04776" w:rsidRPr="00BA47F0" w:rsidRDefault="00D04776" w:rsidP="0018462C">
            <w:pPr>
              <w:pStyle w:val="Compact"/>
              <w:spacing w:line="240" w:lineRule="auto"/>
              <w:rPr>
                <w:highlight w:val="red"/>
              </w:rPr>
            </w:pPr>
          </w:p>
        </w:tc>
        <w:tc>
          <w:tcPr>
            <w:tcW w:w="539" w:type="dxa"/>
          </w:tcPr>
          <w:p w14:paraId="7BCA24F7" w14:textId="77777777" w:rsidR="00D04776" w:rsidRPr="00BA47F0" w:rsidRDefault="00D04776" w:rsidP="0018462C">
            <w:pPr>
              <w:pStyle w:val="Compact"/>
              <w:spacing w:line="240" w:lineRule="auto"/>
              <w:rPr>
                <w:highlight w:val="red"/>
              </w:rPr>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BA47F0" w:rsidRDefault="00D04776" w:rsidP="0018462C">
            <w:pPr>
              <w:pStyle w:val="Compact"/>
              <w:spacing w:line="240" w:lineRule="auto"/>
              <w:rPr>
                <w:highlight w:val="red"/>
              </w:rPr>
            </w:pPr>
          </w:p>
        </w:tc>
        <w:tc>
          <w:tcPr>
            <w:tcW w:w="1135" w:type="dxa"/>
            <w:tcBorders>
              <w:bottom w:val="single" w:sz="4" w:space="0" w:color="auto"/>
            </w:tcBorders>
          </w:tcPr>
          <w:p w14:paraId="12599AD7" w14:textId="77777777" w:rsidR="00D04776" w:rsidRPr="00BA47F0" w:rsidRDefault="00D04776" w:rsidP="0018462C">
            <w:pPr>
              <w:pStyle w:val="Compact"/>
              <w:spacing w:line="240" w:lineRule="auto"/>
              <w:rPr>
                <w:highlight w:val="red"/>
              </w:rPr>
            </w:pPr>
            <w:r w:rsidRPr="00BA47F0">
              <w:rPr>
                <w:highlight w:val="red"/>
              </w:rPr>
              <w:t>pH</w:t>
            </w:r>
          </w:p>
        </w:tc>
        <w:tc>
          <w:tcPr>
            <w:tcW w:w="710" w:type="dxa"/>
            <w:tcBorders>
              <w:bottom w:val="single" w:sz="4" w:space="0" w:color="auto"/>
            </w:tcBorders>
          </w:tcPr>
          <w:p w14:paraId="1295E05B" w14:textId="77777777" w:rsidR="00D04776" w:rsidRPr="00BA47F0" w:rsidRDefault="00D04776" w:rsidP="0018462C">
            <w:pPr>
              <w:pStyle w:val="Compact"/>
              <w:spacing w:line="240" w:lineRule="auto"/>
              <w:jc w:val="center"/>
              <w:rPr>
                <w:highlight w:val="red"/>
              </w:rPr>
            </w:pPr>
            <w:r w:rsidRPr="00BA47F0">
              <w:rPr>
                <w:highlight w:val="red"/>
              </w:rPr>
              <w:t>–</w:t>
            </w:r>
          </w:p>
        </w:tc>
        <w:tc>
          <w:tcPr>
            <w:tcW w:w="708" w:type="dxa"/>
            <w:tcBorders>
              <w:bottom w:val="single" w:sz="4" w:space="0" w:color="auto"/>
            </w:tcBorders>
          </w:tcPr>
          <w:p w14:paraId="1ACCCA05" w14:textId="77777777" w:rsidR="00D04776" w:rsidRPr="00BA47F0" w:rsidRDefault="00D04776" w:rsidP="0018462C">
            <w:pPr>
              <w:pStyle w:val="Compact"/>
              <w:spacing w:line="240" w:lineRule="auto"/>
              <w:rPr>
                <w:highlight w:val="red"/>
              </w:rPr>
            </w:pPr>
          </w:p>
        </w:tc>
        <w:tc>
          <w:tcPr>
            <w:tcW w:w="1417" w:type="dxa"/>
            <w:tcBorders>
              <w:bottom w:val="single" w:sz="4" w:space="0" w:color="auto"/>
            </w:tcBorders>
          </w:tcPr>
          <w:p w14:paraId="3D6ED5D1" w14:textId="77777777" w:rsidR="00D04776" w:rsidRPr="00BA47F0" w:rsidRDefault="00D04776" w:rsidP="0018462C">
            <w:pPr>
              <w:pStyle w:val="Compact"/>
              <w:spacing w:line="240" w:lineRule="auto"/>
              <w:jc w:val="center"/>
              <w:rPr>
                <w:highlight w:val="red"/>
              </w:rPr>
            </w:pPr>
            <w:r w:rsidRPr="00BA47F0">
              <w:rPr>
                <w:highlight w:val="red"/>
              </w:rPr>
              <w:t>–</w:t>
            </w:r>
          </w:p>
        </w:tc>
        <w:tc>
          <w:tcPr>
            <w:tcW w:w="568" w:type="dxa"/>
            <w:tcBorders>
              <w:bottom w:val="single" w:sz="4" w:space="0" w:color="auto"/>
            </w:tcBorders>
          </w:tcPr>
          <w:p w14:paraId="600D8F03" w14:textId="77777777" w:rsidR="00D04776" w:rsidRPr="00BA47F0" w:rsidRDefault="00D04776" w:rsidP="0018462C">
            <w:pPr>
              <w:pStyle w:val="Compact"/>
              <w:spacing w:line="240" w:lineRule="auto"/>
              <w:rPr>
                <w:highlight w:val="red"/>
              </w:rPr>
            </w:pPr>
            <w:r w:rsidRPr="00BA47F0">
              <w:rPr>
                <w:highlight w:val="red"/>
              </w:rPr>
              <w:t>***</w:t>
            </w:r>
          </w:p>
        </w:tc>
        <w:tc>
          <w:tcPr>
            <w:tcW w:w="1418" w:type="dxa"/>
            <w:tcBorders>
              <w:bottom w:val="single" w:sz="4" w:space="0" w:color="auto"/>
            </w:tcBorders>
          </w:tcPr>
          <w:p w14:paraId="03344900" w14:textId="77777777" w:rsidR="00D04776" w:rsidRPr="00BA47F0" w:rsidRDefault="00D04776" w:rsidP="0018462C">
            <w:pPr>
              <w:pStyle w:val="Compact"/>
              <w:spacing w:line="240" w:lineRule="auto"/>
              <w:rPr>
                <w:highlight w:val="red"/>
              </w:rPr>
            </w:pPr>
          </w:p>
        </w:tc>
        <w:tc>
          <w:tcPr>
            <w:tcW w:w="539" w:type="dxa"/>
            <w:tcBorders>
              <w:bottom w:val="single" w:sz="4" w:space="0" w:color="auto"/>
            </w:tcBorders>
          </w:tcPr>
          <w:p w14:paraId="07E12F7D" w14:textId="77777777" w:rsidR="00D04776" w:rsidRPr="00BA47F0" w:rsidRDefault="00D04776" w:rsidP="0018462C">
            <w:pPr>
              <w:pStyle w:val="Compact"/>
              <w:spacing w:line="240" w:lineRule="auto"/>
              <w:rPr>
                <w:highlight w:val="red"/>
              </w:rPr>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7652D562" w:rsidR="00D04776" w:rsidRPr="00BA47F0" w:rsidRDefault="00D04776" w:rsidP="0018462C">
      <w:pPr>
        <w:pStyle w:val="BodyText"/>
        <w:spacing w:line="240" w:lineRule="auto"/>
      </w:pPr>
      <w:r w:rsidRPr="00BA47F0">
        <w:lastRenderedPageBreak/>
        <w:t xml:space="preserve">Table 3: Interpretation of region-specific scale-dependencies </w:t>
      </w:r>
      <w:r w:rsidR="00BE042E" w:rsidRPr="00BA47F0">
        <w:t xml:space="preserve">of the effects of different </w:t>
      </w:r>
      <w:r w:rsidR="00217498" w:rsidRPr="00BA47F0">
        <w:t>axes</w:t>
      </w:r>
      <w:r w:rsidR="00BE042E" w:rsidRPr="00BA47F0">
        <w:t xml:space="preserve"> of environmental heterogeneity on vascular plant species richness (</w:t>
      </w:r>
      <w:r w:rsidR="00BE042E" w:rsidRPr="00BA47F0">
        <w:rPr>
          <w:i/>
        </w:rPr>
        <w:t>S</w:t>
      </w:r>
      <w:r w:rsidR="00BE042E" w:rsidRPr="00BA47F0">
        <w:t xml:space="preserve">) </w:t>
      </w:r>
      <w:r w:rsidR="00994922" w:rsidRPr="00BA47F0">
        <w:t xml:space="preserve">in the Greater Cape Floristic Region (GCFR) and Southwest Australian Floristic Region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E93541" w:rsidRPr="00BA47F0" w14:paraId="65211879" w14:textId="77777777" w:rsidTr="00E93541">
        <w:tc>
          <w:tcPr>
            <w:tcW w:w="2130" w:type="pct"/>
            <w:tcBorders>
              <w:top w:val="single" w:sz="4" w:space="0" w:color="auto"/>
            </w:tcBorders>
            <w:vAlign w:val="bottom"/>
          </w:tcPr>
          <w:p w14:paraId="4EECDFA0" w14:textId="77777777" w:rsidR="00E93541" w:rsidRPr="00BA47F0" w:rsidRDefault="00E93541" w:rsidP="0018462C">
            <w:pPr>
              <w:pStyle w:val="Compact"/>
              <w:spacing w:line="240" w:lineRule="auto"/>
              <w:jc w:val="center"/>
              <w:rPr>
                <w:szCs w:val="20"/>
              </w:rPr>
            </w:pPr>
          </w:p>
        </w:tc>
        <w:tc>
          <w:tcPr>
            <w:tcW w:w="2870" w:type="pct"/>
            <w:gridSpan w:val="2"/>
            <w:tcBorders>
              <w:top w:val="single" w:sz="4" w:space="0" w:color="auto"/>
              <w:bottom w:val="single" w:sz="2" w:space="0" w:color="auto"/>
            </w:tcBorders>
            <w:vAlign w:val="bottom"/>
          </w:tcPr>
          <w:p w14:paraId="2B513313" w14:textId="714067CF" w:rsidR="00E93541" w:rsidRPr="00BA47F0" w:rsidRDefault="003251C7" w:rsidP="00E93541">
            <w:pPr>
              <w:pStyle w:val="Compact"/>
              <w:spacing w:line="240" w:lineRule="auto"/>
              <w:jc w:val="center"/>
              <w:rPr>
                <w:szCs w:val="20"/>
              </w:rPr>
            </w:pPr>
            <w:r w:rsidRPr="00BA47F0">
              <w:rPr>
                <w:szCs w:val="20"/>
              </w:rPr>
              <w:t>Axes</w:t>
            </w:r>
            <w:r w:rsidR="00E93541" w:rsidRPr="00BA47F0">
              <w:rPr>
                <w:szCs w:val="20"/>
              </w:rPr>
              <w:t xml:space="preserve"> of heterogeneity</w:t>
            </w:r>
          </w:p>
        </w:tc>
      </w:tr>
      <w:tr w:rsidR="00D04776" w:rsidRPr="00BA47F0" w14:paraId="1E9A69BD" w14:textId="77777777" w:rsidTr="00E93541">
        <w:tc>
          <w:tcPr>
            <w:tcW w:w="2130" w:type="pct"/>
            <w:tcBorders>
              <w:bottom w:val="single" w:sz="2" w:space="0" w:color="auto"/>
            </w:tcBorders>
            <w:vAlign w:val="bottom"/>
          </w:tcPr>
          <w:p w14:paraId="7E6EA743" w14:textId="77777777" w:rsidR="00D04776" w:rsidRPr="00BA47F0" w:rsidRDefault="00D04776" w:rsidP="0018462C">
            <w:pPr>
              <w:pStyle w:val="Compact"/>
              <w:spacing w:line="240" w:lineRule="auto"/>
              <w:jc w:val="center"/>
              <w:rPr>
                <w:szCs w:val="20"/>
              </w:rPr>
            </w:pPr>
            <w:r w:rsidRPr="00BA47F0">
              <w:rPr>
                <w:szCs w:val="20"/>
              </w:rPr>
              <w:t>Scale-dependence</w:t>
            </w:r>
          </w:p>
        </w:tc>
        <w:tc>
          <w:tcPr>
            <w:tcW w:w="1672" w:type="pct"/>
            <w:tcBorders>
              <w:top w:val="single" w:sz="4" w:space="0" w:color="auto"/>
              <w:bottom w:val="single" w:sz="2" w:space="0" w:color="auto"/>
            </w:tcBorders>
            <w:vAlign w:val="bottom"/>
          </w:tcPr>
          <w:p w14:paraId="7613B5B0" w14:textId="77777777" w:rsidR="00D04776" w:rsidRPr="00BA47F0" w:rsidRDefault="00D04776" w:rsidP="0018462C">
            <w:pPr>
              <w:pStyle w:val="Compact"/>
              <w:spacing w:line="240" w:lineRule="auto"/>
              <w:rPr>
                <w:szCs w:val="20"/>
              </w:rPr>
            </w:pPr>
            <w:r w:rsidRPr="00BA47F0">
              <w:rPr>
                <w:szCs w:val="20"/>
              </w:rPr>
              <w:t>GCFR</w:t>
            </w:r>
          </w:p>
        </w:tc>
        <w:tc>
          <w:tcPr>
            <w:tcW w:w="1198" w:type="pct"/>
            <w:tcBorders>
              <w:top w:val="single" w:sz="4" w:space="0" w:color="auto"/>
              <w:bottom w:val="single" w:sz="2" w:space="0" w:color="auto"/>
            </w:tcBorders>
            <w:vAlign w:val="bottom"/>
          </w:tcPr>
          <w:p w14:paraId="6D2E26FB" w14:textId="77777777" w:rsidR="00D04776" w:rsidRPr="00BA47F0" w:rsidRDefault="00D04776" w:rsidP="0018462C">
            <w:pPr>
              <w:pStyle w:val="Compact"/>
              <w:spacing w:line="240" w:lineRule="auto"/>
              <w:rPr>
                <w:szCs w:val="20"/>
              </w:rPr>
            </w:pPr>
            <w:r w:rsidRPr="00BA47F0">
              <w:rPr>
                <w:szCs w:val="20"/>
              </w:rPr>
              <w:t>SWAFR</w:t>
            </w:r>
          </w:p>
        </w:tc>
      </w:tr>
      <w:tr w:rsidR="00D04776" w:rsidRPr="00BA47F0" w14:paraId="14F49DAF" w14:textId="77777777" w:rsidTr="0018462C">
        <w:tc>
          <w:tcPr>
            <w:tcW w:w="2130" w:type="pct"/>
            <w:tcBorders>
              <w:top w:val="single" w:sz="2" w:space="0" w:color="auto"/>
            </w:tcBorders>
          </w:tcPr>
          <w:p w14:paraId="24D7498F" w14:textId="77777777" w:rsidR="00D04776" w:rsidRPr="00BA47F0" w:rsidRDefault="00D04776" w:rsidP="0018462C">
            <w:pPr>
              <w:pStyle w:val="Compact"/>
              <w:spacing w:line="240" w:lineRule="auto"/>
              <w:jc w:val="center"/>
              <w:rPr>
                <w:szCs w:val="20"/>
              </w:rPr>
            </w:pPr>
            <w:r w:rsidRPr="00BA47F0">
              <w:rPr>
                <w:szCs w:val="20"/>
              </w:rPr>
              <w:t>+</w:t>
            </w:r>
          </w:p>
        </w:tc>
        <w:tc>
          <w:tcPr>
            <w:tcW w:w="1672" w:type="pct"/>
            <w:tcBorders>
              <w:top w:val="single" w:sz="2" w:space="0" w:color="auto"/>
            </w:tcBorders>
          </w:tcPr>
          <w:p w14:paraId="722DBAE1" w14:textId="77777777" w:rsidR="00D04776" w:rsidRPr="00BA47F0" w:rsidRDefault="00D04776" w:rsidP="0018462C">
            <w:pPr>
              <w:pStyle w:val="Compact"/>
              <w:spacing w:line="240" w:lineRule="auto"/>
              <w:rPr>
                <w:szCs w:val="20"/>
                <w:highlight w:val="red"/>
              </w:rPr>
            </w:pPr>
            <w:r w:rsidRPr="00BA47F0">
              <w:rPr>
                <w:szCs w:val="20"/>
                <w:highlight w:val="red"/>
              </w:rPr>
              <w:t>Clay, pH</w:t>
            </w:r>
          </w:p>
        </w:tc>
        <w:tc>
          <w:tcPr>
            <w:tcW w:w="1198" w:type="pct"/>
            <w:tcBorders>
              <w:top w:val="single" w:sz="2" w:space="0" w:color="auto"/>
            </w:tcBorders>
          </w:tcPr>
          <w:p w14:paraId="5F6731F6" w14:textId="77777777" w:rsidR="00D04776" w:rsidRPr="00BA47F0" w:rsidRDefault="00D04776" w:rsidP="0018462C">
            <w:pPr>
              <w:pStyle w:val="Compact"/>
              <w:spacing w:line="240" w:lineRule="auto"/>
              <w:rPr>
                <w:szCs w:val="20"/>
                <w:highlight w:val="red"/>
              </w:rPr>
            </w:pPr>
          </w:p>
        </w:tc>
      </w:tr>
      <w:tr w:rsidR="00D04776" w:rsidRPr="00BA47F0" w14:paraId="03E39A6E" w14:textId="77777777" w:rsidTr="0018462C">
        <w:tc>
          <w:tcPr>
            <w:tcW w:w="2130" w:type="pct"/>
          </w:tcPr>
          <w:p w14:paraId="07520AF5" w14:textId="77777777" w:rsidR="00D04776" w:rsidRPr="00BA47F0" w:rsidRDefault="00D04776" w:rsidP="0018462C">
            <w:pPr>
              <w:pStyle w:val="Compact"/>
              <w:spacing w:line="240" w:lineRule="auto"/>
              <w:jc w:val="center"/>
              <w:rPr>
                <w:szCs w:val="20"/>
              </w:rPr>
            </w:pPr>
            <w:r w:rsidRPr="00BA47F0">
              <w:rPr>
                <w:szCs w:val="20"/>
              </w:rPr>
              <w:t>None</w:t>
            </w:r>
          </w:p>
        </w:tc>
        <w:tc>
          <w:tcPr>
            <w:tcW w:w="1672" w:type="pct"/>
          </w:tcPr>
          <w:p w14:paraId="717B1E4F" w14:textId="77777777" w:rsidR="00D04776" w:rsidRPr="00BA47F0" w:rsidRDefault="00D04776" w:rsidP="0018462C">
            <w:pPr>
              <w:pStyle w:val="Compact"/>
              <w:spacing w:line="240" w:lineRule="auto"/>
              <w:rPr>
                <w:szCs w:val="20"/>
                <w:highlight w:val="red"/>
              </w:rPr>
            </w:pPr>
          </w:p>
        </w:tc>
        <w:tc>
          <w:tcPr>
            <w:tcW w:w="1198" w:type="pct"/>
          </w:tcPr>
          <w:p w14:paraId="1B46BD94" w14:textId="77777777" w:rsidR="00D04776" w:rsidRPr="00BA47F0" w:rsidRDefault="00D04776" w:rsidP="0018462C">
            <w:pPr>
              <w:pStyle w:val="Compact"/>
              <w:spacing w:line="240" w:lineRule="auto"/>
              <w:rPr>
                <w:szCs w:val="20"/>
                <w:highlight w:val="red"/>
              </w:rPr>
            </w:pPr>
            <w:r w:rsidRPr="00BA47F0">
              <w:rPr>
                <w:szCs w:val="20"/>
                <w:highlight w:val="red"/>
              </w:rPr>
              <w:t>CEC</w:t>
            </w:r>
          </w:p>
        </w:tc>
      </w:tr>
      <w:tr w:rsidR="00D04776" w:rsidRPr="00BA47F0" w14:paraId="282CD505" w14:textId="77777777" w:rsidTr="0018462C">
        <w:tc>
          <w:tcPr>
            <w:tcW w:w="2130" w:type="pct"/>
            <w:tcBorders>
              <w:bottom w:val="single" w:sz="4" w:space="0" w:color="auto"/>
            </w:tcBorders>
          </w:tcPr>
          <w:p w14:paraId="4DA82243" w14:textId="77777777" w:rsidR="00D04776" w:rsidRPr="00BA47F0" w:rsidRDefault="00D04776" w:rsidP="0018462C">
            <w:pPr>
              <w:pStyle w:val="Compact"/>
              <w:spacing w:line="240" w:lineRule="auto"/>
              <w:jc w:val="center"/>
              <w:rPr>
                <w:szCs w:val="20"/>
              </w:rPr>
            </w:pPr>
            <w:r w:rsidRPr="00BA47F0">
              <w:rPr>
                <w:szCs w:val="20"/>
              </w:rPr>
              <w:t>–</w:t>
            </w:r>
          </w:p>
        </w:tc>
        <w:tc>
          <w:tcPr>
            <w:tcW w:w="1672" w:type="pct"/>
            <w:tcBorders>
              <w:bottom w:val="single" w:sz="4" w:space="0" w:color="auto"/>
            </w:tcBorders>
          </w:tcPr>
          <w:p w14:paraId="463735F0" w14:textId="77777777" w:rsidR="00D04776" w:rsidRPr="00BA47F0" w:rsidRDefault="00D04776" w:rsidP="0018462C">
            <w:pPr>
              <w:pStyle w:val="Compact"/>
              <w:spacing w:line="240" w:lineRule="auto"/>
              <w:rPr>
                <w:szCs w:val="20"/>
                <w:highlight w:val="red"/>
              </w:rPr>
            </w:pPr>
            <w:r w:rsidRPr="00BA47F0">
              <w:rPr>
                <w:szCs w:val="20"/>
                <w:highlight w:val="red"/>
              </w:rPr>
              <w:t>NDVI, soil C</w:t>
            </w:r>
          </w:p>
        </w:tc>
        <w:tc>
          <w:tcPr>
            <w:tcW w:w="1198" w:type="pct"/>
            <w:tcBorders>
              <w:bottom w:val="single" w:sz="4" w:space="0" w:color="auto"/>
            </w:tcBorders>
          </w:tcPr>
          <w:p w14:paraId="4F1D0A9C" w14:textId="77777777" w:rsidR="00D04776" w:rsidRPr="00BA47F0" w:rsidRDefault="00D04776" w:rsidP="0018462C">
            <w:pPr>
              <w:pStyle w:val="Compact"/>
              <w:spacing w:line="240" w:lineRule="auto"/>
              <w:rPr>
                <w:szCs w:val="20"/>
                <w:highlight w:val="red"/>
              </w:rPr>
            </w:pPr>
            <w:r w:rsidRPr="00BA47F0">
              <w:rPr>
                <w:szCs w:val="20"/>
                <w:highlight w:val="red"/>
              </w:rPr>
              <w:t>PDQ</w:t>
            </w:r>
          </w:p>
        </w:tc>
      </w:tr>
    </w:tbl>
    <w:p w14:paraId="27F5CCE6" w14:textId="7F18580A" w:rsidR="003E7786" w:rsidRPr="0018462C" w:rsidRDefault="00325EB1" w:rsidP="0018462C">
      <w:pPr>
        <w:pStyle w:val="BodyText"/>
        <w:spacing w:before="0" w:line="240" w:lineRule="auto"/>
        <w:rPr>
          <w:sz w:val="32"/>
        </w:rPr>
      </w:pPr>
      <w:bookmarkStart w:id="7" w:name="figures"/>
      <w:r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Pr="00BA47F0">
        <w:rPr>
          <w:szCs w:val="20"/>
        </w:rPr>
        <w:t xml:space="preserve"> in Tables 1 and 2</w:t>
      </w:r>
      <w:r w:rsidR="00DC0A04" w:rsidRPr="00BA47F0">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368DA5D">
            <wp:extent cx="5720440" cy="3960304"/>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4"/>
                    </a:xfrm>
                    <a:prstGeom prst="rect">
                      <a:avLst/>
                    </a:prstGeom>
                    <a:noFill/>
                    <a:ln w="9525">
                      <a:noFill/>
                      <a:headEnd/>
                      <a:tailEnd/>
                    </a:ln>
                  </pic:spPr>
                </pic:pic>
              </a:graphicData>
            </a:graphic>
          </wp:inline>
        </w:drawing>
      </w:r>
    </w:p>
    <w:p w14:paraId="7CB8E9BF" w14:textId="00D5D211" w:rsidR="00D04776" w:rsidRPr="00706CF1" w:rsidRDefault="00D04776" w:rsidP="0018462C">
      <w:pPr>
        <w:pStyle w:val="ImageCaption"/>
        <w:spacing w:line="240" w:lineRule="auto"/>
      </w:pPr>
      <w:r w:rsidRPr="00706CF1">
        <w:rPr>
          <w:highlight w:val="red"/>
        </w:rPr>
        <w:t>Figure 1: Simple linear regressions of the common language effect size (</w:t>
      </w:r>
      <w:r w:rsidRPr="00706CF1">
        <w:rPr>
          <w:i/>
          <w:highlight w:val="red"/>
        </w:rPr>
        <w:t>CLES</w:t>
      </w:r>
      <w:r w:rsidRPr="00706CF1">
        <w:rPr>
          <w:highlight w:val="red"/>
        </w:rPr>
        <w:t xml:space="preserve">; ref) of (a–i) various forms of </w:t>
      </w:r>
      <w:r w:rsidR="007948F4" w:rsidRPr="00706CF1">
        <w:rPr>
          <w:highlight w:val="red"/>
        </w:rPr>
        <w:t>environmental heterogeneity</w:t>
      </w:r>
      <w:r w:rsidRPr="00706CF1">
        <w:rPr>
          <w:highlight w:val="red"/>
        </w:rPr>
        <w:t xml:space="preserve"> and (j) the first principal component of </w:t>
      </w:r>
      <w:r w:rsidR="00FA6E2B" w:rsidRPr="00706CF1">
        <w:rPr>
          <w:highlight w:val="red"/>
        </w:rPr>
        <w:t xml:space="preserve">EH </w:t>
      </w:r>
      <w:r w:rsidRPr="00706CF1">
        <w:rPr>
          <w:highlight w:val="red"/>
        </w:rPr>
        <w:t>(PC1)</w:t>
      </w:r>
      <w:r w:rsidR="004E1D08" w:rsidRPr="00706CF1">
        <w:rPr>
          <w:highlight w:val="red"/>
        </w:rPr>
        <w:t xml:space="preserve"> in the Greater Cape Floristic Region (GCFR) and Southwest Australia</w:t>
      </w:r>
      <w:r w:rsidR="00526608" w:rsidRPr="00706CF1">
        <w:rPr>
          <w:highlight w:val="red"/>
        </w:rPr>
        <w:t>n</w:t>
      </w:r>
      <w:r w:rsidR="004E1D08" w:rsidRPr="00706CF1">
        <w:rPr>
          <w:highlight w:val="red"/>
        </w:rPr>
        <w:t xml:space="preserve"> Floristic Region (SWAFR). T</w:t>
      </w:r>
      <w:r w:rsidRPr="00706CF1">
        <w:rPr>
          <w:highlight w:val="red"/>
        </w:rPr>
        <w:t xml:space="preserve">he </w:t>
      </w:r>
      <w:r w:rsidRPr="00706CF1">
        <w:rPr>
          <w:i/>
          <w:highlight w:val="red"/>
        </w:rPr>
        <w:t>CLES</w:t>
      </w:r>
      <w:r w:rsidRPr="00706CF1">
        <w:rPr>
          <w:highlight w:val="red"/>
        </w:rPr>
        <w:t xml:space="preserve"> </w:t>
      </w:r>
      <w:r w:rsidR="004E1D08" w:rsidRPr="00706CF1">
        <w:rPr>
          <w:highlight w:val="red"/>
        </w:rPr>
        <w:t xml:space="preserve">here </w:t>
      </w:r>
      <w:r w:rsidRPr="00706CF1">
        <w:rPr>
          <w:highlight w:val="red"/>
        </w:rPr>
        <w:t xml:space="preserve">is treated as the effect of GCFR relative to SWAFR values. </w:t>
      </w:r>
      <w:r w:rsidR="00F92E75" w:rsidRPr="00706CF1">
        <w:rPr>
          <w:highlight w:val="red"/>
        </w:rPr>
        <w:t xml:space="preserve">Filled points represent comparisons where the GCFR and SWAFR significantly differed in </w:t>
      </w:r>
      <w:r w:rsidR="00F92E75" w:rsidRPr="00706CF1">
        <w:rPr>
          <w:i/>
          <w:highlight w:val="red"/>
        </w:rPr>
        <w:t>EH</w:t>
      </w:r>
      <w:r w:rsidR="00F92E75" w:rsidRPr="00706CF1">
        <w:rPr>
          <w:highlight w:val="red"/>
        </w:rPr>
        <w:t xml:space="preserve"> (</w:t>
      </w:r>
      <w:r w:rsidR="00F92E75" w:rsidRPr="00706CF1">
        <w:rPr>
          <w:i/>
          <w:highlight w:val="red"/>
        </w:rPr>
        <w:t>P</w:t>
      </w:r>
      <w:r w:rsidR="00F92E75" w:rsidRPr="00706CF1">
        <w:rPr>
          <w:highlight w:val="red"/>
        </w:rPr>
        <w:t xml:space="preserve"> ≤ 0.05, Mann-Whitney </w:t>
      </w:r>
      <w:r w:rsidR="00F92E75" w:rsidRPr="00706CF1">
        <w:rPr>
          <w:i/>
          <w:highlight w:val="red"/>
        </w:rPr>
        <w:t>U</w:t>
      </w:r>
      <w:r w:rsidR="00F92E75" w:rsidRPr="00706CF1">
        <w:rPr>
          <w:highlight w:val="red"/>
        </w:rPr>
        <w:t>-tests)</w:t>
      </w:r>
      <w:r w:rsidR="001530FE" w:rsidRPr="00706CF1">
        <w:rPr>
          <w:highlight w:val="red"/>
        </w:rPr>
        <w:t>, while unfilled points represent those that were not significant (</w:t>
      </w:r>
      <w:r w:rsidR="001530FE" w:rsidRPr="00706CF1">
        <w:rPr>
          <w:i/>
          <w:highlight w:val="red"/>
        </w:rPr>
        <w:t>P</w:t>
      </w:r>
      <w:r w:rsidR="001530FE" w:rsidRPr="00706CF1">
        <w:rPr>
          <w:highlight w:val="red"/>
        </w:rPr>
        <w:t xml:space="preserve"> &gt; 0.05)</w:t>
      </w:r>
      <w:r w:rsidR="00F92E75" w:rsidRPr="00706CF1">
        <w:rPr>
          <w:highlight w:val="red"/>
        </w:rPr>
        <w:t xml:space="preserve">. </w:t>
      </w:r>
      <w:r w:rsidRPr="00706CF1">
        <w:rPr>
          <w:highlight w:val="red"/>
        </w:rPr>
        <w:t>Only significant (</w:t>
      </w:r>
      <w:r w:rsidRPr="00706CF1">
        <w:rPr>
          <w:i/>
          <w:highlight w:val="red"/>
        </w:rPr>
        <w:t>P</w:t>
      </w:r>
      <w:r w:rsidRPr="00706CF1">
        <w:rPr>
          <w:highlight w:val="red"/>
        </w:rPr>
        <w:t xml:space="preserve"> ≤ 0.05) </w:t>
      </w:r>
      <w:r w:rsidR="00F92E75" w:rsidRPr="00706CF1">
        <w:rPr>
          <w:highlight w:val="red"/>
        </w:rPr>
        <w:t>regression lines</w:t>
      </w:r>
      <w:r w:rsidRPr="00706CF1">
        <w:rPr>
          <w:highlight w:val="red"/>
        </w:rPr>
        <w:t xml:space="preserve"> are plotted, with the exception of the fit for CEC, which was plotted in light of its marginal significance (</w:t>
      </w:r>
      <w:r w:rsidRPr="00706CF1">
        <w:rPr>
          <w:i/>
          <w:highlight w:val="red"/>
        </w:rPr>
        <w:t>P</w:t>
      </w:r>
      <w:r w:rsidRPr="00706CF1">
        <w:rPr>
          <w:highlight w:val="red"/>
        </w:rPr>
        <w:t xml:space="preserve"> = 0.06). Grey bands denote 95% confidence intervals about the fitted lines. PC1 accounted for between 43.64 and 46.40% of the variation in </w:t>
      </w:r>
      <w:r w:rsidR="00CA0D48" w:rsidRPr="00706CF1">
        <w:rPr>
          <w:i/>
          <w:highlight w:val="red"/>
        </w:rPr>
        <w:t>EH</w:t>
      </w:r>
      <w:r w:rsidRPr="00706CF1">
        <w:rPr>
          <w:highlight w:val="red"/>
        </w:rPr>
        <w:t xml:space="preserve"> across the five spatial scales at which it was calculated.</w:t>
      </w:r>
      <w:r w:rsidR="00C72741" w:rsidRPr="00706CF1">
        <w:rPr>
          <w:highlight w:val="red"/>
        </w:rPr>
        <w:t xml:space="preserve"> Abbreviations</w:t>
      </w:r>
      <w:r w:rsidR="00FA6E2B" w:rsidRPr="00706CF1">
        <w:rPr>
          <w:highlight w:val="red"/>
        </w:rPr>
        <w:t xml:space="preserve"> of variables</w:t>
      </w:r>
      <w:r w:rsidR="00C72741" w:rsidRPr="00706CF1">
        <w:rPr>
          <w:highlight w:val="red"/>
        </w:rPr>
        <w:t xml:space="preserve"> </w:t>
      </w:r>
      <w:r w:rsidR="000C58EB" w:rsidRPr="00706CF1">
        <w:rPr>
          <w:highlight w:val="red"/>
        </w:rPr>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39A2C1E">
            <wp:extent cx="5577063" cy="4780339"/>
            <wp:effectExtent l="0" t="0" r="508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4780339"/>
                    </a:xfrm>
                    <a:prstGeom prst="rect">
                      <a:avLst/>
                    </a:prstGeom>
                    <a:noFill/>
                    <a:ln w="9525">
                      <a:noFill/>
                      <a:headEnd/>
                      <a:tailEnd/>
                    </a:ln>
                  </pic:spPr>
                </pic:pic>
              </a:graphicData>
            </a:graphic>
          </wp:inline>
        </w:drawing>
      </w:r>
    </w:p>
    <w:p w14:paraId="50234DFC" w14:textId="1C4D1EC4" w:rsidR="00D04776" w:rsidRDefault="00D04776" w:rsidP="0018462C">
      <w:pPr>
        <w:pStyle w:val="ImageCaption"/>
        <w:spacing w:line="240" w:lineRule="auto"/>
      </w:pPr>
      <w:r w:rsidRPr="00706CF1">
        <w:rPr>
          <w:highlight w:val="red"/>
        </w:rPr>
        <w:t xml:space="preserve">Figure 2: </w:t>
      </w:r>
      <w:r w:rsidR="007C706A" w:rsidRPr="00706CF1">
        <w:rPr>
          <w:highlight w:val="red"/>
        </w:rPr>
        <w:t xml:space="preserve">Distributions of (a) HDS- and (b) QDS-scale </w:t>
      </w:r>
      <w:r w:rsidR="00310608" w:rsidRPr="00706CF1">
        <w:rPr>
          <w:highlight w:val="red"/>
        </w:rPr>
        <w:t xml:space="preserve">vascular plant </w:t>
      </w:r>
      <w:r w:rsidR="007C706A" w:rsidRPr="00706CF1">
        <w:rPr>
          <w:highlight w:val="red"/>
        </w:rPr>
        <w:t>species richness</w:t>
      </w:r>
      <w:r w:rsidR="001B40FF" w:rsidRPr="00706CF1">
        <w:rPr>
          <w:highlight w:val="red"/>
        </w:rPr>
        <w:t xml:space="preserve"> in the Greater Cape Floristic Region (GCFR) and Southwest Australian Floristic Region (SWAFR)</w:t>
      </w:r>
      <w:r w:rsidR="007C706A" w:rsidRPr="00706CF1">
        <w:rPr>
          <w:highlight w:val="red"/>
        </w:rPr>
        <w:t xml:space="preserve">. </w:t>
      </w:r>
      <w:r w:rsidRPr="00706CF1">
        <w:rPr>
          <w:highlight w:val="red"/>
        </w:rPr>
        <w:t>(</w:t>
      </w:r>
      <w:r w:rsidR="007C706A" w:rsidRPr="00706CF1">
        <w:rPr>
          <w:highlight w:val="red"/>
        </w:rPr>
        <w:t>c</w:t>
      </w:r>
      <w:r w:rsidRPr="00706CF1">
        <w:rPr>
          <w:highlight w:val="red"/>
        </w:rPr>
        <w:t>) Scatter plot of mean QDS-scale richness (</w:t>
      </w:r>
      <m:oMath>
        <m:bar>
          <m:barPr>
            <m:pos m:val="top"/>
            <m:ctrlPr>
              <w:rPr>
                <w:rFonts w:ascii="Cambria Math" w:hAnsi="Cambria Math"/>
                <w:highlight w:val="red"/>
              </w:rPr>
            </m:ctrlPr>
          </m:barPr>
          <m:e>
            <m:r>
              <w:rPr>
                <w:rFonts w:ascii="Cambria Math" w:hAnsi="Cambria Math"/>
                <w:highlight w:val="red"/>
              </w:rPr>
              <m:t>S</m:t>
            </m:r>
          </m:e>
        </m:bar>
      </m:oMath>
      <w:r w:rsidRPr="00706CF1">
        <w:rPr>
          <w:highlight w:val="red"/>
          <w:vertAlign w:val="subscript"/>
        </w:rPr>
        <w:t>QDS</w:t>
      </w:r>
      <w:r w:rsidRPr="00706CF1">
        <w:rPr>
          <w:highlight w:val="red"/>
        </w:rPr>
        <w:t>) and turnover (</w:t>
      </w:r>
      <w:r w:rsidRPr="00706CF1">
        <w:rPr>
          <w:i/>
          <w:highlight w:val="red"/>
        </w:rPr>
        <w:t>T</w:t>
      </w:r>
      <w:r w:rsidRPr="00706CF1">
        <w:rPr>
          <w:highlight w:val="red"/>
          <w:vertAlign w:val="subscript"/>
        </w:rPr>
        <w:t>QDS</w:t>
      </w:r>
      <w:r w:rsidR="000611F5" w:rsidRPr="00706CF1">
        <w:rPr>
          <w:highlight w:val="red"/>
        </w:rPr>
        <w:t>; Equation 1)</w:t>
      </w:r>
      <w:r w:rsidRPr="00706CF1">
        <w:rPr>
          <w:highlight w:val="red"/>
        </w:rPr>
        <w:t xml:space="preserve"> with contour lines denoting the </w:t>
      </w:r>
      <w:r w:rsidRPr="00706CF1">
        <w:rPr>
          <w:i/>
          <w:highlight w:val="red"/>
        </w:rPr>
        <w:t>S</w:t>
      </w:r>
      <w:r w:rsidRPr="00706CF1">
        <w:rPr>
          <w:highlight w:val="red"/>
          <w:vertAlign w:val="subscript"/>
        </w:rPr>
        <w:t>HDS</w:t>
      </w:r>
      <w:r w:rsidRPr="00706CF1">
        <w:rPr>
          <w:highlight w:val="red"/>
        </w:rPr>
        <w:t xml:space="preserve"> that arise</w:t>
      </w:r>
      <w:r w:rsidR="001B40FF" w:rsidRPr="00706CF1">
        <w:rPr>
          <w:highlight w:val="red"/>
        </w:rPr>
        <w:t>s</w:t>
      </w:r>
      <w:r w:rsidRPr="00706CF1">
        <w:rPr>
          <w:highlight w:val="red"/>
        </w:rPr>
        <w:t xml:space="preserve"> as their sum (i.e. increasing from lower-left to upper-right). </w:t>
      </w:r>
      <w:r w:rsidR="007C706A" w:rsidRPr="00706CF1">
        <w:rPr>
          <w:highlight w:val="red"/>
        </w:rPr>
        <w:t xml:space="preserve">(d) The distribution of the turnover partition of </w:t>
      </w:r>
      <w:r w:rsidR="007C706A" w:rsidRPr="00706CF1">
        <w:rPr>
          <w:i/>
          <w:iCs/>
          <w:highlight w:val="red"/>
        </w:rPr>
        <w:t>S</w:t>
      </w:r>
      <w:r w:rsidR="007C706A" w:rsidRPr="00706CF1">
        <w:rPr>
          <w:highlight w:val="red"/>
          <w:vertAlign w:val="subscript"/>
        </w:rPr>
        <w:t>HDS</w:t>
      </w:r>
      <w:r w:rsidR="007C706A" w:rsidRPr="00706CF1">
        <w:rPr>
          <w:highlight w:val="red"/>
        </w:rPr>
        <w:t>, expressed as a proportion (</w:t>
      </w:r>
      <w:r w:rsidR="007C706A" w:rsidRPr="00706CF1">
        <w:rPr>
          <w:i/>
          <w:highlight w:val="red"/>
        </w:rPr>
        <w:t>T</w:t>
      </w:r>
      <w:r w:rsidR="007C706A" w:rsidRPr="00706CF1">
        <w:rPr>
          <w:highlight w:val="red"/>
          <w:vertAlign w:val="subscript"/>
        </w:rPr>
        <w:t>QDS</w:t>
      </w:r>
      <w:r w:rsidR="007C706A" w:rsidRPr="00706CF1">
        <w:rPr>
          <w:highlight w:val="red"/>
        </w:rPr>
        <w:t xml:space="preserve"> / </w:t>
      </w:r>
      <w:r w:rsidR="007C706A" w:rsidRPr="00706CF1">
        <w:rPr>
          <w:i/>
          <w:highlight w:val="red"/>
        </w:rPr>
        <w:t>S</w:t>
      </w:r>
      <w:r w:rsidR="007C706A" w:rsidRPr="00706CF1">
        <w:rPr>
          <w:highlight w:val="red"/>
          <w:vertAlign w:val="subscript"/>
        </w:rPr>
        <w:t>HDS</w:t>
      </w:r>
      <w:r w:rsidR="007C706A" w:rsidRPr="00706CF1">
        <w:rPr>
          <w:highlight w:val="red"/>
        </w:rPr>
        <w:t>).</w:t>
      </w:r>
      <w:r w:rsidRPr="00706CF1">
        <w:rPr>
          <w:highlight w:val="red"/>
        </w:rPr>
        <w:t xml:space="preserve"> </w:t>
      </w:r>
      <w:r w:rsidR="002626CC" w:rsidRPr="00706CF1">
        <w:rPr>
          <w:i/>
          <w:highlight w:val="red"/>
        </w:rPr>
        <w:t>P</w:t>
      </w:r>
      <w:r w:rsidR="002626CC" w:rsidRPr="00706CF1">
        <w:rPr>
          <w:highlight w:val="red"/>
        </w:rPr>
        <w:t xml:space="preserve">-values inset (a,b,d) are from two-sided Mann-Whitney </w:t>
      </w:r>
      <w:r w:rsidR="002626CC" w:rsidRPr="00706CF1">
        <w:rPr>
          <w:i/>
          <w:highlight w:val="red"/>
        </w:rPr>
        <w:t>U</w:t>
      </w:r>
      <w:r w:rsidR="002626CC" w:rsidRPr="00706CF1">
        <w:rPr>
          <w:highlight w:val="red"/>
        </w:rPr>
        <w:t xml:space="preserve">-tests. </w:t>
      </w:r>
      <w:r w:rsidR="00036900" w:rsidRPr="00706CF1">
        <w:rPr>
          <w:highlight w:val="red"/>
        </w:rPr>
        <w:t>Common language effect size (</w:t>
      </w:r>
      <w:r w:rsidRPr="00706CF1">
        <w:rPr>
          <w:i/>
          <w:highlight w:val="red"/>
        </w:rPr>
        <w:t>CLES</w:t>
      </w:r>
      <w:r w:rsidR="00036900" w:rsidRPr="00706CF1">
        <w:rPr>
          <w:highlight w:val="red"/>
        </w:rPr>
        <w:t xml:space="preserve">) </w:t>
      </w:r>
      <w:r w:rsidRPr="00706CF1">
        <w:rPr>
          <w:highlight w:val="red"/>
        </w:rPr>
        <w:t xml:space="preserve">values inset </w:t>
      </w:r>
      <w:r w:rsidR="002626CC" w:rsidRPr="00706CF1">
        <w:rPr>
          <w:highlight w:val="red"/>
        </w:rPr>
        <w:t xml:space="preserve">(a,b,d) </w:t>
      </w:r>
      <w:r w:rsidRPr="00706CF1">
        <w:rPr>
          <w:highlight w:val="red"/>
        </w:rPr>
        <w:t>are for comparisons where GCFR values are greater than SWAFR values</w:t>
      </w:r>
      <w:r w:rsidR="00036900" w:rsidRPr="00706CF1">
        <w:rPr>
          <w:highlight w:val="red"/>
        </w:rPr>
        <w:t>, as in Figure 1</w:t>
      </w:r>
      <w:r w:rsidRPr="00706CF1">
        <w:rPr>
          <w:highlight w:val="red"/>
        </w:rPr>
        <w:t>.</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0A38E33">
            <wp:extent cx="5966048" cy="255687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6048" cy="2556877"/>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rsidRPr="00706CF1">
        <w:rPr>
          <w:highlight w:val="red"/>
        </w:rPr>
        <w:t xml:space="preserve">Figure 3: </w:t>
      </w:r>
      <w:r w:rsidR="004D7400" w:rsidRPr="00706CF1">
        <w:rPr>
          <w:highlight w:val="red"/>
        </w:rPr>
        <w:t>S</w:t>
      </w:r>
      <w:r w:rsidRPr="00706CF1">
        <w:rPr>
          <w:highlight w:val="red"/>
        </w:rPr>
        <w:t xml:space="preserve">imple linear regressions of </w:t>
      </w:r>
      <w:r w:rsidR="00132E42" w:rsidRPr="00706CF1">
        <w:rPr>
          <w:highlight w:val="red"/>
        </w:rPr>
        <w:t xml:space="preserve">vascular plant species richness as </w:t>
      </w:r>
      <w:r w:rsidRPr="00706CF1">
        <w:rPr>
          <w:highlight w:val="red"/>
        </w:rPr>
        <w:t xml:space="preserve">(a) </w:t>
      </w:r>
      <w:r w:rsidRPr="00706CF1">
        <w:rPr>
          <w:i/>
          <w:highlight w:val="red"/>
        </w:rPr>
        <w:t>S</w:t>
      </w:r>
      <w:r w:rsidRPr="00706CF1">
        <w:rPr>
          <w:highlight w:val="red"/>
          <w:vertAlign w:val="subscript"/>
        </w:rPr>
        <w:t>HDS</w:t>
      </w:r>
      <w:r w:rsidRPr="00706CF1">
        <w:rPr>
          <w:highlight w:val="red"/>
        </w:rPr>
        <w:t xml:space="preserve"> (</w:t>
      </w:r>
      <w:r w:rsidRPr="00706CF1">
        <w:rPr>
          <w:i/>
          <w:highlight w:val="red"/>
        </w:rPr>
        <w:t>R</w:t>
      </w:r>
      <w:r w:rsidRPr="00706CF1">
        <w:rPr>
          <w:highlight w:val="red"/>
          <w:vertAlign w:val="superscript"/>
        </w:rPr>
        <w:t>2</w:t>
      </w:r>
      <w:r w:rsidRPr="00706CF1">
        <w:rPr>
          <w:highlight w:val="red"/>
        </w:rPr>
        <w:t xml:space="preserve"> = 0.23) and (b) </w:t>
      </w:r>
      <w:r w:rsidRPr="00706CF1">
        <w:rPr>
          <w:i/>
          <w:highlight w:val="red"/>
        </w:rPr>
        <w:t>S</w:t>
      </w:r>
      <w:r w:rsidRPr="00706CF1">
        <w:rPr>
          <w:highlight w:val="red"/>
          <w:vertAlign w:val="subscript"/>
        </w:rPr>
        <w:t>QDS</w:t>
      </w:r>
      <w:r w:rsidRPr="00706CF1">
        <w:rPr>
          <w:highlight w:val="red"/>
        </w:rPr>
        <w:t xml:space="preserve"> (</w:t>
      </w:r>
      <w:r w:rsidRPr="00706CF1">
        <w:rPr>
          <w:i/>
          <w:highlight w:val="red"/>
        </w:rPr>
        <w:t>R</w:t>
      </w:r>
      <w:r w:rsidRPr="00706CF1">
        <w:rPr>
          <w:highlight w:val="red"/>
          <w:vertAlign w:val="superscript"/>
        </w:rPr>
        <w:t>2</w:t>
      </w:r>
      <w:r w:rsidRPr="00706CF1">
        <w:rPr>
          <w:highlight w:val="red"/>
        </w:rPr>
        <w:t xml:space="preserve"> = 0.15) against each respective scale’s </w:t>
      </w:r>
      <w:r w:rsidR="00132E42" w:rsidRPr="00706CF1">
        <w:rPr>
          <w:highlight w:val="red"/>
        </w:rPr>
        <w:t>first principle component</w:t>
      </w:r>
      <w:r w:rsidR="00D1761D" w:rsidRPr="00706CF1">
        <w:rPr>
          <w:highlight w:val="red"/>
        </w:rPr>
        <w:t xml:space="preserve"> (PC1)</w:t>
      </w:r>
      <w:r w:rsidR="00132E42" w:rsidRPr="00706CF1">
        <w:rPr>
          <w:highlight w:val="red"/>
        </w:rPr>
        <w:t xml:space="preserve"> of environmental heterogeneity </w:t>
      </w:r>
      <w:r w:rsidR="00D1761D" w:rsidRPr="00706CF1">
        <w:rPr>
          <w:highlight w:val="red"/>
        </w:rPr>
        <w:t>(</w:t>
      </w:r>
      <w:r w:rsidR="00D1761D" w:rsidRPr="00706CF1">
        <w:rPr>
          <w:i/>
          <w:highlight w:val="red"/>
        </w:rPr>
        <w:t>EH</w:t>
      </w:r>
      <w:r w:rsidR="00CF50C3" w:rsidRPr="00706CF1">
        <w:rPr>
          <w:highlight w:val="red"/>
        </w:rPr>
        <w:t>; Equation 3</w:t>
      </w:r>
      <w:r w:rsidR="00D1761D" w:rsidRPr="00706CF1">
        <w:rPr>
          <w:highlight w:val="red"/>
        </w:rPr>
        <w:t xml:space="preserve">) </w:t>
      </w:r>
      <w:r w:rsidR="00132E42" w:rsidRPr="00706CF1">
        <w:rPr>
          <w:highlight w:val="red"/>
        </w:rPr>
        <w:t>in the Greater Cape Floristic Region (GCFR) and Southwest Australian Floristic Region (SWAFR)</w:t>
      </w:r>
      <w:r w:rsidRPr="00706CF1">
        <w:rPr>
          <w:highlight w:val="red"/>
        </w:rPr>
        <w:t>. Grey bands denote 95% confidence intervals</w:t>
      </w:r>
      <w:r w:rsidR="00132E42" w:rsidRPr="00706CF1">
        <w:rPr>
          <w:highlight w:val="red"/>
        </w:rPr>
        <w:t xml:space="preserve"> about the fitted lines</w:t>
      </w:r>
      <w:r w:rsidRPr="00706CF1">
        <w:rPr>
          <w:highlight w:val="red"/>
        </w:rPr>
        <w:t xml:space="preserve">. When calculated at the QDS-scale, PC1 explained 39.86% of the variation in </w:t>
      </w:r>
      <w:r w:rsidR="00DC49DA" w:rsidRPr="00706CF1">
        <w:rPr>
          <w:highlight w:val="red"/>
        </w:rPr>
        <w:t>EH</w:t>
      </w:r>
      <w:r w:rsidRPr="00706CF1">
        <w:rPr>
          <w:highlight w:val="red"/>
        </w:rPr>
        <w:t xml:space="preserve">, while at the HDS-scale PC1 explained 41.55% of the variation in </w:t>
      </w:r>
      <w:r w:rsidR="005F03CE" w:rsidRPr="00706CF1">
        <w:rPr>
          <w:i/>
          <w:highlight w:val="red"/>
        </w:rPr>
        <w:t>EH</w:t>
      </w:r>
      <w:r w:rsidRPr="00706CF1">
        <w:rPr>
          <w:highlight w:val="red"/>
        </w:rP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B436CB3">
            <wp:extent cx="5939624" cy="5091106"/>
            <wp:effectExtent l="0" t="0" r="4445"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65061" cy="5112909"/>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bookmarkStart w:id="8" w:name="_GoBack"/>
      <w:bookmarkEnd w:id="8"/>
      <w:r w:rsidRPr="00706CF1">
        <w:rPr>
          <w:highlight w:val="red"/>
        </w:rPr>
        <w:t xml:space="preserve">Figure 4: Slope estimates </w:t>
      </w:r>
      <w:r w:rsidR="00FD18C0" w:rsidRPr="00706CF1">
        <w:rPr>
          <w:highlight w:val="red"/>
        </w:rPr>
        <w:t xml:space="preserve">from </w:t>
      </w:r>
      <w:r w:rsidRPr="00706CF1">
        <w:rPr>
          <w:highlight w:val="red"/>
        </w:rPr>
        <w:t xml:space="preserve">multiple linear regressions of </w:t>
      </w:r>
      <w:r w:rsidR="00466172" w:rsidRPr="00706CF1">
        <w:rPr>
          <w:highlight w:val="red"/>
        </w:rPr>
        <w:t xml:space="preserve">vascular plant species richness as </w:t>
      </w:r>
      <w:r w:rsidRPr="00706CF1">
        <w:rPr>
          <w:highlight w:val="red"/>
        </w:rPr>
        <w:t xml:space="preserve">(a) </w:t>
      </w:r>
      <w:r w:rsidRPr="00706CF1">
        <w:rPr>
          <w:i/>
          <w:highlight w:val="red"/>
        </w:rPr>
        <w:t>S</w:t>
      </w:r>
      <w:r w:rsidRPr="00706CF1">
        <w:rPr>
          <w:highlight w:val="red"/>
          <w:vertAlign w:val="subscript"/>
        </w:rPr>
        <w:t>HDS</w:t>
      </w:r>
      <w:r w:rsidRPr="00706CF1">
        <w:rPr>
          <w:highlight w:val="red"/>
        </w:rPr>
        <w:t xml:space="preserve"> (</w:t>
      </w:r>
      <w:r w:rsidRPr="00706CF1">
        <w:rPr>
          <w:i/>
          <w:highlight w:val="red"/>
        </w:rPr>
        <w:t>R</w:t>
      </w:r>
      <w:r w:rsidRPr="00706CF1">
        <w:rPr>
          <w:highlight w:val="red"/>
          <w:vertAlign w:val="superscript"/>
        </w:rPr>
        <w:t>2</w:t>
      </w:r>
      <w:r w:rsidRPr="00706CF1">
        <w:rPr>
          <w:highlight w:val="red"/>
          <w:vertAlign w:val="subscript"/>
        </w:rPr>
        <w:t>adj</w:t>
      </w:r>
      <w:r w:rsidRPr="00706CF1">
        <w:rPr>
          <w:highlight w:val="red"/>
        </w:rPr>
        <w:t xml:space="preserve"> = 0.49) and (b) </w:t>
      </w:r>
      <w:r w:rsidRPr="00706CF1">
        <w:rPr>
          <w:i/>
          <w:highlight w:val="red"/>
        </w:rPr>
        <w:t>S</w:t>
      </w:r>
      <w:r w:rsidRPr="00706CF1">
        <w:rPr>
          <w:highlight w:val="red"/>
          <w:vertAlign w:val="subscript"/>
        </w:rPr>
        <w:t>QDS</w:t>
      </w:r>
      <w:r w:rsidRPr="00706CF1">
        <w:rPr>
          <w:highlight w:val="red"/>
        </w:rPr>
        <w:t xml:space="preserve"> (</w:t>
      </w:r>
      <w:r w:rsidRPr="00706CF1">
        <w:rPr>
          <w:i/>
          <w:highlight w:val="red"/>
        </w:rPr>
        <w:t>R</w:t>
      </w:r>
      <w:r w:rsidRPr="00706CF1">
        <w:rPr>
          <w:highlight w:val="red"/>
          <w:vertAlign w:val="superscript"/>
        </w:rPr>
        <w:t>2</w:t>
      </w:r>
      <w:r w:rsidRPr="00706CF1">
        <w:rPr>
          <w:highlight w:val="red"/>
          <w:vertAlign w:val="subscript"/>
        </w:rPr>
        <w:t>adj</w:t>
      </w:r>
      <w:r w:rsidRPr="00706CF1">
        <w:rPr>
          <w:highlight w:val="red"/>
        </w:rPr>
        <w:t xml:space="preserve"> = 0.33) again</w:t>
      </w:r>
      <w:r w:rsidR="008F0AB7" w:rsidRPr="00706CF1">
        <w:rPr>
          <w:highlight w:val="red"/>
        </w:rPr>
        <w:t>s</w:t>
      </w:r>
      <w:r w:rsidRPr="00706CF1">
        <w:rPr>
          <w:highlight w:val="red"/>
        </w:rPr>
        <w:t xml:space="preserve">t the various forms of </w:t>
      </w:r>
      <w:r w:rsidR="007948F4" w:rsidRPr="00706CF1">
        <w:rPr>
          <w:highlight w:val="red"/>
        </w:rPr>
        <w:t>environmental heterogeneity</w:t>
      </w:r>
      <w:r w:rsidR="001F4B4C" w:rsidRPr="00706CF1">
        <w:rPr>
          <w:highlight w:val="red"/>
        </w:rPr>
        <w:t xml:space="preserve"> </w:t>
      </w:r>
      <w:r w:rsidR="00741F6E" w:rsidRPr="00706CF1">
        <w:rPr>
          <w:highlight w:val="red"/>
        </w:rPr>
        <w:t>across the Greater Cape Floristic Region (GCFR) and Southwest Australian Floristic Region (SWAFR)</w:t>
      </w:r>
      <w:r w:rsidRPr="00706CF1">
        <w:rPr>
          <w:highlight w:val="red"/>
        </w:rPr>
        <w:t xml:space="preserve">. Each model was simplified, from a starting model with all predictors and their interactions with region, using reverse stepwise regression model selection based on </w:t>
      </w:r>
      <w:r w:rsidRPr="00706CF1">
        <w:rPr>
          <w:i/>
          <w:highlight w:val="red"/>
        </w:rPr>
        <w:t>AIC</w:t>
      </w:r>
      <w:r w:rsidRPr="00706CF1">
        <w:rPr>
          <w:highlight w:val="red"/>
        </w:rPr>
        <w:t>-scores in R. Points with error bars denote slope estimates and their 95% confidence intervals. Estimates illustrated in black were significant (</w:t>
      </w:r>
      <w:r w:rsidRPr="00706CF1">
        <w:rPr>
          <w:i/>
          <w:highlight w:val="red"/>
        </w:rPr>
        <w:t>P</w:t>
      </w:r>
      <w:r w:rsidRPr="00706CF1">
        <w:rPr>
          <w:highlight w:val="red"/>
        </w:rPr>
        <w:t xml:space="preserve"> &lt; 0.05), while those in grey were not</w:t>
      </w:r>
      <w:r w:rsidR="00381E28" w:rsidRPr="00706CF1">
        <w:rPr>
          <w:highlight w:val="red"/>
        </w:rPr>
        <w:t>,</w:t>
      </w:r>
      <w:r w:rsidR="00BB3353" w:rsidRPr="00706CF1">
        <w:rPr>
          <w:highlight w:val="red"/>
        </w:rPr>
        <w:t xml:space="preserve"> but still retained during stepwise model selection</w:t>
      </w:r>
      <w:r w:rsidRPr="00706CF1">
        <w:rPr>
          <w:highlight w:val="red"/>
        </w:rPr>
        <w:t>.</w:t>
      </w:r>
      <w:r w:rsidR="006255A4" w:rsidRPr="00706CF1">
        <w:rPr>
          <w:highlight w:val="red"/>
        </w:rPr>
        <w:t xml:space="preserve"> Abbreviations </w:t>
      </w:r>
      <w:r w:rsidR="00E423C5" w:rsidRPr="00706CF1">
        <w:rPr>
          <w:highlight w:val="red"/>
        </w:rPr>
        <w:t xml:space="preserve">of variables are </w:t>
      </w:r>
      <w:r w:rsidR="006255A4" w:rsidRPr="00706CF1">
        <w:rPr>
          <w:highlight w:val="red"/>
        </w:rPr>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Default="00FE5D62" w:rsidP="00FE5D62">
      <w:pPr>
        <w:pStyle w:val="BodyText"/>
        <w:spacing w:line="240" w:lineRule="auto"/>
      </w:pPr>
      <w:r>
        <w:t>R</w:t>
      </w:r>
      <w:r w:rsidR="00692368">
        <w:t xml:space="preserve">uan </w:t>
      </w:r>
      <w:r>
        <w:t>v</w:t>
      </w:r>
      <w:r w:rsidR="00692368">
        <w:t xml:space="preserve">an </w:t>
      </w:r>
      <w:r>
        <w:t>M</w:t>
      </w:r>
      <w:r w:rsidR="00692368">
        <w:t>azijk</w:t>
      </w:r>
      <w:r>
        <w:t xml:space="preserve">: </w:t>
      </w:r>
      <w:hyperlink r:id="rId15" w:history="1">
        <w:r w:rsidR="00FC55F5" w:rsidRPr="00BF6C46">
          <w:rPr>
            <w:rStyle w:val="Hyperlink"/>
          </w:rPr>
          <w:t>https://orcid.org/</w:t>
        </w:r>
        <w:r w:rsidRPr="00BF6C46">
          <w:rPr>
            <w:rStyle w:val="Hyperlink"/>
          </w:rPr>
          <w:t>0000-0003-2659-6909</w:t>
        </w:r>
      </w:hyperlink>
    </w:p>
    <w:p w14:paraId="437BDB41" w14:textId="126DE8FE" w:rsidR="00FE5D62" w:rsidRDefault="00FE5D62" w:rsidP="00FE5D62">
      <w:pPr>
        <w:pStyle w:val="BodyText"/>
        <w:spacing w:line="240" w:lineRule="auto"/>
      </w:pPr>
      <w:r>
        <w:t>M</w:t>
      </w:r>
      <w:r w:rsidR="00692368">
        <w:t xml:space="preserve">ichael </w:t>
      </w:r>
      <w:r>
        <w:t>D</w:t>
      </w:r>
      <w:r w:rsidR="00692368">
        <w:t xml:space="preserve">. </w:t>
      </w:r>
      <w:r>
        <w:t>C</w:t>
      </w:r>
      <w:r w:rsidR="00692368">
        <w:t>ramer</w:t>
      </w:r>
      <w:r>
        <w:t xml:space="preserve">: </w:t>
      </w:r>
      <w:hyperlink r:id="rId16" w:history="1">
        <w:r w:rsidR="00BF6C46" w:rsidRPr="006B0757">
          <w:rPr>
            <w:rStyle w:val="Hyperlink"/>
          </w:rPr>
          <w:t>https://orcid.org/0000-0003-0989-3266</w:t>
        </w:r>
      </w:hyperlink>
    </w:p>
    <w:p w14:paraId="42F11E67" w14:textId="58FB0AB8" w:rsidR="00FE5D62" w:rsidRPr="009E59E0" w:rsidRDefault="00FE5D62" w:rsidP="0018462C">
      <w:pPr>
        <w:pStyle w:val="BodyText"/>
        <w:spacing w:line="240" w:lineRule="auto"/>
      </w:pPr>
      <w:r>
        <w:t>G</w:t>
      </w:r>
      <w:r w:rsidR="00692368">
        <w:t xml:space="preserve">. </w:t>
      </w:r>
      <w:r>
        <w:t>A</w:t>
      </w:r>
      <w:r w:rsidR="00692368">
        <w:t xml:space="preserve">nthony </w:t>
      </w:r>
      <w:proofErr w:type="spellStart"/>
      <w:r>
        <w:t>V</w:t>
      </w:r>
      <w:r w:rsidR="00692368">
        <w:t>erboom</w:t>
      </w:r>
      <w:proofErr w:type="spellEnd"/>
      <w:r>
        <w:t xml:space="preserve">: </w:t>
      </w:r>
      <w:hyperlink r:id="rId17" w:history="1">
        <w:r w:rsidR="00BF6C46" w:rsidRPr="006B0757">
          <w:rPr>
            <w:rStyle w:val="Hyperlink"/>
          </w:rPr>
          <w:t>https://orcid.org/0000-0002-1363-9781</w:t>
        </w:r>
      </w:hyperlink>
      <w:r w:rsidR="00BF6C46">
        <w:t xml:space="preserve"> </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rsidRPr="00200991">
        <w:rPr>
          <w:highlight w:val="yellow"/>
        </w:rPr>
        <w:t>…</w:t>
      </w:r>
    </w:p>
    <w:p w14:paraId="5FCEE1EB" w14:textId="6487F5A3"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B607" w14:textId="77777777" w:rsidR="00607BE7" w:rsidRDefault="00607BE7">
      <w:pPr>
        <w:spacing w:after="0"/>
      </w:pPr>
      <w:r>
        <w:separator/>
      </w:r>
    </w:p>
  </w:endnote>
  <w:endnote w:type="continuationSeparator" w:id="0">
    <w:p w14:paraId="2098388E" w14:textId="77777777" w:rsidR="00607BE7" w:rsidRDefault="00607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C11B97" w:rsidRDefault="00C11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C11B97" w:rsidRDefault="00C1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F7DB3" w14:textId="77777777" w:rsidR="00607BE7" w:rsidRDefault="00607BE7">
      <w:r>
        <w:separator/>
      </w:r>
    </w:p>
  </w:footnote>
  <w:footnote w:type="continuationSeparator" w:id="0">
    <w:p w14:paraId="018D2200" w14:textId="77777777" w:rsidR="00607BE7" w:rsidRDefault="00607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1739B"/>
    <w:rsid w:val="000202B4"/>
    <w:rsid w:val="00024A7B"/>
    <w:rsid w:val="00030FA3"/>
    <w:rsid w:val="00032420"/>
    <w:rsid w:val="00032731"/>
    <w:rsid w:val="00036900"/>
    <w:rsid w:val="00037267"/>
    <w:rsid w:val="00042E25"/>
    <w:rsid w:val="00043D4E"/>
    <w:rsid w:val="00046D81"/>
    <w:rsid w:val="0004779B"/>
    <w:rsid w:val="000519A1"/>
    <w:rsid w:val="00060E27"/>
    <w:rsid w:val="000611F5"/>
    <w:rsid w:val="00062A2B"/>
    <w:rsid w:val="000657EC"/>
    <w:rsid w:val="00066121"/>
    <w:rsid w:val="00070D03"/>
    <w:rsid w:val="00072164"/>
    <w:rsid w:val="000747BD"/>
    <w:rsid w:val="00083308"/>
    <w:rsid w:val="000847C4"/>
    <w:rsid w:val="00086052"/>
    <w:rsid w:val="0009756C"/>
    <w:rsid w:val="000A44BE"/>
    <w:rsid w:val="000A737C"/>
    <w:rsid w:val="000C1B2A"/>
    <w:rsid w:val="000C1DFD"/>
    <w:rsid w:val="000C57CB"/>
    <w:rsid w:val="000C58EB"/>
    <w:rsid w:val="000C78F5"/>
    <w:rsid w:val="000D6AB1"/>
    <w:rsid w:val="000E4213"/>
    <w:rsid w:val="000E7EAD"/>
    <w:rsid w:val="000F419D"/>
    <w:rsid w:val="000F5594"/>
    <w:rsid w:val="000F59F5"/>
    <w:rsid w:val="000F699D"/>
    <w:rsid w:val="00104482"/>
    <w:rsid w:val="00105FAF"/>
    <w:rsid w:val="00106E88"/>
    <w:rsid w:val="00114867"/>
    <w:rsid w:val="00126A24"/>
    <w:rsid w:val="001320BF"/>
    <w:rsid w:val="00132E42"/>
    <w:rsid w:val="00137BA5"/>
    <w:rsid w:val="001453CD"/>
    <w:rsid w:val="001462B5"/>
    <w:rsid w:val="00152374"/>
    <w:rsid w:val="001530FE"/>
    <w:rsid w:val="00153824"/>
    <w:rsid w:val="001541B2"/>
    <w:rsid w:val="0015465B"/>
    <w:rsid w:val="001755D7"/>
    <w:rsid w:val="00176E4F"/>
    <w:rsid w:val="0018462C"/>
    <w:rsid w:val="00185A50"/>
    <w:rsid w:val="00190D4A"/>
    <w:rsid w:val="001A23A6"/>
    <w:rsid w:val="001B0959"/>
    <w:rsid w:val="001B34DA"/>
    <w:rsid w:val="001B40FF"/>
    <w:rsid w:val="001B412D"/>
    <w:rsid w:val="001B6D6F"/>
    <w:rsid w:val="001C1E9D"/>
    <w:rsid w:val="001C5D8A"/>
    <w:rsid w:val="001C64D6"/>
    <w:rsid w:val="001C7670"/>
    <w:rsid w:val="001D4356"/>
    <w:rsid w:val="001F3585"/>
    <w:rsid w:val="001F4B4C"/>
    <w:rsid w:val="00200991"/>
    <w:rsid w:val="00201A80"/>
    <w:rsid w:val="00205DC2"/>
    <w:rsid w:val="00210CA7"/>
    <w:rsid w:val="00211350"/>
    <w:rsid w:val="00217498"/>
    <w:rsid w:val="00220D2B"/>
    <w:rsid w:val="00221BC9"/>
    <w:rsid w:val="002234E3"/>
    <w:rsid w:val="00230AF5"/>
    <w:rsid w:val="002314C2"/>
    <w:rsid w:val="00231B2B"/>
    <w:rsid w:val="002333AE"/>
    <w:rsid w:val="00234AAB"/>
    <w:rsid w:val="00235637"/>
    <w:rsid w:val="00241435"/>
    <w:rsid w:val="0024759A"/>
    <w:rsid w:val="00251338"/>
    <w:rsid w:val="002626CC"/>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5C96"/>
    <w:rsid w:val="002C7938"/>
    <w:rsid w:val="002D0B56"/>
    <w:rsid w:val="002D283F"/>
    <w:rsid w:val="002D4FA9"/>
    <w:rsid w:val="002E231B"/>
    <w:rsid w:val="002E3FF8"/>
    <w:rsid w:val="002E6995"/>
    <w:rsid w:val="002E6AC4"/>
    <w:rsid w:val="002F092D"/>
    <w:rsid w:val="002F370B"/>
    <w:rsid w:val="00303501"/>
    <w:rsid w:val="003061B2"/>
    <w:rsid w:val="00310608"/>
    <w:rsid w:val="00310871"/>
    <w:rsid w:val="003251C7"/>
    <w:rsid w:val="0032532C"/>
    <w:rsid w:val="00325EB1"/>
    <w:rsid w:val="0033192D"/>
    <w:rsid w:val="00331CEC"/>
    <w:rsid w:val="00334B9B"/>
    <w:rsid w:val="00342111"/>
    <w:rsid w:val="00352382"/>
    <w:rsid w:val="00352767"/>
    <w:rsid w:val="00354D9C"/>
    <w:rsid w:val="003562E3"/>
    <w:rsid w:val="00357472"/>
    <w:rsid w:val="00361152"/>
    <w:rsid w:val="00364F0A"/>
    <w:rsid w:val="0036760E"/>
    <w:rsid w:val="00374287"/>
    <w:rsid w:val="00381E28"/>
    <w:rsid w:val="00381ECD"/>
    <w:rsid w:val="0038260D"/>
    <w:rsid w:val="0038290C"/>
    <w:rsid w:val="00382BBB"/>
    <w:rsid w:val="00382E74"/>
    <w:rsid w:val="0038369B"/>
    <w:rsid w:val="003912CF"/>
    <w:rsid w:val="003913A0"/>
    <w:rsid w:val="003B10FC"/>
    <w:rsid w:val="003B2885"/>
    <w:rsid w:val="003B7C89"/>
    <w:rsid w:val="003C1C5A"/>
    <w:rsid w:val="003C30C4"/>
    <w:rsid w:val="003C34D2"/>
    <w:rsid w:val="003C533D"/>
    <w:rsid w:val="003C58E2"/>
    <w:rsid w:val="003C74FE"/>
    <w:rsid w:val="003D414F"/>
    <w:rsid w:val="003D65D2"/>
    <w:rsid w:val="003E4723"/>
    <w:rsid w:val="003E5397"/>
    <w:rsid w:val="003E7786"/>
    <w:rsid w:val="003F1CDD"/>
    <w:rsid w:val="00401CC9"/>
    <w:rsid w:val="0040493A"/>
    <w:rsid w:val="00404DA4"/>
    <w:rsid w:val="004063C5"/>
    <w:rsid w:val="00407D70"/>
    <w:rsid w:val="004121C0"/>
    <w:rsid w:val="004218EE"/>
    <w:rsid w:val="00427A07"/>
    <w:rsid w:val="0043502F"/>
    <w:rsid w:val="0044052A"/>
    <w:rsid w:val="00442282"/>
    <w:rsid w:val="004511B3"/>
    <w:rsid w:val="00452B2E"/>
    <w:rsid w:val="00457659"/>
    <w:rsid w:val="00462E55"/>
    <w:rsid w:val="004632FE"/>
    <w:rsid w:val="00464662"/>
    <w:rsid w:val="00465238"/>
    <w:rsid w:val="00466172"/>
    <w:rsid w:val="00472407"/>
    <w:rsid w:val="00472BBD"/>
    <w:rsid w:val="00481C6F"/>
    <w:rsid w:val="00482491"/>
    <w:rsid w:val="00485879"/>
    <w:rsid w:val="00491E5D"/>
    <w:rsid w:val="00493CCF"/>
    <w:rsid w:val="00494991"/>
    <w:rsid w:val="004A14DD"/>
    <w:rsid w:val="004C00F7"/>
    <w:rsid w:val="004C28BF"/>
    <w:rsid w:val="004C331B"/>
    <w:rsid w:val="004D0F24"/>
    <w:rsid w:val="004D13EA"/>
    <w:rsid w:val="004D4AE1"/>
    <w:rsid w:val="004D5D8A"/>
    <w:rsid w:val="004D7400"/>
    <w:rsid w:val="004E1D08"/>
    <w:rsid w:val="004E29B3"/>
    <w:rsid w:val="004E6FFF"/>
    <w:rsid w:val="004F1DC1"/>
    <w:rsid w:val="004F6F8D"/>
    <w:rsid w:val="00502FAF"/>
    <w:rsid w:val="005042D0"/>
    <w:rsid w:val="00505F87"/>
    <w:rsid w:val="0050654E"/>
    <w:rsid w:val="00520289"/>
    <w:rsid w:val="005216AD"/>
    <w:rsid w:val="00524DDF"/>
    <w:rsid w:val="00526608"/>
    <w:rsid w:val="00531FB3"/>
    <w:rsid w:val="00531FF2"/>
    <w:rsid w:val="005527B5"/>
    <w:rsid w:val="005637B6"/>
    <w:rsid w:val="0056633D"/>
    <w:rsid w:val="00583EAA"/>
    <w:rsid w:val="0058659A"/>
    <w:rsid w:val="00590D07"/>
    <w:rsid w:val="0059637F"/>
    <w:rsid w:val="005A6B10"/>
    <w:rsid w:val="005B1C53"/>
    <w:rsid w:val="005B22E7"/>
    <w:rsid w:val="005B39FE"/>
    <w:rsid w:val="005B5B14"/>
    <w:rsid w:val="005C752F"/>
    <w:rsid w:val="005D1597"/>
    <w:rsid w:val="005D24D5"/>
    <w:rsid w:val="005E19A4"/>
    <w:rsid w:val="005F03CE"/>
    <w:rsid w:val="005F0D12"/>
    <w:rsid w:val="005F0FFB"/>
    <w:rsid w:val="005F573D"/>
    <w:rsid w:val="005F79BD"/>
    <w:rsid w:val="005F7AE4"/>
    <w:rsid w:val="005F7E3B"/>
    <w:rsid w:val="00602D3B"/>
    <w:rsid w:val="0060601F"/>
    <w:rsid w:val="00607BE7"/>
    <w:rsid w:val="0061190A"/>
    <w:rsid w:val="006255A4"/>
    <w:rsid w:val="006277B7"/>
    <w:rsid w:val="00632A02"/>
    <w:rsid w:val="00634215"/>
    <w:rsid w:val="00634D1A"/>
    <w:rsid w:val="006462CD"/>
    <w:rsid w:val="00647F5C"/>
    <w:rsid w:val="00653D19"/>
    <w:rsid w:val="00662457"/>
    <w:rsid w:val="0066712E"/>
    <w:rsid w:val="00667CCB"/>
    <w:rsid w:val="006703E1"/>
    <w:rsid w:val="00671F3F"/>
    <w:rsid w:val="0067407E"/>
    <w:rsid w:val="00681E6F"/>
    <w:rsid w:val="00684A84"/>
    <w:rsid w:val="00686E1D"/>
    <w:rsid w:val="00692368"/>
    <w:rsid w:val="00695A6F"/>
    <w:rsid w:val="006A4603"/>
    <w:rsid w:val="006B0E2E"/>
    <w:rsid w:val="006B2D93"/>
    <w:rsid w:val="006B3D28"/>
    <w:rsid w:val="006C58CE"/>
    <w:rsid w:val="006C6B1A"/>
    <w:rsid w:val="006D35C5"/>
    <w:rsid w:val="006D58C7"/>
    <w:rsid w:val="006D6FEA"/>
    <w:rsid w:val="006E039C"/>
    <w:rsid w:val="006E62E9"/>
    <w:rsid w:val="006F043C"/>
    <w:rsid w:val="006F0BA2"/>
    <w:rsid w:val="006F1CA8"/>
    <w:rsid w:val="006F3914"/>
    <w:rsid w:val="00704287"/>
    <w:rsid w:val="007051DF"/>
    <w:rsid w:val="00706CF1"/>
    <w:rsid w:val="00711950"/>
    <w:rsid w:val="00711D48"/>
    <w:rsid w:val="0071300C"/>
    <w:rsid w:val="0072582D"/>
    <w:rsid w:val="0073036F"/>
    <w:rsid w:val="0073171D"/>
    <w:rsid w:val="0073580D"/>
    <w:rsid w:val="00736302"/>
    <w:rsid w:val="00741F6E"/>
    <w:rsid w:val="00753A5E"/>
    <w:rsid w:val="00760A5C"/>
    <w:rsid w:val="007612C7"/>
    <w:rsid w:val="00762256"/>
    <w:rsid w:val="007704C7"/>
    <w:rsid w:val="00773D2C"/>
    <w:rsid w:val="00774484"/>
    <w:rsid w:val="00774C5C"/>
    <w:rsid w:val="00775A42"/>
    <w:rsid w:val="00784D58"/>
    <w:rsid w:val="0079178A"/>
    <w:rsid w:val="007948F4"/>
    <w:rsid w:val="007968A1"/>
    <w:rsid w:val="007A1C58"/>
    <w:rsid w:val="007B1591"/>
    <w:rsid w:val="007C5AFE"/>
    <w:rsid w:val="007C706A"/>
    <w:rsid w:val="007C79A1"/>
    <w:rsid w:val="007C7D4C"/>
    <w:rsid w:val="007D673C"/>
    <w:rsid w:val="007E55CB"/>
    <w:rsid w:val="007E72DA"/>
    <w:rsid w:val="00800BA0"/>
    <w:rsid w:val="00800FA8"/>
    <w:rsid w:val="0080611D"/>
    <w:rsid w:val="008132FA"/>
    <w:rsid w:val="00817192"/>
    <w:rsid w:val="008259DB"/>
    <w:rsid w:val="008337E4"/>
    <w:rsid w:val="00835502"/>
    <w:rsid w:val="00836BCB"/>
    <w:rsid w:val="00837E72"/>
    <w:rsid w:val="00842DF6"/>
    <w:rsid w:val="00843584"/>
    <w:rsid w:val="008523B9"/>
    <w:rsid w:val="00856155"/>
    <w:rsid w:val="008569B7"/>
    <w:rsid w:val="00863996"/>
    <w:rsid w:val="0086613F"/>
    <w:rsid w:val="00866587"/>
    <w:rsid w:val="00880670"/>
    <w:rsid w:val="00891FE6"/>
    <w:rsid w:val="008A4E97"/>
    <w:rsid w:val="008A59B2"/>
    <w:rsid w:val="008A5AB4"/>
    <w:rsid w:val="008A683E"/>
    <w:rsid w:val="008A7439"/>
    <w:rsid w:val="008B4347"/>
    <w:rsid w:val="008C1C71"/>
    <w:rsid w:val="008D58D0"/>
    <w:rsid w:val="008D6863"/>
    <w:rsid w:val="008E0FD5"/>
    <w:rsid w:val="008E1988"/>
    <w:rsid w:val="008E3382"/>
    <w:rsid w:val="008E671D"/>
    <w:rsid w:val="008F0AB7"/>
    <w:rsid w:val="008F2AFD"/>
    <w:rsid w:val="00904B0D"/>
    <w:rsid w:val="00910BDE"/>
    <w:rsid w:val="009130B4"/>
    <w:rsid w:val="00923DF4"/>
    <w:rsid w:val="009266B9"/>
    <w:rsid w:val="0093209B"/>
    <w:rsid w:val="0094242D"/>
    <w:rsid w:val="00945B71"/>
    <w:rsid w:val="00945BC5"/>
    <w:rsid w:val="009460AD"/>
    <w:rsid w:val="00946957"/>
    <w:rsid w:val="009475D4"/>
    <w:rsid w:val="0095435C"/>
    <w:rsid w:val="00964F94"/>
    <w:rsid w:val="00970650"/>
    <w:rsid w:val="00976198"/>
    <w:rsid w:val="0098402B"/>
    <w:rsid w:val="009910D8"/>
    <w:rsid w:val="0099210D"/>
    <w:rsid w:val="00994922"/>
    <w:rsid w:val="00996A41"/>
    <w:rsid w:val="00996B78"/>
    <w:rsid w:val="009A0F54"/>
    <w:rsid w:val="009A20D3"/>
    <w:rsid w:val="009A576E"/>
    <w:rsid w:val="009A5C6C"/>
    <w:rsid w:val="009B06B4"/>
    <w:rsid w:val="009B2347"/>
    <w:rsid w:val="009B6D40"/>
    <w:rsid w:val="009C2537"/>
    <w:rsid w:val="009C5008"/>
    <w:rsid w:val="009D1AEA"/>
    <w:rsid w:val="009D35D4"/>
    <w:rsid w:val="009D54AF"/>
    <w:rsid w:val="009E59E0"/>
    <w:rsid w:val="00A006BE"/>
    <w:rsid w:val="00A07CF5"/>
    <w:rsid w:val="00A17592"/>
    <w:rsid w:val="00A30A5A"/>
    <w:rsid w:val="00A345C1"/>
    <w:rsid w:val="00A3472A"/>
    <w:rsid w:val="00A34738"/>
    <w:rsid w:val="00A3580F"/>
    <w:rsid w:val="00A45BBE"/>
    <w:rsid w:val="00A46B1F"/>
    <w:rsid w:val="00A523A6"/>
    <w:rsid w:val="00A526C4"/>
    <w:rsid w:val="00A5557E"/>
    <w:rsid w:val="00A74BCA"/>
    <w:rsid w:val="00A76FDF"/>
    <w:rsid w:val="00A77872"/>
    <w:rsid w:val="00A778BB"/>
    <w:rsid w:val="00A8363E"/>
    <w:rsid w:val="00A85228"/>
    <w:rsid w:val="00A87D09"/>
    <w:rsid w:val="00A95D88"/>
    <w:rsid w:val="00AB0E53"/>
    <w:rsid w:val="00AB5AE8"/>
    <w:rsid w:val="00AC205D"/>
    <w:rsid w:val="00AD644F"/>
    <w:rsid w:val="00AD6510"/>
    <w:rsid w:val="00AE08F6"/>
    <w:rsid w:val="00AE1842"/>
    <w:rsid w:val="00AE3336"/>
    <w:rsid w:val="00AE5077"/>
    <w:rsid w:val="00AF00CB"/>
    <w:rsid w:val="00AF7AFF"/>
    <w:rsid w:val="00B0446E"/>
    <w:rsid w:val="00B137C0"/>
    <w:rsid w:val="00B13B38"/>
    <w:rsid w:val="00B13C22"/>
    <w:rsid w:val="00B157C3"/>
    <w:rsid w:val="00B20610"/>
    <w:rsid w:val="00B21CEC"/>
    <w:rsid w:val="00B240EF"/>
    <w:rsid w:val="00B26F99"/>
    <w:rsid w:val="00B36D68"/>
    <w:rsid w:val="00B41D09"/>
    <w:rsid w:val="00B44249"/>
    <w:rsid w:val="00B502B0"/>
    <w:rsid w:val="00B5154A"/>
    <w:rsid w:val="00B6082F"/>
    <w:rsid w:val="00B60E07"/>
    <w:rsid w:val="00B6436E"/>
    <w:rsid w:val="00B645EA"/>
    <w:rsid w:val="00B67B46"/>
    <w:rsid w:val="00B71D27"/>
    <w:rsid w:val="00B75ACD"/>
    <w:rsid w:val="00B8268E"/>
    <w:rsid w:val="00B826BC"/>
    <w:rsid w:val="00B843C7"/>
    <w:rsid w:val="00B8447D"/>
    <w:rsid w:val="00B86B75"/>
    <w:rsid w:val="00B90487"/>
    <w:rsid w:val="00B96FA0"/>
    <w:rsid w:val="00BA2B8D"/>
    <w:rsid w:val="00BA47F0"/>
    <w:rsid w:val="00BA5D8B"/>
    <w:rsid w:val="00BB096B"/>
    <w:rsid w:val="00BB1BCE"/>
    <w:rsid w:val="00BB2557"/>
    <w:rsid w:val="00BB3048"/>
    <w:rsid w:val="00BB3071"/>
    <w:rsid w:val="00BB3353"/>
    <w:rsid w:val="00BB3791"/>
    <w:rsid w:val="00BC333A"/>
    <w:rsid w:val="00BC48D5"/>
    <w:rsid w:val="00BC5EDB"/>
    <w:rsid w:val="00BC744A"/>
    <w:rsid w:val="00BD7BCB"/>
    <w:rsid w:val="00BE042E"/>
    <w:rsid w:val="00BE3A41"/>
    <w:rsid w:val="00BE7C13"/>
    <w:rsid w:val="00BF0B3F"/>
    <w:rsid w:val="00BF54E8"/>
    <w:rsid w:val="00BF6C46"/>
    <w:rsid w:val="00C04D03"/>
    <w:rsid w:val="00C116AB"/>
    <w:rsid w:val="00C11B97"/>
    <w:rsid w:val="00C225E6"/>
    <w:rsid w:val="00C26903"/>
    <w:rsid w:val="00C36279"/>
    <w:rsid w:val="00C40608"/>
    <w:rsid w:val="00C408A8"/>
    <w:rsid w:val="00C41A61"/>
    <w:rsid w:val="00C42B96"/>
    <w:rsid w:val="00C45000"/>
    <w:rsid w:val="00C53D2C"/>
    <w:rsid w:val="00C5660B"/>
    <w:rsid w:val="00C57F5D"/>
    <w:rsid w:val="00C64E7E"/>
    <w:rsid w:val="00C67A1C"/>
    <w:rsid w:val="00C70A73"/>
    <w:rsid w:val="00C72741"/>
    <w:rsid w:val="00C744F8"/>
    <w:rsid w:val="00C77223"/>
    <w:rsid w:val="00C82F98"/>
    <w:rsid w:val="00C83A82"/>
    <w:rsid w:val="00C85460"/>
    <w:rsid w:val="00CA0D48"/>
    <w:rsid w:val="00CB0067"/>
    <w:rsid w:val="00CC0323"/>
    <w:rsid w:val="00CC3BF9"/>
    <w:rsid w:val="00CD5330"/>
    <w:rsid w:val="00CD7A9B"/>
    <w:rsid w:val="00CE6847"/>
    <w:rsid w:val="00CF189F"/>
    <w:rsid w:val="00CF20C9"/>
    <w:rsid w:val="00CF50C3"/>
    <w:rsid w:val="00D00BA8"/>
    <w:rsid w:val="00D03561"/>
    <w:rsid w:val="00D04776"/>
    <w:rsid w:val="00D06B5A"/>
    <w:rsid w:val="00D0764A"/>
    <w:rsid w:val="00D1761D"/>
    <w:rsid w:val="00D23BC6"/>
    <w:rsid w:val="00D24377"/>
    <w:rsid w:val="00D305E0"/>
    <w:rsid w:val="00D345A9"/>
    <w:rsid w:val="00D35C08"/>
    <w:rsid w:val="00D366C1"/>
    <w:rsid w:val="00D40106"/>
    <w:rsid w:val="00D40708"/>
    <w:rsid w:val="00D44C27"/>
    <w:rsid w:val="00D50517"/>
    <w:rsid w:val="00D51E2F"/>
    <w:rsid w:val="00D51F0E"/>
    <w:rsid w:val="00D61D4D"/>
    <w:rsid w:val="00D62239"/>
    <w:rsid w:val="00D67CEB"/>
    <w:rsid w:val="00D91644"/>
    <w:rsid w:val="00D924AA"/>
    <w:rsid w:val="00D9295F"/>
    <w:rsid w:val="00D96D52"/>
    <w:rsid w:val="00DA5533"/>
    <w:rsid w:val="00DA5915"/>
    <w:rsid w:val="00DA79C7"/>
    <w:rsid w:val="00DC0A04"/>
    <w:rsid w:val="00DC17CC"/>
    <w:rsid w:val="00DC49DA"/>
    <w:rsid w:val="00DC7F3D"/>
    <w:rsid w:val="00DD0DE4"/>
    <w:rsid w:val="00DD2348"/>
    <w:rsid w:val="00DD62FC"/>
    <w:rsid w:val="00DD7307"/>
    <w:rsid w:val="00DE0FC4"/>
    <w:rsid w:val="00DE3D40"/>
    <w:rsid w:val="00DE4AEB"/>
    <w:rsid w:val="00DE5FA7"/>
    <w:rsid w:val="00DE68BB"/>
    <w:rsid w:val="00DE7007"/>
    <w:rsid w:val="00DF0226"/>
    <w:rsid w:val="00DF2439"/>
    <w:rsid w:val="00DF4D79"/>
    <w:rsid w:val="00E00A67"/>
    <w:rsid w:val="00E04EBE"/>
    <w:rsid w:val="00E25251"/>
    <w:rsid w:val="00E30530"/>
    <w:rsid w:val="00E315A3"/>
    <w:rsid w:val="00E40561"/>
    <w:rsid w:val="00E423C5"/>
    <w:rsid w:val="00E43CF5"/>
    <w:rsid w:val="00E46B3C"/>
    <w:rsid w:val="00E525BC"/>
    <w:rsid w:val="00E52A66"/>
    <w:rsid w:val="00E545A9"/>
    <w:rsid w:val="00E6005D"/>
    <w:rsid w:val="00E640C8"/>
    <w:rsid w:val="00E66E17"/>
    <w:rsid w:val="00E715C9"/>
    <w:rsid w:val="00E7429C"/>
    <w:rsid w:val="00E75D74"/>
    <w:rsid w:val="00E837D3"/>
    <w:rsid w:val="00E93541"/>
    <w:rsid w:val="00E95E7D"/>
    <w:rsid w:val="00E96D62"/>
    <w:rsid w:val="00EA1251"/>
    <w:rsid w:val="00EA4453"/>
    <w:rsid w:val="00EB1A1E"/>
    <w:rsid w:val="00EB21F0"/>
    <w:rsid w:val="00EB34AB"/>
    <w:rsid w:val="00EB52C0"/>
    <w:rsid w:val="00EB755A"/>
    <w:rsid w:val="00EC1A8F"/>
    <w:rsid w:val="00EC29F2"/>
    <w:rsid w:val="00EC2AB9"/>
    <w:rsid w:val="00EC3B98"/>
    <w:rsid w:val="00EE0D7A"/>
    <w:rsid w:val="00EF33BB"/>
    <w:rsid w:val="00EF53EC"/>
    <w:rsid w:val="00EF6737"/>
    <w:rsid w:val="00EF6C4B"/>
    <w:rsid w:val="00F0148A"/>
    <w:rsid w:val="00F0279E"/>
    <w:rsid w:val="00F057A2"/>
    <w:rsid w:val="00F07BEC"/>
    <w:rsid w:val="00F11B78"/>
    <w:rsid w:val="00F1488F"/>
    <w:rsid w:val="00F16319"/>
    <w:rsid w:val="00F1788A"/>
    <w:rsid w:val="00F20A95"/>
    <w:rsid w:val="00F358D2"/>
    <w:rsid w:val="00F614B4"/>
    <w:rsid w:val="00F70EA3"/>
    <w:rsid w:val="00F73BC7"/>
    <w:rsid w:val="00F80567"/>
    <w:rsid w:val="00F80A42"/>
    <w:rsid w:val="00F80AE8"/>
    <w:rsid w:val="00F816D3"/>
    <w:rsid w:val="00F81E82"/>
    <w:rsid w:val="00F8593E"/>
    <w:rsid w:val="00F9010D"/>
    <w:rsid w:val="00F92E75"/>
    <w:rsid w:val="00FA00D1"/>
    <w:rsid w:val="00FA3C08"/>
    <w:rsid w:val="00FA6E2B"/>
    <w:rsid w:val="00FA78DF"/>
    <w:rsid w:val="00FC55F5"/>
    <w:rsid w:val="00FC6DF6"/>
    <w:rsid w:val="00FD18C0"/>
    <w:rsid w:val="00FD3C3A"/>
    <w:rsid w:val="00FE0731"/>
    <w:rsid w:val="00FE3E67"/>
    <w:rsid w:val="00FE5D62"/>
    <w:rsid w:val="00FE713B"/>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rcid.org/0000-0002-1363-9781" TargetMode="External"/><Relationship Id="rId2" Type="http://schemas.openxmlformats.org/officeDocument/2006/relationships/numbering" Target="numbering.xml"/><Relationship Id="rId16" Type="http://schemas.openxmlformats.org/officeDocument/2006/relationships/hyperlink" Target="https://orcid.org/0000-0003-0989-32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rcid.org/0000-0003-2659-6909"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20A1-4859-4B27-B75C-4D0D359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17</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483</cp:revision>
  <cp:lastPrinted>2019-08-23T08:15:00Z</cp:lastPrinted>
  <dcterms:created xsi:type="dcterms:W3CDTF">2019-08-22T06:09:00Z</dcterms:created>
  <dcterms:modified xsi:type="dcterms:W3CDTF">2019-08-29T12:31:00Z</dcterms:modified>
</cp:coreProperties>
</file>