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41CB43EB"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hyperdiverse floras</w:t>
      </w:r>
    </w:p>
    <w:p w14:paraId="4B2285EA" w14:textId="0BF52534" w:rsidR="006B3D28" w:rsidRDefault="006B3D28" w:rsidP="008A4E97">
      <w:pPr>
        <w:pStyle w:val="Subtitle"/>
        <w:spacing w:line="240" w:lineRule="auto"/>
        <w:jc w:val="left"/>
      </w:pPr>
      <w:r>
        <w:t>Running title: 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B9850F1" w:rsidR="00024A7B" w:rsidRPr="00024A7B" w:rsidRDefault="00024A7B" w:rsidP="008A4E97">
      <w:pPr>
        <w:pStyle w:val="BodyText"/>
        <w:spacing w:line="240" w:lineRule="auto"/>
        <w:rPr>
          <w:b/>
        </w:rPr>
      </w:pPr>
      <w:r w:rsidRPr="00024A7B">
        <w:rPr>
          <w:b/>
        </w:rPr>
        <w:t>Aim:</w:t>
      </w:r>
      <w:r w:rsidR="004C00F7" w:rsidRPr="004C00F7">
        <w:t xml:space="preserve"> </w:t>
      </w:r>
      <w:r w:rsidR="004C00F7" w:rsidRPr="004C00F7">
        <w:rPr>
          <w:highlight w:val="yellow"/>
        </w:rPr>
        <w:t>…</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0B86F12B" w:rsidR="00024A7B" w:rsidRDefault="00024A7B" w:rsidP="008A4E97">
      <w:pPr>
        <w:pStyle w:val="BodyText"/>
        <w:spacing w:line="240" w:lineRule="auto"/>
        <w:rPr>
          <w:b/>
        </w:rPr>
      </w:pPr>
      <w:r>
        <w:rPr>
          <w:b/>
        </w:rPr>
        <w:t>Methods:</w:t>
      </w:r>
      <w:r w:rsidR="004C00F7">
        <w:rPr>
          <w:b/>
        </w:rPr>
        <w:t xml:space="preserve"> </w:t>
      </w:r>
      <w:r w:rsidR="004C00F7" w:rsidRPr="004C00F7">
        <w:rPr>
          <w:highlight w:val="yellow"/>
        </w:rPr>
        <w:t>…</w:t>
      </w:r>
    </w:p>
    <w:p w14:paraId="39C1CEA1" w14:textId="5A953D60" w:rsidR="00024A7B" w:rsidRDefault="00024A7B" w:rsidP="008A4E97">
      <w:pPr>
        <w:pStyle w:val="BodyText"/>
        <w:spacing w:line="240" w:lineRule="auto"/>
        <w:rPr>
          <w:b/>
        </w:rPr>
      </w:pPr>
      <w:r>
        <w:rPr>
          <w:b/>
        </w:rPr>
        <w:t>Results:</w:t>
      </w:r>
      <w:r w:rsidR="004C00F7">
        <w:rPr>
          <w:b/>
        </w:rPr>
        <w:t xml:space="preserve"> </w:t>
      </w:r>
      <w:r w:rsidR="004C00F7" w:rsidRPr="004C00F7">
        <w:rPr>
          <w:highlight w:val="yellow"/>
        </w:rPr>
        <w:t>…</w:t>
      </w:r>
    </w:p>
    <w:p w14:paraId="3D4EE8B5" w14:textId="6FB7F1F9" w:rsidR="00024A7B" w:rsidRDefault="00024A7B" w:rsidP="008A4E97">
      <w:pPr>
        <w:pStyle w:val="BodyText"/>
        <w:spacing w:line="240" w:lineRule="auto"/>
        <w:rPr>
          <w:b/>
        </w:rPr>
      </w:pPr>
      <w:r>
        <w:rPr>
          <w:b/>
        </w:rPr>
        <w:t>Main conclusions:</w:t>
      </w:r>
      <w:r w:rsidR="004C00F7">
        <w:rPr>
          <w:b/>
        </w:rPr>
        <w:t xml:space="preserve"> </w:t>
      </w:r>
      <w:r w:rsidR="004C00F7" w:rsidRPr="004C00F7">
        <w:rPr>
          <w:highlight w:val="yellow"/>
        </w:rPr>
        <w:t>…</w:t>
      </w:r>
    </w:p>
    <w:p w14:paraId="42E5A392" w14:textId="7CC9AF08" w:rsidR="00C41A61" w:rsidRDefault="00024A7B" w:rsidP="00F70B73">
      <w:pPr>
        <w:pStyle w:val="BodyText"/>
        <w:spacing w:line="240" w:lineRule="auto"/>
        <w:rPr>
          <w:highlight w:val="yellow"/>
        </w:rPr>
      </w:pPr>
      <w:r>
        <w:rPr>
          <w:i/>
        </w:rPr>
        <w:t>Keywords</w:t>
      </w:r>
      <w:r w:rsidRPr="004C00F7">
        <w:rPr>
          <w:i/>
        </w:rPr>
        <w:t>:</w:t>
      </w:r>
      <w:r w:rsidR="004C00F7" w:rsidRPr="004C00F7">
        <w:t xml:space="preserve"> </w:t>
      </w:r>
      <w:r w:rsidR="004C00F7" w:rsidRPr="004C00F7">
        <w:rPr>
          <w:highlight w:val="yellow"/>
        </w:rPr>
        <w:t>…</w:t>
      </w:r>
      <w:r w:rsidR="00C41A61">
        <w:rPr>
          <w:highlight w:val="yellow"/>
        </w:rPr>
        <w:br w:type="page"/>
      </w:r>
    </w:p>
    <w:p w14:paraId="301CD1AC" w14:textId="58270AF1" w:rsidR="00D04776" w:rsidRDefault="00C408A8" w:rsidP="008A4E97">
      <w:pPr>
        <w:pStyle w:val="Heading1"/>
        <w:spacing w:line="240" w:lineRule="auto"/>
      </w:pPr>
      <w:r>
        <w:lastRenderedPageBreak/>
        <w:t xml:space="preserve">1 </w:t>
      </w:r>
      <w:r w:rsidR="00D04776">
        <w:t>Introduction</w:t>
      </w:r>
    </w:p>
    <w:p w14:paraId="5CA48634" w14:textId="52C440C9"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with physically-heterogeneous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functionally-diverse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 2004a,b; Sobel et al.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1966C32D"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Pr="002F0553">
        <w:t xml:space="preserve">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w:t>
      </w:r>
      <w:r w:rsidR="00B8268E">
        <w:t>&amp;</w:t>
      </w:r>
      <w:r w:rsidRPr="002F0553">
        <w:t xml:space="preserve"> He 2017) or Late Miocene (GCFR: Dupont et al. 2011; Hoffmann et al</w:t>
      </w:r>
      <w:r w:rsidR="00B36D68">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C40608">
        <w:t xml:space="preserve"> </w:t>
      </w:r>
      <w:r w:rsidR="00C40608" w:rsidRPr="00C40608">
        <w:rPr>
          <w:highlight w:val="yellow"/>
        </w:rPr>
        <w:t>XXXX</w:t>
      </w:r>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w:t>
      </w:r>
      <w:r w:rsidR="00B8268E">
        <w:t>&amp;</w:t>
      </w:r>
      <w:r>
        <w:t xml:space="preserve"> Witkowski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433A9E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rsidP="008A4E97">
      <w:pPr>
        <w:pStyle w:val="Heading1"/>
        <w:spacing w:line="240" w:lineRule="auto"/>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8A4E97">
      <w:pPr>
        <w:pStyle w:val="Heading2"/>
        <w:spacing w:line="240" w:lineRule="auto"/>
      </w:pPr>
      <w:bookmarkStart w:id="3" w:name="comparing-regions-environmental-heteroge"/>
      <w:r>
        <w:t xml:space="preserve">2.1 </w:t>
      </w:r>
      <w:r w:rsidR="00D04776">
        <w:t>Comparing species richness</w:t>
      </w:r>
    </w:p>
    <w:p w14:paraId="26664BCB" w14:textId="07808D76" w:rsidR="00FE0731" w:rsidRDefault="00D04776" w:rsidP="00FE0731">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w:t>
      </w:r>
      <w:proofErr w:type="spellStart"/>
      <w:r w:rsidR="001C5D8A">
        <w:t>Gioia</w:t>
      </w:r>
      <w:proofErr w:type="spellEnd"/>
      <w:r w:rsidR="001C5D8A">
        <w:t xml:space="preserve"> 2004</w:t>
      </w:r>
      <w:r w:rsidR="006F0BA2">
        <w:t>;</w:t>
      </w:r>
      <w:r w:rsidR="006F0BA2" w:rsidRPr="006F0BA2">
        <w:t xml:space="preserve"> </w:t>
      </w:r>
      <w:proofErr w:type="spellStart"/>
      <w:r w:rsidR="006F0BA2">
        <w:t>Gioia</w:t>
      </w:r>
      <w:proofErr w:type="spellEnd"/>
      <w:r w:rsidR="006F0BA2">
        <w:t xml:space="preserve">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he R package “</w:t>
      </w:r>
      <w:proofErr w:type="spellStart"/>
      <w:r>
        <w:t>taxize</w:t>
      </w:r>
      <w:proofErr w:type="spellEnd"/>
      <w:r>
        <w:t xml:space="preserve">” (Chamberlain &amp; </w:t>
      </w:r>
      <w:proofErr w:type="spellStart"/>
      <w:r>
        <w:t>Szocs</w:t>
      </w:r>
      <w:proofErr w:type="spellEnd"/>
      <w:r>
        <w:t xml:space="preserve">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t xml:space="preserve">The final species richness </w:t>
      </w:r>
      <w:r w:rsidR="00D61D4D">
        <w:t xml:space="preserve">totals </w:t>
      </w:r>
      <w:r w:rsidR="00800FA8">
        <w:t xml:space="preserve">thus obtained </w:t>
      </w:r>
      <w:r>
        <w:t>w</w:t>
      </w:r>
      <w:r w:rsidR="00D61D4D">
        <w:t>ere</w:t>
      </w:r>
      <w:r>
        <w:t xml:space="preserve"> </w:t>
      </w:r>
      <w:r w:rsidRPr="009475D4">
        <w:rPr>
          <w:highlight w:val="yellow"/>
        </w:rPr>
        <w:t>XXX</w:t>
      </w:r>
      <w:r>
        <w:t xml:space="preserve"> and </w:t>
      </w:r>
      <w:r w:rsidRPr="009475D4">
        <w:rPr>
          <w:highlight w:val="yellow"/>
        </w:rPr>
        <w:t>XXX</w:t>
      </w:r>
      <w:r>
        <w:t xml:space="preserve"> for the GCFR and SWAFR</w:t>
      </w:r>
      <w:r w:rsidR="00D61D4D">
        <w:t>,</w:t>
      </w:r>
      <w:r>
        <w:t xml:space="preserve"> </w:t>
      </w:r>
      <w:r>
        <w:lastRenderedPageBreak/>
        <w:t>respectively.</w:t>
      </w:r>
      <w:r w:rsidR="000F699D">
        <w:t xml:space="preserve"> </w:t>
      </w:r>
      <w:r w:rsidR="000F59F5">
        <w:t>Using R, t</w:t>
      </w:r>
      <w:r w:rsidR="00A87D09">
        <w:t>he</w:t>
      </w:r>
      <w:r w:rsidR="002314C2">
        <w:t>se</w:t>
      </w:r>
      <w:r w:rsidR="00A87D09">
        <w:t xml:space="preserv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t xml:space="preserve"> </w:t>
      </w:r>
    </w:p>
    <w:p w14:paraId="037F7D6A" w14:textId="4C1745BF" w:rsidR="00FE0731" w:rsidRPr="00FE0731" w:rsidRDefault="00DE7007"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DE7007"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D90C84B" w:rsidR="00364F0A" w:rsidRPr="00B6436E"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092EC089" w:rsidR="00DD2348" w:rsidRDefault="00970650" w:rsidP="008A4E97">
      <w:pPr>
        <w:pStyle w:val="Heading2"/>
        <w:spacing w:line="240" w:lineRule="auto"/>
      </w:pPr>
      <w:r>
        <w:t xml:space="preserve">2.2 </w:t>
      </w:r>
      <w:r w:rsidR="005F0FFB">
        <w:t>Comparing environmental heterogeneity</w:t>
      </w:r>
      <w:bookmarkEnd w:id="3"/>
    </w:p>
    <w:p w14:paraId="16702F9A" w14:textId="551D4C3A"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 xml:space="preserve">oil variables were </w:t>
      </w:r>
      <w:proofErr w:type="spellStart"/>
      <w:r w:rsidR="007612C7">
        <w:t>summari</w:t>
      </w:r>
      <w:r w:rsidR="00EB34AB">
        <w:t>s</w:t>
      </w:r>
      <w:r w:rsidR="007612C7">
        <w:t>ed</w:t>
      </w:r>
      <w:proofErr w:type="spellEnd"/>
      <w:r w:rsidR="007612C7">
        <w:t xml:space="preserve">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w:t>
      </w:r>
      <w:proofErr w:type="spellStart"/>
      <w:r w:rsidR="003F1CDD">
        <w:t>summari</w:t>
      </w:r>
      <w:r w:rsidR="00EB34AB">
        <w:t>s</w:t>
      </w:r>
      <w:r w:rsidR="003F1CDD">
        <w:t>ed</w:t>
      </w:r>
      <w:proofErr w:type="spellEnd"/>
      <w:r w:rsidR="003F1CDD">
        <w:t xml:space="preserve">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7BCE38E8" w14:textId="1CE074D6" w:rsidR="007E72DA" w:rsidRPr="002810B1" w:rsidRDefault="00946957" w:rsidP="002810B1">
      <w:pPr>
        <w:pStyle w:val="BodyText"/>
        <w:spacing w:line="240" w:lineRule="auto"/>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 (</w:t>
      </w:r>
      <w:r w:rsidR="00A5557E">
        <w:t>EDS</w:t>
      </w:r>
      <w:r w:rsidR="00945B71">
        <w:t>)</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7429C" w:rsidRPr="0001739B">
        <w:t xml:space="preserve"> 2016)</w:t>
      </w:r>
      <w:r w:rsidR="00A30A5A">
        <w:t>).</w:t>
      </w:r>
      <w:r w:rsidR="00DE7007">
        <w:t xml:space="preserve"> This index only uses </w:t>
      </w:r>
      <w:proofErr w:type="spellStart"/>
      <w:r w:rsidR="00DE7007">
        <w:t>neighbouring</w:t>
      </w:r>
      <w:proofErr w:type="spellEnd"/>
      <w:r w:rsidR="00DE7007">
        <w:t xml:space="preserve"> pixels to describe heterogeneity, similar to indices implemented in the “terrain” function in “raster”. </w:t>
      </w:r>
      <w:r w:rsidR="00A34738">
        <w:t>However, our index describes heterogeneity within pixels as opposed to between pixels as in “terrain”. The former is comparable with species richness data, and is thus used here.</w:t>
      </w:r>
    </w:p>
    <w:p w14:paraId="4910D4CC" w14:textId="6888FF7A" w:rsidR="00DD2348" w:rsidRDefault="00C116AB" w:rsidP="008A4E97">
      <w:pPr>
        <w:pStyle w:val="BodyText"/>
        <w:spacing w:line="240" w:lineRule="auto"/>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w:t>
      </w:r>
      <w:r w:rsidR="00F358D2">
        <w:lastRenderedPageBreak/>
        <w:t xml:space="preserve">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spacing w:line="240" w:lineRule="auto"/>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w:t>
      </w:r>
      <w:proofErr w:type="gramStart"/>
      <w:r w:rsidR="000519A1">
        <w:t>exceeds</w:t>
      </w:r>
      <w:proofErr w:type="gramEnd"/>
      <w:r w:rsidR="000519A1">
        <w:t xml:space="preserve">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44EC99A1" w:rsidR="00DD2348" w:rsidRDefault="00DD7307" w:rsidP="008A4E97">
      <w:pPr>
        <w:pStyle w:val="Heading2"/>
        <w:spacing w:line="240" w:lineRule="auto"/>
      </w:pPr>
      <w:bookmarkStart w:id="4" w:name="environmental-heterogeneity-as-an-explan"/>
      <w:r>
        <w:t xml:space="preserve">2.3 </w:t>
      </w:r>
      <w:r w:rsidR="005F0FFB">
        <w:t>Environmental heterogeneity as an explanation of species richness</w:t>
      </w:r>
      <w:bookmarkEnd w:id="4"/>
    </w:p>
    <w:p w14:paraId="23BA1837" w14:textId="77777777" w:rsidR="002F092D" w:rsidRDefault="00842DF6" w:rsidP="00DF0226">
      <w:pPr>
        <w:pStyle w:val="FirstParagraph"/>
        <w:spacing w:line="240" w:lineRule="auto"/>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 xml:space="preserve">specifying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629F252B" w:rsidR="00DF0226" w:rsidRPr="00D67CEB" w:rsidRDefault="00711950" w:rsidP="00DF0226">
      <w:pPr>
        <w:pStyle w:val="FirstParagraph"/>
        <w:spacing w:line="240" w:lineRule="auto"/>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674AF808" w14:textId="6AE962DD" w:rsidR="00F614B4" w:rsidRPr="00070D03" w:rsidRDefault="00070D03" w:rsidP="008A4E97">
      <w:pPr>
        <w:pStyle w:val="FirstParagraph"/>
        <w:spacing w:line="240" w:lineRule="auto"/>
      </w:pPr>
      <w:r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simultaneously</w:t>
      </w:r>
      <w:r>
        <w:t xml:space="preserve"> </w:t>
      </w:r>
      <w:r w:rsidRPr="00070D03">
        <w:rPr>
          <w:highlight w:val="yellow"/>
        </w:rPr>
        <w:t>[expand?]</w:t>
      </w:r>
      <w:r w:rsidR="005F0FFB" w:rsidRPr="00070D03">
        <w:t>.</w:t>
      </w:r>
    </w:p>
    <w:p w14:paraId="5B8B0085" w14:textId="1E635DD3" w:rsidR="00D04776" w:rsidRDefault="00DD7307" w:rsidP="008A4E97">
      <w:pPr>
        <w:pStyle w:val="Heading1"/>
        <w:spacing w:line="240" w:lineRule="auto"/>
      </w:pPr>
      <w:bookmarkStart w:id="5" w:name="results"/>
      <w:r>
        <w:lastRenderedPageBreak/>
        <w:t xml:space="preserve">3 </w:t>
      </w:r>
      <w:r w:rsidR="00D04776">
        <w:t>Results</w:t>
      </w:r>
      <w:bookmarkEnd w:id="5"/>
    </w:p>
    <w:p w14:paraId="233719EB" w14:textId="27A5B25E" w:rsidR="0060601F" w:rsidRDefault="00DD7307" w:rsidP="008A4E97">
      <w:pPr>
        <w:pStyle w:val="Heading2"/>
        <w:spacing w:line="240" w:lineRule="auto"/>
      </w:pPr>
      <w:r>
        <w:t xml:space="preserve">3.1 </w:t>
      </w:r>
      <w:r w:rsidR="0060601F">
        <w:t>Comparing species richness</w:t>
      </w:r>
    </w:p>
    <w:p w14:paraId="61323EF7" w14:textId="5DF7CB53" w:rsidR="00114867" w:rsidRPr="00D96D52" w:rsidRDefault="007D673C" w:rsidP="008A4E97">
      <w:pPr>
        <w:pStyle w:val="FirstParagraph"/>
        <w:spacing w:line="240" w:lineRule="auto"/>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4C690229" w:rsidR="0060601F" w:rsidRDefault="00A3472A" w:rsidP="008A4E97">
      <w:pPr>
        <w:pStyle w:val="FirstParagraph"/>
        <w:spacing w:line="240" w:lineRule="auto"/>
      </w:pPr>
      <w:r>
        <w:rPr>
          <w:highlight w:val="yellow"/>
        </w:rPr>
        <w:t>We</w:t>
      </w:r>
      <w:r w:rsidR="0060601F" w:rsidRPr="00D96D52">
        <w:rPr>
          <w:highlight w:val="yellow"/>
        </w:rPr>
        <w:t xml:space="preserve"> partitioned </w:t>
      </w:r>
      <w:r w:rsidR="0060601F" w:rsidRPr="00D96D52">
        <w:rPr>
          <w:i/>
          <w:highlight w:val="yellow"/>
        </w:rPr>
        <w:t>S</w:t>
      </w:r>
      <w:r w:rsidR="0060601F" w:rsidRPr="00D96D52">
        <w:rPr>
          <w:highlight w:val="yellow"/>
          <w:vertAlign w:val="subscript"/>
        </w:rPr>
        <w:t>HDS</w:t>
      </w:r>
      <w:r w:rsidR="0060601F" w:rsidRPr="00D96D52">
        <w:rPr>
          <w:highlight w:val="yellow"/>
        </w:rPr>
        <w:t xml:space="preserve"> into its </w:t>
      </w:r>
      <m:oMath>
        <m:r>
          <w:rPr>
            <w:rFonts w:ascii="Cambria Math" w:hAnsi="Cambria Math"/>
            <w:highlight w:val="yellow"/>
          </w:rPr>
          <m:t>α</m:t>
        </m:r>
      </m:oMath>
      <w:r w:rsidR="0060601F" w:rsidRPr="00D96D52">
        <w:rPr>
          <w:highlight w:val="yellow"/>
        </w:rPr>
        <w:t xml:space="preserve">- and </w:t>
      </w:r>
      <m:oMath>
        <m:r>
          <w:rPr>
            <w:rFonts w:ascii="Cambria Math" w:hAnsi="Cambria Math"/>
            <w:highlight w:val="yellow"/>
          </w:rPr>
          <m:t>β</m:t>
        </m:r>
      </m:oMath>
      <w:r w:rsidR="0060601F"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0060601F" w:rsidRPr="00D96D52">
        <w:rPr>
          <w:highlight w:val="yellow"/>
          <w:vertAlign w:val="subscript"/>
        </w:rPr>
        <w:t>QDS</w:t>
      </w:r>
      <w:r w:rsidR="0060601F" w:rsidRPr="00D96D52">
        <w:rPr>
          <w:highlight w:val="yellow"/>
        </w:rPr>
        <w:t xml:space="preserve"> and </w:t>
      </w:r>
      <w:r w:rsidR="0060601F" w:rsidRPr="00D96D52">
        <w:rPr>
          <w:i/>
          <w:highlight w:val="yellow"/>
        </w:rPr>
        <w:t>T</w:t>
      </w:r>
      <w:r w:rsidR="0060601F" w:rsidRPr="00D96D52">
        <w:rPr>
          <w:highlight w:val="yellow"/>
          <w:vertAlign w:val="subscript"/>
        </w:rPr>
        <w:t>QDS</w:t>
      </w:r>
      <w:r w:rsidR="0060601F" w:rsidRPr="00D96D52">
        <w:rPr>
          <w:highlight w:val="yellow"/>
        </w:rPr>
        <w:t xml:space="preserve"> respectively)</w:t>
      </w:r>
      <w:r w:rsidR="00104482">
        <w:rPr>
          <w:highlight w:val="yellow"/>
        </w:rPr>
        <w:t xml:space="preserve">, and demonstrate that </w:t>
      </w:r>
      <w:r w:rsidR="0060601F" w:rsidRPr="00D96D52">
        <w:rPr>
          <w:highlight w:val="yellow"/>
        </w:rPr>
        <w:t xml:space="preserve">almost all HDS in both the GCFR and SWAFR are composed of QDS that only account for no more than ca. 50% of </w:t>
      </w:r>
      <w:r w:rsidR="0060601F" w:rsidRPr="00D96D52">
        <w:rPr>
          <w:i/>
          <w:highlight w:val="yellow"/>
        </w:rPr>
        <w:t>S</w:t>
      </w:r>
      <w:r w:rsidR="0060601F" w:rsidRPr="00D96D52">
        <w:rPr>
          <w:highlight w:val="yellow"/>
          <w:vertAlign w:val="subscript"/>
        </w:rPr>
        <w:t>HDS</w:t>
      </w:r>
      <w:r w:rsidR="0060601F" w:rsidRPr="00D96D52">
        <w:rPr>
          <w:highlight w:val="yellow"/>
        </w:rPr>
        <w:t xml:space="preserve"> (Figure 2a). After accounting for the generally greater </w:t>
      </w:r>
      <w:r w:rsidR="0060601F" w:rsidRPr="00D96D52">
        <w:rPr>
          <w:i/>
          <w:highlight w:val="yellow"/>
        </w:rPr>
        <w:t>S</w:t>
      </w:r>
      <w:r w:rsidR="0060601F" w:rsidRPr="00D96D52">
        <w:rPr>
          <w:highlight w:val="yellow"/>
          <w:vertAlign w:val="subscript"/>
        </w:rPr>
        <w:t>HDS</w:t>
      </w:r>
      <w:r w:rsidR="0060601F" w:rsidRPr="00D96D52">
        <w:rPr>
          <w:highlight w:val="yellow"/>
        </w:rPr>
        <w:t xml:space="preserve"> in the GCFR (Figure 2b), </w:t>
      </w:r>
      <w:r w:rsidR="0060601F" w:rsidRPr="00D96D52">
        <w:rPr>
          <w:i/>
          <w:highlight w:val="yellow"/>
        </w:rPr>
        <w:t>S</w:t>
      </w:r>
      <w:r w:rsidR="0060601F" w:rsidRPr="00D96D52">
        <w:rPr>
          <w:highlight w:val="yellow"/>
          <w:vertAlign w:val="subscript"/>
        </w:rPr>
        <w:t>HDS</w:t>
      </w:r>
      <w:r w:rsidR="0060601F" w:rsidRPr="00D96D52">
        <w:rPr>
          <w:highlight w:val="yellow"/>
        </w:rPr>
        <w:t xml:space="preserve"> is more attributable to floristic turnover in in the GCFR than it is in the SWAFR (Figure 2c).</w:t>
      </w:r>
    </w:p>
    <w:p w14:paraId="7E9FCA66" w14:textId="23E9A5DC" w:rsidR="00D04776" w:rsidRDefault="00DD7307" w:rsidP="008A4E97">
      <w:pPr>
        <w:pStyle w:val="Heading2"/>
        <w:spacing w:line="240" w:lineRule="auto"/>
      </w:pPr>
      <w:r>
        <w:t xml:space="preserve">3.2 </w:t>
      </w:r>
      <w:r w:rsidR="00D04776">
        <w:t>Comparing environmental heterogeneity</w:t>
      </w:r>
    </w:p>
    <w:p w14:paraId="1B35984F" w14:textId="30910454" w:rsidR="001A23A6" w:rsidRPr="001A23A6" w:rsidRDefault="001A23A6" w:rsidP="008A4E97">
      <w:pPr>
        <w:pStyle w:val="FirstParagraph"/>
        <w:spacing w:line="240" w:lineRule="auto"/>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0</w:t>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8363E">
        <w:rPr>
          <w:highlight w:val="yellow"/>
        </w:rPr>
        <w:t xml:space="preserve"> [</w:t>
      </w:r>
      <w:r w:rsidR="00A8363E" w:rsidRPr="00CA0D48">
        <w:rPr>
          <w:highlight w:val="yellow"/>
        </w:rPr>
        <w:t xml:space="preserve">Across the five spatial scales, all </w:t>
      </w:r>
      <w:r w:rsidR="00A8363E" w:rsidRPr="00CA0D48">
        <w:rPr>
          <w:i/>
          <w:highlight w:val="yellow"/>
        </w:rPr>
        <w:t>CLES</w:t>
      </w:r>
      <w:r w:rsidR="00A8363E" w:rsidRPr="00CA0D48">
        <w:rPr>
          <w:highlight w:val="yellow"/>
        </w:rPr>
        <w:t xml:space="preserve">-values differed significantly from 0.5 following two-sided </w:t>
      </w:r>
      <w:r w:rsidR="00A8363E" w:rsidRPr="00CA0D48">
        <w:rPr>
          <w:i/>
          <w:highlight w:val="yellow"/>
        </w:rPr>
        <w:t>t</w:t>
      </w:r>
      <w:r w:rsidR="00A8363E" w:rsidRPr="00CA0D48">
        <w:rPr>
          <w:highlight w:val="yellow"/>
        </w:rPr>
        <w:t>-tests (</w:t>
      </w:r>
      <w:r w:rsidR="00A8363E" w:rsidRPr="00662457">
        <w:rPr>
          <w:i/>
          <w:highlight w:val="yellow"/>
        </w:rPr>
        <w:t>P</w:t>
      </w:r>
      <w:r w:rsidR="00A8363E" w:rsidRPr="00662457">
        <w:rPr>
          <w:highlight w:val="yellow"/>
        </w:rPr>
        <w:t xml:space="preserve"> &lt; 0.001).]</w:t>
      </w:r>
      <w:r w:rsidR="00A778BB" w:rsidRPr="00662457">
        <w:rPr>
          <w:highlight w:val="yellow"/>
        </w:rPr>
        <w:t xml:space="preserve">. </w:t>
      </w:r>
      <w:r w:rsidR="00FA78DF" w:rsidRPr="00662457">
        <w:rPr>
          <w:highlight w:val="yellow"/>
        </w:rPr>
        <w:t xml:space="preserve">The same was true for the </w:t>
      </w:r>
      <w:r w:rsidR="00FA78DF" w:rsidRPr="00221BC9">
        <w:rPr>
          <w:highlight w:val="yellow"/>
        </w:rPr>
        <w:t>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rsidRPr="001E4787">
        <w:rPr>
          <w:highlight w:val="red"/>
        </w:rPr>
        <w:t xml:space="preserve">In addition, for </w:t>
      </w:r>
      <w:r w:rsidR="00A778BB" w:rsidRPr="001E4787">
        <w:rPr>
          <w:highlight w:val="red"/>
        </w:rPr>
        <w:t xml:space="preserve">MAP, </w:t>
      </w:r>
      <w:r w:rsidR="00CF20C9" w:rsidRPr="001E4787">
        <w:rPr>
          <w:highlight w:val="red"/>
        </w:rPr>
        <w:t>s</w:t>
      </w:r>
      <w:r w:rsidR="00A778BB" w:rsidRPr="001E4787">
        <w:rPr>
          <w:highlight w:val="red"/>
        </w:rPr>
        <w:t>urface T, CEC</w:t>
      </w:r>
      <w:r w:rsidR="00CC3BF9" w:rsidRPr="001E4787">
        <w:rPr>
          <w:highlight w:val="red"/>
        </w:rPr>
        <w:t>,</w:t>
      </w:r>
      <w:r w:rsidR="00A778BB" w:rsidRPr="001E4787">
        <w:rPr>
          <w:highlight w:val="red"/>
        </w:rPr>
        <w:t xml:space="preserve"> </w:t>
      </w:r>
      <w:r w:rsidR="00CF20C9" w:rsidRPr="001E4787">
        <w:rPr>
          <w:highlight w:val="red"/>
        </w:rPr>
        <w:t>s</w:t>
      </w:r>
      <w:r w:rsidR="00A778BB" w:rsidRPr="001E4787">
        <w:rPr>
          <w:highlight w:val="red"/>
        </w:rPr>
        <w:t>oil C</w:t>
      </w:r>
      <w:r w:rsidR="00CC3BF9" w:rsidRPr="001E4787">
        <w:rPr>
          <w:highlight w:val="red"/>
        </w:rPr>
        <w:t xml:space="preserve"> and PC1</w:t>
      </w:r>
      <w:r w:rsidR="00A778BB" w:rsidRPr="001E4787">
        <w:rPr>
          <w:highlight w:val="red"/>
        </w:rPr>
        <w:t xml:space="preserve">, </w:t>
      </w:r>
      <w:r w:rsidR="00A778BB" w:rsidRPr="001E4787">
        <w:rPr>
          <w:i/>
          <w:highlight w:val="red"/>
        </w:rPr>
        <w:t>CLES</w:t>
      </w:r>
      <w:r w:rsidR="00A778BB" w:rsidRPr="001E4787">
        <w:rPr>
          <w:highlight w:val="red"/>
        </w:rPr>
        <w:t xml:space="preserve"> was negatively related to spatial scale, indicating that the greater heterogeneity of the GCFR was e</w:t>
      </w:r>
      <w:r w:rsidR="00FA78DF" w:rsidRPr="001E4787">
        <w:rPr>
          <w:highlight w:val="red"/>
        </w:rPr>
        <w:t>s</w:t>
      </w:r>
      <w:r w:rsidR="00A778BB" w:rsidRPr="001E4787">
        <w:rPr>
          <w:highlight w:val="red"/>
        </w:rPr>
        <w:t>pe</w:t>
      </w:r>
      <w:r w:rsidR="00FA78DF" w:rsidRPr="001E4787">
        <w:rPr>
          <w:highlight w:val="red"/>
        </w:rPr>
        <w:t>ci</w:t>
      </w:r>
      <w:r w:rsidR="00A778BB" w:rsidRPr="001E4787">
        <w:rPr>
          <w:highlight w:val="red"/>
        </w:rPr>
        <w:t xml:space="preserve">ally pronounced at small spatial scales. The opposite was true of elevation and Clay, in which the </w:t>
      </w:r>
      <w:r w:rsidR="00FA78DF" w:rsidRPr="001E4787">
        <w:rPr>
          <w:highlight w:val="red"/>
        </w:rPr>
        <w:t xml:space="preserve">greater heterogeneity of the GCFR was </w:t>
      </w:r>
      <w:r w:rsidR="0066712E" w:rsidRPr="001E4787">
        <w:rPr>
          <w:highlight w:val="red"/>
        </w:rPr>
        <w:t>more</w:t>
      </w:r>
      <w:r w:rsidR="00FA78DF" w:rsidRPr="001E4787">
        <w:rPr>
          <w:highlight w:val="red"/>
        </w:rPr>
        <w:t xml:space="preserve"> pronounced at large spatial scales.</w:t>
      </w:r>
      <w:r w:rsidR="00CC3BF9" w:rsidRPr="001E4787">
        <w:rPr>
          <w:highlight w:val="red"/>
        </w:rPr>
        <w:t xml:space="preserve"> NDVI and pH showed no scale-dependence.</w:t>
      </w:r>
    </w:p>
    <w:p w14:paraId="6A280C6C" w14:textId="1D1ED177" w:rsidR="00D04776" w:rsidRDefault="00DD7307" w:rsidP="008A4E97">
      <w:pPr>
        <w:pStyle w:val="Heading2"/>
        <w:spacing w:line="240" w:lineRule="auto"/>
      </w:pPr>
      <w:r>
        <w:t xml:space="preserve">3.3 </w:t>
      </w:r>
      <w:r w:rsidR="00D04776">
        <w:t>Environmental heterogeneity as an explanation of species richness</w:t>
      </w:r>
    </w:p>
    <w:p w14:paraId="1D71793B" w14:textId="2C8CEECB" w:rsidR="00D04776" w:rsidRPr="001E4787" w:rsidRDefault="00D04776" w:rsidP="008A4E97">
      <w:pPr>
        <w:pStyle w:val="FirstParagraph"/>
        <w:spacing w:line="240" w:lineRule="auto"/>
        <w:rPr>
          <w:highlight w:val="red"/>
        </w:rPr>
      </w:pPr>
      <w:r w:rsidRPr="001E4787">
        <w:rPr>
          <w:highlight w:val="red"/>
        </w:rPr>
        <w:t xml:space="preserve">We regressed vascular plant species richness against each axis of </w:t>
      </w:r>
      <w:r w:rsidR="007948F4" w:rsidRPr="001E4787">
        <w:rPr>
          <w:highlight w:val="red"/>
        </w:rPr>
        <w:t>environmental heterogeneity</w:t>
      </w:r>
      <w:r w:rsidRPr="001E4787">
        <w:rPr>
          <w:highlight w:val="red"/>
        </w:rP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rsidRPr="001E4787">
        <w:rPr>
          <w:highlight w:val="red"/>
        </w:rPr>
        <w:t>environmental heterogeneity</w:t>
      </w:r>
      <w:r w:rsidRPr="001E4787">
        <w:rPr>
          <w:highlight w:val="red"/>
        </w:rPr>
        <w:t xml:space="preserve">: PC1 (Figure 3), though there is scale-dependence in the slope of that relationship.  In a univariate context, all other </w:t>
      </w:r>
      <w:r w:rsidR="007948F4" w:rsidRPr="001E4787">
        <w:rPr>
          <w:highlight w:val="red"/>
        </w:rPr>
        <w:t>environmental heterogeneity</w:t>
      </w:r>
      <w:r w:rsidRPr="001E4787">
        <w:rPr>
          <w:highlight w:val="red"/>
        </w:rPr>
        <w:t xml:space="preserve">-variables showed varying degrees of covariance with </w:t>
      </w:r>
      <w:r w:rsidRPr="001E4787">
        <w:rPr>
          <w:i/>
          <w:highlight w:val="red"/>
        </w:rPr>
        <w:t>S</w:t>
      </w:r>
      <w:r w:rsidRPr="001E4787">
        <w:rPr>
          <w:highlight w:val="red"/>
        </w:rPr>
        <w:t xml:space="preserve"> (Table 2).</w:t>
      </w:r>
    </w:p>
    <w:p w14:paraId="6690E00C" w14:textId="52FDFD09" w:rsidR="00602D3B" w:rsidRDefault="00D04776" w:rsidP="008A4E97">
      <w:pPr>
        <w:pStyle w:val="BodyText"/>
        <w:spacing w:line="240" w:lineRule="auto"/>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54E8A135" w14:textId="30B41A0B" w:rsidR="00602D3B" w:rsidRDefault="00602D3B" w:rsidP="008A4E97">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neity in NDVI and clay only present evidence for the same slope in each region, but differing intercepts. Heterogeneity 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w:t>
      </w:r>
      <w:r w:rsidRPr="00602D3B">
        <w:rPr>
          <w:highlight w:val="yellow"/>
        </w:rPr>
        <w:lastRenderedPageBreak/>
        <w:t xml:space="preserve">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8A4E97">
      <w:pPr>
        <w:pStyle w:val="BodyText"/>
        <w:numPr>
          <w:ilvl w:val="0"/>
          <w:numId w:val="14"/>
        </w:numPr>
        <w:spacing w:line="240" w:lineRule="auto"/>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8A4E97">
      <w:pPr>
        <w:pStyle w:val="BodyText"/>
        <w:numPr>
          <w:ilvl w:val="0"/>
          <w:numId w:val="14"/>
        </w:numPr>
        <w:spacing w:line="240" w:lineRule="auto"/>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8A4E97">
      <w:pPr>
        <w:pStyle w:val="BodyText"/>
        <w:numPr>
          <w:ilvl w:val="0"/>
          <w:numId w:val="14"/>
        </w:numPr>
        <w:spacing w:line="240" w:lineRule="auto"/>
        <w:rPr>
          <w:highlight w:val="yellow"/>
        </w:rPr>
      </w:pPr>
      <w:r w:rsidRPr="00602D3B">
        <w:rPr>
          <w:highlight w:val="yellow"/>
        </w:rPr>
        <w:t>When both the region- and roughness-effect are significant, this represents a softer version of the above, where the roughness axis can explain some variance, but not all.</w:t>
      </w:r>
    </w:p>
    <w:p w14:paraId="3AF4701C" w14:textId="7CC894AB" w:rsidR="00602D3B" w:rsidRPr="00602D3B" w:rsidRDefault="00602D3B" w:rsidP="008A4E97">
      <w:pPr>
        <w:pStyle w:val="BodyText"/>
        <w:numPr>
          <w:ilvl w:val="0"/>
          <w:numId w:val="14"/>
        </w:numPr>
        <w:spacing w:line="240" w:lineRule="auto"/>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A4E97">
      <w:pPr>
        <w:pStyle w:val="Heading1"/>
        <w:spacing w:line="240" w:lineRule="auto"/>
      </w:pPr>
      <w:r>
        <w:t xml:space="preserve">4 </w:t>
      </w:r>
      <w:r w:rsidR="00F8593E" w:rsidRPr="00891FE6">
        <w:t>Discussion</w:t>
      </w:r>
    </w:p>
    <w:p w14:paraId="53A63461" w14:textId="491EF921" w:rsidR="00D04776" w:rsidRPr="00C43F93" w:rsidRDefault="00F8593E" w:rsidP="00C43F93">
      <w:pPr>
        <w:pStyle w:val="BodyText"/>
        <w:spacing w:line="240" w:lineRule="auto"/>
      </w:pPr>
      <w:r w:rsidRPr="006703E1">
        <w:rPr>
          <w:highlight w:val="yellow"/>
        </w:rPr>
        <w:t>…</w:t>
      </w:r>
      <w:bookmarkStart w:id="6" w:name="tables"/>
      <w:r w:rsidR="00D04776">
        <w:br w:type="page"/>
      </w:r>
    </w:p>
    <w:p w14:paraId="2A345384" w14:textId="77777777" w:rsidR="00D04776" w:rsidRDefault="00D04776" w:rsidP="008A4E97">
      <w:pPr>
        <w:pStyle w:val="Heading1"/>
      </w:pPr>
      <w:r w:rsidRPr="008A4E97">
        <w:lastRenderedPageBreak/>
        <w:t>Tables</w:t>
      </w:r>
      <w:bookmarkEnd w:id="6"/>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spacing w:line="240" w:lineRule="auto"/>
            </w:pPr>
            <w:r w:rsidRPr="008A4E97">
              <w:t>Plant species occurrences</w:t>
            </w:r>
          </w:p>
        </w:tc>
        <w:tc>
          <w:tcPr>
            <w:tcW w:w="1232" w:type="pct"/>
          </w:tcPr>
          <w:p w14:paraId="7927A043" w14:textId="77777777" w:rsidR="00A526C4" w:rsidRPr="008A4E97" w:rsidRDefault="00A526C4" w:rsidP="00684A84">
            <w:pPr>
              <w:pStyle w:val="Compact"/>
              <w:spacing w:line="240" w:lineRule="auto"/>
            </w:pPr>
            <w:r w:rsidRPr="008A4E97">
              <w:t>GBIF</w:t>
            </w:r>
          </w:p>
        </w:tc>
        <w:tc>
          <w:tcPr>
            <w:tcW w:w="1305" w:type="pct"/>
          </w:tcPr>
          <w:p w14:paraId="003C2766" w14:textId="77777777" w:rsidR="00A526C4" w:rsidRPr="008A4E97" w:rsidRDefault="00A526C4" w:rsidP="00684A84">
            <w:pPr>
              <w:pStyle w:val="Compact"/>
              <w:spacing w:line="240" w:lineRule="auto"/>
            </w:pPr>
          </w:p>
        </w:tc>
        <w:tc>
          <w:tcPr>
            <w:tcW w:w="1086" w:type="pct"/>
          </w:tcPr>
          <w:p w14:paraId="1EC02DAD" w14:textId="77777777" w:rsidR="00A526C4" w:rsidRPr="008A4E97" w:rsidRDefault="00A526C4" w:rsidP="00684A84">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spacing w:line="240" w:lineRule="auto"/>
            </w:pPr>
            <w:r w:rsidRPr="008A4E97">
              <w:t>Elevation</w:t>
            </w:r>
          </w:p>
        </w:tc>
        <w:tc>
          <w:tcPr>
            <w:tcW w:w="1232" w:type="pct"/>
          </w:tcPr>
          <w:p w14:paraId="2AB8D95C" w14:textId="21F6F96B" w:rsidR="00A526C4" w:rsidRPr="008A4E97" w:rsidRDefault="00A526C4" w:rsidP="00684A84">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spacing w:line="240" w:lineRule="auto"/>
            </w:pPr>
          </w:p>
        </w:tc>
        <w:tc>
          <w:tcPr>
            <w:tcW w:w="1086" w:type="pct"/>
          </w:tcPr>
          <w:p w14:paraId="51507F64" w14:textId="77777777" w:rsidR="00A526C4" w:rsidRPr="008A4E97" w:rsidRDefault="00A526C4" w:rsidP="00684A84">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1D31F1F1" w:rsidR="00146F57" w:rsidRDefault="00D04776" w:rsidP="00E44024">
      <w:pPr>
        <w:pStyle w:val="TableCaption"/>
        <w:spacing w:line="240" w:lineRule="auto"/>
      </w:pPr>
      <w:r w:rsidRPr="00242181">
        <w:rPr>
          <w:b/>
        </w:rPr>
        <w:lastRenderedPageBreak/>
        <w:t>Table 2:</w:t>
      </w:r>
      <w:r w:rsidRPr="00FE718A">
        <w:t xml:space="preserve"> </w:t>
      </w:r>
      <w:proofErr w:type="spellStart"/>
      <w:r w:rsidR="00043102" w:rsidRPr="00FE718A">
        <w:t>Summar</w:t>
      </w:r>
      <w:r w:rsidR="008457B7" w:rsidRPr="00FE718A">
        <w:t>ised</w:t>
      </w:r>
      <w:proofErr w:type="spellEnd"/>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 of the heterogeneity variables’ slope terms and the SWAFR term (where applicable) are presented alongside their sign</w:t>
      </w:r>
      <w:r w:rsidR="00D56403">
        <w:t>i</w:t>
      </w:r>
      <w:r w:rsidR="00BC5725">
        <w:t>ficances (denoted with asterisks</w:t>
      </w:r>
      <w:r w:rsidR="00230C87">
        <w:rPr>
          <w:vertAlign w:val="superscript"/>
        </w:rPr>
        <w:t>2</w:t>
      </w:r>
      <w:r w:rsidR="00BC5725">
        <w:t>).</w:t>
      </w:r>
    </w:p>
    <w:tbl>
      <w:tblPr>
        <w:tblStyle w:val="Table"/>
        <w:tblW w:w="4240"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1"/>
        <w:gridCol w:w="2318"/>
        <w:gridCol w:w="1276"/>
        <w:gridCol w:w="683"/>
        <w:gridCol w:w="708"/>
        <w:gridCol w:w="852"/>
        <w:gridCol w:w="849"/>
      </w:tblGrid>
      <w:tr w:rsidR="008041FB" w:rsidRPr="0018462C" w14:paraId="68C1A1ED" w14:textId="77777777" w:rsidTr="005350C1">
        <w:tc>
          <w:tcPr>
            <w:tcW w:w="1251" w:type="dxa"/>
            <w:tcBorders>
              <w:top w:val="single" w:sz="4" w:space="0" w:color="auto"/>
              <w:bottom w:val="single" w:sz="2" w:space="0" w:color="auto"/>
            </w:tcBorders>
            <w:vAlign w:val="bottom"/>
          </w:tcPr>
          <w:p w14:paraId="62EBEFAF" w14:textId="77777777" w:rsidR="008041FB" w:rsidRPr="0018462C" w:rsidRDefault="008041FB" w:rsidP="0018462C">
            <w:pPr>
              <w:pStyle w:val="Compact"/>
              <w:spacing w:line="240" w:lineRule="auto"/>
            </w:pPr>
            <w:r w:rsidRPr="0018462C">
              <w:t>Response</w:t>
            </w:r>
          </w:p>
        </w:tc>
        <w:tc>
          <w:tcPr>
            <w:tcW w:w="2318" w:type="dxa"/>
            <w:tcBorders>
              <w:top w:val="single" w:sz="4" w:space="0" w:color="auto"/>
              <w:bottom w:val="single" w:sz="2" w:space="0" w:color="auto"/>
            </w:tcBorders>
            <w:vAlign w:val="bottom"/>
          </w:tcPr>
          <w:p w14:paraId="1057092F" w14:textId="77777777" w:rsidR="008041FB" w:rsidRPr="0018462C" w:rsidRDefault="008041FB" w:rsidP="0018462C">
            <w:pPr>
              <w:pStyle w:val="Compact"/>
              <w:spacing w:line="240" w:lineRule="auto"/>
            </w:pPr>
            <w:r w:rsidRPr="0018462C">
              <w:t>Model type</w:t>
            </w:r>
          </w:p>
        </w:tc>
        <w:tc>
          <w:tcPr>
            <w:tcW w:w="1276" w:type="dxa"/>
            <w:tcBorders>
              <w:top w:val="single" w:sz="4" w:space="0" w:color="auto"/>
              <w:bottom w:val="single" w:sz="2" w:space="0" w:color="auto"/>
            </w:tcBorders>
            <w:vAlign w:val="bottom"/>
          </w:tcPr>
          <w:p w14:paraId="7608062B" w14:textId="23B856CA" w:rsidR="008041FB" w:rsidRPr="0018462C" w:rsidRDefault="008041FB" w:rsidP="0018462C">
            <w:pPr>
              <w:pStyle w:val="Compact"/>
              <w:spacing w:line="240" w:lineRule="auto"/>
            </w:pPr>
            <w:r w:rsidRPr="0018462C">
              <w:t>Predictor</w:t>
            </w:r>
          </w:p>
        </w:tc>
        <w:tc>
          <w:tcPr>
            <w:tcW w:w="1391" w:type="dxa"/>
            <w:gridSpan w:val="2"/>
            <w:tcBorders>
              <w:top w:val="single" w:sz="4" w:space="0" w:color="auto"/>
              <w:bottom w:val="single" w:sz="2" w:space="0" w:color="auto"/>
            </w:tcBorders>
            <w:vAlign w:val="bottom"/>
          </w:tcPr>
          <w:p w14:paraId="6791E9D4" w14:textId="2864D8E1" w:rsidR="008041FB" w:rsidRPr="0018462C" w:rsidRDefault="005350C1" w:rsidP="008041FB">
            <w:pPr>
              <w:pStyle w:val="Compact"/>
              <w:spacing w:line="240" w:lineRule="auto"/>
              <w:jc w:val="center"/>
            </w:pPr>
            <w:r>
              <w:t>Main effect</w:t>
            </w:r>
          </w:p>
        </w:tc>
        <w:tc>
          <w:tcPr>
            <w:tcW w:w="1701" w:type="dxa"/>
            <w:gridSpan w:val="2"/>
            <w:tcBorders>
              <w:top w:val="single" w:sz="4" w:space="0" w:color="auto"/>
              <w:bottom w:val="single" w:sz="2" w:space="0" w:color="auto"/>
            </w:tcBorders>
            <w:vAlign w:val="bottom"/>
          </w:tcPr>
          <w:p w14:paraId="7CB0CB9D" w14:textId="6549483C" w:rsidR="008041FB" w:rsidRPr="0018462C" w:rsidRDefault="008041FB" w:rsidP="008041FB">
            <w:pPr>
              <w:pStyle w:val="Compact"/>
              <w:spacing w:line="240" w:lineRule="auto"/>
              <w:jc w:val="center"/>
            </w:pPr>
            <w:r w:rsidRPr="0018462C">
              <w:t>SWAFR effect</w:t>
            </w:r>
          </w:p>
        </w:tc>
      </w:tr>
      <w:tr w:rsidR="00E2160D" w:rsidRPr="0018462C" w14:paraId="5E236C3F" w14:textId="77777777" w:rsidTr="008041FB">
        <w:tc>
          <w:tcPr>
            <w:tcW w:w="1251" w:type="dxa"/>
            <w:tcBorders>
              <w:top w:val="single" w:sz="4" w:space="0" w:color="auto"/>
            </w:tcBorders>
          </w:tcPr>
          <w:p w14:paraId="7FDF71C7" w14:textId="65BB2C33" w:rsidR="00E2160D" w:rsidRPr="0018462C" w:rsidRDefault="00E2160D" w:rsidP="001739C8">
            <w:pPr>
              <w:pStyle w:val="Compact"/>
              <w:spacing w:line="240" w:lineRule="auto"/>
            </w:pPr>
            <w:r w:rsidRPr="0018462C">
              <w:t>(</w:t>
            </w:r>
            <w:r>
              <w:t>a</w:t>
            </w:r>
            <w:r w:rsidRPr="0018462C">
              <w:t xml:space="preserve">) </w:t>
            </w:r>
            <w:r w:rsidRPr="0018462C">
              <w:rPr>
                <w:i/>
              </w:rPr>
              <w:t>S</w:t>
            </w:r>
            <w:r w:rsidRPr="0018462C">
              <w:rPr>
                <w:vertAlign w:val="subscript"/>
              </w:rPr>
              <w:t>QDS</w:t>
            </w:r>
          </w:p>
        </w:tc>
        <w:tc>
          <w:tcPr>
            <w:tcW w:w="2318" w:type="dxa"/>
            <w:tcBorders>
              <w:top w:val="single" w:sz="4" w:space="0" w:color="auto"/>
            </w:tcBorders>
          </w:tcPr>
          <w:p w14:paraId="3A1CD0A9" w14:textId="5BD76A8D" w:rsidR="00E2160D" w:rsidRPr="00BA47F0" w:rsidRDefault="00E2160D" w:rsidP="001739C8">
            <w:pPr>
              <w:pStyle w:val="Compact"/>
              <w:spacing w:line="240" w:lineRule="auto"/>
              <w:rPr>
                <w:highlight w:val="red"/>
              </w:rPr>
            </w:pPr>
            <w:r w:rsidRPr="0044103C">
              <w:t>Main effect + region</w:t>
            </w:r>
          </w:p>
        </w:tc>
        <w:tc>
          <w:tcPr>
            <w:tcW w:w="1276" w:type="dxa"/>
            <w:tcBorders>
              <w:top w:val="single" w:sz="4" w:space="0" w:color="auto"/>
            </w:tcBorders>
          </w:tcPr>
          <w:p w14:paraId="7E7DB67D" w14:textId="3CA62524" w:rsidR="00E2160D" w:rsidRPr="00BA47F0" w:rsidRDefault="00E2160D" w:rsidP="001739C8">
            <w:pPr>
              <w:pStyle w:val="Compact"/>
              <w:spacing w:line="240" w:lineRule="auto"/>
              <w:rPr>
                <w:highlight w:val="red"/>
              </w:rPr>
            </w:pPr>
            <w:r w:rsidRPr="0044103C">
              <w:t>NDVI</w:t>
            </w:r>
          </w:p>
        </w:tc>
        <w:tc>
          <w:tcPr>
            <w:tcW w:w="683" w:type="dxa"/>
            <w:tcBorders>
              <w:top w:val="single" w:sz="4" w:space="0" w:color="auto"/>
            </w:tcBorders>
          </w:tcPr>
          <w:p w14:paraId="37CEC41C" w14:textId="07F9A55C" w:rsidR="00E2160D" w:rsidRPr="00BA47F0" w:rsidRDefault="00E2160D" w:rsidP="008041FB">
            <w:pPr>
              <w:pStyle w:val="Compact"/>
              <w:spacing w:line="240" w:lineRule="auto"/>
              <w:jc w:val="right"/>
              <w:rPr>
                <w:highlight w:val="red"/>
              </w:rPr>
            </w:pPr>
            <w:r w:rsidRPr="0044103C">
              <w:t>+</w:t>
            </w:r>
          </w:p>
        </w:tc>
        <w:tc>
          <w:tcPr>
            <w:tcW w:w="708" w:type="dxa"/>
            <w:tcBorders>
              <w:top w:val="single" w:sz="4" w:space="0" w:color="auto"/>
            </w:tcBorders>
          </w:tcPr>
          <w:p w14:paraId="124632D4" w14:textId="0D71B498" w:rsidR="00E2160D" w:rsidRPr="00BA47F0" w:rsidRDefault="00E2160D" w:rsidP="008041FB">
            <w:pPr>
              <w:pStyle w:val="Compact"/>
              <w:spacing w:line="240" w:lineRule="auto"/>
              <w:rPr>
                <w:highlight w:val="red"/>
              </w:rPr>
            </w:pPr>
            <w:r w:rsidRPr="0044103C">
              <w:t>***</w:t>
            </w:r>
          </w:p>
        </w:tc>
        <w:tc>
          <w:tcPr>
            <w:tcW w:w="852" w:type="dxa"/>
            <w:tcBorders>
              <w:top w:val="single" w:sz="4" w:space="0" w:color="auto"/>
            </w:tcBorders>
          </w:tcPr>
          <w:p w14:paraId="2A189B86" w14:textId="08B5944E" w:rsidR="00E2160D" w:rsidRPr="00BA47F0" w:rsidRDefault="00E2160D" w:rsidP="008041FB">
            <w:pPr>
              <w:pStyle w:val="Compact"/>
              <w:spacing w:line="240" w:lineRule="auto"/>
              <w:jc w:val="right"/>
              <w:rPr>
                <w:highlight w:val="red"/>
              </w:rPr>
            </w:pPr>
            <w:r w:rsidRPr="0044103C">
              <w:t>-</w:t>
            </w:r>
          </w:p>
        </w:tc>
        <w:tc>
          <w:tcPr>
            <w:tcW w:w="849" w:type="dxa"/>
            <w:tcBorders>
              <w:top w:val="single" w:sz="4" w:space="0" w:color="auto"/>
            </w:tcBorders>
          </w:tcPr>
          <w:p w14:paraId="0D13397A" w14:textId="60A67E38" w:rsidR="00E2160D" w:rsidRPr="00BA47F0" w:rsidRDefault="00E2160D" w:rsidP="001739C8">
            <w:pPr>
              <w:pStyle w:val="Compact"/>
              <w:spacing w:line="240" w:lineRule="auto"/>
              <w:rPr>
                <w:highlight w:val="red"/>
              </w:rPr>
            </w:pPr>
            <w:r w:rsidRPr="0044103C">
              <w:t>**</w:t>
            </w:r>
          </w:p>
        </w:tc>
      </w:tr>
      <w:tr w:rsidR="00E2160D" w:rsidRPr="0018462C" w14:paraId="7933C511" w14:textId="77777777" w:rsidTr="008041FB">
        <w:tc>
          <w:tcPr>
            <w:tcW w:w="1251" w:type="dxa"/>
          </w:tcPr>
          <w:p w14:paraId="0FFC9D5B" w14:textId="77777777" w:rsidR="00E2160D" w:rsidRPr="0018462C" w:rsidRDefault="00E2160D" w:rsidP="001739C8">
            <w:pPr>
              <w:pStyle w:val="Compact"/>
              <w:spacing w:line="240" w:lineRule="auto"/>
            </w:pPr>
          </w:p>
        </w:tc>
        <w:tc>
          <w:tcPr>
            <w:tcW w:w="2318" w:type="dxa"/>
          </w:tcPr>
          <w:p w14:paraId="692D782F" w14:textId="77777777" w:rsidR="00E2160D" w:rsidRPr="00BA47F0" w:rsidRDefault="00E2160D" w:rsidP="001739C8">
            <w:pPr>
              <w:pStyle w:val="Compact"/>
              <w:spacing w:line="240" w:lineRule="auto"/>
              <w:rPr>
                <w:highlight w:val="red"/>
              </w:rPr>
            </w:pPr>
          </w:p>
        </w:tc>
        <w:tc>
          <w:tcPr>
            <w:tcW w:w="1276" w:type="dxa"/>
          </w:tcPr>
          <w:p w14:paraId="106891E5" w14:textId="6A2E4031" w:rsidR="00E2160D" w:rsidRPr="00BA47F0" w:rsidRDefault="00E2160D" w:rsidP="001739C8">
            <w:pPr>
              <w:pStyle w:val="Compact"/>
              <w:spacing w:line="240" w:lineRule="auto"/>
              <w:rPr>
                <w:highlight w:val="red"/>
              </w:rPr>
            </w:pPr>
            <w:r w:rsidRPr="0044103C">
              <w:t>Soil C</w:t>
            </w:r>
          </w:p>
        </w:tc>
        <w:tc>
          <w:tcPr>
            <w:tcW w:w="683" w:type="dxa"/>
          </w:tcPr>
          <w:p w14:paraId="16B1CA79" w14:textId="35B5E237" w:rsidR="00E2160D" w:rsidRPr="00BA47F0" w:rsidRDefault="00E2160D" w:rsidP="008041FB">
            <w:pPr>
              <w:pStyle w:val="Compact"/>
              <w:spacing w:line="240" w:lineRule="auto"/>
              <w:jc w:val="right"/>
              <w:rPr>
                <w:highlight w:val="red"/>
              </w:rPr>
            </w:pPr>
            <w:r w:rsidRPr="0044103C">
              <w:t>+</w:t>
            </w:r>
          </w:p>
        </w:tc>
        <w:tc>
          <w:tcPr>
            <w:tcW w:w="708" w:type="dxa"/>
          </w:tcPr>
          <w:p w14:paraId="3DB133FD" w14:textId="22FF6CF3" w:rsidR="00E2160D" w:rsidRPr="00BA47F0" w:rsidRDefault="00E2160D" w:rsidP="008041FB">
            <w:pPr>
              <w:pStyle w:val="Compact"/>
              <w:spacing w:line="240" w:lineRule="auto"/>
              <w:rPr>
                <w:highlight w:val="red"/>
              </w:rPr>
            </w:pPr>
            <w:r w:rsidRPr="0044103C">
              <w:t>**</w:t>
            </w:r>
          </w:p>
        </w:tc>
        <w:tc>
          <w:tcPr>
            <w:tcW w:w="852" w:type="dxa"/>
          </w:tcPr>
          <w:p w14:paraId="522434F2" w14:textId="6907023B" w:rsidR="00E2160D" w:rsidRPr="00BA47F0" w:rsidRDefault="00E2160D" w:rsidP="008041FB">
            <w:pPr>
              <w:pStyle w:val="Compact"/>
              <w:spacing w:line="240" w:lineRule="auto"/>
              <w:jc w:val="right"/>
              <w:rPr>
                <w:highlight w:val="red"/>
              </w:rPr>
            </w:pPr>
            <w:r w:rsidRPr="0044103C">
              <w:t>-</w:t>
            </w:r>
          </w:p>
        </w:tc>
        <w:tc>
          <w:tcPr>
            <w:tcW w:w="849" w:type="dxa"/>
          </w:tcPr>
          <w:p w14:paraId="520FFF0E" w14:textId="4CED746A" w:rsidR="00E2160D" w:rsidRPr="00BA47F0" w:rsidRDefault="00E2160D" w:rsidP="001739C8">
            <w:pPr>
              <w:pStyle w:val="Compact"/>
              <w:spacing w:line="240" w:lineRule="auto"/>
              <w:rPr>
                <w:highlight w:val="red"/>
              </w:rPr>
            </w:pPr>
            <w:r w:rsidRPr="0044103C">
              <w:t>*</w:t>
            </w:r>
          </w:p>
        </w:tc>
      </w:tr>
      <w:tr w:rsidR="00E2160D" w:rsidRPr="0018462C" w14:paraId="791B7B7E" w14:textId="77777777" w:rsidTr="008041FB">
        <w:tc>
          <w:tcPr>
            <w:tcW w:w="1251" w:type="dxa"/>
          </w:tcPr>
          <w:p w14:paraId="521C1AFB" w14:textId="77777777" w:rsidR="00E2160D" w:rsidRPr="0018462C" w:rsidRDefault="00E2160D" w:rsidP="001739C8">
            <w:pPr>
              <w:pStyle w:val="Compact"/>
              <w:spacing w:line="240" w:lineRule="auto"/>
            </w:pPr>
          </w:p>
        </w:tc>
        <w:tc>
          <w:tcPr>
            <w:tcW w:w="2318" w:type="dxa"/>
          </w:tcPr>
          <w:p w14:paraId="1B43E820" w14:textId="4C97DE53" w:rsidR="00E2160D" w:rsidRPr="00BA47F0" w:rsidRDefault="00E2160D" w:rsidP="001739C8">
            <w:pPr>
              <w:pStyle w:val="Compact"/>
              <w:spacing w:line="240" w:lineRule="auto"/>
              <w:rPr>
                <w:highlight w:val="red"/>
              </w:rPr>
            </w:pPr>
            <w:r w:rsidRPr="0044103C">
              <w:t>Main effect only</w:t>
            </w:r>
          </w:p>
        </w:tc>
        <w:tc>
          <w:tcPr>
            <w:tcW w:w="1276" w:type="dxa"/>
          </w:tcPr>
          <w:p w14:paraId="172CDE68" w14:textId="17AF3CB5" w:rsidR="00E2160D" w:rsidRPr="00BA47F0" w:rsidRDefault="00E2160D" w:rsidP="001739C8">
            <w:pPr>
              <w:pStyle w:val="Compact"/>
              <w:spacing w:line="240" w:lineRule="auto"/>
              <w:rPr>
                <w:highlight w:val="red"/>
              </w:rPr>
            </w:pPr>
            <w:r w:rsidRPr="0044103C">
              <w:t>Elevation</w:t>
            </w:r>
          </w:p>
        </w:tc>
        <w:tc>
          <w:tcPr>
            <w:tcW w:w="683" w:type="dxa"/>
          </w:tcPr>
          <w:p w14:paraId="2F5CF9E6" w14:textId="20454F24" w:rsidR="00E2160D" w:rsidRPr="00BA47F0" w:rsidRDefault="00E2160D" w:rsidP="008041FB">
            <w:pPr>
              <w:pStyle w:val="Compact"/>
              <w:spacing w:line="240" w:lineRule="auto"/>
              <w:jc w:val="right"/>
              <w:rPr>
                <w:highlight w:val="red"/>
              </w:rPr>
            </w:pPr>
            <w:r w:rsidRPr="0044103C">
              <w:t>+</w:t>
            </w:r>
          </w:p>
        </w:tc>
        <w:tc>
          <w:tcPr>
            <w:tcW w:w="708" w:type="dxa"/>
          </w:tcPr>
          <w:p w14:paraId="1CEBB649" w14:textId="12959D2D" w:rsidR="00E2160D" w:rsidRPr="00BA47F0" w:rsidRDefault="00E2160D" w:rsidP="008041FB">
            <w:pPr>
              <w:pStyle w:val="Compact"/>
              <w:spacing w:line="240" w:lineRule="auto"/>
              <w:rPr>
                <w:highlight w:val="red"/>
              </w:rPr>
            </w:pPr>
            <w:r w:rsidRPr="0044103C">
              <w:t>***</w:t>
            </w:r>
          </w:p>
        </w:tc>
        <w:tc>
          <w:tcPr>
            <w:tcW w:w="852" w:type="dxa"/>
          </w:tcPr>
          <w:p w14:paraId="19BCDE2C" w14:textId="10BB7D86" w:rsidR="00E2160D" w:rsidRPr="00BA47F0" w:rsidRDefault="00E2160D" w:rsidP="008041FB">
            <w:pPr>
              <w:pStyle w:val="Compact"/>
              <w:spacing w:line="240" w:lineRule="auto"/>
              <w:jc w:val="right"/>
              <w:rPr>
                <w:highlight w:val="red"/>
              </w:rPr>
            </w:pPr>
          </w:p>
        </w:tc>
        <w:tc>
          <w:tcPr>
            <w:tcW w:w="849" w:type="dxa"/>
          </w:tcPr>
          <w:p w14:paraId="7DA3F4AE" w14:textId="77777777" w:rsidR="00E2160D" w:rsidRPr="00BA47F0" w:rsidRDefault="00E2160D" w:rsidP="001739C8">
            <w:pPr>
              <w:pStyle w:val="Compact"/>
              <w:spacing w:line="240" w:lineRule="auto"/>
              <w:rPr>
                <w:highlight w:val="red"/>
              </w:rPr>
            </w:pPr>
          </w:p>
        </w:tc>
      </w:tr>
      <w:tr w:rsidR="00E2160D" w:rsidRPr="0018462C" w14:paraId="3395C1A3" w14:textId="77777777" w:rsidTr="008041FB">
        <w:tc>
          <w:tcPr>
            <w:tcW w:w="1251" w:type="dxa"/>
          </w:tcPr>
          <w:p w14:paraId="2E5D80CB" w14:textId="77777777" w:rsidR="00E2160D" w:rsidRPr="0018462C" w:rsidRDefault="00E2160D" w:rsidP="001739C8">
            <w:pPr>
              <w:pStyle w:val="Compact"/>
              <w:spacing w:line="240" w:lineRule="auto"/>
            </w:pPr>
          </w:p>
        </w:tc>
        <w:tc>
          <w:tcPr>
            <w:tcW w:w="2318" w:type="dxa"/>
          </w:tcPr>
          <w:p w14:paraId="5422B480" w14:textId="03CB3DAC" w:rsidR="00E2160D" w:rsidRPr="00BA47F0" w:rsidRDefault="00E2160D" w:rsidP="001739C8">
            <w:pPr>
              <w:pStyle w:val="Compact"/>
              <w:spacing w:line="240" w:lineRule="auto"/>
              <w:rPr>
                <w:highlight w:val="red"/>
              </w:rPr>
            </w:pPr>
          </w:p>
        </w:tc>
        <w:tc>
          <w:tcPr>
            <w:tcW w:w="1276" w:type="dxa"/>
          </w:tcPr>
          <w:p w14:paraId="52737AA6" w14:textId="386FC106" w:rsidR="00E2160D" w:rsidRPr="00BA47F0" w:rsidRDefault="00E2160D" w:rsidP="001739C8">
            <w:pPr>
              <w:pStyle w:val="Compact"/>
              <w:spacing w:line="240" w:lineRule="auto"/>
              <w:rPr>
                <w:highlight w:val="red"/>
              </w:rPr>
            </w:pPr>
            <w:r w:rsidRPr="0044103C">
              <w:t>MAP</w:t>
            </w:r>
          </w:p>
        </w:tc>
        <w:tc>
          <w:tcPr>
            <w:tcW w:w="683" w:type="dxa"/>
          </w:tcPr>
          <w:p w14:paraId="33351E94" w14:textId="45EB06FA" w:rsidR="00E2160D" w:rsidRPr="00BA47F0" w:rsidRDefault="00E2160D" w:rsidP="008041FB">
            <w:pPr>
              <w:pStyle w:val="Compact"/>
              <w:spacing w:line="240" w:lineRule="auto"/>
              <w:jc w:val="right"/>
              <w:rPr>
                <w:highlight w:val="red"/>
              </w:rPr>
            </w:pPr>
            <w:r w:rsidRPr="0044103C">
              <w:t>+</w:t>
            </w:r>
          </w:p>
        </w:tc>
        <w:tc>
          <w:tcPr>
            <w:tcW w:w="708" w:type="dxa"/>
          </w:tcPr>
          <w:p w14:paraId="17E2D94D" w14:textId="56ECAEF2" w:rsidR="00E2160D" w:rsidRPr="00BA47F0" w:rsidRDefault="00E2160D" w:rsidP="008041FB">
            <w:pPr>
              <w:pStyle w:val="Compact"/>
              <w:spacing w:line="240" w:lineRule="auto"/>
              <w:rPr>
                <w:highlight w:val="red"/>
              </w:rPr>
            </w:pPr>
            <w:r w:rsidRPr="0044103C">
              <w:t>***</w:t>
            </w:r>
          </w:p>
        </w:tc>
        <w:tc>
          <w:tcPr>
            <w:tcW w:w="852" w:type="dxa"/>
          </w:tcPr>
          <w:p w14:paraId="74B72806" w14:textId="77777777" w:rsidR="00E2160D" w:rsidRPr="00BA47F0" w:rsidRDefault="00E2160D" w:rsidP="008041FB">
            <w:pPr>
              <w:pStyle w:val="Compact"/>
              <w:spacing w:line="240" w:lineRule="auto"/>
              <w:jc w:val="right"/>
              <w:rPr>
                <w:highlight w:val="red"/>
              </w:rPr>
            </w:pPr>
          </w:p>
        </w:tc>
        <w:tc>
          <w:tcPr>
            <w:tcW w:w="849" w:type="dxa"/>
          </w:tcPr>
          <w:p w14:paraId="31877234" w14:textId="77777777" w:rsidR="00E2160D" w:rsidRPr="00BA47F0" w:rsidRDefault="00E2160D" w:rsidP="001739C8">
            <w:pPr>
              <w:pStyle w:val="Compact"/>
              <w:spacing w:line="240" w:lineRule="auto"/>
              <w:rPr>
                <w:highlight w:val="red"/>
              </w:rPr>
            </w:pPr>
          </w:p>
        </w:tc>
      </w:tr>
      <w:tr w:rsidR="00E2160D" w:rsidRPr="0018462C" w14:paraId="4503C606" w14:textId="77777777" w:rsidTr="008041FB">
        <w:tc>
          <w:tcPr>
            <w:tcW w:w="1251" w:type="dxa"/>
          </w:tcPr>
          <w:p w14:paraId="13326302" w14:textId="77777777" w:rsidR="00E2160D" w:rsidRPr="0018462C" w:rsidRDefault="00E2160D" w:rsidP="001739C8">
            <w:pPr>
              <w:pStyle w:val="Compact"/>
              <w:spacing w:line="240" w:lineRule="auto"/>
            </w:pPr>
          </w:p>
        </w:tc>
        <w:tc>
          <w:tcPr>
            <w:tcW w:w="2318" w:type="dxa"/>
          </w:tcPr>
          <w:p w14:paraId="0F0D0092" w14:textId="77777777" w:rsidR="00E2160D" w:rsidRPr="00BA47F0" w:rsidRDefault="00E2160D" w:rsidP="001739C8">
            <w:pPr>
              <w:pStyle w:val="Compact"/>
              <w:spacing w:line="240" w:lineRule="auto"/>
              <w:rPr>
                <w:highlight w:val="red"/>
              </w:rPr>
            </w:pPr>
          </w:p>
        </w:tc>
        <w:tc>
          <w:tcPr>
            <w:tcW w:w="1276" w:type="dxa"/>
          </w:tcPr>
          <w:p w14:paraId="00DBA767" w14:textId="15D056D2" w:rsidR="00E2160D" w:rsidRPr="00BA47F0" w:rsidRDefault="00E2160D" w:rsidP="001739C8">
            <w:pPr>
              <w:pStyle w:val="Compact"/>
              <w:spacing w:line="240" w:lineRule="auto"/>
              <w:rPr>
                <w:highlight w:val="red"/>
              </w:rPr>
            </w:pPr>
            <w:r w:rsidRPr="0044103C">
              <w:t>PDQ</w:t>
            </w:r>
          </w:p>
        </w:tc>
        <w:tc>
          <w:tcPr>
            <w:tcW w:w="683" w:type="dxa"/>
          </w:tcPr>
          <w:p w14:paraId="05B1BD0A" w14:textId="24E27C45" w:rsidR="00E2160D" w:rsidRPr="00BA47F0" w:rsidRDefault="00E2160D" w:rsidP="008041FB">
            <w:pPr>
              <w:pStyle w:val="Compact"/>
              <w:spacing w:line="240" w:lineRule="auto"/>
              <w:jc w:val="right"/>
              <w:rPr>
                <w:highlight w:val="red"/>
              </w:rPr>
            </w:pPr>
            <w:r w:rsidRPr="0044103C">
              <w:t>+</w:t>
            </w:r>
          </w:p>
        </w:tc>
        <w:tc>
          <w:tcPr>
            <w:tcW w:w="708" w:type="dxa"/>
          </w:tcPr>
          <w:p w14:paraId="0EADD8F7" w14:textId="117D7494" w:rsidR="00E2160D" w:rsidRPr="00BA47F0" w:rsidRDefault="00E2160D" w:rsidP="008041FB">
            <w:pPr>
              <w:pStyle w:val="Compact"/>
              <w:spacing w:line="240" w:lineRule="auto"/>
              <w:rPr>
                <w:highlight w:val="red"/>
              </w:rPr>
            </w:pPr>
            <w:r w:rsidRPr="0044103C">
              <w:t>***</w:t>
            </w:r>
          </w:p>
        </w:tc>
        <w:tc>
          <w:tcPr>
            <w:tcW w:w="852" w:type="dxa"/>
          </w:tcPr>
          <w:p w14:paraId="3E6940C6" w14:textId="77777777" w:rsidR="00E2160D" w:rsidRPr="00BA47F0" w:rsidRDefault="00E2160D" w:rsidP="008041FB">
            <w:pPr>
              <w:pStyle w:val="Compact"/>
              <w:spacing w:line="240" w:lineRule="auto"/>
              <w:jc w:val="right"/>
              <w:rPr>
                <w:highlight w:val="red"/>
              </w:rPr>
            </w:pPr>
          </w:p>
        </w:tc>
        <w:tc>
          <w:tcPr>
            <w:tcW w:w="849" w:type="dxa"/>
          </w:tcPr>
          <w:p w14:paraId="66E6B99C" w14:textId="77777777" w:rsidR="00E2160D" w:rsidRPr="00BA47F0" w:rsidRDefault="00E2160D" w:rsidP="001739C8">
            <w:pPr>
              <w:pStyle w:val="Compact"/>
              <w:spacing w:line="240" w:lineRule="auto"/>
              <w:rPr>
                <w:highlight w:val="red"/>
              </w:rPr>
            </w:pPr>
          </w:p>
        </w:tc>
      </w:tr>
      <w:tr w:rsidR="00E2160D" w:rsidRPr="0018462C" w14:paraId="2061C68C" w14:textId="77777777" w:rsidTr="008041FB">
        <w:tc>
          <w:tcPr>
            <w:tcW w:w="1251" w:type="dxa"/>
          </w:tcPr>
          <w:p w14:paraId="3CD09BF6" w14:textId="77777777" w:rsidR="00E2160D" w:rsidRPr="0018462C" w:rsidRDefault="00E2160D" w:rsidP="001739C8">
            <w:pPr>
              <w:pStyle w:val="Compact"/>
              <w:spacing w:line="240" w:lineRule="auto"/>
            </w:pPr>
          </w:p>
        </w:tc>
        <w:tc>
          <w:tcPr>
            <w:tcW w:w="2318" w:type="dxa"/>
          </w:tcPr>
          <w:p w14:paraId="29FC06A8" w14:textId="77777777" w:rsidR="00E2160D" w:rsidRPr="00BA47F0" w:rsidRDefault="00E2160D" w:rsidP="001739C8">
            <w:pPr>
              <w:pStyle w:val="Compact"/>
              <w:spacing w:line="240" w:lineRule="auto"/>
              <w:rPr>
                <w:highlight w:val="red"/>
              </w:rPr>
            </w:pPr>
          </w:p>
        </w:tc>
        <w:tc>
          <w:tcPr>
            <w:tcW w:w="1276" w:type="dxa"/>
          </w:tcPr>
          <w:p w14:paraId="44983026" w14:textId="0CEC8EF0" w:rsidR="00E2160D" w:rsidRPr="00BA47F0" w:rsidRDefault="00E2160D" w:rsidP="001739C8">
            <w:pPr>
              <w:pStyle w:val="Compact"/>
              <w:spacing w:line="240" w:lineRule="auto"/>
              <w:rPr>
                <w:highlight w:val="red"/>
              </w:rPr>
            </w:pPr>
            <w:r w:rsidRPr="0044103C">
              <w:t>Surface T</w:t>
            </w:r>
          </w:p>
        </w:tc>
        <w:tc>
          <w:tcPr>
            <w:tcW w:w="683" w:type="dxa"/>
          </w:tcPr>
          <w:p w14:paraId="1D7C08D5" w14:textId="70C71541" w:rsidR="00E2160D" w:rsidRPr="00BA47F0" w:rsidRDefault="00E2160D" w:rsidP="008041FB">
            <w:pPr>
              <w:pStyle w:val="Compact"/>
              <w:spacing w:line="240" w:lineRule="auto"/>
              <w:jc w:val="right"/>
              <w:rPr>
                <w:highlight w:val="red"/>
              </w:rPr>
            </w:pPr>
            <w:r w:rsidRPr="0044103C">
              <w:t>+</w:t>
            </w:r>
          </w:p>
        </w:tc>
        <w:tc>
          <w:tcPr>
            <w:tcW w:w="708" w:type="dxa"/>
          </w:tcPr>
          <w:p w14:paraId="3A6BA3DA" w14:textId="052D7F97" w:rsidR="00E2160D" w:rsidRPr="00BA47F0" w:rsidRDefault="00E2160D" w:rsidP="008041FB">
            <w:pPr>
              <w:pStyle w:val="Compact"/>
              <w:spacing w:line="240" w:lineRule="auto"/>
              <w:rPr>
                <w:highlight w:val="red"/>
              </w:rPr>
            </w:pPr>
            <w:r w:rsidRPr="0044103C">
              <w:t>***</w:t>
            </w:r>
          </w:p>
        </w:tc>
        <w:tc>
          <w:tcPr>
            <w:tcW w:w="852" w:type="dxa"/>
          </w:tcPr>
          <w:p w14:paraId="4E79BF2E" w14:textId="77777777" w:rsidR="00E2160D" w:rsidRPr="00BA47F0" w:rsidRDefault="00E2160D" w:rsidP="008041FB">
            <w:pPr>
              <w:pStyle w:val="Compact"/>
              <w:spacing w:line="240" w:lineRule="auto"/>
              <w:jc w:val="right"/>
              <w:rPr>
                <w:highlight w:val="red"/>
              </w:rPr>
            </w:pPr>
          </w:p>
        </w:tc>
        <w:tc>
          <w:tcPr>
            <w:tcW w:w="849" w:type="dxa"/>
          </w:tcPr>
          <w:p w14:paraId="2FA83183" w14:textId="77777777" w:rsidR="00E2160D" w:rsidRPr="00BA47F0" w:rsidRDefault="00E2160D" w:rsidP="001739C8">
            <w:pPr>
              <w:pStyle w:val="Compact"/>
              <w:spacing w:line="240" w:lineRule="auto"/>
              <w:rPr>
                <w:highlight w:val="red"/>
              </w:rPr>
            </w:pPr>
          </w:p>
        </w:tc>
      </w:tr>
      <w:tr w:rsidR="00E2160D" w:rsidRPr="0018462C" w14:paraId="61021E01" w14:textId="77777777" w:rsidTr="008041FB">
        <w:tc>
          <w:tcPr>
            <w:tcW w:w="1251" w:type="dxa"/>
          </w:tcPr>
          <w:p w14:paraId="620A9F7B" w14:textId="77777777" w:rsidR="00E2160D" w:rsidRPr="0018462C" w:rsidRDefault="00E2160D" w:rsidP="001739C8">
            <w:pPr>
              <w:pStyle w:val="Compact"/>
              <w:spacing w:line="240" w:lineRule="auto"/>
            </w:pPr>
          </w:p>
        </w:tc>
        <w:tc>
          <w:tcPr>
            <w:tcW w:w="2318" w:type="dxa"/>
          </w:tcPr>
          <w:p w14:paraId="4C951B7B" w14:textId="77777777" w:rsidR="00E2160D" w:rsidRPr="00BA47F0" w:rsidRDefault="00E2160D" w:rsidP="001739C8">
            <w:pPr>
              <w:pStyle w:val="Compact"/>
              <w:spacing w:line="240" w:lineRule="auto"/>
              <w:rPr>
                <w:highlight w:val="red"/>
              </w:rPr>
            </w:pPr>
          </w:p>
        </w:tc>
        <w:tc>
          <w:tcPr>
            <w:tcW w:w="1276" w:type="dxa"/>
          </w:tcPr>
          <w:p w14:paraId="0F4C29CF" w14:textId="1CAF3764" w:rsidR="00E2160D" w:rsidRPr="00BA47F0" w:rsidRDefault="00E2160D" w:rsidP="001739C8">
            <w:pPr>
              <w:pStyle w:val="Compact"/>
              <w:spacing w:line="240" w:lineRule="auto"/>
              <w:rPr>
                <w:highlight w:val="red"/>
              </w:rPr>
            </w:pPr>
            <w:r w:rsidRPr="0044103C">
              <w:t>PC1</w:t>
            </w:r>
          </w:p>
        </w:tc>
        <w:tc>
          <w:tcPr>
            <w:tcW w:w="683" w:type="dxa"/>
          </w:tcPr>
          <w:p w14:paraId="77ECA1CB" w14:textId="7D277290" w:rsidR="00E2160D" w:rsidRPr="00BA47F0" w:rsidRDefault="00E2160D" w:rsidP="008041FB">
            <w:pPr>
              <w:pStyle w:val="Compact"/>
              <w:spacing w:line="240" w:lineRule="auto"/>
              <w:jc w:val="right"/>
              <w:rPr>
                <w:highlight w:val="red"/>
              </w:rPr>
            </w:pPr>
            <w:r w:rsidRPr="0044103C">
              <w:t>+</w:t>
            </w:r>
          </w:p>
        </w:tc>
        <w:tc>
          <w:tcPr>
            <w:tcW w:w="708" w:type="dxa"/>
          </w:tcPr>
          <w:p w14:paraId="4C07E068" w14:textId="06A8E3B6" w:rsidR="00E2160D" w:rsidRPr="00BA47F0" w:rsidRDefault="00E2160D" w:rsidP="008041FB">
            <w:pPr>
              <w:pStyle w:val="Compact"/>
              <w:spacing w:line="240" w:lineRule="auto"/>
              <w:rPr>
                <w:highlight w:val="red"/>
              </w:rPr>
            </w:pPr>
            <w:r w:rsidRPr="0044103C">
              <w:t>***</w:t>
            </w:r>
          </w:p>
        </w:tc>
        <w:tc>
          <w:tcPr>
            <w:tcW w:w="852" w:type="dxa"/>
          </w:tcPr>
          <w:p w14:paraId="6538D2C4" w14:textId="77777777" w:rsidR="00E2160D" w:rsidRPr="00BA47F0" w:rsidRDefault="00E2160D" w:rsidP="008041FB">
            <w:pPr>
              <w:pStyle w:val="Compact"/>
              <w:spacing w:line="240" w:lineRule="auto"/>
              <w:jc w:val="right"/>
              <w:rPr>
                <w:highlight w:val="red"/>
              </w:rPr>
            </w:pPr>
          </w:p>
        </w:tc>
        <w:tc>
          <w:tcPr>
            <w:tcW w:w="849" w:type="dxa"/>
          </w:tcPr>
          <w:p w14:paraId="4FFA9300" w14:textId="77777777" w:rsidR="00E2160D" w:rsidRPr="00BA47F0" w:rsidRDefault="00E2160D" w:rsidP="001739C8">
            <w:pPr>
              <w:pStyle w:val="Compact"/>
              <w:spacing w:line="240" w:lineRule="auto"/>
              <w:rPr>
                <w:highlight w:val="red"/>
              </w:rPr>
            </w:pPr>
          </w:p>
        </w:tc>
      </w:tr>
      <w:tr w:rsidR="00E2160D" w:rsidRPr="0018462C" w14:paraId="36C98A9B" w14:textId="77777777" w:rsidTr="008041FB">
        <w:tc>
          <w:tcPr>
            <w:tcW w:w="1251" w:type="dxa"/>
          </w:tcPr>
          <w:p w14:paraId="2945E947" w14:textId="77777777" w:rsidR="00E2160D" w:rsidRPr="0018462C" w:rsidRDefault="00E2160D" w:rsidP="001739C8">
            <w:pPr>
              <w:pStyle w:val="Compact"/>
              <w:spacing w:line="240" w:lineRule="auto"/>
            </w:pPr>
          </w:p>
        </w:tc>
        <w:tc>
          <w:tcPr>
            <w:tcW w:w="2318" w:type="dxa"/>
          </w:tcPr>
          <w:p w14:paraId="7A130542" w14:textId="2E96CB7A" w:rsidR="00E2160D" w:rsidRPr="00BA47F0" w:rsidRDefault="00E2160D" w:rsidP="001739C8">
            <w:pPr>
              <w:pStyle w:val="Compact"/>
              <w:spacing w:line="240" w:lineRule="auto"/>
              <w:rPr>
                <w:highlight w:val="red"/>
              </w:rPr>
            </w:pPr>
            <w:r w:rsidRPr="0044103C">
              <w:t>Region only</w:t>
            </w:r>
          </w:p>
        </w:tc>
        <w:tc>
          <w:tcPr>
            <w:tcW w:w="1276" w:type="dxa"/>
          </w:tcPr>
          <w:p w14:paraId="46BDA538" w14:textId="727BEA83" w:rsidR="00E2160D" w:rsidRPr="00BA47F0" w:rsidRDefault="00E2160D" w:rsidP="001739C8">
            <w:pPr>
              <w:pStyle w:val="Compact"/>
              <w:spacing w:line="240" w:lineRule="auto"/>
              <w:rPr>
                <w:highlight w:val="red"/>
              </w:rPr>
            </w:pPr>
            <w:r w:rsidRPr="0044103C">
              <w:t>CEC</w:t>
            </w:r>
          </w:p>
        </w:tc>
        <w:tc>
          <w:tcPr>
            <w:tcW w:w="683" w:type="dxa"/>
          </w:tcPr>
          <w:p w14:paraId="74783313" w14:textId="3FEA97AB" w:rsidR="00E2160D" w:rsidRPr="00BA47F0" w:rsidRDefault="00E2160D" w:rsidP="008041FB">
            <w:pPr>
              <w:pStyle w:val="Compact"/>
              <w:spacing w:line="240" w:lineRule="auto"/>
              <w:jc w:val="right"/>
              <w:rPr>
                <w:highlight w:val="red"/>
              </w:rPr>
            </w:pPr>
            <w:r w:rsidRPr="0044103C">
              <w:t>-</w:t>
            </w:r>
          </w:p>
        </w:tc>
        <w:tc>
          <w:tcPr>
            <w:tcW w:w="708" w:type="dxa"/>
          </w:tcPr>
          <w:p w14:paraId="424C6905" w14:textId="77777777" w:rsidR="00E2160D" w:rsidRPr="00BA47F0" w:rsidRDefault="00E2160D" w:rsidP="008041FB">
            <w:pPr>
              <w:pStyle w:val="Compact"/>
              <w:spacing w:line="240" w:lineRule="auto"/>
              <w:rPr>
                <w:highlight w:val="red"/>
              </w:rPr>
            </w:pPr>
          </w:p>
        </w:tc>
        <w:tc>
          <w:tcPr>
            <w:tcW w:w="852" w:type="dxa"/>
          </w:tcPr>
          <w:p w14:paraId="0865CE3F" w14:textId="3A09394E" w:rsidR="00E2160D" w:rsidRPr="00BA47F0" w:rsidRDefault="00E2160D" w:rsidP="008041FB">
            <w:pPr>
              <w:pStyle w:val="Compact"/>
              <w:spacing w:line="240" w:lineRule="auto"/>
              <w:jc w:val="right"/>
              <w:rPr>
                <w:highlight w:val="red"/>
              </w:rPr>
            </w:pPr>
            <w:r w:rsidRPr="0044103C">
              <w:t>-</w:t>
            </w:r>
          </w:p>
        </w:tc>
        <w:tc>
          <w:tcPr>
            <w:tcW w:w="849" w:type="dxa"/>
          </w:tcPr>
          <w:p w14:paraId="44A5E9CE" w14:textId="7C906CC1" w:rsidR="00E2160D" w:rsidRPr="00BA47F0" w:rsidRDefault="00E2160D" w:rsidP="001739C8">
            <w:pPr>
              <w:pStyle w:val="Compact"/>
              <w:spacing w:line="240" w:lineRule="auto"/>
              <w:rPr>
                <w:highlight w:val="red"/>
              </w:rPr>
            </w:pPr>
            <w:r w:rsidRPr="0044103C">
              <w:t>***</w:t>
            </w:r>
          </w:p>
        </w:tc>
      </w:tr>
      <w:tr w:rsidR="00E2160D" w:rsidRPr="0018462C" w14:paraId="14F91A09" w14:textId="77777777" w:rsidTr="008041FB">
        <w:tc>
          <w:tcPr>
            <w:tcW w:w="1251" w:type="dxa"/>
          </w:tcPr>
          <w:p w14:paraId="6CD73313" w14:textId="77777777" w:rsidR="00E2160D" w:rsidRPr="0018462C" w:rsidRDefault="00E2160D" w:rsidP="001739C8">
            <w:pPr>
              <w:pStyle w:val="Compact"/>
              <w:spacing w:line="240" w:lineRule="auto"/>
            </w:pPr>
          </w:p>
        </w:tc>
        <w:tc>
          <w:tcPr>
            <w:tcW w:w="2318" w:type="dxa"/>
          </w:tcPr>
          <w:p w14:paraId="16CF46C8" w14:textId="77777777" w:rsidR="00E2160D" w:rsidRPr="00BA47F0" w:rsidRDefault="00E2160D" w:rsidP="001739C8">
            <w:pPr>
              <w:pStyle w:val="Compact"/>
              <w:spacing w:line="240" w:lineRule="auto"/>
              <w:rPr>
                <w:highlight w:val="red"/>
              </w:rPr>
            </w:pPr>
          </w:p>
        </w:tc>
        <w:tc>
          <w:tcPr>
            <w:tcW w:w="1276" w:type="dxa"/>
          </w:tcPr>
          <w:p w14:paraId="28DB2945" w14:textId="2FD64748" w:rsidR="00E2160D" w:rsidRPr="00BA47F0" w:rsidRDefault="00E2160D" w:rsidP="001739C8">
            <w:pPr>
              <w:pStyle w:val="Compact"/>
              <w:spacing w:line="240" w:lineRule="auto"/>
              <w:rPr>
                <w:highlight w:val="red"/>
              </w:rPr>
            </w:pPr>
            <w:r w:rsidRPr="0044103C">
              <w:t>Clay</w:t>
            </w:r>
          </w:p>
        </w:tc>
        <w:tc>
          <w:tcPr>
            <w:tcW w:w="683" w:type="dxa"/>
          </w:tcPr>
          <w:p w14:paraId="7ACB01E5" w14:textId="2B684F11" w:rsidR="00E2160D" w:rsidRPr="00BA47F0" w:rsidRDefault="00E2160D" w:rsidP="008041FB">
            <w:pPr>
              <w:pStyle w:val="Compact"/>
              <w:spacing w:line="240" w:lineRule="auto"/>
              <w:jc w:val="right"/>
              <w:rPr>
                <w:highlight w:val="red"/>
              </w:rPr>
            </w:pPr>
            <w:r w:rsidRPr="0044103C">
              <w:t>+</w:t>
            </w:r>
          </w:p>
        </w:tc>
        <w:tc>
          <w:tcPr>
            <w:tcW w:w="708" w:type="dxa"/>
          </w:tcPr>
          <w:p w14:paraId="5914B97B" w14:textId="77777777" w:rsidR="00E2160D" w:rsidRPr="00BA47F0" w:rsidRDefault="00E2160D" w:rsidP="008041FB">
            <w:pPr>
              <w:pStyle w:val="Compact"/>
              <w:spacing w:line="240" w:lineRule="auto"/>
              <w:rPr>
                <w:highlight w:val="red"/>
              </w:rPr>
            </w:pPr>
          </w:p>
        </w:tc>
        <w:tc>
          <w:tcPr>
            <w:tcW w:w="852" w:type="dxa"/>
          </w:tcPr>
          <w:p w14:paraId="0B1C974D" w14:textId="3E0E8223" w:rsidR="00E2160D" w:rsidRPr="00BA47F0" w:rsidRDefault="00E2160D" w:rsidP="008041FB">
            <w:pPr>
              <w:pStyle w:val="Compact"/>
              <w:spacing w:line="240" w:lineRule="auto"/>
              <w:jc w:val="right"/>
              <w:rPr>
                <w:highlight w:val="red"/>
              </w:rPr>
            </w:pPr>
            <w:r w:rsidRPr="0044103C">
              <w:t>-</w:t>
            </w:r>
          </w:p>
        </w:tc>
        <w:tc>
          <w:tcPr>
            <w:tcW w:w="849" w:type="dxa"/>
          </w:tcPr>
          <w:p w14:paraId="62E522DD" w14:textId="0F04735B" w:rsidR="00E2160D" w:rsidRPr="00BA47F0" w:rsidRDefault="00E2160D" w:rsidP="001739C8">
            <w:pPr>
              <w:pStyle w:val="Compact"/>
              <w:spacing w:line="240" w:lineRule="auto"/>
              <w:rPr>
                <w:highlight w:val="red"/>
              </w:rPr>
            </w:pPr>
            <w:r w:rsidRPr="0044103C">
              <w:t>***</w:t>
            </w:r>
          </w:p>
        </w:tc>
      </w:tr>
      <w:tr w:rsidR="00E2160D" w:rsidRPr="0018462C" w14:paraId="64E78183" w14:textId="77777777" w:rsidTr="008041FB">
        <w:tc>
          <w:tcPr>
            <w:tcW w:w="1251" w:type="dxa"/>
          </w:tcPr>
          <w:p w14:paraId="336879F3" w14:textId="77777777" w:rsidR="00E2160D" w:rsidRPr="0018462C" w:rsidRDefault="00E2160D" w:rsidP="001739C8">
            <w:pPr>
              <w:pStyle w:val="Compact"/>
              <w:spacing w:line="240" w:lineRule="auto"/>
            </w:pPr>
          </w:p>
        </w:tc>
        <w:tc>
          <w:tcPr>
            <w:tcW w:w="2318" w:type="dxa"/>
          </w:tcPr>
          <w:p w14:paraId="4A1B3F56" w14:textId="77777777" w:rsidR="00E2160D" w:rsidRPr="00BA47F0" w:rsidRDefault="00E2160D" w:rsidP="001739C8">
            <w:pPr>
              <w:pStyle w:val="Compact"/>
              <w:spacing w:line="240" w:lineRule="auto"/>
              <w:rPr>
                <w:highlight w:val="red"/>
              </w:rPr>
            </w:pPr>
          </w:p>
        </w:tc>
        <w:tc>
          <w:tcPr>
            <w:tcW w:w="1276" w:type="dxa"/>
          </w:tcPr>
          <w:p w14:paraId="12599AD7" w14:textId="3B915150" w:rsidR="00E2160D" w:rsidRPr="00BA47F0" w:rsidRDefault="00E2160D" w:rsidP="001739C8">
            <w:pPr>
              <w:pStyle w:val="Compact"/>
              <w:spacing w:line="240" w:lineRule="auto"/>
              <w:rPr>
                <w:highlight w:val="red"/>
              </w:rPr>
            </w:pPr>
            <w:r w:rsidRPr="0044103C">
              <w:t>pH</w:t>
            </w:r>
          </w:p>
        </w:tc>
        <w:tc>
          <w:tcPr>
            <w:tcW w:w="683" w:type="dxa"/>
          </w:tcPr>
          <w:p w14:paraId="1295E05B" w14:textId="21D5CFF6" w:rsidR="00E2160D" w:rsidRPr="00BA47F0" w:rsidRDefault="00E2160D" w:rsidP="008041FB">
            <w:pPr>
              <w:pStyle w:val="Compact"/>
              <w:spacing w:line="240" w:lineRule="auto"/>
              <w:jc w:val="right"/>
              <w:rPr>
                <w:highlight w:val="red"/>
              </w:rPr>
            </w:pPr>
            <w:r w:rsidRPr="0044103C">
              <w:t>-</w:t>
            </w:r>
          </w:p>
        </w:tc>
        <w:tc>
          <w:tcPr>
            <w:tcW w:w="708" w:type="dxa"/>
          </w:tcPr>
          <w:p w14:paraId="1ACCCA05" w14:textId="77777777" w:rsidR="00E2160D" w:rsidRPr="00BA47F0" w:rsidRDefault="00E2160D" w:rsidP="008041FB">
            <w:pPr>
              <w:pStyle w:val="Compact"/>
              <w:spacing w:line="240" w:lineRule="auto"/>
              <w:rPr>
                <w:highlight w:val="red"/>
              </w:rPr>
            </w:pPr>
          </w:p>
        </w:tc>
        <w:tc>
          <w:tcPr>
            <w:tcW w:w="852" w:type="dxa"/>
          </w:tcPr>
          <w:p w14:paraId="3D6ED5D1" w14:textId="3457DA99" w:rsidR="00E2160D" w:rsidRPr="00BA47F0" w:rsidRDefault="00E2160D" w:rsidP="008041FB">
            <w:pPr>
              <w:pStyle w:val="Compact"/>
              <w:spacing w:line="240" w:lineRule="auto"/>
              <w:jc w:val="right"/>
              <w:rPr>
                <w:highlight w:val="red"/>
              </w:rPr>
            </w:pPr>
            <w:r w:rsidRPr="0044103C">
              <w:t>-</w:t>
            </w:r>
          </w:p>
        </w:tc>
        <w:tc>
          <w:tcPr>
            <w:tcW w:w="849" w:type="dxa"/>
          </w:tcPr>
          <w:p w14:paraId="600D8F03" w14:textId="5F17327C" w:rsidR="00E2160D" w:rsidRPr="00BA47F0" w:rsidRDefault="00E2160D" w:rsidP="001739C8">
            <w:pPr>
              <w:pStyle w:val="Compact"/>
              <w:spacing w:line="240" w:lineRule="auto"/>
              <w:rPr>
                <w:highlight w:val="red"/>
              </w:rPr>
            </w:pPr>
            <w:r w:rsidRPr="0044103C">
              <w:t>***</w:t>
            </w:r>
          </w:p>
        </w:tc>
      </w:tr>
      <w:tr w:rsidR="00E2160D" w:rsidRPr="0018462C" w14:paraId="1D077985" w14:textId="77777777" w:rsidTr="008041FB">
        <w:tc>
          <w:tcPr>
            <w:tcW w:w="1251" w:type="dxa"/>
            <w:tcBorders>
              <w:top w:val="single" w:sz="2" w:space="0" w:color="auto"/>
            </w:tcBorders>
          </w:tcPr>
          <w:p w14:paraId="6E4CF490" w14:textId="041C0560" w:rsidR="00E2160D" w:rsidRPr="0018462C" w:rsidRDefault="00E2160D" w:rsidP="00847682">
            <w:pPr>
              <w:pStyle w:val="Compact"/>
              <w:spacing w:line="240" w:lineRule="auto"/>
            </w:pPr>
            <w:r w:rsidRPr="0018462C">
              <w:t>(</w:t>
            </w:r>
            <w:r>
              <w:t>b</w:t>
            </w:r>
            <w:r w:rsidRPr="0018462C">
              <w:t xml:space="preserve">) </w:t>
            </w:r>
            <w:r w:rsidRPr="0018462C">
              <w:rPr>
                <w:i/>
              </w:rPr>
              <w:t>S</w:t>
            </w:r>
            <w:r w:rsidRPr="0018462C">
              <w:rPr>
                <w:vertAlign w:val="subscript"/>
              </w:rPr>
              <w:t>HDS</w:t>
            </w:r>
          </w:p>
        </w:tc>
        <w:tc>
          <w:tcPr>
            <w:tcW w:w="2318" w:type="dxa"/>
            <w:tcBorders>
              <w:top w:val="single" w:sz="2" w:space="0" w:color="auto"/>
            </w:tcBorders>
          </w:tcPr>
          <w:p w14:paraId="194F390B" w14:textId="77777777" w:rsidR="00E2160D" w:rsidRPr="00BA47F0" w:rsidRDefault="00E2160D" w:rsidP="00847682">
            <w:pPr>
              <w:pStyle w:val="Compact"/>
              <w:spacing w:line="240" w:lineRule="auto"/>
              <w:rPr>
                <w:highlight w:val="red"/>
              </w:rPr>
            </w:pPr>
            <w:r w:rsidRPr="00432602">
              <w:t>Main effect only</w:t>
            </w:r>
          </w:p>
        </w:tc>
        <w:tc>
          <w:tcPr>
            <w:tcW w:w="1276" w:type="dxa"/>
            <w:tcBorders>
              <w:top w:val="single" w:sz="2" w:space="0" w:color="auto"/>
            </w:tcBorders>
          </w:tcPr>
          <w:p w14:paraId="0F4C10DF" w14:textId="77777777" w:rsidR="00E2160D" w:rsidRPr="00BA47F0" w:rsidRDefault="00E2160D" w:rsidP="00847682">
            <w:pPr>
              <w:pStyle w:val="Compact"/>
              <w:spacing w:line="240" w:lineRule="auto"/>
              <w:rPr>
                <w:highlight w:val="red"/>
              </w:rPr>
            </w:pPr>
            <w:r w:rsidRPr="00432602">
              <w:t>Elevation</w:t>
            </w:r>
          </w:p>
        </w:tc>
        <w:tc>
          <w:tcPr>
            <w:tcW w:w="683" w:type="dxa"/>
            <w:tcBorders>
              <w:top w:val="single" w:sz="2" w:space="0" w:color="auto"/>
            </w:tcBorders>
          </w:tcPr>
          <w:p w14:paraId="7430057D" w14:textId="77777777" w:rsidR="00E2160D" w:rsidRPr="00BA47F0" w:rsidRDefault="00E2160D" w:rsidP="008041FB">
            <w:pPr>
              <w:pStyle w:val="Compact"/>
              <w:spacing w:line="240" w:lineRule="auto"/>
              <w:jc w:val="right"/>
              <w:rPr>
                <w:highlight w:val="red"/>
              </w:rPr>
            </w:pPr>
            <w:r w:rsidRPr="00432602">
              <w:t>+</w:t>
            </w:r>
          </w:p>
        </w:tc>
        <w:tc>
          <w:tcPr>
            <w:tcW w:w="708" w:type="dxa"/>
            <w:tcBorders>
              <w:top w:val="single" w:sz="2" w:space="0" w:color="auto"/>
            </w:tcBorders>
          </w:tcPr>
          <w:p w14:paraId="714F7B60" w14:textId="77777777" w:rsidR="00E2160D" w:rsidRPr="00BA47F0" w:rsidRDefault="00E2160D" w:rsidP="008041FB">
            <w:pPr>
              <w:pStyle w:val="Compact"/>
              <w:spacing w:line="240" w:lineRule="auto"/>
              <w:rPr>
                <w:highlight w:val="red"/>
              </w:rPr>
            </w:pPr>
            <w:r w:rsidRPr="00432602">
              <w:t>*</w:t>
            </w:r>
          </w:p>
        </w:tc>
        <w:tc>
          <w:tcPr>
            <w:tcW w:w="852" w:type="dxa"/>
            <w:tcBorders>
              <w:top w:val="single" w:sz="2" w:space="0" w:color="auto"/>
            </w:tcBorders>
          </w:tcPr>
          <w:p w14:paraId="113D1288" w14:textId="77777777" w:rsidR="00E2160D" w:rsidRPr="00BA47F0" w:rsidRDefault="00E2160D" w:rsidP="008041FB">
            <w:pPr>
              <w:pStyle w:val="Compact"/>
              <w:spacing w:line="240" w:lineRule="auto"/>
              <w:jc w:val="right"/>
              <w:rPr>
                <w:highlight w:val="red"/>
              </w:rPr>
            </w:pPr>
          </w:p>
        </w:tc>
        <w:tc>
          <w:tcPr>
            <w:tcW w:w="849" w:type="dxa"/>
            <w:tcBorders>
              <w:top w:val="single" w:sz="2" w:space="0" w:color="auto"/>
            </w:tcBorders>
          </w:tcPr>
          <w:p w14:paraId="6EFC9A3C" w14:textId="77777777" w:rsidR="00E2160D" w:rsidRPr="00BA47F0" w:rsidRDefault="00E2160D" w:rsidP="00847682">
            <w:pPr>
              <w:pStyle w:val="Compact"/>
              <w:spacing w:line="240" w:lineRule="auto"/>
              <w:rPr>
                <w:highlight w:val="red"/>
              </w:rPr>
            </w:pPr>
          </w:p>
        </w:tc>
      </w:tr>
      <w:tr w:rsidR="00E2160D" w:rsidRPr="0018462C" w14:paraId="6B625CED" w14:textId="77777777" w:rsidTr="008041FB">
        <w:tc>
          <w:tcPr>
            <w:tcW w:w="1251" w:type="dxa"/>
          </w:tcPr>
          <w:p w14:paraId="42CDAA33" w14:textId="77777777" w:rsidR="00E2160D" w:rsidRPr="0018462C" w:rsidRDefault="00E2160D" w:rsidP="00847682">
            <w:pPr>
              <w:pStyle w:val="Compact"/>
              <w:spacing w:line="240" w:lineRule="auto"/>
            </w:pPr>
          </w:p>
        </w:tc>
        <w:tc>
          <w:tcPr>
            <w:tcW w:w="2318" w:type="dxa"/>
          </w:tcPr>
          <w:p w14:paraId="670739EC" w14:textId="77777777" w:rsidR="00E2160D" w:rsidRPr="00BA47F0" w:rsidRDefault="00E2160D" w:rsidP="00847682">
            <w:pPr>
              <w:pStyle w:val="Compact"/>
              <w:spacing w:line="240" w:lineRule="auto"/>
              <w:rPr>
                <w:highlight w:val="red"/>
              </w:rPr>
            </w:pPr>
          </w:p>
        </w:tc>
        <w:tc>
          <w:tcPr>
            <w:tcW w:w="1276" w:type="dxa"/>
          </w:tcPr>
          <w:p w14:paraId="1B45F2F2" w14:textId="77777777" w:rsidR="00E2160D" w:rsidRPr="00BA47F0" w:rsidRDefault="00E2160D" w:rsidP="00847682">
            <w:pPr>
              <w:pStyle w:val="Compact"/>
              <w:spacing w:line="240" w:lineRule="auto"/>
              <w:rPr>
                <w:highlight w:val="red"/>
              </w:rPr>
            </w:pPr>
            <w:r w:rsidRPr="00432602">
              <w:t>MAP</w:t>
            </w:r>
          </w:p>
        </w:tc>
        <w:tc>
          <w:tcPr>
            <w:tcW w:w="683" w:type="dxa"/>
          </w:tcPr>
          <w:p w14:paraId="6585EA14" w14:textId="77777777" w:rsidR="00E2160D" w:rsidRPr="00BA47F0" w:rsidRDefault="00E2160D" w:rsidP="008041FB">
            <w:pPr>
              <w:pStyle w:val="Compact"/>
              <w:spacing w:line="240" w:lineRule="auto"/>
              <w:jc w:val="right"/>
              <w:rPr>
                <w:highlight w:val="red"/>
              </w:rPr>
            </w:pPr>
            <w:r w:rsidRPr="00432602">
              <w:t>+</w:t>
            </w:r>
          </w:p>
        </w:tc>
        <w:tc>
          <w:tcPr>
            <w:tcW w:w="708" w:type="dxa"/>
          </w:tcPr>
          <w:p w14:paraId="5D71FBFF" w14:textId="77777777" w:rsidR="00E2160D" w:rsidRPr="00BA47F0" w:rsidRDefault="00E2160D" w:rsidP="008041FB">
            <w:pPr>
              <w:pStyle w:val="Compact"/>
              <w:spacing w:line="240" w:lineRule="auto"/>
              <w:rPr>
                <w:highlight w:val="red"/>
              </w:rPr>
            </w:pPr>
            <w:r w:rsidRPr="00432602">
              <w:t>***</w:t>
            </w:r>
          </w:p>
        </w:tc>
        <w:tc>
          <w:tcPr>
            <w:tcW w:w="852" w:type="dxa"/>
          </w:tcPr>
          <w:p w14:paraId="78DD53B4" w14:textId="77777777" w:rsidR="00E2160D" w:rsidRPr="00BA47F0" w:rsidRDefault="00E2160D" w:rsidP="008041FB">
            <w:pPr>
              <w:pStyle w:val="Compact"/>
              <w:spacing w:line="240" w:lineRule="auto"/>
              <w:jc w:val="right"/>
              <w:rPr>
                <w:highlight w:val="red"/>
              </w:rPr>
            </w:pPr>
          </w:p>
        </w:tc>
        <w:tc>
          <w:tcPr>
            <w:tcW w:w="849" w:type="dxa"/>
          </w:tcPr>
          <w:p w14:paraId="5DE11A13" w14:textId="77777777" w:rsidR="00E2160D" w:rsidRPr="00BA47F0" w:rsidRDefault="00E2160D" w:rsidP="00847682">
            <w:pPr>
              <w:pStyle w:val="Compact"/>
              <w:spacing w:line="240" w:lineRule="auto"/>
              <w:rPr>
                <w:highlight w:val="red"/>
              </w:rPr>
            </w:pPr>
          </w:p>
        </w:tc>
      </w:tr>
      <w:tr w:rsidR="00E2160D" w:rsidRPr="0018462C" w14:paraId="5210E479" w14:textId="77777777" w:rsidTr="008041FB">
        <w:tc>
          <w:tcPr>
            <w:tcW w:w="1251" w:type="dxa"/>
          </w:tcPr>
          <w:p w14:paraId="3793E1B1" w14:textId="77777777" w:rsidR="00E2160D" w:rsidRPr="0018462C" w:rsidRDefault="00E2160D" w:rsidP="00847682">
            <w:pPr>
              <w:pStyle w:val="Compact"/>
              <w:spacing w:line="240" w:lineRule="auto"/>
            </w:pPr>
          </w:p>
        </w:tc>
        <w:tc>
          <w:tcPr>
            <w:tcW w:w="2318" w:type="dxa"/>
          </w:tcPr>
          <w:p w14:paraId="3F4604DD" w14:textId="77777777" w:rsidR="00E2160D" w:rsidRPr="00BA47F0" w:rsidRDefault="00E2160D" w:rsidP="00847682">
            <w:pPr>
              <w:pStyle w:val="Compact"/>
              <w:spacing w:line="240" w:lineRule="auto"/>
              <w:rPr>
                <w:highlight w:val="red"/>
              </w:rPr>
            </w:pPr>
          </w:p>
        </w:tc>
        <w:tc>
          <w:tcPr>
            <w:tcW w:w="1276" w:type="dxa"/>
          </w:tcPr>
          <w:p w14:paraId="7C3569A6" w14:textId="77777777" w:rsidR="00E2160D" w:rsidRPr="00BA47F0" w:rsidRDefault="00E2160D" w:rsidP="00847682">
            <w:pPr>
              <w:pStyle w:val="Compact"/>
              <w:spacing w:line="240" w:lineRule="auto"/>
              <w:rPr>
                <w:highlight w:val="red"/>
              </w:rPr>
            </w:pPr>
            <w:r w:rsidRPr="00432602">
              <w:t>PDQ</w:t>
            </w:r>
          </w:p>
        </w:tc>
        <w:tc>
          <w:tcPr>
            <w:tcW w:w="683" w:type="dxa"/>
          </w:tcPr>
          <w:p w14:paraId="2822FD91" w14:textId="77777777" w:rsidR="00E2160D" w:rsidRPr="00BA47F0" w:rsidRDefault="00E2160D" w:rsidP="008041FB">
            <w:pPr>
              <w:pStyle w:val="Compact"/>
              <w:spacing w:line="240" w:lineRule="auto"/>
              <w:jc w:val="right"/>
              <w:rPr>
                <w:highlight w:val="red"/>
              </w:rPr>
            </w:pPr>
            <w:r w:rsidRPr="00432602">
              <w:t>+</w:t>
            </w:r>
          </w:p>
        </w:tc>
        <w:tc>
          <w:tcPr>
            <w:tcW w:w="708" w:type="dxa"/>
          </w:tcPr>
          <w:p w14:paraId="61666BAE" w14:textId="77777777" w:rsidR="00E2160D" w:rsidRPr="00BA47F0" w:rsidRDefault="00E2160D" w:rsidP="008041FB">
            <w:pPr>
              <w:pStyle w:val="Compact"/>
              <w:spacing w:line="240" w:lineRule="auto"/>
              <w:rPr>
                <w:highlight w:val="red"/>
              </w:rPr>
            </w:pPr>
            <w:r w:rsidRPr="00432602">
              <w:t>***</w:t>
            </w:r>
          </w:p>
        </w:tc>
        <w:tc>
          <w:tcPr>
            <w:tcW w:w="852" w:type="dxa"/>
          </w:tcPr>
          <w:p w14:paraId="313DE168" w14:textId="77777777" w:rsidR="00E2160D" w:rsidRPr="00BA47F0" w:rsidRDefault="00E2160D" w:rsidP="008041FB">
            <w:pPr>
              <w:pStyle w:val="Compact"/>
              <w:spacing w:line="240" w:lineRule="auto"/>
              <w:jc w:val="right"/>
              <w:rPr>
                <w:highlight w:val="red"/>
              </w:rPr>
            </w:pPr>
          </w:p>
        </w:tc>
        <w:tc>
          <w:tcPr>
            <w:tcW w:w="849" w:type="dxa"/>
          </w:tcPr>
          <w:p w14:paraId="2DFD1B8A" w14:textId="77777777" w:rsidR="00E2160D" w:rsidRPr="00BA47F0" w:rsidRDefault="00E2160D" w:rsidP="00847682">
            <w:pPr>
              <w:pStyle w:val="Compact"/>
              <w:spacing w:line="240" w:lineRule="auto"/>
              <w:rPr>
                <w:highlight w:val="red"/>
              </w:rPr>
            </w:pPr>
          </w:p>
        </w:tc>
      </w:tr>
      <w:tr w:rsidR="00E2160D" w:rsidRPr="0018462C" w14:paraId="67434E0C" w14:textId="77777777" w:rsidTr="008041FB">
        <w:tc>
          <w:tcPr>
            <w:tcW w:w="1251" w:type="dxa"/>
          </w:tcPr>
          <w:p w14:paraId="6D19E55F" w14:textId="77777777" w:rsidR="00E2160D" w:rsidRPr="0018462C" w:rsidRDefault="00E2160D" w:rsidP="00847682">
            <w:pPr>
              <w:pStyle w:val="Compact"/>
              <w:spacing w:line="240" w:lineRule="auto"/>
            </w:pPr>
          </w:p>
        </w:tc>
        <w:tc>
          <w:tcPr>
            <w:tcW w:w="2318" w:type="dxa"/>
          </w:tcPr>
          <w:p w14:paraId="1581718A" w14:textId="77777777" w:rsidR="00E2160D" w:rsidRPr="00BA47F0" w:rsidRDefault="00E2160D" w:rsidP="00847682">
            <w:pPr>
              <w:pStyle w:val="Compact"/>
              <w:spacing w:line="240" w:lineRule="auto"/>
              <w:rPr>
                <w:highlight w:val="red"/>
              </w:rPr>
            </w:pPr>
          </w:p>
        </w:tc>
        <w:tc>
          <w:tcPr>
            <w:tcW w:w="1276" w:type="dxa"/>
          </w:tcPr>
          <w:p w14:paraId="21ED70B5" w14:textId="77777777" w:rsidR="00E2160D" w:rsidRPr="00BA47F0" w:rsidRDefault="00E2160D" w:rsidP="00847682">
            <w:pPr>
              <w:pStyle w:val="Compact"/>
              <w:spacing w:line="240" w:lineRule="auto"/>
              <w:rPr>
                <w:highlight w:val="red"/>
              </w:rPr>
            </w:pPr>
            <w:r w:rsidRPr="00432602">
              <w:t>Surface T</w:t>
            </w:r>
          </w:p>
        </w:tc>
        <w:tc>
          <w:tcPr>
            <w:tcW w:w="683" w:type="dxa"/>
          </w:tcPr>
          <w:p w14:paraId="2D09A4B9" w14:textId="77777777" w:rsidR="00E2160D" w:rsidRPr="00BA47F0" w:rsidRDefault="00E2160D" w:rsidP="008041FB">
            <w:pPr>
              <w:pStyle w:val="Compact"/>
              <w:spacing w:line="240" w:lineRule="auto"/>
              <w:jc w:val="right"/>
              <w:rPr>
                <w:highlight w:val="red"/>
              </w:rPr>
            </w:pPr>
            <w:r w:rsidRPr="00432602">
              <w:t>+</w:t>
            </w:r>
          </w:p>
        </w:tc>
        <w:tc>
          <w:tcPr>
            <w:tcW w:w="708" w:type="dxa"/>
          </w:tcPr>
          <w:p w14:paraId="6601264B" w14:textId="77777777" w:rsidR="00E2160D" w:rsidRPr="00BA47F0" w:rsidRDefault="00E2160D" w:rsidP="008041FB">
            <w:pPr>
              <w:pStyle w:val="Compact"/>
              <w:spacing w:line="240" w:lineRule="auto"/>
              <w:rPr>
                <w:highlight w:val="red"/>
              </w:rPr>
            </w:pPr>
            <w:r w:rsidRPr="00432602">
              <w:t>*</w:t>
            </w:r>
          </w:p>
        </w:tc>
        <w:tc>
          <w:tcPr>
            <w:tcW w:w="852" w:type="dxa"/>
          </w:tcPr>
          <w:p w14:paraId="55270A53" w14:textId="77777777" w:rsidR="00E2160D" w:rsidRPr="00BA47F0" w:rsidRDefault="00E2160D" w:rsidP="008041FB">
            <w:pPr>
              <w:pStyle w:val="Compact"/>
              <w:spacing w:line="240" w:lineRule="auto"/>
              <w:jc w:val="right"/>
              <w:rPr>
                <w:highlight w:val="red"/>
              </w:rPr>
            </w:pPr>
          </w:p>
        </w:tc>
        <w:tc>
          <w:tcPr>
            <w:tcW w:w="849" w:type="dxa"/>
          </w:tcPr>
          <w:p w14:paraId="55C3EE63" w14:textId="77777777" w:rsidR="00E2160D" w:rsidRPr="00BA47F0" w:rsidRDefault="00E2160D" w:rsidP="00847682">
            <w:pPr>
              <w:pStyle w:val="Compact"/>
              <w:spacing w:line="240" w:lineRule="auto"/>
              <w:rPr>
                <w:highlight w:val="red"/>
              </w:rPr>
            </w:pPr>
          </w:p>
        </w:tc>
      </w:tr>
      <w:tr w:rsidR="00E2160D" w:rsidRPr="0018462C" w14:paraId="27B21AD3" w14:textId="77777777" w:rsidTr="008041FB">
        <w:tc>
          <w:tcPr>
            <w:tcW w:w="1251" w:type="dxa"/>
          </w:tcPr>
          <w:p w14:paraId="1C1616E0" w14:textId="77777777" w:rsidR="00E2160D" w:rsidRPr="0018462C" w:rsidRDefault="00E2160D" w:rsidP="00847682">
            <w:pPr>
              <w:pStyle w:val="Compact"/>
              <w:spacing w:line="240" w:lineRule="auto"/>
            </w:pPr>
          </w:p>
        </w:tc>
        <w:tc>
          <w:tcPr>
            <w:tcW w:w="2318" w:type="dxa"/>
          </w:tcPr>
          <w:p w14:paraId="16785429" w14:textId="77777777" w:rsidR="00E2160D" w:rsidRPr="00BA47F0" w:rsidRDefault="00E2160D" w:rsidP="00847682">
            <w:pPr>
              <w:pStyle w:val="Compact"/>
              <w:spacing w:line="240" w:lineRule="auto"/>
              <w:rPr>
                <w:highlight w:val="red"/>
              </w:rPr>
            </w:pPr>
          </w:p>
        </w:tc>
        <w:tc>
          <w:tcPr>
            <w:tcW w:w="1276" w:type="dxa"/>
          </w:tcPr>
          <w:p w14:paraId="214178FF" w14:textId="77777777" w:rsidR="00E2160D" w:rsidRPr="00BA47F0" w:rsidRDefault="00E2160D" w:rsidP="00847682">
            <w:pPr>
              <w:pStyle w:val="Compact"/>
              <w:spacing w:line="240" w:lineRule="auto"/>
              <w:rPr>
                <w:highlight w:val="red"/>
              </w:rPr>
            </w:pPr>
            <w:r w:rsidRPr="00432602">
              <w:t>NDVI</w:t>
            </w:r>
          </w:p>
        </w:tc>
        <w:tc>
          <w:tcPr>
            <w:tcW w:w="683" w:type="dxa"/>
          </w:tcPr>
          <w:p w14:paraId="67CB88C7" w14:textId="77777777" w:rsidR="00E2160D" w:rsidRPr="00BA47F0" w:rsidRDefault="00E2160D" w:rsidP="008041FB">
            <w:pPr>
              <w:pStyle w:val="Compact"/>
              <w:spacing w:line="240" w:lineRule="auto"/>
              <w:jc w:val="right"/>
              <w:rPr>
                <w:highlight w:val="red"/>
              </w:rPr>
            </w:pPr>
            <w:r w:rsidRPr="00432602">
              <w:t>+</w:t>
            </w:r>
          </w:p>
        </w:tc>
        <w:tc>
          <w:tcPr>
            <w:tcW w:w="708" w:type="dxa"/>
          </w:tcPr>
          <w:p w14:paraId="064B38B3" w14:textId="77777777" w:rsidR="00E2160D" w:rsidRPr="00BA47F0" w:rsidRDefault="00E2160D" w:rsidP="008041FB">
            <w:pPr>
              <w:pStyle w:val="Compact"/>
              <w:spacing w:line="240" w:lineRule="auto"/>
              <w:rPr>
                <w:highlight w:val="red"/>
              </w:rPr>
            </w:pPr>
            <w:r w:rsidRPr="00432602">
              <w:t>***</w:t>
            </w:r>
          </w:p>
        </w:tc>
        <w:tc>
          <w:tcPr>
            <w:tcW w:w="852" w:type="dxa"/>
          </w:tcPr>
          <w:p w14:paraId="0ECAEEEA" w14:textId="77777777" w:rsidR="00E2160D" w:rsidRPr="00BA47F0" w:rsidRDefault="00E2160D" w:rsidP="008041FB">
            <w:pPr>
              <w:pStyle w:val="Compact"/>
              <w:spacing w:line="240" w:lineRule="auto"/>
              <w:jc w:val="right"/>
              <w:rPr>
                <w:highlight w:val="red"/>
              </w:rPr>
            </w:pPr>
          </w:p>
        </w:tc>
        <w:tc>
          <w:tcPr>
            <w:tcW w:w="849" w:type="dxa"/>
          </w:tcPr>
          <w:p w14:paraId="1A3C5037" w14:textId="77777777" w:rsidR="00E2160D" w:rsidRPr="00BA47F0" w:rsidRDefault="00E2160D" w:rsidP="00847682">
            <w:pPr>
              <w:pStyle w:val="Compact"/>
              <w:spacing w:line="240" w:lineRule="auto"/>
              <w:rPr>
                <w:highlight w:val="red"/>
              </w:rPr>
            </w:pPr>
          </w:p>
        </w:tc>
      </w:tr>
      <w:tr w:rsidR="00E2160D" w:rsidRPr="0018462C" w14:paraId="122B6F0E" w14:textId="77777777" w:rsidTr="008041FB">
        <w:tc>
          <w:tcPr>
            <w:tcW w:w="1251" w:type="dxa"/>
          </w:tcPr>
          <w:p w14:paraId="76BBEAF0" w14:textId="77777777" w:rsidR="00E2160D" w:rsidRPr="0018462C" w:rsidRDefault="00E2160D" w:rsidP="00847682">
            <w:pPr>
              <w:pStyle w:val="Compact"/>
              <w:spacing w:line="240" w:lineRule="auto"/>
            </w:pPr>
          </w:p>
        </w:tc>
        <w:tc>
          <w:tcPr>
            <w:tcW w:w="2318" w:type="dxa"/>
          </w:tcPr>
          <w:p w14:paraId="2230F4AC" w14:textId="77777777" w:rsidR="00E2160D" w:rsidRPr="00BA47F0" w:rsidRDefault="00E2160D" w:rsidP="00847682">
            <w:pPr>
              <w:pStyle w:val="Compact"/>
              <w:spacing w:line="240" w:lineRule="auto"/>
              <w:rPr>
                <w:highlight w:val="red"/>
              </w:rPr>
            </w:pPr>
          </w:p>
        </w:tc>
        <w:tc>
          <w:tcPr>
            <w:tcW w:w="1276" w:type="dxa"/>
          </w:tcPr>
          <w:p w14:paraId="4B272B26" w14:textId="77777777" w:rsidR="00E2160D" w:rsidRPr="00BA47F0" w:rsidRDefault="00E2160D" w:rsidP="00847682">
            <w:pPr>
              <w:pStyle w:val="Compact"/>
              <w:spacing w:line="240" w:lineRule="auto"/>
              <w:rPr>
                <w:highlight w:val="red"/>
              </w:rPr>
            </w:pPr>
            <w:r w:rsidRPr="00432602">
              <w:t>CEC</w:t>
            </w:r>
          </w:p>
        </w:tc>
        <w:tc>
          <w:tcPr>
            <w:tcW w:w="683" w:type="dxa"/>
          </w:tcPr>
          <w:p w14:paraId="38AF2147" w14:textId="77777777" w:rsidR="00E2160D" w:rsidRPr="00BA47F0" w:rsidRDefault="00E2160D" w:rsidP="008041FB">
            <w:pPr>
              <w:pStyle w:val="Compact"/>
              <w:spacing w:line="240" w:lineRule="auto"/>
              <w:jc w:val="right"/>
              <w:rPr>
                <w:highlight w:val="red"/>
              </w:rPr>
            </w:pPr>
            <w:r w:rsidRPr="00432602">
              <w:t>-</w:t>
            </w:r>
          </w:p>
        </w:tc>
        <w:tc>
          <w:tcPr>
            <w:tcW w:w="708" w:type="dxa"/>
          </w:tcPr>
          <w:p w14:paraId="319C7DC8" w14:textId="77777777" w:rsidR="00E2160D" w:rsidRPr="00BA47F0" w:rsidRDefault="00E2160D" w:rsidP="008041FB">
            <w:pPr>
              <w:pStyle w:val="Compact"/>
              <w:spacing w:line="240" w:lineRule="auto"/>
              <w:rPr>
                <w:highlight w:val="red"/>
              </w:rPr>
            </w:pPr>
          </w:p>
        </w:tc>
        <w:tc>
          <w:tcPr>
            <w:tcW w:w="852" w:type="dxa"/>
          </w:tcPr>
          <w:p w14:paraId="5B922517" w14:textId="77777777" w:rsidR="00E2160D" w:rsidRPr="00BA47F0" w:rsidRDefault="00E2160D" w:rsidP="008041FB">
            <w:pPr>
              <w:pStyle w:val="Compact"/>
              <w:spacing w:line="240" w:lineRule="auto"/>
              <w:jc w:val="right"/>
              <w:rPr>
                <w:highlight w:val="red"/>
              </w:rPr>
            </w:pPr>
          </w:p>
        </w:tc>
        <w:tc>
          <w:tcPr>
            <w:tcW w:w="849" w:type="dxa"/>
          </w:tcPr>
          <w:p w14:paraId="10A5CF7B" w14:textId="77777777" w:rsidR="00E2160D" w:rsidRPr="00BA47F0" w:rsidRDefault="00E2160D" w:rsidP="00847682">
            <w:pPr>
              <w:pStyle w:val="Compact"/>
              <w:spacing w:line="240" w:lineRule="auto"/>
              <w:rPr>
                <w:highlight w:val="red"/>
              </w:rPr>
            </w:pPr>
          </w:p>
        </w:tc>
      </w:tr>
      <w:tr w:rsidR="00E2160D" w:rsidRPr="0018462C" w14:paraId="5ABA2A23" w14:textId="77777777" w:rsidTr="008041FB">
        <w:tc>
          <w:tcPr>
            <w:tcW w:w="1251" w:type="dxa"/>
          </w:tcPr>
          <w:p w14:paraId="2750288F" w14:textId="77777777" w:rsidR="00E2160D" w:rsidRPr="0018462C" w:rsidRDefault="00E2160D" w:rsidP="00847682">
            <w:pPr>
              <w:pStyle w:val="Compact"/>
              <w:spacing w:line="240" w:lineRule="auto"/>
            </w:pPr>
          </w:p>
        </w:tc>
        <w:tc>
          <w:tcPr>
            <w:tcW w:w="2318" w:type="dxa"/>
          </w:tcPr>
          <w:p w14:paraId="4930B078" w14:textId="77777777" w:rsidR="00E2160D" w:rsidRPr="00BA47F0" w:rsidRDefault="00E2160D" w:rsidP="00847682">
            <w:pPr>
              <w:pStyle w:val="Compact"/>
              <w:spacing w:line="240" w:lineRule="auto"/>
              <w:rPr>
                <w:highlight w:val="red"/>
              </w:rPr>
            </w:pPr>
          </w:p>
        </w:tc>
        <w:tc>
          <w:tcPr>
            <w:tcW w:w="1276" w:type="dxa"/>
          </w:tcPr>
          <w:p w14:paraId="6BEEC01C" w14:textId="77777777" w:rsidR="00E2160D" w:rsidRPr="00BA47F0" w:rsidRDefault="00E2160D" w:rsidP="00847682">
            <w:pPr>
              <w:pStyle w:val="Compact"/>
              <w:spacing w:line="240" w:lineRule="auto"/>
              <w:rPr>
                <w:highlight w:val="red"/>
              </w:rPr>
            </w:pPr>
            <w:r w:rsidRPr="00432602">
              <w:t>Clay</w:t>
            </w:r>
          </w:p>
        </w:tc>
        <w:tc>
          <w:tcPr>
            <w:tcW w:w="683" w:type="dxa"/>
          </w:tcPr>
          <w:p w14:paraId="414CEE2E" w14:textId="77777777" w:rsidR="00E2160D" w:rsidRPr="00BA47F0" w:rsidRDefault="00E2160D" w:rsidP="008041FB">
            <w:pPr>
              <w:pStyle w:val="Compact"/>
              <w:spacing w:line="240" w:lineRule="auto"/>
              <w:jc w:val="right"/>
              <w:rPr>
                <w:highlight w:val="red"/>
              </w:rPr>
            </w:pPr>
            <w:r w:rsidRPr="00432602">
              <w:t>+</w:t>
            </w:r>
          </w:p>
        </w:tc>
        <w:tc>
          <w:tcPr>
            <w:tcW w:w="708" w:type="dxa"/>
          </w:tcPr>
          <w:p w14:paraId="3F5A25DD" w14:textId="77777777" w:rsidR="00E2160D" w:rsidRPr="00BA47F0" w:rsidRDefault="00E2160D" w:rsidP="008041FB">
            <w:pPr>
              <w:pStyle w:val="Compact"/>
              <w:spacing w:line="240" w:lineRule="auto"/>
              <w:rPr>
                <w:highlight w:val="red"/>
              </w:rPr>
            </w:pPr>
            <w:r w:rsidRPr="00432602">
              <w:t>**</w:t>
            </w:r>
          </w:p>
        </w:tc>
        <w:tc>
          <w:tcPr>
            <w:tcW w:w="852" w:type="dxa"/>
          </w:tcPr>
          <w:p w14:paraId="006B703F" w14:textId="77777777" w:rsidR="00E2160D" w:rsidRPr="00BA47F0" w:rsidRDefault="00E2160D" w:rsidP="008041FB">
            <w:pPr>
              <w:pStyle w:val="Compact"/>
              <w:spacing w:line="240" w:lineRule="auto"/>
              <w:jc w:val="right"/>
              <w:rPr>
                <w:highlight w:val="red"/>
              </w:rPr>
            </w:pPr>
          </w:p>
        </w:tc>
        <w:tc>
          <w:tcPr>
            <w:tcW w:w="849" w:type="dxa"/>
          </w:tcPr>
          <w:p w14:paraId="34BDD603" w14:textId="77777777" w:rsidR="00E2160D" w:rsidRPr="00BA47F0" w:rsidRDefault="00E2160D" w:rsidP="00847682">
            <w:pPr>
              <w:pStyle w:val="Compact"/>
              <w:spacing w:line="240" w:lineRule="auto"/>
              <w:rPr>
                <w:highlight w:val="red"/>
              </w:rPr>
            </w:pPr>
          </w:p>
        </w:tc>
      </w:tr>
      <w:tr w:rsidR="00E2160D" w:rsidRPr="0018462C" w14:paraId="06A9E078" w14:textId="77777777" w:rsidTr="008041FB">
        <w:tc>
          <w:tcPr>
            <w:tcW w:w="1251" w:type="dxa"/>
          </w:tcPr>
          <w:p w14:paraId="32EF69C4" w14:textId="77777777" w:rsidR="00E2160D" w:rsidRPr="0018462C" w:rsidRDefault="00E2160D" w:rsidP="00847682">
            <w:pPr>
              <w:pStyle w:val="Compact"/>
              <w:spacing w:line="240" w:lineRule="auto"/>
            </w:pPr>
          </w:p>
        </w:tc>
        <w:tc>
          <w:tcPr>
            <w:tcW w:w="2318" w:type="dxa"/>
          </w:tcPr>
          <w:p w14:paraId="25B95102" w14:textId="77777777" w:rsidR="00E2160D" w:rsidRPr="00BA47F0" w:rsidRDefault="00E2160D" w:rsidP="00847682">
            <w:pPr>
              <w:pStyle w:val="Compact"/>
              <w:spacing w:line="240" w:lineRule="auto"/>
              <w:rPr>
                <w:highlight w:val="red"/>
              </w:rPr>
            </w:pPr>
          </w:p>
        </w:tc>
        <w:tc>
          <w:tcPr>
            <w:tcW w:w="1276" w:type="dxa"/>
          </w:tcPr>
          <w:p w14:paraId="5165742B" w14:textId="77777777" w:rsidR="00E2160D" w:rsidRPr="00BA47F0" w:rsidRDefault="00E2160D" w:rsidP="00847682">
            <w:pPr>
              <w:pStyle w:val="Compact"/>
              <w:spacing w:line="240" w:lineRule="auto"/>
              <w:rPr>
                <w:highlight w:val="red"/>
              </w:rPr>
            </w:pPr>
            <w:r w:rsidRPr="00432602">
              <w:t>Soil C</w:t>
            </w:r>
          </w:p>
        </w:tc>
        <w:tc>
          <w:tcPr>
            <w:tcW w:w="683" w:type="dxa"/>
          </w:tcPr>
          <w:p w14:paraId="3C268989" w14:textId="77777777" w:rsidR="00E2160D" w:rsidRPr="00BA47F0" w:rsidRDefault="00E2160D" w:rsidP="008041FB">
            <w:pPr>
              <w:pStyle w:val="Compact"/>
              <w:spacing w:line="240" w:lineRule="auto"/>
              <w:jc w:val="right"/>
              <w:rPr>
                <w:highlight w:val="red"/>
              </w:rPr>
            </w:pPr>
            <w:r w:rsidRPr="00432602">
              <w:t>+</w:t>
            </w:r>
          </w:p>
        </w:tc>
        <w:tc>
          <w:tcPr>
            <w:tcW w:w="708" w:type="dxa"/>
          </w:tcPr>
          <w:p w14:paraId="2D772689" w14:textId="77777777" w:rsidR="00E2160D" w:rsidRPr="00BA47F0" w:rsidRDefault="00E2160D" w:rsidP="008041FB">
            <w:pPr>
              <w:pStyle w:val="Compact"/>
              <w:spacing w:line="240" w:lineRule="auto"/>
              <w:rPr>
                <w:highlight w:val="red"/>
              </w:rPr>
            </w:pPr>
            <w:r w:rsidRPr="00432602">
              <w:t>*</w:t>
            </w:r>
          </w:p>
        </w:tc>
        <w:tc>
          <w:tcPr>
            <w:tcW w:w="852" w:type="dxa"/>
          </w:tcPr>
          <w:p w14:paraId="4F0E2079" w14:textId="77777777" w:rsidR="00E2160D" w:rsidRPr="00BA47F0" w:rsidRDefault="00E2160D" w:rsidP="008041FB">
            <w:pPr>
              <w:pStyle w:val="Compact"/>
              <w:spacing w:line="240" w:lineRule="auto"/>
              <w:jc w:val="right"/>
              <w:rPr>
                <w:highlight w:val="red"/>
              </w:rPr>
            </w:pPr>
          </w:p>
        </w:tc>
        <w:tc>
          <w:tcPr>
            <w:tcW w:w="849" w:type="dxa"/>
          </w:tcPr>
          <w:p w14:paraId="6C009F77" w14:textId="77777777" w:rsidR="00E2160D" w:rsidRPr="00BA47F0" w:rsidRDefault="00E2160D" w:rsidP="00847682">
            <w:pPr>
              <w:pStyle w:val="Compact"/>
              <w:spacing w:line="240" w:lineRule="auto"/>
              <w:rPr>
                <w:highlight w:val="red"/>
              </w:rPr>
            </w:pPr>
          </w:p>
        </w:tc>
      </w:tr>
      <w:tr w:rsidR="00E2160D" w:rsidRPr="0018462C" w14:paraId="7180B734" w14:textId="77777777" w:rsidTr="008041FB">
        <w:tc>
          <w:tcPr>
            <w:tcW w:w="1251" w:type="dxa"/>
          </w:tcPr>
          <w:p w14:paraId="3E151716" w14:textId="77777777" w:rsidR="00E2160D" w:rsidRPr="0018462C" w:rsidRDefault="00E2160D" w:rsidP="00847682">
            <w:pPr>
              <w:pStyle w:val="Compact"/>
              <w:spacing w:line="240" w:lineRule="auto"/>
            </w:pPr>
          </w:p>
        </w:tc>
        <w:tc>
          <w:tcPr>
            <w:tcW w:w="2318" w:type="dxa"/>
          </w:tcPr>
          <w:p w14:paraId="4A23895F" w14:textId="77777777" w:rsidR="00E2160D" w:rsidRPr="00BA47F0" w:rsidRDefault="00E2160D" w:rsidP="00847682">
            <w:pPr>
              <w:pStyle w:val="Compact"/>
              <w:spacing w:line="240" w:lineRule="auto"/>
              <w:rPr>
                <w:highlight w:val="red"/>
              </w:rPr>
            </w:pPr>
          </w:p>
        </w:tc>
        <w:tc>
          <w:tcPr>
            <w:tcW w:w="1276" w:type="dxa"/>
          </w:tcPr>
          <w:p w14:paraId="5059EE4F" w14:textId="77777777" w:rsidR="00E2160D" w:rsidRPr="00BA47F0" w:rsidRDefault="00E2160D" w:rsidP="00847682">
            <w:pPr>
              <w:pStyle w:val="Compact"/>
              <w:spacing w:line="240" w:lineRule="auto"/>
              <w:rPr>
                <w:highlight w:val="red"/>
              </w:rPr>
            </w:pPr>
            <w:r w:rsidRPr="00432602">
              <w:t>pH</w:t>
            </w:r>
          </w:p>
        </w:tc>
        <w:tc>
          <w:tcPr>
            <w:tcW w:w="683" w:type="dxa"/>
          </w:tcPr>
          <w:p w14:paraId="25181CA6" w14:textId="77777777" w:rsidR="00E2160D" w:rsidRPr="00BA47F0" w:rsidRDefault="00E2160D" w:rsidP="008041FB">
            <w:pPr>
              <w:pStyle w:val="Compact"/>
              <w:spacing w:line="240" w:lineRule="auto"/>
              <w:jc w:val="right"/>
              <w:rPr>
                <w:highlight w:val="red"/>
              </w:rPr>
            </w:pPr>
            <w:r w:rsidRPr="00432602">
              <w:t>+</w:t>
            </w:r>
          </w:p>
        </w:tc>
        <w:tc>
          <w:tcPr>
            <w:tcW w:w="708" w:type="dxa"/>
          </w:tcPr>
          <w:p w14:paraId="290FDEE1" w14:textId="77777777" w:rsidR="00E2160D" w:rsidRPr="00BA47F0" w:rsidRDefault="00E2160D" w:rsidP="008041FB">
            <w:pPr>
              <w:pStyle w:val="Compact"/>
              <w:spacing w:line="240" w:lineRule="auto"/>
              <w:rPr>
                <w:highlight w:val="red"/>
              </w:rPr>
            </w:pPr>
          </w:p>
        </w:tc>
        <w:tc>
          <w:tcPr>
            <w:tcW w:w="852" w:type="dxa"/>
          </w:tcPr>
          <w:p w14:paraId="60E617A8" w14:textId="77777777" w:rsidR="00E2160D" w:rsidRPr="00BA47F0" w:rsidRDefault="00E2160D" w:rsidP="008041FB">
            <w:pPr>
              <w:pStyle w:val="Compact"/>
              <w:spacing w:line="240" w:lineRule="auto"/>
              <w:jc w:val="right"/>
              <w:rPr>
                <w:highlight w:val="red"/>
              </w:rPr>
            </w:pPr>
          </w:p>
        </w:tc>
        <w:tc>
          <w:tcPr>
            <w:tcW w:w="849" w:type="dxa"/>
          </w:tcPr>
          <w:p w14:paraId="76267187" w14:textId="77777777" w:rsidR="00E2160D" w:rsidRPr="00BA47F0" w:rsidRDefault="00E2160D" w:rsidP="00847682">
            <w:pPr>
              <w:pStyle w:val="Compact"/>
              <w:spacing w:line="240" w:lineRule="auto"/>
              <w:rPr>
                <w:highlight w:val="red"/>
              </w:rPr>
            </w:pPr>
          </w:p>
        </w:tc>
      </w:tr>
      <w:tr w:rsidR="00E2160D" w:rsidRPr="0018462C" w14:paraId="193508D6" w14:textId="77777777" w:rsidTr="008041FB">
        <w:tc>
          <w:tcPr>
            <w:tcW w:w="1251" w:type="dxa"/>
            <w:tcBorders>
              <w:bottom w:val="single" w:sz="4" w:space="0" w:color="auto"/>
            </w:tcBorders>
          </w:tcPr>
          <w:p w14:paraId="72012CC4" w14:textId="77777777" w:rsidR="00E2160D" w:rsidRPr="0018462C" w:rsidRDefault="00E2160D" w:rsidP="00847682">
            <w:pPr>
              <w:pStyle w:val="Compact"/>
              <w:spacing w:line="240" w:lineRule="auto"/>
            </w:pPr>
          </w:p>
        </w:tc>
        <w:tc>
          <w:tcPr>
            <w:tcW w:w="2318" w:type="dxa"/>
            <w:tcBorders>
              <w:bottom w:val="single" w:sz="4" w:space="0" w:color="auto"/>
            </w:tcBorders>
          </w:tcPr>
          <w:p w14:paraId="321F442E" w14:textId="77777777" w:rsidR="00E2160D" w:rsidRPr="00BA47F0" w:rsidRDefault="00E2160D" w:rsidP="00847682">
            <w:pPr>
              <w:pStyle w:val="Compact"/>
              <w:spacing w:line="240" w:lineRule="auto"/>
              <w:rPr>
                <w:highlight w:val="red"/>
              </w:rPr>
            </w:pPr>
          </w:p>
        </w:tc>
        <w:tc>
          <w:tcPr>
            <w:tcW w:w="1276" w:type="dxa"/>
            <w:tcBorders>
              <w:bottom w:val="single" w:sz="4" w:space="0" w:color="auto"/>
            </w:tcBorders>
          </w:tcPr>
          <w:p w14:paraId="74875E9E" w14:textId="77777777" w:rsidR="00E2160D" w:rsidRPr="00BA47F0" w:rsidRDefault="00E2160D" w:rsidP="00847682">
            <w:pPr>
              <w:pStyle w:val="Compact"/>
              <w:spacing w:line="240" w:lineRule="auto"/>
              <w:rPr>
                <w:highlight w:val="red"/>
              </w:rPr>
            </w:pPr>
            <w:r w:rsidRPr="00432602">
              <w:t>PC1</w:t>
            </w:r>
          </w:p>
        </w:tc>
        <w:tc>
          <w:tcPr>
            <w:tcW w:w="683" w:type="dxa"/>
            <w:tcBorders>
              <w:bottom w:val="single" w:sz="4" w:space="0" w:color="auto"/>
            </w:tcBorders>
          </w:tcPr>
          <w:p w14:paraId="0845BF4D" w14:textId="77777777" w:rsidR="00E2160D" w:rsidRPr="00BA47F0" w:rsidRDefault="00E2160D" w:rsidP="008041FB">
            <w:pPr>
              <w:pStyle w:val="Compact"/>
              <w:spacing w:line="240" w:lineRule="auto"/>
              <w:jc w:val="right"/>
              <w:rPr>
                <w:highlight w:val="red"/>
              </w:rPr>
            </w:pPr>
            <w:r w:rsidRPr="00432602">
              <w:t>+</w:t>
            </w:r>
          </w:p>
        </w:tc>
        <w:tc>
          <w:tcPr>
            <w:tcW w:w="708" w:type="dxa"/>
            <w:tcBorders>
              <w:bottom w:val="single" w:sz="4" w:space="0" w:color="auto"/>
            </w:tcBorders>
          </w:tcPr>
          <w:p w14:paraId="76C88FA9" w14:textId="77777777" w:rsidR="00E2160D" w:rsidRPr="00BA47F0" w:rsidRDefault="00E2160D" w:rsidP="008041FB">
            <w:pPr>
              <w:pStyle w:val="Compact"/>
              <w:spacing w:line="240" w:lineRule="auto"/>
              <w:rPr>
                <w:highlight w:val="red"/>
              </w:rPr>
            </w:pPr>
            <w:r w:rsidRPr="00432602">
              <w:t>***</w:t>
            </w:r>
          </w:p>
        </w:tc>
        <w:tc>
          <w:tcPr>
            <w:tcW w:w="852" w:type="dxa"/>
            <w:tcBorders>
              <w:bottom w:val="single" w:sz="4" w:space="0" w:color="auto"/>
            </w:tcBorders>
          </w:tcPr>
          <w:p w14:paraId="073C4A6C" w14:textId="77777777" w:rsidR="00E2160D" w:rsidRPr="00BA47F0" w:rsidRDefault="00E2160D" w:rsidP="008041FB">
            <w:pPr>
              <w:pStyle w:val="Compact"/>
              <w:spacing w:line="240" w:lineRule="auto"/>
              <w:jc w:val="right"/>
              <w:rPr>
                <w:highlight w:val="red"/>
              </w:rPr>
            </w:pPr>
          </w:p>
        </w:tc>
        <w:tc>
          <w:tcPr>
            <w:tcW w:w="849" w:type="dxa"/>
            <w:tcBorders>
              <w:bottom w:val="single" w:sz="4" w:space="0" w:color="auto"/>
            </w:tcBorders>
          </w:tcPr>
          <w:p w14:paraId="2EFFC6CF" w14:textId="77777777" w:rsidR="00E2160D" w:rsidRPr="00BA47F0" w:rsidRDefault="00E2160D" w:rsidP="00847682">
            <w:pPr>
              <w:pStyle w:val="Compact"/>
              <w:spacing w:line="240" w:lineRule="auto"/>
              <w:rPr>
                <w:highlight w:val="red"/>
              </w:rPr>
            </w:pPr>
          </w:p>
        </w:tc>
      </w:tr>
      <w:tr w:rsidR="00E2160D" w:rsidRPr="0018462C" w14:paraId="732DC4E4" w14:textId="77777777" w:rsidTr="008041FB">
        <w:tc>
          <w:tcPr>
            <w:tcW w:w="1251" w:type="dxa"/>
          </w:tcPr>
          <w:p w14:paraId="45910090" w14:textId="1CD4D8BF" w:rsidR="00E2160D" w:rsidRPr="00847682" w:rsidRDefault="00E2160D" w:rsidP="00847682">
            <w:pPr>
              <w:pStyle w:val="Compact"/>
              <w:spacing w:line="240" w:lineRule="auto"/>
            </w:pPr>
            <w:r>
              <w:t xml:space="preserve">(c) </w:t>
            </w:r>
            <w:r w:rsidRPr="00847682">
              <w:rPr>
                <w:i/>
              </w:rPr>
              <w:t>S</w:t>
            </w:r>
            <w:r>
              <w:rPr>
                <w:vertAlign w:val="subscript"/>
              </w:rPr>
              <w:t>DS</w:t>
            </w:r>
          </w:p>
        </w:tc>
        <w:tc>
          <w:tcPr>
            <w:tcW w:w="2318" w:type="dxa"/>
          </w:tcPr>
          <w:p w14:paraId="66CF7711" w14:textId="3239BEC5" w:rsidR="00E2160D" w:rsidRPr="00BA47F0" w:rsidRDefault="00E2160D" w:rsidP="00847682">
            <w:pPr>
              <w:pStyle w:val="Compact"/>
              <w:spacing w:line="240" w:lineRule="auto"/>
              <w:rPr>
                <w:highlight w:val="red"/>
              </w:rPr>
            </w:pPr>
            <w:r w:rsidRPr="006F4FA8">
              <w:t>Main effect only</w:t>
            </w:r>
          </w:p>
        </w:tc>
        <w:tc>
          <w:tcPr>
            <w:tcW w:w="1276" w:type="dxa"/>
          </w:tcPr>
          <w:p w14:paraId="4017B073" w14:textId="6C5856DE" w:rsidR="00E2160D" w:rsidRPr="0044103C" w:rsidRDefault="00E2160D" w:rsidP="00847682">
            <w:pPr>
              <w:pStyle w:val="Compact"/>
              <w:spacing w:line="240" w:lineRule="auto"/>
            </w:pPr>
            <w:r w:rsidRPr="006F4FA8">
              <w:t>Elevation</w:t>
            </w:r>
          </w:p>
        </w:tc>
        <w:tc>
          <w:tcPr>
            <w:tcW w:w="683" w:type="dxa"/>
          </w:tcPr>
          <w:p w14:paraId="67D90D7B" w14:textId="1409718C" w:rsidR="00E2160D" w:rsidRPr="0044103C" w:rsidRDefault="00E2160D" w:rsidP="008041FB">
            <w:pPr>
              <w:pStyle w:val="Compact"/>
              <w:spacing w:line="240" w:lineRule="auto"/>
              <w:jc w:val="right"/>
            </w:pPr>
            <w:r w:rsidRPr="006F4FA8">
              <w:t>+</w:t>
            </w:r>
          </w:p>
        </w:tc>
        <w:tc>
          <w:tcPr>
            <w:tcW w:w="708" w:type="dxa"/>
          </w:tcPr>
          <w:p w14:paraId="0CE7227F" w14:textId="4955B4BE" w:rsidR="00E2160D" w:rsidRPr="00BA47F0" w:rsidRDefault="00E2160D" w:rsidP="008041FB">
            <w:pPr>
              <w:pStyle w:val="Compact"/>
              <w:spacing w:line="240" w:lineRule="auto"/>
              <w:rPr>
                <w:highlight w:val="red"/>
              </w:rPr>
            </w:pPr>
            <w:r w:rsidRPr="006F4FA8">
              <w:t>**</w:t>
            </w:r>
          </w:p>
        </w:tc>
        <w:tc>
          <w:tcPr>
            <w:tcW w:w="852" w:type="dxa"/>
          </w:tcPr>
          <w:p w14:paraId="1A230A73" w14:textId="77777777" w:rsidR="00E2160D" w:rsidRPr="0044103C" w:rsidRDefault="00E2160D" w:rsidP="008041FB">
            <w:pPr>
              <w:pStyle w:val="Compact"/>
              <w:spacing w:line="240" w:lineRule="auto"/>
              <w:jc w:val="right"/>
            </w:pPr>
          </w:p>
        </w:tc>
        <w:tc>
          <w:tcPr>
            <w:tcW w:w="849" w:type="dxa"/>
          </w:tcPr>
          <w:p w14:paraId="4D54ACFA" w14:textId="77777777" w:rsidR="00E2160D" w:rsidRPr="0044103C" w:rsidRDefault="00E2160D" w:rsidP="00847682">
            <w:pPr>
              <w:pStyle w:val="Compact"/>
              <w:spacing w:line="240" w:lineRule="auto"/>
            </w:pPr>
          </w:p>
        </w:tc>
      </w:tr>
      <w:tr w:rsidR="00E2160D" w:rsidRPr="0018462C" w14:paraId="3202EACA" w14:textId="77777777" w:rsidTr="008041FB">
        <w:tc>
          <w:tcPr>
            <w:tcW w:w="1251" w:type="dxa"/>
          </w:tcPr>
          <w:p w14:paraId="41C4392E" w14:textId="50CFE1DD" w:rsidR="00E2160D" w:rsidRPr="0018462C" w:rsidRDefault="00E2160D" w:rsidP="00847682">
            <w:pPr>
              <w:pStyle w:val="Compact"/>
              <w:spacing w:line="240" w:lineRule="auto"/>
            </w:pPr>
          </w:p>
        </w:tc>
        <w:tc>
          <w:tcPr>
            <w:tcW w:w="2318" w:type="dxa"/>
          </w:tcPr>
          <w:p w14:paraId="1FD269A9" w14:textId="77777777" w:rsidR="00E2160D" w:rsidRPr="00BA47F0" w:rsidRDefault="00E2160D" w:rsidP="00847682">
            <w:pPr>
              <w:pStyle w:val="Compact"/>
              <w:spacing w:line="240" w:lineRule="auto"/>
              <w:rPr>
                <w:highlight w:val="red"/>
              </w:rPr>
            </w:pPr>
          </w:p>
        </w:tc>
        <w:tc>
          <w:tcPr>
            <w:tcW w:w="1276" w:type="dxa"/>
          </w:tcPr>
          <w:p w14:paraId="662C4AF7" w14:textId="7803AF4B" w:rsidR="00E2160D" w:rsidRPr="0044103C" w:rsidRDefault="00E2160D" w:rsidP="00847682">
            <w:pPr>
              <w:pStyle w:val="Compact"/>
              <w:spacing w:line="240" w:lineRule="auto"/>
            </w:pPr>
            <w:r w:rsidRPr="006F4FA8">
              <w:t>MAP</w:t>
            </w:r>
          </w:p>
        </w:tc>
        <w:tc>
          <w:tcPr>
            <w:tcW w:w="683" w:type="dxa"/>
          </w:tcPr>
          <w:p w14:paraId="4C44C603" w14:textId="4068BB05" w:rsidR="00E2160D" w:rsidRPr="0044103C" w:rsidRDefault="00E2160D" w:rsidP="008041FB">
            <w:pPr>
              <w:pStyle w:val="Compact"/>
              <w:spacing w:line="240" w:lineRule="auto"/>
              <w:jc w:val="right"/>
            </w:pPr>
            <w:r w:rsidRPr="006F4FA8">
              <w:t>+</w:t>
            </w:r>
          </w:p>
        </w:tc>
        <w:tc>
          <w:tcPr>
            <w:tcW w:w="708" w:type="dxa"/>
          </w:tcPr>
          <w:p w14:paraId="056D4A98" w14:textId="0CDB8284" w:rsidR="00E2160D" w:rsidRPr="00BA47F0" w:rsidRDefault="00E2160D" w:rsidP="008041FB">
            <w:pPr>
              <w:pStyle w:val="Compact"/>
              <w:spacing w:line="240" w:lineRule="auto"/>
              <w:rPr>
                <w:highlight w:val="red"/>
              </w:rPr>
            </w:pPr>
            <w:r w:rsidRPr="006F4FA8">
              <w:t>***</w:t>
            </w:r>
          </w:p>
        </w:tc>
        <w:tc>
          <w:tcPr>
            <w:tcW w:w="852" w:type="dxa"/>
          </w:tcPr>
          <w:p w14:paraId="4CD3531A" w14:textId="77777777" w:rsidR="00E2160D" w:rsidRPr="0044103C" w:rsidRDefault="00E2160D" w:rsidP="008041FB">
            <w:pPr>
              <w:pStyle w:val="Compact"/>
              <w:spacing w:line="240" w:lineRule="auto"/>
              <w:jc w:val="right"/>
            </w:pPr>
          </w:p>
        </w:tc>
        <w:tc>
          <w:tcPr>
            <w:tcW w:w="849" w:type="dxa"/>
          </w:tcPr>
          <w:p w14:paraId="6227FAE3" w14:textId="77777777" w:rsidR="00E2160D" w:rsidRPr="0044103C" w:rsidRDefault="00E2160D" w:rsidP="00847682">
            <w:pPr>
              <w:pStyle w:val="Compact"/>
              <w:spacing w:line="240" w:lineRule="auto"/>
            </w:pPr>
          </w:p>
        </w:tc>
      </w:tr>
      <w:tr w:rsidR="00E2160D" w:rsidRPr="0018462C" w14:paraId="24D9F533" w14:textId="77777777" w:rsidTr="008041FB">
        <w:tc>
          <w:tcPr>
            <w:tcW w:w="1251" w:type="dxa"/>
          </w:tcPr>
          <w:p w14:paraId="16CD37FC" w14:textId="77777777" w:rsidR="00E2160D" w:rsidRPr="0018462C" w:rsidRDefault="00E2160D" w:rsidP="00847682">
            <w:pPr>
              <w:pStyle w:val="Compact"/>
              <w:spacing w:line="240" w:lineRule="auto"/>
            </w:pPr>
          </w:p>
        </w:tc>
        <w:tc>
          <w:tcPr>
            <w:tcW w:w="2318" w:type="dxa"/>
          </w:tcPr>
          <w:p w14:paraId="59E974A5" w14:textId="77777777" w:rsidR="00E2160D" w:rsidRPr="00BA47F0" w:rsidRDefault="00E2160D" w:rsidP="00847682">
            <w:pPr>
              <w:pStyle w:val="Compact"/>
              <w:spacing w:line="240" w:lineRule="auto"/>
              <w:rPr>
                <w:highlight w:val="red"/>
              </w:rPr>
            </w:pPr>
          </w:p>
        </w:tc>
        <w:tc>
          <w:tcPr>
            <w:tcW w:w="1276" w:type="dxa"/>
          </w:tcPr>
          <w:p w14:paraId="6C2CBD53" w14:textId="5C2AB14E" w:rsidR="00E2160D" w:rsidRPr="0044103C" w:rsidRDefault="00E2160D" w:rsidP="00847682">
            <w:pPr>
              <w:pStyle w:val="Compact"/>
              <w:spacing w:line="240" w:lineRule="auto"/>
            </w:pPr>
            <w:r w:rsidRPr="006F4FA8">
              <w:t>PDQ</w:t>
            </w:r>
          </w:p>
        </w:tc>
        <w:tc>
          <w:tcPr>
            <w:tcW w:w="683" w:type="dxa"/>
          </w:tcPr>
          <w:p w14:paraId="0B67FBC3" w14:textId="6CE0F5BE" w:rsidR="00E2160D" w:rsidRPr="0044103C" w:rsidRDefault="00E2160D" w:rsidP="008041FB">
            <w:pPr>
              <w:pStyle w:val="Compact"/>
              <w:spacing w:line="240" w:lineRule="auto"/>
              <w:jc w:val="right"/>
            </w:pPr>
            <w:r w:rsidRPr="006F4FA8">
              <w:t>+</w:t>
            </w:r>
          </w:p>
        </w:tc>
        <w:tc>
          <w:tcPr>
            <w:tcW w:w="708" w:type="dxa"/>
          </w:tcPr>
          <w:p w14:paraId="2F321CD1" w14:textId="0D407642" w:rsidR="00E2160D" w:rsidRPr="00BA47F0" w:rsidRDefault="00E2160D" w:rsidP="008041FB">
            <w:pPr>
              <w:pStyle w:val="Compact"/>
              <w:spacing w:line="240" w:lineRule="auto"/>
              <w:rPr>
                <w:highlight w:val="red"/>
              </w:rPr>
            </w:pPr>
            <w:r w:rsidRPr="006F4FA8">
              <w:t>***</w:t>
            </w:r>
          </w:p>
        </w:tc>
        <w:tc>
          <w:tcPr>
            <w:tcW w:w="852" w:type="dxa"/>
          </w:tcPr>
          <w:p w14:paraId="30884183" w14:textId="77777777" w:rsidR="00E2160D" w:rsidRPr="0044103C" w:rsidRDefault="00E2160D" w:rsidP="008041FB">
            <w:pPr>
              <w:pStyle w:val="Compact"/>
              <w:spacing w:line="240" w:lineRule="auto"/>
              <w:jc w:val="right"/>
            </w:pPr>
          </w:p>
        </w:tc>
        <w:tc>
          <w:tcPr>
            <w:tcW w:w="849" w:type="dxa"/>
          </w:tcPr>
          <w:p w14:paraId="76461248" w14:textId="77777777" w:rsidR="00E2160D" w:rsidRPr="0044103C" w:rsidRDefault="00E2160D" w:rsidP="00847682">
            <w:pPr>
              <w:pStyle w:val="Compact"/>
              <w:spacing w:line="240" w:lineRule="auto"/>
            </w:pPr>
          </w:p>
        </w:tc>
      </w:tr>
      <w:tr w:rsidR="00E2160D" w:rsidRPr="0018462C" w14:paraId="4BAEC65F" w14:textId="77777777" w:rsidTr="008041FB">
        <w:tc>
          <w:tcPr>
            <w:tcW w:w="1251" w:type="dxa"/>
          </w:tcPr>
          <w:p w14:paraId="4712CEB3" w14:textId="77777777" w:rsidR="00E2160D" w:rsidRPr="0018462C" w:rsidRDefault="00E2160D" w:rsidP="00847682">
            <w:pPr>
              <w:pStyle w:val="Compact"/>
              <w:spacing w:line="240" w:lineRule="auto"/>
            </w:pPr>
          </w:p>
        </w:tc>
        <w:tc>
          <w:tcPr>
            <w:tcW w:w="2318" w:type="dxa"/>
          </w:tcPr>
          <w:p w14:paraId="37907335" w14:textId="77777777" w:rsidR="00E2160D" w:rsidRPr="00BA47F0" w:rsidRDefault="00E2160D" w:rsidP="00847682">
            <w:pPr>
              <w:pStyle w:val="Compact"/>
              <w:spacing w:line="240" w:lineRule="auto"/>
              <w:rPr>
                <w:highlight w:val="red"/>
              </w:rPr>
            </w:pPr>
          </w:p>
        </w:tc>
        <w:tc>
          <w:tcPr>
            <w:tcW w:w="1276" w:type="dxa"/>
          </w:tcPr>
          <w:p w14:paraId="3BA08B5A" w14:textId="7D057BBE" w:rsidR="00E2160D" w:rsidRPr="0044103C" w:rsidRDefault="00E2160D" w:rsidP="00847682">
            <w:pPr>
              <w:pStyle w:val="Compact"/>
              <w:spacing w:line="240" w:lineRule="auto"/>
            </w:pPr>
            <w:r w:rsidRPr="006F4FA8">
              <w:t>Clay</w:t>
            </w:r>
          </w:p>
        </w:tc>
        <w:tc>
          <w:tcPr>
            <w:tcW w:w="683" w:type="dxa"/>
          </w:tcPr>
          <w:p w14:paraId="190EC008" w14:textId="566929F3" w:rsidR="00E2160D" w:rsidRPr="0044103C" w:rsidRDefault="00E2160D" w:rsidP="008041FB">
            <w:pPr>
              <w:pStyle w:val="Compact"/>
              <w:spacing w:line="240" w:lineRule="auto"/>
              <w:jc w:val="right"/>
            </w:pPr>
            <w:r w:rsidRPr="006F4FA8">
              <w:t>+</w:t>
            </w:r>
          </w:p>
        </w:tc>
        <w:tc>
          <w:tcPr>
            <w:tcW w:w="708" w:type="dxa"/>
          </w:tcPr>
          <w:p w14:paraId="65E9BF8E" w14:textId="1B7B27EC" w:rsidR="00E2160D" w:rsidRPr="00BA47F0" w:rsidRDefault="00E2160D" w:rsidP="008041FB">
            <w:pPr>
              <w:pStyle w:val="Compact"/>
              <w:spacing w:line="240" w:lineRule="auto"/>
              <w:rPr>
                <w:highlight w:val="red"/>
              </w:rPr>
            </w:pPr>
            <w:r w:rsidRPr="006F4FA8">
              <w:t>***</w:t>
            </w:r>
          </w:p>
        </w:tc>
        <w:tc>
          <w:tcPr>
            <w:tcW w:w="852" w:type="dxa"/>
          </w:tcPr>
          <w:p w14:paraId="5366A3D2" w14:textId="77777777" w:rsidR="00E2160D" w:rsidRPr="0044103C" w:rsidRDefault="00E2160D" w:rsidP="008041FB">
            <w:pPr>
              <w:pStyle w:val="Compact"/>
              <w:spacing w:line="240" w:lineRule="auto"/>
              <w:jc w:val="right"/>
            </w:pPr>
          </w:p>
        </w:tc>
        <w:tc>
          <w:tcPr>
            <w:tcW w:w="849" w:type="dxa"/>
          </w:tcPr>
          <w:p w14:paraId="23A78516" w14:textId="77777777" w:rsidR="00E2160D" w:rsidRPr="0044103C" w:rsidRDefault="00E2160D" w:rsidP="00847682">
            <w:pPr>
              <w:pStyle w:val="Compact"/>
              <w:spacing w:line="240" w:lineRule="auto"/>
            </w:pPr>
          </w:p>
        </w:tc>
      </w:tr>
      <w:tr w:rsidR="00E2160D" w:rsidRPr="0018462C" w14:paraId="734D55D8" w14:textId="77777777" w:rsidTr="008041FB">
        <w:tc>
          <w:tcPr>
            <w:tcW w:w="1251" w:type="dxa"/>
          </w:tcPr>
          <w:p w14:paraId="3EE9157F" w14:textId="77777777" w:rsidR="00E2160D" w:rsidRPr="0018462C" w:rsidRDefault="00E2160D" w:rsidP="00847682">
            <w:pPr>
              <w:pStyle w:val="Compact"/>
              <w:spacing w:line="240" w:lineRule="auto"/>
            </w:pPr>
          </w:p>
        </w:tc>
        <w:tc>
          <w:tcPr>
            <w:tcW w:w="2318" w:type="dxa"/>
          </w:tcPr>
          <w:p w14:paraId="0EEA7AA9" w14:textId="77777777" w:rsidR="00E2160D" w:rsidRPr="00BA47F0" w:rsidRDefault="00E2160D" w:rsidP="00847682">
            <w:pPr>
              <w:pStyle w:val="Compact"/>
              <w:spacing w:line="240" w:lineRule="auto"/>
              <w:rPr>
                <w:highlight w:val="red"/>
              </w:rPr>
            </w:pPr>
          </w:p>
        </w:tc>
        <w:tc>
          <w:tcPr>
            <w:tcW w:w="1276" w:type="dxa"/>
          </w:tcPr>
          <w:p w14:paraId="547070D9" w14:textId="5EB737A3" w:rsidR="00E2160D" w:rsidRPr="0044103C" w:rsidRDefault="00E2160D" w:rsidP="00847682">
            <w:pPr>
              <w:pStyle w:val="Compact"/>
              <w:spacing w:line="240" w:lineRule="auto"/>
            </w:pPr>
            <w:r w:rsidRPr="006F4FA8">
              <w:t>Soil C</w:t>
            </w:r>
          </w:p>
        </w:tc>
        <w:tc>
          <w:tcPr>
            <w:tcW w:w="683" w:type="dxa"/>
          </w:tcPr>
          <w:p w14:paraId="78A60B4C" w14:textId="35DE5D2E" w:rsidR="00E2160D" w:rsidRPr="0044103C" w:rsidRDefault="00E2160D" w:rsidP="008041FB">
            <w:pPr>
              <w:pStyle w:val="Compact"/>
              <w:spacing w:line="240" w:lineRule="auto"/>
              <w:jc w:val="right"/>
            </w:pPr>
            <w:r w:rsidRPr="006F4FA8">
              <w:t>+</w:t>
            </w:r>
          </w:p>
        </w:tc>
        <w:tc>
          <w:tcPr>
            <w:tcW w:w="708" w:type="dxa"/>
          </w:tcPr>
          <w:p w14:paraId="150C53FB" w14:textId="2EA975F1" w:rsidR="00E2160D" w:rsidRPr="00BA47F0" w:rsidRDefault="00E2160D" w:rsidP="008041FB">
            <w:pPr>
              <w:pStyle w:val="Compact"/>
              <w:spacing w:line="240" w:lineRule="auto"/>
              <w:rPr>
                <w:highlight w:val="red"/>
              </w:rPr>
            </w:pPr>
            <w:r w:rsidRPr="006F4FA8">
              <w:t>*</w:t>
            </w:r>
          </w:p>
        </w:tc>
        <w:tc>
          <w:tcPr>
            <w:tcW w:w="852" w:type="dxa"/>
          </w:tcPr>
          <w:p w14:paraId="14FE70EB" w14:textId="77777777" w:rsidR="00E2160D" w:rsidRPr="0044103C" w:rsidRDefault="00E2160D" w:rsidP="008041FB">
            <w:pPr>
              <w:pStyle w:val="Compact"/>
              <w:spacing w:line="240" w:lineRule="auto"/>
              <w:jc w:val="right"/>
            </w:pPr>
          </w:p>
        </w:tc>
        <w:tc>
          <w:tcPr>
            <w:tcW w:w="849" w:type="dxa"/>
          </w:tcPr>
          <w:p w14:paraId="003EABB6" w14:textId="77777777" w:rsidR="00E2160D" w:rsidRPr="0044103C" w:rsidRDefault="00E2160D" w:rsidP="00847682">
            <w:pPr>
              <w:pStyle w:val="Compact"/>
              <w:spacing w:line="240" w:lineRule="auto"/>
            </w:pPr>
          </w:p>
        </w:tc>
      </w:tr>
      <w:tr w:rsidR="00E2160D" w:rsidRPr="0018462C" w14:paraId="49B40E0E" w14:textId="77777777" w:rsidTr="008041FB">
        <w:tc>
          <w:tcPr>
            <w:tcW w:w="1251" w:type="dxa"/>
          </w:tcPr>
          <w:p w14:paraId="1BC98CC9" w14:textId="77777777" w:rsidR="00E2160D" w:rsidRPr="0018462C" w:rsidRDefault="00E2160D" w:rsidP="00847682">
            <w:pPr>
              <w:pStyle w:val="Compact"/>
              <w:spacing w:line="240" w:lineRule="auto"/>
            </w:pPr>
          </w:p>
        </w:tc>
        <w:tc>
          <w:tcPr>
            <w:tcW w:w="2318" w:type="dxa"/>
          </w:tcPr>
          <w:p w14:paraId="1E2ACB7F" w14:textId="77777777" w:rsidR="00E2160D" w:rsidRPr="00BA47F0" w:rsidRDefault="00E2160D" w:rsidP="00847682">
            <w:pPr>
              <w:pStyle w:val="Compact"/>
              <w:spacing w:line="240" w:lineRule="auto"/>
              <w:rPr>
                <w:highlight w:val="red"/>
              </w:rPr>
            </w:pPr>
          </w:p>
        </w:tc>
        <w:tc>
          <w:tcPr>
            <w:tcW w:w="1276" w:type="dxa"/>
          </w:tcPr>
          <w:p w14:paraId="6ACD7DC2" w14:textId="361E7C49" w:rsidR="00E2160D" w:rsidRPr="0044103C" w:rsidRDefault="00E2160D" w:rsidP="00847682">
            <w:pPr>
              <w:pStyle w:val="Compact"/>
              <w:spacing w:line="240" w:lineRule="auto"/>
            </w:pPr>
            <w:r w:rsidRPr="006F4FA8">
              <w:t>PC1</w:t>
            </w:r>
          </w:p>
        </w:tc>
        <w:tc>
          <w:tcPr>
            <w:tcW w:w="683" w:type="dxa"/>
          </w:tcPr>
          <w:p w14:paraId="685E6546" w14:textId="4A92DF46" w:rsidR="00E2160D" w:rsidRPr="0044103C" w:rsidRDefault="00E2160D" w:rsidP="008041FB">
            <w:pPr>
              <w:pStyle w:val="Compact"/>
              <w:spacing w:line="240" w:lineRule="auto"/>
              <w:jc w:val="right"/>
            </w:pPr>
            <w:r w:rsidRPr="006F4FA8">
              <w:t>+</w:t>
            </w:r>
          </w:p>
        </w:tc>
        <w:tc>
          <w:tcPr>
            <w:tcW w:w="708" w:type="dxa"/>
          </w:tcPr>
          <w:p w14:paraId="08601A8E" w14:textId="7F8C69B3" w:rsidR="00E2160D" w:rsidRPr="00BA47F0" w:rsidRDefault="00E2160D" w:rsidP="008041FB">
            <w:pPr>
              <w:pStyle w:val="Compact"/>
              <w:spacing w:line="240" w:lineRule="auto"/>
              <w:rPr>
                <w:highlight w:val="red"/>
              </w:rPr>
            </w:pPr>
            <w:r w:rsidRPr="006F4FA8">
              <w:t>***</w:t>
            </w:r>
          </w:p>
        </w:tc>
        <w:tc>
          <w:tcPr>
            <w:tcW w:w="852" w:type="dxa"/>
          </w:tcPr>
          <w:p w14:paraId="69E7712E" w14:textId="77777777" w:rsidR="00E2160D" w:rsidRPr="0044103C" w:rsidRDefault="00E2160D" w:rsidP="008041FB">
            <w:pPr>
              <w:pStyle w:val="Compact"/>
              <w:spacing w:line="240" w:lineRule="auto"/>
              <w:jc w:val="right"/>
            </w:pPr>
          </w:p>
        </w:tc>
        <w:tc>
          <w:tcPr>
            <w:tcW w:w="849" w:type="dxa"/>
          </w:tcPr>
          <w:p w14:paraId="6EEDE95E" w14:textId="77777777" w:rsidR="00E2160D" w:rsidRPr="0044103C" w:rsidRDefault="00E2160D" w:rsidP="00847682">
            <w:pPr>
              <w:pStyle w:val="Compact"/>
              <w:spacing w:line="240" w:lineRule="auto"/>
            </w:pPr>
          </w:p>
        </w:tc>
      </w:tr>
      <w:tr w:rsidR="00E2160D" w:rsidRPr="0018462C" w14:paraId="03DCF9E4" w14:textId="77777777" w:rsidTr="008041FB">
        <w:tc>
          <w:tcPr>
            <w:tcW w:w="1251" w:type="dxa"/>
          </w:tcPr>
          <w:p w14:paraId="2C26BCAD" w14:textId="77777777" w:rsidR="00E2160D" w:rsidRPr="0018462C" w:rsidRDefault="00E2160D" w:rsidP="00847682">
            <w:pPr>
              <w:pStyle w:val="Compact"/>
              <w:spacing w:line="240" w:lineRule="auto"/>
            </w:pPr>
          </w:p>
        </w:tc>
        <w:tc>
          <w:tcPr>
            <w:tcW w:w="2318" w:type="dxa"/>
          </w:tcPr>
          <w:p w14:paraId="6520F10B" w14:textId="48C00019" w:rsidR="00E2160D" w:rsidRPr="00BA47F0" w:rsidRDefault="00E2160D" w:rsidP="00847682">
            <w:pPr>
              <w:pStyle w:val="Compact"/>
              <w:spacing w:line="240" w:lineRule="auto"/>
              <w:rPr>
                <w:highlight w:val="red"/>
              </w:rPr>
            </w:pPr>
            <w:r w:rsidRPr="006F4FA8">
              <w:t>Region only</w:t>
            </w:r>
          </w:p>
        </w:tc>
        <w:tc>
          <w:tcPr>
            <w:tcW w:w="1276" w:type="dxa"/>
          </w:tcPr>
          <w:p w14:paraId="3BCC15AD" w14:textId="08D09388" w:rsidR="00E2160D" w:rsidRPr="0044103C" w:rsidRDefault="00E2160D" w:rsidP="00847682">
            <w:pPr>
              <w:pStyle w:val="Compact"/>
              <w:spacing w:line="240" w:lineRule="auto"/>
            </w:pPr>
            <w:r w:rsidRPr="006F4FA8">
              <w:t>Surface T</w:t>
            </w:r>
          </w:p>
        </w:tc>
        <w:tc>
          <w:tcPr>
            <w:tcW w:w="683" w:type="dxa"/>
          </w:tcPr>
          <w:p w14:paraId="1F687028" w14:textId="44B870B8" w:rsidR="00E2160D" w:rsidRPr="0044103C" w:rsidRDefault="00E2160D" w:rsidP="008041FB">
            <w:pPr>
              <w:pStyle w:val="Compact"/>
              <w:spacing w:line="240" w:lineRule="auto"/>
              <w:jc w:val="right"/>
            </w:pPr>
            <w:r w:rsidRPr="006F4FA8">
              <w:t>+</w:t>
            </w:r>
          </w:p>
        </w:tc>
        <w:tc>
          <w:tcPr>
            <w:tcW w:w="708" w:type="dxa"/>
          </w:tcPr>
          <w:p w14:paraId="04A36E00" w14:textId="77777777" w:rsidR="00E2160D" w:rsidRPr="00BA47F0" w:rsidRDefault="00E2160D" w:rsidP="008041FB">
            <w:pPr>
              <w:pStyle w:val="Compact"/>
              <w:spacing w:line="240" w:lineRule="auto"/>
              <w:rPr>
                <w:highlight w:val="red"/>
              </w:rPr>
            </w:pPr>
          </w:p>
        </w:tc>
        <w:tc>
          <w:tcPr>
            <w:tcW w:w="852" w:type="dxa"/>
          </w:tcPr>
          <w:p w14:paraId="0CBFA3B6" w14:textId="72C9120A" w:rsidR="00E2160D" w:rsidRPr="0044103C" w:rsidRDefault="00E2160D" w:rsidP="008041FB">
            <w:pPr>
              <w:pStyle w:val="Compact"/>
              <w:spacing w:line="240" w:lineRule="auto"/>
              <w:jc w:val="right"/>
            </w:pPr>
            <w:r w:rsidRPr="006F4FA8">
              <w:t>-</w:t>
            </w:r>
          </w:p>
        </w:tc>
        <w:tc>
          <w:tcPr>
            <w:tcW w:w="849" w:type="dxa"/>
          </w:tcPr>
          <w:p w14:paraId="2EF828F4" w14:textId="26C6099D" w:rsidR="00E2160D" w:rsidRPr="0044103C" w:rsidRDefault="00E2160D" w:rsidP="00847682">
            <w:pPr>
              <w:pStyle w:val="Compact"/>
              <w:spacing w:line="240" w:lineRule="auto"/>
            </w:pPr>
            <w:r w:rsidRPr="006F4FA8">
              <w:t>*</w:t>
            </w:r>
          </w:p>
        </w:tc>
      </w:tr>
      <w:tr w:rsidR="00E2160D" w:rsidRPr="0018462C" w14:paraId="6EC09B0B" w14:textId="77777777" w:rsidTr="008041FB">
        <w:tc>
          <w:tcPr>
            <w:tcW w:w="1251" w:type="dxa"/>
          </w:tcPr>
          <w:p w14:paraId="417441BF" w14:textId="77777777" w:rsidR="00E2160D" w:rsidRPr="0018462C" w:rsidRDefault="00E2160D" w:rsidP="00847682">
            <w:pPr>
              <w:pStyle w:val="Compact"/>
              <w:spacing w:line="240" w:lineRule="auto"/>
            </w:pPr>
          </w:p>
        </w:tc>
        <w:tc>
          <w:tcPr>
            <w:tcW w:w="2318" w:type="dxa"/>
          </w:tcPr>
          <w:p w14:paraId="240B1F12" w14:textId="77777777" w:rsidR="00E2160D" w:rsidRPr="00BA47F0" w:rsidRDefault="00E2160D" w:rsidP="00847682">
            <w:pPr>
              <w:pStyle w:val="Compact"/>
              <w:spacing w:line="240" w:lineRule="auto"/>
              <w:rPr>
                <w:highlight w:val="red"/>
              </w:rPr>
            </w:pPr>
          </w:p>
        </w:tc>
        <w:tc>
          <w:tcPr>
            <w:tcW w:w="1276" w:type="dxa"/>
          </w:tcPr>
          <w:p w14:paraId="59B3B17B" w14:textId="166B88CE" w:rsidR="00E2160D" w:rsidRPr="0044103C" w:rsidRDefault="00E2160D" w:rsidP="00847682">
            <w:pPr>
              <w:pStyle w:val="Compact"/>
              <w:spacing w:line="240" w:lineRule="auto"/>
            </w:pPr>
            <w:r w:rsidRPr="006F4FA8">
              <w:t>NDVI</w:t>
            </w:r>
          </w:p>
        </w:tc>
        <w:tc>
          <w:tcPr>
            <w:tcW w:w="683" w:type="dxa"/>
          </w:tcPr>
          <w:p w14:paraId="5DACA182" w14:textId="366C063A" w:rsidR="00E2160D" w:rsidRPr="0044103C" w:rsidRDefault="00E2160D" w:rsidP="008041FB">
            <w:pPr>
              <w:pStyle w:val="Compact"/>
              <w:spacing w:line="240" w:lineRule="auto"/>
              <w:jc w:val="right"/>
            </w:pPr>
            <w:r w:rsidRPr="006F4FA8">
              <w:t>+</w:t>
            </w:r>
          </w:p>
        </w:tc>
        <w:tc>
          <w:tcPr>
            <w:tcW w:w="708" w:type="dxa"/>
          </w:tcPr>
          <w:p w14:paraId="42BCF2A9" w14:textId="77777777" w:rsidR="00E2160D" w:rsidRPr="00BA47F0" w:rsidRDefault="00E2160D" w:rsidP="008041FB">
            <w:pPr>
              <w:pStyle w:val="Compact"/>
              <w:spacing w:line="240" w:lineRule="auto"/>
              <w:rPr>
                <w:highlight w:val="red"/>
              </w:rPr>
            </w:pPr>
          </w:p>
        </w:tc>
        <w:tc>
          <w:tcPr>
            <w:tcW w:w="852" w:type="dxa"/>
          </w:tcPr>
          <w:p w14:paraId="65B60F97" w14:textId="6937AC2B" w:rsidR="00E2160D" w:rsidRPr="0044103C" w:rsidRDefault="00E2160D" w:rsidP="008041FB">
            <w:pPr>
              <w:pStyle w:val="Compact"/>
              <w:spacing w:line="240" w:lineRule="auto"/>
              <w:jc w:val="right"/>
            </w:pPr>
            <w:r w:rsidRPr="006F4FA8">
              <w:t>-</w:t>
            </w:r>
          </w:p>
        </w:tc>
        <w:tc>
          <w:tcPr>
            <w:tcW w:w="849" w:type="dxa"/>
          </w:tcPr>
          <w:p w14:paraId="1480F7AA" w14:textId="22AC6624" w:rsidR="00E2160D" w:rsidRPr="0044103C" w:rsidRDefault="00B34B13" w:rsidP="00847682">
            <w:pPr>
              <w:pStyle w:val="Compact"/>
              <w:spacing w:line="240" w:lineRule="auto"/>
            </w:pPr>
            <w:r w:rsidRPr="00B34B13">
              <w:rPr>
                <w:highlight w:val="yellow"/>
              </w:rPr>
              <w:t>~</w:t>
            </w:r>
          </w:p>
        </w:tc>
      </w:tr>
      <w:tr w:rsidR="00E2160D" w:rsidRPr="0018462C" w14:paraId="134D8943" w14:textId="77777777" w:rsidTr="008041FB">
        <w:tc>
          <w:tcPr>
            <w:tcW w:w="1251" w:type="dxa"/>
          </w:tcPr>
          <w:p w14:paraId="6D8D73E7" w14:textId="77777777" w:rsidR="00E2160D" w:rsidRPr="0018462C" w:rsidRDefault="00E2160D" w:rsidP="00847682">
            <w:pPr>
              <w:pStyle w:val="Compact"/>
              <w:spacing w:line="240" w:lineRule="auto"/>
            </w:pPr>
          </w:p>
        </w:tc>
        <w:tc>
          <w:tcPr>
            <w:tcW w:w="2318" w:type="dxa"/>
          </w:tcPr>
          <w:p w14:paraId="66A44EB7" w14:textId="77777777" w:rsidR="00E2160D" w:rsidRPr="00BA47F0" w:rsidRDefault="00E2160D" w:rsidP="00847682">
            <w:pPr>
              <w:pStyle w:val="Compact"/>
              <w:spacing w:line="240" w:lineRule="auto"/>
              <w:rPr>
                <w:highlight w:val="red"/>
              </w:rPr>
            </w:pPr>
          </w:p>
        </w:tc>
        <w:tc>
          <w:tcPr>
            <w:tcW w:w="1276" w:type="dxa"/>
          </w:tcPr>
          <w:p w14:paraId="486CAE9A" w14:textId="5E2D6F67" w:rsidR="00E2160D" w:rsidRPr="0044103C" w:rsidRDefault="00E2160D" w:rsidP="00847682">
            <w:pPr>
              <w:pStyle w:val="Compact"/>
              <w:spacing w:line="240" w:lineRule="auto"/>
            </w:pPr>
            <w:r w:rsidRPr="006F4FA8">
              <w:t>CEC</w:t>
            </w:r>
          </w:p>
        </w:tc>
        <w:tc>
          <w:tcPr>
            <w:tcW w:w="683" w:type="dxa"/>
          </w:tcPr>
          <w:p w14:paraId="0C7327E9" w14:textId="10179DAF" w:rsidR="00E2160D" w:rsidRPr="0044103C" w:rsidRDefault="00E2160D" w:rsidP="008041FB">
            <w:pPr>
              <w:pStyle w:val="Compact"/>
              <w:spacing w:line="240" w:lineRule="auto"/>
              <w:jc w:val="right"/>
            </w:pPr>
            <w:r w:rsidRPr="006F4FA8">
              <w:t>-</w:t>
            </w:r>
          </w:p>
        </w:tc>
        <w:tc>
          <w:tcPr>
            <w:tcW w:w="708" w:type="dxa"/>
          </w:tcPr>
          <w:p w14:paraId="38CEC094" w14:textId="77777777" w:rsidR="00E2160D" w:rsidRPr="00BA47F0" w:rsidRDefault="00E2160D" w:rsidP="008041FB">
            <w:pPr>
              <w:pStyle w:val="Compact"/>
              <w:spacing w:line="240" w:lineRule="auto"/>
              <w:rPr>
                <w:highlight w:val="red"/>
              </w:rPr>
            </w:pPr>
          </w:p>
        </w:tc>
        <w:tc>
          <w:tcPr>
            <w:tcW w:w="852" w:type="dxa"/>
          </w:tcPr>
          <w:p w14:paraId="6EBECAAD" w14:textId="7508FF30" w:rsidR="00E2160D" w:rsidRPr="0044103C" w:rsidRDefault="00E2160D" w:rsidP="008041FB">
            <w:pPr>
              <w:pStyle w:val="Compact"/>
              <w:spacing w:line="240" w:lineRule="auto"/>
              <w:jc w:val="right"/>
            </w:pPr>
            <w:r w:rsidRPr="006F4FA8">
              <w:t>-</w:t>
            </w:r>
          </w:p>
        </w:tc>
        <w:tc>
          <w:tcPr>
            <w:tcW w:w="849" w:type="dxa"/>
          </w:tcPr>
          <w:p w14:paraId="287231AE" w14:textId="7532D29D" w:rsidR="00E2160D" w:rsidRPr="0044103C" w:rsidRDefault="00E2160D" w:rsidP="00847682">
            <w:pPr>
              <w:pStyle w:val="Compact"/>
              <w:spacing w:line="240" w:lineRule="auto"/>
            </w:pPr>
            <w:r w:rsidRPr="006F4FA8">
              <w:t>**</w:t>
            </w:r>
          </w:p>
        </w:tc>
      </w:tr>
      <w:tr w:rsidR="00E2160D" w:rsidRPr="0018462C" w14:paraId="1660C718" w14:textId="77777777" w:rsidTr="008041FB">
        <w:tc>
          <w:tcPr>
            <w:tcW w:w="1251" w:type="dxa"/>
            <w:tcBorders>
              <w:bottom w:val="single" w:sz="4" w:space="0" w:color="auto"/>
            </w:tcBorders>
          </w:tcPr>
          <w:p w14:paraId="5C8E4A60" w14:textId="77777777" w:rsidR="00E2160D" w:rsidRPr="0018462C" w:rsidRDefault="00E2160D" w:rsidP="00847682">
            <w:pPr>
              <w:pStyle w:val="Compact"/>
              <w:spacing w:line="240" w:lineRule="auto"/>
            </w:pPr>
          </w:p>
        </w:tc>
        <w:tc>
          <w:tcPr>
            <w:tcW w:w="2318" w:type="dxa"/>
            <w:tcBorders>
              <w:bottom w:val="single" w:sz="4" w:space="0" w:color="auto"/>
            </w:tcBorders>
          </w:tcPr>
          <w:p w14:paraId="59C830FF" w14:textId="77777777" w:rsidR="00E2160D" w:rsidRPr="00BA47F0" w:rsidRDefault="00E2160D" w:rsidP="00847682">
            <w:pPr>
              <w:pStyle w:val="Compact"/>
              <w:spacing w:line="240" w:lineRule="auto"/>
              <w:rPr>
                <w:highlight w:val="red"/>
              </w:rPr>
            </w:pPr>
          </w:p>
        </w:tc>
        <w:tc>
          <w:tcPr>
            <w:tcW w:w="1276" w:type="dxa"/>
            <w:tcBorders>
              <w:bottom w:val="single" w:sz="4" w:space="0" w:color="auto"/>
            </w:tcBorders>
          </w:tcPr>
          <w:p w14:paraId="700C8498" w14:textId="39C6CCBE" w:rsidR="00E2160D" w:rsidRPr="0044103C" w:rsidRDefault="00E2160D" w:rsidP="00847682">
            <w:pPr>
              <w:pStyle w:val="Compact"/>
              <w:spacing w:line="240" w:lineRule="auto"/>
            </w:pPr>
            <w:r w:rsidRPr="006F4FA8">
              <w:t>pH</w:t>
            </w:r>
          </w:p>
        </w:tc>
        <w:tc>
          <w:tcPr>
            <w:tcW w:w="683" w:type="dxa"/>
            <w:tcBorders>
              <w:bottom w:val="single" w:sz="4" w:space="0" w:color="auto"/>
            </w:tcBorders>
          </w:tcPr>
          <w:p w14:paraId="2B47B2E1" w14:textId="1AA96AAB" w:rsidR="00E2160D" w:rsidRPr="0044103C" w:rsidRDefault="00E2160D" w:rsidP="008041FB">
            <w:pPr>
              <w:pStyle w:val="Compact"/>
              <w:spacing w:line="240" w:lineRule="auto"/>
              <w:jc w:val="right"/>
            </w:pPr>
            <w:r w:rsidRPr="006F4FA8">
              <w:t>+</w:t>
            </w:r>
          </w:p>
        </w:tc>
        <w:tc>
          <w:tcPr>
            <w:tcW w:w="708" w:type="dxa"/>
            <w:tcBorders>
              <w:bottom w:val="single" w:sz="4" w:space="0" w:color="auto"/>
            </w:tcBorders>
          </w:tcPr>
          <w:p w14:paraId="78A63EB9" w14:textId="77777777" w:rsidR="00E2160D" w:rsidRPr="00BA47F0" w:rsidRDefault="00E2160D" w:rsidP="008041FB">
            <w:pPr>
              <w:pStyle w:val="Compact"/>
              <w:spacing w:line="240" w:lineRule="auto"/>
              <w:rPr>
                <w:highlight w:val="red"/>
              </w:rPr>
            </w:pPr>
          </w:p>
        </w:tc>
        <w:tc>
          <w:tcPr>
            <w:tcW w:w="852" w:type="dxa"/>
            <w:tcBorders>
              <w:bottom w:val="single" w:sz="4" w:space="0" w:color="auto"/>
            </w:tcBorders>
          </w:tcPr>
          <w:p w14:paraId="1CC12902" w14:textId="706DED32" w:rsidR="00E2160D" w:rsidRPr="0044103C" w:rsidRDefault="00E2160D" w:rsidP="008041FB">
            <w:pPr>
              <w:pStyle w:val="Compact"/>
              <w:spacing w:line="240" w:lineRule="auto"/>
              <w:jc w:val="right"/>
            </w:pPr>
            <w:r w:rsidRPr="006F4FA8">
              <w:t>-</w:t>
            </w:r>
          </w:p>
        </w:tc>
        <w:tc>
          <w:tcPr>
            <w:tcW w:w="849" w:type="dxa"/>
            <w:tcBorders>
              <w:bottom w:val="single" w:sz="4" w:space="0" w:color="auto"/>
            </w:tcBorders>
          </w:tcPr>
          <w:p w14:paraId="394EF77C" w14:textId="44319784" w:rsidR="00E2160D" w:rsidRPr="0044103C" w:rsidRDefault="00E2160D" w:rsidP="00847682">
            <w:pPr>
              <w:pStyle w:val="Compact"/>
              <w:spacing w:line="240" w:lineRule="auto"/>
            </w:pPr>
            <w:r w:rsidRPr="006F4FA8">
              <w:t>*</w:t>
            </w:r>
          </w:p>
        </w:tc>
      </w:tr>
    </w:tbl>
    <w:p w14:paraId="7D7717D9" w14:textId="5C23B985" w:rsidR="00230C87" w:rsidRDefault="00230C87" w:rsidP="00230C87">
      <w:pPr>
        <w:pStyle w:val="BodyText"/>
        <w:spacing w:before="0" w:after="0" w:line="240" w:lineRule="auto"/>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line="240" w:lineRule="auto"/>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0.05</w:t>
      </w:r>
      <w:r w:rsidR="009D1A46" w:rsidRPr="00B34B13">
        <w:rPr>
          <w:highlight w:val="yellow"/>
        </w:rPr>
        <w:t xml:space="preserve">;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spacing w:line="240" w:lineRule="auto"/>
      </w:pPr>
      <w:r w:rsidRPr="00242181">
        <w:rPr>
          <w:b/>
        </w:rPr>
        <w:lastRenderedPageBreak/>
        <w:t>Table 3:</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65211879" w14:textId="58B9C77C" w:rsidTr="000058F5">
        <w:tc>
          <w:tcPr>
            <w:tcW w:w="1465" w:type="pct"/>
            <w:tcBorders>
              <w:top w:val="single" w:sz="4" w:space="0" w:color="auto"/>
            </w:tcBorders>
            <w:vAlign w:val="bottom"/>
          </w:tcPr>
          <w:p w14:paraId="4EECDFA0" w14:textId="77777777" w:rsidR="00363038" w:rsidRPr="00BA47F0" w:rsidRDefault="00363038" w:rsidP="0018462C">
            <w:pPr>
              <w:pStyle w:val="Compact"/>
              <w:spacing w:line="240" w:lineRule="auto"/>
              <w:jc w:val="center"/>
              <w:rPr>
                <w:szCs w:val="20"/>
              </w:rPr>
            </w:pPr>
          </w:p>
        </w:tc>
        <w:tc>
          <w:tcPr>
            <w:tcW w:w="3535" w:type="pct"/>
            <w:gridSpan w:val="3"/>
            <w:tcBorders>
              <w:top w:val="single" w:sz="4" w:space="0" w:color="auto"/>
              <w:bottom w:val="single" w:sz="2" w:space="0" w:color="auto"/>
            </w:tcBorders>
            <w:vAlign w:val="bottom"/>
          </w:tcPr>
          <w:p w14:paraId="6A26CEDD" w14:textId="2C5F7ED0" w:rsidR="00363038" w:rsidRPr="00BA47F0" w:rsidRDefault="00363038" w:rsidP="00E93541">
            <w:pPr>
              <w:pStyle w:val="Compact"/>
              <w:spacing w:line="240" w:lineRule="auto"/>
              <w:jc w:val="center"/>
              <w:rPr>
                <w:szCs w:val="20"/>
              </w:rPr>
            </w:pPr>
            <w:r w:rsidRPr="00BA47F0">
              <w:rPr>
                <w:szCs w:val="20"/>
              </w:rPr>
              <w:t>Axes of heterogeneity</w:t>
            </w:r>
          </w:p>
        </w:tc>
      </w:tr>
      <w:tr w:rsidR="00363038" w:rsidRPr="00BA47F0" w14:paraId="1E9A69BD" w14:textId="6DDAE6EC" w:rsidTr="00153B86">
        <w:tc>
          <w:tcPr>
            <w:tcW w:w="1465" w:type="pct"/>
            <w:tcBorders>
              <w:bottom w:val="single" w:sz="2" w:space="0" w:color="auto"/>
            </w:tcBorders>
            <w:vAlign w:val="bottom"/>
          </w:tcPr>
          <w:p w14:paraId="7E6EA743" w14:textId="77777777" w:rsidR="00363038" w:rsidRPr="00BA47F0" w:rsidRDefault="00363038" w:rsidP="00363038">
            <w:pPr>
              <w:pStyle w:val="Compact"/>
              <w:spacing w:line="240" w:lineRule="auto"/>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spacing w:line="240" w:lineRule="auto"/>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spacing w:line="240" w:lineRule="auto"/>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spacing w:line="240" w:lineRule="auto"/>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spacing w:line="240" w:lineRule="auto"/>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spacing w:line="240" w:lineRule="auto"/>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spacing w:line="240" w:lineRule="auto"/>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spacing w:line="240" w:lineRule="auto"/>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spacing w:line="240" w:lineRule="auto"/>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spacing w:line="240" w:lineRule="auto"/>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line="240" w:lineRule="auto"/>
        <w:rPr>
          <w:sz w:val="32"/>
        </w:rPr>
      </w:pPr>
      <w:bookmarkStart w:id="7"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7"/>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368DA5D">
            <wp:extent cx="5720440" cy="3960304"/>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0440" cy="3960304"/>
                    </a:xfrm>
                    <a:prstGeom prst="rect">
                      <a:avLst/>
                    </a:prstGeom>
                    <a:noFill/>
                    <a:ln w="9525">
                      <a:noFill/>
                      <a:headEnd/>
                      <a:tailEnd/>
                    </a:ln>
                  </pic:spPr>
                </pic:pic>
              </a:graphicData>
            </a:graphic>
          </wp:inline>
        </w:drawing>
      </w:r>
    </w:p>
    <w:p w14:paraId="5CEC371A" w14:textId="37827F7C" w:rsidR="00D04776" w:rsidRDefault="002C037D" w:rsidP="0018462C">
      <w:pPr>
        <w:pStyle w:val="BodyText"/>
        <w:spacing w:line="240" w:lineRule="auto"/>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negative relationships (depicted by lines) were found for MAP (slope = </w:t>
      </w:r>
      <w:r w:rsidR="00D14040" w:rsidRPr="006A6996">
        <w:t>–</w:t>
      </w:r>
      <w:r w:rsidR="006A6996" w:rsidRPr="006A6996">
        <w:t>0.224</w:t>
      </w:r>
      <w:r w:rsidR="00D91165">
        <w:t>;</w:t>
      </w:r>
      <w:r w:rsidR="006A6996" w:rsidRPr="006A6996">
        <w:t xml:space="preserve"> </w:t>
      </w:r>
      <w:r w:rsidR="006A6996" w:rsidRPr="00D14040">
        <w:rPr>
          <w:i/>
        </w:rPr>
        <w:t>P</w:t>
      </w:r>
      <w:r w:rsidR="006A6996" w:rsidRPr="006A6996">
        <w:t xml:space="preserve"> = 0.028) and PC1 (slope = </w:t>
      </w:r>
      <w:r w:rsidR="00D14040" w:rsidRPr="006A6996">
        <w:t>–</w:t>
      </w:r>
      <w:r w:rsidR="006A6996" w:rsidRPr="006A6996">
        <w:t>0.076</w:t>
      </w:r>
      <w:r w:rsidR="00DD0559">
        <w:t>;</w:t>
      </w:r>
      <w:r w:rsidR="006A6996" w:rsidRPr="006A6996">
        <w:t xml:space="preserve"> </w:t>
      </w:r>
      <w:r w:rsidR="006A6996" w:rsidRPr="00D14040">
        <w:rPr>
          <w:i/>
        </w:rPr>
        <w:t>P</w:t>
      </w:r>
      <w:r w:rsidR="006A6996" w:rsidRPr="006A6996">
        <w:t xml:space="preserve"> = 0.059).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39A2C1E">
            <wp:extent cx="5577063" cy="4780339"/>
            <wp:effectExtent l="0" t="0" r="508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77063" cy="4780339"/>
                    </a:xfrm>
                    <a:prstGeom prst="rect">
                      <a:avLst/>
                    </a:prstGeom>
                    <a:noFill/>
                    <a:ln w="9525">
                      <a:noFill/>
                      <a:headEnd/>
                      <a:tailEnd/>
                    </a:ln>
                  </pic:spPr>
                </pic:pic>
              </a:graphicData>
            </a:graphic>
          </wp:inline>
        </w:drawing>
      </w:r>
    </w:p>
    <w:p w14:paraId="75739017" w14:textId="4A54AF9C"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Pr="002C037D">
        <w:t>).</w:t>
      </w:r>
      <w:r w:rsidR="00D81A2B">
        <w:t xml:space="preserve"> </w:t>
      </w:r>
      <w:r w:rsidR="00B53F36">
        <w:t xml:space="preserve">Following </w:t>
      </w:r>
      <w:r w:rsidR="00933CCA">
        <w:t xml:space="preserve">two-sided </w:t>
      </w:r>
      <w:r w:rsidR="00B53F36">
        <w:t>Mann</w:t>
      </w:r>
      <w:r w:rsidR="002626CC" w:rsidRPr="000E5000">
        <w:t xml:space="preserve">-Whitney </w:t>
      </w:r>
      <w:r w:rsidR="002626CC" w:rsidRPr="000E5000">
        <w:rPr>
          <w:i/>
        </w:rPr>
        <w:t>U</w:t>
      </w:r>
      <w:r w:rsidR="002626CC" w:rsidRPr="000E5000">
        <w:t>-tests</w:t>
      </w:r>
      <w:r w:rsidR="00B21955" w:rsidRPr="000E5000">
        <w:t xml:space="preserve">, the </w:t>
      </w:r>
      <w:r w:rsidR="00933CCA" w:rsidRPr="000E5000">
        <w:t xml:space="preserve">GCFR had greater richness and turnover than the SWAFR at all scales </w:t>
      </w:r>
      <w:r w:rsidR="00933CCA">
        <w:rPr>
          <w:highlight w:val="yellow"/>
        </w:rPr>
        <w:t xml:space="preserve">(including at the DS-scale; </w:t>
      </w:r>
      <w:r w:rsidR="000E5000">
        <w:rPr>
          <w:highlight w:val="yellow"/>
        </w:rPr>
        <w:t xml:space="preserve">see </w:t>
      </w:r>
      <w:r w:rsidR="00933CCA">
        <w:rPr>
          <w:highlight w:val="yellow"/>
        </w:rPr>
        <w:t xml:space="preserve">SI) </w:t>
      </w:r>
      <w:r w:rsidR="00933CCA" w:rsidRPr="000E5000">
        <w:t>(</w:t>
      </w:r>
      <w:r w:rsidR="00933CCA" w:rsidRPr="000E5000">
        <w:rPr>
          <w:i/>
        </w:rPr>
        <w:t>P</w:t>
      </w:r>
      <w:r w:rsidR="00933CCA" w:rsidRPr="000E5000">
        <w:t xml:space="preserve"> &lt; 0.05)</w:t>
      </w:r>
      <w:r w:rsidR="002626CC" w:rsidRPr="000E5000">
        <w:t xml:space="preserve">. </w:t>
      </w:r>
      <w:r w:rsidR="000E5000" w:rsidRPr="000E5000">
        <w:t>However, c</w:t>
      </w:r>
      <w:r w:rsidR="00036900" w:rsidRPr="000E5000">
        <w:t>ommon language effect size</w:t>
      </w:r>
      <w:r w:rsidR="000E5000" w:rsidRPr="000E5000">
        <w:t>s</w:t>
      </w:r>
      <w:r w:rsidR="00036900" w:rsidRPr="000E5000">
        <w:t xml:space="preserve"> (</w:t>
      </w:r>
      <w:r w:rsidR="00D04776" w:rsidRPr="000E5000">
        <w:rPr>
          <w:i/>
        </w:rPr>
        <w:t>CLES</w:t>
      </w:r>
      <w:r w:rsidR="00036900" w:rsidRPr="000E5000">
        <w:t>)</w:t>
      </w:r>
      <w:r w:rsidR="000E5000" w:rsidRPr="000E5000">
        <w:t xml:space="preserve"> of GCFR vs SWAFR values</w:t>
      </w:r>
      <w:r w:rsidR="00036900" w:rsidRPr="000E5000">
        <w:t xml:space="preserve"> </w:t>
      </w:r>
      <w:r w:rsidR="000E5000" w:rsidRPr="000E5000">
        <w:t xml:space="preserve">demonstrate that this is less pronounced at finer scales </w:t>
      </w:r>
      <w:r w:rsidR="000E5000">
        <w:t>(</w:t>
      </w:r>
      <w:r w:rsidR="000E5000" w:rsidRPr="00DE6B05">
        <w:rPr>
          <w:i/>
        </w:rPr>
        <w:t>S</w:t>
      </w:r>
      <w:r w:rsidR="000E5000">
        <w:rPr>
          <w:vertAlign w:val="subscript"/>
        </w:rPr>
        <w:t>QDS</w:t>
      </w:r>
      <w:r w:rsidR="000E5000">
        <w:t xml:space="preserve">: 0.59, </w:t>
      </w:r>
      <w:r w:rsidR="000E5000" w:rsidRPr="00DE6B05">
        <w:rPr>
          <w:i/>
        </w:rPr>
        <w:t>S</w:t>
      </w:r>
      <w:r w:rsidR="000E5000">
        <w:rPr>
          <w:vertAlign w:val="subscript"/>
        </w:rPr>
        <w:t>HDS</w:t>
      </w:r>
      <w:r w:rsidR="000E5000">
        <w:t xml:space="preserve">: 0.59, </w:t>
      </w:r>
      <w:r w:rsidR="000E5000" w:rsidRPr="004E2D58">
        <w:rPr>
          <w:i/>
          <w:highlight w:val="yellow"/>
        </w:rPr>
        <w:t>S</w:t>
      </w:r>
      <w:r w:rsidR="000E5000" w:rsidRPr="004E2D58">
        <w:rPr>
          <w:highlight w:val="yellow"/>
          <w:vertAlign w:val="subscript"/>
        </w:rPr>
        <w:t>DS</w:t>
      </w:r>
      <w:r w:rsidR="000E5000" w:rsidRPr="004E2D58">
        <w:rPr>
          <w:highlight w:val="yellow"/>
        </w:rPr>
        <w:t>: 0.73 (see SI)</w:t>
      </w:r>
      <w:r w:rsidR="000E5000">
        <w:t xml:space="preserve">; </w:t>
      </w:r>
      <w:r w:rsidR="000E5000" w:rsidRPr="00D81A2B">
        <w:rPr>
          <w:i/>
        </w:rPr>
        <w:t>T</w:t>
      </w:r>
      <w:r w:rsidR="000E5000" w:rsidRPr="00D81A2B">
        <w:rPr>
          <w:vertAlign w:val="subscript"/>
        </w:rPr>
        <w:t>QDS</w:t>
      </w:r>
      <w:r w:rsidR="000E5000" w:rsidRPr="002C037D">
        <w:t xml:space="preserve"> / </w:t>
      </w:r>
      <m:oMath>
        <m:bar>
          <m:barPr>
            <m:pos m:val="top"/>
            <m:ctrlPr>
              <w:rPr>
                <w:rFonts w:ascii="Cambria Math" w:hAnsi="Cambria Math"/>
              </w:rPr>
            </m:ctrlPr>
          </m:barPr>
          <m:e>
            <m:r>
              <w:rPr>
                <w:rFonts w:ascii="Cambria Math" w:hAnsi="Cambria Math"/>
              </w:rPr>
              <m:t>S</m:t>
            </m:r>
          </m:e>
        </m:bar>
      </m:oMath>
      <w:r w:rsidR="000E5000" w:rsidRPr="00074006">
        <w:rPr>
          <w:vertAlign w:val="subscript"/>
        </w:rPr>
        <w:t>QDS</w:t>
      </w:r>
      <w:r w:rsidR="000E5000">
        <w:t xml:space="preserve">: 0.74, </w:t>
      </w:r>
      <w:r w:rsidR="000E5000" w:rsidRPr="004E2D58">
        <w:rPr>
          <w:i/>
          <w:highlight w:val="yellow"/>
        </w:rPr>
        <w:t>T</w:t>
      </w:r>
      <w:r w:rsidR="005A3FC0" w:rsidRPr="004E2D58">
        <w:rPr>
          <w:highlight w:val="yellow"/>
          <w:vertAlign w:val="subscript"/>
        </w:rPr>
        <w:t>H</w:t>
      </w:r>
      <w:r w:rsidR="000E5000" w:rsidRPr="004E2D58">
        <w:rPr>
          <w:highlight w:val="yellow"/>
          <w:vertAlign w:val="subscript"/>
        </w:rPr>
        <w:t>DS</w:t>
      </w:r>
      <w:r w:rsidR="000E5000"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0E5000" w:rsidRPr="004E2D58">
        <w:rPr>
          <w:highlight w:val="yellow"/>
          <w:vertAlign w:val="subscript"/>
        </w:rPr>
        <w:t>HDS</w:t>
      </w:r>
      <w:r w:rsidR="005A3FC0" w:rsidRPr="004E2D58">
        <w:rPr>
          <w:highlight w:val="yellow"/>
        </w:rPr>
        <w:t>: 0.81</w:t>
      </w:r>
      <w:r w:rsidR="004E2D58" w:rsidRPr="004E2D58">
        <w:rPr>
          <w:highlight w:val="yellow"/>
        </w:rPr>
        <w:t xml:space="preserve"> (see SI)</w:t>
      </w:r>
      <w:r w:rsidR="005A3FC0">
        <w:t>)</w:t>
      </w:r>
      <w:r w:rsidR="00DE6B05">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0A38E33">
            <wp:extent cx="5966048" cy="2556877"/>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6048" cy="2556877"/>
                    </a:xfrm>
                    <a:prstGeom prst="rect">
                      <a:avLst/>
                    </a:prstGeom>
                    <a:noFill/>
                    <a:ln w="9525">
                      <a:noFill/>
                      <a:headEnd/>
                      <a:tailEnd/>
                    </a:ln>
                  </pic:spPr>
                </pic:pic>
              </a:graphicData>
            </a:graphic>
          </wp:inline>
        </w:drawing>
      </w:r>
    </w:p>
    <w:p w14:paraId="7180F251" w14:textId="69F3CB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Pr="000951C2">
        <w:t xml:space="preserve"> 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 xml:space="preserve">These three linear models are presented in Table 2. </w:t>
      </w:r>
      <w:r w:rsidRPr="000951C2">
        <w:t>Grey bands denote 95% confidence intervals</w:t>
      </w:r>
      <w:r w:rsidR="00132E42" w:rsidRPr="000951C2">
        <w:t xml:space="preserve"> about the fitted lines</w:t>
      </w:r>
      <w:r w:rsidRPr="000951C2">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rsidR="008B3F0E">
        <w:t xml:space="preserve"> </w:t>
      </w:r>
      <w:r w:rsidR="008B3F0E" w:rsidRPr="008B3F0E">
        <w:rPr>
          <w:highlight w:val="yellow"/>
        </w:rPr>
        <w:t xml:space="preserve">Using </w:t>
      </w:r>
      <w:r w:rsidR="00A27C14">
        <w:rPr>
          <w:highlight w:val="yellow"/>
        </w:rPr>
        <w:t>an</w:t>
      </w:r>
      <w:bookmarkStart w:id="8" w:name="_GoBack"/>
      <w:bookmarkEnd w:id="8"/>
      <w:r w:rsidR="008B3F0E" w:rsidRPr="008B3F0E">
        <w:rPr>
          <w:highlight w:val="yellow"/>
        </w:rPr>
        <w:t xml:space="preserve"> ANCOVA-like approach, we also regressed species richness against PC1 in with the data from all three scales combined. Following this, we found no evidence for differences in the slope of the fits here.</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B436CB3">
            <wp:extent cx="5939624" cy="5091106"/>
            <wp:effectExtent l="0" t="0" r="4445"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5061" cy="5112909"/>
                    </a:xfrm>
                    <a:prstGeom prst="rect">
                      <a:avLst/>
                    </a:prstGeom>
                    <a:noFill/>
                    <a:ln w="9525">
                      <a:noFill/>
                      <a:headEnd/>
                      <a:tailEnd/>
                    </a:ln>
                  </pic:spPr>
                </pic:pic>
              </a:graphicData>
            </a:graphic>
          </wp:inline>
        </w:drawing>
      </w:r>
    </w:p>
    <w:p w14:paraId="784FFE15" w14:textId="588D02F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741F6E" w:rsidRPr="00EB7331">
        <w:t>across GCFR</w:t>
      </w:r>
      <w:r w:rsidR="00F53C09">
        <w:t xml:space="preserve"> and </w:t>
      </w:r>
      <w:r w:rsidR="00741F6E" w:rsidRPr="00EB7331">
        <w:t>SWAFR</w:t>
      </w:r>
      <w:r w:rsidRPr="00EB7331">
        <w:t xml:space="preserve">. </w:t>
      </w:r>
      <w:r w:rsidRPr="0021176B">
        <w:rPr>
          <w:highlight w:val="yellow"/>
        </w:rPr>
        <w:t xml:space="preserve">Each </w:t>
      </w:r>
      <w:r w:rsidR="00F53C09" w:rsidRPr="0021176B">
        <w:rPr>
          <w:highlight w:val="yellow"/>
        </w:rPr>
        <w:t xml:space="preserve">of these three </w:t>
      </w:r>
      <w:r w:rsidRPr="0021176B">
        <w:rPr>
          <w:highlight w:val="yellow"/>
        </w:rPr>
        <w:t>model</w:t>
      </w:r>
      <w:r w:rsidR="00F53C09" w:rsidRPr="0021176B">
        <w:rPr>
          <w:highlight w:val="yellow"/>
        </w:rPr>
        <w:t>s</w:t>
      </w:r>
      <w:r w:rsidRPr="0021176B">
        <w:rPr>
          <w:highlight w:val="yellow"/>
        </w:rPr>
        <w:t xml:space="preserve"> was simplified, from a starting model with all predictors and their interactions with </w:t>
      </w:r>
      <w:r w:rsidR="00711D8E" w:rsidRPr="0021176B">
        <w:rPr>
          <w:highlight w:val="yellow"/>
        </w:rPr>
        <w:t xml:space="preserve">a </w:t>
      </w:r>
      <w:r w:rsidRPr="0021176B">
        <w:rPr>
          <w:highlight w:val="yellow"/>
        </w:rPr>
        <w:t>region</w:t>
      </w:r>
      <w:r w:rsidR="00711D8E" w:rsidRPr="0021176B">
        <w:rPr>
          <w:highlight w:val="yellow"/>
        </w:rPr>
        <w:t>-term</w:t>
      </w:r>
      <w:r w:rsidRPr="0021176B">
        <w:rPr>
          <w:highlight w:val="yellow"/>
        </w:rPr>
        <w:t xml:space="preserve">, using reverse stepwise regression model selection based on </w:t>
      </w:r>
      <w:r w:rsidRPr="0021176B">
        <w:rPr>
          <w:i/>
          <w:highlight w:val="yellow"/>
        </w:rPr>
        <w:t>AIC</w:t>
      </w:r>
      <w:r w:rsidRPr="0021176B">
        <w:rPr>
          <w:highlight w:val="yellow"/>
        </w:rPr>
        <w:t>-scores in 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 xml:space="preserve">The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spacing w:line="240" w:lineRule="auto"/>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Default="00FE5D62" w:rsidP="00FE5D62">
      <w:pPr>
        <w:pStyle w:val="BodyText"/>
        <w:spacing w:line="240" w:lineRule="auto"/>
      </w:pPr>
      <w:r>
        <w:t>R</w:t>
      </w:r>
      <w:r w:rsidR="00692368">
        <w:t xml:space="preserve">uan </w:t>
      </w:r>
      <w:r>
        <w:t>v</w:t>
      </w:r>
      <w:r w:rsidR="00692368">
        <w:t xml:space="preserve">an </w:t>
      </w:r>
      <w:r>
        <w:t>M</w:t>
      </w:r>
      <w:r w:rsidR="00692368">
        <w:t>azijk</w:t>
      </w:r>
      <w:r>
        <w:t xml:space="preserve">: </w:t>
      </w:r>
      <w:hyperlink r:id="rId14" w:history="1">
        <w:r w:rsidR="00FC55F5" w:rsidRPr="00BF6C46">
          <w:rPr>
            <w:rStyle w:val="Hyperlink"/>
          </w:rPr>
          <w:t>https://orcid.org/</w:t>
        </w:r>
        <w:r w:rsidRPr="00BF6C46">
          <w:rPr>
            <w:rStyle w:val="Hyperlink"/>
          </w:rPr>
          <w:t>0000-0003-2659-6909</w:t>
        </w:r>
      </w:hyperlink>
    </w:p>
    <w:p w14:paraId="437BDB41" w14:textId="126DE8FE" w:rsidR="00FE5D62" w:rsidRDefault="00FE5D62" w:rsidP="00FE5D62">
      <w:pPr>
        <w:pStyle w:val="BodyText"/>
        <w:spacing w:line="240" w:lineRule="auto"/>
      </w:pPr>
      <w:r>
        <w:t>M</w:t>
      </w:r>
      <w:r w:rsidR="00692368">
        <w:t xml:space="preserve">ichael </w:t>
      </w:r>
      <w:r>
        <w:t>D</w:t>
      </w:r>
      <w:r w:rsidR="00692368">
        <w:t xml:space="preserve">. </w:t>
      </w:r>
      <w:r>
        <w:t>C</w:t>
      </w:r>
      <w:r w:rsidR="00692368">
        <w:t>ramer</w:t>
      </w:r>
      <w:r>
        <w:t xml:space="preserve">: </w:t>
      </w:r>
      <w:hyperlink r:id="rId15" w:history="1">
        <w:r w:rsidR="00BF6C46" w:rsidRPr="006B0757">
          <w:rPr>
            <w:rStyle w:val="Hyperlink"/>
          </w:rPr>
          <w:t>https://orcid.org/0000-0003-0989-3266</w:t>
        </w:r>
      </w:hyperlink>
    </w:p>
    <w:p w14:paraId="42F11E67" w14:textId="58FB0AB8" w:rsidR="00FE5D62" w:rsidRPr="009E59E0" w:rsidRDefault="00FE5D62" w:rsidP="0018462C">
      <w:pPr>
        <w:pStyle w:val="BodyText"/>
        <w:spacing w:line="240" w:lineRule="auto"/>
      </w:pPr>
      <w:r>
        <w:t>G</w:t>
      </w:r>
      <w:r w:rsidR="00692368">
        <w:t xml:space="preserve">. </w:t>
      </w:r>
      <w:r>
        <w:t>A</w:t>
      </w:r>
      <w:r w:rsidR="00692368">
        <w:t xml:space="preserve">nthony </w:t>
      </w:r>
      <w:proofErr w:type="spellStart"/>
      <w:r>
        <w:t>V</w:t>
      </w:r>
      <w:r w:rsidR="00692368">
        <w:t>erboom</w:t>
      </w:r>
      <w:proofErr w:type="spellEnd"/>
      <w:r>
        <w:t xml:space="preserve">: </w:t>
      </w:r>
      <w:hyperlink r:id="rId16" w:history="1">
        <w:r w:rsidR="00BF6C46" w:rsidRPr="006B0757">
          <w:rPr>
            <w:rStyle w:val="Hyperlink"/>
          </w:rPr>
          <w:t>https://orcid.org/0000-0002-1363-9781</w:t>
        </w:r>
      </w:hyperlink>
      <w:r w:rsidR="00BF6C46">
        <w:t xml:space="preserve"> </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0A815AF6" w:rsidR="004D4AE1" w:rsidRDefault="004D4AE1" w:rsidP="001453CD">
      <w:pPr>
        <w:pStyle w:val="BodyText"/>
        <w:spacing w:line="240" w:lineRule="auto"/>
      </w:pPr>
      <w:r w:rsidRPr="00200991">
        <w:rPr>
          <w:highlight w:val="yellow"/>
        </w:rPr>
        <w:t>…</w:t>
      </w:r>
    </w:p>
    <w:p w14:paraId="5FCEE1EB" w14:textId="6487F5A3"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76015" w14:textId="77777777" w:rsidR="00B56820" w:rsidRDefault="00B56820">
      <w:pPr>
        <w:spacing w:after="0"/>
      </w:pPr>
      <w:r>
        <w:separator/>
      </w:r>
    </w:p>
  </w:endnote>
  <w:endnote w:type="continuationSeparator" w:id="0">
    <w:p w14:paraId="4DDE55E6" w14:textId="77777777" w:rsidR="00B56820" w:rsidRDefault="00B568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847682" w:rsidRDefault="008476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847682" w:rsidRDefault="00847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A5F2" w14:textId="77777777" w:rsidR="00B56820" w:rsidRDefault="00B56820">
      <w:r>
        <w:separator/>
      </w:r>
    </w:p>
  </w:footnote>
  <w:footnote w:type="continuationSeparator" w:id="0">
    <w:p w14:paraId="68E9893C" w14:textId="77777777" w:rsidR="00B56820" w:rsidRDefault="00B56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8F5"/>
    <w:rsid w:val="00010D0D"/>
    <w:rsid w:val="00011C8B"/>
    <w:rsid w:val="000134E5"/>
    <w:rsid w:val="00017062"/>
    <w:rsid w:val="0001739B"/>
    <w:rsid w:val="000202B4"/>
    <w:rsid w:val="00024A7B"/>
    <w:rsid w:val="00030FA3"/>
    <w:rsid w:val="00032420"/>
    <w:rsid w:val="00032731"/>
    <w:rsid w:val="00036900"/>
    <w:rsid w:val="00037267"/>
    <w:rsid w:val="00042E25"/>
    <w:rsid w:val="00043102"/>
    <w:rsid w:val="00043D4E"/>
    <w:rsid w:val="000469ED"/>
    <w:rsid w:val="00046D81"/>
    <w:rsid w:val="0004779B"/>
    <w:rsid w:val="000519A1"/>
    <w:rsid w:val="000558A9"/>
    <w:rsid w:val="00060E27"/>
    <w:rsid w:val="000611F5"/>
    <w:rsid w:val="000622E8"/>
    <w:rsid w:val="00062A2B"/>
    <w:rsid w:val="000657EC"/>
    <w:rsid w:val="00066121"/>
    <w:rsid w:val="00070D03"/>
    <w:rsid w:val="00072164"/>
    <w:rsid w:val="00074006"/>
    <w:rsid w:val="000747BD"/>
    <w:rsid w:val="00083308"/>
    <w:rsid w:val="000847C4"/>
    <w:rsid w:val="00086052"/>
    <w:rsid w:val="000951C2"/>
    <w:rsid w:val="0009756C"/>
    <w:rsid w:val="000A44BE"/>
    <w:rsid w:val="000A737C"/>
    <w:rsid w:val="000C1B2A"/>
    <w:rsid w:val="000C1DFD"/>
    <w:rsid w:val="000C57CB"/>
    <w:rsid w:val="000C58EB"/>
    <w:rsid w:val="000C78F5"/>
    <w:rsid w:val="000D1A3D"/>
    <w:rsid w:val="000D6AB1"/>
    <w:rsid w:val="000E4213"/>
    <w:rsid w:val="000E5000"/>
    <w:rsid w:val="000E72CC"/>
    <w:rsid w:val="000E7EAD"/>
    <w:rsid w:val="000F419D"/>
    <w:rsid w:val="000F5594"/>
    <w:rsid w:val="000F59F5"/>
    <w:rsid w:val="000F699D"/>
    <w:rsid w:val="00104482"/>
    <w:rsid w:val="00105FAF"/>
    <w:rsid w:val="00106E88"/>
    <w:rsid w:val="00114867"/>
    <w:rsid w:val="00126A24"/>
    <w:rsid w:val="001320BF"/>
    <w:rsid w:val="00132E42"/>
    <w:rsid w:val="00137BA5"/>
    <w:rsid w:val="001453CD"/>
    <w:rsid w:val="001462B5"/>
    <w:rsid w:val="00146F57"/>
    <w:rsid w:val="00152374"/>
    <w:rsid w:val="001530FE"/>
    <w:rsid w:val="00153824"/>
    <w:rsid w:val="00153B86"/>
    <w:rsid w:val="001541B2"/>
    <w:rsid w:val="0015465B"/>
    <w:rsid w:val="00157417"/>
    <w:rsid w:val="001729D4"/>
    <w:rsid w:val="001739C8"/>
    <w:rsid w:val="001755D7"/>
    <w:rsid w:val="00176E4F"/>
    <w:rsid w:val="0018462C"/>
    <w:rsid w:val="00185A50"/>
    <w:rsid w:val="00190D4A"/>
    <w:rsid w:val="001A23A6"/>
    <w:rsid w:val="001B0959"/>
    <w:rsid w:val="001B34DA"/>
    <w:rsid w:val="001B40FF"/>
    <w:rsid w:val="001B412D"/>
    <w:rsid w:val="001B6D6F"/>
    <w:rsid w:val="001C1E9D"/>
    <w:rsid w:val="001C4D68"/>
    <w:rsid w:val="001C5D8A"/>
    <w:rsid w:val="001C64D6"/>
    <w:rsid w:val="001C7670"/>
    <w:rsid w:val="001D4356"/>
    <w:rsid w:val="001E4787"/>
    <w:rsid w:val="001F3585"/>
    <w:rsid w:val="001F4B4C"/>
    <w:rsid w:val="00200991"/>
    <w:rsid w:val="00201A80"/>
    <w:rsid w:val="00205DC2"/>
    <w:rsid w:val="00210CA7"/>
    <w:rsid w:val="00211350"/>
    <w:rsid w:val="0021176B"/>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759A"/>
    <w:rsid w:val="00251338"/>
    <w:rsid w:val="002565D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C037D"/>
    <w:rsid w:val="002C5C96"/>
    <w:rsid w:val="002C7938"/>
    <w:rsid w:val="002D0B56"/>
    <w:rsid w:val="002D283F"/>
    <w:rsid w:val="002D4FA9"/>
    <w:rsid w:val="002E231B"/>
    <w:rsid w:val="002E3FF8"/>
    <w:rsid w:val="002E6995"/>
    <w:rsid w:val="002E6AC4"/>
    <w:rsid w:val="002F092D"/>
    <w:rsid w:val="002F370B"/>
    <w:rsid w:val="00303501"/>
    <w:rsid w:val="003061B2"/>
    <w:rsid w:val="00310608"/>
    <w:rsid w:val="00310871"/>
    <w:rsid w:val="003251C7"/>
    <w:rsid w:val="0032532C"/>
    <w:rsid w:val="00325EB1"/>
    <w:rsid w:val="0033192D"/>
    <w:rsid w:val="00331CEC"/>
    <w:rsid w:val="00334B9B"/>
    <w:rsid w:val="00335E0E"/>
    <w:rsid w:val="0033748B"/>
    <w:rsid w:val="00342111"/>
    <w:rsid w:val="00352382"/>
    <w:rsid w:val="00352767"/>
    <w:rsid w:val="00354D9C"/>
    <w:rsid w:val="003562E3"/>
    <w:rsid w:val="00357472"/>
    <w:rsid w:val="00361152"/>
    <w:rsid w:val="00363038"/>
    <w:rsid w:val="00364F0A"/>
    <w:rsid w:val="0036760E"/>
    <w:rsid w:val="00374287"/>
    <w:rsid w:val="0037447E"/>
    <w:rsid w:val="00381E28"/>
    <w:rsid w:val="00381ECD"/>
    <w:rsid w:val="0038260D"/>
    <w:rsid w:val="0038290C"/>
    <w:rsid w:val="00382BBB"/>
    <w:rsid w:val="00382E74"/>
    <w:rsid w:val="0038369B"/>
    <w:rsid w:val="00390292"/>
    <w:rsid w:val="003912CF"/>
    <w:rsid w:val="003913A0"/>
    <w:rsid w:val="003939AA"/>
    <w:rsid w:val="003A0E03"/>
    <w:rsid w:val="003B10FC"/>
    <w:rsid w:val="003B2885"/>
    <w:rsid w:val="003B7C89"/>
    <w:rsid w:val="003C1C5A"/>
    <w:rsid w:val="003C30C4"/>
    <w:rsid w:val="003C34D2"/>
    <w:rsid w:val="003C533D"/>
    <w:rsid w:val="003C58E2"/>
    <w:rsid w:val="003C74FE"/>
    <w:rsid w:val="003D414F"/>
    <w:rsid w:val="003D65D2"/>
    <w:rsid w:val="003E1A90"/>
    <w:rsid w:val="003E46DC"/>
    <w:rsid w:val="003E4723"/>
    <w:rsid w:val="003E5397"/>
    <w:rsid w:val="003E7786"/>
    <w:rsid w:val="003F1CDD"/>
    <w:rsid w:val="00401CC9"/>
    <w:rsid w:val="0040493A"/>
    <w:rsid w:val="00404DA4"/>
    <w:rsid w:val="004063C5"/>
    <w:rsid w:val="00407D70"/>
    <w:rsid w:val="004121C0"/>
    <w:rsid w:val="004218EE"/>
    <w:rsid w:val="00427A07"/>
    <w:rsid w:val="0043502F"/>
    <w:rsid w:val="0044052A"/>
    <w:rsid w:val="00442282"/>
    <w:rsid w:val="004511B3"/>
    <w:rsid w:val="00452B2E"/>
    <w:rsid w:val="00457659"/>
    <w:rsid w:val="00462E55"/>
    <w:rsid w:val="004632FE"/>
    <w:rsid w:val="00464662"/>
    <w:rsid w:val="00465238"/>
    <w:rsid w:val="00466172"/>
    <w:rsid w:val="00472407"/>
    <w:rsid w:val="00472BBD"/>
    <w:rsid w:val="004769C5"/>
    <w:rsid w:val="00481C6F"/>
    <w:rsid w:val="00482491"/>
    <w:rsid w:val="00485879"/>
    <w:rsid w:val="00486DF3"/>
    <w:rsid w:val="00491E5D"/>
    <w:rsid w:val="00493CCF"/>
    <w:rsid w:val="00494991"/>
    <w:rsid w:val="004A14DD"/>
    <w:rsid w:val="004C00F7"/>
    <w:rsid w:val="004C28BF"/>
    <w:rsid w:val="004C331B"/>
    <w:rsid w:val="004D0F24"/>
    <w:rsid w:val="004D13EA"/>
    <w:rsid w:val="004D4AE1"/>
    <w:rsid w:val="004D5D8A"/>
    <w:rsid w:val="004D7400"/>
    <w:rsid w:val="004E1D08"/>
    <w:rsid w:val="004E29B3"/>
    <w:rsid w:val="004E2D58"/>
    <w:rsid w:val="004E6FFF"/>
    <w:rsid w:val="004F1DC1"/>
    <w:rsid w:val="004F6F8D"/>
    <w:rsid w:val="00502FAF"/>
    <w:rsid w:val="005042D0"/>
    <w:rsid w:val="00505F87"/>
    <w:rsid w:val="0050654E"/>
    <w:rsid w:val="00506692"/>
    <w:rsid w:val="00515DC1"/>
    <w:rsid w:val="00520289"/>
    <w:rsid w:val="005216AD"/>
    <w:rsid w:val="00524DDF"/>
    <w:rsid w:val="00526608"/>
    <w:rsid w:val="00531FB3"/>
    <w:rsid w:val="00531FF2"/>
    <w:rsid w:val="005350C1"/>
    <w:rsid w:val="005527B5"/>
    <w:rsid w:val="005637B6"/>
    <w:rsid w:val="0056633D"/>
    <w:rsid w:val="00583EAA"/>
    <w:rsid w:val="0058659A"/>
    <w:rsid w:val="00590D07"/>
    <w:rsid w:val="0059637F"/>
    <w:rsid w:val="005A3FC0"/>
    <w:rsid w:val="005A6B10"/>
    <w:rsid w:val="005B1C53"/>
    <w:rsid w:val="005B22E7"/>
    <w:rsid w:val="005B39FE"/>
    <w:rsid w:val="005B5B14"/>
    <w:rsid w:val="005C2A1A"/>
    <w:rsid w:val="005C752F"/>
    <w:rsid w:val="005D1597"/>
    <w:rsid w:val="005D24D5"/>
    <w:rsid w:val="005D4530"/>
    <w:rsid w:val="005E19A4"/>
    <w:rsid w:val="005F03CE"/>
    <w:rsid w:val="005F0D12"/>
    <w:rsid w:val="005F0FFB"/>
    <w:rsid w:val="005F573D"/>
    <w:rsid w:val="005F79BD"/>
    <w:rsid w:val="005F7AE4"/>
    <w:rsid w:val="005F7E3B"/>
    <w:rsid w:val="00602D3B"/>
    <w:rsid w:val="00603141"/>
    <w:rsid w:val="0060601F"/>
    <w:rsid w:val="0061190A"/>
    <w:rsid w:val="006255A4"/>
    <w:rsid w:val="006277B7"/>
    <w:rsid w:val="00632A02"/>
    <w:rsid w:val="00634215"/>
    <w:rsid w:val="00634D1A"/>
    <w:rsid w:val="006462CD"/>
    <w:rsid w:val="00647F5C"/>
    <w:rsid w:val="006507B4"/>
    <w:rsid w:val="00653D19"/>
    <w:rsid w:val="00662457"/>
    <w:rsid w:val="00663F53"/>
    <w:rsid w:val="0066712E"/>
    <w:rsid w:val="00667CCB"/>
    <w:rsid w:val="006703E1"/>
    <w:rsid w:val="00671F3F"/>
    <w:rsid w:val="0067407E"/>
    <w:rsid w:val="00681E6F"/>
    <w:rsid w:val="00684A84"/>
    <w:rsid w:val="00686E1D"/>
    <w:rsid w:val="00692368"/>
    <w:rsid w:val="00695A6F"/>
    <w:rsid w:val="006A4603"/>
    <w:rsid w:val="006A6996"/>
    <w:rsid w:val="006B0E2E"/>
    <w:rsid w:val="006B2D93"/>
    <w:rsid w:val="006B3D28"/>
    <w:rsid w:val="006B6D35"/>
    <w:rsid w:val="006C15F8"/>
    <w:rsid w:val="006C20C8"/>
    <w:rsid w:val="006C58CE"/>
    <w:rsid w:val="006C6B1A"/>
    <w:rsid w:val="006D35C5"/>
    <w:rsid w:val="006D58C7"/>
    <w:rsid w:val="006D6FEA"/>
    <w:rsid w:val="006E039C"/>
    <w:rsid w:val="006E62E9"/>
    <w:rsid w:val="006F043C"/>
    <w:rsid w:val="006F0BA2"/>
    <w:rsid w:val="006F1CA8"/>
    <w:rsid w:val="006F3914"/>
    <w:rsid w:val="006F3A86"/>
    <w:rsid w:val="00702F14"/>
    <w:rsid w:val="00704287"/>
    <w:rsid w:val="007051DF"/>
    <w:rsid w:val="00706CF1"/>
    <w:rsid w:val="00711950"/>
    <w:rsid w:val="00711D48"/>
    <w:rsid w:val="00711D8E"/>
    <w:rsid w:val="0071300C"/>
    <w:rsid w:val="0072582D"/>
    <w:rsid w:val="0073036F"/>
    <w:rsid w:val="0073171D"/>
    <w:rsid w:val="0073580D"/>
    <w:rsid w:val="00736302"/>
    <w:rsid w:val="00741F6E"/>
    <w:rsid w:val="00753A5E"/>
    <w:rsid w:val="00760A5C"/>
    <w:rsid w:val="007612C7"/>
    <w:rsid w:val="00762256"/>
    <w:rsid w:val="007704C7"/>
    <w:rsid w:val="00773D2C"/>
    <w:rsid w:val="00774484"/>
    <w:rsid w:val="00774C5C"/>
    <w:rsid w:val="00775A42"/>
    <w:rsid w:val="00784D58"/>
    <w:rsid w:val="00786594"/>
    <w:rsid w:val="0079178A"/>
    <w:rsid w:val="007948F4"/>
    <w:rsid w:val="007968A1"/>
    <w:rsid w:val="007A1C58"/>
    <w:rsid w:val="007B1591"/>
    <w:rsid w:val="007C5AFE"/>
    <w:rsid w:val="007C706A"/>
    <w:rsid w:val="007C79A1"/>
    <w:rsid w:val="007C7D4C"/>
    <w:rsid w:val="007D673C"/>
    <w:rsid w:val="007E55CB"/>
    <w:rsid w:val="007E72DA"/>
    <w:rsid w:val="007F2F46"/>
    <w:rsid w:val="00800BA0"/>
    <w:rsid w:val="00800FA8"/>
    <w:rsid w:val="008041FB"/>
    <w:rsid w:val="0080611D"/>
    <w:rsid w:val="00810E40"/>
    <w:rsid w:val="008132FA"/>
    <w:rsid w:val="00817192"/>
    <w:rsid w:val="00822DD5"/>
    <w:rsid w:val="008259DB"/>
    <w:rsid w:val="008337E4"/>
    <w:rsid w:val="00835502"/>
    <w:rsid w:val="00836BCB"/>
    <w:rsid w:val="00837E72"/>
    <w:rsid w:val="00842DF6"/>
    <w:rsid w:val="00843584"/>
    <w:rsid w:val="008457B7"/>
    <w:rsid w:val="00847682"/>
    <w:rsid w:val="008523B9"/>
    <w:rsid w:val="00854113"/>
    <w:rsid w:val="00856155"/>
    <w:rsid w:val="008569B7"/>
    <w:rsid w:val="00863996"/>
    <w:rsid w:val="00865E47"/>
    <w:rsid w:val="0086613F"/>
    <w:rsid w:val="00866587"/>
    <w:rsid w:val="00880670"/>
    <w:rsid w:val="00891FE6"/>
    <w:rsid w:val="0089544E"/>
    <w:rsid w:val="008A08EA"/>
    <w:rsid w:val="008A4E97"/>
    <w:rsid w:val="008A59B2"/>
    <w:rsid w:val="008A5AB4"/>
    <w:rsid w:val="008A683E"/>
    <w:rsid w:val="008A7439"/>
    <w:rsid w:val="008B3F0E"/>
    <w:rsid w:val="008B4347"/>
    <w:rsid w:val="008B688E"/>
    <w:rsid w:val="008C1C71"/>
    <w:rsid w:val="008D2DCA"/>
    <w:rsid w:val="008D58D0"/>
    <w:rsid w:val="008D6863"/>
    <w:rsid w:val="008E0FD5"/>
    <w:rsid w:val="008E1988"/>
    <w:rsid w:val="008E3382"/>
    <w:rsid w:val="008E45A8"/>
    <w:rsid w:val="008E671D"/>
    <w:rsid w:val="008F0AB7"/>
    <w:rsid w:val="008F228D"/>
    <w:rsid w:val="008F2AFD"/>
    <w:rsid w:val="00904B0D"/>
    <w:rsid w:val="00910BDE"/>
    <w:rsid w:val="009130B4"/>
    <w:rsid w:val="00923DF4"/>
    <w:rsid w:val="009266B9"/>
    <w:rsid w:val="0093209B"/>
    <w:rsid w:val="00933CCA"/>
    <w:rsid w:val="0094242D"/>
    <w:rsid w:val="00945B71"/>
    <w:rsid w:val="00945BC5"/>
    <w:rsid w:val="009460AD"/>
    <w:rsid w:val="00946957"/>
    <w:rsid w:val="009475D4"/>
    <w:rsid w:val="0095435C"/>
    <w:rsid w:val="00957784"/>
    <w:rsid w:val="00964F94"/>
    <w:rsid w:val="00970650"/>
    <w:rsid w:val="00976198"/>
    <w:rsid w:val="0098402B"/>
    <w:rsid w:val="009910D8"/>
    <w:rsid w:val="0099210D"/>
    <w:rsid w:val="00994922"/>
    <w:rsid w:val="00996A41"/>
    <w:rsid w:val="00996B78"/>
    <w:rsid w:val="009A0F54"/>
    <w:rsid w:val="009A1044"/>
    <w:rsid w:val="009A20D3"/>
    <w:rsid w:val="009A576E"/>
    <w:rsid w:val="009A5C6C"/>
    <w:rsid w:val="009B06B4"/>
    <w:rsid w:val="009B2347"/>
    <w:rsid w:val="009B6D40"/>
    <w:rsid w:val="009C2537"/>
    <w:rsid w:val="009C5008"/>
    <w:rsid w:val="009D1A46"/>
    <w:rsid w:val="009D1AEA"/>
    <w:rsid w:val="009D35D4"/>
    <w:rsid w:val="009D54AF"/>
    <w:rsid w:val="009E3C9B"/>
    <w:rsid w:val="009E59E0"/>
    <w:rsid w:val="00A006BE"/>
    <w:rsid w:val="00A07CF5"/>
    <w:rsid w:val="00A17592"/>
    <w:rsid w:val="00A27C14"/>
    <w:rsid w:val="00A30A5A"/>
    <w:rsid w:val="00A345C1"/>
    <w:rsid w:val="00A3472A"/>
    <w:rsid w:val="00A34738"/>
    <w:rsid w:val="00A3580F"/>
    <w:rsid w:val="00A45BBE"/>
    <w:rsid w:val="00A46B1F"/>
    <w:rsid w:val="00A523A6"/>
    <w:rsid w:val="00A526C4"/>
    <w:rsid w:val="00A5557E"/>
    <w:rsid w:val="00A74BCA"/>
    <w:rsid w:val="00A76FDF"/>
    <w:rsid w:val="00A77872"/>
    <w:rsid w:val="00A778BB"/>
    <w:rsid w:val="00A8363E"/>
    <w:rsid w:val="00A85228"/>
    <w:rsid w:val="00A87D09"/>
    <w:rsid w:val="00A90499"/>
    <w:rsid w:val="00A95D88"/>
    <w:rsid w:val="00A9751F"/>
    <w:rsid w:val="00AB0E53"/>
    <w:rsid w:val="00AB5AE8"/>
    <w:rsid w:val="00AC205D"/>
    <w:rsid w:val="00AD644F"/>
    <w:rsid w:val="00AD6510"/>
    <w:rsid w:val="00AE08F6"/>
    <w:rsid w:val="00AE1842"/>
    <w:rsid w:val="00AE3336"/>
    <w:rsid w:val="00AE5077"/>
    <w:rsid w:val="00AF00CB"/>
    <w:rsid w:val="00AF7AFF"/>
    <w:rsid w:val="00B0446E"/>
    <w:rsid w:val="00B137C0"/>
    <w:rsid w:val="00B13B38"/>
    <w:rsid w:val="00B13C22"/>
    <w:rsid w:val="00B157C3"/>
    <w:rsid w:val="00B20610"/>
    <w:rsid w:val="00B21955"/>
    <w:rsid w:val="00B21CEC"/>
    <w:rsid w:val="00B240EF"/>
    <w:rsid w:val="00B26F99"/>
    <w:rsid w:val="00B27916"/>
    <w:rsid w:val="00B331CD"/>
    <w:rsid w:val="00B33426"/>
    <w:rsid w:val="00B34B13"/>
    <w:rsid w:val="00B36D68"/>
    <w:rsid w:val="00B41D09"/>
    <w:rsid w:val="00B44249"/>
    <w:rsid w:val="00B502B0"/>
    <w:rsid w:val="00B5154A"/>
    <w:rsid w:val="00B53F36"/>
    <w:rsid w:val="00B56820"/>
    <w:rsid w:val="00B6082F"/>
    <w:rsid w:val="00B60E07"/>
    <w:rsid w:val="00B6436E"/>
    <w:rsid w:val="00B645EA"/>
    <w:rsid w:val="00B67B46"/>
    <w:rsid w:val="00B71D27"/>
    <w:rsid w:val="00B75ACD"/>
    <w:rsid w:val="00B8268E"/>
    <w:rsid w:val="00B826BC"/>
    <w:rsid w:val="00B843C7"/>
    <w:rsid w:val="00B8447D"/>
    <w:rsid w:val="00B86B75"/>
    <w:rsid w:val="00B90487"/>
    <w:rsid w:val="00B96FA0"/>
    <w:rsid w:val="00BA0095"/>
    <w:rsid w:val="00BA2B8D"/>
    <w:rsid w:val="00BA47F0"/>
    <w:rsid w:val="00BA5D8B"/>
    <w:rsid w:val="00BB096B"/>
    <w:rsid w:val="00BB1BCE"/>
    <w:rsid w:val="00BB2557"/>
    <w:rsid w:val="00BB3048"/>
    <w:rsid w:val="00BB3071"/>
    <w:rsid w:val="00BB3353"/>
    <w:rsid w:val="00BB3791"/>
    <w:rsid w:val="00BC333A"/>
    <w:rsid w:val="00BC48D5"/>
    <w:rsid w:val="00BC5725"/>
    <w:rsid w:val="00BC5EDB"/>
    <w:rsid w:val="00BC744A"/>
    <w:rsid w:val="00BD7BCB"/>
    <w:rsid w:val="00BE042E"/>
    <w:rsid w:val="00BE3A41"/>
    <w:rsid w:val="00BE42FC"/>
    <w:rsid w:val="00BE7C13"/>
    <w:rsid w:val="00BF0B3F"/>
    <w:rsid w:val="00BF54E8"/>
    <w:rsid w:val="00BF6C46"/>
    <w:rsid w:val="00C04D03"/>
    <w:rsid w:val="00C116AB"/>
    <w:rsid w:val="00C11B97"/>
    <w:rsid w:val="00C225E6"/>
    <w:rsid w:val="00C26903"/>
    <w:rsid w:val="00C36279"/>
    <w:rsid w:val="00C40608"/>
    <w:rsid w:val="00C408A8"/>
    <w:rsid w:val="00C41A61"/>
    <w:rsid w:val="00C42B96"/>
    <w:rsid w:val="00C43F93"/>
    <w:rsid w:val="00C45000"/>
    <w:rsid w:val="00C53D2C"/>
    <w:rsid w:val="00C5660B"/>
    <w:rsid w:val="00C57F5D"/>
    <w:rsid w:val="00C630F3"/>
    <w:rsid w:val="00C64E7E"/>
    <w:rsid w:val="00C67A1C"/>
    <w:rsid w:val="00C70A73"/>
    <w:rsid w:val="00C72741"/>
    <w:rsid w:val="00C744F8"/>
    <w:rsid w:val="00C77223"/>
    <w:rsid w:val="00C82F98"/>
    <w:rsid w:val="00C83A82"/>
    <w:rsid w:val="00C85460"/>
    <w:rsid w:val="00CA0D48"/>
    <w:rsid w:val="00CA485B"/>
    <w:rsid w:val="00CB0067"/>
    <w:rsid w:val="00CC0323"/>
    <w:rsid w:val="00CC3BF9"/>
    <w:rsid w:val="00CD5330"/>
    <w:rsid w:val="00CD7A9B"/>
    <w:rsid w:val="00CE6847"/>
    <w:rsid w:val="00CF189F"/>
    <w:rsid w:val="00CF20C9"/>
    <w:rsid w:val="00CF50C3"/>
    <w:rsid w:val="00D00BA8"/>
    <w:rsid w:val="00D03561"/>
    <w:rsid w:val="00D04776"/>
    <w:rsid w:val="00D06B5A"/>
    <w:rsid w:val="00D0764A"/>
    <w:rsid w:val="00D14040"/>
    <w:rsid w:val="00D1761D"/>
    <w:rsid w:val="00D23BC6"/>
    <w:rsid w:val="00D24377"/>
    <w:rsid w:val="00D305E0"/>
    <w:rsid w:val="00D345A9"/>
    <w:rsid w:val="00D35C08"/>
    <w:rsid w:val="00D366C1"/>
    <w:rsid w:val="00D40106"/>
    <w:rsid w:val="00D40708"/>
    <w:rsid w:val="00D44C27"/>
    <w:rsid w:val="00D50517"/>
    <w:rsid w:val="00D51E2F"/>
    <w:rsid w:val="00D51F0E"/>
    <w:rsid w:val="00D56403"/>
    <w:rsid w:val="00D61D4D"/>
    <w:rsid w:val="00D62239"/>
    <w:rsid w:val="00D67CEB"/>
    <w:rsid w:val="00D81A2B"/>
    <w:rsid w:val="00D91165"/>
    <w:rsid w:val="00D91644"/>
    <w:rsid w:val="00D924AA"/>
    <w:rsid w:val="00D9295F"/>
    <w:rsid w:val="00D946BB"/>
    <w:rsid w:val="00D96D52"/>
    <w:rsid w:val="00DA5533"/>
    <w:rsid w:val="00DA5915"/>
    <w:rsid w:val="00DA79C7"/>
    <w:rsid w:val="00DC0A04"/>
    <w:rsid w:val="00DC17CC"/>
    <w:rsid w:val="00DC49DA"/>
    <w:rsid w:val="00DC51DE"/>
    <w:rsid w:val="00DC7F3D"/>
    <w:rsid w:val="00DD0559"/>
    <w:rsid w:val="00DD0DE4"/>
    <w:rsid w:val="00DD2348"/>
    <w:rsid w:val="00DD62FC"/>
    <w:rsid w:val="00DD7307"/>
    <w:rsid w:val="00DE0FC4"/>
    <w:rsid w:val="00DE3D40"/>
    <w:rsid w:val="00DE4AEB"/>
    <w:rsid w:val="00DE5F9A"/>
    <w:rsid w:val="00DE5FA7"/>
    <w:rsid w:val="00DE68BB"/>
    <w:rsid w:val="00DE6B05"/>
    <w:rsid w:val="00DE7007"/>
    <w:rsid w:val="00DF0226"/>
    <w:rsid w:val="00DF2439"/>
    <w:rsid w:val="00DF4D79"/>
    <w:rsid w:val="00E00A67"/>
    <w:rsid w:val="00E04EBE"/>
    <w:rsid w:val="00E2160D"/>
    <w:rsid w:val="00E25251"/>
    <w:rsid w:val="00E30530"/>
    <w:rsid w:val="00E315A3"/>
    <w:rsid w:val="00E40561"/>
    <w:rsid w:val="00E423C5"/>
    <w:rsid w:val="00E43CF5"/>
    <w:rsid w:val="00E44024"/>
    <w:rsid w:val="00E46B3C"/>
    <w:rsid w:val="00E525BC"/>
    <w:rsid w:val="00E52A66"/>
    <w:rsid w:val="00E545A9"/>
    <w:rsid w:val="00E6005D"/>
    <w:rsid w:val="00E640C8"/>
    <w:rsid w:val="00E66E17"/>
    <w:rsid w:val="00E715C9"/>
    <w:rsid w:val="00E7429C"/>
    <w:rsid w:val="00E75D74"/>
    <w:rsid w:val="00E837D3"/>
    <w:rsid w:val="00E93541"/>
    <w:rsid w:val="00E95E7D"/>
    <w:rsid w:val="00E96D62"/>
    <w:rsid w:val="00EA1251"/>
    <w:rsid w:val="00EA4453"/>
    <w:rsid w:val="00EB1A1E"/>
    <w:rsid w:val="00EB21F0"/>
    <w:rsid w:val="00EB34AB"/>
    <w:rsid w:val="00EB52C0"/>
    <w:rsid w:val="00EB7331"/>
    <w:rsid w:val="00EB755A"/>
    <w:rsid w:val="00EC1A8F"/>
    <w:rsid w:val="00EC29F2"/>
    <w:rsid w:val="00EC2AB9"/>
    <w:rsid w:val="00EC3B98"/>
    <w:rsid w:val="00EC572B"/>
    <w:rsid w:val="00EE0D7A"/>
    <w:rsid w:val="00EF33BB"/>
    <w:rsid w:val="00EF3B9C"/>
    <w:rsid w:val="00EF53EC"/>
    <w:rsid w:val="00EF6737"/>
    <w:rsid w:val="00EF6C4B"/>
    <w:rsid w:val="00F0148A"/>
    <w:rsid w:val="00F0279E"/>
    <w:rsid w:val="00F057A2"/>
    <w:rsid w:val="00F07BEC"/>
    <w:rsid w:val="00F11B78"/>
    <w:rsid w:val="00F1488F"/>
    <w:rsid w:val="00F16319"/>
    <w:rsid w:val="00F1788A"/>
    <w:rsid w:val="00F20A95"/>
    <w:rsid w:val="00F358D2"/>
    <w:rsid w:val="00F53C09"/>
    <w:rsid w:val="00F614B4"/>
    <w:rsid w:val="00F70B73"/>
    <w:rsid w:val="00F70EA3"/>
    <w:rsid w:val="00F73BC7"/>
    <w:rsid w:val="00F80567"/>
    <w:rsid w:val="00F80A42"/>
    <w:rsid w:val="00F80AE8"/>
    <w:rsid w:val="00F816D3"/>
    <w:rsid w:val="00F81E82"/>
    <w:rsid w:val="00F8593E"/>
    <w:rsid w:val="00F9010D"/>
    <w:rsid w:val="00F92E75"/>
    <w:rsid w:val="00FA00D1"/>
    <w:rsid w:val="00FA3C08"/>
    <w:rsid w:val="00FA6E2B"/>
    <w:rsid w:val="00FA78DF"/>
    <w:rsid w:val="00FC55F5"/>
    <w:rsid w:val="00FC6DF6"/>
    <w:rsid w:val="00FD18C0"/>
    <w:rsid w:val="00FD3C3A"/>
    <w:rsid w:val="00FE0731"/>
    <w:rsid w:val="00FE3E67"/>
    <w:rsid w:val="00FE5D62"/>
    <w:rsid w:val="00FE713B"/>
    <w:rsid w:val="00FE718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8733B-859E-4122-9830-8F114F3D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16</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584</cp:revision>
  <cp:lastPrinted>2019-08-23T08:15:00Z</cp:lastPrinted>
  <dcterms:created xsi:type="dcterms:W3CDTF">2019-08-22T06:09:00Z</dcterms:created>
  <dcterms:modified xsi:type="dcterms:W3CDTF">2019-08-29T13:54:00Z</dcterms:modified>
</cp:coreProperties>
</file>