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3F1A19D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FDF7C2F" w:rsidR="00024A7B" w:rsidRDefault="00024A7B" w:rsidP="008A4E97">
      <w:pPr>
        <w:pStyle w:val="BodyText"/>
        <w:rPr>
          <w:b/>
        </w:rPr>
      </w:pPr>
      <w:r>
        <w:rPr>
          <w:b/>
        </w:rPr>
        <w:t>Methods:</w:t>
      </w:r>
      <w:r w:rsidR="004C00F7" w:rsidRPr="002C20EB">
        <w:t xml:space="preserve"> </w:t>
      </w:r>
      <w:r w:rsidR="00844A5C">
        <w:t>Comparable geospatially-explicit environmental and species occurrence data were obtained</w:t>
      </w:r>
      <w:r w:rsidR="009A757D">
        <w:t xml:space="preserve"> for </w:t>
      </w:r>
      <w:r w:rsidR="003C3E31">
        <w:t>both</w:t>
      </w:r>
      <w:r w:rsidR="009A757D">
        <w:t xml:space="preserve"> regions, from which we generated environmental heterogeneity and species richness raster layers. We compare the degree</w:t>
      </w:r>
      <w:r w:rsidR="005D0A2D">
        <w:t>s</w:t>
      </w:r>
      <w:r w:rsidR="009A757D">
        <w:t xml:space="preserve"> of </w:t>
      </w:r>
      <w:r w:rsidR="00D2022F">
        <w:t xml:space="preserve">various forms </w:t>
      </w:r>
      <w:r w:rsidR="003C666B">
        <w:t xml:space="preserve">of </w:t>
      </w:r>
      <w:r w:rsidR="009A757D">
        <w:t>environmental heterogeneity</w:t>
      </w:r>
      <w:r w:rsidR="005D0A2D">
        <w:t xml:space="preserve"> and species richness </w:t>
      </w:r>
      <w:r w:rsidR="003C3E31">
        <w:t xml:space="preserve">per unit area </w:t>
      </w:r>
      <w:r w:rsidR="009A757D">
        <w:t>between the regions</w:t>
      </w:r>
      <w:r w:rsidR="00D2022F">
        <w:t>, across a range of spatial scales</w:t>
      </w:r>
      <w:r w:rsidR="007A6D6D">
        <w:t xml:space="preserve">. </w:t>
      </w:r>
      <w:r w:rsidR="00273E3C">
        <w:t xml:space="preserve">We regressed species richness against </w:t>
      </w:r>
      <w:r w:rsidR="00D639A3">
        <w:t>ind</w:t>
      </w:r>
      <w:r w:rsidR="000E04C6">
        <w:t>ices</w:t>
      </w:r>
      <w:r w:rsidR="00D639A3">
        <w:t xml:space="preserve"> of overall environmental heterogeneity, derived from p</w:t>
      </w:r>
      <w:r w:rsidR="007A6D6D">
        <w:t>rincipal components</w:t>
      </w:r>
      <w:r w:rsidR="008F1E4D">
        <w:t xml:space="preserve"> analyses (PCA</w:t>
      </w:r>
      <w:r w:rsidR="00C72C4D">
        <w:t>s</w:t>
      </w:r>
      <w:r w:rsidR="008F1E4D">
        <w:t>)</w:t>
      </w:r>
      <w:r w:rsidR="00CD04A6">
        <w:t xml:space="preserve">, </w:t>
      </w:r>
      <w:r w:rsidR="00086992">
        <w:t>and in multivariate regression</w:t>
      </w:r>
      <w:r w:rsidR="00D2022F">
        <w:t>s</w:t>
      </w:r>
      <w:r w:rsidR="00086992">
        <w:t xml:space="preserve"> against </w:t>
      </w:r>
      <w:r w:rsidR="00BF7EB4">
        <w:t xml:space="preserve">the </w:t>
      </w:r>
      <w:r w:rsidR="00086992">
        <w:t>various forms of</w:t>
      </w:r>
      <w:r w:rsidR="00273E3C" w:rsidRPr="0064680F" w:rsidDel="00355D02">
        <w:t xml:space="preserve"> </w:t>
      </w:r>
      <w:r w:rsidR="00D2022F">
        <w:t>heterogeneity.</w:t>
      </w:r>
    </w:p>
    <w:p w14:paraId="39C1CEA1" w14:textId="51CF84FF" w:rsidR="00024A7B" w:rsidRDefault="00024A7B" w:rsidP="008A4E97">
      <w:pPr>
        <w:pStyle w:val="BodyText"/>
        <w:rPr>
          <w:b/>
        </w:rPr>
      </w:pPr>
      <w:r>
        <w:rPr>
          <w:b/>
        </w:rPr>
        <w:t>Results:</w:t>
      </w:r>
      <w:r w:rsidR="004C00F7" w:rsidRPr="002C20EB">
        <w:t xml:space="preserve"> </w:t>
      </w:r>
      <w:r w:rsidR="00532A81">
        <w:t>T</w:t>
      </w:r>
      <w:r w:rsidR="00273E3C">
        <w:t xml:space="preserve">he GCFR </w:t>
      </w:r>
      <w:r w:rsidR="00532A81">
        <w:t>is generally more environmentally heterogeneous and more species-rich</w:t>
      </w:r>
      <w:r w:rsidR="006C6B55">
        <w:t xml:space="preserve"> than the SWAFR. The major ax</w:t>
      </w:r>
      <w:r w:rsidR="00CD04A6">
        <w:t>e</w:t>
      </w:r>
      <w:r w:rsidR="006C6B55">
        <w:t>s of</w:t>
      </w:r>
      <w:r w:rsidR="00273E3C">
        <w:t xml:space="preserve"> </w:t>
      </w:r>
      <w:r w:rsidR="006C6B55">
        <w:t>heterogeneity</w:t>
      </w:r>
      <w:r w:rsidR="00807DFE">
        <w:t xml:space="preserve"> </w:t>
      </w:r>
      <w:r w:rsidR="006D6A5A">
        <w:t xml:space="preserve">across both regions </w:t>
      </w:r>
      <w:r w:rsidR="00CD04A6">
        <w:t>(</w:t>
      </w:r>
      <w:r w:rsidR="006D6A5A">
        <w:t>explaining</w:t>
      </w:r>
      <w:r w:rsidR="00CD04A6">
        <w:t xml:space="preserve"> ca. 38–42% variation in heterogeneity</w:t>
      </w:r>
      <w:r w:rsidR="006D6A5A">
        <w:t xml:space="preserve">, </w:t>
      </w:r>
      <w:r w:rsidR="00CD04A6">
        <w:t xml:space="preserve">depending on spatial-scale) </w:t>
      </w:r>
      <w:r w:rsidR="00A65D58">
        <w:t>relate</w:t>
      </w:r>
      <w:r w:rsidR="00E13F42">
        <w:t>s</w:t>
      </w:r>
      <w:r w:rsidR="00A65D58">
        <w:t xml:space="preserve"> significantly to species richness</w:t>
      </w:r>
      <w:r w:rsidR="00B51A66">
        <w:t>,</w:t>
      </w:r>
      <w:r w:rsidR="00A65D58">
        <w:t xml:space="preserve"> </w:t>
      </w:r>
      <w:r w:rsidR="00B51A66">
        <w:t xml:space="preserve">with the same slope for each region at broader spatial-scales </w:t>
      </w:r>
      <w:r w:rsidR="00273E3C">
        <w:t>(</w:t>
      </w:r>
      <w:r w:rsidR="00273E3C" w:rsidRPr="0078067F">
        <w:rPr>
          <w:i/>
        </w:rPr>
        <w:t>P</w:t>
      </w:r>
      <w:r w:rsidR="00273E3C" w:rsidRPr="0078067F">
        <w:t xml:space="preserve"> &lt; 0.001</w:t>
      </w:r>
      <w:r w:rsidR="00807DFE">
        <w:t>)</w:t>
      </w:r>
      <w:r w:rsidR="00B51A66">
        <w:t xml:space="preserve">. </w:t>
      </w:r>
      <w:r w:rsidR="0086734A">
        <w:t>M</w:t>
      </w:r>
      <w:r w:rsidR="007743CF">
        <w:t>ultivariate regressions</w:t>
      </w:r>
      <w:r w:rsidR="0086734A">
        <w:t>,</w:t>
      </w:r>
      <w:r w:rsidR="007743CF">
        <w:t xml:space="preserve"> and the</w:t>
      </w:r>
      <w:r w:rsidR="00623216">
        <w:t xml:space="preserve"> variation in heterogeneity </w:t>
      </w:r>
      <w:r w:rsidR="0086734A">
        <w:t xml:space="preserve">undescribed by </w:t>
      </w:r>
      <w:r w:rsidR="008F1E4D">
        <w:t xml:space="preserve">the </w:t>
      </w:r>
      <w:r w:rsidR="00694B43">
        <w:t>first axis from the PCAs</w:t>
      </w:r>
      <w:r w:rsidR="0086734A">
        <w:t xml:space="preserve">, </w:t>
      </w:r>
      <w:r w:rsidR="00183126">
        <w:t>reveal axes of environmental heterogeneity associated with species richness with differing strengths in each region.</w:t>
      </w:r>
    </w:p>
    <w:p w14:paraId="3D4EE8B5" w14:textId="7B3A4DA7" w:rsidR="00024A7B" w:rsidRDefault="00024A7B" w:rsidP="008A4E97">
      <w:pPr>
        <w:pStyle w:val="BodyText"/>
        <w:rPr>
          <w:b/>
        </w:rPr>
      </w:pPr>
      <w:r>
        <w:rPr>
          <w:b/>
        </w:rPr>
        <w:t>Main conclusions:</w:t>
      </w:r>
      <w:r w:rsidR="004C00F7">
        <w:rPr>
          <w:b/>
        </w:rPr>
        <w:t xml:space="preserve"> </w:t>
      </w:r>
      <w:r w:rsidR="00160C41">
        <w:t>We have evidence for a common</w:t>
      </w:r>
      <w:r w:rsidR="00E83B6C">
        <w:t xml:space="preserve"> positive</w:t>
      </w:r>
      <w:r w:rsidR="00160C41">
        <w:t xml:space="preserve"> relationship between floristic richness and environmental heterogeneity </w:t>
      </w:r>
      <w:r w:rsidR="00E83B6C">
        <w:t>across the GCFR and SWAFR</w:t>
      </w:r>
      <w:r w:rsidR="00977607">
        <w:t>, broadly indepen</w:t>
      </w:r>
      <w:r w:rsidR="00372023">
        <w:t>den</w:t>
      </w:r>
      <w:r w:rsidR="00977607">
        <w:t>t of spatial-scale. Though there are region-specific effects</w:t>
      </w:r>
      <w:r w:rsidR="005B0DBE">
        <w:t xml:space="preserve">, </w:t>
      </w:r>
      <w:r w:rsidR="00C7143F" w:rsidRPr="002C20EB">
        <w:rPr>
          <w:highlight w:val="yellow"/>
        </w:rPr>
        <w:t>[</w:t>
      </w:r>
      <w:r w:rsidR="005B0DBE" w:rsidRPr="002C20EB">
        <w:rPr>
          <w:highlight w:val="yellow"/>
        </w:rPr>
        <w:t>…</w:t>
      </w:r>
      <w:r w:rsidR="00C7143F" w:rsidRPr="002C20EB">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5F4A6042"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r w:rsidR="00870B87">
        <w:t xml:space="preserve">; </w:t>
      </w:r>
      <w:r w:rsidR="00870B87" w:rsidRPr="002C20EB">
        <w:rPr>
          <w:highlight w:val="green"/>
        </w:rPr>
        <w:t>Bøhn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3"/>
      <w:commentRangeStart w:id="4"/>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5" w:name="OLE_LINK1"/>
      <w:r w:rsidRPr="00066121">
        <w:rPr>
          <w:highlight w:val="yellow"/>
        </w:rPr>
        <w:t>Byrne</w:t>
      </w:r>
      <w:bookmarkEnd w:id="5"/>
      <w:r w:rsidRPr="00066121">
        <w:rPr>
          <w:highlight w:val="yellow"/>
        </w:rPr>
        <w:t>?</w:t>
      </w:r>
      <w:r w:rsidRPr="002F0553">
        <w:t xml:space="preserve">). </w:t>
      </w:r>
      <w:commentRangeEnd w:id="3"/>
      <w:r w:rsidR="00217AAC">
        <w:rPr>
          <w:rStyle w:val="CommentReference"/>
          <w:rFonts w:ascii="Times New Roman" w:hAnsiTheme="minorHAnsi"/>
        </w:rPr>
        <w:commentReference w:id="3"/>
      </w:r>
      <w:commentRangeEnd w:id="4"/>
      <w:r w:rsidR="009239A6">
        <w:rPr>
          <w:rStyle w:val="CommentReference"/>
          <w:rFonts w:ascii="Times New Roman" w:hAnsiTheme="minorHAnsi"/>
        </w:rPr>
        <w:commentReference w:id="4"/>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0043CE57"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6"/>
      <w:commentRangeStart w:id="7"/>
      <w:commentRangeStart w:id="8"/>
      <w:r>
        <w:t xml:space="preserve">tree </w:t>
      </w:r>
      <w:commentRangeEnd w:id="6"/>
      <w:r w:rsidR="00236CF0">
        <w:rPr>
          <w:rStyle w:val="CommentReference"/>
          <w:rFonts w:ascii="Times New Roman" w:hAnsiTheme="minorHAnsi"/>
        </w:rPr>
        <w:commentReference w:id="6"/>
      </w:r>
      <w:r>
        <w:t>component in the SWAFR underpins a striking difference in vegetation physiognomy (</w:t>
      </w:r>
      <w:r w:rsidRPr="00C72E7A">
        <w:rPr>
          <w:highlight w:val="yellow"/>
        </w:rPr>
        <w:t>ref</w:t>
      </w:r>
      <w:r>
        <w:t xml:space="preserve">). </w:t>
      </w:r>
      <w:commentRangeEnd w:id="7"/>
      <w:r w:rsidR="00236CF0">
        <w:rPr>
          <w:rStyle w:val="CommentReference"/>
          <w:rFonts w:ascii="Times New Roman" w:hAnsiTheme="minorHAnsi"/>
        </w:rPr>
        <w:commentReference w:id="7"/>
      </w:r>
      <w:commentRangeEnd w:id="8"/>
      <w:r w:rsidR="00C6184E">
        <w:rPr>
          <w:rStyle w:val="CommentReference"/>
          <w:rFonts w:ascii="Times New Roman" w:hAnsiTheme="minorHAnsi"/>
        </w:rPr>
        <w:commentReference w:id="8"/>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5B278DEB"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r w:rsidR="00D117B3">
        <w:rPr>
          <w:lang w:val="en-ZA"/>
        </w:rPr>
        <w:t>m</w:t>
      </w:r>
      <w:r w:rsidR="00420576" w:rsidRPr="00E87C83">
        <w:rPr>
          <w:lang w:val="en-ZA"/>
        </w:rPr>
        <w:t>editerranean-climate regions (</w:t>
      </w:r>
      <w:r w:rsidR="00420576" w:rsidRPr="002C20EB">
        <w:rPr>
          <w:highlight w:val="green"/>
          <w:lang w:val="en-ZA"/>
        </w:rPr>
        <w:t>Bradshaw &amp; Cowling, 2014</w:t>
      </w:r>
      <w:r w:rsidR="00420576" w:rsidRPr="00E87C83">
        <w:rPr>
          <w:lang w:val="en-ZA"/>
        </w:rPr>
        <w:t>).</w:t>
      </w:r>
      <w:r w:rsidR="00D117B3">
        <w:rPr>
          <w:lang w:val="en-ZA"/>
        </w:rPr>
        <w:t xml:space="preserve"> </w:t>
      </w:r>
      <w:r>
        <w:t xml:space="preserve">The central aim of this paper, then, is to test the hypothesis that the observed species richness difference (per </w:t>
      </w:r>
      <w:r w:rsidR="00A52520">
        <w:t xml:space="preserve">unit </w:t>
      </w:r>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9" w:name="comparing-regions-environmental-heteroge"/>
      <w:r>
        <w:t>2.1</w:t>
      </w:r>
      <w:r w:rsidR="00F31AF3">
        <w:t>:</w:t>
      </w:r>
      <w:r>
        <w:t xml:space="preserve"> </w:t>
      </w:r>
      <w:r w:rsidR="00D04776">
        <w:t>Comparing species richness</w:t>
      </w:r>
    </w:p>
    <w:p w14:paraId="52348C6B" w14:textId="0601DBA9"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using R (</w:t>
      </w:r>
      <w:r w:rsidR="001D58D6" w:rsidRPr="00E87AB4">
        <w:rPr>
          <w:highlight w:val="yellow"/>
        </w:rPr>
        <w:t>ref</w:t>
      </w:r>
      <w:r w:rsidR="001D58D6">
        <w:t>)</w:t>
      </w:r>
      <w:r w:rsidR="00166053" w:rsidRPr="00166053">
        <w:t xml:space="preserve"> </w:t>
      </w:r>
      <w:r w:rsidR="00166053">
        <w:t xml:space="preserve">and the “taxize”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treat the species </w:t>
      </w:r>
      <w:r w:rsidR="00C32B62">
        <w:t>richness data collated here as representative of real patterns in these flora</w:t>
      </w:r>
      <w:r w:rsidR="00B853C4">
        <w:t xml:space="preserve">, </w:t>
      </w:r>
      <w:r w:rsidR="00CB7719">
        <w:t xml:space="preserve">as </w:t>
      </w:r>
      <w:r w:rsidR="00B853C4">
        <w:t>concluded</w:t>
      </w:r>
      <w:r w:rsidR="00CB7719">
        <w:t xml:space="preserve"> by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55488">
        <w:rPr>
          <w:noProof/>
        </w:rPr>
        <w:t xml:space="preserve"> (</w:t>
      </w:r>
      <w:r w:rsidR="00CB7719" w:rsidRPr="00CB7719">
        <w:rPr>
          <w:noProof/>
        </w:rPr>
        <w:t>2016)</w:t>
      </w:r>
      <w:r w:rsidR="00CB7719">
        <w:fldChar w:fldCharType="end"/>
      </w:r>
      <w:r w:rsidR="00B853C4">
        <w:t>.</w:t>
      </w:r>
      <w:r w:rsidR="00CF1908">
        <w:t xml:space="preserve"> </w:t>
      </w:r>
      <w:r>
        <w:t xml:space="preserve">The final </w:t>
      </w:r>
      <w:r w:rsidR="00CF1908">
        <w:t>number of unique species in these occurrence data</w:t>
      </w:r>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5BDE9566"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46EEC38C"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9"/>
    </w:p>
    <w:p w14:paraId="16702F9A" w14:textId="43BF97D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EE1196">
        <w:t>–</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“rgdal”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01C05115" w14:textId="7103B5B6"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r w:rsidR="0051498F">
        <w:t xml:space="preserve">squares </w:t>
      </w:r>
      <w:r w:rsidR="002810B1">
        <w:t xml:space="preserve">for a given </w:t>
      </w:r>
      <w:r w:rsidR="0051498F">
        <w:t>square</w:t>
      </w:r>
      <w:r w:rsidR="002810B1">
        <w:t xml:space="preserve">. </w:t>
      </w:r>
      <w:r w:rsidR="00DF742C">
        <w:t xml:space="preserve">We calculated heterogeneity 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8E6F1C">
        <w:t xml:space="preserve"> </w:t>
      </w:r>
      <w:r w:rsidR="0076433F">
        <w:t xml:space="preserve">with </w:t>
      </w:r>
      <w:r w:rsidR="00BD5C4F">
        <w:t>variance as the aggregation function</w:t>
      </w:r>
      <w:r w:rsidR="00A30A5A">
        <w:t>.</w:t>
      </w:r>
      <w:r w:rsidR="00DE7007">
        <w:t xml:space="preserve"> This index only uses neighbouring </w:t>
      </w:r>
      <w:r w:rsidR="00CA7709">
        <w:t xml:space="preserve">squares </w:t>
      </w:r>
      <w:r w:rsidR="00DE7007">
        <w:t xml:space="preserve">to describe heterogeneity, similar to indices implemented in the “terrain” function in “raster”. </w:t>
      </w:r>
      <w:r w:rsidR="00CA7709">
        <w:t>However, o</w:t>
      </w:r>
      <w:r w:rsidR="00A34738">
        <w:t xml:space="preserve">ur index describes heterogeneity within </w:t>
      </w:r>
      <w:r w:rsidR="00CA7709">
        <w:t>squares</w:t>
      </w:r>
      <w:r w:rsidR="00377F87">
        <w:t xml:space="preserve">, </w:t>
      </w:r>
      <w:r w:rsidR="00A34738">
        <w:t xml:space="preserve">as opposed to between </w:t>
      </w:r>
      <w:r w:rsidR="00CA7709">
        <w:t xml:space="preserve">squares </w:t>
      </w:r>
      <w:r w:rsidR="00A34738">
        <w:t>as in “terrain”</w:t>
      </w:r>
      <w:r w:rsidR="00377F87">
        <w:t>. Our species richness dataset is based on within-</w:t>
      </w:r>
      <w:r w:rsidR="00CA7709">
        <w:t xml:space="preserve">square </w:t>
      </w:r>
      <w:r w:rsidR="00377F87">
        <w:t xml:space="preserve">data (species occurrences), making it comparable with </w:t>
      </w:r>
      <w:r w:rsidR="00CA7709">
        <w:t xml:space="preserve">this </w:t>
      </w:r>
      <w:r w:rsidR="00377F87">
        <w:t>heterogeneity data.</w:t>
      </w:r>
    </w:p>
    <w:p w14:paraId="4910D4CC" w14:textId="12524FC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0"/>
      <w:commentRangeStart w:id="11"/>
      <w:r w:rsidR="00FD3C3A">
        <w:t xml:space="preserve">both </w:t>
      </w:r>
      <w:commentRangeEnd w:id="10"/>
      <w:r w:rsidR="0076433F">
        <w:rPr>
          <w:rStyle w:val="CommentReference"/>
          <w:rFonts w:ascii="Times New Roman" w:hAnsiTheme="minorHAnsi"/>
        </w:rPr>
        <w:commentReference w:id="10"/>
      </w:r>
      <w:commentRangeEnd w:id="11"/>
      <w:r w:rsidR="008156BB">
        <w:rPr>
          <w:rStyle w:val="CommentReference"/>
          <w:rFonts w:ascii="Times New Roman" w:hAnsiTheme="minorHAnsi"/>
        </w:rPr>
        <w:commentReference w:id="11"/>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2"/>
      <w:commentRangeStart w:id="13"/>
      <w:r w:rsidR="00F358D2">
        <w:t>log</w:t>
      </w:r>
      <w:r w:rsidR="00F70EA3">
        <w:rPr>
          <w:vertAlign w:val="subscript"/>
        </w:rPr>
        <w:t>10</w:t>
      </w:r>
      <w:r w:rsidR="00F70EA3">
        <w:t>-</w:t>
      </w:r>
      <w:r w:rsidR="00F358D2">
        <w:t xml:space="preserve">transformed </w:t>
      </w:r>
      <w:commentRangeEnd w:id="12"/>
      <w:r w:rsidR="0076433F">
        <w:rPr>
          <w:rStyle w:val="CommentReference"/>
          <w:rFonts w:ascii="Times New Roman" w:hAnsiTheme="minorHAnsi"/>
        </w:rPr>
        <w:commentReference w:id="12"/>
      </w:r>
      <w:commentRangeEnd w:id="13"/>
      <w:r w:rsidR="00CF1356">
        <w:rPr>
          <w:rStyle w:val="CommentReference"/>
          <w:rFonts w:ascii="Times New Roman" w:hAnsiTheme="minorHAnsi"/>
        </w:rPr>
        <w:commentReference w:id="13"/>
      </w:r>
      <w:r w:rsidR="00F358D2">
        <w:t>to ensure normality.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w:t>
      </w:r>
      <w:r w:rsidR="000519A1">
        <w:lastRenderedPageBreak/>
        <w:t xml:space="preserve">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14" w:name="environmental-heterogeneity-as-an-explan"/>
      <w:r>
        <w:t>2.3</w:t>
      </w:r>
      <w:r w:rsidR="0009179A">
        <w:t>:</w:t>
      </w:r>
      <w:r>
        <w:t xml:space="preserve"> </w:t>
      </w:r>
      <w:r w:rsidR="005F0FFB">
        <w:t>Environmental heterogeneity as an explanation of species richness</w:t>
      </w:r>
      <w:bookmarkEnd w:id="14"/>
    </w:p>
    <w:p w14:paraId="23BA1837" w14:textId="26D96559" w:rsidR="002F092D" w:rsidRDefault="00842DF6" w:rsidP="00DF0226">
      <w:pPr>
        <w:pStyle w:val="FirstParagraph"/>
        <w:rPr>
          <w:rFonts w:eastAsiaTheme="minorEastAsia"/>
        </w:rPr>
      </w:pPr>
      <w:r>
        <w:t xml:space="preserve">In the </w:t>
      </w:r>
      <w:commentRangeStart w:id="15"/>
      <w:r>
        <w:t xml:space="preserve">absence </w:t>
      </w:r>
      <w:commentRangeEnd w:id="15"/>
      <w:r w:rsidR="0076433F">
        <w:rPr>
          <w:rStyle w:val="CommentReference"/>
          <w:rFonts w:ascii="Times New Roman" w:hAnsiTheme="minorHAnsi"/>
        </w:rPr>
        <w:commentReference w:id="15"/>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04054B7F"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r w:rsidR="00A07350">
        <w:rPr>
          <w:rFonts w:eastAsiaTheme="minorEastAsia"/>
        </w:rPr>
        <w:t xml:space="preserve"> to</w:t>
      </w:r>
      <w:r w:rsidR="007F6D6D">
        <w:rPr>
          <w:rFonts w:eastAsiaTheme="minorEastAsia"/>
        </w:rPr>
        <w:t xml:space="preserve"> </w:t>
      </w:r>
      <w:r w:rsidR="00E751A7" w:rsidRPr="00070D03">
        <w:t>describe empirical patterns of covariance between ax</w:t>
      </w:r>
      <w:r w:rsidR="00F57DF5">
        <w:t>e</w:t>
      </w:r>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r w:rsidR="00D530A1">
        <w:rPr>
          <w:rFonts w:eastAsiaTheme="minorEastAsia"/>
        </w:rPr>
        <w:t xml:space="preserve">heterogeneity </w:t>
      </w:r>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189FA1F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r w:rsidR="006139A3">
        <w:t xml:space="preserve"> separate</w:t>
      </w:r>
      <w:r w:rsidR="0059394E">
        <w:t xml:space="preserve"> forms of environmental heterogeneity</w:t>
      </w:r>
      <w:r w:rsidR="00DD57EC">
        <w:t>, including</w:t>
      </w:r>
      <w:r w:rsidR="00BB5EDE">
        <w:t xml:space="preserve"> </w:t>
      </w:r>
      <w:r w:rsidR="00CD50FE">
        <w:t>the interaction</w:t>
      </w:r>
      <w:r w:rsidR="00BB5EDE">
        <w:t>s</w:t>
      </w:r>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r w:rsidR="00700408">
        <w:t xml:space="preserve">associations </w:t>
      </w:r>
      <w:r w:rsidR="00EF640B">
        <w:t xml:space="preserve">with species richness. </w:t>
      </w:r>
      <w:r w:rsidR="0092191B">
        <w:t>A</w:t>
      </w:r>
      <w:r w:rsidR="00EF640B">
        <w:t>ddition</w:t>
      </w:r>
      <w:r w:rsidR="0092191B">
        <w:t>ally</w:t>
      </w:r>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16" w:name="results"/>
      <w:r>
        <w:lastRenderedPageBreak/>
        <w:t>3</w:t>
      </w:r>
      <w:r w:rsidR="00E4661A">
        <w:t>:</w:t>
      </w:r>
      <w:r>
        <w:t xml:space="preserve"> </w:t>
      </w:r>
      <w:r w:rsidR="00D04776">
        <w:t>Results</w:t>
      </w:r>
      <w:bookmarkEnd w:id="16"/>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4621357D" w:rsidR="00114867" w:rsidRPr="00B332AF" w:rsidRDefault="00D10637" w:rsidP="003F5B2B">
      <w:pPr>
        <w:pStyle w:val="FirstParagraph"/>
        <w:rPr>
          <w:i/>
        </w:rPr>
      </w:pPr>
      <w:r>
        <w:t>V</w:t>
      </w:r>
      <w:r w:rsidR="000A7C66">
        <w:t xml:space="preserve">ascular plant species richness </w:t>
      </w:r>
      <w:r w:rsidR="00BC3391">
        <w:t xml:space="preserve">is </w:t>
      </w:r>
      <w:r w:rsidR="00601362">
        <w:t xml:space="preserve">spatially </w:t>
      </w:r>
      <w:r>
        <w:t xml:space="preserve">variable </w:t>
      </w:r>
      <w:r w:rsidR="00BC3391">
        <w:t xml:space="preserve">in both of the GCFR and SWAFR </w:t>
      </w:r>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r w:rsidR="006A426A">
        <w:t>show</w:t>
      </w:r>
      <w:r w:rsidR="007D673C" w:rsidRPr="00B332AF">
        <w:t xml:space="preserve"> </w:t>
      </w:r>
      <w:r w:rsidR="006C490E">
        <w:t>similar species</w:t>
      </w:r>
      <w:r w:rsidR="006C490E" w:rsidRPr="00B332AF">
        <w:t xml:space="preserve"> </w:t>
      </w:r>
      <w:r w:rsidR="00964F94" w:rsidRPr="00B332AF">
        <w:t xml:space="preserve">richness </w:t>
      </w:r>
      <w:r w:rsidR="006C490E">
        <w:t xml:space="preserve">per unit area </w:t>
      </w:r>
      <w:r w:rsidR="006A426A">
        <w:t>in</w:t>
      </w:r>
      <w:r w:rsidR="00964F94" w:rsidRPr="00B332AF">
        <w:t xml:space="preserve"> </w:t>
      </w:r>
      <w:r w:rsidR="006C490E">
        <w:t xml:space="preserve">both regions </w:t>
      </w:r>
      <w:r w:rsidR="006373C4">
        <w:t xml:space="preserve">at the QDS- </w:t>
      </w:r>
      <w:r w:rsidR="008B0471">
        <w:t>(</w:t>
      </w:r>
      <w:r w:rsidR="00A11142" w:rsidRPr="000E5000">
        <w:rPr>
          <w:i/>
        </w:rPr>
        <w:t>P</w:t>
      </w:r>
      <w:r w:rsidR="00A11142" w:rsidRPr="000E5000">
        <w:t xml:space="preserve"> </w:t>
      </w:r>
      <w:r w:rsidR="006C490E">
        <w:t>=</w:t>
      </w:r>
      <w:r w:rsidR="00A11142" w:rsidRPr="000E5000">
        <w:t xml:space="preserve"> 0.</w:t>
      </w:r>
      <w:r w:rsidR="006C490E">
        <w:t>4</w:t>
      </w:r>
      <w:r w:rsidR="006373C4">
        <w:t>02</w:t>
      </w:r>
      <w:r w:rsidR="00D609FB">
        <w:t xml:space="preserve">, </w:t>
      </w:r>
      <w:r w:rsidR="00D609FB" w:rsidRPr="00E87AB4">
        <w:rPr>
          <w:i/>
          <w:iCs/>
        </w:rPr>
        <w:t>CLES</w:t>
      </w:r>
      <w:r w:rsidR="00D609FB">
        <w:t xml:space="preserve"> = </w:t>
      </w:r>
      <w:r w:rsidR="00D609FB" w:rsidRPr="006C43DF">
        <w:t>0.516</w:t>
      </w:r>
      <w:r w:rsidR="00F159C2">
        <w:t>;</w:t>
      </w:r>
      <w:r w:rsidR="00F159C2" w:rsidRPr="00F159C2">
        <w:t xml:space="preserve"> </w:t>
      </w:r>
      <w:r w:rsidR="00F159C2">
        <w:t>Figure 2a</w:t>
      </w:r>
      <w:r w:rsidR="00601362">
        <w:t>)</w:t>
      </w:r>
      <w:r w:rsidR="00A11142">
        <w:t xml:space="preserve"> </w:t>
      </w:r>
      <w:r w:rsidR="006373C4">
        <w:t>and HDS-scales (</w:t>
      </w:r>
      <w:r w:rsidR="006373C4" w:rsidRPr="000E5000">
        <w:rPr>
          <w:i/>
        </w:rPr>
        <w:t>P</w:t>
      </w:r>
      <w:r w:rsidR="006373C4" w:rsidRPr="000E5000">
        <w:t xml:space="preserve"> </w:t>
      </w:r>
      <w:r w:rsidR="006373C4">
        <w:t>=</w:t>
      </w:r>
      <w:r w:rsidR="006373C4" w:rsidRPr="000E5000">
        <w:t xml:space="preserve"> 0.</w:t>
      </w:r>
      <w:r w:rsidR="00A541D4">
        <w:t>275</w:t>
      </w:r>
      <w:r w:rsidR="00D609FB">
        <w:t xml:space="preserve">, </w:t>
      </w:r>
      <w:r w:rsidR="00D609FB" w:rsidRPr="00E87AB4">
        <w:rPr>
          <w:i/>
          <w:iCs/>
        </w:rPr>
        <w:t>CLES</w:t>
      </w:r>
      <w:r w:rsidR="00D609FB">
        <w:t xml:space="preserve"> = </w:t>
      </w:r>
      <w:r w:rsidR="00D609FB" w:rsidRPr="006C43DF">
        <w:t>0.542</w:t>
      </w:r>
      <w:r w:rsidR="00F159C2">
        <w:t>;</w:t>
      </w:r>
      <w:r w:rsidR="00F159C2" w:rsidRPr="00F159C2">
        <w:t xml:space="preserve"> </w:t>
      </w:r>
      <w:r w:rsidR="00F159C2">
        <w:t>Figure 2b</w:t>
      </w:r>
      <w:r w:rsidR="006373C4">
        <w:t>)</w:t>
      </w:r>
      <w:r w:rsidR="00A541D4">
        <w:t xml:space="preserve">, while </w:t>
      </w:r>
      <w:r w:rsidR="008E63A0">
        <w:t xml:space="preserve">the </w:t>
      </w:r>
      <w:r w:rsidR="00A541D4">
        <w:t xml:space="preserve">GCFR </w:t>
      </w:r>
      <w:r w:rsidR="00D2425F">
        <w:t>is</w:t>
      </w:r>
      <w:r w:rsidR="00A541D4">
        <w:t xml:space="preserve"> significantly more species-rich than the SWAFR </w:t>
      </w:r>
      <w:r w:rsidR="008E63A0">
        <w:t xml:space="preserve">at the DS-scale </w:t>
      </w:r>
      <w:r w:rsidR="00A541D4">
        <w:t>(</w:t>
      </w:r>
      <w:r w:rsidR="00560AF9" w:rsidRPr="002C20EB">
        <w:rPr>
          <w:i/>
        </w:rPr>
        <w:t>P</w:t>
      </w:r>
      <w:r w:rsidR="00560AF9">
        <w:t xml:space="preserve"> = 0.038</w:t>
      </w:r>
      <w:r w:rsidR="00D609FB">
        <w:t xml:space="preserve">, </w:t>
      </w:r>
      <w:r w:rsidR="00D609FB" w:rsidRPr="002C20EB">
        <w:rPr>
          <w:i/>
        </w:rPr>
        <w:t>CLES</w:t>
      </w:r>
      <w:r w:rsidR="00D609FB">
        <w:t xml:space="preserve"> = 0.658</w:t>
      </w:r>
      <w:r w:rsidR="00560AF9">
        <w:t xml:space="preserve">; </w:t>
      </w:r>
      <w:r w:rsidR="00560AF9" w:rsidRPr="002C20EB">
        <w:rPr>
          <w:highlight w:val="yellow"/>
        </w:rPr>
        <w:t>SI</w:t>
      </w:r>
      <w:r w:rsidR="00FC5D3A" w:rsidRPr="00503A1D">
        <w:rPr>
          <w:highlight w:val="yellow"/>
        </w:rPr>
        <w:t>, Figure S1</w:t>
      </w:r>
      <w:r w:rsidR="00FC5D3A" w:rsidRPr="002C20EB">
        <w:rPr>
          <w:highlight w:val="yellow"/>
        </w:rPr>
        <w:t>a</w:t>
      </w:r>
      <w:r w:rsidR="00560AF9">
        <w:t>)</w:t>
      </w:r>
      <w:r w:rsidR="00083DD4">
        <w:t>.</w:t>
      </w:r>
    </w:p>
    <w:p w14:paraId="13EA0CAA" w14:textId="5084D170"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r w:rsidR="000621D6" w:rsidRPr="009A6ABA">
        <w:rPr>
          <w:rFonts w:cstheme="majorBidi"/>
          <w:i/>
        </w:rPr>
        <w:t>α</w:t>
      </w:r>
      <w:r w:rsidR="0060601F" w:rsidRPr="00D16E1A">
        <w:t xml:space="preserve">- and </w:t>
      </w:r>
      <w:r w:rsidR="000621D6" w:rsidRPr="009A6ABA">
        <w:rPr>
          <w:rFonts w:cstheme="majorBidi"/>
          <w:i/>
        </w:rPr>
        <w:t>β</w:t>
      </w:r>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CA03AC">
        <w:t>; Figure 2c</w:t>
      </w:r>
      <w:r w:rsidR="00765D62" w:rsidRPr="00D16E1A">
        <w:t>) and</w:t>
      </w:r>
      <w:r w:rsidR="00104482" w:rsidRPr="00D16E1A">
        <w:t xml:space="preserve"> demonstrate </w:t>
      </w:r>
      <w:r w:rsidR="002B54C7">
        <w:t xml:space="preserve">that </w:t>
      </w:r>
      <w:r w:rsidR="002B54C7" w:rsidRPr="00D16E1A">
        <w:rPr>
          <w:i/>
        </w:rPr>
        <w:t>T</w:t>
      </w:r>
      <w:r w:rsidR="002B54C7" w:rsidRPr="00D16E1A">
        <w:rPr>
          <w:vertAlign w:val="subscript"/>
        </w:rPr>
        <w:t>QDS</w:t>
      </w:r>
      <w:r w:rsidR="00F01ADD" w:rsidRPr="00D16E1A">
        <w:t xml:space="preserve"> </w:t>
      </w:r>
      <w:r w:rsidR="00F01ADD">
        <w:t>in both regions a</w:t>
      </w:r>
      <w:r w:rsidR="0060601F" w:rsidRPr="00D16E1A">
        <w:t>ccount</w:t>
      </w:r>
      <w:r w:rsidR="003D3654">
        <w:t>s</w:t>
      </w:r>
      <w:r w:rsidR="0060601F" w:rsidRPr="00D16E1A">
        <w:t xml:space="preserve"> for </w:t>
      </w:r>
      <w:r w:rsidR="00FC2429">
        <w:t>at least</w:t>
      </w:r>
      <w:r w:rsidR="003D3654" w:rsidRPr="00D16E1A">
        <w:t xml:space="preserve">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3D3654">
        <w:t xml:space="preserve">in most HDS </w:t>
      </w:r>
      <w:r w:rsidR="00D16E1A" w:rsidRPr="00D16E1A">
        <w:t>(Figure 2c</w:t>
      </w:r>
      <w:r w:rsidR="00E2196B">
        <w:t>,d</w:t>
      </w:r>
      <w:r w:rsidR="00D16E1A" w:rsidRPr="00D16E1A">
        <w:t>)</w:t>
      </w:r>
      <w:r w:rsidR="0040717E">
        <w:t>.</w:t>
      </w:r>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r w:rsidR="00DA765C" w:rsidRPr="002C20EB">
        <w:rPr>
          <w:i/>
        </w:rPr>
        <w:t>P</w:t>
      </w:r>
      <w:r w:rsidR="00DA765C">
        <w:t xml:space="preserve"> &lt; 0.001; </w:t>
      </w:r>
      <w:r w:rsidR="00017E2E" w:rsidRPr="00017E2E">
        <w:rPr>
          <w:i/>
          <w:iCs/>
        </w:rPr>
        <w:t>CLES</w:t>
      </w:r>
      <w:r w:rsidR="00017E2E">
        <w:t xml:space="preserve"> = </w:t>
      </w:r>
      <w:r w:rsidR="003F5B2B" w:rsidRPr="00550A5A">
        <w:t>0.</w:t>
      </w:r>
      <w:r w:rsidR="004B3752" w:rsidRPr="00550A5A">
        <w:t>696</w:t>
      </w:r>
      <w:r w:rsidR="008E5EF2" w:rsidRPr="002C20EB">
        <w:t>;</w:t>
      </w:r>
      <w:r w:rsidR="008E5EF2">
        <w:t xml:space="preserve"> </w:t>
      </w:r>
      <w:r w:rsidR="001F3C80" w:rsidRPr="00550A5A">
        <w:t>Figure 2d</w:t>
      </w:r>
      <w:r w:rsidR="001F3C80">
        <w:t>)</w:t>
      </w:r>
      <w:r w:rsidR="006A1EF2">
        <w:t xml:space="preserve">. </w:t>
      </w:r>
      <w:r w:rsidR="00D173C1">
        <w:t xml:space="preserve">Likewise, </w:t>
      </w:r>
      <w:r w:rsidR="00E67167">
        <w:t>at the DS-scale</w:t>
      </w:r>
      <w:r w:rsidR="00810D76" w:rsidRPr="002C20EB">
        <w:t xml:space="preserve"> </w:t>
      </w:r>
      <w:r w:rsidR="00810D76">
        <w:t>(</w:t>
      </w:r>
      <w:r w:rsidR="00810D76" w:rsidRPr="002C20EB">
        <w:rPr>
          <w:highlight w:val="yellow"/>
        </w:rPr>
        <w:t>SI</w:t>
      </w:r>
      <w:r w:rsidR="009A6789" w:rsidRPr="002C20EB">
        <w:rPr>
          <w:highlight w:val="yellow"/>
        </w:rPr>
        <w:t>, Figure S1</w:t>
      </w:r>
      <w:r w:rsidR="00FC5D3A" w:rsidRPr="002C20EB">
        <w:rPr>
          <w:highlight w:val="yellow"/>
        </w:rPr>
        <w:t>b</w:t>
      </w:r>
      <w:r w:rsidR="00810D76">
        <w:t>)</w:t>
      </w:r>
      <w:r w:rsidR="00FE61A5" w:rsidRPr="002C20EB">
        <w:t>,</w:t>
      </w:r>
      <w:r w:rsidR="00017E2E">
        <w:t xml:space="preserve"> </w:t>
      </w:r>
      <w:r w:rsidR="00023792">
        <w:t>floristic turnover</w:t>
      </w:r>
      <w:r w:rsidR="00810D76">
        <w:t xml:space="preserve"> </w:t>
      </w:r>
      <w:r w:rsidR="00A017D8">
        <w:t>(</w:t>
      </w:r>
      <w:r w:rsidR="00A017D8" w:rsidRPr="002C20EB">
        <w:rPr>
          <w:i/>
        </w:rPr>
        <w:t>T</w:t>
      </w:r>
      <w:r w:rsidR="00A017D8" w:rsidRPr="002C20EB">
        <w:rPr>
          <w:vertAlign w:val="subscript"/>
        </w:rPr>
        <w:t>HDS</w:t>
      </w:r>
      <w:r w:rsidR="00A017D8">
        <w:t xml:space="preserve">) </w:t>
      </w:r>
      <w:r w:rsidR="00810D76">
        <w:t>accounts</w:t>
      </w:r>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on average in the GCFR and SWAFR respectively</w:t>
      </w:r>
      <w:r w:rsidR="008B4DBD">
        <w:t>,</w:t>
      </w:r>
      <w:r w:rsidR="003D2C85">
        <w:t xml:space="preserve"> </w:t>
      </w:r>
      <w:r w:rsidR="003D2C85" w:rsidRPr="002C20EB">
        <w:rPr>
          <w:highlight w:val="yellow"/>
        </w:rPr>
        <w:t xml:space="preserve">with GCFR </w:t>
      </w:r>
      <w:r w:rsidR="003D2C85" w:rsidRPr="002C20EB">
        <w:rPr>
          <w:i/>
          <w:highlight w:val="yellow"/>
        </w:rPr>
        <w:t>S</w:t>
      </w:r>
      <w:r w:rsidR="003D2C85" w:rsidRPr="002C20EB">
        <w:rPr>
          <w:highlight w:val="yellow"/>
          <w:vertAlign w:val="subscript"/>
        </w:rPr>
        <w:t>DS</w:t>
      </w:r>
      <w:r w:rsidR="003D2C85" w:rsidRPr="002C20EB">
        <w:rPr>
          <w:highlight w:val="yellow"/>
        </w:rPr>
        <w:t xml:space="preserve"> being significantly more turnover-driven </w:t>
      </w:r>
      <w:r w:rsidR="005A5913" w:rsidRPr="002C20EB">
        <w:rPr>
          <w:highlight w:val="yellow"/>
        </w:rPr>
        <w:t xml:space="preserve">than </w:t>
      </w:r>
      <w:r w:rsidR="00605427" w:rsidRPr="002C20EB">
        <w:rPr>
          <w:highlight w:val="yellow"/>
        </w:rPr>
        <w:t xml:space="preserve">in the </w:t>
      </w:r>
      <w:r w:rsidR="005A5913" w:rsidRPr="002C20EB">
        <w:rPr>
          <w:highlight w:val="yellow"/>
        </w:rPr>
        <w:t>SWAFR in this</w:t>
      </w:r>
      <w:r w:rsidR="003D2C85" w:rsidRPr="002C20EB">
        <w:rPr>
          <w:highlight w:val="yellow"/>
        </w:rPr>
        <w:t xml:space="preserve"> </w:t>
      </w:r>
      <w:r w:rsidR="005A5913" w:rsidRPr="002C20EB">
        <w:rPr>
          <w:highlight w:val="yellow"/>
        </w:rPr>
        <w:t>regard</w:t>
      </w:r>
      <w:r w:rsidR="00EA69C8">
        <w:t xml:space="preserve"> </w:t>
      </w:r>
      <w:r w:rsidR="005A5913">
        <w:t>(</w:t>
      </w:r>
      <w:r w:rsidR="005A5913" w:rsidRPr="002C20EB">
        <w:rPr>
          <w:i/>
        </w:rPr>
        <w:t>P</w:t>
      </w:r>
      <w:r w:rsidR="005A5913">
        <w:t xml:space="preserve"> = 0.001, </w:t>
      </w:r>
      <w:r w:rsidR="00BA567B" w:rsidRPr="00966E9E">
        <w:rPr>
          <w:i/>
        </w:rPr>
        <w:t>CLES</w:t>
      </w:r>
      <w:r w:rsidR="00BA567B" w:rsidRPr="002C20EB">
        <w:t xml:space="preserve"> = </w:t>
      </w:r>
      <w:r w:rsidR="003F5B2B" w:rsidRPr="002C20EB">
        <w:t>0.</w:t>
      </w:r>
      <w:r w:rsidR="004B3752" w:rsidRPr="002C20EB">
        <w:t>741</w:t>
      </w:r>
      <w:r w:rsidR="00966E9E" w:rsidRPr="002C20EB">
        <w:t xml:space="preserve">; </w:t>
      </w:r>
      <w:r w:rsidR="00966E9E">
        <w:rPr>
          <w:highlight w:val="yellow"/>
        </w:rPr>
        <w:t>SI</w:t>
      </w:r>
      <w:r w:rsidR="009A6789">
        <w:rPr>
          <w:highlight w:val="yellow"/>
        </w:rPr>
        <w:t>, Figure S1</w:t>
      </w:r>
      <w:r w:rsidR="00FC5D3A">
        <w:rPr>
          <w:highlight w:val="yellow"/>
        </w:rPr>
        <w:t>b</w:t>
      </w:r>
      <w:r w:rsidR="003F5B2B" w:rsidRPr="002C20EB">
        <w:rPr>
          <w:highlight w:val="yellow"/>
        </w:rPr>
        <w:t>).</w:t>
      </w:r>
      <w:r w:rsidR="002658EC">
        <w:t xml:space="preserve"> Summarily, GCFR squares’ richness are evidently more attributable to more complementary communities in sub-squares, whereas SWAFR squares’ richness are more attributable to the general richness of sub-squares.</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6D568610"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r w:rsidR="0060601F" w:rsidRPr="00916B93">
        <w:t>heterogeneous</w:t>
      </w:r>
      <w:r w:rsidR="00AB36BF" w:rsidRPr="009A6ABA">
        <w:rPr>
          <w:lang w:val="en-ZA"/>
        </w:rPr>
        <w:t xml:space="preserve"> </w:t>
      </w:r>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67A7C">
        <w:t xml:space="preserve">There is a </w:t>
      </w:r>
      <w:r w:rsidR="00E67A7C" w:rsidRPr="009A6ABA">
        <w:rPr>
          <w:lang w:val="en-ZA"/>
        </w:rPr>
        <w:t xml:space="preserve">greater disparity in topographic and climatic heterogeneity </w:t>
      </w:r>
      <w:r w:rsidR="00D96013" w:rsidRPr="009A6ABA">
        <w:rPr>
          <w:lang w:val="en-ZA"/>
        </w:rPr>
        <w:t xml:space="preserve">between the GCFR and SWAFR </w:t>
      </w:r>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r w:rsidR="00485163">
        <w:rPr>
          <w:lang w:val="en-ZA"/>
        </w:rPr>
        <w:t xml:space="preserve">there is </w:t>
      </w:r>
      <w:r w:rsidR="00E67A7C" w:rsidRPr="009A6ABA">
        <w:rPr>
          <w:lang w:val="en-ZA"/>
        </w:rPr>
        <w:t>in edaphic heterogeneity (</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r w:rsidR="000962CB">
        <w:t>i</w:t>
      </w:r>
      <w:r w:rsidR="00E67A7C" w:rsidRPr="009A6ABA">
        <w:t>)</w:t>
      </w:r>
      <w:r w:rsidR="00F3440B">
        <w:rPr>
          <w:lang w:val="en-ZA"/>
        </w:rPr>
        <w:t>.</w:t>
      </w:r>
    </w:p>
    <w:p w14:paraId="5FF97D42" w14:textId="5821915E"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r w:rsidR="00E82A9E">
        <w:t xml:space="preserve">somewhat </w:t>
      </w:r>
      <w:r w:rsidR="00BF546E">
        <w:t>more 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r w:rsidR="00717D5B">
        <w:t>—</w:t>
      </w:r>
      <w:r w:rsidR="00B14A5F">
        <w:t>despite the scale-dependence exhibited by a few variables</w:t>
      </w:r>
      <w:bookmarkStart w:id="17" w:name="_GoBack"/>
      <w:bookmarkEnd w:id="17"/>
      <w:commentRangeStart w:id="18"/>
      <w:commentRangeEnd w:id="18"/>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71D71F0E" w:rsidR="00DC3399" w:rsidRDefault="00D04776" w:rsidP="005446B2">
      <w:pPr>
        <w:pStyle w:val="FirstParagraph"/>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r w:rsidR="00B9531E">
        <w:t>At QDS-scales, however, there was evidence for differences in the slopes and intercepts of this relationship between the regions (Figure 3a). Although, the difference in these slopes is small (</w:t>
      </w:r>
      <w:commentRangeStart w:id="19"/>
      <w:r w:rsidR="00B9531E" w:rsidRPr="0087034A">
        <w:t>24.61</w:t>
      </w:r>
      <w:r w:rsidR="00B9531E">
        <w:t xml:space="preserve"> species per unit PC1</w:t>
      </w:r>
      <w:commentRangeEnd w:id="19"/>
      <w:r w:rsidR="00B9531E">
        <w:rPr>
          <w:rStyle w:val="CommentReference"/>
          <w:rFonts w:ascii="Times New Roman" w:hAnsiTheme="minorHAnsi"/>
        </w:rPr>
        <w:commentReference w:id="19"/>
      </w:r>
      <w:r w:rsidR="00B9531E">
        <w:t xml:space="preserve">, </w:t>
      </w:r>
      <w:r w:rsidR="00B9531E" w:rsidRPr="0087034A">
        <w:rPr>
          <w:i/>
          <w:iCs/>
        </w:rPr>
        <w:t>P</w:t>
      </w:r>
      <w:r w:rsidR="00B9531E">
        <w:t xml:space="preserve"> = </w:t>
      </w:r>
      <w:r w:rsidR="00B9531E" w:rsidRPr="0087034A">
        <w:t>0.034</w:t>
      </w:r>
      <w:r w:rsidR="00B9531E">
        <w:t xml:space="preserve">) </w:t>
      </w:r>
      <w:commentRangeStart w:id="20"/>
      <w:commentRangeStart w:id="21"/>
      <w:r w:rsidR="00B9531E">
        <w:t xml:space="preserve">relative </w:t>
      </w:r>
      <w:commentRangeEnd w:id="20"/>
      <w:r w:rsidR="00B9531E">
        <w:rPr>
          <w:rStyle w:val="CommentReference"/>
          <w:rFonts w:ascii="Times New Roman" w:hAnsiTheme="minorHAnsi"/>
        </w:rPr>
        <w:commentReference w:id="20"/>
      </w:r>
      <w:commentRangeEnd w:id="21"/>
      <w:r w:rsidR="00B9531E">
        <w:rPr>
          <w:rStyle w:val="CommentReference"/>
          <w:rFonts w:ascii="Times New Roman" w:hAnsiTheme="minorHAnsi"/>
        </w:rPr>
        <w:commentReference w:id="21"/>
      </w:r>
      <w:r w:rsidR="00B9531E">
        <w:t>to the variation in species richness observed across QDS (</w:t>
      </w:r>
      <w:commentRangeStart w:id="22"/>
      <w:commentRangeStart w:id="23"/>
      <w:r w:rsidR="00B9531E" w:rsidRPr="0087034A">
        <w:rPr>
          <w:i/>
          <w:iCs/>
        </w:rPr>
        <w:t>SD</w:t>
      </w:r>
      <w:r w:rsidR="00B9531E">
        <w:t xml:space="preserve"> </w:t>
      </w:r>
      <w:commentRangeEnd w:id="22"/>
      <w:r w:rsidR="00B9531E">
        <w:rPr>
          <w:rStyle w:val="CommentReference"/>
          <w:rFonts w:ascii="Times New Roman" w:hAnsiTheme="minorHAnsi"/>
        </w:rPr>
        <w:commentReference w:id="22"/>
      </w:r>
      <w:commentRangeEnd w:id="23"/>
      <w:r w:rsidR="00B9531E">
        <w:rPr>
          <w:rStyle w:val="CommentReference"/>
          <w:rFonts w:ascii="Times New Roman" w:hAnsiTheme="minorHAnsi"/>
        </w:rPr>
        <w:commentReference w:id="23"/>
      </w:r>
      <w:r w:rsidR="00B9531E">
        <w:t xml:space="preserve">= </w:t>
      </w:r>
      <w:r w:rsidR="00B9531E" w:rsidRPr="0087034A">
        <w:t>304.7</w:t>
      </w:r>
      <w:r w:rsidR="00B9531E">
        <w:t xml:space="preserve">5 species). </w:t>
      </w:r>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w:t>
      </w:r>
      <w:r w:rsidR="00B72F5A">
        <w:lastRenderedPageBreak/>
        <w:t>between species richness and environmental heterogeneity at HDS- and DS-scales (Figure 3b,c)</w:t>
      </w:r>
      <w:r w:rsidR="00185E84">
        <w:t>,</w:t>
      </w:r>
      <w:r w:rsidR="00B72F5A">
        <w:t xml:space="preserve"> </w:t>
      </w:r>
      <w:r w:rsidR="00185E84">
        <w:t xml:space="preserve">with </w:t>
      </w:r>
      <w:r w:rsidR="00426DD1">
        <w:t xml:space="preserve">GCFR and SWAFR </w:t>
      </w:r>
      <w:r w:rsidR="004F3D87">
        <w:t xml:space="preserve">squares </w:t>
      </w:r>
      <w:r w:rsidR="002C0152">
        <w:t xml:space="preserve">simply </w:t>
      </w:r>
      <w:r w:rsidR="002C0152" w:rsidRPr="00C32B1C">
        <w:t>occup</w:t>
      </w:r>
      <w:r w:rsidR="002C0152">
        <w:t>ying</w:t>
      </w:r>
      <w:r w:rsidR="002C0152" w:rsidRPr="00C32B1C">
        <w:t xml:space="preserve"> </w:t>
      </w:r>
      <w:r w:rsidR="00426DD1" w:rsidRPr="00C32B1C">
        <w:t>different areas along this relationship</w:t>
      </w:r>
      <w:r w:rsidR="00426DD1">
        <w:t xml:space="preserve">. </w:t>
      </w:r>
      <w:r w:rsidR="00465922">
        <w:t>Th</w:t>
      </w:r>
      <w:r w:rsidR="00BB6BE6">
        <w:t>is</w:t>
      </w:r>
      <w:r w:rsidR="00465922">
        <w:t xml:space="preserve"> covariation of richness with </w:t>
      </w:r>
      <w:r w:rsidR="00BB6BE6">
        <w:t xml:space="preserve">overall </w:t>
      </w:r>
      <w:r w:rsidR="00465922">
        <w:t xml:space="preserve">heterogeneity </w:t>
      </w:r>
      <w:r w:rsidR="00BB6BE6">
        <w:t>is consistent with results c</w:t>
      </w:r>
      <w:r w:rsidR="005B4261">
        <w:t>onsidering each axis of environmental heterogeneity separately</w:t>
      </w:r>
      <w:r w:rsidR="00BB6BE6">
        <w:t xml:space="preserve"> (Table 2). </w:t>
      </w:r>
      <w:r w:rsidR="00FE4160">
        <w:t>At QDS-scales, there was also evidence for differences in regions’ slopes and intercepts for these relationships (Table 2a), while w</w:t>
      </w:r>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p>
    <w:p w14:paraId="26A6F7B4" w14:textId="1F0260A9" w:rsidR="001A61A1" w:rsidRPr="001E2A3C" w:rsidRDefault="00244E17" w:rsidP="002C20EB">
      <w:pPr>
        <w:pStyle w:val="FirstParagraph"/>
      </w:pPr>
      <w:r w:rsidRPr="00FB7B57">
        <w:t>We</w:t>
      </w:r>
      <w:r>
        <w:t xml:space="preserve"> also</w:t>
      </w:r>
      <w:r w:rsidRPr="00FB7B57">
        <w:t xml:space="preserve"> regressed vascular plant species richness against each axis of environmental heterogeneity </w:t>
      </w:r>
      <w:r w:rsidR="00D04776" w:rsidRPr="00FB7B57">
        <w:t xml:space="preserve">in </w:t>
      </w:r>
      <w:r w:rsidR="0053496F">
        <w:t>multiple linear</w:t>
      </w:r>
      <w:r w:rsidR="0053496F" w:rsidRPr="00FB7B57">
        <w:t xml:space="preserve"> </w:t>
      </w:r>
      <w:r w:rsidR="0053496F">
        <w:t>regressions</w:t>
      </w:r>
      <w:r w:rsidR="0053496F" w:rsidRPr="00FB7B57">
        <w:t xml:space="preserve"> </w:t>
      </w:r>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r w:rsidR="00636AF1">
        <w:t>In cases where the partial effect of a form of heterogeneity</w:t>
      </w:r>
      <w:r w:rsidR="00204D2C">
        <w:t xml:space="preserve"> was represented in a model separately for each region, the coefficients </w:t>
      </w:r>
      <w:r w:rsidR="007A4DF2">
        <w:t xml:space="preserve">are always of the same sign </w:t>
      </w:r>
      <w:r w:rsidR="00857150">
        <w:t xml:space="preserve">(e.g. heterogeneity in MAP; Figure 4a,b) </w:t>
      </w:r>
      <w:r w:rsidR="007A4DF2">
        <w:t>or one region’s coefficient is not significant where the other’s</w:t>
      </w:r>
      <w:r w:rsidR="00857150">
        <w:t xml:space="preserve"> is (e.g. heterogeneity in PDQ; Figure 4a–c)</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r w:rsidR="00332470">
        <w:t xml:space="preserve"> </w:t>
      </w:r>
      <w:r w:rsidR="00E50D5D">
        <w:t xml:space="preserve">From these multivariate models, the estimated difference in species richness between GCFR and SWAFR </w:t>
      </w:r>
      <w:r w:rsidR="00275CEB">
        <w:t xml:space="preserve">squares </w:t>
      </w:r>
      <w:r w:rsidR="00E50D5D">
        <w:t xml:space="preserve">(“SWAFR”-term; Figure 4) is conditional </w:t>
      </w:r>
      <w:r w:rsidR="00DC5DF8">
        <w:t xml:space="preserve">on </w:t>
      </w:r>
      <w:r w:rsidR="00E50D5D">
        <w:t xml:space="preserve">all forms of environmental heterogeneity </w:t>
      </w:r>
      <w:r w:rsidR="00936825">
        <w:t xml:space="preserve">used </w:t>
      </w:r>
      <w:r w:rsidR="00E50D5D">
        <w:t>in that model</w:t>
      </w:r>
      <w:r w:rsidR="00F24158">
        <w:t xml:space="preserve"> being constant</w:t>
      </w:r>
      <w:r w:rsidR="00E50D5D">
        <w:t xml:space="preserve">. </w:t>
      </w:r>
      <w:r w:rsidR="00C4040C">
        <w:t xml:space="preserve">At the QDS-scale, </w:t>
      </w:r>
      <w:r w:rsidR="00B01E6A">
        <w:t xml:space="preserve">for given levels of heterogeneity, </w:t>
      </w:r>
      <w:r w:rsidR="00C4040C">
        <w:t>the SWAFR is more species</w:t>
      </w:r>
      <w:r w:rsidR="00D15E8C">
        <w:t>-</w:t>
      </w:r>
      <w:r w:rsidR="00C4040C">
        <w:t>rich (</w:t>
      </w:r>
      <w:r w:rsidR="00E528EA">
        <w:t xml:space="preserve">estimated </w:t>
      </w:r>
      <w:r w:rsidR="00C4040C" w:rsidRPr="00C4040C">
        <w:t>104.0</w:t>
      </w:r>
      <w:r w:rsidR="00C4040C">
        <w:t xml:space="preserve">7 more species, </w:t>
      </w:r>
      <w:r w:rsidR="00C4040C" w:rsidRPr="00C4040C">
        <w:rPr>
          <w:i/>
          <w:iCs/>
        </w:rPr>
        <w:t>P</w:t>
      </w:r>
      <w:r w:rsidR="00C4040C">
        <w:t xml:space="preserve"> &lt; 0.001</w:t>
      </w:r>
      <w:r w:rsidR="00EB0AC0">
        <w:t>; Figure 4a</w:t>
      </w:r>
      <w:r w:rsidR="00C4040C">
        <w:t xml:space="preserve">) </w:t>
      </w:r>
      <w:r w:rsidR="001E2A3C">
        <w:t>while the partial-differences in richness estimated at other scales reflect observed differences in species richness</w:t>
      </w:r>
      <w:r w:rsidR="00CE0B41">
        <w:t>: similarly rich at HDS-scales (</w:t>
      </w:r>
      <w:r w:rsidR="00CE0B41" w:rsidRPr="006A3665">
        <w:rPr>
          <w:i/>
          <w:iCs/>
        </w:rPr>
        <w:t>P</w:t>
      </w:r>
      <w:r w:rsidR="00CE0B41">
        <w:t xml:space="preserve"> = 0</w:t>
      </w:r>
      <w:r w:rsidR="00CE0B41" w:rsidRPr="006A3665">
        <w:t>.5</w:t>
      </w:r>
      <w:r w:rsidR="00CE0B41">
        <w:t>8</w:t>
      </w:r>
      <w:r w:rsidR="001A61A1">
        <w:t>;</w:t>
      </w:r>
      <w:r w:rsidR="00CE0B41">
        <w:t xml:space="preserve"> Figure 4b</w:t>
      </w:r>
      <w:r w:rsidR="00D72FFC">
        <w:t>)</w:t>
      </w:r>
      <w:r w:rsidR="001A61A1">
        <w:t xml:space="preserve">; </w:t>
      </w:r>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r w:rsidR="00257896" w:rsidRPr="00095788">
        <w:rPr>
          <w:i/>
          <w:iCs/>
        </w:rPr>
        <w:t>R</w:t>
      </w:r>
      <w:r w:rsidR="00257896">
        <w:softHyphen/>
      </w:r>
      <w:r w:rsidR="00257896">
        <w:rPr>
          <w:vertAlign w:val="superscript"/>
        </w:rPr>
        <w:t>2</w:t>
      </w:r>
      <w:r w:rsidR="00257896">
        <w:t xml:space="preserve"> = </w:t>
      </w:r>
      <w:r>
        <w:t>0.24–0.61</w:t>
      </w:r>
      <w:r w:rsidR="002766E7">
        <w:t>; Figure</w:t>
      </w:r>
      <w:r w:rsidR="002779ED">
        <w:t xml:space="preserve"> 3,4</w:t>
      </w:r>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r w:rsidR="007C1C6F">
        <w:t xml:space="preserve">Figure 5e–h; </w:t>
      </w:r>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19688DE6" w14:textId="298A3803" w:rsidR="00563A70" w:rsidRDefault="00A7173D" w:rsidP="002C20EB">
      <w:pPr>
        <w:pStyle w:val="BodyText"/>
        <w:tabs>
          <w:tab w:val="left" w:pos="6189"/>
        </w:tabs>
        <w:rPr>
          <w:lang w:val="en-ZA"/>
        </w:rPr>
      </w:pPr>
      <w:bookmarkStart w:id="24" w:name="tables"/>
      <w:r w:rsidRPr="002C20EB">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r w:rsidR="00117505" w:rsidRPr="002F62E4">
        <w:rPr>
          <w:highlight w:val="yellow"/>
          <w:lang w:val="en-ZA"/>
        </w:rPr>
        <w:t>sensu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r w:rsidR="009027B2" w:rsidRPr="002C20EB">
        <w:rPr>
          <w:highlight w:val="green"/>
          <w:lang w:val="en-ZA"/>
        </w:rPr>
        <w:t>Thuiller et al., 2006; Mouchet et al., 2015; Cramer &amp; Verboom, 2016</w:t>
      </w:r>
      <w:r w:rsidR="002011C9" w:rsidRPr="002C20EB">
        <w:rPr>
          <w:highlight w:val="green"/>
          <w:lang w:val="en-ZA"/>
        </w:rPr>
        <w:t>; Rensburg et al., 2002; Kerr et al., 2001; Levin et al., 2010; Lobo et al., 2004; Kreft &amp; Jetz,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 xml:space="preserve">richness </w:t>
      </w:r>
      <w:r w:rsidR="00E129BB" w:rsidRPr="004F2756">
        <w:rPr>
          <w:lang w:val="en-ZA"/>
        </w:rPr>
        <w:lastRenderedPageBreak/>
        <w:t>of the Cape flora (</w:t>
      </w:r>
      <w:r w:rsidR="00AD6B4B">
        <w:rPr>
          <w:lang w:val="en-ZA"/>
        </w:rPr>
        <w:t xml:space="preserve">e.g. </w:t>
      </w:r>
      <w:r w:rsidR="00E129BB" w:rsidRPr="00AE36C2">
        <w:rPr>
          <w:highlight w:val="green"/>
          <w:lang w:val="en-ZA"/>
        </w:rPr>
        <w:t>Thuiller et al., 2006; Cramer &amp; Verboom,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Cramer &amp; Verboom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e high levels of plant diversity in mediterranean-type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Pinto-Ledezma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mediterranean-type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r w:rsidR="004F2756" w:rsidRPr="002C20EB">
        <w:rPr>
          <w:highlight w:val="yellow"/>
          <w:lang w:val="en-ZA"/>
        </w:rPr>
        <w:t>Oligtrophic soils can stimulate an increase in functional diversity, through the evolution of diverse nutrient acquisition strategies (Lambers et al., 2010; Verboom et al., 2017)—e.g. sclerophylly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The five mediterranean-type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non-mediterranean-type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extent to concern global patterns, mediterranean-type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r w:rsidR="00950491" w:rsidRPr="007C1F01">
        <w:rPr>
          <w:highlight w:val="green"/>
          <w:lang w:val="en-ZA"/>
        </w:rPr>
        <w:t>Kreft &amp; Jetz, 2007</w:t>
      </w:r>
      <w:r w:rsidR="00950491" w:rsidRPr="0081010D">
        <w:rPr>
          <w:lang w:val="en-ZA"/>
        </w:rPr>
        <w:t>).</w:t>
      </w:r>
      <w:r w:rsidR="00950491">
        <w:rPr>
          <w:lang w:val="en-ZA"/>
        </w:rPr>
        <w:t xml:space="preserve"> </w:t>
      </w:r>
      <w:r w:rsidR="00E570EB">
        <w:rPr>
          <w:lang w:val="en-ZA"/>
        </w:rPr>
        <w:t xml:space="preserve">Though notably, this is also attributable to </w:t>
      </w:r>
      <w:r w:rsidR="00EC2EF3" w:rsidRPr="002C20EB">
        <w:rPr>
          <w:highlight w:val="green"/>
          <w:lang w:val="en-ZA"/>
        </w:rPr>
        <w:t>Kreft &amp; Jetz</w:t>
      </w:r>
      <w:r w:rsidR="00E570EB">
        <w:rPr>
          <w:highlight w:val="green"/>
          <w:lang w:val="en-ZA"/>
        </w:rPr>
        <w:t>’s</w:t>
      </w:r>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r w:rsidR="00EC2EF3" w:rsidRPr="002C20EB">
        <w:rPr>
          <w:highlight w:val="green"/>
          <w:lang w:val="en-ZA"/>
        </w:rPr>
        <w:t>Kreft &amp; Jetz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Cramer &amp; Verboom,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w:t>
      </w:r>
      <w:r w:rsidR="004E312F">
        <w:rPr>
          <w:lang w:val="en-ZA"/>
        </w:rPr>
        <w:t>orms of environmental heterogeneity we found to correlate with species richness varied in strength across spatial scales (Figure 3,4)</w:t>
      </w:r>
      <w:r w:rsidR="00367CC6">
        <w:rPr>
          <w:lang w:val="en-ZA"/>
        </w:rPr>
        <w:t xml:space="preserve"> </w:t>
      </w:r>
      <w:r w:rsidR="00367CC6">
        <w:rPr>
          <w:lang w:val="en-ZA"/>
        </w:rPr>
        <w:t>[</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Kerr et al., 2001; Baudena et al., 2015; Mouchet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r w:rsidR="000D014B" w:rsidRPr="002C20EB">
        <w:rPr>
          <w:highlight w:val="yellow"/>
          <w:lang w:val="en-ZA"/>
        </w:rPr>
        <w:t>m</w:t>
      </w:r>
      <w:r w:rsidR="004F2756" w:rsidRPr="002C20EB">
        <w:rPr>
          <w:highlight w:val="yellow"/>
          <w:lang w:val="en-ZA"/>
        </w:rPr>
        <w:t xml:space="preserve">editerranean-type flora more generally, are often outliers </w:t>
      </w:r>
      <w:r w:rsidR="004F2756" w:rsidRPr="002C20EB">
        <w:rPr>
          <w:highlight w:val="yellow"/>
          <w:lang w:val="en-ZA"/>
        </w:rPr>
        <w:lastRenderedPageBreak/>
        <w:t>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Linder 2009 Restionaceae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Distance from the Kogelberg</w:t>
      </w:r>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24"/>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pPr>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5"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5"/>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t xml:space="preserve">Frequency </w:t>
      </w:r>
      <w:commentRangeStart w:id="26"/>
      <w:commentRangeStart w:id="27"/>
      <w:r w:rsidR="00F330A8">
        <w:t>d</w:t>
      </w:r>
      <w:r w:rsidRPr="002C037D">
        <w:t xml:space="preserve">istributions </w:t>
      </w:r>
      <w:commentRangeEnd w:id="26"/>
      <w:r w:rsidR="00F330A8">
        <w:rPr>
          <w:rStyle w:val="CommentReference"/>
          <w:rFonts w:ascii="Times New Roman" w:hAnsiTheme="minorHAnsi"/>
        </w:rPr>
        <w:commentReference w:id="26"/>
      </w:r>
      <w:commentRangeEnd w:id="27"/>
      <w:r w:rsidR="006F5A52">
        <w:rPr>
          <w:rStyle w:val="CommentReference"/>
          <w:rFonts w:ascii="Times New Roman" w:hAnsiTheme="minorHAnsi"/>
        </w:rPr>
        <w:commentReference w:id="27"/>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8" w:name="references"/>
    </w:p>
    <w:p w14:paraId="0BD64C4E" w14:textId="2D0B4B2B" w:rsidR="006056E9" w:rsidRDefault="00A45444" w:rsidP="002C20EB">
      <w:pPr>
        <w:pStyle w:val="BodyText"/>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r w:rsidRPr="002C20EB">
        <w:t>V</w:t>
      </w:r>
      <w:r w:rsidR="00692368" w:rsidRPr="002C20EB">
        <w:t>erboom</w:t>
      </w:r>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48A13E83" w14:textId="163E3BF1" w:rsidR="00EF41C1" w:rsidRDefault="008E0DFC" w:rsidP="002C20EB">
      <w:pPr>
        <w:pStyle w:val="Heading1"/>
      </w:pPr>
      <w:r>
        <w:rPr>
          <w:b w:val="0"/>
          <w:bCs w:val="0"/>
        </w:rPr>
        <w:fldChar w:fldCharType="end"/>
      </w:r>
      <w:r w:rsidR="004D4AE1" w:rsidRPr="004D4AE1">
        <w:t>Biosketch</w:t>
      </w:r>
      <w:r w:rsidR="004D4AE1">
        <w:t>es</w:t>
      </w:r>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commentRangeStart w:id="29"/>
      <w:r w:rsidRPr="00242181">
        <w:rPr>
          <w:b/>
        </w:rPr>
        <w:t>Table 1:</w:t>
      </w:r>
      <w:r>
        <w:t xml:space="preserve"> </w:t>
      </w:r>
      <w:commentRangeEnd w:id="29"/>
      <w:r>
        <w:rPr>
          <w:rStyle w:val="CommentReference"/>
          <w:rFonts w:ascii="Times New Roman" w:hAnsiTheme="minorHAnsi"/>
        </w:rPr>
        <w:commentReference w:id="29"/>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r w:rsidRPr="002C20EB">
              <w:t>Hengl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lastRenderedPageBreak/>
        <w:t>Supplementary f</w:t>
      </w:r>
      <w:r w:rsidR="00A31266">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Farr, T., Rosen, P., Caro, E., Crippen, R., Duren, R., Hensley, S., Kobrick, M., Paller, M., Rodriguez, E., Roth, L., Seal, D., Shaffer, S., Shimada, J., Umland, J., Werner, M., Oskin, M., Burbank, D., &amp; Alsdorf,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Funk, C.C., Peterson, P.J., Landsfeld, M., Pedreros, D.H., Verdin, J., Shukla, S., Husak, G., Rowland, J.D., Harrison, L., Hoell, A., &amp; Michaelsen,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r w:rsidRPr="002C20EB">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2C20EB">
        <w:rPr>
          <w:i/>
        </w:rPr>
        <w:t>PLoS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l3 global 0.05Deg cmg</w:t>
      </w:r>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l3 global 0.05Deg cmg</w:t>
      </w:r>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el Cramer" w:date="2019-10-06T08:53:00Z" w:initials="MC">
    <w:p w14:paraId="16A5BD8E" w14:textId="64EEAEFD" w:rsidR="006236CD" w:rsidRDefault="006236CD">
      <w:pPr>
        <w:pStyle w:val="CommentText"/>
      </w:pPr>
      <w:r>
        <w:rPr>
          <w:rStyle w:val="CommentReference"/>
        </w:rPr>
        <w:annotationRef/>
      </w:r>
      <w:r>
        <w:t>Isn</w:t>
      </w:r>
      <w:r>
        <w:t>’</w:t>
      </w:r>
      <w:r>
        <w:t>t this restating the sentence 1 back?</w:t>
      </w:r>
    </w:p>
  </w:comment>
  <w:comment w:id="4" w:author="Ruan Van Mazijk" w:date="2019-10-07T15:41:00Z" w:initials="RVM">
    <w:p w14:paraId="739A862A" w14:textId="7767E5B8" w:rsidR="006236CD" w:rsidRDefault="006236CD">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6" w:author="Michael Cramer" w:date="2019-10-06T09:02:00Z" w:initials="MC">
    <w:p w14:paraId="1A2D83B2" w14:textId="49140011" w:rsidR="006236CD" w:rsidRDefault="006236CD">
      <w:pPr>
        <w:pStyle w:val="CommentText"/>
      </w:pPr>
      <w:r>
        <w:rPr>
          <w:rStyle w:val="CommentReference"/>
        </w:rPr>
        <w:annotationRef/>
      </w:r>
      <w:r>
        <w:t>Does a woody component mean bigger individuals, lower density, lower species richness?</w:t>
      </w:r>
    </w:p>
  </w:comment>
  <w:comment w:id="7" w:author="Michael Cramer" w:date="2019-10-06T08:56:00Z" w:initials="MC">
    <w:p w14:paraId="0D85E42B" w14:textId="6A1DF849" w:rsidR="006236CD" w:rsidRDefault="006236CD">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8" w:author="Ruan Van Mazijk" w:date="2019-10-07T15:43:00Z" w:initials="RVM">
    <w:p w14:paraId="50E697F5" w14:textId="121413FD" w:rsidR="006236CD" w:rsidRDefault="006236CD">
      <w:pPr>
        <w:pStyle w:val="CommentText"/>
      </w:pPr>
      <w:r>
        <w:rPr>
          <w:rStyle w:val="CommentReference"/>
        </w:rPr>
        <w:annotationRef/>
      </w:r>
      <w:r>
        <w:t>This is a good point</w:t>
      </w:r>
      <w:r>
        <w:t>…</w:t>
      </w:r>
      <w:r>
        <w:t xml:space="preserve"> Shall we chat more about this at some point?</w:t>
      </w:r>
    </w:p>
  </w:comment>
  <w:comment w:id="10" w:author="Michael Cramer" w:date="2019-10-06T20:10:00Z" w:initials="MC">
    <w:p w14:paraId="5AED77A5" w14:textId="45F362C3" w:rsidR="006236CD" w:rsidRDefault="006236CD">
      <w:pPr>
        <w:pStyle w:val="CommentText"/>
      </w:pPr>
      <w:r>
        <w:rPr>
          <w:rStyle w:val="CommentReference"/>
        </w:rPr>
        <w:annotationRef/>
      </w:r>
      <w:r>
        <w:t>This suggests they were lumped together?</w:t>
      </w:r>
    </w:p>
  </w:comment>
  <w:comment w:id="11" w:author="Ruan Van Mazijk" w:date="2019-10-07T15:44:00Z" w:initials="RVM">
    <w:p w14:paraId="1E812954" w14:textId="484F8BEE" w:rsidR="006236CD" w:rsidRDefault="006236CD">
      <w:pPr>
        <w:pStyle w:val="CommentText"/>
      </w:pPr>
      <w:r>
        <w:rPr>
          <w:rStyle w:val="CommentReference"/>
        </w:rPr>
        <w:annotationRef/>
      </w:r>
      <w:r>
        <w:t>They were! It was a single PCA</w:t>
      </w:r>
      <w:r>
        <w:t>…</w:t>
      </w:r>
    </w:p>
  </w:comment>
  <w:comment w:id="12" w:author="Michael Cramer" w:date="2019-10-06T20:11:00Z" w:initials="MC">
    <w:p w14:paraId="3D93755E" w14:textId="0E76DB81" w:rsidR="006236CD" w:rsidRDefault="006236CD">
      <w:pPr>
        <w:pStyle w:val="CommentText"/>
      </w:pPr>
      <w:r>
        <w:rPr>
          <w:rStyle w:val="CommentReference"/>
        </w:rPr>
        <w:annotationRef/>
      </w:r>
      <w:r>
        <w:t xml:space="preserve">Is the standard not to </w:t>
      </w:r>
      <w:r>
        <w:t>“</w:t>
      </w:r>
      <w:r>
        <w:t>scale</w:t>
      </w:r>
      <w:r>
        <w:t>”</w:t>
      </w:r>
      <w:r>
        <w:t xml:space="preserve"> the variables for PCA anyway?</w:t>
      </w:r>
    </w:p>
  </w:comment>
  <w:comment w:id="13" w:author="Ruan Van Mazijk" w:date="2019-10-07T11:59:00Z" w:initials="RVM">
    <w:p w14:paraId="4E6C485B" w14:textId="2B0CE332" w:rsidR="006236CD" w:rsidRDefault="006236CD">
      <w:pPr>
        <w:pStyle w:val="CommentText"/>
      </w:pPr>
      <w:r>
        <w:rPr>
          <w:rStyle w:val="CommentReference"/>
        </w:rPr>
        <w:annotationRef/>
      </w:r>
      <w:r>
        <w:t>It is the standard yes, but the log10-transofrm is not the scaling. The transformation made sure the data wasn</w:t>
      </w:r>
      <w:r>
        <w:t>’</w:t>
      </w:r>
      <w:r>
        <w:t>t skewed</w:t>
      </w:r>
      <w:r>
        <w:t>…</w:t>
      </w:r>
    </w:p>
  </w:comment>
  <w:comment w:id="15" w:author="Michael Cramer" w:date="2019-10-06T20:14:00Z" w:initials="MC">
    <w:p w14:paraId="3D6DE780" w14:textId="23464106" w:rsidR="006236CD" w:rsidRDefault="006236CD">
      <w:pPr>
        <w:pStyle w:val="CommentText"/>
      </w:pPr>
      <w:r>
        <w:rPr>
          <w:rStyle w:val="CommentReference"/>
        </w:rPr>
        <w:annotationRef/>
      </w:r>
      <w:r>
        <w:t>Assessed how, from linear models? AIC on quadratic?</w:t>
      </w:r>
    </w:p>
  </w:comment>
  <w:comment w:id="19" w:author="Michael Cramer" w:date="2019-10-06T20:51:00Z" w:initials="MC">
    <w:p w14:paraId="3347315C" w14:textId="77777777" w:rsidR="006236CD" w:rsidRDefault="006236CD" w:rsidP="00B9531E">
      <w:pPr>
        <w:pStyle w:val="CommentText"/>
      </w:pPr>
      <w:r>
        <w:rPr>
          <w:rStyle w:val="CommentReference"/>
        </w:rPr>
        <w:annotationRef/>
      </w:r>
      <w:r>
        <w:t>I cant judge whether this is large or small!</w:t>
      </w:r>
    </w:p>
  </w:comment>
  <w:comment w:id="20" w:author="Michael Cramer" w:date="2019-10-06T20:51:00Z" w:initials="MC">
    <w:p w14:paraId="4D3D6DA3" w14:textId="77777777" w:rsidR="006236CD" w:rsidRDefault="006236CD" w:rsidP="00B9531E">
      <w:pPr>
        <w:pStyle w:val="CommentText"/>
      </w:pPr>
      <w:r>
        <w:rPr>
          <w:rStyle w:val="CommentReference"/>
        </w:rPr>
        <w:annotationRef/>
      </w:r>
      <w:r>
        <w:t>So you are saying about 8%?</w:t>
      </w:r>
    </w:p>
  </w:comment>
  <w:comment w:id="21" w:author="Ruan Van Mazijk" w:date="2019-10-08T09:24:00Z" w:initials="RVM">
    <w:p w14:paraId="48A3F08A" w14:textId="77777777" w:rsidR="006236CD" w:rsidRDefault="006236CD" w:rsidP="00B9531E">
      <w:pPr>
        <w:pStyle w:val="CommentText"/>
      </w:pPr>
      <w:r>
        <w:rPr>
          <w:rStyle w:val="CommentReference"/>
        </w:rPr>
        <w:annotationRef/>
      </w:r>
      <w:r>
        <w:t>I suppose so!</w:t>
      </w:r>
    </w:p>
  </w:comment>
  <w:comment w:id="22" w:author="Michael Cramer" w:date="2019-10-06T20:52:00Z" w:initials="MC">
    <w:p w14:paraId="544FAE4E" w14:textId="77777777" w:rsidR="006236CD" w:rsidRDefault="006236CD" w:rsidP="00B9531E">
      <w:pPr>
        <w:pStyle w:val="CommentText"/>
      </w:pPr>
      <w:r>
        <w:rPr>
          <w:rStyle w:val="CommentReference"/>
        </w:rPr>
        <w:annotationRef/>
      </w:r>
      <w:r>
        <w:t>Why is this SD?</w:t>
      </w:r>
    </w:p>
  </w:comment>
  <w:comment w:id="23" w:author="Ruan Van Mazijk" w:date="2019-10-08T09:24:00Z" w:initials="RVM">
    <w:p w14:paraId="0FDECDD1" w14:textId="77777777" w:rsidR="006236CD" w:rsidRDefault="006236CD" w:rsidP="00B9531E">
      <w:pPr>
        <w:pStyle w:val="CommentText"/>
      </w:pPr>
      <w:r>
        <w:rPr>
          <w:rStyle w:val="CommentReference"/>
        </w:rPr>
        <w:annotationRef/>
      </w:r>
      <w:r>
        <w:t>Should it be the variance rather?</w:t>
      </w:r>
    </w:p>
  </w:comment>
  <w:comment w:id="26" w:author="Michael Cramer" w:date="2019-10-07T10:02:00Z" w:initials="MC">
    <w:p w14:paraId="4937B472" w14:textId="0312FCE7" w:rsidR="006236CD" w:rsidRDefault="006236CD" w:rsidP="006F5A52">
      <w:pPr>
        <w:pStyle w:val="CommentText"/>
      </w:pPr>
      <w:r>
        <w:rPr>
          <w:rStyle w:val="CommentReference"/>
        </w:rPr>
        <w:annotationRef/>
      </w:r>
      <w:r>
        <w:t>Should these be normalized for the total number of QDS or HDS?</w:t>
      </w:r>
    </w:p>
  </w:comment>
  <w:comment w:id="27" w:author="Ruan Van Mazijk" w:date="2019-10-07T12:19:00Z" w:initials="RVM">
    <w:p w14:paraId="77A93CC5" w14:textId="3A13C47F" w:rsidR="006236CD" w:rsidRDefault="006236CD">
      <w:pPr>
        <w:pStyle w:val="CommentText"/>
      </w:pPr>
      <w:r>
        <w:rPr>
          <w:rStyle w:val="CommentReference"/>
        </w:rPr>
        <w:annotationRef/>
      </w:r>
      <w:r>
        <w:t>Note sure what you mean?</w:t>
      </w:r>
    </w:p>
  </w:comment>
  <w:comment w:id="29" w:author="Michael Cramer" w:date="2019-10-07T09:57:00Z" w:initials="MC">
    <w:p w14:paraId="5682CC05" w14:textId="77777777" w:rsidR="006236CD" w:rsidRDefault="006236CD"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B485A" w14:textId="77777777" w:rsidR="00691B24" w:rsidRDefault="00691B24">
      <w:pPr>
        <w:spacing w:after="0"/>
      </w:pPr>
      <w:r>
        <w:separator/>
      </w:r>
    </w:p>
  </w:endnote>
  <w:endnote w:type="continuationSeparator" w:id="0">
    <w:p w14:paraId="2A4A4F34" w14:textId="77777777" w:rsidR="00691B24" w:rsidRDefault="00691B24">
      <w:pPr>
        <w:spacing w:after="0"/>
      </w:pPr>
      <w:r>
        <w:continuationSeparator/>
      </w:r>
    </w:p>
  </w:endnote>
  <w:endnote w:type="continuationNotice" w:id="1">
    <w:p w14:paraId="033597E9" w14:textId="77777777" w:rsidR="00691B24" w:rsidRDefault="00691B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236CD" w:rsidRDefault="006236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236CD" w:rsidRDefault="00623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6163B" w14:textId="77777777" w:rsidR="00691B24" w:rsidRDefault="00691B24">
      <w:r>
        <w:separator/>
      </w:r>
    </w:p>
  </w:footnote>
  <w:footnote w:type="continuationSeparator" w:id="0">
    <w:p w14:paraId="725F5B95" w14:textId="77777777" w:rsidR="00691B24" w:rsidRDefault="00691B24">
      <w:r>
        <w:continuationSeparator/>
      </w:r>
    </w:p>
  </w:footnote>
  <w:footnote w:type="continuationNotice" w:id="1">
    <w:p w14:paraId="490AD887" w14:textId="77777777" w:rsidR="00691B24" w:rsidRDefault="00691B2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58F5"/>
    <w:rsid w:val="00006E29"/>
    <w:rsid w:val="00007536"/>
    <w:rsid w:val="00010D0D"/>
    <w:rsid w:val="00011C8B"/>
    <w:rsid w:val="000134E5"/>
    <w:rsid w:val="00015987"/>
    <w:rsid w:val="00017062"/>
    <w:rsid w:val="0001739B"/>
    <w:rsid w:val="00017E2E"/>
    <w:rsid w:val="000202B4"/>
    <w:rsid w:val="00020DE2"/>
    <w:rsid w:val="00023792"/>
    <w:rsid w:val="00023A41"/>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200"/>
    <w:rsid w:val="0009179A"/>
    <w:rsid w:val="00093051"/>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6E4"/>
    <w:rsid w:val="000C1B2A"/>
    <w:rsid w:val="000C1DFD"/>
    <w:rsid w:val="000C2B76"/>
    <w:rsid w:val="000C2BA8"/>
    <w:rsid w:val="000C4BE0"/>
    <w:rsid w:val="000C4C83"/>
    <w:rsid w:val="000C57CB"/>
    <w:rsid w:val="000C58EB"/>
    <w:rsid w:val="000C5AAD"/>
    <w:rsid w:val="000C5BB8"/>
    <w:rsid w:val="000C780A"/>
    <w:rsid w:val="000C78F5"/>
    <w:rsid w:val="000D014B"/>
    <w:rsid w:val="000D1A3D"/>
    <w:rsid w:val="000D3247"/>
    <w:rsid w:val="000D5262"/>
    <w:rsid w:val="000D698A"/>
    <w:rsid w:val="000D6AB1"/>
    <w:rsid w:val="000D78B0"/>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114A8"/>
    <w:rsid w:val="00114867"/>
    <w:rsid w:val="001149F3"/>
    <w:rsid w:val="00117505"/>
    <w:rsid w:val="0012073A"/>
    <w:rsid w:val="0012344F"/>
    <w:rsid w:val="00124716"/>
    <w:rsid w:val="001259A9"/>
    <w:rsid w:val="0012609C"/>
    <w:rsid w:val="00126571"/>
    <w:rsid w:val="00126A24"/>
    <w:rsid w:val="00126FD8"/>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0D4A"/>
    <w:rsid w:val="00181A68"/>
    <w:rsid w:val="00182CB9"/>
    <w:rsid w:val="00183126"/>
    <w:rsid w:val="00184015"/>
    <w:rsid w:val="001841EC"/>
    <w:rsid w:val="0018462C"/>
    <w:rsid w:val="001848E8"/>
    <w:rsid w:val="00184A95"/>
    <w:rsid w:val="00184EFF"/>
    <w:rsid w:val="00185A50"/>
    <w:rsid w:val="00185E84"/>
    <w:rsid w:val="0018771F"/>
    <w:rsid w:val="00187A84"/>
    <w:rsid w:val="00190D4A"/>
    <w:rsid w:val="0019107E"/>
    <w:rsid w:val="00191261"/>
    <w:rsid w:val="00195211"/>
    <w:rsid w:val="00195C63"/>
    <w:rsid w:val="001A123A"/>
    <w:rsid w:val="001A150C"/>
    <w:rsid w:val="001A1879"/>
    <w:rsid w:val="001A23A6"/>
    <w:rsid w:val="001A29C6"/>
    <w:rsid w:val="001A6185"/>
    <w:rsid w:val="001A6192"/>
    <w:rsid w:val="001A61A1"/>
    <w:rsid w:val="001B0693"/>
    <w:rsid w:val="001B0959"/>
    <w:rsid w:val="001B0A3C"/>
    <w:rsid w:val="001B1266"/>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1FC5"/>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4778C"/>
    <w:rsid w:val="00250011"/>
    <w:rsid w:val="00251338"/>
    <w:rsid w:val="00251ECF"/>
    <w:rsid w:val="00253F7E"/>
    <w:rsid w:val="00254F18"/>
    <w:rsid w:val="002565DD"/>
    <w:rsid w:val="002566BD"/>
    <w:rsid w:val="00257896"/>
    <w:rsid w:val="00261A54"/>
    <w:rsid w:val="002624D4"/>
    <w:rsid w:val="002626CC"/>
    <w:rsid w:val="00262EF2"/>
    <w:rsid w:val="002658EC"/>
    <w:rsid w:val="00267348"/>
    <w:rsid w:val="00270A25"/>
    <w:rsid w:val="00270B4B"/>
    <w:rsid w:val="002711B7"/>
    <w:rsid w:val="00271377"/>
    <w:rsid w:val="002736BC"/>
    <w:rsid w:val="00273E3C"/>
    <w:rsid w:val="0027541F"/>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893"/>
    <w:rsid w:val="00293C78"/>
    <w:rsid w:val="00293F2E"/>
    <w:rsid w:val="002940F1"/>
    <w:rsid w:val="0029673C"/>
    <w:rsid w:val="00296DBE"/>
    <w:rsid w:val="00296FD9"/>
    <w:rsid w:val="00297603"/>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C0152"/>
    <w:rsid w:val="002C016E"/>
    <w:rsid w:val="002C037D"/>
    <w:rsid w:val="002C08A1"/>
    <w:rsid w:val="002C1A2E"/>
    <w:rsid w:val="002C20EB"/>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3E6D"/>
    <w:rsid w:val="002F40D7"/>
    <w:rsid w:val="002F5AB6"/>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811"/>
    <w:rsid w:val="00334B9B"/>
    <w:rsid w:val="00335E0E"/>
    <w:rsid w:val="0033651B"/>
    <w:rsid w:val="003368AB"/>
    <w:rsid w:val="00336EF5"/>
    <w:rsid w:val="0033748B"/>
    <w:rsid w:val="0034157B"/>
    <w:rsid w:val="00342111"/>
    <w:rsid w:val="00342EA6"/>
    <w:rsid w:val="00343252"/>
    <w:rsid w:val="00346C28"/>
    <w:rsid w:val="003475E6"/>
    <w:rsid w:val="003510DE"/>
    <w:rsid w:val="0035130F"/>
    <w:rsid w:val="0035175F"/>
    <w:rsid w:val="00352039"/>
    <w:rsid w:val="00352382"/>
    <w:rsid w:val="00352767"/>
    <w:rsid w:val="00352AF2"/>
    <w:rsid w:val="00354D6F"/>
    <w:rsid w:val="00354D9C"/>
    <w:rsid w:val="003556C4"/>
    <w:rsid w:val="00355D02"/>
    <w:rsid w:val="003562E3"/>
    <w:rsid w:val="00357472"/>
    <w:rsid w:val="003601A9"/>
    <w:rsid w:val="00360716"/>
    <w:rsid w:val="00361152"/>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6813"/>
    <w:rsid w:val="003B7C89"/>
    <w:rsid w:val="003B7DC8"/>
    <w:rsid w:val="003B7DEF"/>
    <w:rsid w:val="003C085D"/>
    <w:rsid w:val="003C1C5A"/>
    <w:rsid w:val="003C30C4"/>
    <w:rsid w:val="003C34D2"/>
    <w:rsid w:val="003C37E1"/>
    <w:rsid w:val="003C3E31"/>
    <w:rsid w:val="003C430F"/>
    <w:rsid w:val="003C47B0"/>
    <w:rsid w:val="003C533D"/>
    <w:rsid w:val="003C58E2"/>
    <w:rsid w:val="003C666B"/>
    <w:rsid w:val="003C74FE"/>
    <w:rsid w:val="003C7780"/>
    <w:rsid w:val="003C7B0D"/>
    <w:rsid w:val="003D0572"/>
    <w:rsid w:val="003D2C85"/>
    <w:rsid w:val="003D3340"/>
    <w:rsid w:val="003D3654"/>
    <w:rsid w:val="003D414F"/>
    <w:rsid w:val="003D61EB"/>
    <w:rsid w:val="003D65D2"/>
    <w:rsid w:val="003D6DA0"/>
    <w:rsid w:val="003E1A90"/>
    <w:rsid w:val="003E3177"/>
    <w:rsid w:val="003E46DC"/>
    <w:rsid w:val="003E4723"/>
    <w:rsid w:val="003E4941"/>
    <w:rsid w:val="003E5397"/>
    <w:rsid w:val="003E55A4"/>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56B"/>
    <w:rsid w:val="00491A7B"/>
    <w:rsid w:val="00491E5D"/>
    <w:rsid w:val="004921D6"/>
    <w:rsid w:val="00493CCF"/>
    <w:rsid w:val="00494991"/>
    <w:rsid w:val="004A14DD"/>
    <w:rsid w:val="004A2285"/>
    <w:rsid w:val="004A477C"/>
    <w:rsid w:val="004A47FC"/>
    <w:rsid w:val="004A7D75"/>
    <w:rsid w:val="004B1727"/>
    <w:rsid w:val="004B3081"/>
    <w:rsid w:val="004B3293"/>
    <w:rsid w:val="004B3752"/>
    <w:rsid w:val="004B3DF5"/>
    <w:rsid w:val="004B48F7"/>
    <w:rsid w:val="004B537C"/>
    <w:rsid w:val="004B5684"/>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312F"/>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648"/>
    <w:rsid w:val="00502FAF"/>
    <w:rsid w:val="00503D20"/>
    <w:rsid w:val="005042D0"/>
    <w:rsid w:val="0050465B"/>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267E6"/>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192F"/>
    <w:rsid w:val="005C1FC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5C9"/>
    <w:rsid w:val="005E19A4"/>
    <w:rsid w:val="005E31B9"/>
    <w:rsid w:val="005E5F02"/>
    <w:rsid w:val="005F03CE"/>
    <w:rsid w:val="005F0D12"/>
    <w:rsid w:val="005F0FFB"/>
    <w:rsid w:val="005F1917"/>
    <w:rsid w:val="005F2B2F"/>
    <w:rsid w:val="005F4573"/>
    <w:rsid w:val="005F573D"/>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348"/>
    <w:rsid w:val="00647F5C"/>
    <w:rsid w:val="006507B4"/>
    <w:rsid w:val="00651221"/>
    <w:rsid w:val="00651FD9"/>
    <w:rsid w:val="00653474"/>
    <w:rsid w:val="00653D19"/>
    <w:rsid w:val="0065466A"/>
    <w:rsid w:val="00654B1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B24"/>
    <w:rsid w:val="00691C37"/>
    <w:rsid w:val="00692368"/>
    <w:rsid w:val="006931CC"/>
    <w:rsid w:val="006947E1"/>
    <w:rsid w:val="00694A54"/>
    <w:rsid w:val="00694B43"/>
    <w:rsid w:val="00695A6F"/>
    <w:rsid w:val="00696853"/>
    <w:rsid w:val="0069711B"/>
    <w:rsid w:val="006A01E0"/>
    <w:rsid w:val="006A1291"/>
    <w:rsid w:val="006A1E17"/>
    <w:rsid w:val="006A1EF2"/>
    <w:rsid w:val="006A239A"/>
    <w:rsid w:val="006A2EDF"/>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A2E"/>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0450"/>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4211"/>
    <w:rsid w:val="00715DC3"/>
    <w:rsid w:val="00715F59"/>
    <w:rsid w:val="00716A94"/>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378"/>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D7D37"/>
    <w:rsid w:val="007E2349"/>
    <w:rsid w:val="007E4A9C"/>
    <w:rsid w:val="007E55CB"/>
    <w:rsid w:val="007E6D61"/>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52DD"/>
    <w:rsid w:val="0080611D"/>
    <w:rsid w:val="00807025"/>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4304"/>
    <w:rsid w:val="00884827"/>
    <w:rsid w:val="00885AB7"/>
    <w:rsid w:val="00891FE6"/>
    <w:rsid w:val="00892B00"/>
    <w:rsid w:val="00892B5B"/>
    <w:rsid w:val="00893E00"/>
    <w:rsid w:val="00894979"/>
    <w:rsid w:val="0089544E"/>
    <w:rsid w:val="00895478"/>
    <w:rsid w:val="0089587B"/>
    <w:rsid w:val="00896206"/>
    <w:rsid w:val="008A08EA"/>
    <w:rsid w:val="008A13D8"/>
    <w:rsid w:val="008A38AD"/>
    <w:rsid w:val="008A4E97"/>
    <w:rsid w:val="008A59B2"/>
    <w:rsid w:val="008A5AB4"/>
    <w:rsid w:val="008A60F3"/>
    <w:rsid w:val="008A6286"/>
    <w:rsid w:val="008A683E"/>
    <w:rsid w:val="008A6F9A"/>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6F3A"/>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168"/>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50FC"/>
    <w:rsid w:val="009B6D40"/>
    <w:rsid w:val="009B77AC"/>
    <w:rsid w:val="009C2537"/>
    <w:rsid w:val="009C2E6A"/>
    <w:rsid w:val="009C356A"/>
    <w:rsid w:val="009C5008"/>
    <w:rsid w:val="009C6DAC"/>
    <w:rsid w:val="009D1A46"/>
    <w:rsid w:val="009D1AEA"/>
    <w:rsid w:val="009D35D4"/>
    <w:rsid w:val="009D487C"/>
    <w:rsid w:val="009D48B4"/>
    <w:rsid w:val="009D5041"/>
    <w:rsid w:val="009D5154"/>
    <w:rsid w:val="009D54AF"/>
    <w:rsid w:val="009D5CBF"/>
    <w:rsid w:val="009D5FB2"/>
    <w:rsid w:val="009D66CF"/>
    <w:rsid w:val="009D6CE1"/>
    <w:rsid w:val="009D6DDE"/>
    <w:rsid w:val="009E057E"/>
    <w:rsid w:val="009E08EE"/>
    <w:rsid w:val="009E11F1"/>
    <w:rsid w:val="009E3C9B"/>
    <w:rsid w:val="009E3D20"/>
    <w:rsid w:val="009E59E0"/>
    <w:rsid w:val="009E61A8"/>
    <w:rsid w:val="009E7F28"/>
    <w:rsid w:val="009F0932"/>
    <w:rsid w:val="009F13E9"/>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7C9"/>
    <w:rsid w:val="00A26F2E"/>
    <w:rsid w:val="00A27C14"/>
    <w:rsid w:val="00A30A5A"/>
    <w:rsid w:val="00A310FE"/>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99A"/>
    <w:rsid w:val="00A64EBD"/>
    <w:rsid w:val="00A65D58"/>
    <w:rsid w:val="00A7173D"/>
    <w:rsid w:val="00A74BCA"/>
    <w:rsid w:val="00A75F43"/>
    <w:rsid w:val="00A76FDF"/>
    <w:rsid w:val="00A77872"/>
    <w:rsid w:val="00A778BB"/>
    <w:rsid w:val="00A8087D"/>
    <w:rsid w:val="00A82B4F"/>
    <w:rsid w:val="00A82E78"/>
    <w:rsid w:val="00A8363E"/>
    <w:rsid w:val="00A85228"/>
    <w:rsid w:val="00A87D09"/>
    <w:rsid w:val="00A90499"/>
    <w:rsid w:val="00A91799"/>
    <w:rsid w:val="00A940C8"/>
    <w:rsid w:val="00A9441F"/>
    <w:rsid w:val="00A95D88"/>
    <w:rsid w:val="00A968BF"/>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09D1"/>
    <w:rsid w:val="00B01E6A"/>
    <w:rsid w:val="00B02A29"/>
    <w:rsid w:val="00B02DD4"/>
    <w:rsid w:val="00B0446E"/>
    <w:rsid w:val="00B067E6"/>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1850"/>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25C"/>
    <w:rsid w:val="00B70AC8"/>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B57"/>
    <w:rsid w:val="00B90487"/>
    <w:rsid w:val="00B91619"/>
    <w:rsid w:val="00B918A8"/>
    <w:rsid w:val="00B91EB3"/>
    <w:rsid w:val="00B92C82"/>
    <w:rsid w:val="00B94618"/>
    <w:rsid w:val="00B9531E"/>
    <w:rsid w:val="00B959A6"/>
    <w:rsid w:val="00B96198"/>
    <w:rsid w:val="00B96FA0"/>
    <w:rsid w:val="00B96FB8"/>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24BC"/>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05A"/>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58D"/>
    <w:rsid w:val="00C81CF0"/>
    <w:rsid w:val="00C82125"/>
    <w:rsid w:val="00C82EE4"/>
    <w:rsid w:val="00C82F98"/>
    <w:rsid w:val="00C83A82"/>
    <w:rsid w:val="00C85460"/>
    <w:rsid w:val="00C87747"/>
    <w:rsid w:val="00C877D5"/>
    <w:rsid w:val="00C9106C"/>
    <w:rsid w:val="00C93FEA"/>
    <w:rsid w:val="00C945C4"/>
    <w:rsid w:val="00C964C6"/>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3B73"/>
    <w:rsid w:val="00CD4818"/>
    <w:rsid w:val="00CD50FE"/>
    <w:rsid w:val="00CD5330"/>
    <w:rsid w:val="00CD615B"/>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0A4"/>
    <w:rsid w:val="00D0020C"/>
    <w:rsid w:val="00D00BA8"/>
    <w:rsid w:val="00D01E0F"/>
    <w:rsid w:val="00D02C8F"/>
    <w:rsid w:val="00D03561"/>
    <w:rsid w:val="00D035E6"/>
    <w:rsid w:val="00D037B7"/>
    <w:rsid w:val="00D04776"/>
    <w:rsid w:val="00D05776"/>
    <w:rsid w:val="00D05C06"/>
    <w:rsid w:val="00D063E4"/>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77DB7"/>
    <w:rsid w:val="00D81A2B"/>
    <w:rsid w:val="00D828AF"/>
    <w:rsid w:val="00D87EED"/>
    <w:rsid w:val="00D90939"/>
    <w:rsid w:val="00D91165"/>
    <w:rsid w:val="00D9131F"/>
    <w:rsid w:val="00D91644"/>
    <w:rsid w:val="00D924AA"/>
    <w:rsid w:val="00D9295F"/>
    <w:rsid w:val="00D946BB"/>
    <w:rsid w:val="00D96013"/>
    <w:rsid w:val="00D96D52"/>
    <w:rsid w:val="00D96E40"/>
    <w:rsid w:val="00DA0F54"/>
    <w:rsid w:val="00DA4B03"/>
    <w:rsid w:val="00DA5533"/>
    <w:rsid w:val="00DA5915"/>
    <w:rsid w:val="00DA5F4B"/>
    <w:rsid w:val="00DA63E6"/>
    <w:rsid w:val="00DA6C74"/>
    <w:rsid w:val="00DA765C"/>
    <w:rsid w:val="00DA79C7"/>
    <w:rsid w:val="00DB163B"/>
    <w:rsid w:val="00DB23A2"/>
    <w:rsid w:val="00DB3FDF"/>
    <w:rsid w:val="00DB5CEC"/>
    <w:rsid w:val="00DC051C"/>
    <w:rsid w:val="00DC05ED"/>
    <w:rsid w:val="00DC0A04"/>
    <w:rsid w:val="00DC0AFC"/>
    <w:rsid w:val="00DC17CC"/>
    <w:rsid w:val="00DC3399"/>
    <w:rsid w:val="00DC37FC"/>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680"/>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40"/>
    <w:rsid w:val="00E566FE"/>
    <w:rsid w:val="00E56794"/>
    <w:rsid w:val="00E570EB"/>
    <w:rsid w:val="00E57967"/>
    <w:rsid w:val="00E6005D"/>
    <w:rsid w:val="00E604FC"/>
    <w:rsid w:val="00E63AAF"/>
    <w:rsid w:val="00E640C8"/>
    <w:rsid w:val="00E650BB"/>
    <w:rsid w:val="00E664E2"/>
    <w:rsid w:val="00E66E17"/>
    <w:rsid w:val="00E67167"/>
    <w:rsid w:val="00E677A2"/>
    <w:rsid w:val="00E67A7C"/>
    <w:rsid w:val="00E7085B"/>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00E"/>
    <w:rsid w:val="00EC4132"/>
    <w:rsid w:val="00EC572B"/>
    <w:rsid w:val="00EC77A9"/>
    <w:rsid w:val="00ED672F"/>
    <w:rsid w:val="00EE0D7A"/>
    <w:rsid w:val="00EE1196"/>
    <w:rsid w:val="00EE125C"/>
    <w:rsid w:val="00EE18BF"/>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4B54"/>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46A9"/>
    <w:rsid w:val="00F66C2F"/>
    <w:rsid w:val="00F66EDE"/>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449F"/>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2D4B"/>
    <w:rsid w:val="00FD38DE"/>
    <w:rsid w:val="00FD3C3A"/>
    <w:rsid w:val="00FD3F06"/>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85AB4-E949-4E5C-BD1D-FD189154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21</Pages>
  <Words>11625</Words>
  <Characters>67310</Characters>
  <Application>Microsoft Office Word</Application>
  <DocSecurity>0</DocSecurity>
  <Lines>1565</Lines>
  <Paragraphs>631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78304</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2000</cp:revision>
  <cp:lastPrinted>2019-10-10T18:13:00Z</cp:lastPrinted>
  <dcterms:created xsi:type="dcterms:W3CDTF">2019-08-22T15:09:00Z</dcterms:created>
  <dcterms:modified xsi:type="dcterms:W3CDTF">2019-10-23T16:32:00Z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