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F73528">
        <w:rPr>
          <w:highlight w:val="yellow"/>
        </w:rPr>
        <w:t>Ricklefs</w:t>
      </w:r>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066121">
        <w:rPr>
          <w:highlight w:val="yellow"/>
        </w:rPr>
        <w:t>Ackerly,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Verboom</w:t>
      </w:r>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r w:rsidR="0097673D" w:rsidRPr="00B64138">
        <w:rPr>
          <w:highlight w:val="yellow"/>
        </w:rPr>
        <w:t>Milewski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5E72BB1"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E103F8">
        <w:rPr>
          <w:highlight w:val="yellow"/>
        </w:rPr>
        <w:t>Snijman</w:t>
      </w:r>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may change these statistics (e.g. Gioia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347F6BD5"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87028D">
        <w:rPr>
          <w:highlight w:val="red"/>
        </w:rPr>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82739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82739D"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87028D">
        <w:rPr>
          <w:highlight w:val="red"/>
        </w:rPr>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commentRangeStart w:id="9"/>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commentRangeEnd w:id="9"/>
      <w:r w:rsidR="00012F66">
        <w:rPr>
          <w:rStyle w:val="CommentReference"/>
          <w:rFonts w:ascii="Times New Roman" w:hAnsiTheme="minorHAnsi"/>
        </w:rPr>
        <w:commentReference w:id="9"/>
      </w:r>
    </w:p>
    <w:p w14:paraId="3BE0333B" w14:textId="1543D1C1" w:rsidR="002C32D6" w:rsidRPr="003F5B2B" w:rsidRDefault="002C32D6" w:rsidP="002C32D6">
      <w:pPr>
        <w:pStyle w:val="BodyText"/>
        <w:rPr>
          <w:i/>
        </w:rPr>
      </w:pPr>
      <w:commentRangeStart w:id="10"/>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commentRangeEnd w:id="10"/>
      <w:r w:rsidR="00690196">
        <w:rPr>
          <w:rStyle w:val="CommentReference"/>
          <w:rFonts w:ascii="Times New Roman" w:hAnsiTheme="minorHAnsi"/>
        </w:rPr>
        <w:commentReference w:id="10"/>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6B734C2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983D13" w:rsidRPr="00AF63C1">
        <w:rPr>
          <w:rFonts w:eastAsiaTheme="minorEastAsia"/>
          <w:highlight w:val="red"/>
        </w:rPr>
        <w:t>2</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1A7D58" w:rsidRPr="00496FAE">
        <w:rPr>
          <w:rFonts w:eastAsiaTheme="minorEastAsia" w:cstheme="majorBidi"/>
          <w:highlight w:val="red"/>
        </w:rPr>
        <w:t>2</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496FAE" w:rsidRPr="00496FAE">
        <w:rPr>
          <w:highlight w:val="red"/>
        </w:rPr>
        <w:t>4</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CF3318C"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87028D">
        <w:rPr>
          <w:highlight w:val="red"/>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DF3A9D" w:rsidRPr="00DF3A9D">
        <w:rPr>
          <w:highlight w:val="red"/>
        </w:rPr>
        <w:t>4</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7144CE" w:rsidRPr="007144CE">
        <w:rPr>
          <w:highlight w:val="red"/>
        </w:rPr>
        <w:t>4</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8A29AD1"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 xml:space="preserve">. </w:t>
      </w:r>
      <w:r w:rsidR="002531F6">
        <w:t>[</w:t>
      </w:r>
      <w:r w:rsidR="00F4584C" w:rsidRPr="00F4584C">
        <w:rPr>
          <w:highlight w:val="yellow"/>
        </w:rPr>
        <w:t>Mention/describe:</w:t>
      </w:r>
      <w:r w:rsidR="00F4584C">
        <w:t xml:space="preserve"> </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w:t>
      </w:r>
      <w:r w:rsidR="00272EF5" w:rsidRPr="00BF37B7">
        <w:rPr>
          <w:highlight w:val="red"/>
        </w:rPr>
        <w:t>4</w:t>
      </w:r>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1"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w:t>
      </w:r>
      <w:r w:rsidR="00925DAC">
        <w:lastRenderedPageBreak/>
        <w:t>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(Allouche et al. 2012; Carnicer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(Wuest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2"/>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2"/>
      <w:r w:rsidR="00A57067">
        <w:rPr>
          <w:rStyle w:val="CommentReference"/>
          <w:rFonts w:ascii="Times New Roman" w:hAnsiTheme="minorHAnsi"/>
        </w:rPr>
        <w:commentReference w:id="12"/>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r w:rsidR="008D30F0">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lastRenderedPageBreak/>
        <w:t>be true for the SWAFR flora where phylogenetically-relictual species typically inhabit waterlogged situations (Hopper and Gioia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Currie 1991; Hawkins et al. 2003; Kreft and Jetz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these methods severely distort known species richness (Cramer and Verboom</w:t>
      </w:r>
      <w:r w:rsidR="00D6081B">
        <w:t>,</w:t>
      </w:r>
      <w:r w:rsidR="002D35E5">
        <w:t xml:space="preserve"> </w:t>
      </w:r>
      <w:commentRangeStart w:id="13"/>
      <w:r w:rsidR="002D35E5">
        <w:t>2017</w:t>
      </w:r>
      <w:commentRangeEnd w:id="13"/>
      <w:r w:rsidR="00AD171B">
        <w:rPr>
          <w:rStyle w:val="CommentReference"/>
          <w:rFonts w:ascii="Times New Roman" w:hAnsiTheme="minorHAnsi"/>
        </w:rPr>
        <w:commentReference w:id="13"/>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Verboom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3C5ACF">
        <w:rPr>
          <w:rFonts w:ascii="Times New Roman" w:hAnsi="Times New Roman" w:cs="Times New Roman"/>
          <w:lang w:val="en-GB"/>
        </w:rPr>
        <w:t>Rebelo,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(Merow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Gioia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Pr>
          <w:i/>
        </w:rPr>
        <w:t>sensu</w:t>
      </w:r>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r w:rsidR="00D279AB">
        <w:t xml:space="preserve">Wuest et al. 2019; Linder 2019). Similarly, </w:t>
      </w:r>
      <w:r w:rsidR="008E7CC7">
        <w:t xml:space="preserve">pollen and midden-based isotope data provide evidence of relatively muted Pleistocene climate </w:t>
      </w:r>
      <w:r w:rsidR="008E7CC7">
        <w:lastRenderedPageBreak/>
        <w:t>change</w:t>
      </w:r>
      <w:r w:rsidR="002B7852">
        <w:t xml:space="preserve"> in </w:t>
      </w:r>
      <w:r w:rsidR="008E7CC7">
        <w:t xml:space="preserve">the </w:t>
      </w:r>
      <w:r w:rsidR="00803F65">
        <w:t>Cederberg</w:t>
      </w:r>
      <w:r w:rsidR="008E7CC7">
        <w:t xml:space="preserve"> (Meadows and Sugden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bookmarkStart w:id="14" w:name="_GoBack"/>
      <w:bookmarkEnd w:id="14"/>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Verboom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(Slingsby et al. </w:t>
      </w:r>
      <w:commentRangeStart w:id="15"/>
      <w:r w:rsidR="00C250BB">
        <w:t>2018</w:t>
      </w:r>
      <w:commentRangeEnd w:id="15"/>
      <w:r w:rsidR="00D72F4D">
        <w:rPr>
          <w:rStyle w:val="CommentReference"/>
          <w:rFonts w:ascii="Times New Roman" w:hAnsiTheme="minorHAnsi"/>
        </w:rPr>
        <w:commentReference w:id="15"/>
      </w:r>
      <w:r w:rsidR="00C250BB">
        <w:t>)</w:t>
      </w:r>
      <w:r w:rsidR="003E5F41">
        <w:t>.</w:t>
      </w:r>
      <w:r w:rsidR="00461C06">
        <w:t xml:space="preserve"> The long-term integrity of groundwater-dependent terrestrial vegetation is similarly threatened by </w:t>
      </w:r>
      <w:r w:rsidR="00D51B17">
        <w:t>groundwater abstraction in the Perth area of the SWAFR (Froend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 xml:space="preserve">anomalous (Kreft and Jetz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1"/>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6"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69122B" w:rsidRPr="003055F8">
        <w:rPr>
          <w:highlight w:val="red"/>
        </w:rPr>
        <w:t>2</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6"/>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rsidRPr="0087028D">
        <w:rPr>
          <w:highlight w:val="red"/>
        </w:rPr>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3939AA" w:rsidRPr="0087028D">
        <w:rPr>
          <w:highlight w:val="red"/>
        </w:rPr>
        <w:t>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126FD8" w:rsidRPr="0087028D">
        <w:rPr>
          <w:highlight w:val="red"/>
        </w:rPr>
        <w:t>2</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rsidRPr="003055F8">
        <w:rPr>
          <w:highlight w:val="red"/>
        </w:rPr>
        <w:t>2</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17"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7"/>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r w:rsidR="004D4AE1" w:rsidRPr="004D4AE1">
        <w:t>Biosketch</w:t>
      </w:r>
      <w:r w:rsidR="004D4AE1">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E26DDB" w:rsidRDefault="00E26DDB">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54BEFA89" w:rsidR="00E26DDB" w:rsidRDefault="00E26DDB">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kwongan/fynbos. We also have a </w:t>
      </w:r>
      <w:r>
        <w:t>“</w:t>
      </w:r>
      <w:r>
        <w:t>significant tree</w:t>
      </w:r>
      <w:r>
        <w:t>”</w:t>
      </w:r>
      <w:r>
        <w:t xml:space="preserve"> component but localized in geographic extent to riverine </w:t>
      </w:r>
      <w:r w:rsidR="00526A7C">
        <w:t>etc.</w:t>
      </w:r>
      <w:r>
        <w:t xml:space="preserve"> bands.</w:t>
      </w:r>
    </w:p>
  </w:comment>
  <w:comment w:id="5" w:author="Ruan Van Mazijk" w:date="2019-10-07T15:43:00Z" w:initials="RVM">
    <w:p w14:paraId="50E697F5" w14:textId="121413FD" w:rsidR="00E26DDB" w:rsidRDefault="00E26DDB">
      <w:pPr>
        <w:pStyle w:val="CommentText"/>
      </w:pPr>
      <w:r>
        <w:rPr>
          <w:rStyle w:val="CommentReference"/>
        </w:rPr>
        <w:annotationRef/>
      </w:r>
      <w:r>
        <w:t>This is a good point</w:t>
      </w:r>
      <w:r>
        <w:t>…</w:t>
      </w:r>
      <w:r>
        <w:t xml:space="preserve"> Shall we chat more about this at some point?</w:t>
      </w:r>
    </w:p>
  </w:comment>
  <w:comment w:id="9" w:author="Ruan Van Mazijk [2]" w:date="2020-01-09T11:20:00Z" w:initials="RVM">
    <w:p w14:paraId="1C3BFE89" w14:textId="2A7D1B9E" w:rsidR="00012F66" w:rsidRDefault="00012F66">
      <w:pPr>
        <w:pStyle w:val="CommentText"/>
      </w:pPr>
      <w:r>
        <w:rPr>
          <w:rStyle w:val="CommentReference"/>
        </w:rPr>
        <w:annotationRef/>
      </w:r>
      <w:r>
        <w:t>Reorder?</w:t>
      </w:r>
    </w:p>
  </w:comment>
  <w:comment w:id="10" w:author="Ruan Van Mazijk [2]" w:date="2020-01-09T11:21:00Z" w:initials="RVM">
    <w:p w14:paraId="69ADA1D6" w14:textId="43069E3B" w:rsidR="00690196" w:rsidRDefault="00690196">
      <w:pPr>
        <w:pStyle w:val="CommentText"/>
      </w:pPr>
      <w:r>
        <w:rPr>
          <w:rStyle w:val="CommentReference"/>
        </w:rPr>
        <w:annotationRef/>
      </w:r>
      <w:r>
        <w:t>Reorder?</w:t>
      </w:r>
    </w:p>
  </w:comment>
  <w:comment w:id="12" w:author="Michael Cramer" w:date="2019-12-03T08:28:00Z" w:initials="MC">
    <w:p w14:paraId="7BAA7050" w14:textId="1B13D596" w:rsidR="00E26DDB" w:rsidRDefault="00E26DDB">
      <w:pPr>
        <w:pStyle w:val="CommentText"/>
      </w:pPr>
      <w:r>
        <w:rPr>
          <w:rStyle w:val="CommentReference"/>
        </w:rPr>
        <w:annotationRef/>
      </w:r>
      <w:r>
        <w:t>I am not at all convinced by this argument. Isn</w:t>
      </w:r>
      <w:r>
        <w:t>’</w:t>
      </w:r>
      <w:r>
        <w:t>t this just a necessary consequence of data aggregation?</w:t>
      </w:r>
    </w:p>
  </w:comment>
  <w:comment w:id="13" w:author="Michael Cramer" w:date="2019-12-03T08:42:00Z" w:initials="MC">
    <w:p w14:paraId="6DD55F01" w14:textId="4C4083CF" w:rsidR="00E26DDB" w:rsidRDefault="00E26DDB">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5" w:author="Michael Cramer" w:date="2019-12-03T10:43:00Z" w:initials="MC">
    <w:p w14:paraId="5F3E149F" w14:textId="64DD29B8" w:rsidR="00E26DDB" w:rsidRDefault="00E26DDB">
      <w:pPr>
        <w:pStyle w:val="CommentText"/>
      </w:pPr>
      <w:r>
        <w:rPr>
          <w:rStyle w:val="CommentReference"/>
        </w:rPr>
        <w:annotationRef/>
      </w:r>
      <w:r>
        <w:t>Don</w:t>
      </w:r>
      <w:r>
        <w:t>’</w:t>
      </w:r>
      <w:r>
        <w:t xml:space="preserve">t you think that Perth requires a mention </w:t>
      </w:r>
      <w:r w:rsidR="00526A7C">
        <w:t>too?</w:t>
      </w:r>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1C3BFE89" w15:done="0"/>
  <w15:commentEx w15:paraId="69ADA1D6"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1C3BFE89" w16cid:durableId="21C18B0E"/>
  <w16cid:commentId w16cid:paraId="69ADA1D6" w16cid:durableId="21C18B26"/>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C974F" w14:textId="77777777" w:rsidR="0082739D" w:rsidRDefault="0082739D">
      <w:pPr>
        <w:spacing w:after="0"/>
      </w:pPr>
      <w:r>
        <w:separator/>
      </w:r>
    </w:p>
  </w:endnote>
  <w:endnote w:type="continuationSeparator" w:id="0">
    <w:p w14:paraId="79F7B118" w14:textId="77777777" w:rsidR="0082739D" w:rsidRDefault="0082739D">
      <w:pPr>
        <w:spacing w:after="0"/>
      </w:pPr>
      <w:r>
        <w:continuationSeparator/>
      </w:r>
    </w:p>
  </w:endnote>
  <w:endnote w:type="continuationNotice" w:id="1">
    <w:p w14:paraId="14A3FADE" w14:textId="77777777" w:rsidR="0082739D" w:rsidRDefault="0082739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26DDB" w:rsidRDefault="00E26DDB">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26DDB" w:rsidRDefault="00E26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EEC05" w14:textId="77777777" w:rsidR="0082739D" w:rsidRDefault="0082739D">
      <w:r>
        <w:separator/>
      </w:r>
    </w:p>
  </w:footnote>
  <w:footnote w:type="continuationSeparator" w:id="0">
    <w:p w14:paraId="19D6A482" w14:textId="77777777" w:rsidR="0082739D" w:rsidRDefault="0082739D">
      <w:r>
        <w:continuationSeparator/>
      </w:r>
    </w:p>
  </w:footnote>
  <w:footnote w:type="continuationNotice" w:id="1">
    <w:p w14:paraId="5A107C02" w14:textId="77777777" w:rsidR="0082739D" w:rsidRDefault="0082739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E0A"/>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1496"/>
    <w:rsid w:val="00582CFA"/>
    <w:rsid w:val="00583EAA"/>
    <w:rsid w:val="005845A2"/>
    <w:rsid w:val="00585277"/>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2739D"/>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E43"/>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716D1"/>
    <w:rsid w:val="00A7173D"/>
    <w:rsid w:val="00A71D7E"/>
    <w:rsid w:val="00A72024"/>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3C1"/>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12C"/>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4D30"/>
    <w:rsid w:val="00ED672F"/>
    <w:rsid w:val="00ED7F50"/>
    <w:rsid w:val="00EE0D7A"/>
    <w:rsid w:val="00EE1196"/>
    <w:rsid w:val="00EE125C"/>
    <w:rsid w:val="00EE18BF"/>
    <w:rsid w:val="00EE2E2F"/>
    <w:rsid w:val="00EE33AA"/>
    <w:rsid w:val="00EE4268"/>
    <w:rsid w:val="00EE45CF"/>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13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9ADE5-7988-1442-84E3-E5E34B148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21</Pages>
  <Words>11870</Words>
  <Characters>67662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79374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355</cp:revision>
  <cp:lastPrinted>2020-01-06T10:27:00Z</cp:lastPrinted>
  <dcterms:created xsi:type="dcterms:W3CDTF">2019-12-03T09:32:00Z</dcterms:created>
  <dcterms:modified xsi:type="dcterms:W3CDTF">2020-01-09T10:28:00Z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