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commentRangeStart w:id="1"/>
      <w:r w:rsidR="00F4622D" w:rsidRPr="00F4622D">
        <w:rPr>
          <w:color w:val="auto"/>
        </w:rPr>
        <w:t>associated</w:t>
      </w:r>
      <w:r w:rsidR="007630F5" w:rsidRPr="00F4622D">
        <w:rPr>
          <w:color w:val="auto"/>
        </w:rPr>
        <w:t xml:space="preserve"> </w:t>
      </w:r>
      <w:commentRangeEnd w:id="1"/>
      <w:r w:rsidR="00FF78F9">
        <w:rPr>
          <w:rStyle w:val="CommentReference"/>
          <w:rFonts w:ascii="Times New Roman" w:eastAsiaTheme="minorHAnsi" w:hAnsiTheme="minorHAnsi" w:cstheme="minorBidi"/>
          <w:b w:val="0"/>
          <w:bCs w:val="0"/>
          <w:color w:val="auto"/>
        </w:rPr>
        <w:commentReference w:id="1"/>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proofErr w:type="spellStart"/>
      <w:r w:rsidRPr="002C20EB">
        <w:rPr>
          <w:sz w:val="28"/>
        </w:rPr>
        <w:t>Ruan</w:t>
      </w:r>
      <w:proofErr w:type="spellEnd"/>
      <w:r w:rsidRPr="002C20EB">
        <w:rPr>
          <w:sz w:val="28"/>
        </w:rPr>
        <w:t xml:space="preserve"> van </w:t>
      </w:r>
      <w:proofErr w:type="spellStart"/>
      <w:r w:rsidRPr="002C20EB">
        <w:rPr>
          <w:sz w:val="28"/>
        </w:rPr>
        <w:t>Mazijk</w:t>
      </w:r>
      <w:proofErr w:type="spellEnd"/>
      <w:r w:rsidRPr="002C20EB">
        <w:rPr>
          <w:sz w:val="28"/>
        </w:rPr>
        <w:t xml:space="preserve">,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 xml:space="preserve">Corresponding author: </w:t>
      </w:r>
      <w:proofErr w:type="spellStart"/>
      <w:r>
        <w:t>R</w:t>
      </w:r>
      <w:r w:rsidR="002A0204">
        <w:t>v</w:t>
      </w:r>
      <w:r>
        <w:t>M</w:t>
      </w:r>
      <w:proofErr w:type="spellEnd"/>
      <w:r w:rsidR="006E039C">
        <w:t xml:space="preserve">, </w:t>
      </w:r>
      <w:hyperlink r:id="rId11"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2" w:name="acknowledgements"/>
      <w:bookmarkStart w:id="3" w:name="abstract"/>
      <w:r>
        <w:t>Acknowledgements</w:t>
      </w:r>
      <w:bookmarkEnd w:id="2"/>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3"/>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944128"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 xml:space="preserve">across the GCFR and </w:t>
      </w:r>
      <w:proofErr w:type="gramStart"/>
      <w:r w:rsidR="00E83B6C" w:rsidRPr="00E71232">
        <w:t>SWAFR</w:t>
      </w:r>
      <w:r w:rsidR="00F67297">
        <w:t xml:space="preserve">,  </w:t>
      </w:r>
      <w:r w:rsidR="00977607" w:rsidRPr="00E71232">
        <w:t>depen</w:t>
      </w:r>
      <w:r w:rsidR="00372023" w:rsidRPr="00E71232">
        <w:t>den</w:t>
      </w:r>
      <w:r w:rsidR="00977607" w:rsidRPr="00E71232">
        <w:t>t</w:t>
      </w:r>
      <w:proofErr w:type="gramEnd"/>
      <w:r w:rsidR="00977607" w:rsidRPr="00E71232">
        <w:t xml:space="preserve"> o</w:t>
      </w:r>
      <w:r w:rsidR="00F67297">
        <w:t>n</w:t>
      </w:r>
      <w:r w:rsidR="00977607" w:rsidRPr="00E71232">
        <w:t xml:space="preserve">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19DC569B"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4"/>
      <w:r w:rsidR="007351F8">
        <w:fldChar w:fldCharType="begin" w:fldLock="1"/>
      </w:r>
      <w:r w:rsidR="00404D92">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(Cramer &amp; Verboom, 2016; Kreft &amp; Jetz, 2007; Laliberte et al., 2014; Levin et al., 2010; Mouchet et al., 2015; Thuiller et al., 2006; van Rensburg et al., 2002)</w:t>
      </w:r>
      <w:r w:rsidR="007351F8">
        <w:fldChar w:fldCharType="end"/>
      </w:r>
      <w:commentRangeEnd w:id="4"/>
      <w:r w:rsidR="00BC6386">
        <w:rPr>
          <w:rStyle w:val="CommentReference"/>
          <w:rFonts w:ascii="Times New Roman" w:hAnsiTheme="minorHAnsi"/>
        </w:rPr>
        <w:commentReference w:id="4"/>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proofErr w:type="spellStart"/>
      <w:r>
        <w:t>Palaeocene</w:t>
      </w:r>
      <w:proofErr w:type="spellEnd"/>
      <w:r>
        <w:t xml:space="preserv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lastRenderedPageBreak/>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5FD96E"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 xml:space="preserve">Differences in the spatial scale or “grain” of environmental heterogeneity may also explain the differences in richness between these two floras, with SWAFR environments’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5" w:name="comparing-regions-environmental-heteroge"/>
      <w:r>
        <w:t>2.1</w:t>
      </w:r>
      <w:r w:rsidR="00F31AF3">
        <w:t>:</w:t>
      </w:r>
      <w:r>
        <w:t xml:space="preserve"> </w:t>
      </w:r>
      <w:r w:rsidR="00D04776">
        <w:t>Comparing species richness</w:t>
      </w:r>
    </w:p>
    <w:p w14:paraId="52348C6B" w14:textId="13410DF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 xml:space="preserve">used raw species counts to estimate </w:t>
      </w:r>
      <w:r w:rsidR="004B5BA7">
        <w:lastRenderedPageBreak/>
        <w:t>QDS-scale species richness on the basis that the application of rarefaction techniques severely distorts known richness patterns</w:t>
      </w:r>
      <w:r w:rsidR="003563D1">
        <w:t xml:space="preserve"> </w:t>
      </w:r>
      <w:commentRangeStart w:id="6"/>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6"/>
      <w:r w:rsidR="00EF4036">
        <w:rPr>
          <w:rStyle w:val="CommentReference"/>
          <w:rFonts w:ascii="Times New Roman" w:hAnsiTheme="minorHAnsi"/>
        </w:rPr>
        <w:commentReference w:id="6"/>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This excluded coastal/</w:t>
      </w:r>
      <w:proofErr w:type="spellStart"/>
      <w:r w:rsidR="00D52E5F">
        <w:rPr>
          <w:rFonts w:cstheme="majorBidi"/>
        </w:rPr>
        <w:t>dunal</w:t>
      </w:r>
      <w:proofErr w:type="spellEnd"/>
      <w:r w:rsidR="00D52E5F">
        <w:rPr>
          <w:rFonts w:cstheme="majorBidi"/>
        </w:rPr>
        <w:t xml:space="preserve"> vegetation from our analyses</w:t>
      </w:r>
      <w:r w:rsidR="008D72BF">
        <w:rPr>
          <w:rFonts w:cstheme="majorBidi"/>
        </w:rPr>
        <w:t xml:space="preserve">, due to the floristic and environmental dissimilarity of these areas from the </w:t>
      </w:r>
      <w:r w:rsidR="00F81A7C">
        <w:rPr>
          <w:rFonts w:cstheme="majorBidi"/>
        </w:rPr>
        <w:t>“</w:t>
      </w:r>
      <w:r w:rsidR="008D72BF">
        <w:rPr>
          <w:rFonts w:cstheme="majorBidi"/>
        </w:rPr>
        <w:t>core</w:t>
      </w:r>
      <w:r w:rsidR="00F81A7C">
        <w:rPr>
          <w:rFonts w:cstheme="majorBidi"/>
        </w:rPr>
        <w:t>”</w:t>
      </w:r>
      <w:r w:rsidR="008D72BF">
        <w:rPr>
          <w:rFonts w:cstheme="majorBidi"/>
        </w:rPr>
        <w:t xml:space="preserve"> </w:t>
      </w:r>
      <w:proofErr w:type="spellStart"/>
      <w:r w:rsidR="008D72BF">
        <w:rPr>
          <w:rFonts w:cstheme="majorBidi"/>
        </w:rPr>
        <w:t>sclerophyllous</w:t>
      </w:r>
      <w:proofErr w:type="spellEnd"/>
      <w:r w:rsidR="008D72BF">
        <w:rPr>
          <w:rFonts w:cstheme="majorBidi"/>
        </w:rPr>
        <w:t xml:space="preserve"> flora under </w:t>
      </w:r>
      <w:r w:rsidR="00F81A7C">
        <w:rPr>
          <w:rFonts w:cstheme="majorBidi"/>
        </w:rPr>
        <w:t xml:space="preserve">our </w:t>
      </w:r>
      <w:r w:rsidR="008D72BF">
        <w:rPr>
          <w:rFonts w:cstheme="majorBidi"/>
        </w:rPr>
        <w:t>consideration</w:t>
      </w:r>
      <w:r w:rsidR="00841086">
        <w:rPr>
          <w:rFonts w:cstheme="majorBidi"/>
        </w:rPr>
        <w:t>.</w:t>
      </w:r>
      <w:r w:rsidR="00007FFD" w:rsidRPr="00007FFD">
        <w:t xml:space="preserve"> </w:t>
      </w:r>
      <w:r w:rsidR="00007FFD">
        <w:t>To compare species richness across equally sized areas, we only made comparisons between squares consisting of all four sub-squares (e.g. four QDS in an HDS).</w:t>
      </w:r>
      <w:r w:rsidR="0070389E">
        <w:t xml:space="preserve"> Thus, we retained </w:t>
      </w:r>
      <w:r w:rsidR="0070389E" w:rsidRPr="0070389E">
        <w:t>362</w:t>
      </w:r>
      <w:r w:rsidR="0070389E">
        <w:t xml:space="preserve"> of ca. </w:t>
      </w:r>
      <w:r w:rsidR="0070389E" w:rsidRPr="0070389E">
        <w:t>449</w:t>
      </w:r>
      <w:r w:rsidR="0070389E">
        <w:t xml:space="preserve"> QDS in the GCFR and </w:t>
      </w:r>
      <w:r w:rsidR="0070389E" w:rsidRPr="0070389E">
        <w:t>624</w:t>
      </w:r>
      <w:r w:rsidR="0070389E">
        <w:t xml:space="preserve"> of ca. </w:t>
      </w:r>
      <w:r w:rsidR="0070389E" w:rsidRPr="0070389E">
        <w:t>737</w:t>
      </w:r>
      <w:r w:rsidR="0070389E">
        <w:t xml:space="preserve"> in the SWAFR (ca. 81% and 85% sampling, respectively).</w:t>
      </w:r>
    </w:p>
    <w:p w14:paraId="26664BCB" w14:textId="547BD870"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proofErr w:type="spellStart"/>
      <w:r w:rsidR="00E0178F">
        <w:t>sensu</w:t>
      </w:r>
      <w:proofErr w:type="spellEnd"/>
      <w:r w:rsidR="00E0178F">
        <w:t xml:space="preserve">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54269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54269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5"/>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 xml:space="preserve">-type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 xml:space="preserve">oil variables were </w:t>
      </w:r>
      <w:proofErr w:type="spellStart"/>
      <w:r w:rsidR="007612C7">
        <w:t>summari</w:t>
      </w:r>
      <w:r w:rsidR="00EB34AB">
        <w:t>s</w:t>
      </w:r>
      <w:r w:rsidR="007612C7">
        <w:t>ed</w:t>
      </w:r>
      <w:proofErr w:type="spellEnd"/>
      <w:r w:rsidR="007612C7">
        <w:t xml:space="preserve"> as</w:t>
      </w:r>
      <w:r w:rsidR="005F0FFB">
        <w:t xml:space="preserve"> depth-interval weighted average</w:t>
      </w:r>
      <w:r w:rsidR="007612C7">
        <w:t>s, climatic a</w:t>
      </w:r>
      <w:r w:rsidR="005F0FFB">
        <w:t xml:space="preserve">nd spectral </w:t>
      </w:r>
      <w:r w:rsidR="007612C7">
        <w:t>variables</w:t>
      </w:r>
      <w:r w:rsidR="005F0FFB">
        <w:t xml:space="preserve"> </w:t>
      </w:r>
      <w:r w:rsidR="003F1CDD">
        <w:t xml:space="preserve">were </w:t>
      </w:r>
      <w:proofErr w:type="spellStart"/>
      <w:r w:rsidR="003F1CDD">
        <w:t>summari</w:t>
      </w:r>
      <w:r w:rsidR="00EB34AB">
        <w:t>s</w:t>
      </w:r>
      <w:r w:rsidR="003F1CDD">
        <w:t>ed</w:t>
      </w:r>
      <w:proofErr w:type="spellEnd"/>
      <w:r w:rsidR="003F1CDD">
        <w:t xml:space="preserve">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 xml:space="preserve">projected to </w:t>
      </w:r>
      <w:r w:rsidR="005F0FFB">
        <w:lastRenderedPageBreak/>
        <w:t>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63E7EAF"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packages (</w:t>
      </w:r>
      <w:r w:rsidR="0014092A" w:rsidRPr="0014092A">
        <w:rPr>
          <w:highlight w:val="yellow"/>
        </w:rPr>
        <w:t>ref</w:t>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proofErr w:type="spellStart"/>
      <w:r w:rsidR="0014092A">
        <w:t>sensu</w:t>
      </w:r>
      <w:proofErr w:type="spellEnd"/>
      <w:r w:rsidR="0014092A">
        <w:t xml:space="preserve">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7"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7"/>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8" w:name="environmental-heterogeneity-as-an-explan"/>
      <w:r>
        <w:t>2.3</w:t>
      </w:r>
      <w:r w:rsidR="0009179A">
        <w:t>:</w:t>
      </w:r>
      <w:r>
        <w:t xml:space="preserve"> </w:t>
      </w:r>
      <w:r w:rsidR="005F0FFB">
        <w:t>Environmental heterogeneity as an explanation of species richness</w:t>
      </w:r>
      <w:bookmarkEnd w:id="8"/>
    </w:p>
    <w:p w14:paraId="23BA1837" w14:textId="78F83483"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r w:rsidR="004A4FEC">
        <w:t xml:space="preserve"> </w:t>
      </w:r>
      <w:r w:rsidR="004A4FEC" w:rsidRPr="004A4FEC">
        <w:t xml:space="preserve">We did not incorporate spatial autocorrelation into our models of species richness because the aim of our analyses was to expose the associations between different forms of spatial environmental heterogeneity and species richness, rather than to predict species richness in absolute or to partition sources of its variation. The fact that we </w:t>
      </w:r>
      <w:proofErr w:type="spellStart"/>
      <w:r w:rsidR="004A4FEC" w:rsidRPr="004A4FEC">
        <w:t>focussed</w:t>
      </w:r>
      <w:proofErr w:type="spellEnd"/>
      <w:r w:rsidR="004A4FEC" w:rsidRPr="004A4FEC">
        <w:t xml:space="preserve"> on heterogeneity between </w:t>
      </w:r>
      <w:proofErr w:type="spellStart"/>
      <w:r w:rsidR="004A4FEC" w:rsidRPr="004A4FEC">
        <w:t>neighbouring</w:t>
      </w:r>
      <w:proofErr w:type="spellEnd"/>
      <w:r w:rsidR="004A4FEC" w:rsidRPr="004A4FEC">
        <w:t xml:space="preserve"> pixels is at odds with spatial autocorrelation which occurs when </w:t>
      </w:r>
      <w:proofErr w:type="spellStart"/>
      <w:r w:rsidR="004A4FEC" w:rsidRPr="004A4FEC">
        <w:t>neighbouring</w:t>
      </w:r>
      <w:proofErr w:type="spellEnd"/>
      <w:r w:rsidR="004A4FEC" w:rsidRPr="004A4FEC">
        <w:t xml:space="preserve"> pixels are more related to each other than more distant pixels due to their proximity.</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lastRenderedPageBreak/>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B9CF0AF"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14:paraId="5B8B0085" w14:textId="716A78D0" w:rsidR="00D04776" w:rsidRDefault="00DD7307" w:rsidP="008A4E97">
      <w:pPr>
        <w:pStyle w:val="Heading1"/>
        <w:spacing w:line="240" w:lineRule="auto"/>
      </w:pPr>
      <w:bookmarkStart w:id="9" w:name="results"/>
      <w:r>
        <w:t>3</w:t>
      </w:r>
      <w:r w:rsidR="00E4661A">
        <w:t>:</w:t>
      </w:r>
      <w:r>
        <w:t xml:space="preserve"> </w:t>
      </w:r>
      <w:r w:rsidR="00D04776">
        <w:t>Results</w:t>
      </w:r>
      <w:bookmarkEnd w:id="9"/>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1D46D6"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w:t>
      </w:r>
      <w:proofErr w:type="spellStart"/>
      <w:r w:rsidRPr="006B3905">
        <w:t>Kogelberg</w:t>
      </w:r>
      <w:proofErr w:type="spellEnd"/>
      <w:r w:rsidRPr="006B3905">
        <w:t xml:space="preserve"> Centre in the GCFR; Greater Perth in the SWAFR) and declining species richness towards its interior margin </w:t>
      </w:r>
      <w:commentRangeStart w:id="10"/>
      <w:commentRangeStart w:id="11"/>
      <w:r w:rsidRPr="006B3905">
        <w:t>(</w:t>
      </w:r>
      <w:r w:rsidR="00304EA1" w:rsidRPr="006B3905">
        <w:t xml:space="preserve">Figure </w:t>
      </w:r>
      <w:r w:rsidR="00FC2A30" w:rsidRPr="006B3905">
        <w:t>1</w:t>
      </w:r>
      <w:proofErr w:type="gramStart"/>
      <w:r w:rsidRPr="006B3905">
        <w:t>a,b</w:t>
      </w:r>
      <w:proofErr w:type="gramEnd"/>
      <w:r w:rsidRPr="006B3905">
        <w:t xml:space="preserve">). </w:t>
      </w:r>
      <w:commentRangeEnd w:id="10"/>
      <w:r w:rsidR="00F5444D">
        <w:rPr>
          <w:rStyle w:val="CommentReference"/>
          <w:rFonts w:ascii="Times New Roman" w:hAnsiTheme="minorHAnsi"/>
        </w:rPr>
        <w:commentReference w:id="10"/>
      </w:r>
      <w:commentRangeEnd w:id="11"/>
      <w:r w:rsidR="00EE37AF">
        <w:rPr>
          <w:rStyle w:val="CommentReference"/>
          <w:rFonts w:ascii="Times New Roman" w:hAnsiTheme="minorHAnsi"/>
        </w:rPr>
        <w:commentReference w:id="11"/>
      </w:r>
      <w:r w:rsidRPr="006B3905">
        <w:t xml:space="preserve">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w:t>
      </w:r>
      <w:r w:rsidRPr="006B3905">
        <w:lastRenderedPageBreak/>
        <w:t xml:space="preserve">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commentRangeStart w:id="12"/>
      <w:commentRangeEnd w:id="12"/>
      <w:r w:rsidR="00C512E9">
        <w:rPr>
          <w:rStyle w:val="CommentReference"/>
          <w:rFonts w:ascii="Times New Roman" w:hAnsiTheme="minorHAnsi"/>
        </w:rPr>
        <w:commentReference w:id="12"/>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D0327D1"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w:t>
      </w:r>
      <w:r w:rsidR="005A72A8">
        <w:t xml:space="preserve">, </w:t>
      </w:r>
      <w:r w:rsidR="00AD1230">
        <w:t>CEC</w:t>
      </w:r>
      <w:r w:rsidR="005A72A8">
        <w:t>, clay and soil C, all</w:t>
      </w:r>
      <w:r w:rsidR="00AD1230">
        <w:t xml:space="preserve">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254BC0">
        <w:t>;</w:t>
      </w:r>
      <w:r w:rsidR="00FB4658">
        <w:t xml:space="preserve"> </w:t>
      </w:r>
      <w:r w:rsidR="00FC2A30">
        <w:t>1</w:t>
      </w:r>
      <w:proofErr w:type="gramStart"/>
      <w:r w:rsidR="00AF1477">
        <w:t>c,d</w:t>
      </w:r>
      <w:proofErr w:type="gramEnd"/>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proofErr w:type="gramStart"/>
      <w:r w:rsidR="0012073A">
        <w:t>b</w:t>
      </w:r>
      <w:r w:rsidR="00030A46">
        <w:t>,h</w:t>
      </w:r>
      <w:proofErr w:type="gramEnd"/>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0F014EBB" w:rsidR="009B180C" w:rsidRPr="007A6675" w:rsidRDefault="006B7A26" w:rsidP="008F4C08">
      <w:pPr>
        <w:pStyle w:val="FirstParagraph"/>
        <w:rPr>
          <w:rFonts w:eastAsiaTheme="minorEastAsia"/>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946019">
        <w:rPr>
          <w:rFonts w:eastAsiaTheme="minorEastAsia"/>
        </w:rPr>
        <w:t xml:space="preserve"> Where heterogeneity variables associate </w:t>
      </w:r>
      <w:r w:rsidR="00CF397B">
        <w:rPr>
          <w:rFonts w:eastAsiaTheme="minorEastAsia"/>
        </w:rPr>
        <w:t xml:space="preserve">(significantly) </w:t>
      </w:r>
      <w:r w:rsidR="00946019">
        <w:rPr>
          <w:rFonts w:eastAsiaTheme="minorEastAsia"/>
        </w:rPr>
        <w:t>negatively with richness in th</w:t>
      </w:r>
      <w:r w:rsidR="00CF397B">
        <w:rPr>
          <w:rFonts w:eastAsiaTheme="minorEastAsia"/>
        </w:rPr>
        <w:t>e</w:t>
      </w:r>
      <w:r w:rsidR="00946019">
        <w:rPr>
          <w:rFonts w:eastAsiaTheme="minorEastAsia"/>
        </w:rPr>
        <w:t>s</w:t>
      </w:r>
      <w:r w:rsidR="00CF397B">
        <w:rPr>
          <w:rFonts w:eastAsiaTheme="minorEastAsia"/>
        </w:rPr>
        <w:t>e</w:t>
      </w:r>
      <w:r w:rsidR="00946019">
        <w:rPr>
          <w:rFonts w:eastAsiaTheme="minorEastAsia"/>
        </w:rPr>
        <w:t xml:space="preserve"> univariate models</w:t>
      </w:r>
      <w:r w:rsidR="00CF397B">
        <w:rPr>
          <w:rFonts w:eastAsiaTheme="minorEastAsia"/>
        </w:rPr>
        <w:t>’ main effects</w:t>
      </w:r>
      <w:r w:rsidR="005E471E">
        <w:rPr>
          <w:rFonts w:eastAsiaTheme="minorEastAsia"/>
        </w:rPr>
        <w:t xml:space="preserve"> (DS-scale elevation</w:t>
      </w:r>
      <w:r w:rsidR="00CF397B">
        <w:rPr>
          <w:rFonts w:eastAsiaTheme="minorEastAsia"/>
        </w:rPr>
        <w:t xml:space="preserve"> and</w:t>
      </w:r>
      <w:r w:rsidR="005E471E">
        <w:rPr>
          <w:rFonts w:eastAsiaTheme="minorEastAsia"/>
        </w:rPr>
        <w:t xml:space="preserve"> CEC; Table 1</w:t>
      </w:r>
      <w:proofErr w:type="gramStart"/>
      <w:r w:rsidR="005E471E">
        <w:rPr>
          <w:rFonts w:eastAsiaTheme="minorEastAsia"/>
        </w:rPr>
        <w:t>b,c</w:t>
      </w:r>
      <w:proofErr w:type="gramEnd"/>
      <w:r w:rsidR="005E471E">
        <w:rPr>
          <w:rFonts w:eastAsiaTheme="minorEastAsia"/>
        </w:rPr>
        <w:t>)</w:t>
      </w:r>
      <w:r w:rsidR="00CF397B">
        <w:rPr>
          <w:rFonts w:eastAsiaTheme="minorEastAsia"/>
        </w:rPr>
        <w:t xml:space="preserve">, they are accompanied by </w:t>
      </w:r>
      <w:r w:rsidR="00F858E0" w:rsidRPr="00F858E0">
        <w:rPr>
          <w:rFonts w:eastAsiaTheme="minorEastAsia"/>
          <w:highlight w:val="yellow"/>
        </w:rPr>
        <w:t>[supplementary figure Re: DS-scale elevation and CEC having narrow distribution in GCFR -&gt; odd fit, w/ SWAFR flattish fit]</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w:t>
      </w:r>
      <w:r w:rsidR="00A64381">
        <w:rPr>
          <w:rFonts w:eastAsiaTheme="minorEastAsia"/>
        </w:rPr>
        <w:t xml:space="preserve"> (</w:t>
      </w:r>
      <w:proofErr w:type="spellStart"/>
      <w:r w:rsidR="00A64381">
        <w:rPr>
          <w:rFonts w:eastAsiaTheme="minorEastAsia"/>
        </w:rPr>
        <w:t>i</w:t>
      </w:r>
      <w:proofErr w:type="spellEnd"/>
      <w:r w:rsidR="00A64381">
        <w:rPr>
          <w:rFonts w:eastAsiaTheme="minorEastAsia"/>
        </w:rPr>
        <w:t>)</w:t>
      </w:r>
      <w:r w:rsidR="001B3692">
        <w:rPr>
          <w:rFonts w:eastAsiaTheme="minorEastAsia"/>
        </w:rPr>
        <w:t xml:space="preserve"> describe a form of heterogeneity as having a positive effect on richness in both regions</w:t>
      </w:r>
      <w:r w:rsidR="00A64381">
        <w:rPr>
          <w:rFonts w:eastAsiaTheme="minorEastAsia"/>
        </w:rPr>
        <w:t xml:space="preserve"> or (ii) 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w:t>
      </w:r>
      <w:proofErr w:type="spellStart"/>
      <w:r w:rsidR="00A23494" w:rsidRPr="00CF397B">
        <w:rPr>
          <w:rFonts w:eastAsiaTheme="minorEastAsia"/>
        </w:rPr>
        <w:t>favoured</w:t>
      </w:r>
      <w:proofErr w:type="spellEnd"/>
      <w:r w:rsidR="00A23494" w:rsidRPr="00CF397B">
        <w:rPr>
          <w:rFonts w:eastAsiaTheme="minorEastAsia"/>
        </w:rPr>
        <w:t xml:space="preserve">: </w:t>
      </w:r>
      <w:r w:rsidR="00983D13" w:rsidRPr="00CF397B">
        <w:rPr>
          <w:rFonts w:eastAsiaTheme="minorEastAsia"/>
        </w:rPr>
        <w:t xml:space="preserve">Table </w:t>
      </w:r>
      <w:r w:rsidR="008B0E3F" w:rsidRPr="00CF397B">
        <w:rPr>
          <w:rFonts w:eastAsiaTheme="minorEastAsia"/>
        </w:rPr>
        <w:t>1</w:t>
      </w:r>
      <w:proofErr w:type="gramStart"/>
      <w:r w:rsidR="00983D13" w:rsidRPr="00CF397B">
        <w:rPr>
          <w:rFonts w:eastAsiaTheme="minorEastAsia"/>
        </w:rPr>
        <w:t>b,c</w:t>
      </w:r>
      <w:proofErr w:type="gramEnd"/>
      <w:r w:rsidR="00983D13" w:rsidRPr="00CF397B">
        <w:rPr>
          <w:rFonts w:eastAsiaTheme="minorEastAsia"/>
        </w:rPr>
        <w:t xml:space="preserve">;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 xml:space="preserve">model was </w:t>
      </w:r>
      <w:proofErr w:type="spellStart"/>
      <w:r w:rsidR="008F4C08">
        <w:rPr>
          <w:rFonts w:eastAsiaTheme="minorEastAsia" w:cstheme="majorBidi"/>
        </w:rPr>
        <w:t>favoured</w:t>
      </w:r>
      <w:proofErr w:type="spellEnd"/>
      <w:r w:rsidR="008F4C08">
        <w:rPr>
          <w:rFonts w:eastAsiaTheme="minorEastAsia" w:cstheme="majorBidi"/>
        </w:rPr>
        <w:t>,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13"/>
      <w:r w:rsidR="00496FAE" w:rsidRPr="003D0E54">
        <w:rPr>
          <w:color w:val="FF0000"/>
        </w:rPr>
        <w:t>; Table S</w:t>
      </w:r>
      <w:r w:rsidR="00AF3227" w:rsidRPr="003D0E54">
        <w:rPr>
          <w:color w:val="FF0000"/>
        </w:rPr>
        <w:t>3</w:t>
      </w:r>
      <w:r w:rsidR="00496FAE" w:rsidRPr="003D0E54">
        <w:rPr>
          <w:color w:val="FF0000"/>
        </w:rPr>
        <w:t>a</w:t>
      </w:r>
      <w:commentRangeEnd w:id="13"/>
      <w:r w:rsidR="003D0E54">
        <w:rPr>
          <w:rStyle w:val="CommentReference"/>
          <w:rFonts w:ascii="Times New Roman" w:hAnsiTheme="minorHAnsi"/>
        </w:rPr>
        <w:commentReference w:id="13"/>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p>
    <w:p w14:paraId="440DAAFE" w14:textId="5E11A5C0" w:rsidR="006C54AE" w:rsidRDefault="00C31973">
      <w:pPr>
        <w:pStyle w:val="FirstParagraph"/>
      </w:pPr>
      <w:r>
        <w:t xml:space="preserve">We fit multiple regression models to describe the effects of the different heterogeneity </w:t>
      </w:r>
      <w:r w:rsidR="00B335D2">
        <w:t xml:space="preserve">variables </w:t>
      </w:r>
      <w:r>
        <w:t xml:space="preserve">on species richness in concert. </w:t>
      </w:r>
      <w:r w:rsidR="00B930DF" w:rsidRPr="00866807">
        <w:t>With the exception of</w:t>
      </w:r>
      <w:r w:rsidR="00924C2A">
        <w:t xml:space="preserve"> heterogeneity in</w:t>
      </w:r>
      <w:r w:rsidR="00B930DF" w:rsidRPr="00866807">
        <w:t xml:space="preserve"> pH at all spatial scales</w:t>
      </w:r>
      <w:r w:rsidR="004A2BCB">
        <w:t>, CEC at the QDS- and DS-scales,</w:t>
      </w:r>
      <w:r w:rsidR="00B930DF" w:rsidRPr="00866807">
        <w:t xml:space="preserve"> and elevation at the DS-scale, </w:t>
      </w:r>
      <w:r w:rsidR="00063BFC">
        <w:t xml:space="preserve">the partial </w:t>
      </w:r>
      <w:r w:rsidR="00B930DF" w:rsidRPr="00866807">
        <w:t xml:space="preserve">effects of heterogeneity predictors retained in the optimal multiple regression models </w:t>
      </w:r>
      <w:r w:rsidR="00FC0F34">
        <w:t xml:space="preserve">(Figure 5) </w:t>
      </w:r>
      <w:r w:rsidR="00350FE5" w:rsidRPr="00866807">
        <w:t>a</w:t>
      </w:r>
      <w:r w:rsidR="00B930DF"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4A2BCB">
        <w:t>adds nuance to</w:t>
      </w:r>
      <w:r w:rsidR="0064694B">
        <w:t xml:space="preserve"> the</w:t>
      </w:r>
      <w:r w:rsidR="00350FE5">
        <w:t xml:space="preserve"> generally </w:t>
      </w:r>
      <w:r w:rsidR="0090296A">
        <w:t>positive</w:t>
      </w:r>
      <w:r w:rsidR="00350FE5">
        <w:t xml:space="preserve"> influence of heterogeneity on species richness</w:t>
      </w:r>
      <w:r w:rsidR="004A2BCB">
        <w:t xml:space="preserve"> displayed by the PC1-based ANCOVAs (Figure 4)</w:t>
      </w:r>
      <w:r w:rsidR="004E394A">
        <w:t xml:space="preserve">. </w:t>
      </w:r>
      <w:r w:rsidR="00A12A8F" w:rsidRPr="00A12A8F">
        <w:t xml:space="preserve">Notably, heterogeneity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proofErr w:type="gramStart"/>
      <w:r w:rsidR="00574970">
        <w:t>a,b</w:t>
      </w:r>
      <w:proofErr w:type="gramEnd"/>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w:t>
      </w:r>
      <w:r w:rsidR="00262F02" w:rsidRPr="00CF397B">
        <w:lastRenderedPageBreak/>
        <w:t xml:space="preserve">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AC3DE8">
        <w:t xml:space="preserve"> (Figure S5</w:t>
      </w:r>
      <w:proofErr w:type="gramStart"/>
      <w:r w:rsidR="00AC3DE8">
        <w:t>a,b</w:t>
      </w:r>
      <w:proofErr w:type="gramEnd"/>
      <w:r w:rsidR="00AC3DE8">
        <w:t>;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w:t>
      </w:r>
      <w:proofErr w:type="gramStart"/>
      <w:r w:rsidR="00AC3DE8">
        <w:t>c,d</w:t>
      </w:r>
      <w:proofErr w:type="gramEnd"/>
      <w:r w:rsidR="00AC3DE8">
        <w:t>;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14"/>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(following both the PC1-based ANCOVA and multiple regressions) (Table S3c). 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at broader spatial scales</w:t>
      </w:r>
      <w:r w:rsidR="00DC180F" w:rsidRPr="00765017">
        <w:rPr>
          <w:color w:val="FF0000"/>
        </w:rPr>
        <w:t>.</w:t>
      </w:r>
      <w:commentRangeEnd w:id="14"/>
      <w:r w:rsidR="009172F8">
        <w:rPr>
          <w:rStyle w:val="CommentReference"/>
          <w:rFonts w:ascii="Times New Roman" w:hAnsiTheme="minorHAnsi"/>
        </w:rPr>
        <w:commentReference w:id="14"/>
      </w:r>
    </w:p>
    <w:p w14:paraId="573F5A1A" w14:textId="04268AD5" w:rsidR="00F8593E" w:rsidRDefault="00DD7307">
      <w:pPr>
        <w:pStyle w:val="Heading1"/>
        <w:spacing w:line="240" w:lineRule="auto"/>
      </w:pPr>
      <w:commentRangeStart w:id="15"/>
      <w:r>
        <w:t>4</w:t>
      </w:r>
      <w:r w:rsidR="00765FAE">
        <w:t>:</w:t>
      </w:r>
      <w:r>
        <w:t xml:space="preserve"> </w:t>
      </w:r>
      <w:r w:rsidR="00F8593E" w:rsidRPr="00891FE6">
        <w:t>Discussion</w:t>
      </w:r>
      <w:commentRangeEnd w:id="15"/>
      <w:r w:rsidR="0060559B">
        <w:rPr>
          <w:rStyle w:val="CommentReference"/>
          <w:rFonts w:ascii="Times New Roman" w:eastAsiaTheme="minorHAnsi" w:hAnsiTheme="minorHAnsi" w:cstheme="minorBidi"/>
          <w:b w:val="0"/>
          <w:bCs w:val="0"/>
          <w:color w:val="auto"/>
        </w:rPr>
        <w:commentReference w:id="15"/>
      </w:r>
    </w:p>
    <w:p w14:paraId="6DC64564" w14:textId="5FF477CC" w:rsidR="001E1442" w:rsidRDefault="006A4B08" w:rsidP="002C20EB">
      <w:pPr>
        <w:pStyle w:val="BodyText"/>
        <w:tabs>
          <w:tab w:val="left" w:pos="6189"/>
        </w:tabs>
      </w:pPr>
      <w:bookmarkStart w:id="16"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xml:space="preserve">. </w:t>
      </w:r>
      <w:commentRangeStart w:id="17"/>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17"/>
      <w:r w:rsidR="007F39BA">
        <w:rPr>
          <w:rStyle w:val="CommentReference"/>
          <w:rFonts w:ascii="Times New Roman" w:hAnsiTheme="minorHAnsi"/>
        </w:rPr>
        <w:commentReference w:id="17"/>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18"/>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commentRangeEnd w:id="18"/>
      <w:r w:rsidR="007F39BA">
        <w:rPr>
          <w:rStyle w:val="CommentReference"/>
          <w:rFonts w:ascii="Times New Roman" w:hAnsiTheme="minorHAnsi"/>
        </w:rPr>
        <w:commentReference w:id="18"/>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19"/>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19"/>
      <w:r w:rsidR="007F39BA">
        <w:rPr>
          <w:rStyle w:val="CommentReference"/>
          <w:rFonts w:ascii="Times New Roman" w:hAnsiTheme="minorHAnsi"/>
        </w:rPr>
        <w:commentReference w:id="19"/>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01CB78B3" w:rsidR="00E3070E" w:rsidRDefault="0016731D" w:rsidP="00E3070E">
      <w:pPr>
        <w:pStyle w:val="BodyText"/>
        <w:tabs>
          <w:tab w:val="left" w:pos="6189"/>
        </w:tabs>
      </w:pPr>
      <w:r>
        <w:lastRenderedPageBreak/>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0"/>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commentRangeEnd w:id="20"/>
      <w:r w:rsidR="00F72B17">
        <w:rPr>
          <w:rStyle w:val="CommentReference"/>
          <w:rFonts w:ascii="Times New Roman" w:hAnsiTheme="minorHAnsi"/>
        </w:rPr>
        <w:commentReference w:id="20"/>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1"/>
      <w:commentRangeStart w:id="22"/>
      <w:r w:rsidR="0072106C">
        <w:t xml:space="preserve">single-site </w:t>
      </w:r>
      <w:commentRangeEnd w:id="21"/>
      <w:r w:rsidR="00952699">
        <w:rPr>
          <w:rStyle w:val="CommentReference"/>
          <w:rFonts w:ascii="Times New Roman" w:hAnsiTheme="minorHAnsi"/>
        </w:rPr>
        <w:commentReference w:id="21"/>
      </w:r>
      <w:commentRangeEnd w:id="22"/>
      <w:r w:rsidR="0060559B">
        <w:rPr>
          <w:rStyle w:val="CommentReference"/>
          <w:rFonts w:ascii="Times New Roman" w:hAnsiTheme="minorHAnsi"/>
        </w:rPr>
        <w:commentReference w:id="22"/>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ED379F">
        <w:t xml:space="preserve">. This is demonstrable </w:t>
      </w:r>
      <w:r w:rsidR="00704131">
        <w:t xml:space="preserve">with our species occurrence dataset (Figure </w:t>
      </w:r>
      <w:r w:rsidR="00F06726">
        <w:t>S11</w:t>
      </w:r>
      <w:r w:rsidR="00704131">
        <w:t>).</w:t>
      </w:r>
    </w:p>
    <w:p w14:paraId="2B259CB7" w14:textId="15CCDA4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7EE39D6" w:rsidR="00CF6AF3" w:rsidRDefault="00DE487A" w:rsidP="00E3070E">
      <w:pPr>
        <w:pStyle w:val="BodyText"/>
        <w:tabs>
          <w:tab w:val="left" w:pos="6189"/>
        </w:tabs>
      </w:pPr>
      <w:r w:rsidRPr="005F374B">
        <w:t>A second</w:t>
      </w:r>
      <w:r w:rsidR="00164E10" w:rsidRPr="005F374B">
        <w:t xml:space="preserve"> </w:t>
      </w:r>
      <w:r w:rsidR="00B718C1" w:rsidRPr="005F374B">
        <w:t xml:space="preserve">factor </w:t>
      </w:r>
      <w:r w:rsidR="005F374B" w:rsidRPr="005F374B">
        <w:t>affecting</w:t>
      </w:r>
      <w:r w:rsidR="00B718C1" w:rsidRPr="005F374B">
        <w:t xml:space="preserve"> the </w:t>
      </w:r>
      <w:r w:rsidR="00A646E1" w:rsidRPr="005F374B">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404D92">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p>
    <w:p w14:paraId="0610530F" w14:textId="0555BF86"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w:t>
      </w:r>
      <w:r w:rsidR="00375621" w:rsidRPr="003C5ACF">
        <w:rPr>
          <w:rFonts w:ascii="Times New Roman" w:hAnsi="Times New Roman" w:cs="Times New Roman"/>
          <w:noProof/>
          <w:lang w:val="en-GB"/>
        </w:rPr>
        <w:lastRenderedPageBreak/>
        <w:t xml:space="preserve">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23"/>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3"/>
      <w:r w:rsidR="00246D04">
        <w:rPr>
          <w:rStyle w:val="CommentReference"/>
          <w:rFonts w:ascii="Times New Roman" w:hAnsiTheme="minorHAnsi"/>
        </w:rPr>
        <w:commentReference w:id="23"/>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F88EB0B"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commentRangeStart w:id="24"/>
      <w:r w:rsidR="005C5C96">
        <w:t>In this study, w</w:t>
      </w:r>
      <w:r w:rsidR="003C6BD9">
        <w:t xml:space="preserve">e used the residuals </w:t>
      </w:r>
      <w:r w:rsidR="00FB1888">
        <w:t>derived from</w:t>
      </w:r>
      <w:r w:rsidR="003C6BD9">
        <w:t xml:space="preserve"> PC1-based ANCOVA and multiple regression models</w:t>
      </w:r>
      <w:commentRangeEnd w:id="24"/>
      <w:r w:rsidR="002433F4">
        <w:rPr>
          <w:rStyle w:val="CommentReference"/>
          <w:rFonts w:ascii="Times New Roman" w:hAnsiTheme="minorHAnsi"/>
        </w:rPr>
        <w:commentReference w:id="24"/>
      </w:r>
      <w:r w:rsidR="003C6BD9">
        <w:t xml:space="preserve">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show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w:t>
      </w:r>
      <w:proofErr w:type="spellStart"/>
      <w:r w:rsidR="002513DB">
        <w:t>Porungurup</w:t>
      </w:r>
      <w:proofErr w:type="spellEnd"/>
      <w:r w:rsidR="002513DB">
        <w:t xml:space="preserve">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w:t>
      </w:r>
      <w:r w:rsidR="00273150">
        <w:lastRenderedPageBreak/>
        <w:t xml:space="preserve">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r w:rsidRPr="008A4E97">
        <w:lastRenderedPageBreak/>
        <w:t>Tables</w:t>
      </w:r>
      <w:bookmarkEnd w:id="16"/>
    </w:p>
    <w:p w14:paraId="71033F34" w14:textId="075E588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25"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25"/>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s for the GCFR and SWAFR of (</w:t>
      </w:r>
      <w:proofErr w:type="spellStart"/>
      <w:r>
        <w:t>a,b</w:t>
      </w:r>
      <w:proofErr w:type="spellEnd"/>
      <w:r>
        <w:t>) vascular plant species richness</w:t>
      </w:r>
      <w:r w:rsidR="009863F5">
        <w:t xml:space="preserve"> (</w:t>
      </w:r>
      <w:r w:rsidR="009863F5" w:rsidRPr="00ED6805">
        <w:rPr>
          <w:i/>
          <w:iCs/>
        </w:rPr>
        <w:t>S</w:t>
      </w:r>
      <w:r w:rsidR="009863F5">
        <w:rPr>
          <w:vertAlign w:val="subscript"/>
        </w:rPr>
        <w:t>HDS</w:t>
      </w:r>
      <w:r w:rsidR="009863F5">
        <w:t>)</w:t>
      </w:r>
      <w:r>
        <w:t>, (</w:t>
      </w:r>
      <w:proofErr w:type="spellStart"/>
      <w:r>
        <w:t>c,d</w:t>
      </w:r>
      <w:proofErr w:type="spellEnd"/>
      <w:r>
        <w:t>)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xml:space="preserve">) the multivariate (MV) model (Figure 5b). Map projection used: WGS84. </w:t>
      </w:r>
      <w:proofErr w:type="spellStart"/>
      <w:r>
        <w:t>Colour</w:t>
      </w:r>
      <w:proofErr w:type="spellEnd"/>
      <w:r>
        <w:t xml:space="preserve">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w:t>
      </w:r>
      <w:proofErr w:type="spellStart"/>
      <w:r w:rsidRPr="006A6996">
        <w:t>i</w:t>
      </w:r>
      <w:proofErr w:type="spellEnd"/>
      <w:r w:rsidRPr="006A6996">
        <w:t>)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proofErr w:type="gramStart"/>
      <w:r w:rsidR="007138B7">
        <w:t>c,g</w:t>
      </w:r>
      <w:proofErr w:type="gramEnd"/>
      <w:r w:rsidR="007138B7">
        <w:t>,i</w:t>
      </w:r>
      <w:proofErr w:type="spellEnd"/>
      <w:r w:rsidR="007138B7">
        <w:t>) and marginally 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have been plotted, the latter for illustration. Note, only two forms of heterogeneity were found to be negatively scale-dependent (</w:t>
      </w:r>
      <w:proofErr w:type="spellStart"/>
      <w:proofErr w:type="gramStart"/>
      <w:r w:rsidR="007138B7">
        <w:t>b,h</w:t>
      </w:r>
      <w:proofErr w:type="spellEnd"/>
      <w:proofErr w:type="gramEnd"/>
      <w:r w:rsidR="007138B7">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commentRangeStart w:id="26"/>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26"/>
      <w:r w:rsidR="001E2381">
        <w:rPr>
          <w:rStyle w:val="CommentReference"/>
          <w:rFonts w:ascii="Times New Roman" w:hAnsiTheme="minorHAnsi"/>
        </w:rPr>
        <w:commentReference w:id="26"/>
      </w:r>
    </w:p>
    <w:p w14:paraId="199264AF" w14:textId="202D4805"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27"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9" w:history="1">
        <w:r w:rsidRPr="000F1325">
          <w:rPr>
            <w:rStyle w:val="Hyperlink"/>
          </w:rPr>
          <w:t>https://doi.org/10.15468/dl.n6u6n0</w:t>
        </w:r>
      </w:hyperlink>
      <w:r>
        <w:t xml:space="preserve">; SWAFR: </w:t>
      </w:r>
      <w:hyperlink r:id="rId20"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27"/>
    </w:p>
    <w:p w14:paraId="2A02D708" w14:textId="56FB5C3C" w:rsidR="002513DB" w:rsidRPr="002513DB" w:rsidRDefault="008E0DFC" w:rsidP="002513DB">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2513DB" w:rsidRPr="002513DB">
        <w:rPr>
          <w:rFonts w:hAnsi="Times New Roman" w:cs="Times New Roman"/>
          <w:noProof/>
          <w:lang w:val="en-GB"/>
        </w:rPr>
        <w:t xml:space="preserve">Ackerly, D. D. (2009). Evolution, origin and age of lineages in the Californian and Mediterranean floras. </w:t>
      </w:r>
      <w:r w:rsidR="002513DB" w:rsidRPr="002513DB">
        <w:rPr>
          <w:rFonts w:hAnsi="Times New Roman" w:cs="Times New Roman"/>
          <w:i/>
          <w:iCs/>
          <w:noProof/>
          <w:lang w:val="en-GB"/>
        </w:rPr>
        <w:t>Journal of Biogeography</w:t>
      </w:r>
      <w:r w:rsidR="002513DB" w:rsidRPr="002513DB">
        <w:rPr>
          <w:rFonts w:hAnsi="Times New Roman" w:cs="Times New Roman"/>
          <w:noProof/>
          <w:lang w:val="en-GB"/>
        </w:rPr>
        <w:t xml:space="preserve">, </w:t>
      </w:r>
      <w:r w:rsidR="002513DB" w:rsidRPr="002513DB">
        <w:rPr>
          <w:rFonts w:hAnsi="Times New Roman" w:cs="Times New Roman"/>
          <w:i/>
          <w:iCs/>
          <w:noProof/>
          <w:lang w:val="en-GB"/>
        </w:rPr>
        <w:t>36</w:t>
      </w:r>
      <w:r w:rsidR="002513DB" w:rsidRPr="002513DB">
        <w:rPr>
          <w:rFonts w:hAnsi="Times New Roman" w:cs="Times New Roman"/>
          <w:noProof/>
          <w:lang w:val="en-GB"/>
        </w:rPr>
        <w:t>(7), 1221–1233. https://doi.org/10.1111/j.1365-2699.2009.02097.x</w:t>
      </w:r>
    </w:p>
    <w:p w14:paraId="4A00042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Allouche, O., Kalyuzhny, M., Moreno-Rueda, G., Pizarro, M., &amp; Kadmon, R. (2012). Area-heterogeneity tradeoff and the diversity of ecological communities.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109</w:t>
      </w:r>
      <w:r w:rsidRPr="002513DB">
        <w:rPr>
          <w:rFonts w:hAnsi="Times New Roman" w:cs="Times New Roman"/>
          <w:noProof/>
          <w:lang w:val="en-GB"/>
        </w:rPr>
        <w:t>(43), 17495–17500.</w:t>
      </w:r>
    </w:p>
    <w:p w14:paraId="7DAC397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2513DB">
        <w:rPr>
          <w:rFonts w:hAnsi="Times New Roman" w:cs="Times New Roman"/>
          <w:i/>
          <w:iCs/>
          <w:noProof/>
          <w:lang w:val="en-GB"/>
        </w:rPr>
        <w:t>Hydrological Processes</w:t>
      </w:r>
      <w:r w:rsidRPr="002513DB">
        <w:rPr>
          <w:rFonts w:hAnsi="Times New Roman" w:cs="Times New Roman"/>
          <w:noProof/>
          <w:lang w:val="en-GB"/>
        </w:rPr>
        <w:t xml:space="preserve">, </w:t>
      </w:r>
      <w:r w:rsidRPr="002513DB">
        <w:rPr>
          <w:rFonts w:hAnsi="Times New Roman" w:cs="Times New Roman"/>
          <w:i/>
          <w:iCs/>
          <w:noProof/>
          <w:lang w:val="en-GB"/>
        </w:rPr>
        <w:t>28</w:t>
      </w:r>
      <w:r w:rsidRPr="002513DB">
        <w:rPr>
          <w:rFonts w:hAnsi="Times New Roman" w:cs="Times New Roman"/>
          <w:noProof/>
          <w:lang w:val="en-GB"/>
        </w:rPr>
        <w:t>(22), 5513–5529.</w:t>
      </w:r>
    </w:p>
    <w:p w14:paraId="53264A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Beard, J. S., Chapman, A. R., &amp; Gioia, P. (2000). Species richness and endemism in the Western Australian flora.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(6), 1257–1268. https://doi.org/10.1046/j.1365-2699.2000.00509.x</w:t>
      </w:r>
    </w:p>
    <w:p w14:paraId="7F0F6A2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Belda, M., Holtanová, E., Halenka, T., &amp; Kalvová, J. (2014). Climate classification revisited: from Köppen to Trewartha. </w:t>
      </w:r>
      <w:r w:rsidRPr="002513DB">
        <w:rPr>
          <w:rFonts w:hAnsi="Times New Roman" w:cs="Times New Roman"/>
          <w:i/>
          <w:iCs/>
          <w:noProof/>
          <w:lang w:val="en-GB"/>
        </w:rPr>
        <w:t>Climate Research</w:t>
      </w:r>
      <w:r w:rsidRPr="002513DB">
        <w:rPr>
          <w:rFonts w:hAnsi="Times New Roman" w:cs="Times New Roman"/>
          <w:noProof/>
          <w:lang w:val="en-GB"/>
        </w:rPr>
        <w:t xml:space="preserve">, </w:t>
      </w:r>
      <w:r w:rsidRPr="002513DB">
        <w:rPr>
          <w:rFonts w:hAnsi="Times New Roman" w:cs="Times New Roman"/>
          <w:i/>
          <w:iCs/>
          <w:noProof/>
          <w:lang w:val="en-GB"/>
        </w:rPr>
        <w:t>59</w:t>
      </w:r>
      <w:r w:rsidRPr="002513DB">
        <w:rPr>
          <w:rFonts w:hAnsi="Times New Roman" w:cs="Times New Roman"/>
          <w:noProof/>
          <w:lang w:val="en-GB"/>
        </w:rPr>
        <w:t>(1), 1–13.</w:t>
      </w:r>
    </w:p>
    <w:p w14:paraId="0D68BE1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Bergh, N. G., &amp; Linder, H. P. (2009). Cape diversification and repeated out-of-southern-Africa dispersal in paper daisies (Asteraceae--Gnaphalieae). </w:t>
      </w:r>
      <w:r w:rsidRPr="002513DB">
        <w:rPr>
          <w:rFonts w:hAnsi="Times New Roman" w:cs="Times New Roman"/>
          <w:i/>
          <w:iCs/>
          <w:noProof/>
          <w:lang w:val="en-GB"/>
        </w:rPr>
        <w:t>Molecular Phylogenetics and Evolution</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 5–18.</w:t>
      </w:r>
    </w:p>
    <w:p w14:paraId="0651B43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Bivand, R., Keitt, T., &amp; Rowlingson, B. (2017). </w:t>
      </w:r>
      <w:r w:rsidRPr="002513DB">
        <w:rPr>
          <w:rFonts w:hAnsi="Times New Roman" w:cs="Times New Roman"/>
          <w:i/>
          <w:iCs/>
          <w:noProof/>
          <w:lang w:val="en-GB"/>
        </w:rPr>
        <w:t>rgdal: Bindings for the Geospatial Data Abstraction Library. R package version 1.2-7</w:t>
      </w:r>
      <w:r w:rsidRPr="002513DB">
        <w:rPr>
          <w:rFonts w:hAnsi="Times New Roman" w:cs="Times New Roman"/>
          <w:noProof/>
          <w:lang w:val="en-GB"/>
        </w:rPr>
        <w:t>. https://cran.r-project.org/package=rgdal</w:t>
      </w:r>
    </w:p>
    <w:p w14:paraId="077AF0A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Bøhn, T., &amp; Amundsen, P.-A. (2004). Ecological interactions and evolution: forgotten parts of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54</w:t>
      </w:r>
      <w:r w:rsidRPr="002513DB">
        <w:rPr>
          <w:rFonts w:hAnsi="Times New Roman" w:cs="Times New Roman"/>
          <w:noProof/>
          <w:lang w:val="en-GB"/>
        </w:rPr>
        <w:t>(9), 804–805.</w:t>
      </w:r>
    </w:p>
    <w:p w14:paraId="1270091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 Linder, H. P., &amp; Desmet, P. (2007). The Greater Cape Floristic Region.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34</w:t>
      </w:r>
      <w:r w:rsidRPr="002513DB">
        <w:rPr>
          <w:rFonts w:hAnsi="Times New Roman" w:cs="Times New Roman"/>
          <w:noProof/>
          <w:lang w:val="en-GB"/>
        </w:rPr>
        <w:t>(1), 147–162. https://doi.org/10.1111/j.1365-2699.2006.01595.x</w:t>
      </w:r>
    </w:p>
    <w:p w14:paraId="6F1AAFC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Julia, &amp; Linder, H. P. (2018). Water availability, fundamental niches and realized niches: A case study from the Cape flora. </w:t>
      </w:r>
      <w:r w:rsidRPr="002513DB">
        <w:rPr>
          <w:rFonts w:hAnsi="Times New Roman" w:cs="Times New Roman"/>
          <w:i/>
          <w:iCs/>
          <w:noProof/>
          <w:lang w:val="en-GB"/>
        </w:rPr>
        <w:t>Austral Ecology</w:t>
      </w:r>
      <w:r w:rsidRPr="002513DB">
        <w:rPr>
          <w:rFonts w:hAnsi="Times New Roman" w:cs="Times New Roman"/>
          <w:noProof/>
          <w:lang w:val="en-GB"/>
        </w:rPr>
        <w:t xml:space="preserve">, </w:t>
      </w:r>
      <w:r w:rsidRPr="002513DB">
        <w:rPr>
          <w:rFonts w:hAnsi="Times New Roman" w:cs="Times New Roman"/>
          <w:i/>
          <w:iCs/>
          <w:noProof/>
          <w:lang w:val="en-GB"/>
        </w:rPr>
        <w:t>43</w:t>
      </w:r>
      <w:r w:rsidRPr="002513DB">
        <w:rPr>
          <w:rFonts w:hAnsi="Times New Roman" w:cs="Times New Roman"/>
          <w:noProof/>
          <w:lang w:val="en-GB"/>
        </w:rPr>
        <w:t>(6), 696–705. https://doi.org/10.1111/aec.12616</w:t>
      </w:r>
    </w:p>
    <w:p w14:paraId="6DD6EE2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Bradshaw, P. L., &amp; Cowling, R. M. (2014). Landscapes, rock types, and climate of the Greater Cape Floristic Region.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26–46). Oxford University Press. https://doi.org/oso/9780199679584.003.0002</w:t>
      </w:r>
    </w:p>
    <w:p w14:paraId="697B9EF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2513DB">
        <w:rPr>
          <w:rFonts w:hAnsi="Times New Roman" w:cs="Times New Roman"/>
          <w:i/>
          <w:iCs/>
          <w:noProof/>
          <w:lang w:val="en-GB"/>
        </w:rPr>
        <w:t>Quaternary Science Reviews</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(27–28), 2576–2585. https://doi.org/10.1016/j.quascirev.2008.08.032</w:t>
      </w:r>
    </w:p>
    <w:p w14:paraId="468F591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Byrne, M., &amp; Hines, B. (2004). Phylogeographical analysis of cpDNA variation in Eucalyptus loxophleba (Myrtaceae). </w:t>
      </w:r>
      <w:r w:rsidRPr="002513DB">
        <w:rPr>
          <w:rFonts w:hAnsi="Times New Roman" w:cs="Times New Roman"/>
          <w:i/>
          <w:iCs/>
          <w:noProof/>
          <w:lang w:val="en-GB"/>
        </w:rPr>
        <w:t>Australian Journal of Botany</w:t>
      </w:r>
      <w:r w:rsidRPr="002513DB">
        <w:rPr>
          <w:rFonts w:hAnsi="Times New Roman" w:cs="Times New Roman"/>
          <w:noProof/>
          <w:lang w:val="en-GB"/>
        </w:rPr>
        <w:t xml:space="preserve">, </w:t>
      </w:r>
      <w:r w:rsidRPr="002513DB">
        <w:rPr>
          <w:rFonts w:hAnsi="Times New Roman" w:cs="Times New Roman"/>
          <w:i/>
          <w:iCs/>
          <w:noProof/>
          <w:lang w:val="en-GB"/>
        </w:rPr>
        <w:t>52</w:t>
      </w:r>
      <w:r w:rsidRPr="002513DB">
        <w:rPr>
          <w:rFonts w:hAnsi="Times New Roman" w:cs="Times New Roman"/>
          <w:noProof/>
          <w:lang w:val="en-GB"/>
        </w:rPr>
        <w:t>(4), 459–470.</w:t>
      </w:r>
    </w:p>
    <w:p w14:paraId="045A2AB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Carnicer, J., Brotons, L., Herrando, S., &amp; Sol, D. (2013). Improved empirical tests of area-heterogeneity tradeoffs.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110</w:t>
      </w:r>
      <w:r w:rsidRPr="002513DB">
        <w:rPr>
          <w:rFonts w:hAnsi="Times New Roman" w:cs="Times New Roman"/>
          <w:noProof/>
          <w:lang w:val="en-GB"/>
        </w:rPr>
        <w:t>(31), E2858--E2860.</w:t>
      </w:r>
    </w:p>
    <w:p w14:paraId="12247F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Chamberlain, S., Szocs, E., Boettiger, C., Ram, K., Bartomeus, I., Baumgartner, J., Foster, Z., &amp; O’Donnell, J. (2016). </w:t>
      </w:r>
      <w:r w:rsidRPr="002513DB">
        <w:rPr>
          <w:rFonts w:hAnsi="Times New Roman" w:cs="Times New Roman"/>
          <w:i/>
          <w:iCs/>
          <w:noProof/>
          <w:lang w:val="en-GB"/>
        </w:rPr>
        <w:t>taxize: Taxonomic information from around the web. R package version 0.7.8</w:t>
      </w:r>
      <w:r w:rsidRPr="002513DB">
        <w:rPr>
          <w:rFonts w:hAnsi="Times New Roman" w:cs="Times New Roman"/>
          <w:noProof/>
          <w:lang w:val="en-GB"/>
        </w:rPr>
        <w:t>. https://github.com/ropensci/taxize</w:t>
      </w:r>
    </w:p>
    <w:p w14:paraId="1D3D0C8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Chao, A., &amp; Jost, L. (2012). Coverage-based rarefaction and extrapolation: standardizing samples by completeness rather than size.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93</w:t>
      </w:r>
      <w:r w:rsidRPr="002513DB">
        <w:rPr>
          <w:rFonts w:hAnsi="Times New Roman" w:cs="Times New Roman"/>
          <w:noProof/>
          <w:lang w:val="en-GB"/>
        </w:rPr>
        <w:t>(12), 2533–2547.</w:t>
      </w:r>
    </w:p>
    <w:p w14:paraId="4A1555A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(3), 163–179.</w:t>
      </w:r>
    </w:p>
    <w:p w14:paraId="2F83C8A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(6), 651. https://doi.org/10.2307/2846038</w:t>
      </w:r>
    </w:p>
    <w:p w14:paraId="6DB47D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42</w:t>
      </w:r>
      <w:r w:rsidRPr="002513DB">
        <w:rPr>
          <w:rFonts w:hAnsi="Times New Roman" w:cs="Times New Roman"/>
          <w:noProof/>
          <w:lang w:val="en-GB"/>
        </w:rPr>
        <w:t>(3), 552–564. https://doi.org/10.1111/jbi.12429</w:t>
      </w:r>
    </w:p>
    <w:p w14:paraId="4043C18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Rundel, P. W., Lamont, B. B., Arroyo, M. K., &amp; Arianoutsou, M. (1996). Plant diversity in mediterranean-climate regions. </w:t>
      </w:r>
      <w:r w:rsidRPr="002513DB">
        <w:rPr>
          <w:rFonts w:hAnsi="Times New Roman" w:cs="Times New Roman"/>
          <w:i/>
          <w:iCs/>
          <w:noProof/>
          <w:lang w:val="en-GB"/>
        </w:rPr>
        <w:t>Trends in Ecology and Evolution</w:t>
      </w:r>
      <w:r w:rsidRPr="002513DB">
        <w:rPr>
          <w:rFonts w:hAnsi="Times New Roman" w:cs="Times New Roman"/>
          <w:noProof/>
          <w:lang w:val="en-GB"/>
        </w:rPr>
        <w:t xml:space="preserve">, </w:t>
      </w:r>
      <w:r w:rsidRPr="002513DB">
        <w:rPr>
          <w:rFonts w:hAnsi="Times New Roman" w:cs="Times New Roman"/>
          <w:i/>
          <w:iCs/>
          <w:noProof/>
          <w:lang w:val="en-GB"/>
        </w:rPr>
        <w:t>11</w:t>
      </w:r>
      <w:r w:rsidRPr="002513DB">
        <w:rPr>
          <w:rFonts w:hAnsi="Times New Roman" w:cs="Times New Roman"/>
          <w:noProof/>
          <w:lang w:val="en-GB"/>
        </w:rPr>
        <w:t>(9), 362–366. https://doi.org/10.1016/0169-5347(96)10044-6</w:t>
      </w:r>
    </w:p>
    <w:p w14:paraId="0265566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2513DB">
        <w:rPr>
          <w:rFonts w:hAnsi="Times New Roman" w:cs="Times New Roman"/>
          <w:i/>
          <w:iCs/>
          <w:noProof/>
          <w:lang w:val="en-GB"/>
        </w:rPr>
        <w:t>Transactions of the Royal Society of South Africa</w:t>
      </w:r>
      <w:r w:rsidRPr="002513DB">
        <w:rPr>
          <w:rFonts w:hAnsi="Times New Roman" w:cs="Times New Roman"/>
          <w:noProof/>
          <w:lang w:val="en-GB"/>
        </w:rPr>
        <w:t xml:space="preserve">, </w:t>
      </w:r>
      <w:r w:rsidRPr="002513DB">
        <w:rPr>
          <w:rFonts w:hAnsi="Times New Roman" w:cs="Times New Roman"/>
          <w:i/>
          <w:iCs/>
          <w:noProof/>
          <w:lang w:val="en-GB"/>
        </w:rPr>
        <w:t>72</w:t>
      </w:r>
      <w:r w:rsidRPr="002513DB">
        <w:rPr>
          <w:rFonts w:hAnsi="Times New Roman" w:cs="Times New Roman"/>
          <w:noProof/>
          <w:lang w:val="en-GB"/>
        </w:rPr>
        <w:t>(2), 184–201.</w:t>
      </w:r>
    </w:p>
    <w:p w14:paraId="04B083E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&amp; Verboom, G. A. (2016). Measures of biologically relevant environmental heterogeneity improve prediction of regional plant species richness.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44</w:t>
      </w:r>
      <w:r w:rsidRPr="002513DB">
        <w:rPr>
          <w:rFonts w:hAnsi="Times New Roman" w:cs="Times New Roman"/>
          <w:noProof/>
          <w:lang w:val="en-GB"/>
        </w:rPr>
        <w:t>(3), 1–13. https://doi.org/10.1111/jbi.12911</w:t>
      </w:r>
    </w:p>
    <w:p w14:paraId="02C0667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West, A. G., Power, S. C., Skelton, R., &amp; Stock, W. D. (2014). Plant ecophysiological diversity. In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248–272). Oxford University Press. https://doi.org/oso/9780199679584.003.0011</w:t>
      </w:r>
    </w:p>
    <w:p w14:paraId="2A27F3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25</w:t>
      </w:r>
      <w:r w:rsidRPr="002513DB">
        <w:rPr>
          <w:rFonts w:hAnsi="Times New Roman" w:cs="Times New Roman"/>
          <w:noProof/>
          <w:lang w:val="en-GB"/>
        </w:rPr>
        <w:t>(11), 1736–1750.</w:t>
      </w:r>
    </w:p>
    <w:p w14:paraId="59B9731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2513DB">
        <w:rPr>
          <w:rFonts w:hAnsi="Times New Roman" w:cs="Times New Roman"/>
          <w:i/>
          <w:iCs/>
          <w:noProof/>
          <w:lang w:val="en-GB"/>
        </w:rPr>
        <w:t>Nature</w:t>
      </w:r>
      <w:r w:rsidRPr="002513DB">
        <w:rPr>
          <w:rFonts w:hAnsi="Times New Roman" w:cs="Times New Roman"/>
          <w:noProof/>
          <w:lang w:val="en-GB"/>
        </w:rPr>
        <w:t xml:space="preserve">, </w:t>
      </w:r>
      <w:r w:rsidRPr="002513DB">
        <w:rPr>
          <w:rFonts w:hAnsi="Times New Roman" w:cs="Times New Roman"/>
          <w:i/>
          <w:iCs/>
          <w:noProof/>
          <w:lang w:val="en-GB"/>
        </w:rPr>
        <w:t>458</w:t>
      </w:r>
      <w:r w:rsidRPr="002513DB">
        <w:rPr>
          <w:rFonts w:hAnsi="Times New Roman" w:cs="Times New Roman"/>
          <w:noProof/>
          <w:lang w:val="en-GB"/>
        </w:rPr>
        <w:t>(7239), 754–756. https://doi.org/10.1038/nature07764</w:t>
      </w:r>
    </w:p>
    <w:p w14:paraId="3A80B43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Currie, D. J. (1991). Energy and large-scale patterns of animal-and plant-species richness.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137</w:t>
      </w:r>
      <w:r w:rsidRPr="002513DB">
        <w:rPr>
          <w:rFonts w:hAnsi="Times New Roman" w:cs="Times New Roman"/>
          <w:noProof/>
          <w:lang w:val="en-GB"/>
        </w:rPr>
        <w:t>(1), 27–49.</w:t>
      </w:r>
    </w:p>
    <w:p w14:paraId="768D5A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Donoghue, M. J. (2008). A phylogenetic perspective on the distribution of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105</w:t>
      </w:r>
      <w:r w:rsidRPr="002513DB">
        <w:rPr>
          <w:rFonts w:hAnsi="Times New Roman" w:cs="Times New Roman"/>
          <w:noProof/>
          <w:lang w:val="en-GB"/>
        </w:rPr>
        <w:t>(Supplement 1), 11549–11555. https://doi.org/10.1073/pnas.0801962105</w:t>
      </w:r>
    </w:p>
    <w:p w14:paraId="27E20B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2513DB">
        <w:rPr>
          <w:rFonts w:hAnsi="Times New Roman" w:cs="Times New Roman"/>
          <w:i/>
          <w:iCs/>
          <w:noProof/>
          <w:lang w:val="en-GB"/>
        </w:rPr>
        <w:t>Ecology and Evolution</w:t>
      </w:r>
      <w:r w:rsidRPr="002513DB">
        <w:rPr>
          <w:rFonts w:hAnsi="Times New Roman" w:cs="Times New Roman"/>
          <w:noProof/>
          <w:lang w:val="en-GB"/>
        </w:rPr>
        <w:t xml:space="preserve">, </w:t>
      </w:r>
      <w:r w:rsidRPr="002513DB">
        <w:rPr>
          <w:rFonts w:hAnsi="Times New Roman" w:cs="Times New Roman"/>
          <w:i/>
          <w:iCs/>
          <w:noProof/>
          <w:lang w:val="en-GB"/>
        </w:rPr>
        <w:t>5</w:t>
      </w:r>
      <w:r w:rsidRPr="002513DB">
        <w:rPr>
          <w:rFonts w:hAnsi="Times New Roman" w:cs="Times New Roman"/>
          <w:noProof/>
          <w:lang w:val="en-GB"/>
        </w:rPr>
        <w:t>(3), 807–820.</w:t>
      </w:r>
    </w:p>
    <w:p w14:paraId="25EA6A8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45</w:t>
      </w:r>
      <w:r w:rsidRPr="002513DB">
        <w:rPr>
          <w:rFonts w:hAnsi="Times New Roman" w:cs="Times New Roman"/>
          <w:noProof/>
          <w:lang w:val="en-GB"/>
        </w:rPr>
        <w:t>(1), 190–200. https://doi.org/10.1111/jbi.13104</w:t>
      </w:r>
    </w:p>
    <w:p w14:paraId="2D06388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2513DB">
        <w:rPr>
          <w:rFonts w:hAnsi="Times New Roman" w:cs="Times New Roman"/>
          <w:i/>
          <w:iCs/>
          <w:noProof/>
          <w:lang w:val="en-GB"/>
        </w:rPr>
        <w:t>Ecological Engineering</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(9), 1191–1200.</w:t>
      </w:r>
    </w:p>
    <w:p w14:paraId="62B276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Gioia, P., &amp; Hopper, S. D. (2017). A new phytogeographic map for the Southwest Australian Floristic Region after an exceptional decade of collection and discovery. </w:t>
      </w:r>
      <w:r w:rsidRPr="002513DB">
        <w:rPr>
          <w:rFonts w:hAnsi="Times New Roman" w:cs="Times New Roman"/>
          <w:i/>
          <w:iCs/>
          <w:noProof/>
          <w:lang w:val="en-GB"/>
        </w:rPr>
        <w:t>Botanical Journal of the Linnean Society</w:t>
      </w:r>
      <w:r w:rsidRPr="002513DB">
        <w:rPr>
          <w:rFonts w:hAnsi="Times New Roman" w:cs="Times New Roman"/>
          <w:noProof/>
          <w:lang w:val="en-GB"/>
        </w:rPr>
        <w:t xml:space="preserve">, </w:t>
      </w:r>
      <w:r w:rsidRPr="002513DB">
        <w:rPr>
          <w:rFonts w:hAnsi="Times New Roman" w:cs="Times New Roman"/>
          <w:i/>
          <w:iCs/>
          <w:noProof/>
          <w:lang w:val="en-GB"/>
        </w:rPr>
        <w:t>184</w:t>
      </w:r>
      <w:r w:rsidRPr="002513DB">
        <w:rPr>
          <w:rFonts w:hAnsi="Times New Roman" w:cs="Times New Roman"/>
          <w:noProof/>
          <w:lang w:val="en-GB"/>
        </w:rPr>
        <w:t>(1), 1–15. https://doi.org/10.1093/botlinnean/box010</w:t>
      </w:r>
    </w:p>
    <w:p w14:paraId="7385147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Goldblatt, P. (1978). An analysis of the flora of Southern Africa: its characteristics, relationships abd origins. </w:t>
      </w:r>
      <w:r w:rsidRPr="002513DB">
        <w:rPr>
          <w:rFonts w:hAnsi="Times New Roman" w:cs="Times New Roman"/>
          <w:i/>
          <w:iCs/>
          <w:noProof/>
          <w:lang w:val="en-GB"/>
        </w:rPr>
        <w:t>Annals of the Missouri Botanical Garden</w:t>
      </w:r>
      <w:r w:rsidRPr="002513DB">
        <w:rPr>
          <w:rFonts w:hAnsi="Times New Roman" w:cs="Times New Roman"/>
          <w:noProof/>
          <w:lang w:val="en-GB"/>
        </w:rPr>
        <w:t xml:space="preserve">, </w:t>
      </w:r>
      <w:r w:rsidRPr="002513DB">
        <w:rPr>
          <w:rFonts w:hAnsi="Times New Roman" w:cs="Times New Roman"/>
          <w:i/>
          <w:iCs/>
          <w:noProof/>
          <w:lang w:val="en-GB"/>
        </w:rPr>
        <w:t>65</w:t>
      </w:r>
      <w:r w:rsidRPr="002513DB">
        <w:rPr>
          <w:rFonts w:hAnsi="Times New Roman" w:cs="Times New Roman"/>
          <w:noProof/>
          <w:lang w:val="en-GB"/>
        </w:rPr>
        <w:t>, 369–436.</w:t>
      </w:r>
    </w:p>
    <w:p w14:paraId="536F836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Gotelli, N. J., &amp; Colwell, R. K. (2001). Quantifying biodiversity: procedures and pitfalls in the measurement and comparison of species richness.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4</w:t>
      </w:r>
      <w:r w:rsidRPr="002513DB">
        <w:rPr>
          <w:rFonts w:hAnsi="Times New Roman" w:cs="Times New Roman"/>
          <w:noProof/>
          <w:lang w:val="en-GB"/>
        </w:rPr>
        <w:t>(4), 379–391. https://doi.org/10.1046/j.1461-0248.2001.00230.x</w:t>
      </w:r>
    </w:p>
    <w:p w14:paraId="7810123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Hart, S. P., Usinowicz, J., &amp; Levine, J. M. (2017). The spatial scales of species coexistence. </w:t>
      </w:r>
      <w:r w:rsidRPr="002513DB">
        <w:rPr>
          <w:rFonts w:hAnsi="Times New Roman" w:cs="Times New Roman"/>
          <w:i/>
          <w:iCs/>
          <w:noProof/>
          <w:lang w:val="en-GB"/>
        </w:rPr>
        <w:t>Nature Ecology &amp; Evolution</w:t>
      </w:r>
      <w:r w:rsidRPr="002513DB">
        <w:rPr>
          <w:rFonts w:hAnsi="Times New Roman" w:cs="Times New Roman"/>
          <w:noProof/>
          <w:lang w:val="en-GB"/>
        </w:rPr>
        <w:t xml:space="preserve">, </w:t>
      </w:r>
      <w:r w:rsidRPr="002513DB">
        <w:rPr>
          <w:rFonts w:hAnsi="Times New Roman" w:cs="Times New Roman"/>
          <w:i/>
          <w:iCs/>
          <w:noProof/>
          <w:lang w:val="en-GB"/>
        </w:rPr>
        <w:t>1</w:t>
      </w:r>
      <w:r w:rsidRPr="002513DB">
        <w:rPr>
          <w:rFonts w:hAnsi="Times New Roman" w:cs="Times New Roman"/>
          <w:noProof/>
          <w:lang w:val="en-GB"/>
        </w:rPr>
        <w:t>(8), 1066–1073. https://doi.org/10.1038/s41559-017-0230-7</w:t>
      </w:r>
    </w:p>
    <w:p w14:paraId="1B97394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84</w:t>
      </w:r>
      <w:r w:rsidRPr="002513DB">
        <w:rPr>
          <w:rFonts w:hAnsi="Times New Roman" w:cs="Times New Roman"/>
          <w:noProof/>
          <w:lang w:val="en-GB"/>
        </w:rPr>
        <w:t>(12), 3105–3117.</w:t>
      </w:r>
    </w:p>
    <w:p w14:paraId="137DDB6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Hijmans, R. J. (2016). </w:t>
      </w:r>
      <w:r w:rsidRPr="002513DB">
        <w:rPr>
          <w:rFonts w:hAnsi="Times New Roman" w:cs="Times New Roman"/>
          <w:i/>
          <w:iCs/>
          <w:noProof/>
          <w:lang w:val="en-GB"/>
        </w:rPr>
        <w:t>raster: Geographic Data Analysis and Modeling. R package version 2.5-8</w:t>
      </w:r>
      <w:r w:rsidRPr="002513DB">
        <w:rPr>
          <w:rFonts w:hAnsi="Times New Roman" w:cs="Times New Roman"/>
          <w:noProof/>
          <w:lang w:val="en-GB"/>
        </w:rPr>
        <w:t>. https://cran.r-project.org/package=raster</w:t>
      </w:r>
    </w:p>
    <w:p w14:paraId="5E559F4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(1979). Biogeographical Aspects of Speciation in the Southwest Australian Flora. </w:t>
      </w:r>
      <w:r w:rsidRPr="002513DB">
        <w:rPr>
          <w:rFonts w:hAnsi="Times New Roman" w:cs="Times New Roman"/>
          <w:i/>
          <w:iCs/>
          <w:noProof/>
          <w:lang w:val="en-GB"/>
        </w:rPr>
        <w:t>Annual Review of Ecology and Systematics</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 399–422. http://www.jstor.org/stable/2096798</w:t>
      </w:r>
    </w:p>
    <w:p w14:paraId="15CC69D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322</w:t>
      </w:r>
      <w:r w:rsidRPr="002513DB">
        <w:rPr>
          <w:rFonts w:hAnsi="Times New Roman" w:cs="Times New Roman"/>
          <w:noProof/>
          <w:lang w:val="en-GB"/>
        </w:rPr>
        <w:t>(1), 49–86. https://doi.org/10.1007/s11104-009-0068-0</w:t>
      </w:r>
    </w:p>
    <w:p w14:paraId="5E05516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 623–650. https://doi.org/10.1146/annurev.ecolsys.35.112202.130201</w:t>
      </w:r>
    </w:p>
    <w:p w14:paraId="0D1065F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&amp; Gioia, P. (2004b). The Southwest Australian Floristic Region :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(1), 623–650. https://doi.org/10.1146/annurev.ecolsys.35.112202.130201</w:t>
      </w:r>
    </w:p>
    <w:p w14:paraId="49235E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Jiménez, I., &amp; Ricklefs, R. E. (2014). Diversity anomalies and spatial climate heterogeneity. </w:t>
      </w:r>
      <w:r w:rsidRPr="002513DB">
        <w:rPr>
          <w:rFonts w:hAnsi="Times New Roman" w:cs="Times New Roman"/>
          <w:i/>
          <w:iCs/>
          <w:noProof/>
          <w:lang w:val="en-GB"/>
        </w:rPr>
        <w:t>Global Ecology and Biogeography</w:t>
      </w:r>
      <w:r w:rsidRPr="002513DB">
        <w:rPr>
          <w:rFonts w:hAnsi="Times New Roman" w:cs="Times New Roman"/>
          <w:noProof/>
          <w:lang w:val="en-GB"/>
        </w:rPr>
        <w:t>. https://doi.org/10.1111/geb.12181</w:t>
      </w:r>
    </w:p>
    <w:p w14:paraId="6CE4F5E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119</w:t>
      </w:r>
      <w:r w:rsidRPr="002513DB">
        <w:rPr>
          <w:rFonts w:hAnsi="Times New Roman" w:cs="Times New Roman"/>
          <w:noProof/>
          <w:lang w:val="en-GB"/>
        </w:rPr>
        <w:t>(2), 289–300. https://doi.org/10.1093/aob/mcw182</w:t>
      </w:r>
    </w:p>
    <w:p w14:paraId="26BA81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Kreft, H., &amp; Jetz, W. (2007). Global patterns and determinants of vascular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104</w:t>
      </w:r>
      <w:r w:rsidRPr="002513DB">
        <w:rPr>
          <w:rFonts w:hAnsi="Times New Roman" w:cs="Times New Roman"/>
          <w:noProof/>
          <w:lang w:val="en-GB"/>
        </w:rPr>
        <w:t>(14), 5925–5930. https://doi.org/10.1073/pnas.0608361104</w:t>
      </w:r>
    </w:p>
    <w:p w14:paraId="5C07CD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Laliberte, E., Zemunik, G., &amp; Turner, B. L. (2014). Environmental filtering explains variation in plant diversity along resource gradients. </w:t>
      </w:r>
      <w:r w:rsidRPr="002513DB">
        <w:rPr>
          <w:rFonts w:hAnsi="Times New Roman" w:cs="Times New Roman"/>
          <w:i/>
          <w:iCs/>
          <w:noProof/>
          <w:lang w:val="en-GB"/>
        </w:rPr>
        <w:t>Science</w:t>
      </w:r>
      <w:r w:rsidRPr="002513DB">
        <w:rPr>
          <w:rFonts w:hAnsi="Times New Roman" w:cs="Times New Roman"/>
          <w:noProof/>
          <w:lang w:val="en-GB"/>
        </w:rPr>
        <w:t xml:space="preserve">, </w:t>
      </w:r>
      <w:r w:rsidRPr="002513DB">
        <w:rPr>
          <w:rFonts w:hAnsi="Times New Roman" w:cs="Times New Roman"/>
          <w:i/>
          <w:iCs/>
          <w:noProof/>
          <w:lang w:val="en-GB"/>
        </w:rPr>
        <w:t>345</w:t>
      </w:r>
      <w:r w:rsidRPr="002513DB">
        <w:rPr>
          <w:rFonts w:hAnsi="Times New Roman" w:cs="Times New Roman"/>
          <w:noProof/>
          <w:lang w:val="en-GB"/>
        </w:rPr>
        <w:t>(6204), 1602–1605. https://doi.org/Doi 10.1126/Science.1256330</w:t>
      </w:r>
    </w:p>
    <w:p w14:paraId="3250FC6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334</w:t>
      </w:r>
      <w:r w:rsidRPr="002513DB">
        <w:rPr>
          <w:rFonts w:hAnsi="Times New Roman" w:cs="Times New Roman"/>
          <w:noProof/>
          <w:lang w:val="en-GB"/>
        </w:rPr>
        <w:t>(1–2), 11–31. https://doi.org/10.1007/s11104-010-0444-9</w:t>
      </w:r>
    </w:p>
    <w:p w14:paraId="67EFCF1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98</w:t>
      </w:r>
      <w:r w:rsidRPr="002513DB">
        <w:rPr>
          <w:rFonts w:hAnsi="Times New Roman" w:cs="Times New Roman"/>
          <w:noProof/>
          <w:lang w:val="en-GB"/>
        </w:rPr>
        <w:t>(4), 693–713. https://doi.org/10.1093/aob/mcl114</w:t>
      </w:r>
    </w:p>
    <w:p w14:paraId="75E9614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Lamont, B. B., &amp; He, T. (2017). When did a Mediterranean-type climate originate in southwestern Australia? </w:t>
      </w:r>
      <w:r w:rsidRPr="002513DB">
        <w:rPr>
          <w:rFonts w:hAnsi="Times New Roman" w:cs="Times New Roman"/>
          <w:i/>
          <w:iCs/>
          <w:noProof/>
          <w:lang w:val="en-GB"/>
        </w:rPr>
        <w:t>Global and Planetary Change</w:t>
      </w:r>
      <w:r w:rsidRPr="002513DB">
        <w:rPr>
          <w:rFonts w:hAnsi="Times New Roman" w:cs="Times New Roman"/>
          <w:noProof/>
          <w:lang w:val="en-GB"/>
        </w:rPr>
        <w:t xml:space="preserve">, </w:t>
      </w:r>
      <w:r w:rsidRPr="002513DB">
        <w:rPr>
          <w:rFonts w:hAnsi="Times New Roman" w:cs="Times New Roman"/>
          <w:i/>
          <w:iCs/>
          <w:noProof/>
          <w:lang w:val="en-GB"/>
        </w:rPr>
        <w:t>156</w:t>
      </w:r>
      <w:r w:rsidRPr="002513DB">
        <w:rPr>
          <w:rFonts w:hAnsi="Times New Roman" w:cs="Times New Roman"/>
          <w:noProof/>
          <w:lang w:val="en-GB"/>
        </w:rPr>
        <w:t>, 46–58. https://doi.org/10.1016/j.gloplacha.2017.08.004</w:t>
      </w:r>
    </w:p>
    <w:p w14:paraId="1544CCA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2513DB">
        <w:rPr>
          <w:rFonts w:hAnsi="Times New Roman" w:cs="Times New Roman"/>
          <w:i/>
          <w:iCs/>
          <w:noProof/>
          <w:lang w:val="en-GB"/>
        </w:rPr>
        <w:t>African Journal of Ecology</w:t>
      </w:r>
      <w:r w:rsidRPr="002513DB">
        <w:rPr>
          <w:rFonts w:hAnsi="Times New Roman" w:cs="Times New Roman"/>
          <w:noProof/>
          <w:lang w:val="en-GB"/>
        </w:rPr>
        <w:t xml:space="preserve">, </w:t>
      </w:r>
      <w:r w:rsidRPr="002513DB">
        <w:rPr>
          <w:rFonts w:hAnsi="Times New Roman" w:cs="Times New Roman"/>
          <w:i/>
          <w:iCs/>
          <w:noProof/>
          <w:lang w:val="en-GB"/>
        </w:rPr>
        <w:t>47</w:t>
      </w:r>
      <w:r w:rsidRPr="002513DB">
        <w:rPr>
          <w:rFonts w:hAnsi="Times New Roman" w:cs="Times New Roman"/>
          <w:noProof/>
          <w:lang w:val="en-GB"/>
        </w:rPr>
        <w:t>(3), 382–392. https://doi.org/10.1111/j.1365-2028.2008.00997.x</w:t>
      </w:r>
    </w:p>
    <w:p w14:paraId="0B6C455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2513DB">
        <w:rPr>
          <w:rFonts w:hAnsi="Times New Roman" w:cs="Times New Roman"/>
          <w:i/>
          <w:iCs/>
          <w:noProof/>
          <w:lang w:val="en-GB"/>
        </w:rPr>
        <w:t>Marine Ecology</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 1–5. https://doi.org/10.1111/j.1439-0485.2009.00358.x</w:t>
      </w:r>
    </w:p>
    <w:p w14:paraId="53ACDB3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Linder, H. P. (2019). Rare species, Restionaceae, and the Cape flora. </w:t>
      </w:r>
      <w:r w:rsidRPr="002513DB">
        <w:rPr>
          <w:rFonts w:hAnsi="Times New Roman" w:cs="Times New Roman"/>
          <w:i/>
          <w:iCs/>
          <w:noProof/>
          <w:lang w:val="en-GB"/>
        </w:rPr>
        <w:t>Journal of Biogeography</w:t>
      </w:r>
      <w:r w:rsidRPr="002513DB">
        <w:rPr>
          <w:rFonts w:hAnsi="Times New Roman" w:cs="Times New Roman"/>
          <w:noProof/>
          <w:lang w:val="en-GB"/>
        </w:rPr>
        <w:t>, 1–14. https://doi.org/10.1111/jbi.13709</w:t>
      </w:r>
    </w:p>
    <w:p w14:paraId="2961D6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McLaughlin, B. C., Ackerly, D. D., Klos, P. Z., Natali, J., Dawson, T. E., &amp; Thompson, S. E. (2017). Hydrologic refugia, plants, and climate change. </w:t>
      </w:r>
      <w:r w:rsidRPr="002513DB">
        <w:rPr>
          <w:rFonts w:hAnsi="Times New Roman" w:cs="Times New Roman"/>
          <w:i/>
          <w:iCs/>
          <w:noProof/>
          <w:lang w:val="en-GB"/>
        </w:rPr>
        <w:t>Global Change Biology</w:t>
      </w:r>
      <w:r w:rsidRPr="002513DB">
        <w:rPr>
          <w:rFonts w:hAnsi="Times New Roman" w:cs="Times New Roman"/>
          <w:noProof/>
          <w:lang w:val="en-GB"/>
        </w:rPr>
        <w:t xml:space="preserve">, </w:t>
      </w:r>
      <w:r w:rsidRPr="002513DB">
        <w:rPr>
          <w:rFonts w:hAnsi="Times New Roman" w:cs="Times New Roman"/>
          <w:i/>
          <w:iCs/>
          <w:noProof/>
          <w:lang w:val="en-GB"/>
        </w:rPr>
        <w:t>23</w:t>
      </w:r>
      <w:r w:rsidRPr="002513DB">
        <w:rPr>
          <w:rFonts w:hAnsi="Times New Roman" w:cs="Times New Roman"/>
          <w:noProof/>
          <w:lang w:val="en-GB"/>
        </w:rPr>
        <w:t>(8), 2941–2961.</w:t>
      </w:r>
    </w:p>
    <w:p w14:paraId="29753F3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2513DB">
        <w:rPr>
          <w:rFonts w:hAnsi="Times New Roman" w:cs="Times New Roman"/>
          <w:i/>
          <w:iCs/>
          <w:noProof/>
          <w:lang w:val="en-GB"/>
        </w:rPr>
        <w:t>Journal of Arid Environments</w:t>
      </w:r>
      <w:r w:rsidRPr="002513DB">
        <w:rPr>
          <w:rFonts w:hAnsi="Times New Roman" w:cs="Times New Roman"/>
          <w:noProof/>
          <w:lang w:val="en-GB"/>
        </w:rPr>
        <w:t xml:space="preserve">, </w:t>
      </w:r>
      <w:r w:rsidRPr="002513DB">
        <w:rPr>
          <w:rFonts w:hAnsi="Times New Roman" w:cs="Times New Roman"/>
          <w:i/>
          <w:iCs/>
          <w:noProof/>
          <w:lang w:val="en-GB"/>
        </w:rPr>
        <w:t>74</w:t>
      </w:r>
      <w:r w:rsidRPr="002513DB">
        <w:rPr>
          <w:rFonts w:hAnsi="Times New Roman" w:cs="Times New Roman"/>
          <w:noProof/>
          <w:lang w:val="en-GB"/>
        </w:rPr>
        <w:t>(7), 786–793.</w:t>
      </w:r>
    </w:p>
    <w:p w14:paraId="12077D7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 E, &amp; Sugden, J. M. (1991). A vegetation history of the last 14,500 years on the Cederberg, SW Cape, South Africa. </w:t>
      </w:r>
      <w:r w:rsidRPr="002513DB">
        <w:rPr>
          <w:rFonts w:hAnsi="Times New Roman" w:cs="Times New Roman"/>
          <w:i/>
          <w:iCs/>
          <w:noProof/>
          <w:lang w:val="en-GB"/>
        </w:rPr>
        <w:t>South African Journal of Science</w:t>
      </w:r>
      <w:r w:rsidRPr="002513DB">
        <w:rPr>
          <w:rFonts w:hAnsi="Times New Roman" w:cs="Times New Roman"/>
          <w:noProof/>
          <w:lang w:val="en-GB"/>
        </w:rPr>
        <w:t xml:space="preserve">, </w:t>
      </w:r>
      <w:r w:rsidRPr="002513DB">
        <w:rPr>
          <w:rFonts w:hAnsi="Times New Roman" w:cs="Times New Roman"/>
          <w:i/>
          <w:iCs/>
          <w:noProof/>
          <w:lang w:val="en-GB"/>
        </w:rPr>
        <w:t>87</w:t>
      </w:r>
      <w:r w:rsidRPr="002513DB">
        <w:rPr>
          <w:rFonts w:hAnsi="Times New Roman" w:cs="Times New Roman"/>
          <w:noProof/>
          <w:lang w:val="en-GB"/>
        </w:rPr>
        <w:t>(3).</w:t>
      </w:r>
    </w:p>
    <w:p w14:paraId="44663A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Michael E, &amp; Sugden, J. M. (1993). The late Quaternary palaeoecology of a floristic kingdom: the southwestern Cape South Africa. </w:t>
      </w:r>
      <w:r w:rsidRPr="002513DB">
        <w:rPr>
          <w:rFonts w:hAnsi="Times New Roman" w:cs="Times New Roman"/>
          <w:i/>
          <w:iCs/>
          <w:noProof/>
          <w:lang w:val="en-GB"/>
        </w:rPr>
        <w:t>Palaeogeography, Palaeoclimatology, Palaeoecology</w:t>
      </w:r>
      <w:r w:rsidRPr="002513DB">
        <w:rPr>
          <w:rFonts w:hAnsi="Times New Roman" w:cs="Times New Roman"/>
          <w:noProof/>
          <w:lang w:val="en-GB"/>
        </w:rPr>
        <w:t xml:space="preserve">, </w:t>
      </w:r>
      <w:r w:rsidRPr="002513DB">
        <w:rPr>
          <w:rFonts w:hAnsi="Times New Roman" w:cs="Times New Roman"/>
          <w:i/>
          <w:iCs/>
          <w:noProof/>
          <w:lang w:val="en-GB"/>
        </w:rPr>
        <w:t>101</w:t>
      </w:r>
      <w:r w:rsidRPr="002513DB">
        <w:rPr>
          <w:rFonts w:hAnsi="Times New Roman" w:cs="Times New Roman"/>
          <w:noProof/>
          <w:lang w:val="en-GB"/>
        </w:rPr>
        <w:t>(3–4), 271–281.</w:t>
      </w:r>
    </w:p>
    <w:p w14:paraId="20DBE71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Merow, C., Smith, M. J., &amp; Silander, J. A. (2013). A practical guide to MaxEnt for modeling species’ distributions: what it does, and why inputs and settings matter.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(10), 1058–1069.</w:t>
      </w:r>
    </w:p>
    <w:p w14:paraId="2F3C935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(2), 107. https://doi.org/10.2307/2844553</w:t>
      </w:r>
    </w:p>
    <w:p w14:paraId="41ECC5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2513DB">
        <w:rPr>
          <w:rFonts w:hAnsi="Times New Roman" w:cs="Times New Roman"/>
          <w:i/>
          <w:iCs/>
          <w:noProof/>
          <w:lang w:val="en-GB"/>
        </w:rPr>
        <w:t>PLoS ONE</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(7), 1–16. https://doi.org/10.1371/journal.pone.0131924</w:t>
      </w:r>
    </w:p>
    <w:p w14:paraId="33682E4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Mucina, L., &amp; Rutherford, M. C. (2006). </w:t>
      </w:r>
      <w:r w:rsidRPr="002513DB">
        <w:rPr>
          <w:rFonts w:hAnsi="Times New Roman" w:cs="Times New Roman"/>
          <w:i/>
          <w:iCs/>
          <w:noProof/>
          <w:lang w:val="en-GB"/>
        </w:rPr>
        <w:t>The vegetation of South Africa, Lesotho and Swaziland.</w:t>
      </w:r>
      <w:r w:rsidRPr="002513DB">
        <w:rPr>
          <w:rFonts w:hAnsi="Times New Roman" w:cs="Times New Roman"/>
          <w:noProof/>
          <w:lang w:val="en-GB"/>
        </w:rPr>
        <w:t xml:space="preserve"> South African National Biodiversity Institute.</w:t>
      </w:r>
    </w:p>
    <w:p w14:paraId="3EC3342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Oliver, E. G. H., Linder, H. P., &amp; Rourke, J. P. (1983). Geographical distribution of present-day Cape taxa and their phytogeographical significance. </w:t>
      </w:r>
      <w:r w:rsidRPr="002513DB">
        <w:rPr>
          <w:rFonts w:hAnsi="Times New Roman" w:cs="Times New Roman"/>
          <w:i/>
          <w:iCs/>
          <w:noProof/>
          <w:lang w:val="en-GB"/>
        </w:rPr>
        <w:t>Bothalia</w:t>
      </w:r>
      <w:r w:rsidRPr="002513DB">
        <w:rPr>
          <w:rFonts w:hAnsi="Times New Roman" w:cs="Times New Roman"/>
          <w:noProof/>
          <w:lang w:val="en-GB"/>
        </w:rPr>
        <w:t xml:space="preserve">, </w:t>
      </w:r>
      <w:r w:rsidRPr="002513DB">
        <w:rPr>
          <w:rFonts w:hAnsi="Times New Roman" w:cs="Times New Roman"/>
          <w:i/>
          <w:iCs/>
          <w:noProof/>
          <w:lang w:val="en-GB"/>
        </w:rPr>
        <w:t>14</w:t>
      </w:r>
      <w:r w:rsidRPr="002513DB">
        <w:rPr>
          <w:rFonts w:hAnsi="Times New Roman" w:cs="Times New Roman"/>
          <w:noProof/>
          <w:lang w:val="en-GB"/>
        </w:rPr>
        <w:t>(3/4), 427–440.</w:t>
      </w:r>
    </w:p>
    <w:p w14:paraId="61B3988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(11), 933–938.</w:t>
      </w:r>
    </w:p>
    <w:p w14:paraId="41EF31E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 Core Team. (2019). </w:t>
      </w:r>
      <w:r w:rsidRPr="002513DB">
        <w:rPr>
          <w:rFonts w:hAnsi="Times New Roman" w:cs="Times New Roman"/>
          <w:i/>
          <w:iCs/>
          <w:noProof/>
          <w:lang w:val="en-GB"/>
        </w:rPr>
        <w:t>R: A Language and Environment for Statistical Computing</w:t>
      </w:r>
      <w:r w:rsidRPr="002513DB">
        <w:rPr>
          <w:rFonts w:hAnsi="Times New Roman" w:cs="Times New Roman"/>
          <w:noProof/>
          <w:lang w:val="en-GB"/>
        </w:rPr>
        <w:t>. https://www.r-project.org/</w:t>
      </w:r>
    </w:p>
    <w:p w14:paraId="105A7A5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Rebelo, T. G. (2001). </w:t>
      </w:r>
      <w:r w:rsidRPr="002513DB">
        <w:rPr>
          <w:rFonts w:hAnsi="Times New Roman" w:cs="Times New Roman"/>
          <w:i/>
          <w:iCs/>
          <w:noProof/>
          <w:lang w:val="en-GB"/>
        </w:rPr>
        <w:t>A field guide to the proteas of South Africa</w:t>
      </w:r>
      <w:r w:rsidRPr="002513DB">
        <w:rPr>
          <w:rFonts w:hAnsi="Times New Roman" w:cs="Times New Roman"/>
          <w:noProof/>
          <w:lang w:val="en-GB"/>
        </w:rPr>
        <w:t>. Fernwood.</w:t>
      </w:r>
    </w:p>
    <w:p w14:paraId="7A13DBA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(1987). Community diversity: relative roles of local and regional processes. </w:t>
      </w:r>
      <w:r w:rsidRPr="002513DB">
        <w:rPr>
          <w:rFonts w:hAnsi="Times New Roman" w:cs="Times New Roman"/>
          <w:i/>
          <w:iCs/>
          <w:noProof/>
          <w:lang w:val="en-GB"/>
        </w:rPr>
        <w:t>Science, New Series</w:t>
      </w:r>
      <w:r w:rsidRPr="002513DB">
        <w:rPr>
          <w:rFonts w:hAnsi="Times New Roman" w:cs="Times New Roman"/>
          <w:noProof/>
          <w:lang w:val="en-GB"/>
        </w:rPr>
        <w:t xml:space="preserve">, </w:t>
      </w:r>
      <w:r w:rsidRPr="002513DB">
        <w:rPr>
          <w:rFonts w:hAnsi="Times New Roman" w:cs="Times New Roman"/>
          <w:i/>
          <w:iCs/>
          <w:noProof/>
          <w:lang w:val="en-GB"/>
        </w:rPr>
        <w:t>235</w:t>
      </w:r>
      <w:r w:rsidRPr="002513DB">
        <w:rPr>
          <w:rFonts w:hAnsi="Times New Roman" w:cs="Times New Roman"/>
          <w:noProof/>
          <w:lang w:val="en-GB"/>
        </w:rPr>
        <w:t>(4785), 167–171.</w:t>
      </w:r>
    </w:p>
    <w:p w14:paraId="66DF83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(2004). A comprehensive framework for global patterns in biodiversity.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7</w:t>
      </w:r>
      <w:r w:rsidRPr="002513DB">
        <w:rPr>
          <w:rFonts w:hAnsi="Times New Roman" w:cs="Times New Roman"/>
          <w:noProof/>
          <w:lang w:val="en-GB"/>
        </w:rPr>
        <w:t>(1), 1–15.</w:t>
      </w:r>
    </w:p>
    <w:p w14:paraId="27B2245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2513DB">
        <w:rPr>
          <w:rFonts w:hAnsi="Times New Roman" w:cs="Times New Roman"/>
          <w:i/>
          <w:iCs/>
          <w:noProof/>
          <w:lang w:val="en-GB"/>
        </w:rPr>
        <w:t>Plant, Cell &amp; Environment</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(12), 1825–1833.</w:t>
      </w:r>
    </w:p>
    <w:p w14:paraId="782A03E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Slingsby, J. A., February, E. C., &amp; Rebelo, T. G. (2018). Water: at what cost to our unique flora? </w:t>
      </w:r>
      <w:r w:rsidRPr="002513DB">
        <w:rPr>
          <w:rFonts w:hAnsi="Times New Roman" w:cs="Times New Roman"/>
          <w:i/>
          <w:iCs/>
          <w:noProof/>
          <w:lang w:val="en-GB"/>
        </w:rPr>
        <w:t>Veld &amp; Flora</w:t>
      </w:r>
      <w:r w:rsidRPr="002513DB">
        <w:rPr>
          <w:rFonts w:hAnsi="Times New Roman" w:cs="Times New Roman"/>
          <w:noProof/>
          <w:lang w:val="en-GB"/>
        </w:rPr>
        <w:t xml:space="preserve">, </w:t>
      </w:r>
      <w:r w:rsidRPr="002513DB">
        <w:rPr>
          <w:rFonts w:hAnsi="Times New Roman" w:cs="Times New Roman"/>
          <w:i/>
          <w:iCs/>
          <w:noProof/>
          <w:lang w:val="en-GB"/>
        </w:rPr>
        <w:t>June</w:t>
      </w:r>
      <w:r w:rsidRPr="002513DB">
        <w:rPr>
          <w:rFonts w:hAnsi="Times New Roman" w:cs="Times New Roman"/>
          <w:noProof/>
          <w:lang w:val="en-GB"/>
        </w:rPr>
        <w:t>, 72–75.</w:t>
      </w:r>
    </w:p>
    <w:p w14:paraId="7EE4F2B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Snijman, D. A. (2013). </w:t>
      </w:r>
      <w:r w:rsidRPr="002513DB">
        <w:rPr>
          <w:rFonts w:hAnsi="Times New Roman" w:cs="Times New Roman"/>
          <w:i/>
          <w:iCs/>
          <w:noProof/>
          <w:lang w:val="en-GB"/>
        </w:rPr>
        <w:t>Plants of the Greater Cape Floristic Region. 2: The Extra Cape flora</w:t>
      </w:r>
      <w:r w:rsidRPr="002513DB">
        <w:rPr>
          <w:rFonts w:hAnsi="Times New Roman" w:cs="Times New Roman"/>
          <w:noProof/>
          <w:lang w:val="en-GB"/>
        </w:rPr>
        <w:t>. South African National Biodiversity Institute.</w:t>
      </w:r>
    </w:p>
    <w:p w14:paraId="30400DB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Sobel, J. M., Chen, G. F., Watt, L. R., &amp; Schemske, D. W. (2010). The biology of speciation.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64</w:t>
      </w:r>
      <w:r w:rsidRPr="002513DB">
        <w:rPr>
          <w:rFonts w:hAnsi="Times New Roman" w:cs="Times New Roman"/>
          <w:noProof/>
          <w:lang w:val="en-GB"/>
        </w:rPr>
        <w:t>(2), 295–315. https://doi.org/10.1111/j.1558-5646.2009.00877.x</w:t>
      </w:r>
    </w:p>
    <w:p w14:paraId="245A87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Stein, A., Gerstner, K., &amp; Kreft, H. (2014). Environmental heterogeneity as a universal driver of species richness across taxa, biomes and spatial scales.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17</w:t>
      </w:r>
      <w:r w:rsidRPr="002513DB">
        <w:rPr>
          <w:rFonts w:hAnsi="Times New Roman" w:cs="Times New Roman"/>
          <w:noProof/>
          <w:lang w:val="en-GB"/>
        </w:rPr>
        <w:t>(7), 866–880. https://doi.org/10.1111/ele.12277</w:t>
      </w:r>
    </w:p>
    <w:p w14:paraId="4004CDA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Stock, W. D., &amp; Verboom, G. A. (2012). Phylogenetic ecology of foliar N and P concentrations and N: P ratios across mediterranean-type ecosystems. </w:t>
      </w:r>
      <w:r w:rsidRPr="002513DB">
        <w:rPr>
          <w:rFonts w:hAnsi="Times New Roman" w:cs="Times New Roman"/>
          <w:i/>
          <w:iCs/>
          <w:noProof/>
          <w:lang w:val="en-GB"/>
        </w:rPr>
        <w:t>Global Ecology and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(12), 1147–1156.</w:t>
      </w:r>
    </w:p>
    <w:p w14:paraId="1351E9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29</w:t>
      </w:r>
      <w:r w:rsidRPr="002513DB">
        <w:rPr>
          <w:rFonts w:hAnsi="Times New Roman" w:cs="Times New Roman"/>
          <w:noProof/>
          <w:lang w:val="en-GB"/>
        </w:rPr>
        <w:t>(5), 733–744. https://doi.org/10.1111/j.0906-7590.2006.04674.x</w:t>
      </w:r>
    </w:p>
    <w:p w14:paraId="4874635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van Rensburg, B. J., Chown, S. L., &amp; Gaston, K. J. (2002). Species richness, environmental correlates, and spatial scale: a test esing South African birds.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159</w:t>
      </w:r>
      <w:r w:rsidRPr="002513DB">
        <w:rPr>
          <w:rFonts w:hAnsi="Times New Roman" w:cs="Times New Roman"/>
          <w:noProof/>
          <w:lang w:val="en-GB"/>
        </w:rPr>
        <w:t>(5), 566–577. https://doi.org/10.1086/339464</w:t>
      </w:r>
    </w:p>
    <w:p w14:paraId="3415018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Veech, J. A., Summerville, K. S., Crist, T. O., &amp; Gering, J. C. (2002). The additive partitioning of species diversity: recent revival of an old idea. </w:t>
      </w:r>
      <w:r w:rsidRPr="002513DB">
        <w:rPr>
          <w:rFonts w:hAnsi="Times New Roman" w:cs="Times New Roman"/>
          <w:i/>
          <w:iCs/>
          <w:noProof/>
          <w:lang w:val="en-GB"/>
        </w:rPr>
        <w:t>Oikos</w:t>
      </w:r>
      <w:r w:rsidRPr="002513DB">
        <w:rPr>
          <w:rFonts w:hAnsi="Times New Roman" w:cs="Times New Roman"/>
          <w:noProof/>
          <w:lang w:val="en-GB"/>
        </w:rPr>
        <w:t xml:space="preserve">, </w:t>
      </w:r>
      <w:r w:rsidRPr="002513DB">
        <w:rPr>
          <w:rFonts w:hAnsi="Times New Roman" w:cs="Times New Roman"/>
          <w:i/>
          <w:iCs/>
          <w:noProof/>
          <w:lang w:val="en-GB"/>
        </w:rPr>
        <w:t>99</w:t>
      </w:r>
      <w:r w:rsidRPr="002513DB">
        <w:rPr>
          <w:rFonts w:hAnsi="Times New Roman" w:cs="Times New Roman"/>
          <w:noProof/>
          <w:lang w:val="en-GB"/>
        </w:rPr>
        <w:t>(1), 3–9.</w:t>
      </w:r>
    </w:p>
    <w:p w14:paraId="24E7DBC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Oxford University Press. http://www.oxfordscholarship.com/view/10.1093/acprof:oso/9780199679584.001.0001/acprof-9780199679584</w:t>
      </w:r>
    </w:p>
    <w:p w14:paraId="6DE81FD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Whittaker, R. H. (1960). Vegetation of the Siskiyou mountains, Oregon and California. </w:t>
      </w:r>
      <w:r w:rsidRPr="002513DB">
        <w:rPr>
          <w:rFonts w:hAnsi="Times New Roman" w:cs="Times New Roman"/>
          <w:i/>
          <w:iCs/>
          <w:noProof/>
          <w:lang w:val="en-GB"/>
        </w:rPr>
        <w:t>Ecological Monographs</w:t>
      </w:r>
      <w:r w:rsidRPr="002513DB">
        <w:rPr>
          <w:rFonts w:hAnsi="Times New Roman" w:cs="Times New Roman"/>
          <w:noProof/>
          <w:lang w:val="en-GB"/>
        </w:rPr>
        <w:t xml:space="preserve">, </w:t>
      </w:r>
      <w:r w:rsidRPr="002513DB">
        <w:rPr>
          <w:rFonts w:hAnsi="Times New Roman" w:cs="Times New Roman"/>
          <w:i/>
          <w:iCs/>
          <w:noProof/>
          <w:lang w:val="en-GB"/>
        </w:rPr>
        <w:t>30</w:t>
      </w:r>
      <w:r w:rsidRPr="002513DB">
        <w:rPr>
          <w:rFonts w:hAnsi="Times New Roman" w:cs="Times New Roman"/>
          <w:noProof/>
          <w:lang w:val="en-GB"/>
        </w:rPr>
        <w:t>(3), 279–338.</w:t>
      </w:r>
    </w:p>
    <w:p w14:paraId="7D194E5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(2004a). Speciation and ecology revisited: phylogenetic niche conservatism and the origin of species.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58</w:t>
      </w:r>
      <w:r w:rsidRPr="002513DB">
        <w:rPr>
          <w:rFonts w:hAnsi="Times New Roman" w:cs="Times New Roman"/>
          <w:noProof/>
          <w:lang w:val="en-GB"/>
        </w:rPr>
        <w:t>(1), 193–197.</w:t>
      </w:r>
    </w:p>
    <w:p w14:paraId="4EDE7F0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(2004b). What is speciation and how should we study it?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163</w:t>
      </w:r>
      <w:r w:rsidRPr="002513DB">
        <w:rPr>
          <w:rFonts w:hAnsi="Times New Roman" w:cs="Times New Roman"/>
          <w:noProof/>
          <w:lang w:val="en-GB"/>
        </w:rPr>
        <w:t>(6), 914–923.</w:t>
      </w:r>
    </w:p>
    <w:p w14:paraId="48BBDDE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rPr>
      </w:pPr>
      <w:r w:rsidRPr="002513DB">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46</w:t>
      </w:r>
      <w:r w:rsidRPr="002513DB">
        <w:rPr>
          <w:rFonts w:hAnsi="Times New Roman" w:cs="Times New Roman"/>
          <w:noProof/>
          <w:lang w:val="en-GB"/>
        </w:rPr>
        <w:t>(9), 1936–1947. https://doi.org/10.1111/jbi.13625</w:t>
      </w:r>
    </w:p>
    <w:p w14:paraId="79A91F4D" w14:textId="6A3D9148" w:rsidR="00112BB0" w:rsidRDefault="008E0DFC" w:rsidP="002513D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5430565A" w:rsidR="00EF41C1" w:rsidRDefault="00F3256A" w:rsidP="002C20EB">
      <w:pPr>
        <w:pStyle w:val="BodyText"/>
        <w:spacing w:before="0"/>
      </w:pPr>
      <w:proofErr w:type="spellStart"/>
      <w:r>
        <w:rPr>
          <w:b/>
        </w:rPr>
        <w:t>Ruan</w:t>
      </w:r>
      <w:proofErr w:type="spellEnd"/>
      <w:r>
        <w:rPr>
          <w:b/>
        </w:rPr>
        <w:t xml:space="preserve"> v</w:t>
      </w:r>
      <w:r w:rsidR="00EF41C1" w:rsidRPr="00F3256A">
        <w:rPr>
          <w:b/>
        </w:rPr>
        <w:t xml:space="preserve">an </w:t>
      </w:r>
      <w:proofErr w:type="spellStart"/>
      <w:r w:rsidR="00EF41C1" w:rsidRPr="00F3256A">
        <w:rPr>
          <w:b/>
        </w:rPr>
        <w:t>Mazijk</w:t>
      </w:r>
      <w:proofErr w:type="spellEnd"/>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proofErr w:type="spellStart"/>
      <w:r w:rsidRPr="002B2755">
        <w:t>R</w:t>
      </w:r>
      <w:r w:rsidRPr="002C20EB">
        <w:t>uan</w:t>
      </w:r>
      <w:proofErr w:type="spellEnd"/>
      <w:r w:rsidRPr="002C20EB">
        <w:t xml:space="preserve"> van </w:t>
      </w:r>
      <w:proofErr w:type="spellStart"/>
      <w:r w:rsidRPr="002C20EB">
        <w:t>Mazijk</w:t>
      </w:r>
      <w:proofErr w:type="spellEnd"/>
      <w:r w:rsidRPr="002C20EB">
        <w:t xml:space="preserve">: </w:t>
      </w:r>
      <w:hyperlink r:id="rId21"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2"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3" w:history="1">
        <w:r w:rsidRPr="002C20EB">
          <w:rPr>
            <w:rStyle w:val="Hyperlink"/>
          </w:rPr>
          <w:t>https://orcid.org/0000-0002-1363-9781</w:t>
        </w:r>
      </w:hyperlink>
    </w:p>
    <w:sectPr w:rsidR="00B46208" w:rsidRPr="00B46208" w:rsidSect="009C2F09">
      <w:footerReference w:type="default" r:id="rId24"/>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Ruan Van Mazijk" w:date="2020-02-28T09:45:00Z" w:initials="RVM">
    <w:p w14:paraId="7FC83B5D" w14:textId="61CC4C85" w:rsidR="00157A68" w:rsidRPr="00FF78F9" w:rsidRDefault="00157A68">
      <w:pPr>
        <w:pStyle w:val="CommentText"/>
      </w:pPr>
      <w:r>
        <w:rPr>
          <w:rStyle w:val="CommentReference"/>
        </w:rPr>
        <w:annotationRef/>
      </w:r>
      <w:r>
        <w:t xml:space="preserve">cf. </w:t>
      </w:r>
      <w:r>
        <w:t>“</w:t>
      </w:r>
      <w:r>
        <w:t>associate</w:t>
      </w:r>
      <w:r>
        <w:t>”</w:t>
      </w:r>
      <w:r>
        <w:t xml:space="preserve"> (</w:t>
      </w:r>
      <w:r w:rsidR="00776894" w:rsidRPr="00776894">
        <w:t>verb</w:t>
      </w:r>
      <w:r>
        <w:t>)?</w:t>
      </w:r>
    </w:p>
  </w:comment>
  <w:comment w:id="4" w:author="Michael Cramer" w:date="2020-01-29T14:55:00Z" w:initials="MC">
    <w:p w14:paraId="7D6E1E8C" w14:textId="72377C6B" w:rsidR="00157A68" w:rsidRDefault="00157A68">
      <w:pPr>
        <w:pStyle w:val="CommentText"/>
      </w:pPr>
      <w:r>
        <w:rPr>
          <w:rStyle w:val="CommentReference"/>
        </w:rPr>
        <w:annotationRef/>
      </w:r>
      <w:r>
        <w:t xml:space="preserve">Students and I have previously commented on multiple referencing. Please confine to circumstances where necessary. </w:t>
      </w:r>
    </w:p>
  </w:comment>
  <w:comment w:id="6" w:author="Michael Cramer" w:date="2020-01-21T16:03:00Z" w:initials="MC">
    <w:p w14:paraId="40C7EE35" w14:textId="77D72B2E" w:rsidR="00157A68" w:rsidRDefault="00157A68">
      <w:pPr>
        <w:pStyle w:val="CommentText"/>
      </w:pPr>
      <w:r>
        <w:rPr>
          <w:rStyle w:val="CommentReference"/>
        </w:rPr>
        <w:annotationRef/>
      </w:r>
      <w:r>
        <w:t>I would argue that Hooper</w:t>
      </w:r>
      <w:r>
        <w:t>’</w:t>
      </w:r>
      <w:r>
        <w:t xml:space="preserve">s application of this to SWAFR similarly distorts patterns there. </w:t>
      </w:r>
    </w:p>
  </w:comment>
  <w:comment w:id="10" w:author="Michael Cramer" w:date="2020-01-21T16:36:00Z" w:initials="MC">
    <w:p w14:paraId="6590F930" w14:textId="1D0C42F5" w:rsidR="00157A68" w:rsidRDefault="00157A68">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157A68" w:rsidRDefault="00157A68">
      <w:pPr>
        <w:pStyle w:val="CommentText"/>
      </w:pPr>
    </w:p>
  </w:comment>
  <w:comment w:id="11" w:author="Ruan Van Mazijk [2]" w:date="2020-03-06T10:27:00Z" w:initials="RVM">
    <w:p w14:paraId="7796EBF2" w14:textId="1EAB8DA6" w:rsidR="00EE37AF" w:rsidRDefault="00EE37AF">
      <w:pPr>
        <w:pStyle w:val="CommentText"/>
      </w:pPr>
      <w:r>
        <w:rPr>
          <w:rStyle w:val="CommentReference"/>
        </w:rPr>
        <w:annotationRef/>
      </w:r>
      <w:r>
        <w:t>TODO: Link to outlier maps (SI)</w:t>
      </w:r>
    </w:p>
  </w:comment>
  <w:comment w:id="12" w:author="Michael Cramer" w:date="2020-01-21T16:49:00Z" w:initials="MC">
    <w:p w14:paraId="20DE24DD" w14:textId="4372F8D1" w:rsidR="00157A68" w:rsidRDefault="00157A68">
      <w:pPr>
        <w:pStyle w:val="CommentText"/>
      </w:pPr>
      <w:r>
        <w:rPr>
          <w:rStyle w:val="CommentReference"/>
        </w:rPr>
        <w:annotationRef/>
      </w:r>
      <w:r>
        <w:t xml:space="preserve">Again, my feeling is that the data has not been properly dealt with. There is quite a bit to comment </w:t>
      </w:r>
      <w:proofErr w:type="gramStart"/>
      <w:r>
        <w:t>on</w:t>
      </w:r>
      <w:proofErr w:type="gramEnd"/>
      <w:r>
        <w:t xml:space="preserve"> I think.</w:t>
      </w:r>
    </w:p>
  </w:comment>
  <w:comment w:id="13" w:author="Ruan Van Mazijk" w:date="2020-02-28T14:10:00Z" w:initials="RVM">
    <w:p w14:paraId="3F4DA4D2" w14:textId="2DD7C931" w:rsidR="00157A68" w:rsidRDefault="00157A68">
      <w:pPr>
        <w:pStyle w:val="CommentText"/>
      </w:pPr>
      <w:r>
        <w:rPr>
          <w:rStyle w:val="CommentReference"/>
        </w:rPr>
        <w:annotationRef/>
      </w:r>
      <w:r>
        <w:t>Still needed?</w:t>
      </w:r>
    </w:p>
  </w:comment>
  <w:comment w:id="14" w:author="Ruan Van Mazijk" w:date="2020-02-27T16:15:00Z" w:initials="RVM">
    <w:p w14:paraId="4B02A409" w14:textId="5D217374" w:rsidR="00157A68" w:rsidRDefault="00157A68">
      <w:pPr>
        <w:pStyle w:val="CommentText"/>
      </w:pPr>
      <w:r>
        <w:rPr>
          <w:rStyle w:val="CommentReference"/>
        </w:rPr>
        <w:annotationRef/>
      </w:r>
      <w:r>
        <w:t>Still relevant?</w:t>
      </w:r>
    </w:p>
  </w:comment>
  <w:comment w:id="15" w:author="Ruan Van Mazijk" w:date="2020-02-27T18:23:00Z" w:initials="RVM">
    <w:p w14:paraId="5CBACEA6" w14:textId="0FD1865A" w:rsidR="00157A68" w:rsidRDefault="00157A68">
      <w:pPr>
        <w:pStyle w:val="CommentText"/>
      </w:pPr>
      <w:r>
        <w:rPr>
          <w:rStyle w:val="CommentReference"/>
        </w:rPr>
        <w:annotationRef/>
      </w:r>
      <w:r>
        <w:t xml:space="preserve">Reference </w:t>
      </w:r>
      <w:proofErr w:type="spellStart"/>
      <w:r>
        <w:t>W</w:t>
      </w:r>
      <w:r>
        <w:t>ü</w:t>
      </w:r>
      <w:r>
        <w:t>est</w:t>
      </w:r>
      <w:proofErr w:type="spellEnd"/>
      <w:r>
        <w:t xml:space="preserve"> et al. (2018. </w:t>
      </w:r>
      <w:r>
        <w:rPr>
          <w:i/>
          <w:iCs/>
        </w:rPr>
        <w:t xml:space="preserve">J. </w:t>
      </w:r>
      <w:proofErr w:type="spellStart"/>
      <w:r>
        <w:rPr>
          <w:i/>
          <w:iCs/>
        </w:rPr>
        <w:t>Biogeog</w:t>
      </w:r>
      <w:proofErr w:type="spellEnd"/>
      <w:r>
        <w:rPr>
          <w:i/>
          <w:iCs/>
        </w:rPr>
        <w:t>.</w:t>
      </w:r>
      <w:r>
        <w:t>)</w:t>
      </w:r>
    </w:p>
  </w:comment>
  <w:comment w:id="17" w:author="Michael Cramer" w:date="2020-01-21T18:32:00Z" w:initials="MC">
    <w:p w14:paraId="08FD9056" w14:textId="634F5059" w:rsidR="00157A68" w:rsidRDefault="00157A68">
      <w:pPr>
        <w:pStyle w:val="CommentText"/>
      </w:pPr>
      <w:r>
        <w:rPr>
          <w:rStyle w:val="CommentReference"/>
        </w:rPr>
        <w:annotationRef/>
      </w:r>
      <w:r>
        <w:t>On the basis of?</w:t>
      </w:r>
    </w:p>
  </w:comment>
  <w:comment w:id="18" w:author="Michael Cramer" w:date="2020-01-21T18:33:00Z" w:initials="MC">
    <w:p w14:paraId="6630E98D" w14:textId="63ADB3E1" w:rsidR="00157A68" w:rsidRDefault="00157A68">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19" w:author="Michael Cramer" w:date="2020-01-21T18:42:00Z" w:initials="MC">
    <w:p w14:paraId="1AF6D68F" w14:textId="4F8ED442" w:rsidR="00157A68" w:rsidRDefault="00157A68">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0" w:author="Michael Cramer" w:date="2020-01-21T18:44:00Z" w:initials="MC">
    <w:p w14:paraId="1EF10457" w14:textId="06919D9E" w:rsidR="00157A68" w:rsidRDefault="00157A68">
      <w:pPr>
        <w:pStyle w:val="CommentText"/>
      </w:pPr>
      <w:r>
        <w:rPr>
          <w:rStyle w:val="CommentReference"/>
        </w:rPr>
        <w:annotationRef/>
      </w:r>
      <w:r>
        <w:t>This was a review? Best source?</w:t>
      </w:r>
    </w:p>
  </w:comment>
  <w:comment w:id="21" w:author="Michael Cramer" w:date="2020-01-21T18:48:00Z" w:initials="MC">
    <w:p w14:paraId="31079DFF" w14:textId="10824F33" w:rsidR="00157A68" w:rsidRDefault="00157A68">
      <w:pPr>
        <w:pStyle w:val="CommentText"/>
      </w:pPr>
      <w:r>
        <w:rPr>
          <w:rStyle w:val="CommentReference"/>
        </w:rPr>
        <w:annotationRef/>
      </w:r>
      <w:r>
        <w:t xml:space="preserve">What is the definition of a </w:t>
      </w:r>
      <w:proofErr w:type="gramStart"/>
      <w:r>
        <w:t>single-site</w:t>
      </w:r>
      <w:proofErr w:type="gramEnd"/>
      <w:r>
        <w:t>?</w:t>
      </w:r>
    </w:p>
  </w:comment>
  <w:comment w:id="22" w:author="Ruan Van Mazijk" w:date="2020-02-27T18:24:00Z" w:initials="RVM">
    <w:p w14:paraId="5FBB7D79" w14:textId="1902FE42" w:rsidR="00157A68" w:rsidRDefault="00157A68">
      <w:pPr>
        <w:pStyle w:val="CommentText"/>
      </w:pPr>
      <w:r>
        <w:rPr>
          <w:rStyle w:val="CommentReference"/>
        </w:rPr>
        <w:annotationRef/>
      </w:r>
      <w:r>
        <w:t xml:space="preserve">Range-size figure? Using species </w:t>
      </w:r>
      <w:proofErr w:type="spellStart"/>
      <w:r>
        <w:t>occurence</w:t>
      </w:r>
      <w:proofErr w:type="spellEnd"/>
      <w:r>
        <w:t xml:space="preserve"> matrix (QDS-scale, both regions together)</w:t>
      </w:r>
    </w:p>
  </w:comment>
  <w:comment w:id="23" w:author="Michael Cramer" w:date="2020-01-21T18:58:00Z" w:initials="MC">
    <w:p w14:paraId="7FA66952" w14:textId="2EE07ABC" w:rsidR="00157A68" w:rsidRDefault="00157A68">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w:t>
      </w:r>
      <w:proofErr w:type="gramStart"/>
      <w:r>
        <w:t>richness..</w:t>
      </w:r>
      <w:proofErr w:type="gramEnd"/>
    </w:p>
  </w:comment>
  <w:comment w:id="24" w:author="Ruan Van Mazijk [2]" w:date="2020-04-21T17:47:00Z" w:initials="RVM">
    <w:p w14:paraId="6FFC3CB1" w14:textId="4B19E056" w:rsidR="002433F4" w:rsidRDefault="002433F4">
      <w:pPr>
        <w:pStyle w:val="CommentText"/>
      </w:pPr>
      <w:r>
        <w:rPr>
          <w:rStyle w:val="CommentReference"/>
        </w:rPr>
        <w:annotationRef/>
      </w:r>
      <w:r>
        <w:t>Mention how these are spatially autocorrelated</w:t>
      </w:r>
    </w:p>
  </w:comment>
  <w:comment w:id="26" w:author="Ruan Van Mazijk" w:date="2020-02-27T17:27:00Z" w:initials="RVM">
    <w:p w14:paraId="030E1ECF" w14:textId="44923FD3" w:rsidR="00157A68" w:rsidRDefault="00157A68">
      <w:pPr>
        <w:pStyle w:val="CommentText"/>
      </w:pPr>
      <w:r>
        <w:rPr>
          <w:rStyle w:val="CommentReference"/>
        </w:rPr>
        <w:annotationRef/>
      </w:r>
      <w:r>
        <w:t xml:space="preserve">Add manual part of </w:t>
      </w:r>
      <w:proofErr w:type="spellStart"/>
      <w:r>
        <w:t>P_Effect</w:t>
      </w:r>
      <w:proofErr w:type="spellEnd"/>
      <w:r>
        <w:t xml:space="preserve">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C83B5D" w15:done="0"/>
  <w15:commentEx w15:paraId="7D6E1E8C" w15:done="0"/>
  <w15:commentEx w15:paraId="40C7EE35" w15:done="0"/>
  <w15:commentEx w15:paraId="16711E5A" w15:done="0"/>
  <w15:commentEx w15:paraId="7796EBF2" w15:paraIdParent="16711E5A" w15:done="0"/>
  <w15:commentEx w15:paraId="20DE24DD" w15:done="0"/>
  <w15:commentEx w15:paraId="3F4DA4D2" w15:done="0"/>
  <w15:commentEx w15:paraId="4B02A409" w15:done="0"/>
  <w15:commentEx w15:paraId="5CBACEA6" w15:done="0"/>
  <w15:commentEx w15:paraId="08FD9056" w15:done="0"/>
  <w15:commentEx w15:paraId="6630E98D" w15:done="0"/>
  <w15:commentEx w15:paraId="1AF6D68F" w15:done="0"/>
  <w15:commentEx w15:paraId="1EF10457" w15:done="0"/>
  <w15:commentEx w15:paraId="31079DFF" w15:done="0"/>
  <w15:commentEx w15:paraId="5FBB7D79" w15:paraIdParent="31079DFF" w15:done="0"/>
  <w15:commentEx w15:paraId="7FA66952" w15:done="0"/>
  <w15:commentEx w15:paraId="6FFC3CB1" w15:done="0"/>
  <w15:commentEx w15:paraId="030E1E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9B035" w16cex:dateUtc="2020-04-21T15: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C83B5D" w16cid:durableId="22035FD4"/>
  <w16cid:commentId w16cid:paraId="7D6E1E8C" w16cid:durableId="21DC1B5A"/>
  <w16cid:commentId w16cid:paraId="40C7EE35" w16cid:durableId="21D19F5E"/>
  <w16cid:commentId w16cid:paraId="16711E5A" w16cid:durableId="21D1A72B"/>
  <w16cid:commentId w16cid:paraId="7796EBF2" w16cid:durableId="220CA42C"/>
  <w16cid:commentId w16cid:paraId="20DE24DD" w16cid:durableId="220749DA"/>
  <w16cid:commentId w16cid:paraId="3F4DA4D2" w16cid:durableId="22039DE2"/>
  <w16cid:commentId w16cid:paraId="4B02A409" w16cid:durableId="220269B8"/>
  <w16cid:commentId w16cid:paraId="5CBACEA6" w16cid:durableId="220287BA"/>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5FBB7D79" w16cid:durableId="220287DA"/>
  <w16cid:commentId w16cid:paraId="7FA66952" w16cid:durableId="21D1C83B"/>
  <w16cid:commentId w16cid:paraId="6FFC3CB1" w16cid:durableId="2249B035"/>
  <w16cid:commentId w16cid:paraId="030E1ECF" w16cid:durableId="22027A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E13158" w14:textId="77777777" w:rsidR="00542698" w:rsidRDefault="00542698">
      <w:pPr>
        <w:spacing w:after="0"/>
      </w:pPr>
      <w:r>
        <w:separator/>
      </w:r>
    </w:p>
  </w:endnote>
  <w:endnote w:type="continuationSeparator" w:id="0">
    <w:p w14:paraId="6BE71067" w14:textId="77777777" w:rsidR="00542698" w:rsidRDefault="00542698">
      <w:pPr>
        <w:spacing w:after="0"/>
      </w:pPr>
      <w:r>
        <w:continuationSeparator/>
      </w:r>
    </w:p>
  </w:endnote>
  <w:endnote w:type="continuationNotice" w:id="1">
    <w:p w14:paraId="67CD7AF2" w14:textId="77777777" w:rsidR="00542698" w:rsidRDefault="0054269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157A68" w:rsidRDefault="00157A68">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157A68" w:rsidRDefault="00157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A6CF0F" w14:textId="77777777" w:rsidR="00542698" w:rsidRDefault="00542698">
      <w:r>
        <w:separator/>
      </w:r>
    </w:p>
  </w:footnote>
  <w:footnote w:type="continuationSeparator" w:id="0">
    <w:p w14:paraId="1A86B877" w14:textId="77777777" w:rsidR="00542698" w:rsidRDefault="00542698">
      <w:r>
        <w:continuationSeparator/>
      </w:r>
    </w:p>
  </w:footnote>
  <w:footnote w:type="continuationNotice" w:id="1">
    <w:p w14:paraId="1329E218" w14:textId="77777777" w:rsidR="00542698" w:rsidRDefault="00542698">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rson w15:author="Ruan Van Mazijk [2]">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07FFD"/>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2FED"/>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98F"/>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1AE3"/>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3F4"/>
    <w:rsid w:val="0024363A"/>
    <w:rsid w:val="002448E4"/>
    <w:rsid w:val="00244E17"/>
    <w:rsid w:val="00246296"/>
    <w:rsid w:val="002465B9"/>
    <w:rsid w:val="00246D04"/>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2DF7"/>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2BCB"/>
    <w:rsid w:val="004A477C"/>
    <w:rsid w:val="004A47FC"/>
    <w:rsid w:val="004A4D21"/>
    <w:rsid w:val="004A4FEC"/>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0832"/>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02C8"/>
    <w:rsid w:val="00541DE5"/>
    <w:rsid w:val="00542698"/>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64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374B"/>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8D8"/>
    <w:rsid w:val="00620ABE"/>
    <w:rsid w:val="00621603"/>
    <w:rsid w:val="00622773"/>
    <w:rsid w:val="00622F48"/>
    <w:rsid w:val="00622FE8"/>
    <w:rsid w:val="00623216"/>
    <w:rsid w:val="006236CD"/>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389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DE5"/>
    <w:rsid w:val="00771E0F"/>
    <w:rsid w:val="007722C9"/>
    <w:rsid w:val="00773574"/>
    <w:rsid w:val="00773D2C"/>
    <w:rsid w:val="007743CF"/>
    <w:rsid w:val="00774484"/>
    <w:rsid w:val="0077499D"/>
    <w:rsid w:val="00774C5C"/>
    <w:rsid w:val="00774D41"/>
    <w:rsid w:val="007755AC"/>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20A3"/>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574"/>
    <w:rsid w:val="00852C0F"/>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1EC8"/>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1ED3"/>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5D2"/>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3A1"/>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973"/>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97B"/>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4268"/>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253"/>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D4B"/>
    <w:rsid w:val="00FD350F"/>
    <w:rsid w:val="00FD38DE"/>
    <w:rsid w:val="00FD3C3A"/>
    <w:rsid w:val="00FD3F06"/>
    <w:rsid w:val="00FD4131"/>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microsoft.com/office/2018/08/relationships/commentsExtensible" Target="commentsExtensible.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orcid.org/0000-0003-2659-6909"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anvmazijk@gmail.com"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orcid.org/0000-0002-1363-9781" TargetMode="External"/><Relationship Id="rId10" Type="http://schemas.microsoft.com/office/2016/09/relationships/commentsIds" Target="commentsIds.xml"/><Relationship Id="rId19" Type="http://schemas.openxmlformats.org/officeDocument/2006/relationships/hyperlink" Target="https://doi.org/10.15468/dl.n6u6n0"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hyperlink" Target="https://orcid.org/0000-0003-0989-326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2502</TotalTime>
  <Pages>27</Pages>
  <Words>42914</Words>
  <Characters>244612</Characters>
  <Application>Microsoft Office Word</Application>
  <DocSecurity>0</DocSecurity>
  <Lines>2038</Lines>
  <Paragraphs>573</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286953</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247</cp:revision>
  <cp:lastPrinted>2020-02-28T12:27:00Z</cp:lastPrinted>
  <dcterms:created xsi:type="dcterms:W3CDTF">2020-01-29T13:10:00Z</dcterms:created>
  <dcterms:modified xsi:type="dcterms:W3CDTF">2020-04-21T15:47:00Z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