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ADCAD" w14:textId="77777777"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14:paraId="4110A161" w14:textId="77777777"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14:paraId="360BD97C" w14:textId="77777777"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7FA33C51" w14:textId="77777777" w:rsidR="00024A7B" w:rsidRDefault="00024A7B" w:rsidP="006F31F8">
      <w:pPr>
        <w:pStyle w:val="FirstParagraph"/>
        <w:spacing w:after="0"/>
      </w:pPr>
      <w:r>
        <w:t>Department of Biological Sciences, University of Cape Town, Rondebosch, South Africa</w:t>
      </w:r>
    </w:p>
    <w:p w14:paraId="344DDA33" w14:textId="77777777" w:rsidR="00024A7B" w:rsidRDefault="00024A7B" w:rsidP="00FE6DE3">
      <w:pPr>
        <w:pStyle w:val="BodyText"/>
        <w:spacing w:before="0"/>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29B8AA39" w14:textId="77777777" w:rsidR="009E59E0" w:rsidRDefault="009E59E0" w:rsidP="008A4E97">
      <w:pPr>
        <w:pStyle w:val="Heading1"/>
        <w:spacing w:line="240" w:lineRule="auto"/>
      </w:pPr>
      <w:bookmarkStart w:id="1" w:name="acknowledgements"/>
      <w:bookmarkStart w:id="2" w:name="abstract"/>
      <w:r>
        <w:t>Acknowledgements</w:t>
      </w:r>
      <w:bookmarkEnd w:id="1"/>
    </w:p>
    <w:p w14:paraId="2C67226D" w14:textId="77777777"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0BA081A6" w14:textId="77777777" w:rsidR="00BC3667" w:rsidRDefault="00024A7B" w:rsidP="008A4E97">
      <w:pPr>
        <w:pStyle w:val="Heading1"/>
        <w:spacing w:line="240" w:lineRule="auto"/>
      </w:pPr>
      <w:r>
        <w:t>Abstract</w:t>
      </w:r>
      <w:bookmarkEnd w:id="2"/>
    </w:p>
    <w:p w14:paraId="279A6CD0" w14:textId="53090B7C" w:rsidR="00024A7B" w:rsidRPr="00964A63" w:rsidRDefault="00024A7B" w:rsidP="008A4E97">
      <w:pPr>
        <w:pStyle w:val="BodyText"/>
      </w:pPr>
      <w:r w:rsidRPr="00024A7B">
        <w:rPr>
          <w:b/>
        </w:rPr>
        <w:t>Aim:</w:t>
      </w:r>
      <w:r w:rsidR="004C00F7" w:rsidRPr="004C00F7">
        <w:t xml:space="preserve"> </w:t>
      </w:r>
      <w:r w:rsidR="00B26D2C">
        <w:t>Given</w:t>
      </w:r>
      <w:r w:rsidR="00B26D2C" w:rsidRPr="00B26D2C">
        <w:t xml:space="preserve"> the importance of environmental heterogeneity as a driver of species richness through its effects on species diversification and coexistence, </w:t>
      </w:r>
      <w:r w:rsidR="00B26D2C">
        <w:t xml:space="preserve">we aimed to </w:t>
      </w:r>
      <w:r w:rsidR="00B26D2C" w:rsidRPr="00B26D2C">
        <w:t>account for the dramatic difference in species richness</w:t>
      </w:r>
      <w:r w:rsidR="00B26D2C">
        <w:t xml:space="preserve"> per unit area</w:t>
      </w:r>
      <w:r w:rsidR="00B26D2C" w:rsidRPr="00B26D2C">
        <w:t xml:space="preserve"> between two </w:t>
      </w:r>
      <w:r w:rsidR="00B26D2C">
        <w:t>similar</w:t>
      </w:r>
      <w:r w:rsidR="00B26D2C" w:rsidRPr="00B26D2C">
        <w:t xml:space="preserve"> </w:t>
      </w:r>
      <w:proofErr w:type="spellStart"/>
      <w:r w:rsidR="00B26D2C">
        <w:t>mediterranean</w:t>
      </w:r>
      <w:proofErr w:type="spellEnd"/>
      <w:r w:rsidR="00B26D2C">
        <w:t>-type biodiversity hotspots</w:t>
      </w:r>
      <w:r w:rsidR="00B26D2C" w:rsidDel="006C4B60">
        <w:t xml:space="preserve"> </w:t>
      </w:r>
      <w:r w:rsidR="00B26D2C">
        <w:t xml:space="preserve">and </w:t>
      </w:r>
      <w:r w:rsidR="0019107E">
        <w:t xml:space="preserve">whether </w:t>
      </w:r>
      <w:r w:rsidR="00B26D2C">
        <w:t>this</w:t>
      </w:r>
      <w:r w:rsidR="009503A5">
        <w:t xml:space="preserve"> </w:t>
      </w:r>
      <w:r w:rsidR="0019107E">
        <w:t>difference</w:t>
      </w:r>
      <w:r w:rsidR="00B26D2C">
        <w:t xml:space="preserve"> </w:t>
      </w:r>
      <w:r w:rsidR="009D0DC8">
        <w:t xml:space="preserve">is explained by </w:t>
      </w:r>
      <w:r w:rsidR="0019107E">
        <w:t>differences in environmental heterogeneity.</w:t>
      </w:r>
    </w:p>
    <w:p w14:paraId="6A4D212E" w14:textId="77777777"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2BFED5B4" w14:textId="77777777"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6A5914C2" w14:textId="764A2B6D"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w:t>
      </w:r>
      <w:r w:rsidR="009503A5">
        <w:t xml:space="preserve"> </w:t>
      </w:r>
      <w:r w:rsidR="00844A5C">
        <w:t>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9503A5">
        <w:t xml:space="preserve"> against</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14:paraId="767E436B" w14:textId="07608328"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9503A5">
        <w:t xml:space="preserve"> </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9503A5">
        <w:t>-</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14:paraId="64ED641E" w14:textId="1C32C1C8" w:rsidR="00024A7B" w:rsidRPr="00E71232" w:rsidRDefault="00024A7B" w:rsidP="008A4E97">
      <w:pPr>
        <w:pStyle w:val="BodyText"/>
        <w:rPr>
          <w:b/>
        </w:rPr>
      </w:pPr>
      <w:r w:rsidRPr="00E71232">
        <w:rPr>
          <w:b/>
        </w:rPr>
        <w:t>Main conclusions:</w:t>
      </w:r>
      <w:r w:rsidR="009503A5">
        <w:rPr>
          <w:b/>
        </w:rPr>
        <w:t xml:space="preserve"> </w:t>
      </w:r>
      <w:r w:rsidR="009503A5">
        <w:rPr>
          <w:bCs/>
        </w:rPr>
        <w:t>Notwithstanding some region-specific effects, w</w:t>
      </w:r>
      <w:r w:rsidR="00160C41" w:rsidRPr="00E71232">
        <w:t xml:space="preserve">e </w:t>
      </w:r>
      <w:r w:rsidR="009503A5">
        <w:t xml:space="preserve">present </w:t>
      </w:r>
      <w:r w:rsidR="00160C41" w:rsidRPr="00E71232">
        <w:t xml:space="preserve">evidence </w:t>
      </w:r>
      <w:r w:rsidR="009503A5">
        <w:t>of</w:t>
      </w:r>
      <w:r w:rsidR="009503A5" w:rsidRPr="00E71232">
        <w:t xml:space="preserve"> </w:t>
      </w:r>
      <w:r w:rsidR="00160C41" w:rsidRPr="00E71232">
        <w:t>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6040FA">
        <w:t>. This is</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w:t>
      </w:r>
      <w:r w:rsidR="006040FA">
        <w:t xml:space="preserve">, being strongest at the coarsest level </w:t>
      </w:r>
      <w:r w:rsidR="006040FA">
        <w:lastRenderedPageBreak/>
        <w:t>of sampling</w:t>
      </w:r>
      <w:r w:rsidR="00977607" w:rsidRPr="00E71232">
        <w:t xml:space="preserve">. </w:t>
      </w:r>
      <w:r w:rsidR="00862C2B">
        <w:t xml:space="preserve">The generally greater richness per unit area of the GCFR compared to the SWAFR is </w:t>
      </w:r>
      <w:r w:rsidR="00486E0D">
        <w:t xml:space="preserve">thus </w:t>
      </w:r>
      <w:r w:rsidR="00862C2B">
        <w:t>explained by the former’s generally greater environmental heterogeneity and is concordant with its greater levels of floristic turnover</w:t>
      </w:r>
      <w:r w:rsidR="00486E0D">
        <w:t>.</w:t>
      </w:r>
    </w:p>
    <w:p w14:paraId="0226C3AB" w14:textId="77777777" w:rsidR="00381AA9" w:rsidRPr="00381AA9" w:rsidRDefault="00024A7B" w:rsidP="00381AA9">
      <w:pPr>
        <w:pStyle w:val="BodyText"/>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242D38C3" w14:textId="77777777" w:rsidR="00D04776" w:rsidRDefault="00C408A8" w:rsidP="008A4E97">
      <w:pPr>
        <w:pStyle w:val="Heading1"/>
        <w:spacing w:line="240" w:lineRule="auto"/>
      </w:pPr>
      <w:r>
        <w:t>1</w:t>
      </w:r>
      <w:r w:rsidR="00D7233A">
        <w:t>:</w:t>
      </w:r>
      <w:r>
        <w:t xml:space="preserve"> </w:t>
      </w:r>
      <w:r w:rsidR="00D04776">
        <w:t>Introduction</w:t>
      </w:r>
    </w:p>
    <w:p w14:paraId="75E748D0" w14:textId="5341473B"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locally-deterministic,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with physically</w:t>
      </w:r>
      <w:r w:rsidR="000B26B6">
        <w:t xml:space="preserve"> </w:t>
      </w:r>
      <w:r w:rsidR="009F6AA8" w:rsidRPr="002F0553">
        <w:t xml:space="preserve">heterogeneous regions </w:t>
      </w:r>
      <w:r w:rsidR="009F6AA8">
        <w:t>tending</w:t>
      </w:r>
      <w:r w:rsidR="009F6AA8" w:rsidRPr="002F0553">
        <w:t xml:space="preserve"> to be </w:t>
      </w:r>
      <w:r w:rsidR="009F6AA8">
        <w:t xml:space="preserve">more </w:t>
      </w:r>
      <w:proofErr w:type="gramStart"/>
      <w:r w:rsidR="009F6AA8" w:rsidRPr="002F0553">
        <w:t>species-rich</w:t>
      </w:r>
      <w:proofErr w:type="gramEnd"/>
      <w:r w:rsidR="009F6AA8">
        <w:t xml:space="preserve"> </w:t>
      </w:r>
      <w:r w:rsidR="00404D92" w:rsidRPr="00404D92">
        <w:rPr>
          <w:noProof/>
        </w:rPr>
        <w:t xml:space="preserve">(Kreft &amp; Jetz, 2007; Laliberte et al., 2014; </w:t>
      </w:r>
      <w:r w:rsidR="004B7284">
        <w:rPr>
          <w:noProof/>
        </w:rPr>
        <w:t>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w:t>
      </w:r>
      <w:r w:rsidR="000B26B6">
        <w:t xml:space="preserve"> </w:t>
      </w:r>
      <w:r w:rsidRPr="002F0553">
        <w:t>heterogenous environment may promote diversity by admitting a</w:t>
      </w:r>
      <w:r>
        <w:t xml:space="preserve"> more </w:t>
      </w:r>
      <w:r w:rsidR="00765D62">
        <w:t>functionally</w:t>
      </w:r>
      <w:r w:rsidR="005E5E22">
        <w:t xml:space="preserve"> </w:t>
      </w:r>
      <w:r w:rsidR="00765D62">
        <w:t>diverse</w:t>
      </w:r>
      <w:r>
        <w:t xml:space="preserve"> array of</w:t>
      </w:r>
      <w:r w:rsidRPr="002F0553">
        <w:t xml:space="preserve"> lineages. </w:t>
      </w:r>
      <w:r w:rsidR="00297A99">
        <w:t>Environmental heterogeneity</w:t>
      </w:r>
      <w:r w:rsidR="00297A99" w:rsidRPr="002F0553">
        <w:t xml:space="preserve"> is</w:t>
      </w:r>
      <w:r w:rsidR="00297A99">
        <w:t xml:space="preserve"> also 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14:paraId="44E13857" w14:textId="296837B4" w:rsidR="00D04776" w:rsidRDefault="00D04776" w:rsidP="008A4E97">
      <w:pPr>
        <w:pStyle w:val="FirstParagraph"/>
      </w:pPr>
      <w:r w:rsidRPr="002F0553">
        <w:t xml:space="preserve">The </w:t>
      </w:r>
      <w:r>
        <w:t>floristically</w:t>
      </w:r>
      <w:r w:rsidR="005E5E22">
        <w:t xml:space="preserve"> </w:t>
      </w:r>
      <w:r>
        <w:t xml:space="preserve">rich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climatically-buffered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w:t>
      </w:r>
      <w:r w:rsidR="00291B51" w:rsidRPr="00404D92">
        <w:rPr>
          <w:noProof/>
        </w:rPr>
        <w:t>Milewski, 1981</w:t>
      </w:r>
      <w:r w:rsidR="00291B51">
        <w:rPr>
          <w:noProof/>
        </w:rPr>
        <w:t xml:space="preserve">; </w:t>
      </w:r>
      <w:r w:rsidR="00404D92" w:rsidRPr="00404D92">
        <w:rPr>
          <w:noProof/>
        </w:rPr>
        <w:t>Beard</w:t>
      </w:r>
      <w:r w:rsidR="009114A7">
        <w:rPr>
          <w:noProof/>
        </w:rPr>
        <w:t>, Chapman, &amp; Gioia,</w:t>
      </w:r>
      <w:r w:rsidR="00404D92" w:rsidRPr="00404D92">
        <w:rPr>
          <w:noProof/>
        </w:rPr>
        <w:t xml:space="preserve"> 2000)</w:t>
      </w:r>
      <w:r>
        <w:t xml:space="preserve">. Moreover, the long-term climatic and geological stability of the two regions ensures that the native floras of both reflect long histories of assembly, extending back to the </w:t>
      </w:r>
      <w:r w:rsidR="00474B3E">
        <w:t xml:space="preserve">Eocene and </w:t>
      </w:r>
      <w:proofErr w:type="spellStart"/>
      <w:r>
        <w:t>Palaeocene</w:t>
      </w:r>
      <w:proofErr w:type="spellEnd"/>
      <w:r>
        <w:t xml:space="preserv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w:t>
      </w:r>
      <w:r>
        <w:lastRenderedPageBreak/>
        <w:t xml:space="preserve">strong 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14:paraId="0F3B4749" w14:textId="24E2665D" w:rsidR="00FD4383" w:rsidRDefault="00D04776">
      <w:pPr>
        <w:pStyle w:val="BodyText"/>
      </w:pPr>
      <w:bookmarkStart w:id="3" w:name="_Hlk56509529"/>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w:t>
      </w:r>
      <w:r w:rsidR="00F24CDB" w:rsidRPr="00F24CDB">
        <w:rPr>
          <w:noProof/>
        </w:rPr>
        <w:t>Hopper &amp; Gioia, 2004)</w:t>
      </w:r>
      <w:r>
        <w:t xml:space="preserve">, the GCFR </w:t>
      </w:r>
      <w:r w:rsidR="009114A7">
        <w:t>houses</w:t>
      </w:r>
      <w:r w:rsidR="00236CF0">
        <w:t xml:space="preserve"> </w:t>
      </w:r>
      <w:r w:rsidR="006462CD">
        <w:t xml:space="preserve">ca. </w:t>
      </w:r>
      <w:r>
        <w:t xml:space="preserve">11,430 species in an area of </w:t>
      </w:r>
      <w:r w:rsidR="002E231B">
        <w:t xml:space="preserve">ca. </w:t>
      </w:r>
      <w:r>
        <w:t>189,700 km</w:t>
      </w:r>
      <w:r>
        <w:rPr>
          <w:vertAlign w:val="superscript"/>
        </w:rPr>
        <w:t>2</w:t>
      </w:r>
      <w:r>
        <w:t xml:space="preserve"> (</w:t>
      </w:r>
      <w:proofErr w:type="spellStart"/>
      <w:r w:rsidR="00CC6AA0" w:rsidRPr="00CC6AA0">
        <w:rPr>
          <w:noProof/>
        </w:rPr>
        <w:t>Snijman</w:t>
      </w:r>
      <w:proofErr w:type="spellEnd"/>
      <w:r w:rsidR="00CC6AA0" w:rsidRPr="00CC6AA0">
        <w:rPr>
          <w:noProof/>
        </w:rPr>
        <w:t>, 2013)</w:t>
      </w:r>
      <w:r>
        <w:t xml:space="preserve">. </w:t>
      </w:r>
      <w:r w:rsidR="00081263">
        <w:t>Th</w:t>
      </w:r>
      <w:r w:rsidR="00BE578C">
        <w:t>e</w:t>
      </w:r>
      <w:r w:rsidR="00081263">
        <w:t xml:space="preserve"> difference </w:t>
      </w:r>
      <w:r w:rsidR="00BE578C">
        <w:t>i</w:t>
      </w:r>
      <w:r w:rsidR="001A21DF">
        <w:t>s</w:t>
      </w:r>
      <w:r w:rsidR="00081263">
        <w:t xml:space="preserve"> even more dramatic </w:t>
      </w:r>
      <w:r w:rsidR="001A21DF">
        <w:t>when</w:t>
      </w:r>
      <w:r w:rsidR="00081263">
        <w:t xml:space="preserve"> the SWAFR is compared to the </w:t>
      </w:r>
      <w:r w:rsidR="00BE578C">
        <w:t xml:space="preserve">hyper-diverse </w:t>
      </w:r>
      <w:r w:rsidR="00081263">
        <w:t xml:space="preserve">core Cape Floristic Region (CFR; </w:t>
      </w:r>
      <w:r w:rsidR="00081263" w:rsidRPr="00682956">
        <w:rPr>
          <w:noProof/>
        </w:rPr>
        <w:t>Goldblatt, 1978)</w:t>
      </w:r>
      <w:r w:rsidR="00BE578C">
        <w:rPr>
          <w:noProof/>
        </w:rPr>
        <w:t>, the latter</w:t>
      </w:r>
      <w:r w:rsidR="00081263">
        <w:t xml:space="preserve"> accommodat</w:t>
      </w:r>
      <w:r w:rsidR="00BE578C">
        <w:t>ing</w:t>
      </w:r>
      <w:r w:rsidR="00081263">
        <w:t xml:space="preserve"> ca. 9,400 species in an area of ca. 90,800 km</w:t>
      </w:r>
      <w:r w:rsidR="00081263">
        <w:rPr>
          <w:vertAlign w:val="superscript"/>
        </w:rPr>
        <w:t>2</w:t>
      </w:r>
      <w:r w:rsidR="009114A7">
        <w:rPr>
          <w:vertAlign w:val="subscript"/>
        </w:rPr>
        <w:t>,</w:t>
      </w:r>
      <w:r w:rsidR="00BE578C">
        <w:rPr>
          <w:vertAlign w:val="superscript"/>
        </w:rPr>
        <w:t xml:space="preserve"> </w:t>
      </w:r>
      <w:r w:rsidR="00BE578C">
        <w:t>and so having</w:t>
      </w:r>
      <w:r w:rsidR="001A21DF">
        <w:t xml:space="preserve"> roughly 25% </w:t>
      </w:r>
      <w:r w:rsidR="00BE578C">
        <w:t>more</w:t>
      </w:r>
      <w:r w:rsidR="001A21DF">
        <w:t xml:space="preserve"> species per unit area than the SWAFR (Cowling et al., 2015).</w:t>
      </w:r>
      <w:r w:rsidR="00BE578C">
        <w:t xml:space="preserve"> </w:t>
      </w:r>
      <w:r>
        <w:t xml:space="preserve">One </w:t>
      </w:r>
      <w:r w:rsidR="000D32D5">
        <w:t xml:space="preserve">possible </w:t>
      </w:r>
      <w:r>
        <w:t>explanation for th</w:t>
      </w:r>
      <w:r w:rsidR="0004536D">
        <w:t>is</w:t>
      </w:r>
      <w:r w:rsidR="00BE578C">
        <w:t xml:space="preserve"> </w:t>
      </w:r>
      <w:r w:rsidR="006E293D">
        <w:t xml:space="preserve">striking </w:t>
      </w:r>
      <w:r w:rsidR="00BE578C">
        <w:t xml:space="preserve">species richness difference </w:t>
      </w:r>
      <w:r>
        <w:t>relates to differences in the physical heterogeneity</w:t>
      </w:r>
      <w:r w:rsidR="0004536D">
        <w:t xml:space="preserve"> of the two regions</w:t>
      </w:r>
      <w:r>
        <w:t xml:space="preserve">. </w:t>
      </w:r>
      <w:bookmarkEnd w:id="3"/>
      <w:r>
        <w:t xml:space="preserve">Where much of the GCFR, particularly the </w:t>
      </w:r>
      <w:r w:rsidR="00BE578C">
        <w:t>CFR</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04536D">
        <w:rPr>
          <w:lang w:val="en-ZA"/>
        </w:rPr>
        <w:t>Crucially</w:t>
      </w:r>
      <w:r w:rsidR="003B49FB">
        <w:rPr>
          <w:lang w:val="en-ZA"/>
        </w:rPr>
        <w:t xml:space="preserve">,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xml:space="preserve">, </w:t>
      </w:r>
      <w:r w:rsidR="006E293D">
        <w:t xml:space="preserve">it </w:t>
      </w:r>
      <w:r w:rsidR="00293C4B">
        <w:t>i</w:t>
      </w:r>
      <w:r w:rsidR="006E293D">
        <w:t xml:space="preserve">s </w:t>
      </w:r>
      <w:r w:rsidR="00ED57C6">
        <w:t>probable</w:t>
      </w:r>
      <w:r w:rsidR="006E293D">
        <w:t xml:space="preserve"> that the GCFR</w:t>
      </w:r>
      <w:r w:rsidR="00BE578C">
        <w:t xml:space="preserve"> </w:t>
      </w:r>
      <w:r w:rsidR="00FD4383">
        <w:t>eclipses</w:t>
      </w:r>
      <w:r w:rsidR="00BE578C">
        <w:t xml:space="preserve"> the SWAFR</w:t>
      </w:r>
      <w:r w:rsidR="00BE578C" w:rsidRPr="00BE578C">
        <w:t xml:space="preserve"> </w:t>
      </w:r>
      <w:r w:rsidR="006E293D">
        <w:t xml:space="preserve">both </w:t>
      </w:r>
      <w:r w:rsidR="00293C4B">
        <w:t xml:space="preserve">in terms of </w:t>
      </w:r>
      <w:r w:rsidR="006E293D">
        <w:t xml:space="preserve">the magnitude of </w:t>
      </w:r>
      <w:r w:rsidR="00BE578C">
        <w:t>climatic and edaphic heterogeneity</w:t>
      </w:r>
      <w:r w:rsidR="006E293D">
        <w:t xml:space="preserve"> </w:t>
      </w:r>
      <w:r w:rsidR="0004536D">
        <w:t xml:space="preserve">and </w:t>
      </w:r>
      <w:r w:rsidR="006E293D">
        <w:t xml:space="preserve">the spatial scale </w:t>
      </w:r>
      <w:r w:rsidR="00293C4B">
        <w:t xml:space="preserve">at </w:t>
      </w:r>
      <w:r w:rsidR="0004536D">
        <w:t xml:space="preserve">which this heterogeneity </w:t>
      </w:r>
      <w:r w:rsidR="00293C4B">
        <w:t>is expressed, the comparative uniformity of the SW Australian landscape probably underpinning a fairly coarse spatial grain of environmental heterogeneity</w:t>
      </w:r>
      <w:r w:rsidR="0004536D">
        <w:t>.</w:t>
      </w:r>
      <w:r w:rsidR="00510832">
        <w:t xml:space="preserve"> </w:t>
      </w:r>
    </w:p>
    <w:p w14:paraId="702A81A6" w14:textId="23827F5E" w:rsidR="00D04776" w:rsidRPr="002C20EB" w:rsidRDefault="00D04776" w:rsidP="002C20EB">
      <w:pPr>
        <w:pStyle w:val="BodyText"/>
        <w:rPr>
          <w:lang w:val="en-ZA"/>
        </w:rPr>
      </w:pP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A113BB">
        <w:t>We investigate this across a range of spatial scales, as we expect this to affect the species richness patterns we observe</w:t>
      </w:r>
      <w:r w:rsidR="00080450" w:rsidRPr="00A113BB">
        <w:t xml:space="preserve"> </w:t>
      </w:r>
      <w:r w:rsidR="00080450" w:rsidRPr="00A113BB">
        <w:rPr>
          <w:noProof/>
        </w:rPr>
        <w:t>(Hart et al., 2017)</w:t>
      </w:r>
      <w:r w:rsidR="00EE1A7E" w:rsidRPr="00A113BB">
        <w:t xml:space="preserve">. </w:t>
      </w:r>
      <w:r w:rsidRPr="00A113BB">
        <w:t>Focusing</w:t>
      </w:r>
      <w:r>
        <w:t xml:space="preserve">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r w:rsidR="00E355F4">
        <w:t xml:space="preserve"> </w:t>
      </w:r>
      <w:bookmarkStart w:id="4" w:name="_Hlk56509631"/>
      <w:r w:rsidR="00E355F4">
        <w:t>Although</w:t>
      </w:r>
      <w:r w:rsidR="00352D94">
        <w:t xml:space="preserve"> the SWAFR has most often been compared to the CFR </w:t>
      </w:r>
      <w:r w:rsidR="00291B51">
        <w:t>rather than</w:t>
      </w:r>
      <w:r w:rsidR="00352D94">
        <w:t xml:space="preserve"> the GCFR (e.g. Cowling et al., 1996, 2015; Beard et al., 2000; </w:t>
      </w:r>
      <w:proofErr w:type="spellStart"/>
      <w:r w:rsidR="00352D94">
        <w:t>Rundel</w:t>
      </w:r>
      <w:proofErr w:type="spellEnd"/>
      <w:r w:rsidR="00352D94">
        <w:t xml:space="preserve"> et al., 2016), we elected to use the latter as a basis for comparison </w:t>
      </w:r>
      <w:r w:rsidR="00A67D46">
        <w:t xml:space="preserve">both </w:t>
      </w:r>
      <w:r w:rsidR="00352D94">
        <w:t xml:space="preserve">because it is </w:t>
      </w:r>
      <w:r w:rsidR="00A846C0">
        <w:t xml:space="preserve">floristically </w:t>
      </w:r>
      <w:r w:rsidR="00352D94">
        <w:t>more coherent</w:t>
      </w:r>
      <w:r w:rsidR="00B40650">
        <w:t>, at least</w:t>
      </w:r>
      <w:r w:rsidR="00352D94">
        <w:t xml:space="preserve"> in terms of endemism (Born et al., 2017)</w:t>
      </w:r>
      <w:r w:rsidR="00291B51">
        <w:t>,</w:t>
      </w:r>
      <w:r w:rsidR="00A67D46">
        <w:t xml:space="preserve"> and because </w:t>
      </w:r>
      <w:r w:rsidR="00291B51">
        <w:t xml:space="preserve">it is more extensive and </w:t>
      </w:r>
      <w:r w:rsidR="00352D94">
        <w:t>comparable</w:t>
      </w:r>
      <w:r w:rsidR="00291B51">
        <w:t xml:space="preserve"> in size</w:t>
      </w:r>
      <w:r w:rsidR="00352D94">
        <w:t xml:space="preserve"> to the SWAFR</w:t>
      </w:r>
      <w:r w:rsidR="00A67D46">
        <w:t>.</w:t>
      </w:r>
      <w:r w:rsidR="00291B51">
        <w:t xml:space="preserve"> The </w:t>
      </w:r>
      <w:r w:rsidR="00A846C0">
        <w:t xml:space="preserve">latter is important </w:t>
      </w:r>
      <w:r w:rsidR="00BB4C59">
        <w:t>to</w:t>
      </w:r>
      <w:r w:rsidR="00A846C0">
        <w:t xml:space="preserve"> ensur</w:t>
      </w:r>
      <w:r w:rsidR="00BB4C59">
        <w:t>e</w:t>
      </w:r>
      <w:r w:rsidR="00A846C0">
        <w:t xml:space="preserve"> that our models relating species richness to environmental heterogeneity are not disproportionately influenced by data </w:t>
      </w:r>
      <w:r w:rsidR="00BB4C59">
        <w:t>from</w:t>
      </w:r>
      <w:r w:rsidR="00A846C0">
        <w:t xml:space="preserve"> </w:t>
      </w:r>
      <w:r w:rsidR="00BB4C59">
        <w:t>the SWAFR</w:t>
      </w:r>
      <w:r w:rsidR="00A846C0">
        <w:t xml:space="preserve">, and </w:t>
      </w:r>
      <w:r w:rsidR="00BB4C59">
        <w:t>to provide</w:t>
      </w:r>
      <w:r w:rsidR="00A846C0">
        <w:t xml:space="preserve"> </w:t>
      </w:r>
      <w:r w:rsidR="0003065C">
        <w:t>enough</w:t>
      </w:r>
      <w:r w:rsidR="00A846C0">
        <w:t xml:space="preserve"> data </w:t>
      </w:r>
      <w:r w:rsidR="007F053D">
        <w:t xml:space="preserve">points </w:t>
      </w:r>
      <w:r w:rsidR="00A846C0">
        <w:t>to enable a</w:t>
      </w:r>
      <w:r w:rsidR="00BB4C59">
        <w:t xml:space="preserve"> meaningful assessment of scale effects in the Cape</w:t>
      </w:r>
      <w:r w:rsidR="00A846C0">
        <w:t>.</w:t>
      </w:r>
      <w:bookmarkEnd w:id="4"/>
    </w:p>
    <w:p w14:paraId="29BCBE1C" w14:textId="77777777"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48D5F4F0" w14:textId="77777777" w:rsidR="00D04776" w:rsidRDefault="00970650" w:rsidP="008A4E97">
      <w:pPr>
        <w:pStyle w:val="Heading2"/>
        <w:spacing w:line="240" w:lineRule="auto"/>
      </w:pPr>
      <w:bookmarkStart w:id="5" w:name="comparing-regions-environmental-heteroge"/>
      <w:r>
        <w:t>2.1</w:t>
      </w:r>
      <w:r w:rsidR="00F31AF3">
        <w:t>:</w:t>
      </w:r>
      <w:r>
        <w:t xml:space="preserve"> </w:t>
      </w:r>
      <w:r w:rsidR="00D04776">
        <w:t>Comparing species richness</w:t>
      </w:r>
    </w:p>
    <w:p w14:paraId="532280F0" w14:textId="3CB2E846" w:rsidR="006A239A" w:rsidRPr="00C26D60" w:rsidRDefault="00D04776">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lastRenderedPageBreak/>
        <w:t>were</w:t>
      </w:r>
      <w:r w:rsidR="00996B78">
        <w:t xml:space="preserve">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rsidRPr="00B1341B">
        <w:rPr>
          <w:noProof/>
        </w:rPr>
        <w:t>(Chamberlain et al., 2016)</w:t>
      </w:r>
      <w:r w:rsidR="00CE21A6">
        <w:t xml:space="preserve"> </w:t>
      </w:r>
      <w:r w:rsidR="00146C01">
        <w:t xml:space="preserve">for </w:t>
      </w:r>
      <w:r w:rsidR="003E3635">
        <w:t xml:space="preserve">R </w:t>
      </w:r>
      <w:r w:rsidR="00DF1E64" w:rsidRPr="00DF1E64">
        <w:rPr>
          <w:noProof/>
        </w:rPr>
        <w:t>(R Core Team, 2019)</w:t>
      </w:r>
      <w:r w:rsidR="003E3635" w:rsidRPr="00166053">
        <w:t xml:space="preserve"> </w:t>
      </w:r>
      <w:r w:rsidR="009E0C44">
        <w:t xml:space="preserve">that was </w:t>
      </w:r>
      <w:r w:rsidR="002341D2">
        <w:t xml:space="preserve">also </w:t>
      </w:r>
      <w:r w:rsidR="009E0C44">
        <w:t xml:space="preserve">used for all </w:t>
      </w:r>
      <w:r w:rsidR="002341D2">
        <w:t xml:space="preserve">other </w:t>
      </w:r>
      <w:r w:rsidR="009E0C44">
        <w:t xml:space="preserve">analyses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bookmarkStart w:id="6" w:name="_Hlk56513735"/>
      <w:r w:rsidR="00007FFD">
        <w:t xml:space="preserve">To </w:t>
      </w:r>
      <w:r w:rsidR="00B573E8">
        <w:t>ensure that</w:t>
      </w:r>
      <w:r w:rsidR="00007FFD">
        <w:t xml:space="preserve"> species richness </w:t>
      </w:r>
      <w:r w:rsidR="00B573E8">
        <w:t xml:space="preserve">was compared </w:t>
      </w:r>
      <w:r w:rsidR="00433937">
        <w:t>and decomposed (see below) across</w:t>
      </w:r>
      <w:r w:rsidR="00007FFD">
        <w:t xml:space="preserve"> equally sized area</w:t>
      </w:r>
      <w:r w:rsidR="00B573E8">
        <w:t xml:space="preserve"> units</w:t>
      </w:r>
      <w:r w:rsidR="00007FFD">
        <w:t xml:space="preserve">, we </w:t>
      </w:r>
      <w:r w:rsidR="00B573E8">
        <w:t>included</w:t>
      </w:r>
      <w:r w:rsidR="00007FFD">
        <w:t xml:space="preserve"> </w:t>
      </w:r>
      <w:r w:rsidR="00B573E8">
        <w:t xml:space="preserve">only </w:t>
      </w:r>
      <w:r w:rsidR="00007FFD">
        <w:t xml:space="preserve">squares </w:t>
      </w:r>
      <w:r w:rsidR="00B573E8">
        <w:t>comprising</w:t>
      </w:r>
      <w:r w:rsidR="00007FFD">
        <w:t xml:space="preserve"> four </w:t>
      </w:r>
      <w:r w:rsidR="00B573E8">
        <w:t xml:space="preserve">constituent </w:t>
      </w:r>
      <w:r w:rsidR="00007FFD">
        <w:t>sub-squares (e.g. four QDS in an HDS)</w:t>
      </w:r>
      <w:r w:rsidR="00433937">
        <w:t xml:space="preserve">. While this resulted in the </w:t>
      </w:r>
      <w:r w:rsidR="00812A55">
        <w:t>loss</w:t>
      </w:r>
      <w:r w:rsidR="00433937">
        <w:t xml:space="preserve"> of several coastal squares, which is unfortunate because the coastal floras of both the GCFR and SWAFR are rich in endemic taxa, it is not expected to introduce any systematic biases. </w:t>
      </w:r>
      <w:r w:rsidR="00AE0B35">
        <w:t xml:space="preserve">Overall, </w:t>
      </w:r>
      <w:r w:rsidR="0070389E">
        <w:t xml:space="preserve">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r w:rsidR="0070389E" w:rsidRPr="00B573E8">
        <w:t>).</w:t>
      </w:r>
      <w:bookmarkEnd w:id="6"/>
    </w:p>
    <w:p w14:paraId="6DB96AA6" w14:textId="45E7041B" w:rsidR="00FE0731" w:rsidRDefault="00C26D60" w:rsidP="00FE0731">
      <w:pPr>
        <w:pStyle w:val="FirstParagraph"/>
      </w:pPr>
      <w:r>
        <w:t>T</w:t>
      </w:r>
      <w:r w:rsidR="00A87D09">
        <w:t xml:space="preserve">he </w:t>
      </w:r>
      <w:r w:rsidR="000F59F5">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w:t>
      </w:r>
      <w:proofErr w:type="spellStart"/>
      <w:r w:rsidR="00E0178F">
        <w:t>sensu</w:t>
      </w:r>
      <w:proofErr w:type="spellEnd"/>
      <w:r w:rsidR="00E0178F">
        <w:t xml:space="preserve">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rsidR="000F59F5">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rsidR="000F59F5">
        <w:t>species richness</w:t>
      </w:r>
      <w:r w:rsidR="00D04776">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14:paraId="7D3D5EFB" w14:textId="77777777" w:rsidR="00E405E7" w:rsidRPr="00FE0731" w:rsidRDefault="007B5590"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14:paraId="3671CCFA" w14:textId="77777777" w:rsidR="00E405E7" w:rsidRPr="00FE0731" w:rsidRDefault="007B5590"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46D16E28" w14:textId="77777777"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using the R package “</w:t>
      </w:r>
      <w:proofErr w:type="spellStart"/>
      <w:r w:rsidRPr="00C76FCB">
        <w:rPr>
          <w:rFonts w:eastAsiaTheme="minorEastAsia"/>
        </w:rPr>
        <w:t>canprot</w:t>
      </w:r>
      <w:proofErr w:type="spellEnd"/>
      <w:r w:rsidRPr="00C76FCB">
        <w:rPr>
          <w:rFonts w:eastAsiaTheme="minorEastAsia"/>
        </w:rPr>
        <w:t xml:space="preserve">”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14:paraId="6B7BDE7A" w14:textId="77777777" w:rsidR="00DD2348" w:rsidRDefault="00970650" w:rsidP="008A4E97">
      <w:pPr>
        <w:pStyle w:val="Heading2"/>
        <w:spacing w:line="240" w:lineRule="auto"/>
      </w:pPr>
      <w:r>
        <w:t>2.2</w:t>
      </w:r>
      <w:r w:rsidR="00305C02">
        <w:t>:</w:t>
      </w:r>
      <w:r>
        <w:t xml:space="preserve"> </w:t>
      </w:r>
      <w:r w:rsidR="005F0FFB">
        <w:t>Comparing environmental heterogeneity</w:t>
      </w:r>
      <w:bookmarkEnd w:id="5"/>
    </w:p>
    <w:p w14:paraId="0A12E862" w14:textId="0E76B096" w:rsidR="00DD2348" w:rsidRDefault="00B6082F" w:rsidP="00BD537A">
      <w:pPr>
        <w:pStyle w:val="BodyText"/>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w:t>
      </w:r>
      <w:r w:rsidR="008A3EEF">
        <w:t>,</w:t>
      </w:r>
      <w:r w:rsidR="0001614C">
        <w:t xml:space="preserve"> T</w:t>
      </w:r>
      <w:r w:rsidR="008A3EEF">
        <w:t>;</w:t>
      </w:r>
      <w:r w:rsidR="00E25251">
        <w:t xml:space="preserve"> </w:t>
      </w:r>
      <w:r w:rsidR="0001614C">
        <w:t>mean annual precipitation</w:t>
      </w:r>
      <w:r w:rsidR="008A3EEF">
        <w:t>,</w:t>
      </w:r>
      <w:r w:rsidR="0001614C">
        <w:t xml:space="preserve"> MAP</w:t>
      </w:r>
      <w:r w:rsidR="008A3EEF">
        <w:t>;</w:t>
      </w:r>
      <w:r w:rsidR="00E25251">
        <w:t xml:space="preserve"> </w:t>
      </w:r>
      <w:r w:rsidR="0001614C">
        <w:t>precipitation in the driest quarter</w:t>
      </w:r>
      <w:r w:rsidR="008A3EEF">
        <w:t>,</w:t>
      </w:r>
      <w:r w:rsidR="0001614C">
        <w:t xml:space="preserve"> </w:t>
      </w:r>
      <w:r w:rsidR="00E25251">
        <w:t>PDQ</w:t>
      </w:r>
      <w:r w:rsidR="008A3EEF">
        <w:t>),</w:t>
      </w:r>
      <w:r w:rsidR="00E25251">
        <w:t xml:space="preserve"> edaphic (clay content</w:t>
      </w:r>
      <w:r w:rsidR="008A3EEF">
        <w:t>;</w:t>
      </w:r>
      <w:r w:rsidR="00E25251">
        <w:t xml:space="preserve"> soil </w:t>
      </w:r>
      <w:r w:rsidR="001A3128">
        <w:t>carbon</w:t>
      </w:r>
      <w:r w:rsidR="008A3EEF">
        <w:t xml:space="preserve">, </w:t>
      </w:r>
      <w:r w:rsidR="00E25251">
        <w:t>C</w:t>
      </w:r>
      <w:r w:rsidR="008A3EEF">
        <w:t>;</w:t>
      </w:r>
      <w:r w:rsidR="00E25251">
        <w:t xml:space="preserve"> pH</w:t>
      </w:r>
      <w:r w:rsidR="008A3EEF">
        <w:t>;</w:t>
      </w:r>
      <w:r w:rsidR="00622FE8">
        <w:t xml:space="preserve"> cation exchange capacity</w:t>
      </w:r>
      <w:r w:rsidR="008A3EEF">
        <w:t>,</w:t>
      </w:r>
      <w:r w:rsidR="00E25251">
        <w:t xml:space="preserve"> </w:t>
      </w:r>
      <w:r w:rsidR="008A3EEF">
        <w:t>C</w:t>
      </w:r>
      <w:r w:rsidR="00E25251">
        <w:t>EC) and vegetational gradients</w:t>
      </w:r>
      <w:r w:rsidR="004A4D21">
        <w:t xml:space="preserve"> (</w:t>
      </w:r>
      <w:r w:rsidR="004A4D21" w:rsidRPr="00840830">
        <w:t>normalized difference vegetation index</w:t>
      </w:r>
      <w:r w:rsidR="008A3EEF">
        <w:t>,</w:t>
      </w:r>
      <w:r w:rsidR="007B7726">
        <w:t xml:space="preserve"> N</w:t>
      </w:r>
      <w:r w:rsidR="004A4D21">
        <w:t>DVI)</w:t>
      </w:r>
      <w:r w:rsidR="00E25251">
        <w:t xml:space="preserve">. </w:t>
      </w:r>
      <w:r w:rsidR="00BD537A">
        <w:t>W</w:t>
      </w:r>
      <w:r w:rsidR="00BD537A" w:rsidRPr="005C055F">
        <w:t>herever possible, we made use of remote sensing derived layers</w:t>
      </w:r>
      <w:r w:rsidR="007B7726">
        <w:t xml:space="preserve"> that are</w:t>
      </w:r>
      <w:r w:rsidR="00BD537A">
        <w:t xml:space="preserve"> comparable between the two regions.</w:t>
      </w:r>
      <w:r w:rsidR="00086052">
        <w:t xml:space="preserve"> </w:t>
      </w:r>
      <w:r w:rsidR="00BD537A">
        <w:t xml:space="preserve">As </w:t>
      </w:r>
      <w:r w:rsidR="00086052">
        <w:t>far as possible</w:t>
      </w:r>
      <w:r w:rsidR="00672E41">
        <w:t xml:space="preserve"> (see Supporting Information)</w:t>
      </w:r>
      <w:r w:rsidR="00086052">
        <w:t xml:space="preserv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D35F1E">
        <w:t xml:space="preserve"> (</w:t>
      </w:r>
      <w:r w:rsidR="00780F37">
        <w:t>Figure S</w:t>
      </w:r>
      <w:r w:rsidR="00780F37" w:rsidRPr="009A4D83">
        <w:t>1–3</w:t>
      </w:r>
      <w:r w:rsidR="00780F37">
        <w:t>)</w:t>
      </w:r>
      <w:r w:rsidR="00086052">
        <w:t xml:space="preserve">. </w:t>
      </w:r>
      <w:r w:rsidR="00183AF5">
        <w:t>S</w:t>
      </w:r>
      <w:r w:rsidR="007612C7">
        <w:t xml:space="preserve">oil variables were </w:t>
      </w:r>
      <w:r w:rsidR="008A3EEF">
        <w:t xml:space="preserve">summarized </w:t>
      </w:r>
      <w:r w:rsidR="007612C7">
        <w:t>as</w:t>
      </w:r>
      <w:r w:rsidR="005F0FFB">
        <w:t xml:space="preserve"> depth-interval weighted average</w:t>
      </w:r>
      <w:r w:rsidR="007612C7">
        <w:t>s</w:t>
      </w:r>
      <w:r w:rsidR="00183AF5">
        <w:t xml:space="preserve"> and</w:t>
      </w:r>
      <w:r w:rsidR="007612C7">
        <w:t xml:space="preserve"> climatic a</w:t>
      </w:r>
      <w:r w:rsidR="005F0FFB">
        <w:t xml:space="preserve">nd spectral </w:t>
      </w:r>
      <w:r w:rsidR="007612C7">
        <w:t>variables</w:t>
      </w:r>
      <w:r w:rsidR="00183AF5">
        <w:t xml:space="preserve"> </w:t>
      </w:r>
      <w:r w:rsidR="007612C7">
        <w:t>as</w:t>
      </w:r>
      <w:r w:rsidR="005F0FFB">
        <w:t xml:space="preserve"> </w:t>
      </w:r>
      <w:r w:rsidR="007612C7">
        <w:t>annual means</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to 0.05º resolution.</w:t>
      </w:r>
    </w:p>
    <w:p w14:paraId="1269A709" w14:textId="401C3992"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w:t>
      </w:r>
      <w:r w:rsidR="00154D43">
        <w:t>Making use of</w:t>
      </w:r>
      <w:r w:rsidR="005F0FFB" w:rsidRPr="00A3580F">
        <w:t xml:space="preserve"> raster data, </w:t>
      </w:r>
      <w:r w:rsidR="007B7726">
        <w:t xml:space="preserve">this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w:t>
      </w:r>
      <w:r w:rsidR="003E6B88" w:rsidRPr="00946957">
        <w:lastRenderedPageBreak/>
        <w:t>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7A39B6EB" w14:textId="77777777"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14:paraId="132B4D7C" w14:textId="15D95BA6"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7" w:name="_Hlk33707690"/>
      <w:r w:rsidR="00720FA4">
        <w:t xml:space="preserve">as with species richness and turnover, </w:t>
      </w:r>
      <w:r w:rsidR="000519A1" w:rsidRPr="000519A1">
        <w:t xml:space="preserve">we employed </w:t>
      </w:r>
      <w:r w:rsidR="009E0C44">
        <w:t>common language effect size (</w:t>
      </w:r>
      <w:r w:rsidR="000519A1">
        <w:rPr>
          <w:i/>
        </w:rPr>
        <w:t>CLES</w:t>
      </w:r>
      <w:r w:rsidR="009E0C44">
        <w:rPr>
          <w:i/>
        </w:rPr>
        <w:t>)</w:t>
      </w:r>
      <w:r w:rsidR="00720FA4">
        <w:t xml:space="preserve"> and</w:t>
      </w:r>
      <w:r w:rsidR="005C752F">
        <w:t xml:space="preserve"> two-sided Mann-Whitney </w:t>
      </w:r>
      <w:r w:rsidR="005C752F">
        <w:rPr>
          <w:i/>
        </w:rPr>
        <w:t>U</w:t>
      </w:r>
      <w:r w:rsidR="005C752F" w:rsidRPr="005C752F">
        <w:t>-</w:t>
      </w:r>
      <w:r w:rsidR="005C752F">
        <w:t>tests</w:t>
      </w:r>
      <w:r w:rsidR="000B7C42">
        <w:t xml:space="preserve">, </w:t>
      </w:r>
      <w:r w:rsidR="00771543">
        <w:t>as</w:t>
      </w:r>
      <w:r w:rsidR="000B7C42">
        <w:t xml:space="preserve"> some </w:t>
      </w:r>
      <w:r w:rsidR="00306DE0">
        <w:t xml:space="preserve">forms of heterogeneity </w:t>
      </w:r>
      <w:r w:rsidR="00771543">
        <w:t xml:space="preserve">were </w:t>
      </w:r>
      <w:r w:rsidR="000B7C42">
        <w:t>non-normally distributed</w:t>
      </w:r>
      <w:r w:rsidR="005C752F">
        <w:t>.</w:t>
      </w:r>
      <w:bookmarkEnd w:id="7"/>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7F48481D" w14:textId="77777777" w:rsidR="00DD2348" w:rsidRDefault="00DD7307" w:rsidP="008A4E97">
      <w:pPr>
        <w:pStyle w:val="Heading2"/>
        <w:spacing w:line="240" w:lineRule="auto"/>
      </w:pPr>
      <w:bookmarkStart w:id="8" w:name="environmental-heterogeneity-as-an-explan"/>
      <w:r>
        <w:t>2.3</w:t>
      </w:r>
      <w:r w:rsidR="0009179A">
        <w:t>:</w:t>
      </w:r>
      <w:r>
        <w:t xml:space="preserve"> </w:t>
      </w:r>
      <w:r w:rsidR="005F0FFB">
        <w:t>Environmental heterogeneity as an explanation of species richness</w:t>
      </w:r>
      <w:bookmarkEnd w:id="8"/>
    </w:p>
    <w:p w14:paraId="130377F9" w14:textId="737EDB9B" w:rsidR="002F092D" w:rsidRPr="007031A0" w:rsidRDefault="001E723F" w:rsidP="00DF0226">
      <w:pPr>
        <w:pStyle w:val="FirstParagraph"/>
        <w:rPr>
          <w:rFonts w:eastAsia="MS Mincho"/>
        </w:rPr>
      </w:pPr>
      <w:r>
        <w:t>W</w:t>
      </w:r>
      <w:r w:rsidR="00FE3E67">
        <w:t>e used linear</w:t>
      </w:r>
      <w:r w:rsidR="00FE4E23">
        <w:t xml:space="preserve"> </w:t>
      </w:r>
      <w:r w:rsidR="00FE3E67">
        <w:t>model</w:t>
      </w:r>
      <w:r w:rsidR="009E0C44">
        <w:t xml:space="preserve">s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 xml:space="preserve">We did not incorporate spatial autocorrelation into our models of species richness because the aim of our analyses was to expose the associations between different forms of spatial environmental heterogeneity and species richness, rather than to predict species richness or to partition sources of its variation. The fact that we </w:t>
      </w:r>
      <w:r w:rsidR="00283A36" w:rsidRPr="004A4FEC">
        <w:t>focused</w:t>
      </w:r>
      <w:r w:rsidR="004A4FEC" w:rsidRPr="004A4FEC">
        <w:t xml:space="preserve"> on heterogeneity between neighboring pixels is at odds with spatial</w:t>
      </w:r>
      <w:r w:rsidR="008F2F21">
        <w:t xml:space="preserve"> </w:t>
      </w:r>
      <w:r w:rsidR="004A4FEC" w:rsidRPr="004A4FEC">
        <w:t>autocorrelation which occurs when pixels are more related to each other than more distant pixels due to their proximity.</w:t>
      </w:r>
    </w:p>
    <w:p w14:paraId="071E539E" w14:textId="64BBCB4F"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 xml:space="preserve">on richness across the two regions,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xml:space="preserve">. Specifically, where the </w:t>
      </w:r>
      <w:r w:rsidR="00B31BED">
        <w:rPr>
          <w:rFonts w:eastAsia="MS Mincho"/>
        </w:rPr>
        <w:t>additive</w:t>
      </w:r>
      <w:r w:rsidR="009D235A" w:rsidRPr="007031A0">
        <w:rPr>
          <w:rFonts w:eastAsia="MS Mincho"/>
        </w:rPr>
        <w:t xml:space="preserve"> model describe</w:t>
      </w:r>
      <w:r w:rsidR="00A15FD6" w:rsidRPr="007031A0">
        <w:rPr>
          <w:rFonts w:eastAsia="MS Mincho"/>
        </w:rPr>
        <w:t>s</w:t>
      </w:r>
      <w:r w:rsidR="009D235A" w:rsidRPr="007031A0">
        <w:rPr>
          <w:rFonts w:eastAsia="MS Mincho"/>
        </w:rPr>
        <w:t xml:space="preserve"> these relationships as being identical in terms of slope but not intercept, the </w:t>
      </w:r>
      <w:r w:rsidR="00B31BED">
        <w:rPr>
          <w:rFonts w:eastAsia="MS Mincho"/>
        </w:rPr>
        <w:t>latter model</w:t>
      </w:r>
      <w:r w:rsidR="009D235A" w:rsidRPr="007031A0">
        <w:rPr>
          <w:rFonts w:eastAsia="MS Mincho"/>
        </w:rPr>
        <w:t xml:space="preserve"> describes them as differing in both.</w:t>
      </w:r>
    </w:p>
    <w:p w14:paraId="317A84CE" w14:textId="77777777"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xml:space="preserve">. </w:t>
      </w:r>
      <w:r w:rsidR="001D247C">
        <w:t>Each s</w:t>
      </w:r>
      <w:r w:rsidR="00D6426B">
        <w:t>tarting from a 19-predictor model</w:t>
      </w:r>
      <w:r w:rsidR="00E65D32">
        <w:t xml:space="preserve"> (i.e. </w:t>
      </w:r>
      <w:r w:rsidR="00D6426B">
        <w:t xml:space="preserve">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w:t>
      </w:r>
      <w:r w:rsidR="00E65D32">
        <w:t xml:space="preserve">ose </w:t>
      </w:r>
      <w:r w:rsidR="00D6426B">
        <w:t>with region</w:t>
      </w:r>
      <w:r w:rsidR="00E65D32">
        <w:t>)</w:t>
      </w:r>
      <w:r w:rsidR="001D247C">
        <w:t>,</w:t>
      </w:r>
      <w:r w:rsidR="00D6426B">
        <w:t xml:space="preserve">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richness on heterogeneity differs between the two regions. </w:t>
      </w:r>
      <w:r w:rsidR="009D474B">
        <w:t>Conversely</w:t>
      </w:r>
      <w:r w:rsidR="00094CB2">
        <w:t xml:space="preserve">, where </w:t>
      </w:r>
      <w:r w:rsidR="00094CB2">
        <w:lastRenderedPageBreak/>
        <w:t>only the main effect</w:t>
      </w:r>
      <w:r w:rsidR="009D474B">
        <w:t xml:space="preserve"> is</w:t>
      </w:r>
      <w:r w:rsidR="00094CB2">
        <w:t xml:space="preserve"> significant</w:t>
      </w:r>
      <w:r w:rsidR="00BC6A85">
        <w:t>, we infer</w:t>
      </w:r>
      <w:r w:rsidR="009D474B">
        <w:t xml:space="preserve"> the dependence of richness on heterogeneity to be uniform across the two regions.</w:t>
      </w:r>
    </w:p>
    <w:p w14:paraId="44459359" w14:textId="77777777"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3C32A63B" w14:textId="1373753C"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exceed</w:t>
      </w:r>
      <w:r w:rsidR="009E0C44">
        <w:t>ed</w:t>
      </w:r>
      <w:r w:rsidR="00DC385A">
        <w:t xml:space="preserve">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to identify outlier points</w:t>
      </w:r>
      <w:r w:rsidR="009A1A9F">
        <w:t xml:space="preserve"> (i.e., points with </w:t>
      </w:r>
      <w:r w:rsidR="0072431B">
        <w:t xml:space="preserve">residual </w:t>
      </w:r>
      <w:r w:rsidR="009A1A9F" w:rsidRPr="009A1A9F">
        <w:rPr>
          <w:i/>
          <w:iCs/>
        </w:rPr>
        <w:t>S</w:t>
      </w:r>
      <w:r w:rsidR="009A1A9F">
        <w:t xml:space="preserve"> </w:t>
      </w:r>
      <w:r w:rsidR="00887059">
        <w:t>more than two standard deviations from the mean</w:t>
      </w:r>
      <w:r w:rsidR="006D6946">
        <w:t xml:space="preserve"> predicted </w:t>
      </w:r>
      <w:r w:rsidR="009A1A9F" w:rsidRPr="009A1A9F">
        <w:rPr>
          <w:i/>
          <w:iCs/>
        </w:rPr>
        <w:t>S</w:t>
      </w:r>
      <w:r w:rsidR="009A1A9F">
        <w:t xml:space="preserve"> </w:t>
      </w:r>
      <w:r w:rsidR="006D6946">
        <w:t>at a given level of heterogeneit</w:t>
      </w:r>
      <w:r w:rsidR="009A1A9F">
        <w:t>y)</w:t>
      </w:r>
      <w:r w:rsidR="00887059">
        <w:t xml:space="preserve">. We also used </w:t>
      </w:r>
      <w:r w:rsidR="00887059" w:rsidRPr="00C47FAF">
        <w:rPr>
          <w:i/>
        </w:rPr>
        <w:t>F</w:t>
      </w:r>
      <w:r w:rsidR="00887059">
        <w:t>-test</w:t>
      </w:r>
      <w:r w:rsidR="00552D77">
        <w:t>s</w:t>
      </w:r>
      <w:r w:rsidR="00887059">
        <w:t xml:space="preserve"> to assess whether the </w:t>
      </w:r>
      <w:r w:rsidR="003D2B4F">
        <w:t>variances of the</w:t>
      </w:r>
      <w:r w:rsidR="004E79CB">
        <w:t>se</w:t>
      </w:r>
      <w:r w:rsidR="003D2B4F">
        <w:t xml:space="preserve"> </w:t>
      </w:r>
      <w:r w:rsidR="004E79CB">
        <w:t xml:space="preserve">residuals </w:t>
      </w:r>
      <w:r w:rsidR="00887059">
        <w:t xml:space="preserve">differed between the GCFR and SWAFR. Finally, </w:t>
      </w:r>
      <w:r w:rsidR="00265947">
        <w:t>to assess</w:t>
      </w:r>
      <w:r w:rsidR="003D2B4F">
        <w:t xml:space="preserve"> whether the exceptional richness of hotspots is best explained by factors other than heterogeneity, </w:t>
      </w:r>
      <w:r w:rsidR="00844FEA">
        <w:t xml:space="preserve">and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14:paraId="7E200AA9" w14:textId="77777777" w:rsidR="00D04776" w:rsidRDefault="00DD7307" w:rsidP="008A4E97">
      <w:pPr>
        <w:pStyle w:val="Heading1"/>
        <w:spacing w:line="240" w:lineRule="auto"/>
      </w:pPr>
      <w:bookmarkStart w:id="9" w:name="results"/>
      <w:r>
        <w:t>3</w:t>
      </w:r>
      <w:r w:rsidR="00E4661A">
        <w:t>:</w:t>
      </w:r>
      <w:r>
        <w:t xml:space="preserve"> </w:t>
      </w:r>
      <w:r w:rsidR="00D04776">
        <w:t>Results</w:t>
      </w:r>
      <w:bookmarkEnd w:id="9"/>
    </w:p>
    <w:p w14:paraId="2E45DE72" w14:textId="77777777" w:rsidR="0060601F" w:rsidRDefault="00DD7307" w:rsidP="008A4E97">
      <w:pPr>
        <w:pStyle w:val="Heading2"/>
        <w:spacing w:line="240" w:lineRule="auto"/>
      </w:pPr>
      <w:r>
        <w:t>3.1</w:t>
      </w:r>
      <w:r w:rsidR="00E4661A">
        <w:t>:</w:t>
      </w:r>
      <w:r>
        <w:t xml:space="preserve"> </w:t>
      </w:r>
      <w:r w:rsidR="0060601F">
        <w:t>Comparing species richness</w:t>
      </w:r>
    </w:p>
    <w:p w14:paraId="4973885D" w14:textId="5398B1AA"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w:t>
      </w:r>
      <w:proofErr w:type="spellStart"/>
      <w:r w:rsidRPr="006B3905">
        <w:t>Kogelberg</w:t>
      </w:r>
      <w:proofErr w:type="spellEnd"/>
      <w:r w:rsidRPr="006B3905">
        <w:t xml:space="preserve"> Centre in the GCFR; Greater Perth in the SWAFR) and declining richness towards its interior margin (</w:t>
      </w:r>
      <w:r w:rsidR="00304EA1" w:rsidRPr="006B3905">
        <w:t xml:space="preserve">Figure </w:t>
      </w:r>
      <w:r w:rsidR="00FC2A30" w:rsidRPr="006B3905">
        <w:t>1</w:t>
      </w:r>
      <w:r w:rsidRPr="006B3905">
        <w:t>a,</w:t>
      </w:r>
      <w:r w:rsidR="00BB4C59">
        <w:t xml:space="preserve"> </w:t>
      </w:r>
      <w:r w:rsidRPr="006B3905">
        <w:t xml:space="preserve">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14:paraId="70434687" w14:textId="4C73B957"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00BB4C59">
        <w:t xml:space="preserve"> </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is greater in the GCFR (0.64) than in the SWAFR (0.60</w:t>
      </w:r>
      <w:r w:rsidR="00BB4C59">
        <w:t xml:space="preserve">; </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w:t>
      </w:r>
      <w:r w:rsidR="00BB4C59">
        <w:t>Thus</w:t>
      </w:r>
      <w:r w:rsidR="003D0006">
        <w:t xml:space="preserve">, at both scales, plant species richness in the GCFR </w:t>
      </w:r>
      <w:r w:rsidR="00BB4C59">
        <w:t>owes more</w:t>
      </w:r>
      <w:r w:rsidR="003D0006">
        <w:t xml:space="preserve"> to turnover</w:t>
      </w:r>
      <w:r w:rsidR="00BB4C59">
        <w:t xml:space="preserve"> between sub-squares</w:t>
      </w:r>
      <w:r w:rsidR="003D0006">
        <w:t xml:space="preserve"> (</w:t>
      </w:r>
      <w:r w:rsidR="00BB4C59">
        <w:t xml:space="preserve">Figure 2f, g: </w:t>
      </w:r>
      <w:r w:rsidR="003D0006">
        <w:t xml:space="preserve">points further above </w:t>
      </w:r>
      <w:r w:rsidR="00BB4C59" w:rsidRPr="006D0EFF">
        <w:rPr>
          <w:i/>
          <w:iCs/>
        </w:rPr>
        <w:t>y</w:t>
      </w:r>
      <w:r w:rsidR="00BB4C59">
        <w:rPr>
          <w:i/>
          <w:iCs/>
        </w:rPr>
        <w:t xml:space="preserve"> </w:t>
      </w:r>
      <w:r w:rsidR="00BB4C59" w:rsidRPr="006D0EFF">
        <w:rPr>
          <w:i/>
          <w:iCs/>
        </w:rPr>
        <w:t>=</w:t>
      </w:r>
      <w:r w:rsidR="00BB4C59">
        <w:rPr>
          <w:i/>
          <w:iCs/>
        </w:rPr>
        <w:t xml:space="preserve"> </w:t>
      </w:r>
      <w:r w:rsidR="00BB4C59" w:rsidRPr="006D0EFF">
        <w:rPr>
          <w:i/>
          <w:iCs/>
        </w:rPr>
        <w:t>x</w:t>
      </w:r>
      <w:r w:rsidR="00BB4C59">
        <w:t xml:space="preserve"> </w:t>
      </w:r>
      <w:r w:rsidR="003D0006">
        <w:t xml:space="preserve">line) than </w:t>
      </w:r>
      <w:r w:rsidR="00BB4C59">
        <w:t>is the case in</w:t>
      </w:r>
      <w:r w:rsidR="003D0006">
        <w:t xml:space="preserve"> the SWAFR (</w:t>
      </w:r>
      <w:r w:rsidR="00BB4C59">
        <w:t xml:space="preserve">Figure 2f, g: </w:t>
      </w:r>
      <w:r w:rsidR="003D0006">
        <w:t xml:space="preserve">points closer to </w:t>
      </w:r>
      <w:r w:rsidR="00BB4C59" w:rsidRPr="00F965D3">
        <w:rPr>
          <w:i/>
          <w:iCs/>
        </w:rPr>
        <w:t>y</w:t>
      </w:r>
      <w:r w:rsidR="00BB4C59">
        <w:rPr>
          <w:i/>
          <w:iCs/>
        </w:rPr>
        <w:t xml:space="preserve"> </w:t>
      </w:r>
      <w:r w:rsidR="00BB4C59" w:rsidRPr="00F965D3">
        <w:rPr>
          <w:i/>
          <w:iCs/>
        </w:rPr>
        <w:t>=</w:t>
      </w:r>
      <w:r w:rsidR="00BB4C59">
        <w:rPr>
          <w:i/>
          <w:iCs/>
        </w:rPr>
        <w:t xml:space="preserve"> </w:t>
      </w:r>
      <w:r w:rsidR="00BB4C59" w:rsidRPr="00F965D3">
        <w:rPr>
          <w:i/>
          <w:iCs/>
        </w:rPr>
        <w:t>x</w:t>
      </w:r>
      <w:r w:rsidR="00BB4C59">
        <w:t xml:space="preserve"> </w:t>
      </w:r>
      <w:r w:rsidR="003D0006">
        <w:t>line)</w:t>
      </w:r>
      <w:r w:rsidR="00DB192A">
        <w:t>.</w:t>
      </w:r>
    </w:p>
    <w:p w14:paraId="5FF594B7" w14:textId="77777777" w:rsidR="00D04776" w:rsidRDefault="00DD7307">
      <w:pPr>
        <w:pStyle w:val="Heading2"/>
        <w:spacing w:line="240" w:lineRule="auto"/>
      </w:pPr>
      <w:r>
        <w:t>3.2</w:t>
      </w:r>
      <w:r w:rsidR="00462611">
        <w:t>:</w:t>
      </w:r>
      <w:r>
        <w:t xml:space="preserve"> </w:t>
      </w:r>
      <w:r w:rsidR="00D04776">
        <w:t>Comparing environmental heterogeneity</w:t>
      </w:r>
    </w:p>
    <w:p w14:paraId="6B570B11" w14:textId="4E38FB55" w:rsidR="00AD4DCC" w:rsidRDefault="003D7FCB" w:rsidP="008A4E97">
      <w:pPr>
        <w:pStyle w:val="FirstParagraph"/>
      </w:pPr>
      <w:r>
        <w:t xml:space="preserve">With the exception of a few variables at the DS-scale (i.e. MAP, NDVI, CEC, clay, soil C), </w:t>
      </w:r>
      <w:r w:rsidR="00C512E9" w:rsidRPr="00916B93">
        <w:rPr>
          <w:i/>
        </w:rPr>
        <w:t>CLES</w:t>
      </w:r>
      <w:r w:rsidR="00C512E9">
        <w:t xml:space="preserve"> comparisons revealed</w:t>
      </w:r>
      <w:r w:rsidR="00C512E9" w:rsidRPr="00916B93">
        <w:t xml:space="preserve"> the GCFR </w:t>
      </w:r>
      <w:r w:rsidR="00C512E9">
        <w:t>to</w:t>
      </w:r>
      <w:r w:rsidR="00C512E9" w:rsidRPr="00916B93">
        <w:t xml:space="preserve"> </w:t>
      </w:r>
      <w:r w:rsidR="00C512E9">
        <w:t>be</w:t>
      </w:r>
      <w:r w:rsidR="00C512E9" w:rsidRPr="00916B93">
        <w:t xml:space="preserve"> more heterogeneous</w:t>
      </w:r>
      <w:r w:rsidR="00C512E9" w:rsidRPr="009A6ABA">
        <w:rPr>
          <w:lang w:val="en-ZA"/>
        </w:rPr>
        <w:t xml:space="preserve"> </w:t>
      </w:r>
      <w:r w:rsidR="00C512E9" w:rsidRPr="00916B93">
        <w:t xml:space="preserve">than the SWAFR </w:t>
      </w:r>
      <w:r>
        <w:t>in</w:t>
      </w:r>
      <w:r w:rsidR="00C512E9" w:rsidRPr="00916B93">
        <w:t xml:space="preserve"> all nine environmental variables, </w:t>
      </w:r>
      <w:r w:rsidR="00C512E9">
        <w:t xml:space="preserve">and </w:t>
      </w:r>
      <w:r w:rsidR="00C512E9" w:rsidRPr="00916B93">
        <w:t>across the full range of spatial scales</w:t>
      </w:r>
      <w:r>
        <w:t xml:space="preserve"> studied</w:t>
      </w:r>
      <w:r w:rsidR="00C512E9">
        <w:t xml:space="preserve"> </w:t>
      </w:r>
      <w:r w:rsidR="00C512E9" w:rsidRPr="00916B93">
        <w:t>(</w:t>
      </w:r>
      <w:r w:rsidR="00C512E9">
        <w:t>Figure 3</w:t>
      </w:r>
      <w:r w:rsidR="00C512E9" w:rsidRPr="00916B93">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t>3</w:t>
      </w:r>
      <w:r w:rsidR="00816F2B" w:rsidRPr="007974D6">
        <w:t>8</w:t>
      </w:r>
      <w:r w:rsidR="00FA78DF" w:rsidRPr="007974D6">
        <w:t>%</w:t>
      </w:r>
      <w:r w:rsidR="00FA78DF" w:rsidRPr="00916B93">
        <w:t xml:space="preserve"> </w:t>
      </w:r>
      <w:r w:rsidR="00C52934">
        <w:t>(</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50</w:t>
      </w:r>
      <w:r w:rsidR="00FA78DF" w:rsidRPr="00916B93">
        <w:t xml:space="preserve">% </w:t>
      </w:r>
      <w:r w:rsidR="00C52934">
        <w:t>(DS-scale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9E0C44">
        <w:rPr>
          <w:lang w:val="en-ZA"/>
        </w:rPr>
        <w:t>, respectively</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C503E7">
        <w:t>-</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C503E7">
        <w:t>-</w:t>
      </w:r>
      <w:proofErr w:type="spellStart"/>
      <w:r w:rsidR="000962CB">
        <w:t>i</w:t>
      </w:r>
      <w:proofErr w:type="spellEnd"/>
      <w:r w:rsidR="00E67A7C" w:rsidRPr="009A6ABA">
        <w:t>)</w:t>
      </w:r>
      <w:r w:rsidR="00F3440B">
        <w:rPr>
          <w:lang w:val="en-ZA"/>
        </w:rPr>
        <w:t>.</w:t>
      </w:r>
    </w:p>
    <w:p w14:paraId="05507C2C" w14:textId="219840B1"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w:t>
      </w:r>
      <w:r w:rsidR="00301F36">
        <w:t>difference greater</w:t>
      </w:r>
      <w:r w:rsidR="000D5988">
        <w:t xml:space="preserve"> at broad scales)</w:t>
      </w:r>
      <w:r w:rsidR="00346C28">
        <w:t xml:space="preserve">, with the notable </w:t>
      </w:r>
      <w:r w:rsidR="00346C28">
        <w:lastRenderedPageBreak/>
        <w:t>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30441A">
        <w:t>similar</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14:paraId="7BB85429" w14:textId="77777777"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14:paraId="72496CC8" w14:textId="5E5C8D96" w:rsidR="0030441A" w:rsidRDefault="00CF298D" w:rsidP="006D0EFF">
      <w:pPr>
        <w:pStyle w:val="FirstParagraph"/>
      </w:pPr>
      <w:r>
        <w:t xml:space="preserve">With </w:t>
      </w:r>
      <w:r w:rsidR="00181CE4">
        <w:t>just two</w:t>
      </w:r>
      <w:r>
        <w:t xml:space="preserve"> exceptions (</w:t>
      </w:r>
      <w:r w:rsidRPr="007031A0">
        <w:rPr>
          <w:rFonts w:eastAsia="MS Mincho"/>
        </w:rPr>
        <w:t>elevation and CEC</w:t>
      </w:r>
      <w:r>
        <w:rPr>
          <w:rFonts w:eastAsia="MS Mincho"/>
        </w:rPr>
        <w:t xml:space="preserve"> at the </w:t>
      </w:r>
      <w:r w:rsidRPr="007031A0">
        <w:rPr>
          <w:rFonts w:eastAsia="MS Mincho"/>
        </w:rPr>
        <w:t>DS-scale</w:t>
      </w:r>
      <w:r>
        <w:rPr>
          <w:rFonts w:eastAsia="MS Mincho"/>
        </w:rPr>
        <w:t>), t</w:t>
      </w:r>
      <w:r w:rsidR="006B7A26">
        <w:t xml:space="preserve">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w:t>
      </w:r>
      <w:r w:rsidR="0030441A">
        <w:rPr>
          <w:rFonts w:eastAsia="MS Mincho"/>
        </w:rPr>
        <w:t>s</w:t>
      </w:r>
      <w:r w:rsidR="00F554DF" w:rsidRPr="007031A0">
        <w:rPr>
          <w:rFonts w:eastAsia="MS Mincho"/>
        </w:rPr>
        <w:t xml:space="preserve"> species richness in a consistently positive manner across the two study regions</w:t>
      </w:r>
      <w:r w:rsidR="00181CE4">
        <w:rPr>
          <w:rFonts w:eastAsia="MS Mincho"/>
        </w:rPr>
        <w:t>.</w:t>
      </w:r>
      <w:r w:rsidR="00DF01F6" w:rsidRPr="007031A0">
        <w:rPr>
          <w:rFonts w:eastAsia="MS Mincho"/>
        </w:rPr>
        <w:t xml:space="preserve"> </w:t>
      </w:r>
      <w:r w:rsidR="00154D43">
        <w:rPr>
          <w:rFonts w:eastAsia="MS Mincho"/>
        </w:rPr>
        <w:t>A</w:t>
      </w:r>
      <w:r w:rsidR="0030441A">
        <w:rPr>
          <w:rFonts w:eastAsia="MS Mincho"/>
        </w:rPr>
        <w:t xml:space="preserve">t all three scales, the “main effect only” model was </w:t>
      </w:r>
      <w:proofErr w:type="spellStart"/>
      <w:r w:rsidR="0030441A">
        <w:rPr>
          <w:rFonts w:eastAsia="MS Mincho"/>
        </w:rPr>
        <w:t>favoured</w:t>
      </w:r>
      <w:proofErr w:type="spellEnd"/>
      <w:r w:rsidR="00154D43" w:rsidRPr="00154D43">
        <w:rPr>
          <w:rFonts w:eastAsia="MS Mincho"/>
        </w:rPr>
        <w:t xml:space="preserve"> </w:t>
      </w:r>
      <w:r w:rsidR="00154D43">
        <w:rPr>
          <w:rFonts w:eastAsia="MS Mincho"/>
        </w:rPr>
        <w:t>for more variables</w:t>
      </w:r>
      <w:r w:rsidR="0030441A">
        <w:rPr>
          <w:rFonts w:eastAsia="MS Mincho"/>
        </w:rPr>
        <w:t>, including the major axis of heterogeneity</w:t>
      </w:r>
      <w:r w:rsidR="00B56DF3">
        <w:rPr>
          <w:rFonts w:eastAsia="MS Mincho"/>
        </w:rPr>
        <w:t xml:space="preserve"> (PC1)</w:t>
      </w:r>
      <w:r w:rsidR="00154D43">
        <w:rPr>
          <w:rFonts w:eastAsia="MS Mincho"/>
        </w:rPr>
        <w:t>,</w:t>
      </w:r>
      <w:r w:rsidR="0030441A">
        <w:rPr>
          <w:rFonts w:eastAsia="MS Mincho"/>
        </w:rPr>
        <w:t xml:space="preserve"> </w:t>
      </w:r>
      <w:r w:rsidR="00154D43">
        <w:rPr>
          <w:rFonts w:eastAsia="MS Mincho"/>
        </w:rPr>
        <w:t>than was any other model</w:t>
      </w:r>
      <w:r w:rsidRPr="00CF298D">
        <w:rPr>
          <w:rFonts w:eastAsia="MS Mincho"/>
        </w:rPr>
        <w:t xml:space="preserve"> </w:t>
      </w:r>
      <w:r>
        <w:rPr>
          <w:rFonts w:eastAsia="MS Mincho"/>
        </w:rPr>
        <w:t>(</w:t>
      </w:r>
      <w:r w:rsidRPr="007031A0">
        <w:rPr>
          <w:rFonts w:eastAsia="MS Mincho"/>
        </w:rPr>
        <w:t xml:space="preserve">Table </w:t>
      </w:r>
      <w:r w:rsidR="00154D43">
        <w:rPr>
          <w:rFonts w:eastAsia="MS Mincho"/>
        </w:rPr>
        <w:t>1</w:t>
      </w:r>
      <w:r w:rsidRPr="007031A0">
        <w:rPr>
          <w:rFonts w:eastAsia="MS Mincho"/>
        </w:rPr>
        <w:t>; Figure 4)</w:t>
      </w:r>
      <w:r w:rsidR="00154D43">
        <w:rPr>
          <w:rFonts w:eastAsia="MS Mincho"/>
        </w:rPr>
        <w:t>. This indicates</w:t>
      </w:r>
      <w:r>
        <w:rPr>
          <w:rFonts w:eastAsia="MS Mincho"/>
        </w:rPr>
        <w:t xml:space="preserve"> a</w:t>
      </w:r>
      <w:r w:rsidR="002C7612" w:rsidRPr="007031A0">
        <w:rPr>
          <w:rFonts w:eastAsia="MS Mincho"/>
        </w:rPr>
        <w:t xml:space="preserve"> </w:t>
      </w:r>
      <w:r>
        <w:rPr>
          <w:rFonts w:eastAsia="MS Mincho"/>
        </w:rPr>
        <w:t xml:space="preserve">broadly </w:t>
      </w:r>
      <w:r w:rsidR="002C7612" w:rsidRPr="007031A0">
        <w:rPr>
          <w:rFonts w:eastAsia="MS Mincho"/>
        </w:rPr>
        <w:t>uniform</w:t>
      </w:r>
      <w:r w:rsidR="00E64B6B" w:rsidRPr="007031A0">
        <w:rPr>
          <w:rFonts w:eastAsia="MS Mincho"/>
        </w:rPr>
        <w:t xml:space="preserve"> </w:t>
      </w:r>
      <w:r>
        <w:rPr>
          <w:rFonts w:eastAsia="MS Mincho"/>
        </w:rPr>
        <w:t xml:space="preserve">effect of heterogeneity on species richness </w:t>
      </w:r>
      <w:r w:rsidR="003E7233" w:rsidRPr="007031A0">
        <w:rPr>
          <w:rFonts w:eastAsia="MS Mincho"/>
        </w:rPr>
        <w:t>across the two regions.</w:t>
      </w:r>
      <w:r w:rsidR="008F4C08" w:rsidRPr="007031A0">
        <w:rPr>
          <w:rFonts w:eastAsia="MS Mincho"/>
        </w:rPr>
        <w:t xml:space="preserve"> </w:t>
      </w:r>
      <w:r w:rsidR="00B56DF3">
        <w:rPr>
          <w:rFonts w:eastAsia="MS Mincho"/>
        </w:rPr>
        <w:t>Moreover, a</w:t>
      </w:r>
      <w:r>
        <w:rPr>
          <w:rFonts w:eastAsia="MS Mincho"/>
        </w:rPr>
        <w:t xml:space="preserve">lthough the </w:t>
      </w:r>
      <w:r>
        <w:rPr>
          <w:rFonts w:cs="Times New Roman"/>
        </w:rPr>
        <w:t>“m</w:t>
      </w:r>
      <w:r w:rsidRPr="004C6C44">
        <w:rPr>
          <w:rFonts w:cs="Times New Roman"/>
        </w:rPr>
        <w:t>ain effect + region</w:t>
      </w:r>
      <w:r>
        <w:rPr>
          <w:rFonts w:cs="Times New Roman"/>
        </w:rPr>
        <w:t>”</w:t>
      </w:r>
      <w:r w:rsidRPr="007031A0">
        <w:rPr>
          <w:rFonts w:eastAsia="MS Mincho" w:cs="Times New Roman"/>
        </w:rPr>
        <w:t xml:space="preserve"> model was </w:t>
      </w:r>
      <w:proofErr w:type="spellStart"/>
      <w:r w:rsidRPr="007031A0">
        <w:rPr>
          <w:rFonts w:eastAsia="MS Mincho" w:cs="Times New Roman"/>
        </w:rPr>
        <w:t>favoured</w:t>
      </w:r>
      <w:proofErr w:type="spellEnd"/>
      <w:r>
        <w:rPr>
          <w:rFonts w:eastAsia="MS Mincho" w:cs="Times New Roman"/>
        </w:rPr>
        <w:t xml:space="preserve"> for the major axis of heterogeneity at the QDS-scale (</w:t>
      </w:r>
      <w:r w:rsidRPr="007031A0">
        <w:rPr>
          <w:rFonts w:eastAsia="MS Mincho" w:cs="Times New Roman"/>
        </w:rPr>
        <w:t>Table 1a; Figure 4a</w:t>
      </w:r>
      <w:r w:rsidR="002341D2">
        <w:rPr>
          <w:rFonts w:eastAsia="MS Mincho" w:cs="Times New Roman"/>
        </w:rPr>
        <w:t>)</w:t>
      </w:r>
      <w:r w:rsidRPr="007031A0">
        <w:rPr>
          <w:rFonts w:eastAsia="MS Mincho" w:cs="Times New Roman"/>
        </w:rPr>
        <w:t>, the difference in intercepts between the GCFR and SWAFR (</w:t>
      </w:r>
      <w:r>
        <w:rPr>
          <w:rFonts w:eastAsia="MS Mincho" w:cs="Times New Roman"/>
        </w:rPr>
        <w:t xml:space="preserve">Table 1a: </w:t>
      </w:r>
      <w:r w:rsidRPr="007031A0">
        <w:rPr>
          <w:rFonts w:eastAsia="MS Mincho" w:cs="Times New Roman"/>
        </w:rPr>
        <w:t xml:space="preserve">92.5 species) is small relative to the spread of residual species richness at the QDS-scale within each region </w:t>
      </w:r>
      <w:r w:rsidRPr="00CF397B">
        <w:t>(</w:t>
      </w:r>
      <w:r w:rsidRPr="00CF397B">
        <w:rPr>
          <w:i/>
          <w:iCs/>
        </w:rPr>
        <w:t>SD</w:t>
      </w:r>
      <w:r w:rsidRPr="00CF397B">
        <w:rPr>
          <w:iCs/>
          <w:vertAlign w:val="subscript"/>
        </w:rPr>
        <w:t>GCFR</w:t>
      </w:r>
      <w:r w:rsidRPr="00CF397B">
        <w:t xml:space="preserve"> = 3</w:t>
      </w:r>
      <w:r>
        <w:t>43.5</w:t>
      </w:r>
      <w:r w:rsidRPr="00CF397B">
        <w:t xml:space="preserve">; </w:t>
      </w:r>
      <w:r w:rsidRPr="00CF397B">
        <w:rPr>
          <w:i/>
          <w:iCs/>
        </w:rPr>
        <w:t>SD</w:t>
      </w:r>
      <w:r w:rsidRPr="00CF397B">
        <w:rPr>
          <w:iCs/>
          <w:vertAlign w:val="subscript"/>
        </w:rPr>
        <w:t>SWAFR</w:t>
      </w:r>
      <w:r w:rsidRPr="00CF397B">
        <w:t xml:space="preserve"> = 24</w:t>
      </w:r>
      <w:r>
        <w:t>5</w:t>
      </w:r>
      <w:r w:rsidRPr="00CF397B">
        <w:t>.</w:t>
      </w:r>
      <w:r>
        <w:t>8</w:t>
      </w:r>
      <w:r w:rsidRPr="009958EA">
        <w:t>; Table S3a</w:t>
      </w:r>
      <w:r w:rsidRPr="00CF397B">
        <w:t>).</w:t>
      </w:r>
      <w:r w:rsidRPr="007031A0">
        <w:rPr>
          <w:rFonts w:eastAsia="MS Mincho" w:cs="Times New Roman"/>
        </w:rPr>
        <w:t xml:space="preserve"> This indicates that regional differences in the form of the QDS-scale richness-heterogeneity relationship</w:t>
      </w:r>
      <w:r w:rsidRPr="00CF397B">
        <w:t>, while statistically significant,</w:t>
      </w:r>
      <w:r w:rsidRPr="007031A0">
        <w:rPr>
          <w:rFonts w:eastAsia="MS Mincho" w:cs="Times New Roman"/>
        </w:rPr>
        <w:t xml:space="preserve"> are subtle.</w:t>
      </w:r>
      <w:r w:rsidR="00181CE4">
        <w:rPr>
          <w:rFonts w:eastAsia="MS Mincho" w:cs="Times New Roman"/>
        </w:rPr>
        <w:t xml:space="preserve"> Application of a quadratic “main effect only” model </w:t>
      </w:r>
      <w:r w:rsidR="00181CE4" w:rsidRPr="007031A0">
        <w:rPr>
          <w:rFonts w:eastAsia="MS Mincho" w:cs="Times New Roman"/>
        </w:rPr>
        <w:t xml:space="preserve">(i.e., </w:t>
      </w:r>
      <w:r w:rsidR="00181CE4" w:rsidRPr="007031A0">
        <w:rPr>
          <w:rFonts w:eastAsia="MS Mincho"/>
          <w:i/>
        </w:rPr>
        <w:t>S</w:t>
      </w:r>
      <w:r w:rsidR="00181CE4" w:rsidRPr="007031A0">
        <w:rPr>
          <w:rFonts w:eastAsia="MS Mincho"/>
        </w:rPr>
        <w:t xml:space="preserve"> ~ </w:t>
      </w:r>
      <w:r w:rsidR="00181CE4" w:rsidRPr="007031A0">
        <w:rPr>
          <w:rFonts w:cs="Times New Roman"/>
          <w:i/>
        </w:rPr>
        <w:t>β</w:t>
      </w:r>
      <w:r w:rsidR="00181CE4" w:rsidRPr="007031A0">
        <w:rPr>
          <w:rFonts w:cs="Times New Roman"/>
          <w:vertAlign w:val="subscript"/>
        </w:rPr>
        <w:t>0</w:t>
      </w:r>
      <w:r w:rsidR="00181CE4" w:rsidRPr="007031A0">
        <w:rPr>
          <w:rFonts w:cs="Times New Roman"/>
        </w:rPr>
        <w:t xml:space="preserve"> + </w:t>
      </w:r>
      <w:r w:rsidR="00181CE4" w:rsidRPr="007031A0">
        <w:rPr>
          <w:rFonts w:cs="Times New Roman"/>
          <w:i/>
        </w:rPr>
        <w:t>β</w:t>
      </w:r>
      <w:r w:rsidR="00181CE4" w:rsidRPr="007031A0">
        <w:rPr>
          <w:rFonts w:cs="Times New Roman"/>
          <w:vertAlign w:val="subscript"/>
        </w:rPr>
        <w:t>1</w:t>
      </w:r>
      <w:r w:rsidR="00181CE4" w:rsidRPr="007031A0">
        <w:rPr>
          <w:rFonts w:cs="Times New Roman"/>
          <w:i/>
        </w:rPr>
        <w:t>X + β</w:t>
      </w:r>
      <w:r w:rsidR="00181CE4" w:rsidRPr="007031A0">
        <w:rPr>
          <w:rFonts w:cs="Times New Roman"/>
          <w:vertAlign w:val="subscript"/>
        </w:rPr>
        <w:t>2</w:t>
      </w:r>
      <w:r w:rsidR="00181CE4" w:rsidRPr="007031A0">
        <w:rPr>
          <w:rFonts w:cs="Times New Roman"/>
          <w:i/>
        </w:rPr>
        <w:t>X</w:t>
      </w:r>
      <w:r w:rsidR="00181CE4" w:rsidRPr="007031A0">
        <w:rPr>
          <w:rFonts w:cs="Times New Roman"/>
          <w:iCs/>
          <w:vertAlign w:val="superscript"/>
        </w:rPr>
        <w:t>2</w:t>
      </w:r>
      <w:r w:rsidR="00181CE4" w:rsidRPr="007031A0">
        <w:rPr>
          <w:rFonts w:cs="Times New Roman"/>
          <w:iCs/>
        </w:rPr>
        <w:t xml:space="preserve">) </w:t>
      </w:r>
      <w:r w:rsidR="00181CE4">
        <w:rPr>
          <w:rFonts w:eastAsia="MS Mincho" w:cs="Times New Roman"/>
        </w:rPr>
        <w:t xml:space="preserve">to the richness-major axis of heterogeneity (PC1) relationship </w:t>
      </w:r>
      <w:r w:rsidR="003506E5">
        <w:rPr>
          <w:rFonts w:eastAsia="MS Mincho" w:cs="Times New Roman"/>
        </w:rPr>
        <w:t>provides evidence of</w:t>
      </w:r>
      <w:r w:rsidR="00181CE4">
        <w:rPr>
          <w:rFonts w:eastAsia="MS Mincho" w:cs="Times New Roman"/>
        </w:rPr>
        <w:t xml:space="preserve"> non</w:t>
      </w:r>
      <w:r w:rsidR="002341D2">
        <w:rPr>
          <w:rFonts w:eastAsia="MS Mincho" w:cs="Times New Roman"/>
        </w:rPr>
        <w:t>-</w:t>
      </w:r>
      <w:r w:rsidR="00181CE4">
        <w:rPr>
          <w:rFonts w:eastAsia="MS Mincho" w:cs="Times New Roman"/>
        </w:rPr>
        <w:t xml:space="preserve">linearity at the QDS-scale, with </w:t>
      </w:r>
      <w:r w:rsidR="003506E5">
        <w:rPr>
          <w:rFonts w:eastAsia="MS Mincho" w:cs="Times New Roman"/>
        </w:rPr>
        <w:t>a</w:t>
      </w:r>
      <w:r w:rsidR="00181CE4">
        <w:rPr>
          <w:rFonts w:eastAsia="MS Mincho" w:cs="Times New Roman"/>
        </w:rPr>
        <w:t xml:space="preserve"> </w:t>
      </w:r>
      <w:r w:rsidR="00181CE4" w:rsidRPr="007031A0">
        <w:rPr>
          <w:rFonts w:eastAsia="MS Mincho" w:cs="Times New Roman"/>
        </w:rPr>
        <w:t xml:space="preserve">quadratic model </w:t>
      </w:r>
      <w:r w:rsidR="00181CE4">
        <w:rPr>
          <w:rFonts w:cs="Times New Roman"/>
          <w:iCs/>
        </w:rPr>
        <w:t xml:space="preserve">being </w:t>
      </w:r>
      <w:proofErr w:type="spellStart"/>
      <w:r w:rsidR="00181CE4" w:rsidRPr="007031A0">
        <w:rPr>
          <w:rFonts w:cs="Times New Roman"/>
          <w:iCs/>
        </w:rPr>
        <w:t>favoured</w:t>
      </w:r>
      <w:proofErr w:type="spellEnd"/>
      <w:r w:rsidR="00181CE4" w:rsidRPr="007031A0">
        <w:rPr>
          <w:rFonts w:cs="Times New Roman"/>
          <w:iCs/>
        </w:rPr>
        <w:t xml:space="preserve"> </w:t>
      </w:r>
      <w:r w:rsidR="005C6EFB">
        <w:rPr>
          <w:rFonts w:cs="Times New Roman"/>
          <w:iCs/>
        </w:rPr>
        <w:t xml:space="preserve">over a linear model </w:t>
      </w:r>
      <w:r w:rsidR="00181CE4" w:rsidRPr="007031A0">
        <w:rPr>
          <w:rFonts w:eastAsia="MS Mincho" w:cs="Times New Roman"/>
        </w:rPr>
        <w:t>(</w:t>
      </w:r>
      <w:r w:rsidR="00181CE4" w:rsidRPr="007031A0">
        <w:rPr>
          <w:rFonts w:eastAsia="MS Mincho" w:cs="Times New Roman"/>
          <w:i/>
          <w:iCs/>
        </w:rPr>
        <w:t>∆</w:t>
      </w:r>
      <w:proofErr w:type="spellStart"/>
      <w:r w:rsidR="00181CE4" w:rsidRPr="007031A0">
        <w:rPr>
          <w:rFonts w:eastAsia="MS Mincho" w:cs="Times New Roman"/>
          <w:i/>
          <w:iCs/>
        </w:rPr>
        <w:t>AIC</w:t>
      </w:r>
      <w:r w:rsidR="00181CE4" w:rsidRPr="006D0EFF">
        <w:rPr>
          <w:rFonts w:eastAsia="MS Mincho" w:cs="Times New Roman"/>
          <w:vertAlign w:val="subscript"/>
        </w:rPr>
        <w:t>linear</w:t>
      </w:r>
      <w:proofErr w:type="spellEnd"/>
      <w:r w:rsidR="00181CE4" w:rsidRPr="007031A0">
        <w:rPr>
          <w:rFonts w:eastAsia="MS Mincho" w:cs="Times New Roman"/>
          <w:i/>
          <w:iCs/>
        </w:rPr>
        <w:t xml:space="preserve"> </w:t>
      </w:r>
      <w:r w:rsidR="00181CE4" w:rsidRPr="007031A0">
        <w:rPr>
          <w:rFonts w:eastAsia="MS Mincho" w:cs="Times New Roman"/>
        </w:rPr>
        <w:t>= 23.78)</w:t>
      </w:r>
      <w:r w:rsidR="00C8410E">
        <w:rPr>
          <w:rFonts w:eastAsia="MS Mincho" w:cs="Times New Roman"/>
        </w:rPr>
        <w:t xml:space="preserve">, and </w:t>
      </w:r>
      <w:r w:rsidR="005C6EFB">
        <w:rPr>
          <w:rFonts w:eastAsia="MS Mincho" w:cs="Times New Roman"/>
        </w:rPr>
        <w:t xml:space="preserve">the quadratic and linear coefficients </w:t>
      </w:r>
      <w:r w:rsidR="00C8410E">
        <w:rPr>
          <w:rFonts w:eastAsia="MS Mincho" w:cs="Times New Roman"/>
        </w:rPr>
        <w:t>both being</w:t>
      </w:r>
      <w:r w:rsidR="005C6EFB">
        <w:rPr>
          <w:rFonts w:eastAsia="MS Mincho" w:cs="Times New Roman"/>
        </w:rPr>
        <w:t xml:space="preserve"> positive</w:t>
      </w:r>
      <w:r w:rsidR="00181CE4" w:rsidRPr="007031A0">
        <w:rPr>
          <w:rFonts w:eastAsia="MS Mincho" w:cs="Times New Roman"/>
        </w:rPr>
        <w:t xml:space="preserve"> (</w:t>
      </w:r>
      <w:r w:rsidR="00181CE4" w:rsidRPr="007031A0">
        <w:rPr>
          <w:rFonts w:cs="Times New Roman"/>
          <w:i/>
        </w:rPr>
        <w:t>β</w:t>
      </w:r>
      <w:r w:rsidR="00181CE4" w:rsidRPr="007031A0">
        <w:rPr>
          <w:rFonts w:cs="Times New Roman"/>
          <w:vertAlign w:val="subscript"/>
        </w:rPr>
        <w:t>1</w:t>
      </w:r>
      <w:r w:rsidR="00181CE4" w:rsidRPr="007031A0">
        <w:rPr>
          <w:rFonts w:eastAsia="MS Mincho" w:cs="Times New Roman"/>
        </w:rPr>
        <w:t xml:space="preserve"> = 69.02, </w:t>
      </w:r>
      <w:r w:rsidR="00181CE4" w:rsidRPr="007031A0">
        <w:rPr>
          <w:rFonts w:cs="Times New Roman"/>
          <w:i/>
        </w:rPr>
        <w:t>β</w:t>
      </w:r>
      <w:r w:rsidR="00181CE4" w:rsidRPr="007031A0">
        <w:rPr>
          <w:rFonts w:cs="Times New Roman"/>
          <w:vertAlign w:val="subscript"/>
        </w:rPr>
        <w:t>2</w:t>
      </w:r>
      <w:r w:rsidR="00181CE4" w:rsidRPr="007031A0">
        <w:rPr>
          <w:rFonts w:eastAsia="MS Mincho" w:cs="Times New Roman"/>
        </w:rPr>
        <w:t xml:space="preserve"> = 9.99; both </w:t>
      </w:r>
      <w:r w:rsidR="00181CE4" w:rsidRPr="007031A0">
        <w:rPr>
          <w:rFonts w:eastAsia="MS Mincho" w:cs="Times New Roman"/>
          <w:i/>
          <w:iCs/>
        </w:rPr>
        <w:t xml:space="preserve">P </w:t>
      </w:r>
      <w:r w:rsidR="00181CE4" w:rsidRPr="007031A0">
        <w:rPr>
          <w:rFonts w:eastAsia="MS Mincho" w:cs="Times New Roman"/>
        </w:rPr>
        <w:t>&lt; 0.001)</w:t>
      </w:r>
      <w:r w:rsidR="00C8410E">
        <w:rPr>
          <w:rFonts w:eastAsia="MS Mincho" w:cs="Times New Roman"/>
        </w:rPr>
        <w:t xml:space="preserve"> and</w:t>
      </w:r>
      <w:r w:rsidR="003506E5">
        <w:rPr>
          <w:rFonts w:eastAsia="MS Mincho" w:cs="Times New Roman"/>
        </w:rPr>
        <w:t xml:space="preserve"> describing an upward-opening parabola</w:t>
      </w:r>
      <w:r w:rsidR="00181CE4" w:rsidRPr="007031A0">
        <w:rPr>
          <w:rFonts w:eastAsia="MS Mincho" w:cs="Times New Roman"/>
        </w:rPr>
        <w:t>.</w:t>
      </w:r>
      <w:r w:rsidR="005C6EFB">
        <w:rPr>
          <w:rFonts w:eastAsia="MS Mincho" w:cs="Times New Roman"/>
        </w:rPr>
        <w:t xml:space="preserve"> At both the HDS- and DS-scales, however, the linear model </w:t>
      </w:r>
      <w:r w:rsidR="00061103">
        <w:rPr>
          <w:rFonts w:eastAsia="MS Mincho" w:cs="Times New Roman"/>
        </w:rPr>
        <w:t>i</w:t>
      </w:r>
      <w:r w:rsidR="005C6EFB">
        <w:rPr>
          <w:rFonts w:eastAsia="MS Mincho" w:cs="Times New Roman"/>
        </w:rPr>
        <w:t xml:space="preserve">s </w:t>
      </w:r>
      <w:proofErr w:type="spellStart"/>
      <w:r w:rsidR="005C6EFB">
        <w:rPr>
          <w:rFonts w:eastAsia="MS Mincho" w:cs="Times New Roman"/>
        </w:rPr>
        <w:t>favoured</w:t>
      </w:r>
      <w:proofErr w:type="spellEnd"/>
      <w:r w:rsidR="005C6EFB">
        <w:rPr>
          <w:rFonts w:eastAsia="MS Mincho" w:cs="Times New Roman"/>
        </w:rPr>
        <w:t>.</w:t>
      </w:r>
      <w:r w:rsidR="00D57CAE" w:rsidRPr="007031A0" w:rsidDel="00D57CAE">
        <w:rPr>
          <w:rFonts w:eastAsia="MS Mincho"/>
        </w:rPr>
        <w:t xml:space="preserve"> </w:t>
      </w:r>
      <w:r w:rsidR="003C5ECE">
        <w:rPr>
          <w:rFonts w:eastAsia="MS Mincho"/>
        </w:rPr>
        <w:t>Finally, a</w:t>
      </w:r>
      <w:r w:rsidR="00D57CAE">
        <w:rPr>
          <w:rFonts w:eastAsia="MS Mincho"/>
        </w:rPr>
        <w:t xml:space="preserve">lthough the </w:t>
      </w:r>
      <w:r w:rsidR="00D57CAE">
        <w:rPr>
          <w:rFonts w:eastAsia="MS Mincho" w:cs="Times New Roman"/>
        </w:rPr>
        <w:t>“m</w:t>
      </w:r>
      <w:r w:rsidR="0030441A" w:rsidRPr="007031A0">
        <w:rPr>
          <w:rFonts w:eastAsia="MS Mincho"/>
        </w:rPr>
        <w:t xml:space="preserve">ain effect </w:t>
      </w:r>
      <w:r w:rsidR="0030441A" w:rsidRPr="007031A0">
        <w:rPr>
          <w:rFonts w:eastAsia="MS Mincho" w:cs="Times New Roman"/>
        </w:rPr>
        <w:t>×</w:t>
      </w:r>
      <w:r w:rsidR="0030441A" w:rsidRPr="007031A0">
        <w:rPr>
          <w:rFonts w:eastAsia="MS Mincho"/>
        </w:rPr>
        <w:t xml:space="preserve"> region” model w</w:t>
      </w:r>
      <w:r w:rsidR="00D57CAE">
        <w:rPr>
          <w:rFonts w:eastAsia="MS Mincho"/>
        </w:rPr>
        <w:t>as</w:t>
      </w:r>
      <w:r w:rsidR="0030441A" w:rsidRPr="007031A0">
        <w:rPr>
          <w:rFonts w:eastAsia="MS Mincho"/>
        </w:rPr>
        <w:t xml:space="preserve"> optimal for some variables</w:t>
      </w:r>
      <w:r w:rsidR="00D57CAE">
        <w:rPr>
          <w:rFonts w:eastAsia="MS Mincho"/>
        </w:rPr>
        <w:t xml:space="preserve">, the </w:t>
      </w:r>
      <w:r w:rsidR="0030441A" w:rsidRPr="007031A0">
        <w:rPr>
          <w:rFonts w:eastAsia="MS Mincho"/>
        </w:rPr>
        <w:t>interaction terms associated with these</w:t>
      </w:r>
      <w:r w:rsidR="00D57CAE">
        <w:rPr>
          <w:rFonts w:eastAsia="MS Mincho"/>
        </w:rPr>
        <w:t xml:space="preserve"> models</w:t>
      </w:r>
      <w:r w:rsidR="0030441A" w:rsidRPr="007031A0">
        <w:rPr>
          <w:rFonts w:eastAsia="MS Mincho"/>
        </w:rPr>
        <w:t xml:space="preserve"> either describe positive effect</w:t>
      </w:r>
      <w:r w:rsidR="0030441A">
        <w:rPr>
          <w:rFonts w:eastAsia="MS Mincho"/>
        </w:rPr>
        <w:t>s</w:t>
      </w:r>
      <w:r w:rsidR="0030441A" w:rsidRPr="007031A0">
        <w:rPr>
          <w:rFonts w:eastAsia="MS Mincho"/>
        </w:rPr>
        <w:t xml:space="preserve"> on richness in both regions or a positive effect in one region and </w:t>
      </w:r>
      <w:r w:rsidR="00D57CAE">
        <w:rPr>
          <w:rFonts w:eastAsia="MS Mincho"/>
        </w:rPr>
        <w:t xml:space="preserve">a </w:t>
      </w:r>
      <w:r w:rsidR="0030441A" w:rsidRPr="007031A0">
        <w:rPr>
          <w:rFonts w:eastAsia="MS Mincho"/>
        </w:rPr>
        <w:t>negligible effect in the other (e.g. HDS-scale heterogeneity in clay; Table 1b).</w:t>
      </w:r>
    </w:p>
    <w:p w14:paraId="2D13237C" w14:textId="3169ECF6" w:rsidR="006C54AE" w:rsidRDefault="00061103">
      <w:pPr>
        <w:pStyle w:val="FirstParagraph"/>
      </w:pPr>
      <w:r>
        <w:t xml:space="preserve">The use of </w:t>
      </w:r>
      <w:r w:rsidR="00C31973">
        <w:t>multiple regression models</w:t>
      </w:r>
      <w:r w:rsidR="001C1630">
        <w:t>,</w:t>
      </w:r>
      <w:r w:rsidR="00C31973">
        <w:t xml:space="preserve"> to </w:t>
      </w:r>
      <w:r>
        <w:t xml:space="preserve">assess </w:t>
      </w:r>
      <w:r w:rsidR="001C1630">
        <w:t xml:space="preserve">the </w:t>
      </w:r>
      <w:r w:rsidR="00C31973">
        <w:t xml:space="preserve">effects of </w:t>
      </w:r>
      <w:r>
        <w:t>heterogeneity in individual</w:t>
      </w:r>
      <w:r w:rsidR="00C31973">
        <w:t xml:space="preserve"> </w:t>
      </w:r>
      <w:r w:rsidR="00B335D2">
        <w:t xml:space="preserve">variables </w:t>
      </w:r>
      <w:r w:rsidR="00C31973">
        <w:t>on species richness</w:t>
      </w:r>
      <w:r w:rsidR="001C1630">
        <w:t xml:space="preserve"> when applied jointly, </w:t>
      </w:r>
      <w:r>
        <w:t>largely corroborate</w:t>
      </w:r>
      <w:r w:rsidR="001C1630">
        <w:t>s</w:t>
      </w:r>
      <w:r>
        <w:t xml:space="preserve"> our inference of a generally positive effect of heterogeneity on species richness.</w:t>
      </w:r>
      <w:r w:rsidR="00C31973">
        <w:t xml:space="preserve">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1C1630">
        <w:t>mostly</w:t>
      </w:r>
      <w:r w:rsidR="001C1630" w:rsidRPr="00866807">
        <w:t xml:space="preserve"> </w:t>
      </w:r>
      <w:r w:rsidR="00E22B64" w:rsidRPr="00866807">
        <w:t>positive or</w:t>
      </w:r>
      <w:r w:rsidR="00E22B64">
        <w:t xml:space="preserve"> neutral in </w:t>
      </w:r>
      <w:r w:rsidR="001C1630">
        <w:t>both regions, the only exceptions being</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 xml:space="preserve">PDQ at </w:t>
      </w:r>
      <w:r w:rsidR="001C1630">
        <w:t xml:space="preserve">the </w:t>
      </w:r>
      <w:r w:rsidR="000065E8" w:rsidRPr="00E22B64">
        <w:t>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1C1630" w:rsidRPr="00E22B64">
        <w:t>Th</w:t>
      </w:r>
      <w:r w:rsidR="001C1630">
        <w:t>ese results</w:t>
      </w:r>
      <w:r w:rsidR="001C1630" w:rsidRPr="00E22B64">
        <w:t xml:space="preserve"> </w:t>
      </w:r>
      <w:r w:rsidR="004A2BCB" w:rsidRPr="00E22B64">
        <w:t>add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1C1630">
        <w:t>,</w:t>
      </w:r>
      <w:r w:rsidR="00F203C8">
        <w:t xml:space="preserve"> and in most forms of heterogeneity when compared in isolation (Table 1)</w:t>
      </w:r>
      <w:r w:rsidR="004E394A">
        <w:t>.</w:t>
      </w:r>
      <w:r w:rsidR="001C1630">
        <w:t xml:space="preserve"> </w:t>
      </w:r>
      <w:r w:rsidR="008C7E5A">
        <w:t>Interestingly, DS-scale heterogeneity in elevation and CEC have both negative univariate (Table 1c) and partial (Figure 5c) effects</w:t>
      </w:r>
      <w:r w:rsidR="001C1630">
        <w:t>, while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w:t>
      </w:r>
      <w:r w:rsidR="001C1630">
        <w:t xml:space="preserve"> </w:t>
      </w:r>
      <w:r w:rsidR="00574970">
        <w:t>b</w:t>
      </w:r>
      <w:r w:rsidR="0032574D" w:rsidRPr="00A12A8F">
        <w:t>)</w:t>
      </w:r>
      <w:r w:rsidR="00350FE5" w:rsidRPr="00A12A8F">
        <w:t>.</w:t>
      </w:r>
      <w:r w:rsidR="00C31973">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1C1630">
        <w:t xml:space="preserve"> richness t</w:t>
      </w:r>
      <w:r w:rsidR="00262F02" w:rsidRPr="00CF397B">
        <w:t xml:space="preserve">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w:t>
      </w:r>
      <w:r w:rsidR="007D2522">
        <w:t xml:space="preserve">nonexistent </w:t>
      </w:r>
      <w:r w:rsidR="0019274F">
        <w:t xml:space="preserve">partial </w:t>
      </w:r>
      <w:r w:rsidR="007D2522">
        <w:t xml:space="preserve">effects of the different forms of heterogeneity on </w:t>
      </w:r>
      <w:r w:rsidR="0072394C">
        <w:t xml:space="preserve">richness </w:t>
      </w:r>
      <w:r w:rsidR="0019274F">
        <w:t>in the SWAFR</w:t>
      </w:r>
      <w:r w:rsidR="002A0395">
        <w:t>.</w:t>
      </w:r>
    </w:p>
    <w:p w14:paraId="524517B9" w14:textId="34952486" w:rsidR="00350FE5" w:rsidRDefault="00396132">
      <w:pPr>
        <w:pStyle w:val="FirstParagraph"/>
      </w:pPr>
      <w:r>
        <w:t>T</w:t>
      </w:r>
      <w:r w:rsidR="00E81245">
        <w:t>he coefficients of determi</w:t>
      </w:r>
      <w:r w:rsidR="006F4CB8">
        <w:t xml:space="preserve">nation associated with the </w:t>
      </w:r>
      <w:r w:rsidR="009F6AE0">
        <w:t xml:space="preserve">optimal multiple </w:t>
      </w:r>
      <w:r w:rsidR="00E81245">
        <w:t>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w:t>
      </w:r>
      <w:r w:rsidR="009F6AE0">
        <w:t>indicates that</w:t>
      </w:r>
      <w:r w:rsidR="0090296A">
        <w:t xml:space="preserve"> </w:t>
      </w:r>
      <w:r w:rsidR="006F4CB8">
        <w:t xml:space="preserve">PC1 </w:t>
      </w:r>
      <w:r w:rsidR="0090296A">
        <w:lastRenderedPageBreak/>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14:paraId="3FABFF94" w14:textId="77777777"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4478B5C5" w14:textId="74E4D261"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w:t>
      </w:r>
      <w:r w:rsidR="00C503E7">
        <w:t>-</w:t>
      </w:r>
      <w:r w:rsidR="005D74C8" w:rsidRPr="005D74C8">
        <w:t>h</w:t>
      </w:r>
      <w:r w:rsidR="00E42B45">
        <w:t>,</w:t>
      </w:r>
      <w:r w:rsidR="001B4B9F" w:rsidRPr="00514C5C">
        <w:t xml:space="preserve"> </w:t>
      </w:r>
      <w:r w:rsidR="00C00919">
        <w:t>S9</w:t>
      </w:r>
      <w:r w:rsidR="00514C5C" w:rsidRPr="00514C5C">
        <w:t>e</w:t>
      </w:r>
      <w:r w:rsidR="00C503E7">
        <w:t>-</w:t>
      </w:r>
      <w:r w:rsidR="00514C5C" w:rsidRPr="00514C5C">
        <w:t>h</w:t>
      </w:r>
      <w:r w:rsidR="00E42B45">
        <w:t>,</w:t>
      </w:r>
      <w:r w:rsidR="00514C5C" w:rsidRPr="00514C5C">
        <w:t xml:space="preserve"> </w:t>
      </w:r>
      <w:r w:rsidR="00C00919">
        <w:t>S10</w:t>
      </w:r>
      <w:r w:rsidR="00514C5C" w:rsidRPr="00514C5C">
        <w:t>e</w:t>
      </w:r>
      <w:r w:rsidR="00C503E7">
        <w:t>-</w:t>
      </w:r>
      <w:r w:rsidR="00514C5C" w:rsidRPr="00514C5C">
        <w:t>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AC3DE8">
        <w:t xml:space="preserve"> (Figure S5a,</w:t>
      </w:r>
      <w:r w:rsidR="00C503E7">
        <w:t xml:space="preserve"> </w:t>
      </w:r>
      <w:r w:rsidR="00AC3DE8">
        <w:t>b; S6a,</w:t>
      </w:r>
      <w:r w:rsidR="00C503E7">
        <w:t xml:space="preserve"> </w:t>
      </w:r>
      <w:r w:rsidR="00AC3DE8">
        <w:t>b; S9e</w:t>
      </w:r>
      <w:r w:rsidR="00C503E7">
        <w:t>-</w:t>
      </w:r>
      <w:r w:rsidR="00AC3DE8">
        <w:t>h)</w:t>
      </w:r>
      <w:r w:rsidR="00C64450">
        <w:t>.</w:t>
      </w:r>
      <w:r w:rsidR="006B0D68">
        <w:t xml:space="preserve"> </w:t>
      </w:r>
      <w:r w:rsidR="00123A7A">
        <w:t>Fewer hotspots are resolved a</w:t>
      </w:r>
      <w:r w:rsidR="006B0D68">
        <w:t xml:space="preserve">t the HDS-scale </w:t>
      </w:r>
      <w:r w:rsidR="00123A7A">
        <w:t>(</w:t>
      </w:r>
      <w:r w:rsidR="00AC3DE8">
        <w:t>Figure S5c,</w:t>
      </w:r>
      <w:r w:rsidR="005F4DBB">
        <w:t xml:space="preserve"> </w:t>
      </w:r>
      <w:r w:rsidR="00AC3DE8">
        <w:t>d; S6c,</w:t>
      </w:r>
      <w:r w:rsidR="00C503E7">
        <w:t xml:space="preserve"> </w:t>
      </w:r>
      <w:r w:rsidR="00AC3DE8">
        <w:t>d; 1e</w:t>
      </w:r>
      <w:r w:rsidR="00C503E7">
        <w:t>-</w:t>
      </w:r>
      <w:r w:rsidR="00AC3DE8">
        <w:t>h</w:t>
      </w:r>
      <w:r w:rsidR="00123A7A">
        <w:t xml:space="preserve">) and only one </w:t>
      </w:r>
      <w:r w:rsidR="008B5556">
        <w:t xml:space="preserve">(the Hottentots Holland area in the GCFR) </w:t>
      </w:r>
      <w:r w:rsidR="00123A7A">
        <w:t>a</w:t>
      </w:r>
      <w:r w:rsidR="000C33EC">
        <w:t>t</w:t>
      </w:r>
      <w:r w:rsidR="001B4B9F">
        <w:t xml:space="preserve"> </w:t>
      </w:r>
      <w:r w:rsidR="006B0D68">
        <w:t>the DS-scale</w:t>
      </w:r>
      <w:r w:rsidR="00CC0CD9">
        <w:t xml:space="preserve"> </w:t>
      </w:r>
      <w:r w:rsidR="008B5556">
        <w:t>(Figure S5e; S10e-h)</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B5556">
        <w:t>, but</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w:t>
      </w:r>
      <w:r w:rsidR="008B5556">
        <w:t>under</w:t>
      </w:r>
      <w:r w:rsidR="008B5556" w:rsidRPr="004C3A17">
        <w:t xml:space="preserve"> </w:t>
      </w:r>
      <w:r w:rsidR="00807EFC" w:rsidRPr="004C3A17">
        <w:t xml:space="preserve">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8B5556">
        <w:t>following</w:t>
      </w:r>
      <w:r w:rsidR="008B5556" w:rsidRPr="004C3A17">
        <w:t xml:space="preserve"> </w:t>
      </w:r>
      <w:r w:rsidR="00DC180F" w:rsidRPr="004C3A17">
        <w:t xml:space="preserve">the omission of </w:t>
      </w:r>
      <w:r w:rsidR="00A70597" w:rsidRPr="004C3A17">
        <w:t>hotspots</w:t>
      </w:r>
      <w:r w:rsidR="00DC180F" w:rsidRPr="004C3A17">
        <w:t>.</w:t>
      </w:r>
    </w:p>
    <w:p w14:paraId="65E21AB5" w14:textId="77777777" w:rsidR="00F8593E" w:rsidRDefault="00DD7307">
      <w:pPr>
        <w:pStyle w:val="Heading1"/>
        <w:spacing w:line="240" w:lineRule="auto"/>
      </w:pPr>
      <w:r>
        <w:t>4</w:t>
      </w:r>
      <w:r w:rsidR="00765FAE">
        <w:t>:</w:t>
      </w:r>
      <w:r>
        <w:t xml:space="preserve"> </w:t>
      </w:r>
      <w:r w:rsidR="00F8593E" w:rsidRPr="00891FE6">
        <w:t>Discussion</w:t>
      </w:r>
    </w:p>
    <w:p w14:paraId="2E279149" w14:textId="2F53E434" w:rsidR="001E1442" w:rsidRDefault="006A4B08" w:rsidP="002C20EB">
      <w:pPr>
        <w:pStyle w:val="BodyText"/>
        <w:tabs>
          <w:tab w:val="left" w:pos="6189"/>
        </w:tabs>
      </w:pPr>
      <w:bookmarkStart w:id="10" w:name="tables"/>
      <w:r>
        <w:t>Consistent with a recent meta-analysis identifying environmental heterogeneity as a universal driver of species richness</w:t>
      </w:r>
      <w:r w:rsidR="00DD5CB7">
        <w:t xml:space="preserve"> </w:t>
      </w:r>
      <w:r w:rsidR="00404D92" w:rsidRPr="00404D92">
        <w:rPr>
          <w:noProof/>
        </w:rPr>
        <w:t>(Stein</w:t>
      </w:r>
      <w:r w:rsidR="00A07D34">
        <w:rPr>
          <w:noProof/>
        </w:rPr>
        <w:t>, Gerstner, &amp; Kreft</w:t>
      </w:r>
      <w:r w:rsidR="00404D92" w:rsidRPr="00404D92">
        <w:rPr>
          <w:noProof/>
        </w:rPr>
        <w:t>,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w:t>
      </w:r>
      <w:r w:rsidR="00A07D34" w:rsidRPr="00363E65">
        <w:rPr>
          <w:rFonts w:cs="Times New Roman"/>
          <w:noProof/>
          <w:lang w:val="en-GB"/>
        </w:rPr>
        <w:t>Allouche, Kalyuzhny, Moreno-Rueda, Pizarro, &amp; Kadmon</w:t>
      </w:r>
      <w:r w:rsidR="00404D92" w:rsidRPr="00404D92">
        <w:rPr>
          <w:noProof/>
        </w:rPr>
        <w:t xml:space="preserve">, 2012; </w:t>
      </w:r>
      <w:r w:rsidR="00A07D34" w:rsidRPr="00363E65">
        <w:rPr>
          <w:rFonts w:cs="Times New Roman"/>
          <w:noProof/>
          <w:lang w:val="en-GB"/>
        </w:rPr>
        <w:t>Carnicer, Brotons, Herrando, &amp; Sol</w:t>
      </w:r>
      <w:r w:rsidR="00404D92" w:rsidRPr="00404D92">
        <w:rPr>
          <w:noProof/>
        </w:rPr>
        <w:t>, 2013)</w:t>
      </w:r>
      <w:r w:rsidR="000217F9">
        <w:t>, at least at the scales considered here</w:t>
      </w:r>
      <w:r w:rsidR="001155C0">
        <w:t>.</w:t>
      </w:r>
      <w:r w:rsidR="00004BFE">
        <w:t xml:space="preserve"> </w:t>
      </w:r>
      <w:r w:rsidR="00C8410E">
        <w:t>Although a</w:t>
      </w:r>
      <w:r w:rsidR="001155C0">
        <w:t xml:space="preserve"> quadratic relationship between richness and heterogeneity </w:t>
      </w:r>
      <w:r w:rsidR="00C8410E">
        <w:t>is</w:t>
      </w:r>
      <w:r w:rsidR="001155C0">
        <w:t xml:space="preserve"> </w:t>
      </w:r>
      <w:proofErr w:type="spellStart"/>
      <w:r w:rsidR="001155C0">
        <w:t>favoured</w:t>
      </w:r>
      <w:proofErr w:type="spellEnd"/>
      <w:r w:rsidR="001155C0">
        <w:t xml:space="preserve"> at the QDS-scale, </w:t>
      </w:r>
      <w:r w:rsidR="00C8410E">
        <w:t>this describes an</w:t>
      </w:r>
      <w:r w:rsidR="00945C48">
        <w:t xml:space="preserve"> upward-opening </w:t>
      </w:r>
      <w:r w:rsidR="001155C0">
        <w:t>parabola</w:t>
      </w:r>
      <w:r w:rsidR="00C8410E">
        <w:t xml:space="preserve"> rather than a humped, unimodal curve</w:t>
      </w:r>
      <w:r w:rsidR="001155C0">
        <w:t xml:space="preserve">.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C8410E">
        <w:t xml:space="preserve">are </w:t>
      </w:r>
      <w:r w:rsidR="00186541">
        <w:t>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t>
      </w:r>
      <w:r w:rsidR="00A07D34" w:rsidRPr="00363E65">
        <w:rPr>
          <w:rFonts w:cs="Times New Roman"/>
          <w:noProof/>
          <w:lang w:val="en-GB"/>
        </w:rPr>
        <w:t>Wüest, Boucher, Bouchenak-Khelladi, Karger, &amp; Linder,</w:t>
      </w:r>
      <w:r w:rsidR="00404D92" w:rsidRPr="00404D92">
        <w:rPr>
          <w:noProof/>
        </w:rPr>
        <w:t xml:space="preserve">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A07D34">
        <w:t>may arise because</w:t>
      </w:r>
      <w:r w:rsidR="00B3606C">
        <w:t xml:space="preserve"> </w:t>
      </w:r>
      <w:r w:rsidR="00C85C59">
        <w:t xml:space="preserve">DS, </w:t>
      </w:r>
      <w:r w:rsidR="00A07D34">
        <w:t>unlike</w:t>
      </w:r>
      <w:r w:rsidR="00C85C59">
        <w:t xml:space="preserve"> QDS and HDS,</w:t>
      </w:r>
      <w:r w:rsidR="00BE7B44">
        <w:t xml:space="preserve"> </w:t>
      </w:r>
      <w:r w:rsidR="00A07D34">
        <w:t>are</w:t>
      </w:r>
      <w:r w:rsidR="003617CF">
        <w:t xml:space="preserve"> sufficiently large</w:t>
      </w:r>
      <w:r w:rsidR="00D13C71">
        <w:t xml:space="preserve"> </w:t>
      </w:r>
      <w:r w:rsidR="00BE7B44">
        <w:t xml:space="preserve">to </w:t>
      </w:r>
      <w:r w:rsidR="00896B4A">
        <w:t>capture</w:t>
      </w:r>
      <w:r w:rsidR="00967E02">
        <w:t xml:space="preserve"> </w:t>
      </w:r>
      <w:r w:rsidR="00BE7B44">
        <w:t>speci</w:t>
      </w:r>
      <w:r w:rsidR="00C85C59">
        <w:t>ation process</w:t>
      </w:r>
      <w:r w:rsidR="003A65BD">
        <w:t>, especially allopatric speciation</w:t>
      </w:r>
      <w:r w:rsidR="00BE7B44">
        <w:t>.</w:t>
      </w:r>
    </w:p>
    <w:p w14:paraId="3EFD56D7" w14:textId="368D0FE6"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CF0D61">
        <w:t>. W</w:t>
      </w:r>
      <w:r w:rsidR="00B26384">
        <w:t>here this is not the case,</w:t>
      </w:r>
      <w:r w:rsidR="005048A3">
        <w:t xml:space="preserve"> 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xml:space="preserve">, </w:t>
      </w:r>
      <w:r w:rsidR="00E3070E">
        <w:lastRenderedPageBreak/>
        <w:t>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w:t>
      </w:r>
      <w:r w:rsidR="00A07D34" w:rsidRPr="00363E65">
        <w:rPr>
          <w:rFonts w:cs="Times New Roman"/>
          <w:noProof/>
          <w:lang w:val="en-GB"/>
        </w:rPr>
        <w:t>Cramer, West, Power, Skelton, &amp; Stock</w:t>
      </w:r>
      <w:r w:rsidR="00404D92" w:rsidRPr="00404D92">
        <w:rPr>
          <w:noProof/>
        </w:rPr>
        <w:t xml:space="preserve">, 2014; </w:t>
      </w:r>
      <w:r w:rsidR="00A07D34" w:rsidRPr="00363E65">
        <w:rPr>
          <w:rFonts w:cs="Times New Roman"/>
          <w:noProof/>
          <w:lang w:val="en-GB"/>
        </w:rPr>
        <w:t>Hart, Usinowicz, &amp; Levine</w:t>
      </w:r>
      <w:r w:rsidR="00404D92" w:rsidRPr="00404D92">
        <w:rPr>
          <w:noProof/>
        </w:rPr>
        <w:t>,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223CC5">
        <w:rPr>
          <w:noProof/>
        </w:rPr>
        <w:t xml:space="preserve">; see also </w:t>
      </w:r>
      <w:r w:rsidR="00704131">
        <w:t xml:space="preserve">Figure </w:t>
      </w:r>
      <w:r w:rsidR="00F06726">
        <w:t>S11</w:t>
      </w:r>
      <w:r w:rsidR="00704131">
        <w:t>).</w:t>
      </w:r>
    </w:p>
    <w:p w14:paraId="17F94E39" w14:textId="6206E41A"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the generally low coefficients of determination associated with these relationships indicate</w:t>
      </w:r>
      <w:r w:rsidR="002C6058">
        <w:t>s</w:t>
      </w:r>
      <w:r w:rsidR="00653FBE">
        <w:t xml:space="preserve"> </w:t>
      </w:r>
      <w:r w:rsidR="008B5685">
        <w:t>role</w:t>
      </w:r>
      <w:r w:rsidR="00FB05C8">
        <w:t>s</w:t>
      </w:r>
      <w:r w:rsidR="008B5685">
        <w:t xml:space="preserv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1F48A1">
        <w:t xml:space="preserve">.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6206F4">
        <w:t xml:space="preserve"> </w:t>
      </w:r>
      <w:r w:rsidR="00FD7934">
        <w:t>modelled soil layers</w:t>
      </w:r>
      <w:r w:rsidR="008D30F0">
        <w:t xml:space="preserve">, </w:t>
      </w:r>
      <w:r w:rsidR="001F48A1">
        <w:t>includ</w:t>
      </w:r>
      <w:r w:rsidR="009B32F5">
        <w:t>ing</w:t>
      </w:r>
      <w:r w:rsidR="001F48A1">
        <w:t xml:space="preserve"> </w:t>
      </w:r>
      <w:r w:rsidR="008D30F0">
        <w:t>soil chemistry</w:t>
      </w:r>
      <w:r w:rsidR="00D44FC3">
        <w:t xml:space="preserve"> </w:t>
      </w:r>
      <w:r w:rsidR="00F86EEE">
        <w:t>variables</w:t>
      </w:r>
      <w:r w:rsidR="008D30F0">
        <w:t>,</w:t>
      </w:r>
      <w:r w:rsidR="00FD7934">
        <w:t xml:space="preserve"> as predictors of vegetation type in the GCFR,</w:t>
      </w:r>
      <w:r w:rsidR="00BD7A0C">
        <w:t xml:space="preserve"> compared with the globally</w:t>
      </w:r>
      <w:r w:rsidR="006206F4">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D11E26">
        <w:t>for the</w:t>
      </w:r>
      <w:r w:rsidR="00FD7934">
        <w:t xml:space="preserve"> SWAFR.</w:t>
      </w:r>
      <w:r w:rsidR="0074652D">
        <w:t xml:space="preserve"> </w:t>
      </w:r>
      <w:bookmarkStart w:id="11" w:name="_Hlk56512269"/>
      <w:r w:rsidR="00043988">
        <w:t>D</w:t>
      </w:r>
      <w:r w:rsidR="00BD7A0C">
        <w:t>espite the</w:t>
      </w:r>
      <w:r w:rsidR="003362FE">
        <w:t xml:space="preserve"> obvious importance of soil variables</w:t>
      </w:r>
      <w:r w:rsidR="00BD7A0C">
        <w:t xml:space="preserve"> as determinants of plant </w:t>
      </w:r>
      <w:r w:rsidR="00C47138">
        <w:t>species richness patterns</w:t>
      </w:r>
      <w:r w:rsidR="00BD7A0C">
        <w:t>,</w:t>
      </w:r>
      <w:r w:rsidR="00C47138">
        <w:t xml:space="preserve"> particularly in the two regions under study</w:t>
      </w:r>
      <w:r w:rsidR="00F86EEE">
        <w:t>,</w:t>
      </w:r>
      <w:r w:rsidR="00C47138">
        <w:t xml:space="preserve"> where they influence both the genesis and distribution of diversity</w:t>
      </w:r>
      <w:r w:rsidR="00A041EE">
        <w:t>,</w:t>
      </w:r>
      <w:r w:rsidR="00C47138">
        <w:t xml:space="preserve"> often at local scales (Cowling et al. 1994),</w:t>
      </w:r>
      <w:r w:rsidR="00BD7A0C">
        <w:t xml:space="preserve">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w:t>
      </w:r>
      <w:r w:rsidR="00C47138">
        <w:t xml:space="preserve"> </w:t>
      </w:r>
      <w:bookmarkEnd w:id="11"/>
      <w:r w:rsidR="00E806A3">
        <w:t>Similarly</w:t>
      </w:r>
      <w:r w:rsidR="003362FE">
        <w:t xml:space="preserve">, </w:t>
      </w:r>
      <w:bookmarkStart w:id="12" w:name="_Hlk56513107"/>
      <w:r w:rsidR="003362FE">
        <w:t>the association of many point</w:t>
      </w:r>
      <w:r w:rsidR="00A179C9">
        <w:t>-</w:t>
      </w:r>
      <w:r w:rsidR="00BC31F1">
        <w:t xml:space="preserve">endemics in the GCFR </w:t>
      </w:r>
      <w:r w:rsidR="003362FE">
        <w:t xml:space="preserve">with </w:t>
      </w:r>
      <w:r w:rsidR="007E2142">
        <w:t xml:space="preserve">small, </w:t>
      </w:r>
      <w:r w:rsidR="008B5685">
        <w:t>highly</w:t>
      </w:r>
      <w:r w:rsidR="00021F5D">
        <w:t xml:space="preserve"> </w:t>
      </w:r>
      <w:r w:rsidR="00A041EE">
        <w:t>localized wetlands</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w:t>
      </w:r>
      <w:r w:rsidR="006206F4">
        <w:t xml:space="preserve"> </w:t>
      </w:r>
      <w:r w:rsidR="003362FE">
        <w:t>determined</w:t>
      </w:r>
      <w:r w:rsidR="00E806A3">
        <w:t>,</w:t>
      </w:r>
      <w:r w:rsidR="00164E10">
        <w:t xml:space="preserve"> presents challenges </w:t>
      </w:r>
      <w:r w:rsidR="00E806A3">
        <w:t xml:space="preserve">for species distribution modelling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proofErr w:type="spellStart"/>
      <w:r w:rsidR="00996D75">
        <w:t>relictual</w:t>
      </w:r>
      <w:proofErr w:type="spellEnd"/>
      <w:r w:rsidR="00996D75">
        <w:t xml:space="preserve"> species typically inhabit waterlogged situations</w:t>
      </w:r>
      <w:r w:rsidR="00E74506">
        <w:t xml:space="preserve"> </w:t>
      </w:r>
      <w:r w:rsidR="00E74506" w:rsidRPr="00E74506">
        <w:rPr>
          <w:noProof/>
        </w:rPr>
        <w:t>(Hopper &amp; Gioia, 2004)</w:t>
      </w:r>
      <w:r w:rsidR="00996D75">
        <w:t>.</w:t>
      </w:r>
      <w:bookmarkEnd w:id="12"/>
    </w:p>
    <w:p w14:paraId="523AAB8F" w14:textId="77777777"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 xml:space="preserve">explicitly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14:paraId="2FD47866" w14:textId="5785A01E" w:rsidR="00375621" w:rsidRPr="006D0EFF" w:rsidRDefault="001C321C">
      <w:pPr>
        <w:pStyle w:val="BodyText"/>
        <w:tabs>
          <w:tab w:val="left" w:pos="6189"/>
        </w:tabs>
        <w:rPr>
          <w:rFonts w:cs="Times New Roman"/>
          <w:noProof/>
          <w:lang w:val="en-GB"/>
        </w:rPr>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w:t>
      </w:r>
      <w:r w:rsidR="00286337">
        <w:t xml:space="preserve">methods </w:t>
      </w:r>
      <w:r w:rsidR="00B053CB">
        <w:t>to systematically-biased collection data is problematic</w:t>
      </w:r>
      <w:r w:rsidR="00375621">
        <w:t xml:space="preserve">. </w:t>
      </w:r>
      <w:r w:rsidR="00D11E26">
        <w:t>Where t</w:t>
      </w:r>
      <w:r w:rsidR="00375621" w:rsidRPr="003C5ACF">
        <w:rPr>
          <w:rFonts w:cs="Times New Roman"/>
          <w:noProof/>
          <w:lang w:val="en-GB"/>
        </w:rPr>
        <w:t>hese techniques assume that the relationship between true species richness and sampling effort is weak</w:t>
      </w:r>
      <w:r w:rsidR="00D11E26">
        <w:rPr>
          <w:rFonts w:cs="Times New Roman"/>
          <w:noProof/>
          <w:lang w:val="en-GB"/>
        </w:rPr>
        <w:t xml:space="preserve">, this is typically not </w:t>
      </w:r>
      <w:r w:rsidR="00845C27">
        <w:rPr>
          <w:rFonts w:cs="Times New Roman"/>
          <w:noProof/>
          <w:lang w:val="en-GB"/>
        </w:rPr>
        <w:t>the case</w:t>
      </w:r>
      <w:r w:rsidR="00D11E26">
        <w:rPr>
          <w:rFonts w:cs="Times New Roman"/>
          <w:noProof/>
          <w:lang w:val="en-GB"/>
        </w:rPr>
        <w:t xml:space="preserve"> for herbarium</w:t>
      </w:r>
      <w:r w:rsidR="00845C27">
        <w:rPr>
          <w:rFonts w:cs="Times New Roman"/>
          <w:noProof/>
          <w:lang w:val="en-GB"/>
        </w:rPr>
        <w:t xml:space="preserve">-based </w:t>
      </w:r>
      <w:r w:rsidR="00AF20C0">
        <w:rPr>
          <w:rFonts w:cs="Times New Roman"/>
          <w:noProof/>
          <w:lang w:val="en-GB"/>
        </w:rPr>
        <w:t xml:space="preserve">species record </w:t>
      </w:r>
      <w:r w:rsidR="00845C27">
        <w:rPr>
          <w:rFonts w:cs="Times New Roman"/>
          <w:noProof/>
          <w:lang w:val="en-GB"/>
        </w:rPr>
        <w:t>data</w:t>
      </w:r>
      <w:r w:rsidR="00D11E26">
        <w:rPr>
          <w:rFonts w:cs="Times New Roman"/>
          <w:noProof/>
          <w:lang w:val="en-GB"/>
        </w:rPr>
        <w:t>. H</w:t>
      </w:r>
      <w:r w:rsidR="00375621" w:rsidRPr="003C5ACF">
        <w:rPr>
          <w:rFonts w:cs="Times New Roman"/>
          <w:noProof/>
          <w:lang w:val="en-GB"/>
        </w:rPr>
        <w:t xml:space="preserve">erbarium collectors commonly focus their efforts on </w:t>
      </w:r>
      <w:r w:rsidR="00D11E26">
        <w:rPr>
          <w:rFonts w:cs="Times New Roman"/>
          <w:noProof/>
          <w:lang w:val="en-GB"/>
        </w:rPr>
        <w:t xml:space="preserve">areas </w:t>
      </w:r>
      <w:r w:rsidR="00452B47">
        <w:rPr>
          <w:rFonts w:cs="Times New Roman"/>
          <w:noProof/>
          <w:lang w:val="en-GB"/>
        </w:rPr>
        <w:t>having</w:t>
      </w:r>
      <w:r w:rsidR="00D11E26">
        <w:rPr>
          <w:rFonts w:cs="Times New Roman"/>
          <w:noProof/>
          <w:lang w:val="en-GB"/>
        </w:rPr>
        <w:t xml:space="preserve"> </w:t>
      </w:r>
      <w:r w:rsidR="00452B47">
        <w:rPr>
          <w:rFonts w:cs="Times New Roman"/>
          <w:noProof/>
          <w:lang w:val="en-GB"/>
        </w:rPr>
        <w:t>high concentrations</w:t>
      </w:r>
      <w:r w:rsidR="00D11E26">
        <w:rPr>
          <w:rFonts w:cs="Times New Roman"/>
          <w:noProof/>
          <w:lang w:val="en-GB"/>
        </w:rPr>
        <w:t xml:space="preserve"> of </w:t>
      </w:r>
      <w:r w:rsidR="00375621" w:rsidRPr="003C5ACF">
        <w:rPr>
          <w:rFonts w:cs="Times New Roman"/>
          <w:noProof/>
          <w:lang w:val="en-GB"/>
        </w:rPr>
        <w:t>rare species</w:t>
      </w:r>
      <w:r w:rsidR="00452B47">
        <w:rPr>
          <w:rFonts w:cs="Times New Roman"/>
          <w:noProof/>
          <w:lang w:val="en-GB"/>
        </w:rPr>
        <w:t>,</w:t>
      </w:r>
      <w:r w:rsidR="00375621" w:rsidRPr="003C5ACF">
        <w:rPr>
          <w:rFonts w:cs="Times New Roman"/>
          <w:noProof/>
          <w:lang w:val="en-GB"/>
        </w:rPr>
        <w:t xml:space="preserve"> and many herbaria do not accept material indiscriminately, being reluctant to accept </w:t>
      </w:r>
      <w:r w:rsidR="00375621" w:rsidRPr="003C5ACF">
        <w:rPr>
          <w:rFonts w:cs="Times New Roman"/>
          <w:noProof/>
          <w:lang w:val="en-GB"/>
        </w:rPr>
        <w:lastRenderedPageBreak/>
        <w:t>multiple accessions of the same species from a single area</w:t>
      </w:r>
      <w:r w:rsidR="00375621">
        <w:rPr>
          <w:rFonts w:cs="Times New Roman"/>
          <w:noProof/>
          <w:lang w:val="en-GB"/>
        </w:rPr>
        <w:t>.</w:t>
      </w:r>
      <w:r w:rsidR="00286337">
        <w:rPr>
          <w:rFonts w:cs="Times New Roman"/>
          <w:noProof/>
          <w:lang w:val="en-GB"/>
        </w:rPr>
        <w:t xml:space="preserve"> </w:t>
      </w:r>
      <w:r w:rsidR="00E0431B">
        <w:rPr>
          <w:rFonts w:cs="Times New Roman"/>
          <w:noProof/>
          <w:lang w:val="en-GB"/>
        </w:rPr>
        <w:t xml:space="preserve">Collection effort is thus highly nonrandom in relation to species richness. </w:t>
      </w:r>
      <w:r w:rsidR="00D11E26">
        <w:rPr>
          <w:rFonts w:cs="Times New Roman"/>
          <w:noProof/>
          <w:lang w:val="en-GB"/>
        </w:rPr>
        <w:t>Moreover</w:t>
      </w:r>
      <w:r w:rsidR="002E5FF3">
        <w:rPr>
          <w:rFonts w:cs="Times New Roman"/>
          <w:noProof/>
          <w:lang w:val="en-GB"/>
        </w:rPr>
        <w:t>, rarefaction-methods</w:t>
      </w:r>
      <w:r w:rsidR="001F13D1">
        <w:rPr>
          <w:rFonts w:cs="Times New Roman"/>
          <w:noProof/>
          <w:lang w:val="en-GB"/>
        </w:rPr>
        <w:t xml:space="preserve">, while </w:t>
      </w:r>
      <w:r w:rsidR="00D11E26">
        <w:rPr>
          <w:rFonts w:cs="Times New Roman"/>
          <w:noProof/>
          <w:lang w:val="en-GB"/>
        </w:rPr>
        <w:t xml:space="preserve">being </w:t>
      </w:r>
      <w:r w:rsidR="001F13D1">
        <w:rPr>
          <w:rFonts w:cs="Times New Roman"/>
          <w:noProof/>
          <w:lang w:val="en-GB"/>
        </w:rPr>
        <w:t xml:space="preserve">able to account for spatially non-uniform sampling effort, </w:t>
      </w:r>
      <w:r w:rsidR="00845C27">
        <w:rPr>
          <w:rFonts w:cs="Times New Roman"/>
          <w:noProof/>
          <w:lang w:val="en-GB"/>
        </w:rPr>
        <w:t>do not cater for</w:t>
      </w:r>
      <w:r w:rsidR="001F13D1">
        <w:rPr>
          <w:rFonts w:cs="Times New Roman"/>
          <w:noProof/>
          <w:lang w:val="en-GB"/>
        </w:rPr>
        <w:t xml:space="preserve"> targeted collection efforts</w:t>
      </w:r>
      <w:r w:rsidR="00452B47">
        <w:rPr>
          <w:rFonts w:cs="Times New Roman"/>
          <w:noProof/>
          <w:lang w:val="en-GB"/>
        </w:rPr>
        <w:t xml:space="preserve">, </w:t>
      </w:r>
      <w:r w:rsidR="001F13D1">
        <w:rPr>
          <w:rFonts w:cs="Times New Roman"/>
          <w:noProof/>
          <w:lang w:val="en-GB"/>
        </w:rPr>
        <w:t xml:space="preserve">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E021A1">
        <w:rPr>
          <w:rFonts w:cs="Times New Roman"/>
          <w:noProof/>
          <w:lang w:val="en-GB"/>
        </w:rPr>
        <w:t xml:space="preserve">. </w:t>
      </w:r>
      <w:bookmarkStart w:id="13" w:name="_Hlk56514060"/>
      <w:r w:rsidR="00AF20C0">
        <w:rPr>
          <w:rFonts w:cs="Times New Roman"/>
          <w:noProof/>
          <w:lang w:val="en-GB"/>
        </w:rPr>
        <w:t xml:space="preserve">Whilst acknowledging arguments for applying </w:t>
      </w:r>
      <w:r w:rsidR="00452B47">
        <w:rPr>
          <w:rFonts w:cs="Times New Roman"/>
          <w:noProof/>
          <w:lang w:val="en-GB"/>
        </w:rPr>
        <w:t>rarefaction</w:t>
      </w:r>
      <w:r w:rsidR="00AF20C0">
        <w:rPr>
          <w:rFonts w:cs="Times New Roman"/>
          <w:noProof/>
          <w:lang w:val="en-GB"/>
        </w:rPr>
        <w:t xml:space="preserve"> techniques to herbarium-based species data (e.g. </w:t>
      </w:r>
      <w:r w:rsidR="00AF20C0" w:rsidRPr="00510916">
        <w:rPr>
          <w:noProof/>
        </w:rPr>
        <w:t>Gioia &amp; Hopper, 2017</w:t>
      </w:r>
      <w:r w:rsidR="00AF20C0">
        <w:rPr>
          <w:noProof/>
        </w:rPr>
        <w:t>)</w:t>
      </w:r>
      <w:r w:rsidR="00AF20C0">
        <w:rPr>
          <w:rFonts w:cs="Times New Roman"/>
          <w:noProof/>
          <w:lang w:val="en-GB"/>
        </w:rPr>
        <w:t xml:space="preserve"> and recognizing that the jury </w:t>
      </w:r>
      <w:r w:rsidR="00E0431B">
        <w:rPr>
          <w:rFonts w:cs="Times New Roman"/>
          <w:noProof/>
          <w:lang w:val="en-GB"/>
        </w:rPr>
        <w:t xml:space="preserve">is still out </w:t>
      </w:r>
      <w:r w:rsidR="00452B47">
        <w:rPr>
          <w:rFonts w:cs="Times New Roman"/>
          <w:noProof/>
          <w:lang w:val="en-GB"/>
        </w:rPr>
        <w:t xml:space="preserve">on </w:t>
      </w:r>
      <w:r w:rsidR="00C76387">
        <w:rPr>
          <w:rFonts w:cs="Times New Roman"/>
          <w:noProof/>
          <w:lang w:val="en-GB"/>
        </w:rPr>
        <w:t>whether they are appropriate</w:t>
      </w:r>
      <w:r w:rsidR="00E0431B">
        <w:rPr>
          <w:rFonts w:cs="Times New Roman"/>
          <w:noProof/>
          <w:lang w:val="en-GB"/>
        </w:rPr>
        <w:t xml:space="preserve"> in this context</w:t>
      </w:r>
      <w:r w:rsidR="00AF20C0">
        <w:rPr>
          <w:rFonts w:cs="Times New Roman"/>
          <w:noProof/>
          <w:lang w:val="en-GB"/>
        </w:rPr>
        <w:t xml:space="preserve">, we </w:t>
      </w:r>
      <w:r w:rsidR="00E823D6">
        <w:t xml:space="preserve">have desisted from </w:t>
      </w:r>
      <w:r w:rsidR="00375621">
        <w:t xml:space="preserve">applying </w:t>
      </w:r>
      <w:r w:rsidR="00AF20C0">
        <w:t>them here</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AF20C0">
        <w:t>they</w:t>
      </w:r>
      <w:r w:rsidR="002D35E5">
        <w:t xml:space="preserve"> severely distort known species richness </w:t>
      </w:r>
      <w:r w:rsidR="002066AB" w:rsidRPr="002066AB">
        <w:rPr>
          <w:noProof/>
        </w:rPr>
        <w:t>(Cramer &amp; Verboom, 2016)</w:t>
      </w:r>
      <w:r w:rsidR="002D35E5">
        <w:t>.</w:t>
      </w:r>
      <w:r w:rsidR="00375621">
        <w:t xml:space="preserve"> </w:t>
      </w:r>
      <w:bookmarkEnd w:id="13"/>
      <w:r w:rsidR="00AF20C0">
        <w:t>On the one hand, u</w:t>
      </w:r>
      <w:r w:rsidR="002F32A1">
        <w:rPr>
          <w:rFonts w:cs="Times New Roman"/>
          <w:lang w:val="en-GB"/>
        </w:rPr>
        <w:t>se of rarefaction may artificially inflate richness in where collection</w:t>
      </w:r>
      <w:r w:rsidR="00B33E90">
        <w:rPr>
          <w:rFonts w:cs="Times New Roman"/>
          <w:lang w:val="en-GB"/>
        </w:rPr>
        <w:t xml:space="preserve"> effort</w:t>
      </w:r>
      <w:r w:rsidR="002F32A1">
        <w:rPr>
          <w:rFonts w:cs="Times New Roman"/>
          <w:lang w:val="en-GB"/>
        </w:rPr>
        <w:t xml:space="preserve"> </w:t>
      </w:r>
      <w:r w:rsidR="00B33E90">
        <w:rPr>
          <w:rFonts w:cs="Times New Roman"/>
          <w:lang w:val="en-GB"/>
        </w:rPr>
        <w:t>is</w:t>
      </w:r>
      <w:r w:rsidR="002F32A1">
        <w:rPr>
          <w:rFonts w:cs="Times New Roman"/>
          <w:lang w:val="en-GB"/>
        </w:rPr>
        <w:t xml:space="preserve"> low</w:t>
      </w:r>
      <w:r w:rsidR="00790183">
        <w:rPr>
          <w:rFonts w:cs="Times New Roman"/>
          <w:lang w:val="en-GB"/>
        </w:rPr>
        <w:t>,</w:t>
      </w:r>
      <w:r w:rsidR="002F32A1">
        <w:rPr>
          <w:rFonts w:cs="Times New Roman"/>
          <w:lang w:val="en-GB"/>
        </w:rPr>
        <w:t xml:space="preserve"> not </w:t>
      </w:r>
      <w:r w:rsidR="007D2EDC">
        <w:rPr>
          <w:rFonts w:cs="Times New Roman"/>
          <w:lang w:val="en-GB"/>
        </w:rPr>
        <w:t>on account of accessibility</w:t>
      </w:r>
      <w:r w:rsidR="002F32A1">
        <w:rPr>
          <w:rFonts w:cs="Times New Roman"/>
          <w:lang w:val="en-GB"/>
        </w:rPr>
        <w:t xml:space="preserve"> but because </w:t>
      </w:r>
      <w:r w:rsidR="006818F8">
        <w:rPr>
          <w:rFonts w:cs="Times New Roman"/>
          <w:lang w:val="en-GB"/>
        </w:rPr>
        <w:t xml:space="preserve">they are </w:t>
      </w:r>
      <w:r w:rsidR="007D2EDC">
        <w:rPr>
          <w:rFonts w:cs="Times New Roman"/>
          <w:lang w:val="en-GB"/>
        </w:rPr>
        <w:t xml:space="preserve">truly </w:t>
      </w:r>
      <w:r w:rsidR="006818F8">
        <w:rPr>
          <w:rFonts w:cs="Times New Roman"/>
          <w:lang w:val="en-GB"/>
        </w:rPr>
        <w:t>species-poor</w:t>
      </w:r>
      <w:r w:rsidR="00AF20C0">
        <w:rPr>
          <w:rFonts w:cs="Times New Roman"/>
          <w:lang w:val="en-GB"/>
        </w:rPr>
        <w:t>; on the other</w:t>
      </w:r>
      <w:r w:rsidR="007D2EDC">
        <w:rPr>
          <w:rFonts w:cs="Times New Roman"/>
          <w:lang w:val="en-GB"/>
        </w:rPr>
        <w:t>,</w:t>
      </w:r>
      <w:r w:rsidR="00AF20C0">
        <w:rPr>
          <w:rFonts w:cs="Times New Roman"/>
          <w:lang w:val="en-GB"/>
        </w:rPr>
        <w:t xml:space="preserve"> it may underestimate species richness in areas which have enjoyed disproportionately high levels of sampling effort by virtue of their exceptional richness. </w:t>
      </w:r>
      <w:r w:rsidR="00D04391">
        <w:rPr>
          <w:rFonts w:cs="Times New Roman"/>
          <w:lang w:val="en-GB"/>
        </w:rPr>
        <w:t xml:space="preserve">Vindicating their decision not to apply rarefaction techniques to </w:t>
      </w:r>
      <w:r w:rsidR="00D04391">
        <w:rPr>
          <w:rFonts w:cs="Times New Roman"/>
          <w:noProof/>
          <w:lang w:val="en-GB"/>
        </w:rPr>
        <w:t xml:space="preserve">herbarium-based species data,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D04391">
        <w:t>estimates yielded by their analyses corresponded well to known</w:t>
      </w:r>
      <w:r w:rsidR="00375621">
        <w:t xml:space="preserve"> </w:t>
      </w:r>
      <w:r w:rsidR="005F7C7C">
        <w:t xml:space="preserve">biome-level </w:t>
      </w:r>
      <w:r w:rsidR="00D04391">
        <w:t xml:space="preserve">floristic </w:t>
      </w:r>
      <w:r w:rsidR="00375621">
        <w:t xml:space="preserve">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w:t>
      </w:r>
      <w:r w:rsidR="004F14E1">
        <w:rPr>
          <w:rFonts w:cs="Times New Roman"/>
          <w:noProof/>
          <w:lang w:val="en-GB"/>
        </w:rPr>
        <w:t>, Smith, &amp; Silander</w:t>
      </w:r>
      <w:r w:rsidR="00404D92" w:rsidRPr="00404D92">
        <w:rPr>
          <w:rFonts w:cs="Times New Roman"/>
          <w:noProof/>
          <w:lang w:val="en-GB"/>
        </w:rPr>
        <w:t>, 2013)</w:t>
      </w:r>
      <w:r w:rsidR="002F32A1">
        <w:rPr>
          <w:rFonts w:cs="Times New Roman"/>
          <w:lang w:val="en-GB"/>
        </w:rPr>
        <w:t xml:space="preserve">. </w:t>
      </w:r>
    </w:p>
    <w:p w14:paraId="5A075733" w14:textId="1DA77E07" w:rsidR="004A3DFF"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bookmarkStart w:id="14" w:name="_Hlk56513234"/>
      <w:r w:rsidR="005171A5">
        <w:t xml:space="preserve">The distribution of </w:t>
      </w:r>
      <w:r w:rsidR="00233B0F">
        <w:t xml:space="preserve">plant </w:t>
      </w:r>
      <w:r w:rsidR="005171A5">
        <w:t>species richness in both the GCFR and SWAFR</w:t>
      </w:r>
      <w:r w:rsidR="0016465E">
        <w:t xml:space="preserve"> </w:t>
      </w:r>
      <w:r w:rsidR="00233B0F">
        <w:t xml:space="preserve">is highly uneven </w:t>
      </w:r>
      <w:r w:rsidR="0016465E" w:rsidRPr="0061742F">
        <w:rPr>
          <w:noProof/>
        </w:rPr>
        <w:t>(</w:t>
      </w:r>
      <w:r w:rsidR="005171A5">
        <w:rPr>
          <w:noProof/>
        </w:rPr>
        <w:t xml:space="preserve">cf. </w:t>
      </w:r>
      <w:r w:rsidR="0016465E" w:rsidRPr="0061742F">
        <w:rPr>
          <w:noProof/>
        </w:rPr>
        <w:t>Oliver, Linder, &amp; Rourke, 1983</w:t>
      </w:r>
      <w:r w:rsidR="005171A5">
        <w:rPr>
          <w:noProof/>
        </w:rPr>
        <w:t>;</w:t>
      </w:r>
      <w:r w:rsidR="005171A5" w:rsidRPr="005171A5">
        <w:rPr>
          <w:noProof/>
        </w:rPr>
        <w:t xml:space="preserve"> </w:t>
      </w:r>
      <w:r w:rsidR="005171A5" w:rsidRPr="0061742F">
        <w:rPr>
          <w:noProof/>
        </w:rPr>
        <w:t>Gioia &amp; Hopper, 2017</w:t>
      </w:r>
      <w:r w:rsidR="0016465E" w:rsidRPr="0061742F">
        <w:rPr>
          <w:noProof/>
        </w:rPr>
        <w:t>)</w:t>
      </w:r>
      <w:r w:rsidR="005171A5">
        <w:rPr>
          <w:noProof/>
        </w:rPr>
        <w:t xml:space="preserve">, </w:t>
      </w:r>
      <w:r w:rsidR="00233B0F">
        <w:rPr>
          <w:noProof/>
        </w:rPr>
        <w:t>with the exceptional richness of some sites potentially being</w:t>
      </w:r>
      <w:r w:rsidR="0016465E">
        <w:t xml:space="preserve"> a consequence of</w:t>
      </w:r>
      <w:r w:rsidR="00233B0F">
        <w:t xml:space="preserve"> </w:t>
      </w:r>
      <w:r w:rsidR="0016465E">
        <w:t>long-term climatic and/or hydrological stability</w:t>
      </w:r>
      <w:r w:rsidR="00E47F5A">
        <w:t xml:space="preserve"> there</w:t>
      </w:r>
      <w:r w:rsidR="0016465E">
        <w:t xml:space="preserve">. </w:t>
      </w:r>
      <w:bookmarkEnd w:id="14"/>
      <w:r w:rsidR="005171A5">
        <w:t xml:space="preserve">In the CFR, </w:t>
      </w:r>
      <w:r w:rsidR="00233B0F">
        <w:t xml:space="preserve">for example, </w:t>
      </w:r>
      <w:r w:rsidR="005171A5">
        <w:t xml:space="preserve">the higher </w:t>
      </w:r>
      <w:r w:rsidR="00E47F5A">
        <w:t>plant species richness</w:t>
      </w:r>
      <w:r w:rsidR="005171A5">
        <w:t xml:space="preserve"> </w:t>
      </w:r>
      <w:r w:rsidR="00E47F5A">
        <w:t>of</w:t>
      </w:r>
      <w:r w:rsidR="005171A5">
        <w:t xml:space="preserve"> the west has been attributed to reduced rates of extinction, associated with greater climatic stability through the Pleistocene </w:t>
      </w:r>
      <w:r w:rsidR="005171A5" w:rsidRPr="008E7D51">
        <w:rPr>
          <w:noProof/>
        </w:rPr>
        <w:t>(Cowling &amp; Lombard, 2002; Cowling et al., 2017)</w:t>
      </w:r>
      <w:r w:rsidR="005171A5">
        <w:t xml:space="preserve">. </w:t>
      </w:r>
      <w:r w:rsidR="0016465E">
        <w:t xml:space="preserve">In this study, we used the residuals derived from PC1-based ANCOVA and multiple regression models to identify hotspots whose richness </w:t>
      </w:r>
      <w:r w:rsidR="00233B0F">
        <w:t xml:space="preserve">substantially </w:t>
      </w:r>
      <w:r w:rsidR="0016465E">
        <w:t xml:space="preserve">exceeds that expected based on their underlying heterogeneities. </w:t>
      </w:r>
      <w:bookmarkStart w:id="15" w:name="_Hlk56513266"/>
      <w:r w:rsidR="005171A5">
        <w:t xml:space="preserve">Several of </w:t>
      </w:r>
      <w:r w:rsidR="0016465E">
        <w:t xml:space="preserve">the hotspots thus identified correspond to </w:t>
      </w:r>
      <w:proofErr w:type="spellStart"/>
      <w:r w:rsidR="0016465E">
        <w:t>centres</w:t>
      </w:r>
      <w:proofErr w:type="spellEnd"/>
      <w:r w:rsidR="0016465E">
        <w:t xml:space="preserve"> of long-term environmental stability.</w:t>
      </w:r>
      <w:bookmarkEnd w:id="15"/>
      <w:r w:rsidR="00233B0F" w:rsidRPr="00233B0F">
        <w:t xml:space="preserve"> </w:t>
      </w:r>
      <w:r w:rsidR="00233B0F">
        <w:t>In the GCFR, the southwestern mountains (</w:t>
      </w:r>
      <w:proofErr w:type="spellStart"/>
      <w:r w:rsidR="00233B0F">
        <w:t>Kogelberg</w:t>
      </w:r>
      <w:proofErr w:type="spellEnd"/>
      <w:r w:rsidR="00233B0F">
        <w:t xml:space="preserve">-Hottentots Holland) have been identified as a long-term climatic and hydrological refugium, especially for species which inhabit the area’s numerous bogs and seeps </w:t>
      </w:r>
      <w:r w:rsidR="00233B0F" w:rsidRPr="00F10AF1">
        <w:rPr>
          <w:noProof/>
        </w:rPr>
        <w:t>(Linder, 2019; Wüest et al., 2019)</w:t>
      </w:r>
      <w:r w:rsidR="00233B0F">
        <w:t xml:space="preserve">. Similarly, pollen- and midden-based isotope data provide evidence of relatively muted climate change in the Cederberg during Pleistocene </w:t>
      </w:r>
      <w:r w:rsidR="00233B0F" w:rsidRPr="004022C1">
        <w:rPr>
          <w:noProof/>
        </w:rPr>
        <w:t>(Meadows, Chase, &amp; Seliane, 2010; Meadows &amp; Sugden, 1991, 1993)</w:t>
      </w:r>
      <w:r w:rsidR="00233B0F">
        <w:t>. The biota of the SWAFR</w:t>
      </w:r>
      <w:r w:rsidR="00827F62">
        <w:t xml:space="preserve"> also</w:t>
      </w:r>
      <w:r w:rsidR="00233B0F">
        <w:t xml:space="preserve"> show</w:t>
      </w:r>
      <w:r w:rsidR="00E47F5A">
        <w:t>s</w:t>
      </w:r>
      <w:r w:rsidR="00233B0F">
        <w:t xml:space="preserve"> evidence of climatically</w:t>
      </w:r>
      <w:r w:rsidR="00827F62">
        <w:t>-</w:t>
      </w:r>
      <w:r w:rsidR="00233B0F">
        <w:t xml:space="preserve">forced range contraction in the Pleistocene </w:t>
      </w:r>
      <w:r w:rsidR="00233B0F" w:rsidRPr="00D536CD">
        <w:rPr>
          <w:noProof/>
        </w:rPr>
        <w:t>(</w:t>
      </w:r>
      <w:r w:rsidR="00E47F5A" w:rsidRPr="00D536CD">
        <w:rPr>
          <w:noProof/>
        </w:rPr>
        <w:t>Byrne &amp; Hines, 2004</w:t>
      </w:r>
      <w:r w:rsidR="00E47F5A">
        <w:rPr>
          <w:noProof/>
        </w:rPr>
        <w:t xml:space="preserve">; </w:t>
      </w:r>
      <w:r w:rsidR="00233B0F" w:rsidRPr="00D536CD">
        <w:rPr>
          <w:noProof/>
        </w:rPr>
        <w:t>Byrne, 2008)</w:t>
      </w:r>
      <w:r w:rsidR="00E47F5A">
        <w:rPr>
          <w:noProof/>
        </w:rPr>
        <w:t>, with p</w:t>
      </w:r>
      <w:proofErr w:type="spellStart"/>
      <w:r w:rsidR="00233B0F">
        <w:t>utative</w:t>
      </w:r>
      <w:proofErr w:type="spellEnd"/>
      <w:r w:rsidR="00233B0F">
        <w:t xml:space="preserve"> refugia </w:t>
      </w:r>
      <w:r w:rsidR="006F4026">
        <w:t xml:space="preserve">there </w:t>
      </w:r>
      <w:r w:rsidR="00233B0F">
        <w:t>includ</w:t>
      </w:r>
      <w:r w:rsidR="00E47F5A">
        <w:t>ing</w:t>
      </w:r>
      <w:r w:rsidR="00233B0F">
        <w:t xml:space="preserve"> the St</w:t>
      </w:r>
      <w:r w:rsidR="006F4026">
        <w:t>i</w:t>
      </w:r>
      <w:r w:rsidR="00233B0F">
        <w:t xml:space="preserve">rling and </w:t>
      </w:r>
      <w:proofErr w:type="spellStart"/>
      <w:r w:rsidR="00233B0F">
        <w:t>Porungurup</w:t>
      </w:r>
      <w:proofErr w:type="spellEnd"/>
      <w:r w:rsidR="00233B0F">
        <w:t xml:space="preserve"> ranges, whose physical elevation </w:t>
      </w:r>
      <w:r w:rsidR="00E47F5A">
        <w:t>and complex topography offer cooler conditions under temperature elevation</w:t>
      </w:r>
      <w:r w:rsidR="00233B0F">
        <w:t xml:space="preserve"> </w:t>
      </w:r>
      <w:r w:rsidR="00E47F5A" w:rsidRPr="002513DB">
        <w:rPr>
          <w:noProof/>
        </w:rPr>
        <w:t>(Keppel et al., 2017)</w:t>
      </w:r>
      <w:r w:rsidR="00E47F5A">
        <w:rPr>
          <w:noProof/>
        </w:rPr>
        <w:t xml:space="preserve">. </w:t>
      </w:r>
      <w:r w:rsidR="00233B0F">
        <w:t xml:space="preserve">Additionally, maps in Byrne (2008; Figure 2) identify </w:t>
      </w:r>
      <w:r w:rsidR="00E47F5A">
        <w:t xml:space="preserve">a </w:t>
      </w:r>
      <w:r w:rsidR="00233B0F">
        <w:t>refugi</w:t>
      </w:r>
      <w:r w:rsidR="00E47F5A">
        <w:t>al area</w:t>
      </w:r>
      <w:r w:rsidR="00233B0F">
        <w:t xml:space="preserve"> in the vicinity of Perth and a second in the vicinity of Fitzgerald River.</w:t>
      </w:r>
      <w:r w:rsidR="00E47F5A">
        <w:t xml:space="preserve"> </w:t>
      </w:r>
      <w:r w:rsidR="00B95538">
        <w:t>Although t</w:t>
      </w:r>
      <w:r w:rsidR="00E47F5A">
        <w:t xml:space="preserve">he </w:t>
      </w:r>
      <w:r w:rsidR="00D26BBB">
        <w:t>emergence</w:t>
      </w:r>
      <w:r w:rsidR="00E47F5A">
        <w:t xml:space="preserve"> of the Perth</w:t>
      </w:r>
      <w:r w:rsidR="00615A4A">
        <w:t xml:space="preserve"> area</w:t>
      </w:r>
      <w:r w:rsidR="00CB05CB">
        <w:t xml:space="preserve"> </w:t>
      </w:r>
      <w:r w:rsidR="00D26BBB">
        <w:t xml:space="preserve">as a species richness outlier </w:t>
      </w:r>
      <w:r w:rsidR="009B131E">
        <w:t>was</w:t>
      </w:r>
      <w:r w:rsidR="00B95538">
        <w:t xml:space="preserve"> unexpected (see </w:t>
      </w:r>
      <w:r w:rsidR="00615A4A">
        <w:t xml:space="preserve">also </w:t>
      </w:r>
      <w:proofErr w:type="spellStart"/>
      <w:r w:rsidR="00B95538">
        <w:t>Gioia</w:t>
      </w:r>
      <w:proofErr w:type="spellEnd"/>
      <w:r w:rsidR="00B95538">
        <w:t xml:space="preserve"> and Hopper 2017)</w:t>
      </w:r>
      <w:r w:rsidR="00E47F5A">
        <w:t xml:space="preserve">, </w:t>
      </w:r>
      <w:r w:rsidR="00B95538">
        <w:t xml:space="preserve">this may be a </w:t>
      </w:r>
      <w:r w:rsidR="00D26BBB">
        <w:t>consequence</w:t>
      </w:r>
      <w:r w:rsidR="00B95538">
        <w:t xml:space="preserve"> of several factors. These include </w:t>
      </w:r>
      <w:r w:rsidR="006F4026">
        <w:t>our</w:t>
      </w:r>
      <w:r w:rsidR="00B95538">
        <w:t xml:space="preserve"> failure to capture </w:t>
      </w:r>
      <w:r w:rsidR="00D26BBB">
        <w:t>adequately the</w:t>
      </w:r>
      <w:r w:rsidR="00615A4A">
        <w:t xml:space="preserve"> </w:t>
      </w:r>
      <w:r w:rsidR="00D26BBB">
        <w:t xml:space="preserve">variable hydrology and </w:t>
      </w:r>
      <w:r w:rsidR="000332C4">
        <w:t>geology</w:t>
      </w:r>
      <w:r w:rsidR="00615A4A">
        <w:t xml:space="preserve"> of the Swan </w:t>
      </w:r>
      <w:r w:rsidR="00CB05CB">
        <w:t xml:space="preserve">River </w:t>
      </w:r>
      <w:r w:rsidR="00615A4A">
        <w:t xml:space="preserve">Coastal Plain, </w:t>
      </w:r>
      <w:r w:rsidR="00CB05CB">
        <w:t xml:space="preserve">elevated collection </w:t>
      </w:r>
      <w:r w:rsidR="002F2318">
        <w:t>rates</w:t>
      </w:r>
      <w:r w:rsidR="00CB05CB">
        <w:t xml:space="preserve"> </w:t>
      </w:r>
      <w:r w:rsidR="002F2318">
        <w:t xml:space="preserve">associated with </w:t>
      </w:r>
      <w:r w:rsidR="000332C4">
        <w:t xml:space="preserve">Perth </w:t>
      </w:r>
      <w:r w:rsidR="00827F62">
        <w:t xml:space="preserve">being </w:t>
      </w:r>
      <w:r w:rsidR="002F2318">
        <w:t xml:space="preserve">a metropolitan area </w:t>
      </w:r>
      <w:r w:rsidR="00CB05CB">
        <w:t>(</w:t>
      </w:r>
      <w:proofErr w:type="spellStart"/>
      <w:r w:rsidR="00CB05CB">
        <w:t>Gioia</w:t>
      </w:r>
      <w:proofErr w:type="spellEnd"/>
      <w:r w:rsidR="00CB05CB">
        <w:t xml:space="preserve"> and Hopper 2017)</w:t>
      </w:r>
      <w:r w:rsidR="00827F62">
        <w:t xml:space="preserve">, and </w:t>
      </w:r>
      <w:r w:rsidR="00CB05CB">
        <w:t xml:space="preserve">the </w:t>
      </w:r>
      <w:r w:rsidR="000332C4">
        <w:t xml:space="preserve">potential </w:t>
      </w:r>
      <w:r w:rsidR="00CB05CB">
        <w:t xml:space="preserve">introduction of </w:t>
      </w:r>
      <w:r w:rsidR="00123B47">
        <w:t xml:space="preserve">plants </w:t>
      </w:r>
      <w:r w:rsidR="00827F62">
        <w:t xml:space="preserve">into the Greater Perth metropolitan area </w:t>
      </w:r>
      <w:r w:rsidR="00123B47">
        <w:t xml:space="preserve">from elsewhere in </w:t>
      </w:r>
      <w:r w:rsidR="007E4A90">
        <w:t>the SWAFR</w:t>
      </w:r>
      <w:r w:rsidR="00157A68">
        <w:t xml:space="preserve">. </w:t>
      </w:r>
      <w:r w:rsidR="00E54E79">
        <w:t>B</w:t>
      </w:r>
      <w:r w:rsidR="00CB05CB">
        <w:t xml:space="preserve">ased on a random sample of 300 of the 2,944 species </w:t>
      </w:r>
      <w:r w:rsidR="00E54E79">
        <w:t>records from</w:t>
      </w:r>
      <w:r w:rsidR="00CB05CB">
        <w:t xml:space="preserve"> </w:t>
      </w:r>
      <w:r w:rsidR="00E54E79">
        <w:t xml:space="preserve">the </w:t>
      </w:r>
      <w:r w:rsidR="00CB05CB">
        <w:t>Perth</w:t>
      </w:r>
      <w:r w:rsidR="00E54E79">
        <w:t xml:space="preserve"> area</w:t>
      </w:r>
      <w:r w:rsidR="00CB05CB">
        <w:t xml:space="preserve">, </w:t>
      </w:r>
      <w:r w:rsidR="00D14F88">
        <w:t xml:space="preserve">roughly </w:t>
      </w:r>
      <w:r w:rsidR="00CB05CB">
        <w:t xml:space="preserve">7% </w:t>
      </w:r>
      <w:bookmarkStart w:id="16" w:name="_Hlk56514818"/>
      <w:r w:rsidR="00D14F88">
        <w:t>a</w:t>
      </w:r>
      <w:r w:rsidR="00E54E79">
        <w:t>re distributional outliers (</w:t>
      </w:r>
      <w:r w:rsidR="006018A3">
        <w:t>Figure S12</w:t>
      </w:r>
      <w:r w:rsidR="005B687B">
        <w:t>)</w:t>
      </w:r>
      <w:r w:rsidR="00D14F88">
        <w:t xml:space="preserve">, identifying them as </w:t>
      </w:r>
      <w:r w:rsidR="006F4026">
        <w:t xml:space="preserve">possible </w:t>
      </w:r>
      <w:r w:rsidR="00D14F88">
        <w:t>introductions</w:t>
      </w:r>
      <w:bookmarkEnd w:id="16"/>
      <w:r w:rsidR="00123B47">
        <w:t xml:space="preserve">. </w:t>
      </w:r>
    </w:p>
    <w:p w14:paraId="10D597C9" w14:textId="2DC0D4A0"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of climatically- and/or hydrologically</w:t>
      </w:r>
      <w:r w:rsidR="00CB05CB">
        <w:t xml:space="preserve"> </w:t>
      </w:r>
      <w:r w:rsidR="00F6046E">
        <w:t xml:space="preserve">stable hotspots </w:t>
      </w:r>
      <w:r w:rsidR="004D44BC">
        <w:t>must be</w:t>
      </w:r>
      <w:r>
        <w:t xml:space="preserve"> an important conservation objective</w:t>
      </w:r>
      <w:r w:rsidR="00273150">
        <w:t xml:space="preserve">, particularly in the </w:t>
      </w:r>
      <w:r w:rsidR="00B357CB">
        <w:t>face</w:t>
      </w:r>
      <w:r w:rsidR="00273150">
        <w:t xml:space="preserve"> of contemporary climatic </w:t>
      </w:r>
      <w:r w:rsidR="00273150">
        <w:lastRenderedPageBreak/>
        <w:t xml:space="preserve">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57438B">
        <w:t>of</w:t>
      </w:r>
      <w:r w:rsidR="007C1274">
        <w:t xml:space="preserve"> </w:t>
      </w:r>
      <w:r w:rsidR="008C42F3">
        <w:t>more local</w:t>
      </w:r>
      <w:r w:rsidR="00566D32">
        <w:t>ly</w:t>
      </w:r>
      <w:r w:rsidR="0057438B">
        <w:t>-</w:t>
      </w:r>
      <w:r w:rsidR="00566D32">
        <w:t>determined</w:t>
      </w:r>
      <w:r w:rsidR="0057438B">
        <w:t xml:space="preserve"> </w:t>
      </w:r>
      <w:r w:rsidR="006F0FFA">
        <w:t xml:space="preserve">extreme </w:t>
      </w:r>
      <w:r w:rsidR="0057438B">
        <w:t>richness</w:t>
      </w:r>
      <w:r w:rsidR="007C1274">
        <w:t>.</w:t>
      </w:r>
      <w:r w:rsidR="003C7229">
        <w:t xml:space="preserve"> </w:t>
      </w:r>
      <w:bookmarkStart w:id="17" w:name="_Hlk56513545"/>
      <w:r w:rsidR="00E63877">
        <w:t>O</w:t>
      </w:r>
      <w:r w:rsidR="003C7229">
        <w:t>ur data</w:t>
      </w:r>
      <w:r w:rsidR="0070656F">
        <w:t xml:space="preserve"> support the latter</w:t>
      </w:r>
      <w:r w:rsidR="003C7229">
        <w:t xml:space="preserve">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bookmarkEnd w:id="17"/>
      <w:r w:rsidR="009555F6">
        <w:t xml:space="preserve">, </w:t>
      </w:r>
      <w:r w:rsidR="003E5F41">
        <w:t>recent proposals to abstract water from the Table Mountain Group aquifer</w:t>
      </w:r>
      <w:r w:rsidR="00666165">
        <w:t>,</w:t>
      </w:r>
      <w:r w:rsidR="003E5F41">
        <w:t xml:space="preserve"> which feeds these bogs, present a serious threat to the continued persistence of Cape floristic diversity</w:t>
      </w:r>
      <w:r w:rsidR="00C250BB">
        <w:t xml:space="preserve"> </w:t>
      </w:r>
      <w:r w:rsidR="00404D92" w:rsidRPr="00404D92">
        <w:rPr>
          <w:noProof/>
        </w:rPr>
        <w:t>(Slingsby et al., 2018)</w:t>
      </w:r>
      <w:r w:rsidR="004C0FD5">
        <w:t xml:space="preserve">. </w:t>
      </w:r>
      <w:r w:rsidR="009A7ACC">
        <w:t>Groundwater abstraction in the Perth area presents a similar</w:t>
      </w:r>
      <w:r w:rsidR="00F875BA">
        <w:t xml:space="preserve"> </w:t>
      </w:r>
      <w:r w:rsidR="004C0FD5">
        <w:t>threat in the</w:t>
      </w:r>
      <w:r w:rsidR="00F875BA">
        <w:t xml:space="preserve"> SWAFR</w:t>
      </w:r>
      <w:r w:rsidR="004C0FD5">
        <w:t xml:space="preserve"> (</w:t>
      </w:r>
      <w:r w:rsidR="00FF088B" w:rsidRPr="00FF088B">
        <w:rPr>
          <w:noProof/>
        </w:rPr>
        <w:t>Barron et al., 2014; Froend &amp; Sommer, 2010)</w:t>
      </w:r>
      <w:r w:rsidR="00D51B17">
        <w:t>.</w:t>
      </w:r>
    </w:p>
    <w:p w14:paraId="6D2CAD31" w14:textId="036C5E09"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 xml:space="preserve">anomalous,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 xml:space="preserve">is </w:t>
      </w:r>
      <w:r w:rsidR="00741FD8">
        <w:rPr>
          <w:sz w:val="24"/>
          <w:szCs w:val="24"/>
        </w:rPr>
        <w:t xml:space="preserve">largely </w:t>
      </w:r>
      <w:r w:rsidR="00711CBD">
        <w:rPr>
          <w:sz w:val="24"/>
          <w:szCs w:val="24"/>
        </w:rPr>
        <w:t>a product of</w:t>
      </w:r>
      <w:r w:rsidR="005C122F">
        <w:rPr>
          <w:sz w:val="24"/>
          <w:szCs w:val="24"/>
        </w:rPr>
        <w:t xml:space="preserve"> </w:t>
      </w:r>
      <w:r w:rsidR="00FD350F">
        <w:rPr>
          <w:sz w:val="24"/>
          <w:szCs w:val="24"/>
        </w:rPr>
        <w:t>its</w:t>
      </w:r>
      <w:r w:rsidR="005C122F">
        <w:rPr>
          <w:sz w:val="24"/>
          <w:szCs w:val="24"/>
        </w:rPr>
        <w:t xml:space="preserve"> greater </w:t>
      </w:r>
      <w:r w:rsidR="00741FD8">
        <w:rPr>
          <w:sz w:val="24"/>
          <w:szCs w:val="24"/>
        </w:rPr>
        <w:t xml:space="preserve">physical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w:t>
      </w:r>
      <w:r w:rsidR="00741FD8">
        <w:rPr>
          <w:sz w:val="24"/>
          <w:szCs w:val="24"/>
        </w:rPr>
        <w:t>, however,</w:t>
      </w:r>
      <w:r w:rsidR="00FC3AFE">
        <w:rPr>
          <w:sz w:val="24"/>
          <w:szCs w:val="24"/>
        </w:rPr>
        <w:t xml:space="preserve"> punctuated by the existence of local hotspots, whose exceptional richness may be a consequence of historical factors</w:t>
      </w:r>
      <w:r w:rsidR="00375BB9">
        <w:rPr>
          <w:sz w:val="24"/>
          <w:szCs w:val="24"/>
        </w:rPr>
        <w:t>. Though these hotspots</w:t>
      </w:r>
      <w:r w:rsidR="00FC3AFE">
        <w:rPr>
          <w:sz w:val="24"/>
          <w:szCs w:val="24"/>
        </w:rPr>
        <w:t xml:space="preserve"> may be important for species persistence</w:t>
      </w:r>
      <w:r w:rsidR="00741FD8">
        <w:rPr>
          <w:sz w:val="24"/>
          <w:szCs w:val="24"/>
        </w:rPr>
        <w:t xml:space="preserve">, </w:t>
      </w:r>
      <w:r w:rsidR="00375BB9">
        <w:rPr>
          <w:sz w:val="24"/>
          <w:szCs w:val="24"/>
        </w:rPr>
        <w:t>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 xml:space="preserve">these two </w:t>
      </w:r>
      <w:proofErr w:type="spellStart"/>
      <w:r w:rsidR="00375BB9">
        <w:rPr>
          <w:sz w:val="24"/>
        </w:rPr>
        <w:t>mediterranean</w:t>
      </w:r>
      <w:proofErr w:type="spellEnd"/>
      <w:r w:rsidR="00375BB9">
        <w:rPr>
          <w:sz w:val="24"/>
        </w:rPr>
        <w:t xml:space="preserve"> floras</w:t>
      </w:r>
      <w:r w:rsidR="00317DAF" w:rsidRPr="00E97920">
        <w:rPr>
          <w:sz w:val="24"/>
        </w:rPr>
        <w:t>.</w:t>
      </w:r>
    </w:p>
    <w:p w14:paraId="65FD3353" w14:textId="77777777" w:rsidR="004B3DF5" w:rsidRPr="008D3C44" w:rsidRDefault="004B3DF5" w:rsidP="007A506C">
      <w:pPr>
        <w:pStyle w:val="CommentText"/>
        <w:spacing w:before="180" w:after="180"/>
        <w:rPr>
          <w:sz w:val="24"/>
        </w:rPr>
      </w:pPr>
      <w:r>
        <w:br w:type="page"/>
      </w:r>
    </w:p>
    <w:p w14:paraId="3DA6E12D" w14:textId="77777777" w:rsidR="00DD7CD4" w:rsidRDefault="00D04776">
      <w:pPr>
        <w:pStyle w:val="Heading1"/>
      </w:pPr>
      <w:r w:rsidRPr="008A4E97">
        <w:lastRenderedPageBreak/>
        <w:t>Tables</w:t>
      </w:r>
      <w:bookmarkEnd w:id="10"/>
    </w:p>
    <w:p w14:paraId="46195603" w14:textId="77777777"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14:paraId="6CFA687F" w14:textId="77777777" w:rsidTr="007031A0">
        <w:tc>
          <w:tcPr>
            <w:tcW w:w="1276" w:type="dxa"/>
            <w:tcBorders>
              <w:top w:val="single" w:sz="4" w:space="0" w:color="auto"/>
              <w:bottom w:val="single" w:sz="4" w:space="0" w:color="auto"/>
            </w:tcBorders>
            <w:shd w:val="clear" w:color="auto" w:fill="auto"/>
          </w:tcPr>
          <w:p w14:paraId="550582B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14:paraId="4F736C5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14:paraId="1A10D7C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14:paraId="13326BF3"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14:paraId="1063F26B"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14:paraId="65579BA1" w14:textId="77777777"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14:paraId="1CF08871" w14:textId="77777777" w:rsidTr="007031A0">
        <w:tc>
          <w:tcPr>
            <w:tcW w:w="1276" w:type="dxa"/>
            <w:tcBorders>
              <w:top w:val="single" w:sz="4" w:space="0" w:color="auto"/>
            </w:tcBorders>
            <w:shd w:val="clear" w:color="auto" w:fill="auto"/>
          </w:tcPr>
          <w:p w14:paraId="5D87B7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14:paraId="3A9336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14:paraId="3C9E5E5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14:paraId="2295C59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14:paraId="66C8E14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4376607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14:paraId="2F5EA31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5CA4AE7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14:paraId="34C5A24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1F5F45" w14:textId="77777777" w:rsidTr="007031A0">
        <w:tc>
          <w:tcPr>
            <w:tcW w:w="1276" w:type="dxa"/>
            <w:shd w:val="clear" w:color="auto" w:fill="auto"/>
          </w:tcPr>
          <w:p w14:paraId="52AF256D"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43BA04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1E80FA9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14:paraId="551B610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14:paraId="16663D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6B4DAB6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14:paraId="1DB536E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C0732E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14:paraId="4B378C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0E40B83C" w14:textId="77777777" w:rsidTr="007031A0">
        <w:tc>
          <w:tcPr>
            <w:tcW w:w="1276" w:type="dxa"/>
            <w:shd w:val="clear" w:color="auto" w:fill="auto"/>
          </w:tcPr>
          <w:p w14:paraId="2796926A"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567BB6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31F30E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14:paraId="3EA3F47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14:paraId="32E7792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5200F9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14:paraId="6A0394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67296F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14:paraId="1516297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F4B100" w14:textId="77777777" w:rsidTr="007031A0">
        <w:tc>
          <w:tcPr>
            <w:tcW w:w="1276" w:type="dxa"/>
            <w:shd w:val="clear" w:color="auto" w:fill="auto"/>
          </w:tcPr>
          <w:p w14:paraId="63E883A7"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6A0F7DC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6F59FD0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14:paraId="6A4D1A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14:paraId="2B0872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E13B8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14:paraId="55A16E63"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2D14B1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14:paraId="0DDE8D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5D94876" w14:textId="77777777" w:rsidTr="007031A0">
        <w:tc>
          <w:tcPr>
            <w:tcW w:w="1276" w:type="dxa"/>
            <w:shd w:val="clear" w:color="auto" w:fill="auto"/>
          </w:tcPr>
          <w:p w14:paraId="1F370772"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14:paraId="1D256DF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14:paraId="3FF8767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14:paraId="39E6B0D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14:paraId="621B059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41B34C4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14:paraId="1681028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6E4AAF42"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14:paraId="42327C5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1DFC1E4" w14:textId="77777777" w:rsidTr="007031A0">
        <w:tc>
          <w:tcPr>
            <w:tcW w:w="1276" w:type="dxa"/>
            <w:shd w:val="clear" w:color="auto" w:fill="auto"/>
          </w:tcPr>
          <w:p w14:paraId="1BBDA073"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54C1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0F9529B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14:paraId="686E1B2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14:paraId="6313D66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B14C1E1"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365E786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613DF2F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209DD42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71D46C2" w14:textId="77777777" w:rsidTr="007031A0">
        <w:tc>
          <w:tcPr>
            <w:tcW w:w="1276" w:type="dxa"/>
            <w:shd w:val="clear" w:color="auto" w:fill="auto"/>
          </w:tcPr>
          <w:p w14:paraId="601E21BE"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7F014EA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033A5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14:paraId="084ECC4C"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14:paraId="52002F7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6C2AAADF"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BEA0C65"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1CEA616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66A65BD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A04B422" w14:textId="77777777" w:rsidTr="007031A0">
        <w:tc>
          <w:tcPr>
            <w:tcW w:w="1276" w:type="dxa"/>
            <w:shd w:val="clear" w:color="auto" w:fill="auto"/>
          </w:tcPr>
          <w:p w14:paraId="59302E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868934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EE6A1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14:paraId="00DCBF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14:paraId="2FB5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52391E1A"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4449AAE"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06EEF575"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184B40E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039F07F" w14:textId="77777777" w:rsidTr="007031A0">
        <w:tc>
          <w:tcPr>
            <w:tcW w:w="1276" w:type="dxa"/>
            <w:shd w:val="clear" w:color="auto" w:fill="auto"/>
          </w:tcPr>
          <w:p w14:paraId="417F3F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49AACF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38D5D3C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7E2B548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14:paraId="5F55F4C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F9CC312"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3BF473A3"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2C0515D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A23F34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5772D66" w14:textId="77777777" w:rsidTr="007031A0">
        <w:tc>
          <w:tcPr>
            <w:tcW w:w="1276" w:type="dxa"/>
            <w:tcBorders>
              <w:bottom w:val="single" w:sz="4" w:space="0" w:color="auto"/>
            </w:tcBorders>
            <w:shd w:val="clear" w:color="auto" w:fill="auto"/>
          </w:tcPr>
          <w:p w14:paraId="39CC06F6"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14:paraId="6333E8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14:paraId="596B6E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14:paraId="0970D7A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14:paraId="490EE68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14:paraId="5BAFC634"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14:paraId="015392F5"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14:paraId="7E398137"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14:paraId="7F1F0E5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4596BAF" w14:textId="77777777" w:rsidTr="007031A0">
        <w:tc>
          <w:tcPr>
            <w:tcW w:w="1276" w:type="dxa"/>
            <w:tcBorders>
              <w:top w:val="single" w:sz="4" w:space="0" w:color="auto"/>
              <w:bottom w:val="nil"/>
            </w:tcBorders>
            <w:shd w:val="clear" w:color="auto" w:fill="auto"/>
          </w:tcPr>
          <w:p w14:paraId="281588A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14:paraId="5D277BE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4EC8361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14:paraId="71CFD1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14:paraId="4CA69C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2ECA422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14:paraId="2059ABB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14:paraId="2B1E410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14:paraId="42B0D14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BD8BB50" w14:textId="77777777" w:rsidTr="007031A0">
        <w:tc>
          <w:tcPr>
            <w:tcW w:w="1276" w:type="dxa"/>
            <w:tcBorders>
              <w:top w:val="nil"/>
            </w:tcBorders>
            <w:shd w:val="clear" w:color="auto" w:fill="auto"/>
          </w:tcPr>
          <w:p w14:paraId="4584D8B6"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147AAA8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40ED439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14:paraId="6947521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14:paraId="70264DAB"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14:paraId="087E943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14:paraId="7B095FB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1A8F55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14:paraId="39D92E7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10E2034B" w14:textId="77777777" w:rsidTr="007031A0">
        <w:tc>
          <w:tcPr>
            <w:tcW w:w="1276" w:type="dxa"/>
            <w:shd w:val="clear" w:color="auto" w:fill="auto"/>
          </w:tcPr>
          <w:p w14:paraId="2496C05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465E4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2A4FDE5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14:paraId="5511621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14:paraId="16ED8F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32B978C9"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105B806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2158B60C"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634CB5A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D6DA82D" w14:textId="77777777" w:rsidTr="007031A0">
        <w:tc>
          <w:tcPr>
            <w:tcW w:w="1276" w:type="dxa"/>
            <w:shd w:val="clear" w:color="auto" w:fill="auto"/>
          </w:tcPr>
          <w:p w14:paraId="49A50121"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5A29214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6EDCB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14:paraId="1BAE585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14:paraId="0A81034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1266F783"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13320BB9"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01F8755A"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33BAB99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4DC73B49" w14:textId="77777777" w:rsidTr="007031A0">
        <w:tc>
          <w:tcPr>
            <w:tcW w:w="1276" w:type="dxa"/>
            <w:shd w:val="clear" w:color="auto" w:fill="auto"/>
          </w:tcPr>
          <w:p w14:paraId="12D98F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3F56A07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956DD6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14:paraId="1477BE8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14:paraId="50D46D3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06E0D8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190AB3C4"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A9F1C01"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502216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2ECD8AF" w14:textId="77777777" w:rsidTr="007031A0">
        <w:tc>
          <w:tcPr>
            <w:tcW w:w="1276" w:type="dxa"/>
            <w:shd w:val="clear" w:color="auto" w:fill="auto"/>
          </w:tcPr>
          <w:p w14:paraId="6F3A506F"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B2CA84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B3FE89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0DCA7898"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14:paraId="2B81186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2917E83"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2AF1452"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1AB787D"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6A3A200F"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763BB93" w14:textId="77777777" w:rsidTr="007031A0">
        <w:tc>
          <w:tcPr>
            <w:tcW w:w="1276" w:type="dxa"/>
            <w:shd w:val="clear" w:color="auto" w:fill="auto"/>
          </w:tcPr>
          <w:p w14:paraId="6341875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63F2F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B73EF0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29A4D9B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14:paraId="3441587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9EB80E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6ABE1109"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18A079A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F6817B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CC16BA5" w14:textId="77777777" w:rsidTr="007031A0">
        <w:tc>
          <w:tcPr>
            <w:tcW w:w="1276" w:type="dxa"/>
            <w:shd w:val="clear" w:color="auto" w:fill="auto"/>
          </w:tcPr>
          <w:p w14:paraId="081FD14B"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47ACEA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FA89E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14:paraId="12C31FA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14:paraId="62A20A7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D78EF17"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14:paraId="23794077"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7DAAD97D"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14:paraId="1E667C7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B49AF24" w14:textId="77777777" w:rsidTr="007031A0">
        <w:tc>
          <w:tcPr>
            <w:tcW w:w="1276" w:type="dxa"/>
            <w:shd w:val="clear" w:color="auto" w:fill="auto"/>
          </w:tcPr>
          <w:p w14:paraId="034B7C4D"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01EC43E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14:paraId="5FF5DC0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14:paraId="76069A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14:paraId="76589E2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40B755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14:paraId="544C26B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8764C98"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D651E5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2A4025" w14:textId="77777777" w:rsidTr="007031A0">
        <w:tc>
          <w:tcPr>
            <w:tcW w:w="1276" w:type="dxa"/>
            <w:tcBorders>
              <w:bottom w:val="single" w:sz="4" w:space="0" w:color="auto"/>
            </w:tcBorders>
            <w:shd w:val="clear" w:color="auto" w:fill="auto"/>
          </w:tcPr>
          <w:p w14:paraId="04D0F97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14:paraId="5FFFB1D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14:paraId="6F56238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14:paraId="569DC224"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14:paraId="7D2DBFA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14:paraId="5F1E956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14:paraId="3356768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14:paraId="170EA271"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14:paraId="277A8AC4"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E3AAC08" w14:textId="77777777" w:rsidTr="007031A0">
        <w:tc>
          <w:tcPr>
            <w:tcW w:w="1276" w:type="dxa"/>
            <w:tcBorders>
              <w:top w:val="single" w:sz="4" w:space="0" w:color="auto"/>
              <w:bottom w:val="nil"/>
            </w:tcBorders>
            <w:shd w:val="clear" w:color="auto" w:fill="auto"/>
          </w:tcPr>
          <w:p w14:paraId="26EB95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14:paraId="36C3A8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0B2E22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14:paraId="03DC0A3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14:paraId="2B807EC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7B8C64D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14:paraId="54068AE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1A0C0D0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14:paraId="5B5B723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0BBF49E" w14:textId="77777777" w:rsidTr="007031A0">
        <w:tc>
          <w:tcPr>
            <w:tcW w:w="1276" w:type="dxa"/>
            <w:tcBorders>
              <w:top w:val="nil"/>
            </w:tcBorders>
            <w:shd w:val="clear" w:color="auto" w:fill="auto"/>
          </w:tcPr>
          <w:p w14:paraId="0BE6A43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2A37C99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93DBBB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14:paraId="105719C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14:paraId="78838C0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9A0BC7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14:paraId="566C0BA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0A081CB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14:paraId="7442C6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E83AB7E" w14:textId="77777777" w:rsidTr="007031A0">
        <w:tc>
          <w:tcPr>
            <w:tcW w:w="1276" w:type="dxa"/>
            <w:shd w:val="clear" w:color="auto" w:fill="auto"/>
          </w:tcPr>
          <w:p w14:paraId="05A41EF4"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04442A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60DB2B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14:paraId="168D5A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14:paraId="47D72D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250BEBD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14:paraId="5562B7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4734C50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14:paraId="4E7736F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2F50DBD" w14:textId="77777777" w:rsidTr="007031A0">
        <w:tc>
          <w:tcPr>
            <w:tcW w:w="1276" w:type="dxa"/>
            <w:shd w:val="clear" w:color="auto" w:fill="auto"/>
          </w:tcPr>
          <w:p w14:paraId="2C56E8DA"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1D2FB22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14:paraId="49D1B25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14:paraId="0CB4AF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14:paraId="0AB1CBF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61EB4C9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14:paraId="1AE58EE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73A8E6AC"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1A646C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01AE4C8" w14:textId="77777777" w:rsidTr="007031A0">
        <w:tc>
          <w:tcPr>
            <w:tcW w:w="1276" w:type="dxa"/>
            <w:shd w:val="clear" w:color="auto" w:fill="auto"/>
          </w:tcPr>
          <w:p w14:paraId="1E1CEB45"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567A873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35A217F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14:paraId="267DD6B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14:paraId="44A2F39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A688C4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14:paraId="57DB3DA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10D883FD"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14:paraId="5D4C385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6125337" w14:textId="77777777" w:rsidTr="007031A0">
        <w:tc>
          <w:tcPr>
            <w:tcW w:w="1276" w:type="dxa"/>
            <w:shd w:val="clear" w:color="auto" w:fill="auto"/>
          </w:tcPr>
          <w:p w14:paraId="32C7B1D0"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31FD344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59CB7F1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14:paraId="6ED702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14:paraId="498F5E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1C19D39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25D791B7"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59FDD9FE"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7AA0CE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73718AF" w14:textId="77777777" w:rsidTr="007031A0">
        <w:tc>
          <w:tcPr>
            <w:tcW w:w="1276" w:type="dxa"/>
            <w:shd w:val="clear" w:color="auto" w:fill="auto"/>
          </w:tcPr>
          <w:p w14:paraId="080F27B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487477C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724836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14:paraId="0ED307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14:paraId="50C9F8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F4ED63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E7D9B2E"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73B71663"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14:paraId="51E2DCA2"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732392" w14:textId="77777777" w:rsidTr="007031A0">
        <w:tc>
          <w:tcPr>
            <w:tcW w:w="1276" w:type="dxa"/>
            <w:shd w:val="clear" w:color="auto" w:fill="auto"/>
          </w:tcPr>
          <w:p w14:paraId="67BA9F47"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7D7D5F5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DBFE3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55877D3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14:paraId="49DC81E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B702E3F"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09AAEAA0"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CF7B764"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6436B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1CC9A8B" w14:textId="77777777" w:rsidTr="007031A0">
        <w:tc>
          <w:tcPr>
            <w:tcW w:w="1276" w:type="dxa"/>
            <w:shd w:val="clear" w:color="auto" w:fill="auto"/>
          </w:tcPr>
          <w:p w14:paraId="13284E71"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C55F39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86E6D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14:paraId="1F620D1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14:paraId="0F9CE0D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06AFF90"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3DAEE28"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30EF733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6D24A4A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8A03D4A" w14:textId="77777777" w:rsidTr="007031A0">
        <w:tc>
          <w:tcPr>
            <w:tcW w:w="1276" w:type="dxa"/>
            <w:shd w:val="clear" w:color="auto" w:fill="auto"/>
          </w:tcPr>
          <w:p w14:paraId="115189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00B7CC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3BD881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14:paraId="291A0ED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14:paraId="67B7BEE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F2335E7"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54D7A92C"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081D70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023CDF0" w14:textId="77777777" w:rsidR="004C6C44" w:rsidRPr="007031A0" w:rsidRDefault="004C6C44" w:rsidP="00157A68">
            <w:pPr>
              <w:pStyle w:val="PlainText"/>
              <w:rPr>
                <w:rFonts w:ascii="Times New Roman" w:hAnsi="Times New Roman" w:cs="Times New Roman"/>
                <w:sz w:val="24"/>
                <w:szCs w:val="24"/>
              </w:rPr>
            </w:pPr>
          </w:p>
        </w:tc>
      </w:tr>
    </w:tbl>
    <w:p w14:paraId="765C1632" w14:textId="77777777"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14:paraId="45CC85F5" w14:textId="77777777"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14:paraId="523BE357" w14:textId="77777777" w:rsidR="00B73D31" w:rsidRPr="00840830" w:rsidRDefault="00B73D31" w:rsidP="009A13CA">
      <w:pPr>
        <w:pStyle w:val="BodyText"/>
        <w:spacing w:after="0"/>
        <w:rPr>
          <w:vertAlign w:val="superscript"/>
        </w:rPr>
      </w:pPr>
      <w:r w:rsidRPr="00840830">
        <w:rPr>
          <w:vertAlign w:val="superscript"/>
        </w:rPr>
        <w:br w:type="page"/>
      </w:r>
    </w:p>
    <w:p w14:paraId="5E8D6A8D" w14:textId="77777777" w:rsidR="00874A01" w:rsidRPr="0069122B" w:rsidRDefault="00874A01" w:rsidP="00FA753D">
      <w:pPr>
        <w:pStyle w:val="BodyText"/>
        <w:spacing w:before="0"/>
      </w:pPr>
      <w:bookmarkStart w:id="1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14:paraId="46A66B6C" w14:textId="77777777" w:rsidTr="007031A0">
        <w:trPr>
          <w:trHeight w:val="227"/>
        </w:trPr>
        <w:tc>
          <w:tcPr>
            <w:tcW w:w="1543" w:type="dxa"/>
            <w:shd w:val="clear" w:color="auto" w:fill="auto"/>
          </w:tcPr>
          <w:p w14:paraId="723D9D47" w14:textId="77777777"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14:paraId="40C7A8E0" w14:textId="77777777"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14:paraId="3F9EE12C" w14:textId="77777777" w:rsidTr="007031A0">
        <w:trPr>
          <w:trHeight w:val="227"/>
        </w:trPr>
        <w:tc>
          <w:tcPr>
            <w:tcW w:w="1543" w:type="dxa"/>
            <w:tcBorders>
              <w:bottom w:val="single" w:sz="4" w:space="0" w:color="auto"/>
            </w:tcBorders>
            <w:shd w:val="clear" w:color="auto" w:fill="auto"/>
          </w:tcPr>
          <w:p w14:paraId="7973E419" w14:textId="77777777"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14:paraId="6E02996D"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14:paraId="74C4DEA9"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14:paraId="71A4B197" w14:textId="77777777" w:rsidTr="007031A0">
        <w:trPr>
          <w:trHeight w:val="227"/>
        </w:trPr>
        <w:tc>
          <w:tcPr>
            <w:tcW w:w="1543" w:type="dxa"/>
            <w:tcBorders>
              <w:top w:val="single" w:sz="4" w:space="0" w:color="auto"/>
            </w:tcBorders>
            <w:shd w:val="clear" w:color="auto" w:fill="auto"/>
          </w:tcPr>
          <w:p w14:paraId="4D311E7D" w14:textId="77777777"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14:paraId="706B8284" w14:textId="77777777"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14:paraId="677AEB60" w14:textId="77777777"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14:paraId="08C08BA2" w14:textId="77777777" w:rsidTr="007031A0">
        <w:trPr>
          <w:trHeight w:val="227"/>
        </w:trPr>
        <w:tc>
          <w:tcPr>
            <w:tcW w:w="1543" w:type="dxa"/>
            <w:shd w:val="clear" w:color="auto" w:fill="auto"/>
          </w:tcPr>
          <w:p w14:paraId="563DE763" w14:textId="77777777"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14:paraId="1FE2B2C8" w14:textId="77777777"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14:paraId="56F1791F" w14:textId="77777777"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14:paraId="55B1B7CA" w14:textId="77777777" w:rsidTr="007031A0">
        <w:trPr>
          <w:trHeight w:val="227"/>
        </w:trPr>
        <w:tc>
          <w:tcPr>
            <w:tcW w:w="1543" w:type="dxa"/>
            <w:shd w:val="clear" w:color="auto" w:fill="auto"/>
          </w:tcPr>
          <w:p w14:paraId="5DB97282" w14:textId="77777777"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14:paraId="2E6AC8F5" w14:textId="77777777"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14:paraId="51AC2FC7" w14:textId="77777777"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18"/>
    </w:tbl>
    <w:p w14:paraId="1DE499B3" w14:textId="77777777" w:rsidR="00FA5075" w:rsidRDefault="00FA5075" w:rsidP="00FA5075">
      <w:pPr>
        <w:pStyle w:val="BodyText"/>
        <w:rPr>
          <w:rFonts w:eastAsia="MS Gothic" w:cs="Times New Roman"/>
          <w:color w:val="000000"/>
          <w:sz w:val="32"/>
          <w:szCs w:val="32"/>
        </w:rPr>
      </w:pPr>
      <w:r>
        <w:br w:type="page"/>
      </w:r>
    </w:p>
    <w:p w14:paraId="65E92F48" w14:textId="77777777" w:rsidR="00133F9A" w:rsidRDefault="00133F9A" w:rsidP="00EB67CD">
      <w:pPr>
        <w:pStyle w:val="Heading1"/>
      </w:pPr>
      <w:r>
        <w:lastRenderedPageBreak/>
        <w:t>Figure captions</w:t>
      </w:r>
    </w:p>
    <w:p w14:paraId="3DC7D365" w14:textId="77777777"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w:t>
      </w:r>
      <w:proofErr w:type="spellStart"/>
      <w:r w:rsidRPr="00805B10">
        <w:rPr>
          <w:b/>
          <w:bCs/>
        </w:rPr>
        <w:t>a,b</w:t>
      </w:r>
      <w:proofErr w:type="spellEnd"/>
      <w:r w:rsidRPr="00805B10">
        <w:rPr>
          <w:b/>
          <w:bCs/>
        </w:rPr>
        <w:t>)</w:t>
      </w:r>
      <w:r>
        <w:t xml:space="preserve"> vascular plant species richness (</w:t>
      </w:r>
      <w:r w:rsidRPr="00ED6805">
        <w:rPr>
          <w:i/>
          <w:iCs/>
        </w:rPr>
        <w:t>S</w:t>
      </w:r>
      <w:r>
        <w:rPr>
          <w:vertAlign w:val="subscript"/>
        </w:rPr>
        <w:t>HDS</w:t>
      </w:r>
      <w:r>
        <w:t xml:space="preserve">), </w:t>
      </w:r>
      <w:r w:rsidRPr="00805B10">
        <w:rPr>
          <w:b/>
          <w:bCs/>
        </w:rPr>
        <w:t>(</w:t>
      </w:r>
      <w:proofErr w:type="spellStart"/>
      <w:r w:rsidRPr="00805B10">
        <w:rPr>
          <w:b/>
          <w:bCs/>
        </w:rPr>
        <w:t>c,d</w:t>
      </w:r>
      <w:proofErr w:type="spellEnd"/>
      <w:r w:rsidRPr="00805B10">
        <w:rPr>
          <w:b/>
          <w:bCs/>
        </w:rPr>
        <w:t>)</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w:t>
      </w:r>
      <w:proofErr w:type="spellStart"/>
      <w:r w:rsidRPr="00805B10">
        <w:rPr>
          <w:b/>
          <w:bCs/>
        </w:rPr>
        <w:t>e,f</w:t>
      </w:r>
      <w:proofErr w:type="spellEnd"/>
      <w:r w:rsidRPr="00805B10">
        <w:rPr>
          <w:b/>
          <w:bCs/>
        </w:rPr>
        <w:t>)</w:t>
      </w:r>
      <w:r>
        <w:t xml:space="preserve"> PC1 (see also Figure 4b) and </w:t>
      </w:r>
      <w:r w:rsidRPr="00805B10">
        <w:rPr>
          <w:b/>
          <w:bCs/>
        </w:rPr>
        <w:t>(</w:t>
      </w:r>
      <w:proofErr w:type="spellStart"/>
      <w:r w:rsidRPr="00805B10">
        <w:rPr>
          <w:b/>
          <w:bCs/>
        </w:rPr>
        <w:t>g,h</w:t>
      </w:r>
      <w:proofErr w:type="spellEnd"/>
      <w:r w:rsidRPr="00805B10">
        <w:rPr>
          <w:b/>
          <w:bCs/>
        </w:rPr>
        <w:t>)</w:t>
      </w:r>
      <w:r>
        <w:t xml:space="preserve"> the multivariate (MV) regression model (see also Figure 5b). Map projection used: WGS84. </w:t>
      </w:r>
      <w:proofErr w:type="spellStart"/>
      <w:r>
        <w:t>Colour</w:t>
      </w:r>
      <w:proofErr w:type="spellEnd"/>
      <w:r>
        <w:t xml:space="preserve"> versions of these maps, and the QDS- and DS-scale equivalents (Figure S9, S10 respectively) are available in the online version.</w:t>
      </w:r>
    </w:p>
    <w:p w14:paraId="3605954C" w14:textId="77777777"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14:paraId="0F3D42A7" w14:textId="77777777"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w:t>
      </w:r>
      <w:proofErr w:type="spellStart"/>
      <w:r w:rsidRPr="00AC670A">
        <w:rPr>
          <w:b/>
          <w:bCs/>
        </w:rPr>
        <w:t>i</w:t>
      </w:r>
      <w:proofErr w:type="spellEnd"/>
      <w:r w:rsidRPr="00AC670A">
        <w:rPr>
          <w:b/>
          <w:bCs/>
        </w:rPr>
        <w:t>)</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proofErr w:type="spellStart"/>
      <w:r>
        <w:t>c,g,i</w:t>
      </w:r>
      <w:proofErr w:type="spellEnd"/>
      <w:r>
        <w:t>) and marginally significant</w:t>
      </w:r>
      <w:r w:rsidRPr="007138B7">
        <w:t xml:space="preserve"> </w:t>
      </w:r>
      <w:r>
        <w:t>(</w:t>
      </w:r>
      <w:r>
        <w:rPr>
          <w:i/>
          <w:iCs/>
        </w:rPr>
        <w:t>P</w:t>
      </w:r>
      <w:r>
        <w:t xml:space="preserve"> &lt; 0.1; </w:t>
      </w:r>
      <w:proofErr w:type="spellStart"/>
      <w:r>
        <w:t>d,e,h</w:t>
      </w:r>
      <w:proofErr w:type="spellEnd"/>
      <w:r>
        <w:t xml:space="preserve">) </w:t>
      </w:r>
      <w:r w:rsidR="00BA0F4C">
        <w:t xml:space="preserve">fits </w:t>
      </w:r>
      <w:r>
        <w:t>have been plotted, the latter for illustration.</w:t>
      </w:r>
      <w:r w:rsidR="002641F7">
        <w:t xml:space="preserve"> </w:t>
      </w:r>
      <w:r w:rsidRPr="006A6996">
        <w:t>Abbreviations are as in Table</w:t>
      </w:r>
      <w:r>
        <w:t xml:space="preserve"> 1</w:t>
      </w:r>
      <w:r w:rsidRPr="006A6996">
        <w:t>.</w:t>
      </w:r>
    </w:p>
    <w:p w14:paraId="3C32C36E" w14:textId="77777777"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14:paraId="028026BC" w14:textId="77777777" w:rsidR="00CB5A07" w:rsidRDefault="00CB5A07" w:rsidP="00CB5A07">
      <w:pPr>
        <w:pStyle w:val="BodyText"/>
      </w:pPr>
      <w:r>
        <w:br w:type="page"/>
      </w:r>
    </w:p>
    <w:p w14:paraId="095AB0A0" w14:textId="77777777"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represent effect estimates for the GCFR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14:paraId="773691B0" w14:textId="77777777" w:rsidR="00133F9A" w:rsidRDefault="00133F9A" w:rsidP="00133F9A">
      <w:pPr>
        <w:pStyle w:val="BodyText"/>
      </w:pPr>
      <w:r>
        <w:br w:type="page"/>
      </w:r>
    </w:p>
    <w:p w14:paraId="037FFA2D" w14:textId="77777777" w:rsidR="000878A3" w:rsidRDefault="009E59E0" w:rsidP="000878A3">
      <w:pPr>
        <w:pStyle w:val="Heading1"/>
        <w:spacing w:line="240" w:lineRule="auto"/>
      </w:pPr>
      <w:bookmarkStart w:id="19" w:name="references"/>
      <w:r w:rsidRPr="009E59E0">
        <w:lastRenderedPageBreak/>
        <w:t>Data availability statement</w:t>
      </w:r>
    </w:p>
    <w:p w14:paraId="5FAD549B" w14:textId="77777777"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14:paraId="1793AA5C" w14:textId="77777777" w:rsidR="00DD2348" w:rsidRDefault="005F0FFB" w:rsidP="0018462C">
      <w:pPr>
        <w:pStyle w:val="Heading1"/>
      </w:pPr>
      <w:r w:rsidRPr="002C20EB">
        <w:t>References</w:t>
      </w:r>
      <w:bookmarkEnd w:id="19"/>
    </w:p>
    <w:p w14:paraId="16FB3C0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14:paraId="3F3B942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14:paraId="6BAF059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14:paraId="34773E6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14:paraId="5DA13A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14:paraId="0D51E93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14:paraId="1A6D5A9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14:paraId="703A45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14:paraId="068CF5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14:paraId="68B2C6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14:paraId="2D81931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 xml:space="preserve">Quaternary </w:t>
      </w:r>
      <w:r w:rsidRPr="00363E65">
        <w:rPr>
          <w:rFonts w:hAnsi="Times New Roman" w:cs="Times New Roman"/>
          <w:i/>
          <w:iCs/>
          <w:noProof/>
          <w:lang w:val="en-GB"/>
        </w:rPr>
        <w:lastRenderedPageBreak/>
        <w:t>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14:paraId="5EF5CE4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14:paraId="16F72E3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14:paraId="23B5E0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14:paraId="136169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14:paraId="1B1E189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14:paraId="6CA1F6D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14:paraId="1C86EFA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14:paraId="7FA5461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14:paraId="027DD6F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14:paraId="30AB8A3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14:paraId="3FE2D9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14:paraId="7CBEA25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14:paraId="3867EA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Crisp, M. D., Arroyo, M. T. K., Cook, L. G., Gandolfo, M. A., Jordan, G. J., McGlone, M. S., Weston, P. H., Westoby, M., Wilf, P., &amp; Linder, H. P. (2009). Phylogenetic biome </w:t>
      </w:r>
      <w:r w:rsidRPr="00363E65">
        <w:rPr>
          <w:rFonts w:hAnsi="Times New Roman" w:cs="Times New Roman"/>
          <w:noProof/>
          <w:lang w:val="en-GB"/>
        </w:rPr>
        <w:lastRenderedPageBreak/>
        <w:t xml:space="preserve">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14:paraId="058B094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14:paraId="41F0D69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14:paraId="4F6556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14:paraId="7DA9636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14:paraId="6656738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14:paraId="1D9BD70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14:paraId="7E958D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14:paraId="4A598CD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14:paraId="687C3E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14:paraId="01809CF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14:paraId="3E11F58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14:paraId="5204774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14:paraId="10600E0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14:paraId="5006B6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&amp; Gioia, P. (2004). The Southwest Australian floristic region: Evolution and </w:t>
      </w:r>
      <w:r w:rsidRPr="00363E65">
        <w:rPr>
          <w:rFonts w:hAnsi="Times New Roman" w:cs="Times New Roman"/>
          <w:noProof/>
          <w:lang w:val="en-GB"/>
        </w:rPr>
        <w:lastRenderedPageBreak/>
        <w:t xml:space="preserve">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14:paraId="2CA7450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14:paraId="2810091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14:paraId="0A389DC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14:paraId="3908C10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14:paraId="1FE1905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14:paraId="2B6C3ECA"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14:paraId="72B1A0A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14:paraId="236CF5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14:paraId="260A20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14:paraId="6D88C13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14:paraId="326939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Palaeogeography, Palaeoclimatology, 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14:paraId="09D425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14:paraId="2AB968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14:paraId="25EFCA9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w:t>
      </w:r>
      <w:r w:rsidRPr="00363E65">
        <w:rPr>
          <w:rFonts w:hAnsi="Times New Roman" w:cs="Times New Roman"/>
          <w:noProof/>
          <w:lang w:val="en-GB"/>
        </w:rPr>
        <w:lastRenderedPageBreak/>
        <w:t xml:space="preserve">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14:paraId="7B3B13F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14:paraId="2479A4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14:paraId="69B41D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14:paraId="3DE12BB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14:paraId="0257B6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14:paraId="79FC23A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14:paraId="58F02F3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14:paraId="114FF2E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14:paraId="43272C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14:paraId="50E0A352" w14:textId="77777777"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14:paraId="54E66A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14:paraId="268E28E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14:paraId="36C2D9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14:paraId="6C13E38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14:paraId="520C95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w:t>
      </w:r>
      <w:r w:rsidRPr="00363E65">
        <w:rPr>
          <w:rFonts w:hAnsi="Times New Roman" w:cs="Times New Roman"/>
          <w:noProof/>
          <w:lang w:val="en-GB"/>
        </w:rPr>
        <w:lastRenderedPageBreak/>
        <w:t xml:space="preserve">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14:paraId="47E33D7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14:paraId="73B9D24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14:paraId="3AC5A62B" w14:textId="77777777" w:rsidR="00112BB0" w:rsidRDefault="00112BB0" w:rsidP="004407EF">
      <w:pPr>
        <w:widowControl w:val="0"/>
        <w:autoSpaceDE w:val="0"/>
        <w:autoSpaceDN w:val="0"/>
        <w:adjustRightInd w:val="0"/>
        <w:spacing w:after="180"/>
        <w:rPr>
          <w:b/>
          <w:bCs/>
        </w:rPr>
      </w:pPr>
      <w:r>
        <w:rPr>
          <w:b/>
          <w:bCs/>
        </w:rPr>
        <w:br w:type="page"/>
      </w:r>
    </w:p>
    <w:p w14:paraId="4B84A380" w14:textId="77777777" w:rsidR="00EF41C1" w:rsidRDefault="004D4AE1" w:rsidP="006F5855">
      <w:pPr>
        <w:pStyle w:val="Heading1"/>
      </w:pPr>
      <w:proofErr w:type="spellStart"/>
      <w:r w:rsidRPr="004D4AE1">
        <w:lastRenderedPageBreak/>
        <w:t>Biosketch</w:t>
      </w:r>
      <w:r>
        <w:t>es</w:t>
      </w:r>
      <w:proofErr w:type="spellEnd"/>
    </w:p>
    <w:p w14:paraId="3A814436" w14:textId="77777777"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14:paraId="0C2295E0" w14:textId="77777777"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w:t>
      </w:r>
      <w:r w:rsidR="005F4B28">
        <w:t xml:space="preserve">plant </w:t>
      </w:r>
      <w:r w:rsidR="00EF41C1" w:rsidRPr="00EF41C1">
        <w:t>species richness.</w:t>
      </w:r>
    </w:p>
    <w:p w14:paraId="25DC6614" w14:textId="77777777"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1344CD7B" w14:textId="77777777" w:rsidR="006F043C" w:rsidRDefault="006F043C" w:rsidP="001453CD">
      <w:pPr>
        <w:pStyle w:val="Heading1"/>
        <w:spacing w:line="240" w:lineRule="auto"/>
      </w:pPr>
      <w:r>
        <w:t>Author contributions</w:t>
      </w:r>
    </w:p>
    <w:p w14:paraId="518BB4B6" w14:textId="77777777"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14:paraId="77A07977" w14:textId="77777777" w:rsidR="00B46208" w:rsidRPr="003C085D" w:rsidRDefault="00B46208" w:rsidP="00B46208">
      <w:pPr>
        <w:pStyle w:val="Heading1"/>
      </w:pPr>
      <w:r w:rsidRPr="003C085D">
        <w:t>ORCID</w:t>
      </w:r>
    </w:p>
    <w:p w14:paraId="6260B1C8" w14:textId="77777777" w:rsidR="00B46208" w:rsidRPr="002B2755" w:rsidRDefault="00B46208" w:rsidP="00B46208">
      <w:r w:rsidRPr="002B2755">
        <w:t>R</w:t>
      </w:r>
      <w:r w:rsidRPr="002C20EB">
        <w:t xml:space="preserve">uan van Mazijk: </w:t>
      </w:r>
      <w:hyperlink r:id="rId11" w:history="1">
        <w:r w:rsidRPr="002C20EB">
          <w:rPr>
            <w:rStyle w:val="Hyperlink"/>
          </w:rPr>
          <w:t>https://orcid.org/0000-0003-2659-6909</w:t>
        </w:r>
      </w:hyperlink>
    </w:p>
    <w:p w14:paraId="329120B2" w14:textId="77777777" w:rsidR="00B46208" w:rsidRPr="002B2755" w:rsidRDefault="00B46208" w:rsidP="00B46208">
      <w:r w:rsidRPr="002C20EB">
        <w:t xml:space="preserve">Michael D. Cramer: </w:t>
      </w:r>
      <w:hyperlink r:id="rId12" w:history="1">
        <w:r w:rsidRPr="002C20EB">
          <w:rPr>
            <w:rStyle w:val="Hyperlink"/>
          </w:rPr>
          <w:t>https://orcid.org/0000-0003-0989-3266</w:t>
        </w:r>
      </w:hyperlink>
    </w:p>
    <w:p w14:paraId="04A01ABE" w14:textId="77777777" w:rsidR="00B46208" w:rsidRPr="00B46208" w:rsidRDefault="00B46208" w:rsidP="00B46208">
      <w:r w:rsidRPr="002C20EB">
        <w:t xml:space="preserve">G. Anthony Verboom: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ECA99" w14:textId="77777777" w:rsidR="007B5590" w:rsidRDefault="007B5590">
      <w:pPr>
        <w:spacing w:after="0"/>
      </w:pPr>
      <w:r>
        <w:separator/>
      </w:r>
    </w:p>
  </w:endnote>
  <w:endnote w:type="continuationSeparator" w:id="0">
    <w:p w14:paraId="7FDBB95C" w14:textId="77777777" w:rsidR="007B5590" w:rsidRDefault="007B5590">
      <w:pPr>
        <w:spacing w:after="0"/>
      </w:pPr>
      <w:r>
        <w:continuationSeparator/>
      </w:r>
    </w:p>
  </w:endnote>
  <w:endnote w:type="continuationNotice" w:id="1">
    <w:p w14:paraId="0D53CE88" w14:textId="77777777" w:rsidR="007B5590" w:rsidRDefault="007B559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E2AB" w14:textId="77777777" w:rsidR="00812A55" w:rsidRDefault="00812A55">
    <w:pPr>
      <w:pStyle w:val="Footer"/>
      <w:jc w:val="center"/>
    </w:pPr>
    <w:r>
      <w:fldChar w:fldCharType="begin"/>
    </w:r>
    <w:r>
      <w:instrText xml:space="preserve"> PAGE   \* MERGEFORMAT </w:instrText>
    </w:r>
    <w:r>
      <w:fldChar w:fldCharType="separate"/>
    </w:r>
    <w:r>
      <w:rPr>
        <w:noProof/>
      </w:rPr>
      <w:t>22</w:t>
    </w:r>
    <w:r>
      <w:rPr>
        <w:noProof/>
      </w:rPr>
      <w:fldChar w:fldCharType="end"/>
    </w:r>
  </w:p>
  <w:p w14:paraId="3934A977" w14:textId="77777777" w:rsidR="00812A55" w:rsidRDefault="00812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05668" w14:textId="77777777" w:rsidR="007B5590" w:rsidRDefault="007B5590">
      <w:r>
        <w:separator/>
      </w:r>
    </w:p>
  </w:footnote>
  <w:footnote w:type="continuationSeparator" w:id="0">
    <w:p w14:paraId="058650BF" w14:textId="77777777" w:rsidR="007B5590" w:rsidRDefault="007B5590">
      <w:r>
        <w:continuationSeparator/>
      </w:r>
    </w:p>
  </w:footnote>
  <w:footnote w:type="continuationNotice" w:id="1">
    <w:p w14:paraId="4996F8D4" w14:textId="77777777" w:rsidR="007B5590" w:rsidRDefault="007B559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B00"/>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1F5D"/>
    <w:rsid w:val="00022A4F"/>
    <w:rsid w:val="000235F3"/>
    <w:rsid w:val="00023612"/>
    <w:rsid w:val="00023792"/>
    <w:rsid w:val="00023A41"/>
    <w:rsid w:val="00024506"/>
    <w:rsid w:val="00024A7B"/>
    <w:rsid w:val="00024E99"/>
    <w:rsid w:val="00025737"/>
    <w:rsid w:val="00026A23"/>
    <w:rsid w:val="00026E7C"/>
    <w:rsid w:val="00027CC5"/>
    <w:rsid w:val="0003065C"/>
    <w:rsid w:val="00030A46"/>
    <w:rsid w:val="00030FA3"/>
    <w:rsid w:val="00031229"/>
    <w:rsid w:val="000317CE"/>
    <w:rsid w:val="0003181E"/>
    <w:rsid w:val="00031A1D"/>
    <w:rsid w:val="00032420"/>
    <w:rsid w:val="00032731"/>
    <w:rsid w:val="000330D1"/>
    <w:rsid w:val="000332C4"/>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36D"/>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03"/>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1263"/>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393E"/>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6B6"/>
    <w:rsid w:val="000B2FED"/>
    <w:rsid w:val="000B3AAC"/>
    <w:rsid w:val="000B5F94"/>
    <w:rsid w:val="000B6E01"/>
    <w:rsid w:val="000B6E51"/>
    <w:rsid w:val="000B6F4D"/>
    <w:rsid w:val="000B7C42"/>
    <w:rsid w:val="000C03EA"/>
    <w:rsid w:val="000C0A63"/>
    <w:rsid w:val="000C126B"/>
    <w:rsid w:val="000C16A6"/>
    <w:rsid w:val="000C16E4"/>
    <w:rsid w:val="000C1B2A"/>
    <w:rsid w:val="000C1DFD"/>
    <w:rsid w:val="000C2B76"/>
    <w:rsid w:val="000C2BA8"/>
    <w:rsid w:val="000C33EC"/>
    <w:rsid w:val="000C3D30"/>
    <w:rsid w:val="000C3FC4"/>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96B"/>
    <w:rsid w:val="000E1B64"/>
    <w:rsid w:val="000E2006"/>
    <w:rsid w:val="000E327F"/>
    <w:rsid w:val="000E33FD"/>
    <w:rsid w:val="000E4213"/>
    <w:rsid w:val="000E5000"/>
    <w:rsid w:val="000E5E97"/>
    <w:rsid w:val="000E72CC"/>
    <w:rsid w:val="000E7EAD"/>
    <w:rsid w:val="000E7F00"/>
    <w:rsid w:val="000F117A"/>
    <w:rsid w:val="000F1BFC"/>
    <w:rsid w:val="000F24B3"/>
    <w:rsid w:val="000F2512"/>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C01"/>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4D43"/>
    <w:rsid w:val="001564B7"/>
    <w:rsid w:val="00157417"/>
    <w:rsid w:val="001576DD"/>
    <w:rsid w:val="00157A68"/>
    <w:rsid w:val="0016016F"/>
    <w:rsid w:val="00160C41"/>
    <w:rsid w:val="001613F2"/>
    <w:rsid w:val="001617DD"/>
    <w:rsid w:val="00161FEB"/>
    <w:rsid w:val="001626C2"/>
    <w:rsid w:val="00162B7A"/>
    <w:rsid w:val="00163122"/>
    <w:rsid w:val="001640D1"/>
    <w:rsid w:val="0016465E"/>
    <w:rsid w:val="00164E10"/>
    <w:rsid w:val="00165181"/>
    <w:rsid w:val="00166053"/>
    <w:rsid w:val="001666F2"/>
    <w:rsid w:val="00166C5E"/>
    <w:rsid w:val="0016731D"/>
    <w:rsid w:val="00167380"/>
    <w:rsid w:val="0016754C"/>
    <w:rsid w:val="001707D9"/>
    <w:rsid w:val="00170800"/>
    <w:rsid w:val="001709E2"/>
    <w:rsid w:val="001713AC"/>
    <w:rsid w:val="001717FA"/>
    <w:rsid w:val="0017188B"/>
    <w:rsid w:val="001729D4"/>
    <w:rsid w:val="00172C85"/>
    <w:rsid w:val="001739C8"/>
    <w:rsid w:val="00173BFF"/>
    <w:rsid w:val="00174C2A"/>
    <w:rsid w:val="00175240"/>
    <w:rsid w:val="001755D7"/>
    <w:rsid w:val="001758FD"/>
    <w:rsid w:val="0017651E"/>
    <w:rsid w:val="00176973"/>
    <w:rsid w:val="00176B1A"/>
    <w:rsid w:val="00176C59"/>
    <w:rsid w:val="00176E4F"/>
    <w:rsid w:val="00177EA0"/>
    <w:rsid w:val="00180D4A"/>
    <w:rsid w:val="001816EF"/>
    <w:rsid w:val="00181A68"/>
    <w:rsid w:val="00181CE4"/>
    <w:rsid w:val="00182898"/>
    <w:rsid w:val="00182CB9"/>
    <w:rsid w:val="00182FC5"/>
    <w:rsid w:val="00183126"/>
    <w:rsid w:val="00183AF5"/>
    <w:rsid w:val="00184015"/>
    <w:rsid w:val="001841EC"/>
    <w:rsid w:val="0018462C"/>
    <w:rsid w:val="001848E8"/>
    <w:rsid w:val="00184A95"/>
    <w:rsid w:val="00184EFF"/>
    <w:rsid w:val="001851C2"/>
    <w:rsid w:val="00185571"/>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1DF"/>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630"/>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2153"/>
    <w:rsid w:val="001D247C"/>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26"/>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D09"/>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C1C"/>
    <w:rsid w:val="00213D02"/>
    <w:rsid w:val="0021685A"/>
    <w:rsid w:val="00217498"/>
    <w:rsid w:val="00217AAC"/>
    <w:rsid w:val="00220A65"/>
    <w:rsid w:val="00220D2B"/>
    <w:rsid w:val="00221518"/>
    <w:rsid w:val="0022192B"/>
    <w:rsid w:val="00221BC9"/>
    <w:rsid w:val="00221C0F"/>
    <w:rsid w:val="002234E3"/>
    <w:rsid w:val="00223948"/>
    <w:rsid w:val="00223CC5"/>
    <w:rsid w:val="00223E51"/>
    <w:rsid w:val="00226569"/>
    <w:rsid w:val="00230147"/>
    <w:rsid w:val="00230ABA"/>
    <w:rsid w:val="00230ADA"/>
    <w:rsid w:val="00230AF5"/>
    <w:rsid w:val="00230C87"/>
    <w:rsid w:val="00230DBA"/>
    <w:rsid w:val="002314C2"/>
    <w:rsid w:val="00231B2B"/>
    <w:rsid w:val="00232556"/>
    <w:rsid w:val="002333AE"/>
    <w:rsid w:val="00233797"/>
    <w:rsid w:val="002338CF"/>
    <w:rsid w:val="00233B0F"/>
    <w:rsid w:val="00233C17"/>
    <w:rsid w:val="002341D2"/>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C58"/>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565"/>
    <w:rsid w:val="00257896"/>
    <w:rsid w:val="00257D86"/>
    <w:rsid w:val="002604CE"/>
    <w:rsid w:val="00261A54"/>
    <w:rsid w:val="0026216D"/>
    <w:rsid w:val="002624D4"/>
    <w:rsid w:val="002626CC"/>
    <w:rsid w:val="00262EF2"/>
    <w:rsid w:val="00262F02"/>
    <w:rsid w:val="002635CD"/>
    <w:rsid w:val="002641F7"/>
    <w:rsid w:val="00264258"/>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3A36"/>
    <w:rsid w:val="00284163"/>
    <w:rsid w:val="0028496B"/>
    <w:rsid w:val="00285784"/>
    <w:rsid w:val="00286337"/>
    <w:rsid w:val="00286EA7"/>
    <w:rsid w:val="002870DB"/>
    <w:rsid w:val="00287F6F"/>
    <w:rsid w:val="00290F74"/>
    <w:rsid w:val="00290FB9"/>
    <w:rsid w:val="002919EA"/>
    <w:rsid w:val="00291B51"/>
    <w:rsid w:val="002930EF"/>
    <w:rsid w:val="002930F3"/>
    <w:rsid w:val="002935C5"/>
    <w:rsid w:val="00293721"/>
    <w:rsid w:val="002937DD"/>
    <w:rsid w:val="00293893"/>
    <w:rsid w:val="00293C4B"/>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291D"/>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102"/>
    <w:rsid w:val="002C22CA"/>
    <w:rsid w:val="002C270F"/>
    <w:rsid w:val="002C2E2E"/>
    <w:rsid w:val="002C32D6"/>
    <w:rsid w:val="002C4EEB"/>
    <w:rsid w:val="002C5C96"/>
    <w:rsid w:val="002C6058"/>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2318"/>
    <w:rsid w:val="002F32A1"/>
    <w:rsid w:val="002F370B"/>
    <w:rsid w:val="002F3914"/>
    <w:rsid w:val="002F3B3B"/>
    <w:rsid w:val="002F3B4F"/>
    <w:rsid w:val="002F3E6D"/>
    <w:rsid w:val="002F40D7"/>
    <w:rsid w:val="002F5AB6"/>
    <w:rsid w:val="002F5DB0"/>
    <w:rsid w:val="002F60C8"/>
    <w:rsid w:val="002F7183"/>
    <w:rsid w:val="002F76EF"/>
    <w:rsid w:val="002F7AE1"/>
    <w:rsid w:val="00300363"/>
    <w:rsid w:val="00300828"/>
    <w:rsid w:val="00300D68"/>
    <w:rsid w:val="00301369"/>
    <w:rsid w:val="00301A4F"/>
    <w:rsid w:val="00301F36"/>
    <w:rsid w:val="00303501"/>
    <w:rsid w:val="00304086"/>
    <w:rsid w:val="003040D9"/>
    <w:rsid w:val="0030441A"/>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3D8B"/>
    <w:rsid w:val="003249DF"/>
    <w:rsid w:val="00324C29"/>
    <w:rsid w:val="00324E0A"/>
    <w:rsid w:val="003251C7"/>
    <w:rsid w:val="003252BC"/>
    <w:rsid w:val="0032532C"/>
    <w:rsid w:val="0032574D"/>
    <w:rsid w:val="00325EB1"/>
    <w:rsid w:val="003264AF"/>
    <w:rsid w:val="0032680E"/>
    <w:rsid w:val="003302D7"/>
    <w:rsid w:val="0033030D"/>
    <w:rsid w:val="00330A88"/>
    <w:rsid w:val="00330D96"/>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6E5"/>
    <w:rsid w:val="00350AEA"/>
    <w:rsid w:val="00350FE5"/>
    <w:rsid w:val="003510DE"/>
    <w:rsid w:val="0035130F"/>
    <w:rsid w:val="0035175F"/>
    <w:rsid w:val="00352039"/>
    <w:rsid w:val="00352382"/>
    <w:rsid w:val="00352767"/>
    <w:rsid w:val="00352AF2"/>
    <w:rsid w:val="00352C55"/>
    <w:rsid w:val="00352D94"/>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262"/>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6CD3"/>
    <w:rsid w:val="00397AF6"/>
    <w:rsid w:val="003A0E03"/>
    <w:rsid w:val="003A1264"/>
    <w:rsid w:val="003A1338"/>
    <w:rsid w:val="003A1781"/>
    <w:rsid w:val="003A1AC2"/>
    <w:rsid w:val="003A378D"/>
    <w:rsid w:val="003A3FB7"/>
    <w:rsid w:val="003A4C18"/>
    <w:rsid w:val="003A587C"/>
    <w:rsid w:val="003A5B50"/>
    <w:rsid w:val="003A5E82"/>
    <w:rsid w:val="003A604B"/>
    <w:rsid w:val="003A63A6"/>
    <w:rsid w:val="003A65BD"/>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5ECE"/>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369A"/>
    <w:rsid w:val="003D414F"/>
    <w:rsid w:val="003D43E3"/>
    <w:rsid w:val="003D61EB"/>
    <w:rsid w:val="003D65D2"/>
    <w:rsid w:val="003D6DA0"/>
    <w:rsid w:val="003D7FCB"/>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3937"/>
    <w:rsid w:val="0043502F"/>
    <w:rsid w:val="00437CB6"/>
    <w:rsid w:val="0044052A"/>
    <w:rsid w:val="004407EF"/>
    <w:rsid w:val="00441519"/>
    <w:rsid w:val="004417B3"/>
    <w:rsid w:val="00441AEC"/>
    <w:rsid w:val="00441EC2"/>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2B47"/>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77229"/>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3DFF"/>
    <w:rsid w:val="004A40FE"/>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0FD5"/>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9CB"/>
    <w:rsid w:val="004E7A80"/>
    <w:rsid w:val="004F08CD"/>
    <w:rsid w:val="004F0DF9"/>
    <w:rsid w:val="004F14E1"/>
    <w:rsid w:val="004F1DC1"/>
    <w:rsid w:val="004F2596"/>
    <w:rsid w:val="004F2756"/>
    <w:rsid w:val="004F2FBA"/>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A5"/>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2DC"/>
    <w:rsid w:val="0057438B"/>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B47"/>
    <w:rsid w:val="00585F8F"/>
    <w:rsid w:val="0058659A"/>
    <w:rsid w:val="0058677B"/>
    <w:rsid w:val="005876BE"/>
    <w:rsid w:val="00587CEC"/>
    <w:rsid w:val="005906D8"/>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6EFB"/>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E22"/>
    <w:rsid w:val="005E5F02"/>
    <w:rsid w:val="005E64E1"/>
    <w:rsid w:val="005E7450"/>
    <w:rsid w:val="005E7BB2"/>
    <w:rsid w:val="005F03CE"/>
    <w:rsid w:val="005F0D12"/>
    <w:rsid w:val="005F0FFB"/>
    <w:rsid w:val="005F18B9"/>
    <w:rsid w:val="005F1917"/>
    <w:rsid w:val="005F1E2A"/>
    <w:rsid w:val="005F2B2F"/>
    <w:rsid w:val="005F374B"/>
    <w:rsid w:val="005F4573"/>
    <w:rsid w:val="005F49E0"/>
    <w:rsid w:val="005F4B28"/>
    <w:rsid w:val="005F4DBB"/>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0FA"/>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5A4A"/>
    <w:rsid w:val="00616091"/>
    <w:rsid w:val="0061648E"/>
    <w:rsid w:val="00617352"/>
    <w:rsid w:val="0061742F"/>
    <w:rsid w:val="006175A1"/>
    <w:rsid w:val="006201F2"/>
    <w:rsid w:val="006206F4"/>
    <w:rsid w:val="006208D8"/>
    <w:rsid w:val="00620ABE"/>
    <w:rsid w:val="00620E09"/>
    <w:rsid w:val="00621603"/>
    <w:rsid w:val="006226D7"/>
    <w:rsid w:val="00622773"/>
    <w:rsid w:val="00622F48"/>
    <w:rsid w:val="00622FE8"/>
    <w:rsid w:val="00623216"/>
    <w:rsid w:val="006232CA"/>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81E"/>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165"/>
    <w:rsid w:val="006665D2"/>
    <w:rsid w:val="00666CA5"/>
    <w:rsid w:val="0066712E"/>
    <w:rsid w:val="00667CCB"/>
    <w:rsid w:val="006703E1"/>
    <w:rsid w:val="00670FB5"/>
    <w:rsid w:val="00671F3F"/>
    <w:rsid w:val="00672824"/>
    <w:rsid w:val="00672ABA"/>
    <w:rsid w:val="00672E41"/>
    <w:rsid w:val="00672FF7"/>
    <w:rsid w:val="006736F2"/>
    <w:rsid w:val="00673EF9"/>
    <w:rsid w:val="0067407E"/>
    <w:rsid w:val="00674883"/>
    <w:rsid w:val="00675990"/>
    <w:rsid w:val="006774CD"/>
    <w:rsid w:val="00677A87"/>
    <w:rsid w:val="0068066D"/>
    <w:rsid w:val="006818F8"/>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3D85"/>
    <w:rsid w:val="006A426A"/>
    <w:rsid w:val="006A42CA"/>
    <w:rsid w:val="006A44FA"/>
    <w:rsid w:val="006A4603"/>
    <w:rsid w:val="006A4B08"/>
    <w:rsid w:val="006A50EF"/>
    <w:rsid w:val="006A55D2"/>
    <w:rsid w:val="006A5BCC"/>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0EF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293D"/>
    <w:rsid w:val="006E3539"/>
    <w:rsid w:val="006E35D4"/>
    <w:rsid w:val="006E40B4"/>
    <w:rsid w:val="006E4549"/>
    <w:rsid w:val="006E5854"/>
    <w:rsid w:val="006E62E9"/>
    <w:rsid w:val="006E6649"/>
    <w:rsid w:val="006E66BE"/>
    <w:rsid w:val="006E7BC0"/>
    <w:rsid w:val="006F043C"/>
    <w:rsid w:val="006F0BA2"/>
    <w:rsid w:val="006F0FFA"/>
    <w:rsid w:val="006F1346"/>
    <w:rsid w:val="006F1CA8"/>
    <w:rsid w:val="006F2A3A"/>
    <w:rsid w:val="006F2AD8"/>
    <w:rsid w:val="006F2B0F"/>
    <w:rsid w:val="006F3164"/>
    <w:rsid w:val="006F31F8"/>
    <w:rsid w:val="006F3485"/>
    <w:rsid w:val="006F3914"/>
    <w:rsid w:val="006F39AD"/>
    <w:rsid w:val="006F3A86"/>
    <w:rsid w:val="006F4026"/>
    <w:rsid w:val="006F4560"/>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525"/>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1FD8"/>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826"/>
    <w:rsid w:val="00767B72"/>
    <w:rsid w:val="00767DB5"/>
    <w:rsid w:val="007704C7"/>
    <w:rsid w:val="00770AFC"/>
    <w:rsid w:val="00771113"/>
    <w:rsid w:val="00771543"/>
    <w:rsid w:val="00771DE5"/>
    <w:rsid w:val="00771E0F"/>
    <w:rsid w:val="007720C4"/>
    <w:rsid w:val="007722C9"/>
    <w:rsid w:val="00772542"/>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0183"/>
    <w:rsid w:val="0079178A"/>
    <w:rsid w:val="00791E20"/>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590"/>
    <w:rsid w:val="007B565B"/>
    <w:rsid w:val="007B5C69"/>
    <w:rsid w:val="007B5DBC"/>
    <w:rsid w:val="007B6CC7"/>
    <w:rsid w:val="007B738D"/>
    <w:rsid w:val="007B7725"/>
    <w:rsid w:val="007B7726"/>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4E7E"/>
    <w:rsid w:val="007C5406"/>
    <w:rsid w:val="007C5AFE"/>
    <w:rsid w:val="007C5FF7"/>
    <w:rsid w:val="007C6C90"/>
    <w:rsid w:val="007C6DF4"/>
    <w:rsid w:val="007C706A"/>
    <w:rsid w:val="007C799F"/>
    <w:rsid w:val="007C79A1"/>
    <w:rsid w:val="007C7D4C"/>
    <w:rsid w:val="007D041A"/>
    <w:rsid w:val="007D1813"/>
    <w:rsid w:val="007D1FB5"/>
    <w:rsid w:val="007D2522"/>
    <w:rsid w:val="007D2936"/>
    <w:rsid w:val="007D2EDC"/>
    <w:rsid w:val="007D4D6E"/>
    <w:rsid w:val="007D5F67"/>
    <w:rsid w:val="007D64A7"/>
    <w:rsid w:val="007D673C"/>
    <w:rsid w:val="007D6DC1"/>
    <w:rsid w:val="007D7372"/>
    <w:rsid w:val="007D7D37"/>
    <w:rsid w:val="007E081E"/>
    <w:rsid w:val="007E1523"/>
    <w:rsid w:val="007E2142"/>
    <w:rsid w:val="007E2349"/>
    <w:rsid w:val="007E2E1B"/>
    <w:rsid w:val="007E43C4"/>
    <w:rsid w:val="007E4A90"/>
    <w:rsid w:val="007E4A9C"/>
    <w:rsid w:val="007E55CB"/>
    <w:rsid w:val="007E6163"/>
    <w:rsid w:val="007E6D61"/>
    <w:rsid w:val="007E72DA"/>
    <w:rsid w:val="007E78CD"/>
    <w:rsid w:val="007E7D27"/>
    <w:rsid w:val="007F053D"/>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55"/>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27F62"/>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9"/>
    <w:rsid w:val="008450DC"/>
    <w:rsid w:val="008457B7"/>
    <w:rsid w:val="00845C27"/>
    <w:rsid w:val="008464D7"/>
    <w:rsid w:val="0084659D"/>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56C2"/>
    <w:rsid w:val="0087645A"/>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3EEF"/>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556"/>
    <w:rsid w:val="008B5685"/>
    <w:rsid w:val="008B59A8"/>
    <w:rsid w:val="008B62D1"/>
    <w:rsid w:val="008B688E"/>
    <w:rsid w:val="008B6F00"/>
    <w:rsid w:val="008C0E2A"/>
    <w:rsid w:val="008C1315"/>
    <w:rsid w:val="008C1638"/>
    <w:rsid w:val="008C1C71"/>
    <w:rsid w:val="008C33E4"/>
    <w:rsid w:val="008C3B7F"/>
    <w:rsid w:val="008C42F3"/>
    <w:rsid w:val="008C453E"/>
    <w:rsid w:val="008C490F"/>
    <w:rsid w:val="008C499E"/>
    <w:rsid w:val="008C4D1B"/>
    <w:rsid w:val="008C51FD"/>
    <w:rsid w:val="008C5745"/>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2AC"/>
    <w:rsid w:val="008E63A0"/>
    <w:rsid w:val="008E671D"/>
    <w:rsid w:val="008E6F1C"/>
    <w:rsid w:val="008E779F"/>
    <w:rsid w:val="008E7CC7"/>
    <w:rsid w:val="008E7D51"/>
    <w:rsid w:val="008E7F6F"/>
    <w:rsid w:val="008F0749"/>
    <w:rsid w:val="008F0921"/>
    <w:rsid w:val="008F0AB7"/>
    <w:rsid w:val="008F1E4D"/>
    <w:rsid w:val="008F228D"/>
    <w:rsid w:val="008F2AFD"/>
    <w:rsid w:val="008F2F21"/>
    <w:rsid w:val="008F3304"/>
    <w:rsid w:val="008F3708"/>
    <w:rsid w:val="008F386A"/>
    <w:rsid w:val="008F400E"/>
    <w:rsid w:val="008F4C08"/>
    <w:rsid w:val="008F4F5B"/>
    <w:rsid w:val="008F5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076C2"/>
    <w:rsid w:val="00910BDE"/>
    <w:rsid w:val="00911305"/>
    <w:rsid w:val="009114A7"/>
    <w:rsid w:val="009119A3"/>
    <w:rsid w:val="00911C55"/>
    <w:rsid w:val="0091251A"/>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3A5"/>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B31"/>
    <w:rsid w:val="009A0F54"/>
    <w:rsid w:val="009A1044"/>
    <w:rsid w:val="009A13CA"/>
    <w:rsid w:val="009A1738"/>
    <w:rsid w:val="009A1A9F"/>
    <w:rsid w:val="009A1BD4"/>
    <w:rsid w:val="009A20D3"/>
    <w:rsid w:val="009A2731"/>
    <w:rsid w:val="009A2AB2"/>
    <w:rsid w:val="009A4CBF"/>
    <w:rsid w:val="009A4D83"/>
    <w:rsid w:val="009A576E"/>
    <w:rsid w:val="009A5C22"/>
    <w:rsid w:val="009A5C6C"/>
    <w:rsid w:val="009A6789"/>
    <w:rsid w:val="009A6ABA"/>
    <w:rsid w:val="009A709A"/>
    <w:rsid w:val="009A757D"/>
    <w:rsid w:val="009A7ACC"/>
    <w:rsid w:val="009B06B4"/>
    <w:rsid w:val="009B0A3A"/>
    <w:rsid w:val="009B131E"/>
    <w:rsid w:val="009B180C"/>
    <w:rsid w:val="009B2347"/>
    <w:rsid w:val="009B32F5"/>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0C44"/>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AE0"/>
    <w:rsid w:val="009F6E75"/>
    <w:rsid w:val="009F704C"/>
    <w:rsid w:val="009F763C"/>
    <w:rsid w:val="009F77F8"/>
    <w:rsid w:val="00A006BE"/>
    <w:rsid w:val="00A017D8"/>
    <w:rsid w:val="00A020E5"/>
    <w:rsid w:val="00A02E1B"/>
    <w:rsid w:val="00A03452"/>
    <w:rsid w:val="00A041EE"/>
    <w:rsid w:val="00A04DC4"/>
    <w:rsid w:val="00A04ED0"/>
    <w:rsid w:val="00A06811"/>
    <w:rsid w:val="00A07350"/>
    <w:rsid w:val="00A0738B"/>
    <w:rsid w:val="00A074C0"/>
    <w:rsid w:val="00A07CF5"/>
    <w:rsid w:val="00A07D34"/>
    <w:rsid w:val="00A07EC9"/>
    <w:rsid w:val="00A11142"/>
    <w:rsid w:val="00A113BB"/>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153"/>
    <w:rsid w:val="00A23494"/>
    <w:rsid w:val="00A234EE"/>
    <w:rsid w:val="00A24C46"/>
    <w:rsid w:val="00A24D69"/>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922"/>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0D10"/>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67D46"/>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46C0"/>
    <w:rsid w:val="00A85228"/>
    <w:rsid w:val="00A87D09"/>
    <w:rsid w:val="00A87F68"/>
    <w:rsid w:val="00A87FC4"/>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2CB6"/>
    <w:rsid w:val="00AA3361"/>
    <w:rsid w:val="00AA39FA"/>
    <w:rsid w:val="00AA4250"/>
    <w:rsid w:val="00AA453A"/>
    <w:rsid w:val="00AA47CD"/>
    <w:rsid w:val="00AA4ECC"/>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1BBA"/>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611"/>
    <w:rsid w:val="00AE08A9"/>
    <w:rsid w:val="00AE08F6"/>
    <w:rsid w:val="00AE09BC"/>
    <w:rsid w:val="00AE0B35"/>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0C0"/>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3A84"/>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D2C"/>
    <w:rsid w:val="00B26F99"/>
    <w:rsid w:val="00B27916"/>
    <w:rsid w:val="00B27D4C"/>
    <w:rsid w:val="00B31850"/>
    <w:rsid w:val="00B31A36"/>
    <w:rsid w:val="00B31BED"/>
    <w:rsid w:val="00B32071"/>
    <w:rsid w:val="00B32A88"/>
    <w:rsid w:val="00B331CD"/>
    <w:rsid w:val="00B33235"/>
    <w:rsid w:val="00B332AF"/>
    <w:rsid w:val="00B33426"/>
    <w:rsid w:val="00B335D2"/>
    <w:rsid w:val="00B33E90"/>
    <w:rsid w:val="00B33FA9"/>
    <w:rsid w:val="00B3492D"/>
    <w:rsid w:val="00B34B13"/>
    <w:rsid w:val="00B3561C"/>
    <w:rsid w:val="00B35722"/>
    <w:rsid w:val="00B35743"/>
    <w:rsid w:val="00B357CB"/>
    <w:rsid w:val="00B35FF5"/>
    <w:rsid w:val="00B3606C"/>
    <w:rsid w:val="00B36D68"/>
    <w:rsid w:val="00B4044B"/>
    <w:rsid w:val="00B40650"/>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56DF3"/>
    <w:rsid w:val="00B573E8"/>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538"/>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4C59"/>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37A"/>
    <w:rsid w:val="00BD5C4F"/>
    <w:rsid w:val="00BD5EE2"/>
    <w:rsid w:val="00BD6E12"/>
    <w:rsid w:val="00BD72CC"/>
    <w:rsid w:val="00BD7A0C"/>
    <w:rsid w:val="00BD7BCB"/>
    <w:rsid w:val="00BE042E"/>
    <w:rsid w:val="00BE0660"/>
    <w:rsid w:val="00BE17E3"/>
    <w:rsid w:val="00BE18DF"/>
    <w:rsid w:val="00BE1C44"/>
    <w:rsid w:val="00BE2326"/>
    <w:rsid w:val="00BE374A"/>
    <w:rsid w:val="00BE3A41"/>
    <w:rsid w:val="00BE42FC"/>
    <w:rsid w:val="00BE5001"/>
    <w:rsid w:val="00BE578C"/>
    <w:rsid w:val="00BE7107"/>
    <w:rsid w:val="00BE72F2"/>
    <w:rsid w:val="00BE79AD"/>
    <w:rsid w:val="00BE7B31"/>
    <w:rsid w:val="00BE7B44"/>
    <w:rsid w:val="00BE7C13"/>
    <w:rsid w:val="00BE7DDB"/>
    <w:rsid w:val="00BF0543"/>
    <w:rsid w:val="00BF0B3F"/>
    <w:rsid w:val="00BF24E8"/>
    <w:rsid w:val="00BF297C"/>
    <w:rsid w:val="00BF37B7"/>
    <w:rsid w:val="00BF423F"/>
    <w:rsid w:val="00BF4883"/>
    <w:rsid w:val="00BF4E98"/>
    <w:rsid w:val="00BF5386"/>
    <w:rsid w:val="00BF546E"/>
    <w:rsid w:val="00BF54E8"/>
    <w:rsid w:val="00BF6C46"/>
    <w:rsid w:val="00BF7273"/>
    <w:rsid w:val="00BF7EB4"/>
    <w:rsid w:val="00C0080D"/>
    <w:rsid w:val="00C00919"/>
    <w:rsid w:val="00C0105A"/>
    <w:rsid w:val="00C01215"/>
    <w:rsid w:val="00C01436"/>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A49"/>
    <w:rsid w:val="00C20D24"/>
    <w:rsid w:val="00C21DE5"/>
    <w:rsid w:val="00C225E6"/>
    <w:rsid w:val="00C250BB"/>
    <w:rsid w:val="00C265F8"/>
    <w:rsid w:val="00C26903"/>
    <w:rsid w:val="00C2694A"/>
    <w:rsid w:val="00C26D60"/>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138"/>
    <w:rsid w:val="00C47FAF"/>
    <w:rsid w:val="00C502FE"/>
    <w:rsid w:val="00C503E7"/>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003"/>
    <w:rsid w:val="00C76387"/>
    <w:rsid w:val="00C76435"/>
    <w:rsid w:val="00C767AE"/>
    <w:rsid w:val="00C76FCB"/>
    <w:rsid w:val="00C77223"/>
    <w:rsid w:val="00C77445"/>
    <w:rsid w:val="00C77A61"/>
    <w:rsid w:val="00C77A73"/>
    <w:rsid w:val="00C80AE1"/>
    <w:rsid w:val="00C8158D"/>
    <w:rsid w:val="00C818CF"/>
    <w:rsid w:val="00C81CF0"/>
    <w:rsid w:val="00C82125"/>
    <w:rsid w:val="00C829A1"/>
    <w:rsid w:val="00C82EE4"/>
    <w:rsid w:val="00C82F98"/>
    <w:rsid w:val="00C83231"/>
    <w:rsid w:val="00C8341E"/>
    <w:rsid w:val="00C83A82"/>
    <w:rsid w:val="00C8410E"/>
    <w:rsid w:val="00C84650"/>
    <w:rsid w:val="00C85460"/>
    <w:rsid w:val="00C859A1"/>
    <w:rsid w:val="00C85C59"/>
    <w:rsid w:val="00C86D71"/>
    <w:rsid w:val="00C8707C"/>
    <w:rsid w:val="00C8714C"/>
    <w:rsid w:val="00C87747"/>
    <w:rsid w:val="00C877D5"/>
    <w:rsid w:val="00C908F2"/>
    <w:rsid w:val="00C9106C"/>
    <w:rsid w:val="00C91A57"/>
    <w:rsid w:val="00C91E1F"/>
    <w:rsid w:val="00C92104"/>
    <w:rsid w:val="00C9212A"/>
    <w:rsid w:val="00C935E4"/>
    <w:rsid w:val="00C93FEA"/>
    <w:rsid w:val="00C944D4"/>
    <w:rsid w:val="00C945C4"/>
    <w:rsid w:val="00C95B1E"/>
    <w:rsid w:val="00C964C6"/>
    <w:rsid w:val="00C96F57"/>
    <w:rsid w:val="00C971F1"/>
    <w:rsid w:val="00C97C12"/>
    <w:rsid w:val="00CA03AC"/>
    <w:rsid w:val="00CA0D48"/>
    <w:rsid w:val="00CA0ECD"/>
    <w:rsid w:val="00CA131C"/>
    <w:rsid w:val="00CA1B99"/>
    <w:rsid w:val="00CA1E10"/>
    <w:rsid w:val="00CA2A08"/>
    <w:rsid w:val="00CA2E0E"/>
    <w:rsid w:val="00CA3AC0"/>
    <w:rsid w:val="00CA45F0"/>
    <w:rsid w:val="00CA485B"/>
    <w:rsid w:val="00CA4E84"/>
    <w:rsid w:val="00CA5BE6"/>
    <w:rsid w:val="00CA688A"/>
    <w:rsid w:val="00CA7709"/>
    <w:rsid w:val="00CB0067"/>
    <w:rsid w:val="00CB05CB"/>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4D5"/>
    <w:rsid w:val="00CD7A9B"/>
    <w:rsid w:val="00CD7E3E"/>
    <w:rsid w:val="00CE0489"/>
    <w:rsid w:val="00CE0B41"/>
    <w:rsid w:val="00CE0E4F"/>
    <w:rsid w:val="00CE133D"/>
    <w:rsid w:val="00CE151E"/>
    <w:rsid w:val="00CE1746"/>
    <w:rsid w:val="00CE1A8E"/>
    <w:rsid w:val="00CE1B25"/>
    <w:rsid w:val="00CE206A"/>
    <w:rsid w:val="00CE21A6"/>
    <w:rsid w:val="00CE230A"/>
    <w:rsid w:val="00CE335D"/>
    <w:rsid w:val="00CE349E"/>
    <w:rsid w:val="00CE3842"/>
    <w:rsid w:val="00CE6847"/>
    <w:rsid w:val="00CE6B86"/>
    <w:rsid w:val="00CE7875"/>
    <w:rsid w:val="00CF00DE"/>
    <w:rsid w:val="00CF075F"/>
    <w:rsid w:val="00CF0D61"/>
    <w:rsid w:val="00CF1356"/>
    <w:rsid w:val="00CF189F"/>
    <w:rsid w:val="00CF1908"/>
    <w:rsid w:val="00CF1A93"/>
    <w:rsid w:val="00CF20C9"/>
    <w:rsid w:val="00CF298D"/>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391"/>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1E26"/>
    <w:rsid w:val="00D12783"/>
    <w:rsid w:val="00D12C27"/>
    <w:rsid w:val="00D12E55"/>
    <w:rsid w:val="00D1322A"/>
    <w:rsid w:val="00D13862"/>
    <w:rsid w:val="00D13B49"/>
    <w:rsid w:val="00D13C71"/>
    <w:rsid w:val="00D14040"/>
    <w:rsid w:val="00D14828"/>
    <w:rsid w:val="00D14F8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BBB"/>
    <w:rsid w:val="00D26D35"/>
    <w:rsid w:val="00D2755D"/>
    <w:rsid w:val="00D279AB"/>
    <w:rsid w:val="00D27DCB"/>
    <w:rsid w:val="00D305E0"/>
    <w:rsid w:val="00D3162A"/>
    <w:rsid w:val="00D31E68"/>
    <w:rsid w:val="00D34024"/>
    <w:rsid w:val="00D345A9"/>
    <w:rsid w:val="00D34705"/>
    <w:rsid w:val="00D35C08"/>
    <w:rsid w:val="00D35F1E"/>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4FC3"/>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57CAE"/>
    <w:rsid w:val="00D6081B"/>
    <w:rsid w:val="00D609FB"/>
    <w:rsid w:val="00D6118F"/>
    <w:rsid w:val="00D61D4D"/>
    <w:rsid w:val="00D62239"/>
    <w:rsid w:val="00D637B0"/>
    <w:rsid w:val="00D639A3"/>
    <w:rsid w:val="00D6426B"/>
    <w:rsid w:val="00D65AB1"/>
    <w:rsid w:val="00D65C79"/>
    <w:rsid w:val="00D669E8"/>
    <w:rsid w:val="00D67741"/>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77A"/>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0ABD"/>
    <w:rsid w:val="00E0137F"/>
    <w:rsid w:val="00E013BB"/>
    <w:rsid w:val="00E0149B"/>
    <w:rsid w:val="00E0178F"/>
    <w:rsid w:val="00E01AE6"/>
    <w:rsid w:val="00E021A1"/>
    <w:rsid w:val="00E027D7"/>
    <w:rsid w:val="00E0320F"/>
    <w:rsid w:val="00E03AC8"/>
    <w:rsid w:val="00E0431B"/>
    <w:rsid w:val="00E04EBE"/>
    <w:rsid w:val="00E07C7E"/>
    <w:rsid w:val="00E07D97"/>
    <w:rsid w:val="00E07FF6"/>
    <w:rsid w:val="00E103F8"/>
    <w:rsid w:val="00E10680"/>
    <w:rsid w:val="00E1092A"/>
    <w:rsid w:val="00E10AA8"/>
    <w:rsid w:val="00E1186D"/>
    <w:rsid w:val="00E125D6"/>
    <w:rsid w:val="00E129BB"/>
    <w:rsid w:val="00E12A1A"/>
    <w:rsid w:val="00E1361B"/>
    <w:rsid w:val="00E13E91"/>
    <w:rsid w:val="00E13F42"/>
    <w:rsid w:val="00E1424B"/>
    <w:rsid w:val="00E14302"/>
    <w:rsid w:val="00E14B99"/>
    <w:rsid w:val="00E16405"/>
    <w:rsid w:val="00E170D5"/>
    <w:rsid w:val="00E17461"/>
    <w:rsid w:val="00E178D8"/>
    <w:rsid w:val="00E17D52"/>
    <w:rsid w:val="00E20A49"/>
    <w:rsid w:val="00E2127D"/>
    <w:rsid w:val="00E2160D"/>
    <w:rsid w:val="00E21883"/>
    <w:rsid w:val="00E2196B"/>
    <w:rsid w:val="00E21AF4"/>
    <w:rsid w:val="00E22781"/>
    <w:rsid w:val="00E229B9"/>
    <w:rsid w:val="00E22B64"/>
    <w:rsid w:val="00E24DAB"/>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55F4"/>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75"/>
    <w:rsid w:val="00E469BA"/>
    <w:rsid w:val="00E46B3C"/>
    <w:rsid w:val="00E47F5A"/>
    <w:rsid w:val="00E502C9"/>
    <w:rsid w:val="00E50D5D"/>
    <w:rsid w:val="00E50EA6"/>
    <w:rsid w:val="00E510E6"/>
    <w:rsid w:val="00E51643"/>
    <w:rsid w:val="00E51AA6"/>
    <w:rsid w:val="00E51DB7"/>
    <w:rsid w:val="00E5206D"/>
    <w:rsid w:val="00E525BC"/>
    <w:rsid w:val="00E528EA"/>
    <w:rsid w:val="00E52A66"/>
    <w:rsid w:val="00E52B27"/>
    <w:rsid w:val="00E545A9"/>
    <w:rsid w:val="00E54DEB"/>
    <w:rsid w:val="00E54E79"/>
    <w:rsid w:val="00E55419"/>
    <w:rsid w:val="00E55440"/>
    <w:rsid w:val="00E55920"/>
    <w:rsid w:val="00E561E1"/>
    <w:rsid w:val="00E566FE"/>
    <w:rsid w:val="00E56794"/>
    <w:rsid w:val="00E570EB"/>
    <w:rsid w:val="00E57967"/>
    <w:rsid w:val="00E6005D"/>
    <w:rsid w:val="00E604FC"/>
    <w:rsid w:val="00E63877"/>
    <w:rsid w:val="00E63AAF"/>
    <w:rsid w:val="00E640C8"/>
    <w:rsid w:val="00E64B6B"/>
    <w:rsid w:val="00E650BB"/>
    <w:rsid w:val="00E65D32"/>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01B"/>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722"/>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6C4"/>
    <w:rsid w:val="00EC572B"/>
    <w:rsid w:val="00EC5B19"/>
    <w:rsid w:val="00EC77A9"/>
    <w:rsid w:val="00ED0427"/>
    <w:rsid w:val="00ED0F3F"/>
    <w:rsid w:val="00ED24C6"/>
    <w:rsid w:val="00ED3257"/>
    <w:rsid w:val="00ED379F"/>
    <w:rsid w:val="00ED4D30"/>
    <w:rsid w:val="00ED57C6"/>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5FAB"/>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2A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0A9A"/>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1DF"/>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5970"/>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645"/>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6EEE"/>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041"/>
    <w:rsid w:val="00FA3C08"/>
    <w:rsid w:val="00FA3D03"/>
    <w:rsid w:val="00FA4610"/>
    <w:rsid w:val="00FA4CB8"/>
    <w:rsid w:val="00FA5075"/>
    <w:rsid w:val="00FA58C5"/>
    <w:rsid w:val="00FA5DB3"/>
    <w:rsid w:val="00FA6C69"/>
    <w:rsid w:val="00FA6E2B"/>
    <w:rsid w:val="00FA753D"/>
    <w:rsid w:val="00FA7716"/>
    <w:rsid w:val="00FA78DF"/>
    <w:rsid w:val="00FB05B9"/>
    <w:rsid w:val="00FB05C8"/>
    <w:rsid w:val="00FB108C"/>
    <w:rsid w:val="00FB16E1"/>
    <w:rsid w:val="00FB1882"/>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383"/>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A876F"/>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9069-220B-48AF-8E73-93C03895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9390</Words>
  <Characters>53525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62790</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5</cp:revision>
  <cp:lastPrinted>2020-02-28T12:27:00Z</cp:lastPrinted>
  <dcterms:created xsi:type="dcterms:W3CDTF">2020-11-19T20:26:00Z</dcterms:created>
  <dcterms:modified xsi:type="dcterms:W3CDTF">2021-02-16T10:31:00Z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