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5FBE60B0"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w:t>
      </w:r>
      <w:proofErr w:type="spellStart"/>
      <w:r w:rsidR="00D52E5F">
        <w:rPr>
          <w:rFonts w:cstheme="majorBidi"/>
        </w:rPr>
        <w:t>dunal</w:t>
      </w:r>
      <w:proofErr w:type="spellEnd"/>
      <w:r w:rsidR="00D52E5F">
        <w:rPr>
          <w:rFonts w:cstheme="majorBidi"/>
        </w:rPr>
        <w:t xml:space="preserve">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DA57D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DA57D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r w:rsidR="0062793F">
        <w:rPr>
          <w:highlight w:val="yellow"/>
        </w:rPr>
        <w:t>i</w:t>
      </w:r>
      <w:r w:rsidR="004066C3" w:rsidRPr="00BE0660">
        <w:rPr>
          <w:highlight w:val="yellow"/>
        </w:rPr>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EB766FD"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w:t>
      </w:r>
      <w:r w:rsidR="00887059">
        <w:lastRenderedPageBreak/>
        <w:t xml:space="preserve">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9012639"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unit area is similar at the QDS- (Figure 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2b;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604263">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543D1C1" w:rsidR="002C32D6" w:rsidRPr="003F5B2B" w:rsidRDefault="002C32D6" w:rsidP="002C32D6">
      <w:pPr>
        <w:pStyle w:val="BodyText"/>
        <w:rPr>
          <w:i/>
        </w:rPr>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Figure 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t>2d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51E3E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807C54">
        <w:rPr>
          <w:rFonts w:eastAsiaTheme="minorEastAsia" w:cstheme="majorBidi"/>
          <w:highlight w:val="yellow"/>
        </w:rPr>
        <w:t xml:space="preserve">see also Figure </w:t>
      </w:r>
      <w:r w:rsidR="00CE206A">
        <w:rPr>
          <w:rFonts w:eastAsiaTheme="minorEastAsia" w:cstheme="majorBidi"/>
          <w:highlight w:val="yellow"/>
        </w:rPr>
        <w:t>3a</w:t>
      </w:r>
      <w:r w:rsidR="00B2312C">
        <w:rPr>
          <w:rFonts w:eastAsiaTheme="minorEastAsia" w:cstheme="majorBidi"/>
        </w:rPr>
        <w:t>)</w:t>
      </w:r>
      <w:r w:rsidR="001A7D58">
        <w:rPr>
          <w:rFonts w:eastAsiaTheme="minorEastAsia" w:cstheme="majorBidi"/>
        </w:rPr>
        <w:t>.</w:t>
      </w:r>
    </w:p>
    <w:p w14:paraId="6B93ECCA" w14:textId="4A934683"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32574D">
        <w:t xml:space="preserve">. </w:t>
      </w:r>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main effects of these variables.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AC23230"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Figure 5</w:t>
      </w:r>
      <w:r w:rsidR="005D74C8" w:rsidRPr="005D74C8">
        <w:t>e–h</w:t>
      </w:r>
      <w:r w:rsidR="001B4B9F" w:rsidRPr="00514C5C">
        <w:t xml:space="preserve">; </w:t>
      </w:r>
      <w:r w:rsidR="004C30F1" w:rsidRPr="00514C5C">
        <w:t>S</w:t>
      </w:r>
      <w:r w:rsidR="00514C5C" w:rsidRPr="00514C5C">
        <w:t>5e–h; S6e–h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S8,</w:t>
      </w:r>
      <w:r w:rsidR="00534FEC">
        <w:t>S</w:t>
      </w:r>
      <w:r w:rsidR="007D7372">
        <w:t>9)</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 xml:space="preserve">. </w:t>
      </w:r>
      <w:r w:rsidR="002531F6">
        <w:t>[</w:t>
      </w:r>
      <w:r w:rsidR="00F4584C" w:rsidRPr="00F4584C">
        <w:rPr>
          <w:highlight w:val="yellow"/>
        </w:rPr>
        <w:t>Mention/describe:</w:t>
      </w:r>
      <w:r w:rsidR="00F4584C">
        <w:t xml:space="preserve"> </w:t>
      </w:r>
      <w:r w:rsidR="002531F6" w:rsidRPr="002531F6">
        <w:rPr>
          <w:highlight w:val="yellow"/>
        </w:rPr>
        <w:t>F-test results</w:t>
      </w:r>
      <w:r w:rsidR="008B06C2">
        <w:rPr>
          <w:highlight w:val="yellow"/>
        </w:rPr>
        <w:t xml:space="preserve"> for SD of residuals</w:t>
      </w:r>
      <w:r w:rsidR="00CF6CA1">
        <w:t xml:space="preserve"> (</w:t>
      </w:r>
      <w:r w:rsidR="00272EF5" w:rsidRPr="006208D8">
        <w:rPr>
          <w:highlight w:val="yellow"/>
        </w:rPr>
        <w:t>Table S4</w:t>
      </w:r>
      <w:r w:rsidR="00CF6CA1">
        <w:t>)</w:t>
      </w:r>
      <w:r w:rsidR="002531F6">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9"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w:t>
      </w:r>
      <w:r w:rsidR="00925DAC">
        <w:lastRenderedPageBreak/>
        <w:t>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0"/>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0"/>
      <w:r w:rsidR="00A57067">
        <w:rPr>
          <w:rStyle w:val="CommentReference"/>
          <w:rFonts w:ascii="Times New Roman" w:hAnsiTheme="minorHAnsi"/>
        </w:rPr>
        <w:commentReference w:id="10"/>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lastRenderedPageBreak/>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11"/>
      <w:r w:rsidR="002D35E5">
        <w:t>2017</w:t>
      </w:r>
      <w:commentRangeEnd w:id="11"/>
      <w:r w:rsidR="00AD171B">
        <w:rPr>
          <w:rStyle w:val="CommentReference"/>
          <w:rFonts w:ascii="Times New Roman" w:hAnsiTheme="minorHAnsi"/>
        </w:rPr>
        <w:commentReference w:id="11"/>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 xml:space="preserve">pollen and midden-based isotope data provide evidence of relatively muted Pleistocene climate </w:t>
      </w:r>
      <w:r w:rsidR="008E7CC7">
        <w:lastRenderedPageBreak/>
        <w:t>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12"/>
      <w:r w:rsidR="00C250BB">
        <w:t>2018</w:t>
      </w:r>
      <w:commentRangeEnd w:id="12"/>
      <w:r w:rsidR="00D72F4D">
        <w:rPr>
          <w:rStyle w:val="CommentReference"/>
          <w:rFonts w:ascii="Times New Roman" w:hAnsiTheme="minorHAnsi"/>
        </w:rPr>
        <w:commentReference w:id="12"/>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9"/>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3"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These three linear models are presented in Table 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bookmarkStart w:id="14" w:name="_GoBack"/>
      <w:bookmarkEnd w:id="14"/>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E7325B">
        <w:t>).</w:t>
      </w:r>
      <w:r w:rsidR="00F614B4">
        <w:br w:type="page"/>
      </w:r>
      <w:bookmarkStart w:id="15"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5938AC58">
            <wp:extent cx="5145000"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6E4549">
        <w:br w:type="page"/>
      </w:r>
    </w:p>
    <w:p w14:paraId="20EF5617" w14:textId="1B809AAC"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w:t>
      </w:r>
      <w:proofErr w:type="spellStart"/>
      <w:r w:rsidR="008C1315">
        <w:t>Colour</w:t>
      </w:r>
      <w:proofErr w:type="spellEnd"/>
      <w:r w:rsidR="008C1315">
        <w:t xml:space="preserve"> versions of these maps, and the </w:t>
      </w:r>
      <w:r w:rsidR="00C9106C">
        <w:t xml:space="preserve">QDS- and DS-scale equivalents </w:t>
      </w:r>
      <w:r w:rsidR="008C1315">
        <w:t xml:space="preserve">(Figure S5,S6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5"/>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F8403E" w:rsidRDefault="00F8403E">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713185B3" w:rsidR="00F8403E" w:rsidRDefault="00F8403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5" w:author="Ruan Van Mazijk" w:date="2019-10-07T15:43:00Z" w:initials="RVM">
    <w:p w14:paraId="50E697F5" w14:textId="121413FD" w:rsidR="00F8403E" w:rsidRDefault="00F8403E">
      <w:pPr>
        <w:pStyle w:val="CommentText"/>
      </w:pPr>
      <w:r>
        <w:rPr>
          <w:rStyle w:val="CommentReference"/>
        </w:rPr>
        <w:annotationRef/>
      </w:r>
      <w:r>
        <w:t>This is a good point</w:t>
      </w:r>
      <w:r>
        <w:t>…</w:t>
      </w:r>
      <w:r>
        <w:t xml:space="preserve"> Shall we chat more about this at some point?</w:t>
      </w:r>
    </w:p>
  </w:comment>
  <w:comment w:id="10" w:author="Michael Cramer" w:date="2019-12-03T08:28:00Z" w:initials="MC">
    <w:p w14:paraId="7BAA7050" w14:textId="1B13D596" w:rsidR="00F8403E" w:rsidRDefault="00F8403E">
      <w:pPr>
        <w:pStyle w:val="CommentText"/>
      </w:pPr>
      <w:r>
        <w:rPr>
          <w:rStyle w:val="CommentReference"/>
        </w:rPr>
        <w:annotationRef/>
      </w:r>
      <w:r>
        <w:t>I am not at all convinced by this argument. Isn</w:t>
      </w:r>
      <w:r>
        <w:t>’</w:t>
      </w:r>
      <w:r>
        <w:t>t this just a necessary consequence of data aggregation?</w:t>
      </w:r>
    </w:p>
  </w:comment>
  <w:comment w:id="11" w:author="Michael Cramer" w:date="2019-12-03T08:42:00Z" w:initials="MC">
    <w:p w14:paraId="6DD55F01" w14:textId="4C4083CF" w:rsidR="00F8403E" w:rsidRDefault="00F8403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2" w:author="Michael Cramer" w:date="2019-12-03T10:43:00Z" w:initials="MC">
    <w:p w14:paraId="5F3E149F" w14:textId="3A190E4D" w:rsidR="00F8403E" w:rsidRDefault="00F8403E">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1373C" w14:textId="77777777" w:rsidR="00DA57D5" w:rsidRDefault="00DA57D5">
      <w:pPr>
        <w:spacing w:after="0"/>
      </w:pPr>
      <w:r>
        <w:separator/>
      </w:r>
    </w:p>
  </w:endnote>
  <w:endnote w:type="continuationSeparator" w:id="0">
    <w:p w14:paraId="093E9234" w14:textId="77777777" w:rsidR="00DA57D5" w:rsidRDefault="00DA57D5">
      <w:pPr>
        <w:spacing w:after="0"/>
      </w:pPr>
      <w:r>
        <w:continuationSeparator/>
      </w:r>
    </w:p>
  </w:endnote>
  <w:endnote w:type="continuationNotice" w:id="1">
    <w:p w14:paraId="5C93222F" w14:textId="77777777" w:rsidR="00DA57D5" w:rsidRDefault="00DA57D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8403E" w:rsidRDefault="00F8403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8403E" w:rsidRDefault="00F840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C303F" w14:textId="77777777" w:rsidR="00DA57D5" w:rsidRDefault="00DA57D5">
      <w:r>
        <w:separator/>
      </w:r>
    </w:p>
  </w:footnote>
  <w:footnote w:type="continuationSeparator" w:id="0">
    <w:p w14:paraId="3B8016A4" w14:textId="77777777" w:rsidR="00DA57D5" w:rsidRDefault="00DA57D5">
      <w:r>
        <w:continuationSeparator/>
      </w:r>
    </w:p>
  </w:footnote>
  <w:footnote w:type="continuationNotice" w:id="1">
    <w:p w14:paraId="384832D2" w14:textId="77777777" w:rsidR="00DA57D5" w:rsidRDefault="00DA57D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9DB"/>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4FEC"/>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D25"/>
    <w:rsid w:val="00581125"/>
    <w:rsid w:val="00581450"/>
    <w:rsid w:val="00582CFA"/>
    <w:rsid w:val="00583EAA"/>
    <w:rsid w:val="005845A2"/>
    <w:rsid w:val="00585277"/>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8D8"/>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0BD"/>
    <w:rsid w:val="009C2537"/>
    <w:rsid w:val="009C2E6A"/>
    <w:rsid w:val="009C356A"/>
    <w:rsid w:val="009C5008"/>
    <w:rsid w:val="009C6AA0"/>
    <w:rsid w:val="009C6DAC"/>
    <w:rsid w:val="009D0DC8"/>
    <w:rsid w:val="009D1A46"/>
    <w:rsid w:val="009D1AEA"/>
    <w:rsid w:val="009D1CA2"/>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D0C"/>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2B6D"/>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297C"/>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12C"/>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350F"/>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7D5"/>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674A6"/>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F9C08-B4EE-4C5A-B496-A1CE674E2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21</Pages>
  <Words>11866</Words>
  <Characters>67637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79345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308</cp:revision>
  <cp:lastPrinted>2020-01-06T10:27:00Z</cp:lastPrinted>
  <dcterms:created xsi:type="dcterms:W3CDTF">2019-12-03T09:32:00Z</dcterms:created>
  <dcterms:modified xsi:type="dcterms:W3CDTF">2020-01-08T10:02:00Z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