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4"/>
      <w:r>
        <w:t xml:space="preserve">Notwithstanding </w:t>
      </w:r>
      <w:commentRangeEnd w:id="4"/>
      <w:r w:rsidR="00BC6386">
        <w:rPr>
          <w:rStyle w:val="CommentReference"/>
          <w:rFonts w:ascii="Times New Roman" w:hAnsiTheme="minorHAnsi"/>
        </w:rPr>
        <w:commentReference w:id="4"/>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7"/>
      <w:r w:rsidR="00BC6386">
        <w:rPr>
          <w:rStyle w:val="CommentReference"/>
          <w:rFonts w:ascii="Times New Roman" w:hAnsiTheme="minorHAnsi"/>
        </w:rPr>
        <w:commentReference w:id="7"/>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w:t>
      </w:r>
      <w:proofErr w:type="spellStart"/>
      <w:r w:rsidR="00E0178F">
        <w:t>sensu</w:t>
      </w:r>
      <w:proofErr w:type="spellEnd"/>
      <w:r w:rsidR="00E0178F">
        <w:t xml:space="preserve">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500C9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500C96"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r w:rsidR="0014092A">
        <w:t>(</w:t>
      </w:r>
      <w:proofErr w:type="spellStart"/>
      <w:r w:rsidR="0014092A">
        <w:t>sensu</w:t>
      </w:r>
      <w:proofErr w:type="spellEnd"/>
      <w:r w:rsidR="0014092A">
        <w:t xml:space="preserve">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8"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8"/>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0"/>
      <w:r w:rsidR="00793F46">
        <w:t>regions</w:t>
      </w:r>
      <w:commentRangeEnd w:id="10"/>
      <w:r w:rsidR="00F5444D">
        <w:rPr>
          <w:rStyle w:val="CommentReference"/>
          <w:rFonts w:ascii="Times New Roman" w:hAnsiTheme="minorHAnsi"/>
        </w:rPr>
        <w:commentReference w:id="10"/>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1" w:name="results"/>
      <w:r>
        <w:t>3</w:t>
      </w:r>
      <w:r w:rsidR="00E4661A">
        <w:t>:</w:t>
      </w:r>
      <w:r>
        <w:t xml:space="preserve"> </w:t>
      </w:r>
      <w:r w:rsidR="00D04776">
        <w:t>Results</w:t>
      </w:r>
      <w:bookmarkEnd w:id="1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2"/>
      <w:r w:rsidRPr="006B3905">
        <w:t>(</w:t>
      </w:r>
      <w:r w:rsidR="00304EA1" w:rsidRPr="006B3905">
        <w:t xml:space="preserve">Figure </w:t>
      </w:r>
      <w:r w:rsidR="00FC2A30" w:rsidRPr="006B3905">
        <w:t>1</w:t>
      </w:r>
      <w:r w:rsidRPr="006B3905">
        <w:t xml:space="preserve">a,b). </w:t>
      </w:r>
      <w:commentRangeEnd w:id="12"/>
      <w:r w:rsidR="00F5444D">
        <w:rPr>
          <w:rStyle w:val="CommentReference"/>
          <w:rFonts w:ascii="Times New Roman" w:hAnsiTheme="minorHAnsi"/>
        </w:rPr>
        <w:commentReference w:id="12"/>
      </w:r>
      <w:r w:rsidRPr="006B3905">
        <w:t xml:space="preserve">Comparisons of species richness between the regions using two-sided </w:t>
      </w:r>
      <w:commentRangeStart w:id="13"/>
      <w:r w:rsidRPr="006B3905">
        <w:t xml:space="preserve">Mann-Whitney </w:t>
      </w:r>
      <w:r w:rsidRPr="006B3905">
        <w:rPr>
          <w:i/>
        </w:rPr>
        <w:t>U</w:t>
      </w:r>
      <w:r w:rsidR="005A1608">
        <w:t>-</w:t>
      </w:r>
      <w:r w:rsidRPr="006B3905">
        <w:t xml:space="preserve">tests </w:t>
      </w:r>
      <w:commentRangeEnd w:id="13"/>
      <w:r w:rsidR="00BC6386">
        <w:rPr>
          <w:rStyle w:val="CommentReference"/>
          <w:rFonts w:ascii="Times New Roman" w:hAnsiTheme="minorHAnsi"/>
        </w:rPr>
        <w:commentReference w:id="13"/>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4"/>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11053763"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5"/>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5"/>
      <w:r w:rsidR="00BB1C13">
        <w:rPr>
          <w:rStyle w:val="CommentReference"/>
          <w:rFonts w:ascii="Times New Roman" w:hAnsiTheme="minorHAnsi"/>
        </w:rPr>
        <w:commentReference w:id="15"/>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bookmarkStart w:id="16" w:name="_GoBack"/>
      <w:bookmarkEnd w:id="16"/>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C2DA22"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 xml:space="preserve">Table </w:t>
      </w:r>
      <w:r w:rsidR="008B0E3F">
        <w:rPr>
          <w:rFonts w:eastAsiaTheme="minorEastAsia"/>
        </w:rPr>
        <w:t>1</w:t>
      </w:r>
      <w:r w:rsidR="00983D13">
        <w:rPr>
          <w:rFonts w:eastAsiaTheme="minorEastAsia"/>
        </w:rPr>
        <w:t xml:space="preserve">b,c; </w:t>
      </w:r>
      <w:r w:rsidR="00B02E73">
        <w:rPr>
          <w:rFonts w:eastAsiaTheme="minorEastAsia"/>
        </w:rPr>
        <w:t xml:space="preserve">Figure </w:t>
      </w:r>
      <w:r w:rsidR="00FF0F3A">
        <w:rPr>
          <w:rFonts w:eastAsiaTheme="minorEastAsia"/>
        </w:rPr>
        <w:t>4</w:t>
      </w:r>
      <w:r w:rsidR="00983D13">
        <w:rPr>
          <w:rFonts w:eastAsiaTheme="minorEastAsia"/>
        </w:rPr>
        <w:t>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w:t>
      </w:r>
      <w:r w:rsidR="008B0E3F">
        <w:rPr>
          <w:rFonts w:eastAsiaTheme="minorEastAsia" w:cstheme="majorBidi"/>
        </w:rPr>
        <w:t>1</w:t>
      </w:r>
      <w:r w:rsidR="001A7D58">
        <w:rPr>
          <w:rFonts w:eastAsiaTheme="minorEastAsia" w:cstheme="majorBidi"/>
        </w:rPr>
        <w:t>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496FAE">
        <w:t>; Table S</w:t>
      </w:r>
      <w:r w:rsidR="00AF3227">
        <w:t>3</w:t>
      </w:r>
      <w:r w:rsidR="00496FAE">
        <w:t>a</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D43F6A">
        <w:rPr>
          <w:rFonts w:eastAsiaTheme="minorEastAsia" w:cstheme="majorBidi"/>
        </w:rPr>
        <w:t xml:space="preserve">see also </w:t>
      </w:r>
      <w:r w:rsidR="00B02E73">
        <w:rPr>
          <w:rFonts w:eastAsiaTheme="minorEastAsia" w:cstheme="majorBidi"/>
        </w:rPr>
        <w:t xml:space="preserve">Figure </w:t>
      </w:r>
      <w:r w:rsidR="00FF0F3A">
        <w:rPr>
          <w:rFonts w:eastAsiaTheme="minorEastAsia" w:cstheme="majorBidi"/>
        </w:rPr>
        <w:t>4</w:t>
      </w:r>
      <w:r w:rsidR="00CE206A" w:rsidRPr="00D43F6A">
        <w:rPr>
          <w:rFonts w:eastAsiaTheme="minorEastAsia" w:cstheme="majorBidi"/>
        </w:rPr>
        <w:t>a</w:t>
      </w:r>
      <w:r w:rsidR="00B2312C">
        <w:rPr>
          <w:rFonts w:eastAsiaTheme="minorEastAsia" w:cstheme="majorBidi"/>
        </w:rPr>
        <w:t>)</w:t>
      </w:r>
      <w:r w:rsidR="001A7D58">
        <w:rPr>
          <w:rFonts w:eastAsiaTheme="minorEastAsia" w:cstheme="majorBidi"/>
        </w:rPr>
        <w:t>.</w:t>
      </w:r>
    </w:p>
    <w:p w14:paraId="6B93ECCA" w14:textId="356FAAD0"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7"/>
      <w:r w:rsidR="00350FE5">
        <w:t xml:space="preserve">generally </w:t>
      </w:r>
      <w:commentRangeEnd w:id="17"/>
      <w:r w:rsidR="00372978">
        <w:rPr>
          <w:rStyle w:val="CommentReference"/>
          <w:rFonts w:ascii="Times New Roman" w:hAnsiTheme="minorHAnsi"/>
        </w:rPr>
        <w:commentReference w:id="17"/>
      </w:r>
      <w:r w:rsidR="0090296A">
        <w:t>positive</w:t>
      </w:r>
      <w:r w:rsidR="00350FE5">
        <w:t xml:space="preserve"> influence of heterogeneity on species richness</w:t>
      </w:r>
      <w:r w:rsidR="00684D2A">
        <w:t xml:space="preserve"> (</w:t>
      </w:r>
      <w:r w:rsidR="008538A7">
        <w:t xml:space="preserve">Figure </w:t>
      </w:r>
      <w:r w:rsidR="00977291" w:rsidRPr="00A12A8F">
        <w:t>5</w:t>
      </w:r>
      <w:r w:rsidR="00684D2A" w:rsidRPr="00A12A8F">
        <w:t>)</w:t>
      </w:r>
      <w:r w:rsidR="00350FE5" w:rsidRPr="00A12A8F">
        <w:t xml:space="preserve">. </w:t>
      </w:r>
      <w:r w:rsidR="00A12A8F" w:rsidRPr="00A12A8F">
        <w:t xml:space="preserve">Notably, heterogeneity in </w:t>
      </w:r>
      <w:r w:rsidR="0032574D" w:rsidRPr="00A12A8F">
        <w:t>MAP has the greatest explanatory power in all models (</w:t>
      </w:r>
      <w:r w:rsidR="00D17FCB" w:rsidRPr="00A12A8F">
        <w:t>Table S2</w:t>
      </w:r>
      <w:r w:rsidR="0032574D" w:rsidRPr="00A12A8F">
        <w:t>)</w:t>
      </w:r>
      <w:r w:rsidR="00350FE5" w:rsidRPr="00A12A8F">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w:t>
      </w:r>
      <w:r w:rsidR="008538A7">
        <w:t xml:space="preserve">Figure </w:t>
      </w:r>
      <w:r w:rsidR="00977291">
        <w:t>5</w:t>
      </w:r>
      <w:r w:rsidR="00CA688A">
        <w:t>)</w:t>
      </w:r>
      <w:r w:rsidR="00473F34">
        <w:t xml:space="preserve">. </w:t>
      </w:r>
      <w:r w:rsidR="00473F34" w:rsidRPr="00D92D3C">
        <w:t>However,</w:t>
      </w:r>
      <w:r w:rsidR="003E77D9" w:rsidRPr="00D92D3C">
        <w:t xml:space="preserve"> the coefficients associated with the significant interaction terms</w:t>
      </w:r>
      <w:r w:rsidR="005A7E8B" w:rsidRPr="00D92D3C">
        <w:t xml:space="preserve"> (i.e. the effect in the SWAFR</w:t>
      </w:r>
      <w:r w:rsidR="003E77D9" w:rsidRPr="00D92D3C">
        <w:t xml:space="preserve"> </w:t>
      </w:r>
      <w:r w:rsidR="005A7E8B" w:rsidRPr="00D92D3C">
        <w:t xml:space="preserve">relative to the GCFR) </w:t>
      </w:r>
      <w:r w:rsidR="003E77D9" w:rsidRPr="00D92D3C">
        <w:t xml:space="preserve">are small in </w:t>
      </w:r>
      <w:r w:rsidR="00473F34" w:rsidRPr="00D92D3C">
        <w:t>magnitude</w:t>
      </w:r>
      <w:r w:rsidR="003E77D9" w:rsidRPr="00D92D3C">
        <w:t xml:space="preserve"> at </w:t>
      </w:r>
      <w:r w:rsidR="00473F34" w:rsidRPr="00D92D3C">
        <w:t xml:space="preserve">both </w:t>
      </w:r>
      <w:r w:rsidR="003E77D9" w:rsidRPr="00D92D3C">
        <w:t>the QDS- (54.2 to 65.8</w:t>
      </w:r>
      <w:r w:rsidR="00924C2A" w:rsidRPr="00D92D3C">
        <w:t>; Figure 5a</w:t>
      </w:r>
      <w:r w:rsidR="003E77D9" w:rsidRPr="00D92D3C">
        <w:t>) and HDS-scale</w:t>
      </w:r>
      <w:r w:rsidR="0032574D" w:rsidRPr="00D92D3C">
        <w:t>s</w:t>
      </w:r>
      <w:r w:rsidR="003E77D9" w:rsidRPr="00D92D3C">
        <w:t xml:space="preserve"> (200.8</w:t>
      </w:r>
      <w:r w:rsidR="00924C2A" w:rsidRPr="00D92D3C">
        <w:t xml:space="preserve"> to</w:t>
      </w:r>
      <w:r w:rsidR="003E77D9" w:rsidRPr="00D92D3C">
        <w:t xml:space="preserve"> 210.8</w:t>
      </w:r>
      <w:r w:rsidR="00924C2A" w:rsidRPr="00D92D3C">
        <w:t>; Figure 5b</w:t>
      </w:r>
      <w:r w:rsidR="003E77D9" w:rsidRPr="00D92D3C">
        <w:t>)</w:t>
      </w:r>
      <w:r w:rsidR="00EB3F26" w:rsidRPr="00D92D3C">
        <w:t>,</w:t>
      </w:r>
      <w:r w:rsidR="003E77D9" w:rsidRPr="00D92D3C">
        <w:t xml:space="preserve"> relative</w:t>
      </w:r>
      <w:r w:rsidR="003E77D9">
        <w:t xml:space="preser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DF3A9D">
        <w:t>; Table S</w:t>
      </w:r>
      <w:r w:rsidR="00F16FBC">
        <w:t>3</w:t>
      </w:r>
      <w:r w:rsidR="007D6DC1">
        <w:t>a,b</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5A7E8B">
        <w:t>SWAFR-</w:t>
      </w:r>
      <w:r w:rsidR="00473F34">
        <w:t>coefficients are</w:t>
      </w:r>
      <w:r w:rsidR="0032574D">
        <w:t xml:space="preserve"> </w:t>
      </w:r>
      <w:r w:rsidR="00C96F57">
        <w:t>large (500.0 to 1622.9</w:t>
      </w:r>
      <w:r w:rsidR="005A7E8B">
        <w:t>; Figure 5c</w:t>
      </w:r>
      <w:r w:rsidR="00C96F57">
        <w:t>)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7144CE">
        <w:t>; Table S</w:t>
      </w:r>
      <w:r w:rsidR="00290F74">
        <w:t>3</w:t>
      </w:r>
      <w:r w:rsidR="007144CE">
        <w:t>c</w:t>
      </w:r>
      <w:r w:rsidR="00C96F57">
        <w:t>)</w:t>
      </w:r>
      <w:r w:rsidR="0032574D">
        <w:t xml:space="preserve">. </w:t>
      </w:r>
      <w:r w:rsidR="00C96F57" w:rsidRPr="000B6E01">
        <w:t xml:space="preserve">Where the </w:t>
      </w:r>
      <w:r w:rsidR="00230147" w:rsidRPr="000B6E01">
        <w:t xml:space="preserve">significant </w:t>
      </w:r>
      <w:r w:rsidR="00C96F57" w:rsidRPr="000B6E01">
        <w:t>negative coefficients</w:t>
      </w:r>
      <w:r w:rsidR="00230147" w:rsidRPr="000B6E01">
        <w:t xml:space="preserve"> associated with</w:t>
      </w:r>
      <w:r w:rsidR="00C96F57" w:rsidRPr="000B6E01">
        <w:t xml:space="preserve"> surface T and clay heterogeneity </w:t>
      </w:r>
      <w:r w:rsidR="00230147" w:rsidRPr="000B6E01">
        <w:t xml:space="preserve">imply that these variables </w:t>
      </w:r>
      <w:r w:rsidR="00C96F57" w:rsidRPr="000B6E01">
        <w:t xml:space="preserve">exert a greater positive influence on species richness in the GCFR </w:t>
      </w:r>
      <w:r w:rsidR="00230147" w:rsidRPr="000B6E01">
        <w:t>than</w:t>
      </w:r>
      <w:r w:rsidR="00C96F57" w:rsidRPr="000B6E01">
        <w:t xml:space="preserve"> in the SWAFR, the positive coefficients </w:t>
      </w:r>
      <w:r w:rsidR="00230147" w:rsidRPr="000B6E01">
        <w:t xml:space="preserve">associated with </w:t>
      </w:r>
      <w:r w:rsidR="00C84650" w:rsidRPr="000B6E01">
        <w:t xml:space="preserve">the partial effects of heterogeneity in </w:t>
      </w:r>
      <w:r w:rsidR="00230147" w:rsidRPr="000B6E01">
        <w:t>elevation and pH</w:t>
      </w:r>
      <w:r w:rsidR="00FC1C62" w:rsidRPr="000B6E01">
        <w:t xml:space="preserve"> </w:t>
      </w:r>
      <w:r w:rsidR="00230147">
        <w:t>cancel</w:t>
      </w:r>
      <w:r w:rsidR="00C84650">
        <w:t>-out</w:t>
      </w:r>
      <w:r w:rsidR="00230147">
        <w:t xml:space="preserve"> (in the SWAFR) the effects of these variables</w:t>
      </w:r>
      <w:r w:rsidR="00EE7F70">
        <w:t xml:space="preserve"> estimated in the GCFR</w:t>
      </w:r>
      <w:r w:rsidR="00230147">
        <w:t>.</w:t>
      </w:r>
    </w:p>
    <w:p w14:paraId="2C47BF37" w14:textId="56E3044E" w:rsidR="00350FE5" w:rsidRDefault="00E81245">
      <w:pPr>
        <w:pStyle w:val="FirstParagraph"/>
      </w:pPr>
      <w:commentRangeStart w:id="18"/>
      <w:r>
        <w:t>That the coefficients of determi</w:t>
      </w:r>
      <w:r w:rsidR="006F4CB8">
        <w:t>nation associated with the opti</w:t>
      </w:r>
      <w:r>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commentRangeEnd w:id="18"/>
      <w:r w:rsidR="006A44FA">
        <w:rPr>
          <w:rStyle w:val="CommentReference"/>
          <w:rFonts w:ascii="Times New Roman" w:hAnsiTheme="minorHAnsi"/>
        </w:rPr>
        <w:commentReference w:id="18"/>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5A05FDF5"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19"/>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19"/>
      <w:r w:rsidR="006A44FA">
        <w:rPr>
          <w:rStyle w:val="CommentReference"/>
          <w:rFonts w:ascii="Times New Roman" w:hAnsiTheme="minorHAnsi"/>
        </w:rPr>
        <w:commentReference w:id="19"/>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w:t>
      </w:r>
      <w:r w:rsidR="00EC5B19">
        <w:t>improved coefficients of determination</w:t>
      </w:r>
      <w:r w:rsidR="0081543B">
        <w:t>.</w:t>
      </w:r>
      <w:r w:rsidR="008369E4">
        <w:t xml:space="preserve"> </w:t>
      </w:r>
      <w:commentRangeStart w:id="20"/>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1"/>
      <w:r w:rsidR="00807EFC">
        <w:t xml:space="preserve">This </w:t>
      </w:r>
      <w:r w:rsidR="00DC180F">
        <w:t xml:space="preserve">highlights </w:t>
      </w:r>
      <w:r w:rsidR="000E7F00">
        <w:t xml:space="preserve">that </w:t>
      </w:r>
      <w:r w:rsidR="00DC180F">
        <w:t>the commonal</w:t>
      </w:r>
      <w:r w:rsidR="00B85431">
        <w:t>i</w:t>
      </w:r>
      <w:r w:rsidR="00DC180F">
        <w:t xml:space="preserve">ty of the richness-heterogeneity relationship </w:t>
      </w:r>
      <w:r w:rsidR="000E7F00">
        <w:t xml:space="preserve">is recovered </w:t>
      </w:r>
      <w:r w:rsidR="00E4420C">
        <w:t xml:space="preserve">more accurately </w:t>
      </w:r>
      <w:r w:rsidR="000E7F00">
        <w:t>after</w:t>
      </w:r>
      <w:r w:rsidR="00DC180F">
        <w:t xml:space="preserve"> the omission of </w:t>
      </w:r>
      <w:r w:rsidR="00A70597">
        <w:t>hotspots</w:t>
      </w:r>
      <w:r w:rsidR="00E4420C">
        <w:t xml:space="preserve"> </w:t>
      </w:r>
      <w:r w:rsidR="00E4420C">
        <w:t>at broader spatial scales</w:t>
      </w:r>
      <w:r w:rsidR="00DC180F">
        <w:t>.</w:t>
      </w:r>
      <w:commentRangeEnd w:id="21"/>
      <w:r w:rsidR="006A44FA">
        <w:rPr>
          <w:rStyle w:val="CommentReference"/>
          <w:rFonts w:ascii="Times New Roman" w:hAnsiTheme="minorHAnsi"/>
        </w:rPr>
        <w:commentReference w:id="21"/>
      </w:r>
      <w:commentRangeEnd w:id="20"/>
      <w:r w:rsidR="009172F8">
        <w:rPr>
          <w:rStyle w:val="CommentReference"/>
          <w:rFonts w:ascii="Times New Roman" w:hAnsiTheme="minorHAnsi"/>
        </w:rPr>
        <w:commentReference w:id="20"/>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2"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3"/>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3"/>
      <w:r w:rsidR="007F39BA">
        <w:rPr>
          <w:rStyle w:val="CommentReference"/>
          <w:rFonts w:ascii="Times New Roman" w:hAnsiTheme="minorHAnsi"/>
        </w:rPr>
        <w:commentReference w:id="23"/>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4"/>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4"/>
      <w:r w:rsidR="007F39BA">
        <w:rPr>
          <w:rStyle w:val="CommentReference"/>
          <w:rFonts w:ascii="Times New Roman" w:hAnsiTheme="minorHAnsi"/>
        </w:rPr>
        <w:commentReference w:id="24"/>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5"/>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5"/>
      <w:r w:rsidR="007F39BA">
        <w:rPr>
          <w:rStyle w:val="CommentReference"/>
          <w:rFonts w:ascii="Times New Roman" w:hAnsiTheme="minorHAnsi"/>
        </w:rPr>
        <w:commentReference w:id="25"/>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6"/>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6"/>
      <w:r w:rsidR="00F72B17">
        <w:rPr>
          <w:rStyle w:val="CommentReference"/>
          <w:rFonts w:ascii="Times New Roman" w:hAnsiTheme="minorHAnsi"/>
        </w:rPr>
        <w:commentReference w:id="26"/>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7"/>
      <w:r w:rsidR="0072106C">
        <w:t xml:space="preserve">single-site </w:t>
      </w:r>
      <w:commentRangeEnd w:id="27"/>
      <w:r w:rsidR="00952699">
        <w:rPr>
          <w:rStyle w:val="CommentReference"/>
          <w:rFonts w:ascii="Times New Roman" w:hAnsiTheme="minorHAnsi"/>
        </w:rPr>
        <w:commentReference w:id="27"/>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8"/>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8"/>
      <w:r w:rsidR="00246D04">
        <w:rPr>
          <w:rStyle w:val="CommentReference"/>
          <w:rFonts w:ascii="Times New Roman" w:hAnsiTheme="minorHAnsi"/>
        </w:rPr>
        <w:commentReference w:id="28"/>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9"/>
      <w:r w:rsidR="002B4C08">
        <w:t>suspect</w:t>
      </w:r>
      <w:commentRangeEnd w:id="29"/>
      <w:r w:rsidR="00B753DF">
        <w:rPr>
          <w:rStyle w:val="CommentReference"/>
          <w:rFonts w:ascii="Times New Roman" w:hAnsiTheme="minorHAnsi"/>
        </w:rPr>
        <w:commentReference w:id="29"/>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30"/>
      <w:r w:rsidR="005143E0">
        <w:t xml:space="preserve">putative refugia </w:t>
      </w:r>
      <w:r w:rsidR="00A44F62">
        <w:t xml:space="preserve">in the SWAFR </w:t>
      </w:r>
      <w:r w:rsidR="005143E0">
        <w:t>is somewhat un</w:t>
      </w:r>
      <w:r w:rsidR="0084063D">
        <w:t>clear</w:t>
      </w:r>
      <w:commentRangeEnd w:id="30"/>
      <w:r w:rsidR="00B753DF">
        <w:rPr>
          <w:rStyle w:val="CommentReference"/>
          <w:rFonts w:ascii="Times New Roman" w:hAnsiTheme="minorHAnsi"/>
        </w:rPr>
        <w:commentReference w:id="30"/>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lastRenderedPageBreak/>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2"/>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1"/>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2"/>
      <w:r w:rsidRPr="00242181">
        <w:rPr>
          <w:b/>
        </w:rPr>
        <w:lastRenderedPageBreak/>
        <w:t xml:space="preserve">Figure </w:t>
      </w:r>
      <w:r>
        <w:rPr>
          <w:b/>
        </w:rPr>
        <w:t>1</w:t>
      </w:r>
      <w:commentRangeEnd w:id="32"/>
      <w:r w:rsidR="0090014E">
        <w:rPr>
          <w:rStyle w:val="CommentReference"/>
          <w:rFonts w:ascii="Times New Roman" w:hAnsiTheme="minorHAnsi"/>
        </w:rPr>
        <w:commentReference w:id="32"/>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3"/>
      <w:r w:rsidRPr="00A805E3">
        <w:rPr>
          <w:rFonts w:ascii="Times New Roman" w:hAnsi="Times New Roman" w:cs="Times New Roman"/>
          <w:noProof/>
          <w:sz w:val="22"/>
          <w:szCs w:val="22"/>
        </w:rPr>
        <w:lastRenderedPageBreak/>
        <w:drawing>
          <wp:inline distT="0" distB="0" distL="0" distR="0" wp14:anchorId="3A85EA17" wp14:editId="66631DFC">
            <wp:extent cx="6840000" cy="5985171"/>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5171"/>
                    </a:xfrm>
                    <a:prstGeom prst="rect">
                      <a:avLst/>
                    </a:prstGeom>
                  </pic:spPr>
                </pic:pic>
              </a:graphicData>
            </a:graphic>
          </wp:inline>
        </w:drawing>
      </w:r>
      <w:commentRangeEnd w:id="33"/>
      <w:r w:rsidR="00D84A21">
        <w:rPr>
          <w:rStyle w:val="CommentReference"/>
          <w:rFonts w:ascii="Times New Roman" w:hAnsiTheme="minorHAnsi"/>
        </w:rPr>
        <w:commentReference w:id="33"/>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xml:space="preserve">) and marginally </w:t>
      </w:r>
      <w:r w:rsidR="007138B7">
        <w:t>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567C326F" w14:textId="1173BC34" w:rsidR="00492D72"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p>
    <w:p w14:paraId="7180F251" w14:textId="51C039F4" w:rsidR="00D04776" w:rsidRDefault="00D04776" w:rsidP="008B688E">
      <w:pPr>
        <w:pStyle w:val="ImageCaption"/>
        <w:spacing w:line="240" w:lineRule="auto"/>
      </w:pPr>
      <w:r>
        <w:br w:type="page"/>
      </w:r>
    </w:p>
    <w:p w14:paraId="7ADCF32D" w14:textId="4AC15145" w:rsidR="00D04776" w:rsidRDefault="00557276"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p>
    <w:p w14:paraId="529D9686" w14:textId="77777777" w:rsidR="0055727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p>
    <w:p w14:paraId="784FFE15" w14:textId="1989B2D0" w:rsidR="00762256" w:rsidRDefault="00F614B4" w:rsidP="00A9751F">
      <w:pPr>
        <w:pStyle w:val="ImageCaption"/>
        <w:spacing w:line="240" w:lineRule="auto"/>
      </w:pPr>
      <w:r>
        <w:br w:type="page"/>
      </w:r>
      <w:bookmarkStart w:id="34"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4"/>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4"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6"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2"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3"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4"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5"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7"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8" w:author="Michael Cramer" w:date="2020-01-21T18:21:00Z" w:initials="MC">
    <w:p w14:paraId="15DAAED6" w14:textId="487C74D0" w:rsidR="00BC6386" w:rsidRDefault="00BC6386">
      <w:pPr>
        <w:pStyle w:val="CommentText"/>
      </w:pPr>
      <w:r>
        <w:rPr>
          <w:rStyle w:val="CommentReference"/>
        </w:rPr>
        <w:annotationRef/>
      </w:r>
      <w:r>
        <w:t>Horrible sentence!</w:t>
      </w:r>
    </w:p>
  </w:comment>
  <w:comment w:id="19"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1"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20" w:author="Ruan Van Mazijk" w:date="2020-02-27T16:15:00Z" w:initials="RVM">
    <w:p w14:paraId="4B02A409" w14:textId="3F5BC3F6" w:rsidR="009172F8" w:rsidRDefault="009172F8">
      <w:pPr>
        <w:pStyle w:val="CommentText"/>
      </w:pPr>
      <w:r>
        <w:rPr>
          <w:rStyle w:val="CommentReference"/>
        </w:rPr>
        <w:annotationRef/>
      </w:r>
    </w:p>
  </w:comment>
  <w:comment w:id="23" w:author="Michael Cramer" w:date="2020-01-21T18:32:00Z" w:initials="MC">
    <w:p w14:paraId="08FD9056" w14:textId="634F5059" w:rsidR="00BC6386" w:rsidRDefault="00BC6386">
      <w:pPr>
        <w:pStyle w:val="CommentText"/>
      </w:pPr>
      <w:r>
        <w:rPr>
          <w:rStyle w:val="CommentReference"/>
        </w:rPr>
        <w:annotationRef/>
      </w:r>
      <w:r>
        <w:t>On the basis of?</w:t>
      </w:r>
    </w:p>
  </w:comment>
  <w:comment w:id="24"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5"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6"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7"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8"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9"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30" w:author="Michael Cramer" w:date="2020-01-21T19:02:00Z" w:initials="MC">
    <w:p w14:paraId="33809609" w14:textId="17BC86DE" w:rsidR="00BC6386" w:rsidRDefault="00BC6386">
      <w:pPr>
        <w:pStyle w:val="CommentText"/>
      </w:pPr>
      <w:r>
        <w:rPr>
          <w:rStyle w:val="CommentReference"/>
        </w:rPr>
        <w:annotationRef/>
      </w:r>
      <w:r>
        <w:t>Why?</w:t>
      </w:r>
    </w:p>
  </w:comment>
  <w:comment w:id="32"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3" w:author="Ruan Van Mazijk" w:date="2020-02-27T16:18:00Z" w:initials="RVM">
    <w:p w14:paraId="217ACE92" w14:textId="37F5D616" w:rsidR="00D84A21" w:rsidRDefault="00D84A21">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0"/>
  <w15:commentEx w15:paraId="26A749F2" w15:done="0"/>
  <w15:commentEx w15:paraId="15DAAED6" w15:done="0"/>
  <w15:commentEx w15:paraId="6493917C" w15:done="1"/>
  <w15:commentEx w15:paraId="3216D7C2" w15:done="1"/>
  <w15:commentEx w15:paraId="4B02A409"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Ex w15:paraId="217ACE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1D769" w14:textId="77777777" w:rsidR="00500C96" w:rsidRDefault="00500C96">
      <w:pPr>
        <w:spacing w:after="0"/>
      </w:pPr>
      <w:r>
        <w:separator/>
      </w:r>
    </w:p>
  </w:endnote>
  <w:endnote w:type="continuationSeparator" w:id="0">
    <w:p w14:paraId="52002D1B" w14:textId="77777777" w:rsidR="00500C96" w:rsidRDefault="00500C96">
      <w:pPr>
        <w:spacing w:after="0"/>
      </w:pPr>
      <w:r>
        <w:continuationSeparator/>
      </w:r>
    </w:p>
  </w:endnote>
  <w:endnote w:type="continuationNotice" w:id="1">
    <w:p w14:paraId="0BBF7428" w14:textId="77777777" w:rsidR="00500C96" w:rsidRDefault="00500C9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C77AD" w14:textId="77777777" w:rsidR="00500C96" w:rsidRDefault="00500C96">
      <w:r>
        <w:separator/>
      </w:r>
    </w:p>
  </w:footnote>
  <w:footnote w:type="continuationSeparator" w:id="0">
    <w:p w14:paraId="39298E80" w14:textId="77777777" w:rsidR="00500C96" w:rsidRDefault="00500C96">
      <w:r>
        <w:continuationSeparator/>
      </w:r>
    </w:p>
  </w:footnote>
  <w:footnote w:type="continuationNotice" w:id="1">
    <w:p w14:paraId="3666782B" w14:textId="77777777" w:rsidR="00500C96" w:rsidRDefault="00500C9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63C5"/>
    <w:rsid w:val="004064DB"/>
    <w:rsid w:val="004066C3"/>
    <w:rsid w:val="0040717E"/>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C96"/>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212C"/>
    <w:rsid w:val="005732D5"/>
    <w:rsid w:val="00573ACA"/>
    <w:rsid w:val="005746E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9E8"/>
    <w:rsid w:val="005D74C8"/>
    <w:rsid w:val="005E135C"/>
    <w:rsid w:val="005E15C9"/>
    <w:rsid w:val="005E19A4"/>
    <w:rsid w:val="005E220D"/>
    <w:rsid w:val="005E31B9"/>
    <w:rsid w:val="005E331E"/>
    <w:rsid w:val="005E501D"/>
    <w:rsid w:val="005E5F02"/>
    <w:rsid w:val="005E64E1"/>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5427"/>
    <w:rsid w:val="006056E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A55"/>
    <w:rsid w:val="007233E4"/>
    <w:rsid w:val="00723D01"/>
    <w:rsid w:val="0072431B"/>
    <w:rsid w:val="0072433F"/>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C51B7-6377-446E-B4C5-BF0BB23F2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27</Pages>
  <Words>42017</Words>
  <Characters>239498</Characters>
  <Application>Microsoft Office Word</Application>
  <DocSecurity>0</DocSecurity>
  <Lines>1995</Lines>
  <Paragraphs>561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280954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109</cp:revision>
  <cp:lastPrinted>2020-02-06T08:23:00Z</cp:lastPrinted>
  <dcterms:created xsi:type="dcterms:W3CDTF">2020-01-29T13:10:00Z</dcterms:created>
  <dcterms:modified xsi:type="dcterms:W3CDTF">2020-02-27T14:36:00Z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