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C75034" w14:textId="5E0FE39E" w:rsidR="00024A7B" w:rsidRDefault="00F1488F" w:rsidP="002B270F">
      <w:pPr>
        <w:pStyle w:val="Title"/>
        <w:spacing w:before="0" w:line="240" w:lineRule="auto"/>
      </w:pPr>
      <w:bookmarkStart w:id="0" w:name="materials-and-methods"/>
      <w:r w:rsidRPr="00F4622D">
        <w:rPr>
          <w:color w:val="auto"/>
        </w:rPr>
        <w:t>Similar axes of e</w:t>
      </w:r>
      <w:r w:rsidR="00024A7B" w:rsidRPr="00F4622D">
        <w:rPr>
          <w:color w:val="auto"/>
        </w:rPr>
        <w:t xml:space="preserve">nvironmental heterogeneity </w:t>
      </w:r>
      <w:r w:rsidR="00F4622D" w:rsidRPr="00F4622D">
        <w:rPr>
          <w:color w:val="auto"/>
        </w:rPr>
        <w:t>associated</w:t>
      </w:r>
      <w:r w:rsidR="007630F5" w:rsidRPr="00F4622D">
        <w:rPr>
          <w:color w:val="auto"/>
        </w:rPr>
        <w:t xml:space="preserve"> </w:t>
      </w:r>
      <w:r w:rsidR="00F4622D" w:rsidRPr="00F4622D">
        <w:rPr>
          <w:color w:val="auto"/>
        </w:rPr>
        <w:t>with</w:t>
      </w:r>
      <w:r w:rsidR="00024A7B" w:rsidRPr="00F4622D">
        <w:rPr>
          <w:color w:val="auto"/>
        </w:rPr>
        <w:t xml:space="preserve"> </w:t>
      </w:r>
      <w:r w:rsidR="00024A7B">
        <w:t>plant species richness in two hyper</w:t>
      </w:r>
      <w:r w:rsidR="00EF41C1">
        <w:t>-</w:t>
      </w:r>
      <w:r w:rsidR="00024A7B">
        <w:t>diverse floras</w:t>
      </w:r>
    </w:p>
    <w:p w14:paraId="4B2285EA" w14:textId="1A05EDFC" w:rsidR="006B3D28" w:rsidRPr="00005DF9" w:rsidRDefault="006B3D28" w:rsidP="008A4E97">
      <w:pPr>
        <w:pStyle w:val="Subtitle"/>
        <w:spacing w:line="240" w:lineRule="auto"/>
        <w:jc w:val="left"/>
        <w:rPr>
          <w:sz w:val="28"/>
        </w:rPr>
      </w:pPr>
      <w:r w:rsidRPr="00005DF9">
        <w:rPr>
          <w:sz w:val="28"/>
        </w:rPr>
        <w:t xml:space="preserve">Running title: </w:t>
      </w:r>
      <w:r w:rsidR="00C767AE" w:rsidRPr="00005DF9">
        <w:rPr>
          <w:sz w:val="28"/>
        </w:rPr>
        <w:t>Heterogeneity and species richness</w:t>
      </w:r>
    </w:p>
    <w:p w14:paraId="7B377CF4" w14:textId="2E45E9AE" w:rsidR="00024A7B" w:rsidRPr="002C20EB" w:rsidRDefault="00024A7B" w:rsidP="008A4E97">
      <w:pPr>
        <w:pStyle w:val="Author"/>
        <w:spacing w:line="240" w:lineRule="auto"/>
        <w:rPr>
          <w:sz w:val="28"/>
        </w:rPr>
      </w:pPr>
      <w:r w:rsidRPr="002C20EB">
        <w:rPr>
          <w:sz w:val="28"/>
        </w:rPr>
        <w:t xml:space="preserve">Ruan van Mazijk, Michael D. Cramer </w:t>
      </w:r>
      <w:r w:rsidR="00374287" w:rsidRPr="002C20EB">
        <w:rPr>
          <w:sz w:val="28"/>
        </w:rPr>
        <w:t>and</w:t>
      </w:r>
      <w:r w:rsidRPr="002C20EB">
        <w:rPr>
          <w:sz w:val="28"/>
        </w:rPr>
        <w:t xml:space="preserve"> G. Anthony Verboom</w:t>
      </w:r>
    </w:p>
    <w:p w14:paraId="1AC18ACA" w14:textId="77777777" w:rsidR="00024A7B" w:rsidRDefault="00024A7B" w:rsidP="008A4E97">
      <w:pPr>
        <w:pStyle w:val="FirstParagraph"/>
      </w:pPr>
      <w:r>
        <w:t>Department of Biological Sciences, University of Cape Town, Rondebosch, South Africa</w:t>
      </w:r>
    </w:p>
    <w:p w14:paraId="0DF61B76" w14:textId="4B6123B2" w:rsidR="00024A7B" w:rsidRDefault="00024A7B" w:rsidP="008A4E97">
      <w:pPr>
        <w:pStyle w:val="BodyText"/>
      </w:pPr>
      <w:r>
        <w:t>Corresponding author: R</w:t>
      </w:r>
      <w:r w:rsidR="002A0204">
        <w:t>v</w:t>
      </w:r>
      <w:r>
        <w:t>M</w:t>
      </w:r>
      <w:r w:rsidR="006E039C">
        <w:t xml:space="preserve">, </w:t>
      </w:r>
      <w:hyperlink r:id="rId8" w:history="1">
        <w:r w:rsidR="00AE3336" w:rsidRPr="00790876">
          <w:rPr>
            <w:rStyle w:val="Hyperlink"/>
          </w:rPr>
          <w:t>ruanvmazijk@gmail.com</w:t>
        </w:r>
      </w:hyperlink>
    </w:p>
    <w:p w14:paraId="68B5BB40" w14:textId="77777777" w:rsidR="009E59E0" w:rsidRDefault="009E59E0" w:rsidP="008A4E97">
      <w:pPr>
        <w:pStyle w:val="Heading1"/>
        <w:spacing w:line="240" w:lineRule="auto"/>
      </w:pPr>
      <w:bookmarkStart w:id="1" w:name="acknowledgements"/>
      <w:bookmarkStart w:id="2" w:name="abstract"/>
      <w:r>
        <w:t>Acknowledgements</w:t>
      </w:r>
      <w:bookmarkEnd w:id="1"/>
    </w:p>
    <w:p w14:paraId="1EDD8076" w14:textId="286CE2E6" w:rsidR="009E59E0" w:rsidRPr="00024A7B" w:rsidRDefault="007630F5" w:rsidP="008A4E97">
      <w:pPr>
        <w:pStyle w:val="FirstParagraph"/>
      </w:pPr>
      <w:r>
        <w:t xml:space="preserve">RvM is grateful </w:t>
      </w:r>
      <w:r w:rsidR="00952B63">
        <w:t>to</w:t>
      </w:r>
      <w:r>
        <w:t xml:space="preserve"> the National Research Foundation and the South African Association of Botanists</w:t>
      </w:r>
      <w:r w:rsidR="00093309">
        <w:t xml:space="preserve"> for </w:t>
      </w:r>
      <w:r w:rsidR="00CD262A">
        <w:t>bursaries during</w:t>
      </w:r>
      <w:r w:rsidR="002F5AB6">
        <w:t xml:space="preserve"> the course of</w:t>
      </w:r>
      <w:r w:rsidR="00CD262A">
        <w:t xml:space="preserve"> </w:t>
      </w:r>
      <w:r w:rsidR="00093309">
        <w:t>this work.</w:t>
      </w:r>
    </w:p>
    <w:p w14:paraId="5A7C16B9" w14:textId="77777777" w:rsidR="00BC3667" w:rsidRDefault="00024A7B" w:rsidP="008A4E97">
      <w:pPr>
        <w:pStyle w:val="Heading1"/>
        <w:spacing w:line="240" w:lineRule="auto"/>
      </w:pPr>
      <w:r>
        <w:t>Abstract</w:t>
      </w:r>
      <w:bookmarkEnd w:id="2"/>
    </w:p>
    <w:p w14:paraId="064B794C" w14:textId="56931D54" w:rsidR="00024A7B" w:rsidRPr="00964A63" w:rsidRDefault="00024A7B" w:rsidP="008A4E97">
      <w:pPr>
        <w:pStyle w:val="BodyText"/>
      </w:pPr>
      <w:r w:rsidRPr="00024A7B">
        <w:rPr>
          <w:b/>
        </w:rPr>
        <w:t>Aim:</w:t>
      </w:r>
      <w:r w:rsidR="004C00F7" w:rsidRPr="004C00F7">
        <w:t xml:space="preserve"> </w:t>
      </w:r>
      <w:r w:rsidR="00893E00">
        <w:t>To</w:t>
      </w:r>
      <w:r w:rsidR="0019107E">
        <w:t xml:space="preserve"> assess whether the difference in species richness per unit area </w:t>
      </w:r>
      <w:r w:rsidR="00E664E2">
        <w:t>between two mediterranean-type biodiversity hotspots</w:t>
      </w:r>
      <w:r w:rsidR="00E664E2" w:rsidDel="006C4B60">
        <w:t xml:space="preserve"> </w:t>
      </w:r>
      <w:r w:rsidR="009D0DC8">
        <w:t xml:space="preserve">is explained by </w:t>
      </w:r>
      <w:r w:rsidR="0019107E">
        <w:t>differences in environmental heterogeneity.</w:t>
      </w:r>
    </w:p>
    <w:p w14:paraId="4E5A0187" w14:textId="2EA9DCAD" w:rsidR="00024A7B" w:rsidRPr="00AC205D" w:rsidRDefault="00024A7B" w:rsidP="008A4E97">
      <w:pPr>
        <w:pStyle w:val="BodyText"/>
        <w:rPr>
          <w:bCs/>
        </w:rPr>
      </w:pPr>
      <w:r>
        <w:rPr>
          <w:b/>
        </w:rPr>
        <w:t>Location:</w:t>
      </w:r>
      <w:r w:rsidR="00AC205D" w:rsidRPr="002C20EB">
        <w:t xml:space="preserve"> </w:t>
      </w:r>
      <w:r w:rsidR="00AC205D">
        <w:rPr>
          <w:bCs/>
        </w:rPr>
        <w:t>The Greater Cape Floristic Region, South Africa (GCFR) and Southwest Australia</w:t>
      </w:r>
      <w:r w:rsidR="00C70A73">
        <w:rPr>
          <w:bCs/>
        </w:rPr>
        <w:t>n</w:t>
      </w:r>
      <w:r w:rsidR="00AC205D">
        <w:rPr>
          <w:bCs/>
        </w:rPr>
        <w:t xml:space="preserve"> Floristic Region (SWAFR)</w:t>
      </w:r>
      <w:r w:rsidR="00242EDD">
        <w:rPr>
          <w:bCs/>
        </w:rPr>
        <w:t>.</w:t>
      </w:r>
    </w:p>
    <w:p w14:paraId="64618502" w14:textId="5DC6B12B" w:rsidR="00024A7B" w:rsidRPr="00AC205D" w:rsidRDefault="00024A7B" w:rsidP="008A4E97">
      <w:pPr>
        <w:pStyle w:val="BodyText"/>
        <w:rPr>
          <w:bCs/>
        </w:rPr>
      </w:pPr>
      <w:r>
        <w:rPr>
          <w:b/>
        </w:rPr>
        <w:t>Taxon:</w:t>
      </w:r>
      <w:r w:rsidR="00AC205D">
        <w:rPr>
          <w:bCs/>
        </w:rPr>
        <w:t xml:space="preserve"> Vascular plants (</w:t>
      </w:r>
      <w:r w:rsidR="009E61A8">
        <w:rPr>
          <w:bCs/>
        </w:rPr>
        <w:t>t</w:t>
      </w:r>
      <w:r w:rsidR="00AC205D">
        <w:rPr>
          <w:bCs/>
        </w:rPr>
        <w:t>racheophytes)</w:t>
      </w:r>
      <w:r w:rsidR="00242EDD">
        <w:rPr>
          <w:bCs/>
        </w:rPr>
        <w:t>.</w:t>
      </w:r>
    </w:p>
    <w:p w14:paraId="1FCA4F09" w14:textId="3A7E6A85" w:rsidR="00024A7B" w:rsidRDefault="00024A7B" w:rsidP="008A4E97">
      <w:pPr>
        <w:pStyle w:val="BodyText"/>
        <w:rPr>
          <w:b/>
        </w:rPr>
      </w:pPr>
      <w:r>
        <w:rPr>
          <w:b/>
        </w:rPr>
        <w:t>Methods:</w:t>
      </w:r>
      <w:r w:rsidR="004C00F7" w:rsidRPr="002C20EB">
        <w:t xml:space="preserve"> </w:t>
      </w:r>
      <w:r w:rsidR="00844A5C">
        <w:t>Comparable</w:t>
      </w:r>
      <w:r w:rsidR="009D0DC8">
        <w:t>,</w:t>
      </w:r>
      <w:r w:rsidR="00844A5C">
        <w:t xml:space="preserve"> geospatially-explicit environmental and species occurrence data were obtained</w:t>
      </w:r>
      <w:r w:rsidR="009A757D">
        <w:t xml:space="preserve"> for </w:t>
      </w:r>
      <w:r w:rsidR="003C3E31">
        <w:t>both</w:t>
      </w:r>
      <w:r w:rsidR="009A757D">
        <w:t xml:space="preserve"> regions</w:t>
      </w:r>
      <w:r w:rsidR="00900B79">
        <w:t xml:space="preserve"> and used to</w:t>
      </w:r>
      <w:r w:rsidR="009A757D">
        <w:t xml:space="preserve"> generate environmental heterogeneity and species richness raster layers. </w:t>
      </w:r>
      <w:r w:rsidR="00900B79">
        <w:t>H</w:t>
      </w:r>
      <w:r w:rsidR="009A757D">
        <w:t>eterogeneity</w:t>
      </w:r>
      <w:r w:rsidR="00900B79">
        <w:t xml:space="preserve"> in </w:t>
      </w:r>
      <w:r w:rsidR="009D0DC8">
        <w:t>multiple</w:t>
      </w:r>
      <w:r w:rsidR="00900B79">
        <w:t xml:space="preserve"> environmental variables</w:t>
      </w:r>
      <w:r w:rsidR="005D0A2D">
        <w:t xml:space="preserve"> </w:t>
      </w:r>
      <w:r w:rsidR="009D0DC8">
        <w:t>and</w:t>
      </w:r>
      <w:r w:rsidR="00900B79">
        <w:t xml:space="preserve"> </w:t>
      </w:r>
      <w:r w:rsidR="005D0A2D">
        <w:t xml:space="preserve">species richness </w:t>
      </w:r>
      <w:r w:rsidR="003C3E31">
        <w:t>per unit area</w:t>
      </w:r>
      <w:r w:rsidR="009D0DC8">
        <w:t>,</w:t>
      </w:r>
      <w:r w:rsidR="003C3E31">
        <w:t xml:space="preserve"> </w:t>
      </w:r>
      <w:r w:rsidR="00900B79">
        <w:t>w</w:t>
      </w:r>
      <w:r w:rsidR="009D0DC8">
        <w:t>ere</w:t>
      </w:r>
      <w:r w:rsidR="00900B79">
        <w:t xml:space="preserve"> compared </w:t>
      </w:r>
      <w:r w:rsidR="009A757D">
        <w:t xml:space="preserve">between the </w:t>
      </w:r>
      <w:r w:rsidR="00900B79">
        <w:t xml:space="preserve">two </w:t>
      </w:r>
      <w:r w:rsidR="009A757D">
        <w:t>regions</w:t>
      </w:r>
      <w:r w:rsidR="00D2022F">
        <w:t xml:space="preserve"> </w:t>
      </w:r>
      <w:r w:rsidR="00900B79">
        <w:t xml:space="preserve">at </w:t>
      </w:r>
      <w:r w:rsidR="00D2022F">
        <w:t>a range of spatial scales</w:t>
      </w:r>
      <w:r w:rsidR="007A6D6D">
        <w:t xml:space="preserve">. </w:t>
      </w:r>
      <w:r w:rsidR="00900B79">
        <w:t>At each scale s</w:t>
      </w:r>
      <w:r w:rsidR="00273E3C">
        <w:t xml:space="preserve">pecies richness </w:t>
      </w:r>
      <w:r w:rsidR="00900B79">
        <w:t xml:space="preserve">was also regressed </w:t>
      </w:r>
      <w:r w:rsidR="00273E3C">
        <w:t xml:space="preserve">against </w:t>
      </w:r>
      <w:r w:rsidR="00900B79">
        <w:t>a major axis of</w:t>
      </w:r>
      <w:r w:rsidR="00D639A3">
        <w:t xml:space="preserve"> environmental heterogeneity, derived </w:t>
      </w:r>
      <w:r w:rsidR="00900B79">
        <w:t xml:space="preserve">by </w:t>
      </w:r>
      <w:r w:rsidR="00D639A3">
        <w:t>p</w:t>
      </w:r>
      <w:r w:rsidR="007A6D6D">
        <w:t>rincipal component</w:t>
      </w:r>
      <w:r w:rsidR="008F1E4D">
        <w:t xml:space="preserve"> </w:t>
      </w:r>
      <w:r w:rsidR="00900B79">
        <w:t xml:space="preserve">analysis </w:t>
      </w:r>
      <w:r w:rsidR="008F1E4D">
        <w:t>(PCA)</w:t>
      </w:r>
      <w:r w:rsidR="009D0DC8">
        <w:t>,</w:t>
      </w:r>
      <w:r w:rsidR="00CD04A6">
        <w:t xml:space="preserve"> </w:t>
      </w:r>
      <w:r w:rsidR="00086992">
        <w:t>and</w:t>
      </w:r>
      <w:r w:rsidR="009D0DC8">
        <w:t>, using multiple regression,</w:t>
      </w:r>
      <w:r w:rsidR="00086992">
        <w:t xml:space="preserve"> against </w:t>
      </w:r>
      <w:r w:rsidR="00D2022F">
        <w:t>heterogeneity</w:t>
      </w:r>
      <w:r w:rsidR="009D0DC8" w:rsidRPr="009D0DC8">
        <w:t xml:space="preserve"> </w:t>
      </w:r>
      <w:r w:rsidR="009D0DC8">
        <w:t>in individual environmental variables</w:t>
      </w:r>
      <w:r w:rsidR="00D2022F">
        <w:t>.</w:t>
      </w:r>
    </w:p>
    <w:p w14:paraId="39C1CEA1" w14:textId="03D2EF96" w:rsidR="00024A7B" w:rsidRPr="00E71232" w:rsidRDefault="00024A7B" w:rsidP="008A4E97">
      <w:pPr>
        <w:pStyle w:val="BodyText"/>
        <w:rPr>
          <w:b/>
        </w:rPr>
      </w:pPr>
      <w:r>
        <w:rPr>
          <w:b/>
        </w:rPr>
        <w:t>Results:</w:t>
      </w:r>
      <w:r w:rsidR="004C00F7" w:rsidRPr="002C20EB">
        <w:t xml:space="preserve"> </w:t>
      </w:r>
      <w:r w:rsidR="00532A81">
        <w:t>T</w:t>
      </w:r>
      <w:r w:rsidR="00273E3C">
        <w:t xml:space="preserve">he GCFR </w:t>
      </w:r>
      <w:r w:rsidR="00532A81">
        <w:t xml:space="preserve">is generally more </w:t>
      </w:r>
      <w:r w:rsidR="009D0DC8">
        <w:t>environmentally-</w:t>
      </w:r>
      <w:r w:rsidR="00532A81">
        <w:t>heterogeneous and species-rich</w:t>
      </w:r>
      <w:r w:rsidR="006C6B55">
        <w:t xml:space="preserve"> than the SWAFR. </w:t>
      </w:r>
      <w:r w:rsidR="00CC1042">
        <w:t>Species richness per unit area is significantly related to t</w:t>
      </w:r>
      <w:r w:rsidR="006C6B55">
        <w:t xml:space="preserve">he major </w:t>
      </w:r>
      <w:r w:rsidR="00CC1042">
        <w:t xml:space="preserve">axis </w:t>
      </w:r>
      <w:r w:rsidR="006C6B55">
        <w:t>of</w:t>
      </w:r>
      <w:r w:rsidR="00273E3C">
        <w:t xml:space="preserve"> </w:t>
      </w:r>
      <w:r w:rsidR="006C6B55">
        <w:t>heterogeneity</w:t>
      </w:r>
      <w:r w:rsidR="00807DFE">
        <w:t xml:space="preserve"> </w:t>
      </w:r>
      <w:r w:rsidR="006D6A5A">
        <w:t>across both regions</w:t>
      </w:r>
      <w:r w:rsidR="009D0DC8">
        <w:t xml:space="preserve">, which </w:t>
      </w:r>
      <w:r w:rsidR="006D6A5A">
        <w:t>explain</w:t>
      </w:r>
      <w:r w:rsidR="009D0DC8">
        <w:t>s</w:t>
      </w:r>
      <w:r w:rsidR="00CD04A6">
        <w:t xml:space="preserve"> ca. 38–42% </w:t>
      </w:r>
      <w:r w:rsidR="00CC1042">
        <w:t>of overall</w:t>
      </w:r>
      <w:r w:rsidR="00CD04A6">
        <w:t xml:space="preserve"> heterogeneity</w:t>
      </w:r>
      <w:r w:rsidR="00CC1042">
        <w:t>, the slope of this relationship differing between the two regions only at the finest spatial scale</w:t>
      </w:r>
      <w:r w:rsidR="00B51A66">
        <w:t xml:space="preserve">. </w:t>
      </w:r>
      <w:r w:rsidR="0086734A" w:rsidRPr="00E71232">
        <w:t>M</w:t>
      </w:r>
      <w:r w:rsidR="007743CF" w:rsidRPr="00E71232">
        <w:t>ultivariate regressions</w:t>
      </w:r>
      <w:r w:rsidR="0086734A" w:rsidRPr="00E71232">
        <w:t>,</w:t>
      </w:r>
      <w:r w:rsidR="007743CF" w:rsidRPr="00E71232">
        <w:t xml:space="preserve"> and </w:t>
      </w:r>
      <w:r w:rsidR="00251E50">
        <w:t>regressions against the</w:t>
      </w:r>
      <w:r w:rsidR="008F1E4D" w:rsidRPr="00E71232">
        <w:t xml:space="preserve"> </w:t>
      </w:r>
      <w:r w:rsidR="00694B43" w:rsidRPr="00E71232">
        <w:t>first ax</w:t>
      </w:r>
      <w:r w:rsidR="00251E50">
        <w:t>e</w:t>
      </w:r>
      <w:r w:rsidR="00694B43" w:rsidRPr="00E71232">
        <w:t xml:space="preserve">s </w:t>
      </w:r>
      <w:r w:rsidR="00872425" w:rsidRPr="00E71232">
        <w:t xml:space="preserve">of </w:t>
      </w:r>
      <w:r w:rsidR="00694B43" w:rsidRPr="00E71232">
        <w:t>the PCAs</w:t>
      </w:r>
      <w:r w:rsidR="0086734A" w:rsidRPr="00E71232">
        <w:t xml:space="preserve">, </w:t>
      </w:r>
      <w:r w:rsidR="00183126" w:rsidRPr="00E71232">
        <w:t>reveal</w:t>
      </w:r>
      <w:r w:rsidR="00872425" w:rsidRPr="00E71232">
        <w:t>ed</w:t>
      </w:r>
      <w:r w:rsidR="00183126" w:rsidRPr="00E71232">
        <w:t xml:space="preserve"> </w:t>
      </w:r>
      <w:r w:rsidR="00872425" w:rsidRPr="00E71232">
        <w:t xml:space="preserve">variations in the dependence of species richness on </w:t>
      </w:r>
      <w:r w:rsidR="00183126" w:rsidRPr="00E71232">
        <w:t xml:space="preserve">environmental heterogeneity </w:t>
      </w:r>
      <w:r w:rsidR="00872425" w:rsidRPr="00E71232">
        <w:t>that differed between the two regions</w:t>
      </w:r>
      <w:r w:rsidR="00183126" w:rsidRPr="00E71232">
        <w:t>.</w:t>
      </w:r>
    </w:p>
    <w:p w14:paraId="3D4EE8B5" w14:textId="7B3A4DA7" w:rsidR="00024A7B" w:rsidRPr="00E71232" w:rsidRDefault="00024A7B" w:rsidP="008A4E97">
      <w:pPr>
        <w:pStyle w:val="BodyText"/>
        <w:rPr>
          <w:b/>
        </w:rPr>
      </w:pPr>
      <w:r w:rsidRPr="00E71232">
        <w:rPr>
          <w:b/>
        </w:rPr>
        <w:t>Main conclusions:</w:t>
      </w:r>
      <w:r w:rsidR="004C00F7" w:rsidRPr="00E71232">
        <w:rPr>
          <w:b/>
        </w:rPr>
        <w:t xml:space="preserve"> </w:t>
      </w:r>
      <w:r w:rsidR="00160C41" w:rsidRPr="00E71232">
        <w:t>We have evidence for a common</w:t>
      </w:r>
      <w:r w:rsidR="00E83B6C" w:rsidRPr="00E71232">
        <w:t xml:space="preserve"> positive</w:t>
      </w:r>
      <w:r w:rsidR="00160C41" w:rsidRPr="00E71232">
        <w:t xml:space="preserve"> relationship between floristic richness and environmental heterogeneity </w:t>
      </w:r>
      <w:r w:rsidR="00E83B6C" w:rsidRPr="00E71232">
        <w:t>across the GCFR and SWAFR</w:t>
      </w:r>
      <w:r w:rsidR="00977607" w:rsidRPr="00E71232">
        <w:t>, broadly indepen</w:t>
      </w:r>
      <w:r w:rsidR="00372023" w:rsidRPr="00E71232">
        <w:t>den</w:t>
      </w:r>
      <w:r w:rsidR="00977607" w:rsidRPr="00E71232">
        <w:t>t of spatial-scale. Though there are region-specific effects</w:t>
      </w:r>
      <w:r w:rsidR="005B0DBE" w:rsidRPr="00E71232">
        <w:t xml:space="preserve">, </w:t>
      </w:r>
      <w:r w:rsidR="00C7143F" w:rsidRPr="00E71232">
        <w:rPr>
          <w:highlight w:val="yellow"/>
        </w:rPr>
        <w:t>[</w:t>
      </w:r>
      <w:r w:rsidR="005B0DBE" w:rsidRPr="00E71232">
        <w:rPr>
          <w:highlight w:val="yellow"/>
        </w:rPr>
        <w:t>…</w:t>
      </w:r>
      <w:r w:rsidR="00C7143F" w:rsidRPr="00E71232">
        <w:rPr>
          <w:highlight w:val="yellow"/>
        </w:rPr>
        <w:t>]</w:t>
      </w:r>
    </w:p>
    <w:p w14:paraId="32244F12" w14:textId="2E825FC2" w:rsidR="00381AA9" w:rsidRPr="00381AA9" w:rsidRDefault="00024A7B" w:rsidP="00381AA9">
      <w:pPr>
        <w:pStyle w:val="BodyText"/>
      </w:pPr>
      <w:r>
        <w:rPr>
          <w:i/>
        </w:rPr>
        <w:lastRenderedPageBreak/>
        <w:t>Keywords</w:t>
      </w:r>
      <w:r w:rsidRPr="004C00F7">
        <w:rPr>
          <w:i/>
        </w:rPr>
        <w:t>:</w:t>
      </w:r>
      <w:r w:rsidR="00A14134">
        <w:t xml:space="preserve"> </w:t>
      </w:r>
      <w:r w:rsidR="00A14134" w:rsidRPr="00A14134">
        <w:t>biodiversity, environmental heterogeneity, fynbos, Greater Cape Floristic Region, kwongan, macroecology, species richness, species turnover, vascular plants, Southwest Australia</w:t>
      </w:r>
      <w:r w:rsidR="00C02BF1">
        <w:t>n</w:t>
      </w:r>
      <w:r w:rsidR="00A14134" w:rsidRPr="00A14134">
        <w:t xml:space="preserve"> Floristic Region</w:t>
      </w:r>
    </w:p>
    <w:p w14:paraId="1BD25366" w14:textId="23DEB722" w:rsidR="00381AA9" w:rsidRPr="00381AA9" w:rsidRDefault="00381AA9" w:rsidP="00F70B73">
      <w:pPr>
        <w:pStyle w:val="BodyText"/>
        <w:rPr>
          <w:i/>
          <w:iCs/>
        </w:rPr>
      </w:pPr>
      <w:r w:rsidRPr="00381AA9">
        <w:rPr>
          <w:i/>
          <w:iCs/>
          <w:highlight w:val="green"/>
        </w:rPr>
        <w:t>[ ]</w:t>
      </w:r>
      <w:r w:rsidRPr="00381AA9">
        <w:rPr>
          <w:i/>
          <w:iCs/>
        </w:rPr>
        <w:t xml:space="preserve"> = missing proper citation</w:t>
      </w:r>
    </w:p>
    <w:p w14:paraId="584B4C41" w14:textId="18A3B9D7" w:rsidR="00381AA9" w:rsidRPr="00381AA9" w:rsidRDefault="00381AA9" w:rsidP="00F70B73">
      <w:pPr>
        <w:pStyle w:val="BodyText"/>
        <w:rPr>
          <w:i/>
          <w:iCs/>
        </w:rPr>
      </w:pPr>
      <w:r w:rsidRPr="00381AA9">
        <w:rPr>
          <w:i/>
          <w:iCs/>
          <w:highlight w:val="yellow"/>
        </w:rPr>
        <w:t>[ ]</w:t>
      </w:r>
      <w:r w:rsidRPr="00381AA9">
        <w:rPr>
          <w:i/>
          <w:iCs/>
        </w:rPr>
        <w:t xml:space="preserve"> = TODO</w:t>
      </w:r>
    </w:p>
    <w:p w14:paraId="5C1D2FB7" w14:textId="4D6CF323" w:rsidR="00381AA9" w:rsidRPr="00381AA9" w:rsidRDefault="00381AA9" w:rsidP="00F70B73">
      <w:pPr>
        <w:pStyle w:val="BodyText"/>
        <w:rPr>
          <w:i/>
          <w:iCs/>
          <w:highlight w:val="yellow"/>
        </w:rPr>
      </w:pPr>
      <w:r w:rsidRPr="00381AA9">
        <w:rPr>
          <w:i/>
          <w:iCs/>
          <w:highlight w:val="red"/>
        </w:rPr>
        <w:t>[ ]</w:t>
      </w:r>
      <w:r w:rsidRPr="00381AA9">
        <w:rPr>
          <w:i/>
          <w:iCs/>
        </w:rPr>
        <w:t xml:space="preserve"> = correction needed</w:t>
      </w:r>
    </w:p>
    <w:p w14:paraId="301CD1AC" w14:textId="219F4C0E" w:rsidR="00D04776" w:rsidRDefault="00C408A8" w:rsidP="008A4E97">
      <w:pPr>
        <w:pStyle w:val="Heading1"/>
        <w:spacing w:line="240" w:lineRule="auto"/>
      </w:pPr>
      <w:r>
        <w:t>1</w:t>
      </w:r>
      <w:r w:rsidR="00D7233A">
        <w:t>:</w:t>
      </w:r>
      <w:r>
        <w:t xml:space="preserve"> </w:t>
      </w:r>
      <w:r w:rsidR="00D04776">
        <w:t>Introduction</w:t>
      </w:r>
    </w:p>
    <w:p w14:paraId="5CA48634" w14:textId="43249104" w:rsidR="00D04776" w:rsidRPr="002F0553" w:rsidRDefault="00D04776" w:rsidP="008A4E97">
      <w:pPr>
        <w:pStyle w:val="FirstParagraph"/>
      </w:pPr>
      <w:r w:rsidRPr="002F0553">
        <w:t>The species richness of a</w:t>
      </w:r>
      <w:r>
        <w:t xml:space="preserve"> region</w:t>
      </w:r>
      <w:r w:rsidRPr="002F0553">
        <w:t xml:space="preserve"> is a function of its biogeographic context (e.g. proximity to potential immigrant source</w:t>
      </w:r>
      <w:r w:rsidR="00960457">
        <w:t>s</w:t>
      </w:r>
      <w:r w:rsidRPr="002F0553">
        <w:t xml:space="preserve">), its diversification history and any locally-deterministic, environmental features (e.g. productivity, heterogeneity) that influence species persistence and coexistence </w:t>
      </w:r>
      <w:r w:rsidR="0056429B">
        <w:fldChar w:fldCharType="begin" w:fldLock="1"/>
      </w:r>
      <w:r w:rsidR="00CE1A8E">
        <w:instrText>ADDIN CSL_CITATION {"citationItems":[{"id":"ITEM-1","itemData":{"author":[{"dropping-particle":"","family":"Ricklefs","given":"Robert E.","non-dropping-particle":"","parse-names":false,"suffix":""}],"container-title":"Science, New Series","id":"ITEM-1","issue":"4785","issued":{"date-parts":[["1987"]]},"page":"167-171","title":"Community diversity: relative roles of local and regional processes","type":"article-journal","volume":"235"},"uris":["http://www.mendeley.com/documents/?uuid=a832f2dc-4bc2-40b3-8c79-bd63849d9d5c"]},{"id":"ITEM-2","itemData":{"author":[{"dropping-particle":"","family":"Ricklefs","given":"Robert E","non-dropping-particle":"","parse-names":false,"suffix":""}],"container-title":"Ecology letters","id":"ITEM-2","issue":"1","issued":{"date-parts":[["2004"]]},"page":"1-15","publisher":"Wiley Online Library","title":"A comprehensive framework for global patterns in biodiversity","type":"article-journal","volume":"7"},"uris":["http://www.mendeley.com/documents/?uuid=238af75a-b3ae-4919-aaf9-b0dc01f2abf3"]}],"mendeley":{"formattedCitation":"(Ricklefs, 1987, 2004)","plainTextFormattedCitation":"(Ricklefs, 1987, 2004)","previouslyFormattedCitation":"(Ricklefs, 1987, 2004)"},"properties":{"noteIndex":0},"schema":"https://github.com/citation-style-language/schema/raw/master/csl-citation.json"}</w:instrText>
      </w:r>
      <w:r w:rsidR="0056429B">
        <w:fldChar w:fldCharType="separate"/>
      </w:r>
      <w:r w:rsidR="0056429B" w:rsidRPr="0056429B">
        <w:rPr>
          <w:noProof/>
        </w:rPr>
        <w:t>(Ricklefs, 1987, 2004)</w:t>
      </w:r>
      <w:r w:rsidR="0056429B">
        <w:fldChar w:fldCharType="end"/>
      </w:r>
      <w:r w:rsidR="00870B87">
        <w:t xml:space="preserve">; </w:t>
      </w:r>
      <w:r w:rsidR="00870B87" w:rsidRPr="002C20EB">
        <w:rPr>
          <w:highlight w:val="green"/>
        </w:rPr>
        <w:t>Bøhn &amp; Amundsen, 2004</w:t>
      </w:r>
      <w:r w:rsidRPr="002F0553">
        <w:t xml:space="preserve">). Since all three effects are potentially influenced by environmental heterogeneity, the latter may be a particularly important driver of regional species richness </w:t>
      </w:r>
      <w:r>
        <w:t xml:space="preserve">variation </w:t>
      </w:r>
      <w:r w:rsidRPr="002F0553">
        <w:t>(</w:t>
      </w:r>
      <w:r w:rsidRPr="00066121">
        <w:rPr>
          <w:highlight w:val="yellow"/>
        </w:rPr>
        <w:t>refs</w:t>
      </w:r>
      <w:r w:rsidRPr="002F0553">
        <w:t xml:space="preserve">), with </w:t>
      </w:r>
      <w:r w:rsidR="00765D62" w:rsidRPr="002F0553">
        <w:t>physically</w:t>
      </w:r>
      <w:r w:rsidR="008A6286">
        <w:t>-</w:t>
      </w:r>
      <w:r w:rsidR="00765D62" w:rsidRPr="002F0553">
        <w:t>heterogeneous</w:t>
      </w:r>
      <w:r w:rsidRPr="002F0553">
        <w:t xml:space="preserve"> regions </w:t>
      </w:r>
      <w:r w:rsidR="00F20055">
        <w:t>tending</w:t>
      </w:r>
      <w:r w:rsidRPr="002F0553">
        <w:t xml:space="preserve"> to be </w:t>
      </w:r>
      <w:r w:rsidR="00F20055">
        <w:t xml:space="preserve">more </w:t>
      </w:r>
      <w:r w:rsidRPr="002F0553">
        <w:t>species-rich (</w:t>
      </w:r>
      <w:r w:rsidRPr="00066121">
        <w:rPr>
          <w:highlight w:val="yellow"/>
        </w:rPr>
        <w:t>refs</w:t>
      </w:r>
      <w:r w:rsidRPr="002F0553">
        <w:t>). For example, given that the recruitment success of immigrant lineages into a region is often dictated by the pre-adaptations of those lineages (</w:t>
      </w:r>
      <w:r w:rsidRPr="0027221A">
        <w:rPr>
          <w:highlight w:val="green"/>
        </w:rPr>
        <w:t>Ackerly, Donoghue</w:t>
      </w:r>
      <w:r w:rsidR="00235637" w:rsidRPr="0027221A">
        <w:rPr>
          <w:highlight w:val="green"/>
        </w:rPr>
        <w:t xml:space="preserve"> &amp; </w:t>
      </w:r>
      <w:r w:rsidRPr="0027221A">
        <w:rPr>
          <w:highlight w:val="green"/>
        </w:rPr>
        <w:t>Crisp</w:t>
      </w:r>
      <w:r w:rsidR="001F3AA2" w:rsidRPr="001F3AA2">
        <w:rPr>
          <w:highlight w:val="green"/>
        </w:rPr>
        <w:t>, XXXX</w:t>
      </w:r>
      <w:r w:rsidRPr="002F0553">
        <w:t>), a physically-heterogenous environment may promote diversity by admitting a</w:t>
      </w:r>
      <w:r>
        <w:t xml:space="preserve"> more </w:t>
      </w:r>
      <w:r w:rsidR="00765D62">
        <w:t>functionally</w:t>
      </w:r>
      <w:r w:rsidR="003510DE">
        <w:t>-</w:t>
      </w:r>
      <w:r w:rsidR="00765D62">
        <w:t>diverse</w:t>
      </w:r>
      <w:r>
        <w:t xml:space="preserve"> array of</w:t>
      </w:r>
      <w:r w:rsidRPr="002F0553">
        <w:t xml:space="preserve"> immigrant lineages (</w:t>
      </w:r>
      <w:r w:rsidRPr="00066121">
        <w:rPr>
          <w:highlight w:val="yellow"/>
        </w:rPr>
        <w:t>ref</w:t>
      </w:r>
      <w:r w:rsidRPr="002F0553">
        <w:t>). In addition, by virtue of its central role in powering adaptive divergence and</w:t>
      </w:r>
      <w:r>
        <w:t>/or</w:t>
      </w:r>
      <w:r w:rsidRPr="002F0553">
        <w:t xml:space="preserve"> promoting population isolation, </w:t>
      </w:r>
      <w:r w:rsidR="007948F4">
        <w:t>environmental heterogeneity</w:t>
      </w:r>
      <w:r w:rsidRPr="002F0553">
        <w:t xml:space="preserve"> is</w:t>
      </w:r>
      <w:r>
        <w:t xml:space="preserve"> a</w:t>
      </w:r>
      <w:r w:rsidRPr="002F0553">
        <w:t xml:space="preserve"> </w:t>
      </w:r>
      <w:r>
        <w:t xml:space="preserve">critical requirement for speciation under </w:t>
      </w:r>
      <w:r w:rsidRPr="002F0553">
        <w:t xml:space="preserve">most models </w:t>
      </w:r>
      <w:r w:rsidR="00CE1A8E">
        <w:fldChar w:fldCharType="begin" w:fldLock="1"/>
      </w:r>
      <w:r w:rsidR="00627260">
        <w:instrText>ADDIN CSL_CITATION {"citationItems":[{"id":"ITEM-1","itemData":{"DOI":"10.1111/j.1558-5646.2009.00877.x","ISBN":"0014-3820","ISSN":"00143820","PMID":"19891628","abstract":"Since Darwin published the \"Origin,\" great progress has been made in our understanding of speciation mechanisms. The early investigations by Mayr and Dobzhansky linked Darwin's view of speciation by adaptive divergence to the evolution of reproductive isolation, and thus provided a framework for studying the origin of species. However, major controversies and questions remain, including: When is speciation nonecological? Under what conditions does geographic isolation constitute a reproductive isolating barrier? and How do we estimate the \"importance\" of different isolating barriers? Here, we address these questions, providing historical background and offering some new perspectives. A topic of great recent interest is the role of ecology in speciation. \"Ecological speciation\" is defined as the case in which divergent selection leads to reproductive isolation, with speciation under uniform selection, polyploid speciation, and speciation by genetic drift defined as \"nonecological.\" We review these proposed cases of nonecological speciation and conclude that speciation by uniform selection and polyploidy normally involve ecological processes. Furthermore, because selection can impart reproductive isolation both directly through traits under selection and indirectly through pleiotropy and linkage, it is much more effective in producing isolation than genetic drift. We thus argue that natural selection is a ubiquitous part of speciation, and given the many ways in which stochastic and deterministic factors may interact during divergence, we question whether the ecological speciation concept is useful. We also suggest that geographic isolation caused by adaptation to different habitats plays a major, and largely neglected, role in speciation. We thus provide a framework for incorporating geographic isolation into the biological species concept (BSC) by separating ecological from historical processes that govern species distributions, allowing for an estimate of geographic isolation based upon genetic differences between taxa. Finally, we suggest that the individual and relative contributions of all potential barriers be estimated for species pairs that have recently achieved species status under the criteria of the BSC. Only in this way will it be possible to distinguish those barriers that have actually contributed to speciation from those that have accumulated after speciation is complete. We conclude that ecological adaptation is the major driver of repro…","author":[{"dropping-particle":"","family":"Sobel","given":"James M.","non-dropping-particle":"","parse-names":false,"suffix":""},{"dropping-particle":"","family":"Chen","given":"Grace F.","non-dropping-particle":"","parse-names":false,"suffix":""},{"dropping-particle":"","family":"Watt","given":"Lorna R.","non-dropping-particle":"","parse-names":false,"suffix":""},{"dropping-particle":"","family":"Schemske","given":"Douglas W.","non-dropping-particle":"","parse-names":false,"suffix":""}],"container-title":"Evolution","id":"ITEM-1","issue":"2","issued":{"date-parts":[["2010","2"]]},"page":"295-315","title":"The biology of speciation","type":"article-journal","volume":"64"},"uris":["http://www.mendeley.com/documents/?uuid=9e2e8540-0f90-36a3-84f1-cc363fcde52f"]}],"mendeley":{"formattedCitation":"(Sobel, Chen, Watt, &amp; Schemske, 2010)","plainTextFormattedCitation":"(Sobel, Chen, Watt, &amp; Schemske, 2010)","previouslyFormattedCitation":"(Sobel, Chen, Watt, &amp; Schemske, 2010)"},"properties":{"noteIndex":0},"schema":"https://github.com/citation-style-language/schema/raw/master/csl-citation.json"}</w:instrText>
      </w:r>
      <w:r w:rsidR="00CE1A8E">
        <w:fldChar w:fldCharType="separate"/>
      </w:r>
      <w:r w:rsidR="00CE1A8E" w:rsidRPr="00CE1A8E">
        <w:rPr>
          <w:noProof/>
        </w:rPr>
        <w:t>(Sobel, Chen, Watt, &amp; Schemske, 2010)</w:t>
      </w:r>
      <w:r w:rsidR="00CE1A8E">
        <w:fldChar w:fldCharType="end"/>
      </w:r>
      <w:r w:rsidR="00CE1A8E">
        <w:t xml:space="preserve">; </w:t>
      </w:r>
      <w:r w:rsidR="00CE1A8E" w:rsidRPr="001F3AA2">
        <w:rPr>
          <w:highlight w:val="green"/>
        </w:rPr>
        <w:t>Wiens, 2004a</w:t>
      </w:r>
      <w:r w:rsidR="00CE1A8E" w:rsidRPr="0036643B">
        <w:t>,</w:t>
      </w:r>
      <w:r w:rsidR="00CE1A8E" w:rsidRPr="001F3AA2">
        <w:rPr>
          <w:highlight w:val="green"/>
        </w:rPr>
        <w:t>b</w:t>
      </w:r>
      <w:r w:rsidR="00CE1A8E">
        <w:t>)</w:t>
      </w:r>
      <w:r w:rsidRPr="002F0553">
        <w:t xml:space="preserve">. Likewise, </w:t>
      </w:r>
      <w:r>
        <w:t xml:space="preserve">in the context of long-term environmental change, physical </w:t>
      </w:r>
      <w:r w:rsidRPr="002F0553">
        <w:t>heterogene</w:t>
      </w:r>
      <w:r>
        <w:t>ity</w:t>
      </w:r>
      <w:r w:rsidRPr="002F0553">
        <w:t xml:space="preserve"> may </w:t>
      </w:r>
      <w:r>
        <w:t>offer</w:t>
      </w:r>
      <w:r w:rsidRPr="002F0553">
        <w:t xml:space="preserve"> refug</w:t>
      </w:r>
      <w:r>
        <w:t>ia</w:t>
      </w:r>
      <w:r w:rsidRPr="002F0553">
        <w:t xml:space="preserve"> </w:t>
      </w:r>
      <w:r>
        <w:t>to</w:t>
      </w:r>
      <w:r w:rsidRPr="002F0553">
        <w:t xml:space="preserve"> a </w:t>
      </w:r>
      <w:r>
        <w:t>wider array</w:t>
      </w:r>
      <w:r w:rsidRPr="002F0553">
        <w:t xml:space="preserve"> of lineages and so </w:t>
      </w:r>
      <w:r>
        <w:t>confer</w:t>
      </w:r>
      <w:r w:rsidRPr="002F0553">
        <w:t xml:space="preserve"> a </w:t>
      </w:r>
      <w:r>
        <w:t>greater level of</w:t>
      </w:r>
      <w:r w:rsidRPr="002F0553">
        <w:t xml:space="preserve"> buffer</w:t>
      </w:r>
      <w:r>
        <w:t>ing</w:t>
      </w:r>
      <w:r w:rsidRPr="002F0553">
        <w:t xml:space="preserve"> against lineage extinction </w:t>
      </w:r>
      <w:r w:rsidR="00A67894">
        <w:fldChar w:fldCharType="begin" w:fldLock="1"/>
      </w:r>
      <w:r w:rsidR="00A67894">
        <w:instrText>ADDIN CSL_CITATION {"citationItems":[{"id":"ITEM-1","itemData":{"DOI":"10.1016/j.quascirev.2008.08.032","ISSN":"02773791","abstract":"Phylogeography uses the spatial distribution of genealogical lineages to deduce the influence of historical processes on the evolution of species, and can be informative in regard to location of refugia during extreme climatic conditions. Southern Australia is an ancient landscape with generally low geological relief that was not glaciated but did experience significant climatic oscillations from warm wet conditions in interglacials to cool dry environments during glacial maxima. Phylogeographic patterns in many of the biota of southern Australia reveal evidence of geographically structured divergent lineages indicative of contraction to, and expansion from, major refugia. The time frame for this divergence corresponds with mid Pleistocene climatic oscillations that became more extreme with greater amplitude, and with increased aridity and the formation of sandy deserts. Within lineages there is high haplotype diversity that is generally locally distributed, often specific to populations. These patterns do not reveal specific locations of major refugia that have high diversity and acted as an origin for recent range expansion, as has been observed in Northern Hemisphere glaciated regions. Rather it appears there have been multiple localised refugia throughout the distributions of the species, allowing them to persist through multiple climatic cycles in heterogeneous environments. Phylogeographic patterns in southern Australia indicate that major biotic responses to climatic change involve persistence and resilience rather than large-scale migration, indicating the importance of dynamic evolutionary processes and a mosaic of habitats in heterogeneous landscapes for species to persist though changing environmental conditions. © 2008 Elsevier Ltd. All rights reserved.","author":[{"dropping-particle":"","family":"Byrne","given":"M.","non-dropping-particle":"","parse-names":false,"suffix":""}],"container-title":"Quaternary Science Reviews","id":"ITEM-1","issue":"27-28","issued":{"date-parts":[["2008","12"]]},"page":"2576-2585","publisher":"Elsevier Ltd","title":"Evidence for multiple refugia at different time scales during Pleistocene climatic oscillations in southern Australia inferred from phylogeography","type":"article-journal","volume":"27"},"uris":["http://www.mendeley.com/documents/?uuid=d1291e0b-a9c0-442b-a75f-35908667a304"]}],"mendeley":{"formattedCitation":"(Byrne, 2008)","plainTextFormattedCitation":"(Byrne, 2008)","previouslyFormattedCitation":"(Byrne, 2008)"},"properties":{"noteIndex":0},"schema":"https://github.com/citation-style-language/schema/raw/master/csl-citation.json"}</w:instrText>
      </w:r>
      <w:r w:rsidR="00A67894">
        <w:fldChar w:fldCharType="separate"/>
      </w:r>
      <w:r w:rsidR="00A67894" w:rsidRPr="00A67894">
        <w:rPr>
          <w:noProof/>
        </w:rPr>
        <w:t>(Byrne, 2008)</w:t>
      </w:r>
      <w:r w:rsidR="00A67894">
        <w:fldChar w:fldCharType="end"/>
      </w:r>
      <w:r w:rsidRPr="002F0553">
        <w:t xml:space="preserve">. Finally, </w:t>
      </w:r>
      <w:r w:rsidR="007948F4">
        <w:t>environmental heterogeneity</w:t>
      </w:r>
      <w:r w:rsidRPr="002F0553">
        <w:t xml:space="preserve"> has repeatedly been shown to facilitate species coexistence at a variety of scales, </w:t>
      </w:r>
      <w:r w:rsidR="005E5F02" w:rsidRPr="002F0553">
        <w:t>enhanc</w:t>
      </w:r>
      <w:r w:rsidR="005E5F02">
        <w:t>ing</w:t>
      </w:r>
      <w:r w:rsidR="005E5F02" w:rsidRPr="002F0553">
        <w:t xml:space="preserve"> </w:t>
      </w:r>
      <w:r w:rsidRPr="002F0553">
        <w:t>regional species richness (</w:t>
      </w:r>
      <w:r w:rsidRPr="00066121">
        <w:rPr>
          <w:highlight w:val="yellow"/>
        </w:rPr>
        <w:t>refs</w:t>
      </w:r>
      <w:r w:rsidRPr="002F0553">
        <w:t xml:space="preserve">). Differences in </w:t>
      </w:r>
      <w:r w:rsidR="007948F4">
        <w:t>environmental heterogeneity</w:t>
      </w:r>
      <w:r w:rsidRPr="002F0553">
        <w:t xml:space="preserve"> may</w:t>
      </w:r>
      <w:r w:rsidR="00E36422">
        <w:t>,</w:t>
      </w:r>
      <w:r w:rsidRPr="002F0553">
        <w:t xml:space="preserve"> therefore</w:t>
      </w:r>
      <w:r w:rsidR="00E36422">
        <w:t>,</w:t>
      </w:r>
      <w:r w:rsidRPr="002F0553">
        <w:t xml:space="preserve"> be </w:t>
      </w:r>
      <w:r>
        <w:t xml:space="preserve">critically </w:t>
      </w:r>
      <w:r w:rsidRPr="002F0553">
        <w:t>important in accounting for variation in regional species richness, particularly where the regions under comparison are similar in terms of area</w:t>
      </w:r>
      <w:r>
        <w:t>, their physical properties</w:t>
      </w:r>
      <w:r w:rsidRPr="002F0553">
        <w:t xml:space="preserve"> and the </w:t>
      </w:r>
      <w:r w:rsidR="00765D62" w:rsidRPr="002F0553">
        <w:t>timeframes</w:t>
      </w:r>
      <w:r w:rsidRPr="002F0553">
        <w:t xml:space="preserve"> within which their biotas have assembled.</w:t>
      </w:r>
    </w:p>
    <w:p w14:paraId="2EBD671D" w14:textId="05728CD2" w:rsidR="00D04776" w:rsidRDefault="00D04776" w:rsidP="008A4E97">
      <w:pPr>
        <w:pStyle w:val="FirstParagraph"/>
      </w:pPr>
      <w:r w:rsidRPr="002F0553">
        <w:t xml:space="preserve">The </w:t>
      </w:r>
      <w:r>
        <w:t xml:space="preserve">floristically-rich </w:t>
      </w:r>
      <w:r w:rsidRPr="002F0553">
        <w:t xml:space="preserve">South Western Australian Floristic Region (SWAFR; </w:t>
      </w:r>
      <w:r w:rsidR="00C81CF0">
        <w:fldChar w:fldCharType="begin" w:fldLock="1"/>
      </w:r>
      <w:r w:rsidR="006774CD">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Biodiversity","type":"article-journal","volume":"35"},"uris":["http://www.mendeley.com/documents/?uuid=cf433376-e654-49f4-950c-946103ea9c0f"]}],"mendeley":{"formattedCitation":"(Hopper &amp; Gioia, 2004a)","manualFormatting":"Hopper &amp; Gioia, 2004)","plainTextFormattedCitation":"(Hopper &amp; Gioia, 2004a)","previouslyFormattedCitation":"(Hopper &amp; Gioia, 2004a)"},"properties":{"noteIndex":0},"schema":"https://github.com/citation-style-language/schema/raw/master/csl-citation.json"}</w:instrText>
      </w:r>
      <w:r w:rsidR="00C81CF0">
        <w:fldChar w:fldCharType="separate"/>
      </w:r>
      <w:r w:rsidR="00C81CF0" w:rsidRPr="00C81CF0">
        <w:rPr>
          <w:noProof/>
        </w:rPr>
        <w:t>Hopper &amp; Gioia, 2004)</w:t>
      </w:r>
      <w:r w:rsidR="00C81CF0">
        <w:fldChar w:fldCharType="end"/>
      </w:r>
      <w:r w:rsidRPr="002F0553">
        <w:t xml:space="preserve"> and Greater Cape Floristic Region of South Africa (GCFR; </w:t>
      </w:r>
      <w:r w:rsidR="00F8740B">
        <w:fldChar w:fldCharType="begin" w:fldLock="1"/>
      </w:r>
      <w:r w:rsidR="00E74506">
        <w:instrText>ADDIN CSL_CITATION {"citationItems":[{"id":"ITEM-1","itemData":{"DOI":"10.1111/j.1365-2699.2006.01595.x","ISBN":"0305-0270","ISSN":"03050270","abstract":"Abstract Aim The Cape Floristic Region (CFR) (Cape Floristic Kingdom) is currently narrowly delimited to include only the relatively mesic Cape fold mountains and adjacent intermontane valleys and coastal plains. We evaluate the floristic support for expanding the delimitation to include the whole winter-rainfall area (arid and mesic climates) into a Greater CFR. Location Southern Africa, particularly the south-western tip. Methods The initial divisive hierarchical classification analysis twinspan used the presence/absence of vascular plant genera to obtain major floristic groupings in southern Africa. For the more detailed analyses, we scored the flora as present/absent within a set of centres, among which the floristic relationships were investigated (agglomerative methods, upgma and minimum spanning trees). These analyses were conducted with species, genera and families separately. The centres were grouped into five regions. The species richness and endemism was calculated for the centres, regions and combination of regions. The dominant floristic components of each region were sought by calculating the percentage contribution of each family to the flora. Results The divisive method showed that the winter-rainfall areas are floristically distinct from the rest of southern Africa. The species- and generic-level analyses revealed five regions: CFR, Karoo Region, Hantam-Tanqua-Roggeveld Region, Namaqualand Region and Namib-Desert Region. The CFR has the highest endemism and richness. However, the combination of the CFR, the Hantam-Tanqua-Roggeveld Region and the Namaqualand Region results in a higher total endemism. Combined, these three regions almost match the region delimited by the twinspan analysis, and together constitute the Greater CFR. Main conclusions The CFR constitutes a valid floristic region. This is evident from the endemism and the distinctive composition of the flora. However, the total endemism is higher for the whole winter-rainfall area, and this supports the recognition of the larger unit. If floristic regions are to be delimited only on endemism, then the Greater CFR is to be preferred. If floristic regions are delimited on the composition of their floras at family level, then the support for such a grouping is weaker","author":[{"dropping-particle":"","family":"Born","given":"J.","non-dropping-particle":"","parse-names":false,"suffix":""},{"dropping-particle":"","family":"Linder","given":"H. P.","non-dropping-particle":"","parse-names":false,"suffix":""},{"dropping-particle":"","family":"Desmet","given":"P.","non-dropping-particle":"","parse-names":false,"suffix":""}],"container-title":"Journal of Biogeography","id":"ITEM-1","issue":"1","issued":{"date-parts":[["2007"]]},"page":"147-162","title":"The Greater Cape Floristic Region","type":"article-journal","volume":"34"},"uris":["http://www.mendeley.com/documents/?uuid=633d6fb4-fc19-4b70-bbab-fd8689e947c3"]}],"mendeley":{"formattedCitation":"(J. Born, Linder, &amp; Desmet, 2007)","manualFormatting":"Born, Linder, &amp; Desmet, 2007)","plainTextFormattedCitation":"(J. Born, Linder, &amp; Desmet, 2007)","previouslyFormattedCitation":"(J. Born, Linder, &amp; Desmet, 2007)"},"properties":{"noteIndex":0},"schema":"https://github.com/citation-style-language/schema/raw/master/csl-citation.json"}</w:instrText>
      </w:r>
      <w:r w:rsidR="00F8740B">
        <w:fldChar w:fldCharType="separate"/>
      </w:r>
      <w:r w:rsidR="00F8740B" w:rsidRPr="00F8740B">
        <w:rPr>
          <w:noProof/>
        </w:rPr>
        <w:t>Born, Linder, &amp; Desmet, 2007)</w:t>
      </w:r>
      <w:r w:rsidR="00F8740B">
        <w:fldChar w:fldCharType="end"/>
      </w:r>
      <w:r w:rsidRPr="002F0553">
        <w:t xml:space="preserve"> </w:t>
      </w:r>
      <w:r>
        <w:t>constitute</w:t>
      </w:r>
      <w:r w:rsidRPr="002F0553">
        <w:t xml:space="preserve"> a case in point. Situated on the southwestern corners of their respective continents, the climates of both these regions have been oceanically-moderated at least since the Cretaceous, </w:t>
      </w:r>
      <w:r>
        <w:t>and both are</w:t>
      </w:r>
      <w:r w:rsidRPr="002F0553">
        <w:t xml:space="preserve"> dominated by a contemporary mediterranean-type climate </w:t>
      </w:r>
      <w:r>
        <w:t>whose origin can be traced to</w:t>
      </w:r>
      <w:r w:rsidRPr="002F0553">
        <w:t xml:space="preserve"> the Early</w:t>
      </w:r>
      <w:r>
        <w:t>-Middle</w:t>
      </w:r>
      <w:r w:rsidRPr="002F0553">
        <w:t xml:space="preserve"> (SWAFR: </w:t>
      </w:r>
      <w:r w:rsidR="009735F1">
        <w:fldChar w:fldCharType="begin" w:fldLock="1"/>
      </w:r>
      <w:r w:rsidR="000F117A">
        <w:instrText>true</w:instrText>
      </w:r>
      <w:r w:rsidR="009735F1">
        <w:fldChar w:fldCharType="separate"/>
      </w:r>
      <w:r w:rsidR="009735F1" w:rsidRPr="009735F1">
        <w:rPr>
          <w:noProof/>
        </w:rPr>
        <w:t>Rundel et al., 2016</w:t>
      </w:r>
      <w:r w:rsidR="009735F1">
        <w:fldChar w:fldCharType="end"/>
      </w:r>
      <w:r w:rsidRPr="002F0553">
        <w:t xml:space="preserve">; </w:t>
      </w:r>
      <w:r w:rsidR="00AA114B">
        <w:fldChar w:fldCharType="begin" w:fldLock="1"/>
      </w:r>
      <w:r w:rsidR="008D71CC">
        <w:instrText>ADDIN CSL_CITATION {"citationItems":[{"id":"ITEM-1","itemData":{"DOI":"10.1016/j.gloplacha.2017.08.004","ISSN":"09218181","abstract":"Knowing the environments under which biota have evolved is essential for understanding the functional traits that they possess. Here, we ask when a Mediterranean-type climate (MTC) originated in Western Australia that might help to explain some of its special plant adaptations to summer drought and heat, mild wet winters and intense summer fires. Periodic drought and fire can be traced back to the Cretaceous in southwestern Australia (SWA) but its seasonality is unknown. Previous estimates of the origin of the MTC in SWA have varied from 30 to 3 million years ago (Ma). An early proposal was that it originated in northwestern Australia 30 Ma and migrated south to its present location for which we find independent support. We collated 47 cases of what is currently known about the time of origin of adaptive responses to summer drought and heat, wet winters and periodic intense fire among flowering plants in SWA. About 15% arose in the 40–30-million-year (My) period, 32% in the 30–20-My period and 47% in the 20–10-My period, suggesting that a MTC may have been widespread in SWA by the mid-Miocene, but there may have been local appearances (proto-MTC) up to 20 My earlier. Uncertainties remain about the location of lineages at various times, the fitness benefits of apparent adaptive traits and their confinement to a MTC, and the significance of the origin versus the onset of diversification of traits. The current dearth of C4 grasses in SWA is consistent with other indications of the absence of a prior history of a summer-dominant rainfall, suggesting that the current MTC arose from a uniform-rainfall climate. Other lines of evidence that might refine these findings include the chemical composition of, and application of geochronometers to, laterites, carbonates and corals that have been used with success elsewhere. We conclude by noting that there may have been a mixture of climates for much of the time, indicated by the persistence of a few rainforest species up to 3 Ma, while there have been strong climatic oscillations about a MTC ‘mean’ over the last 5 My.","author":[{"dropping-particle":"","family":"Lamont","given":"Byron B.","non-dropping-particle":"","parse-names":false,"suffix":""},{"dropping-particle":"","family":"He","given":"Tianhua","non-dropping-particle":"","parse-names":false,"suffix":""}],"container-title":"Global and Planetary Change","id":"ITEM-1","issued":{"date-parts":[["2017"]]},"page":"46-58","publisher":"Elsevier","title":"When did a Mediterranean-type climate originate in southwestern Australia?","type":"article-journal","volume":"156"},"uris":["http://www.mendeley.com/documents/?uuid=7bb54acc-b942-4ecb-8a9b-ab5613f97f79"]}],"mendeley":{"formattedCitation":"(Lamont &amp; He, 2017)","manualFormatting":"Lamont &amp; He, 2017","plainTextFormattedCitation":"(Lamont &amp; He, 2017)","previouslyFormattedCitation":"(Lamont &amp; He, 2017)"},"properties":{"noteIndex":0},"schema":"https://github.com/citation-style-language/schema/raw/master/csl-citation.json"}</w:instrText>
      </w:r>
      <w:r w:rsidR="00AA114B">
        <w:fldChar w:fldCharType="separate"/>
      </w:r>
      <w:r w:rsidR="00AA114B" w:rsidRPr="00AA114B">
        <w:rPr>
          <w:noProof/>
        </w:rPr>
        <w:t>Lamont &amp; He, 2017</w:t>
      </w:r>
      <w:r w:rsidR="00AA114B">
        <w:fldChar w:fldCharType="end"/>
      </w:r>
      <w:r w:rsidRPr="002F0553">
        <w:t xml:space="preserve">) or Late Miocene (GCFR: </w:t>
      </w:r>
      <w:r w:rsidR="0049005E">
        <w:fldChar w:fldCharType="begin" w:fldLock="1"/>
      </w:r>
      <w:r w:rsidR="001F3AA2">
        <w:instrText>true</w:instrText>
      </w:r>
      <w:r w:rsidR="0049005E">
        <w:fldChar w:fldCharType="separate"/>
      </w:r>
      <w:r w:rsidR="0049005E" w:rsidRPr="0049005E">
        <w:rPr>
          <w:noProof/>
        </w:rPr>
        <w:t>Dupont, Linder, Rommerskirchen, &amp; Schefuss, 2011; Hoffmann, Verboom, &amp; Cotterill, 2015)</w:t>
      </w:r>
      <w:r w:rsidR="0049005E">
        <w:fldChar w:fldCharType="end"/>
      </w:r>
      <w:r w:rsidRPr="002F0553">
        <w:t xml:space="preserve">. </w:t>
      </w:r>
      <w:r>
        <w:t>In addition</w:t>
      </w:r>
      <w:r w:rsidRPr="00A432DE">
        <w:t>, both regions have been unglaciated since the Permian and are dominated by ancient, weathered landscapes whose soil-nutritional status is amongst the lowest of any landscape on Earth (</w:t>
      </w:r>
      <w:r w:rsidRPr="00D7395A">
        <w:rPr>
          <w:highlight w:val="green"/>
        </w:rPr>
        <w:t xml:space="preserve">Stock </w:t>
      </w:r>
      <w:r w:rsidR="00B8268E" w:rsidRPr="00D7395A">
        <w:rPr>
          <w:highlight w:val="green"/>
        </w:rPr>
        <w:t>&amp;</w:t>
      </w:r>
      <w:r w:rsidRPr="00D7395A">
        <w:rPr>
          <w:highlight w:val="green"/>
        </w:rPr>
        <w:t xml:space="preserve"> Verboom</w:t>
      </w:r>
      <w:r w:rsidR="00B847F4" w:rsidRPr="00D7395A">
        <w:rPr>
          <w:highlight w:val="green"/>
        </w:rPr>
        <w:t>,</w:t>
      </w:r>
      <w:r w:rsidR="00C40608" w:rsidRPr="00D7395A">
        <w:rPr>
          <w:highlight w:val="green"/>
        </w:rPr>
        <w:t xml:space="preserve"> </w:t>
      </w:r>
      <w:r w:rsidR="00705608" w:rsidRPr="00D7395A">
        <w:rPr>
          <w:highlight w:val="green"/>
        </w:rPr>
        <w:t>2012</w:t>
      </w:r>
      <w:r w:rsidRPr="00A432DE">
        <w:t>)</w:t>
      </w:r>
      <w:r>
        <w:t xml:space="preserve">, hence their designation as </w:t>
      </w:r>
      <w:r w:rsidR="00217AAC">
        <w:t xml:space="preserve">old, climatically-buffered infertile landscapes </w:t>
      </w:r>
      <w:r>
        <w:t>(</w:t>
      </w:r>
      <w:r w:rsidR="00217AAC">
        <w:t>OCBILs</w:t>
      </w:r>
      <w:r>
        <w:t>;</w:t>
      </w:r>
      <w:r w:rsidR="008D71CC">
        <w:t xml:space="preserve"> </w:t>
      </w:r>
      <w:r w:rsidR="008D71CC">
        <w:fldChar w:fldCharType="begin" w:fldLock="1"/>
      </w:r>
      <w:r w:rsidR="002A0921">
        <w:instrText>ADDIN CSL_CITATION {"citationItems":[{"id":"ITEM-1","itemData":{"DOI":"10.1007/s11104-009-0068-0","ISSN":"0032079X","abstract":"OCBIL theory aims to develop an integrated series of hypotheses explaining the evolution and ecology of, and best conservation practices for, biota on very old, climatically buffered, infertile landscapes (OCBILs). Conventional theory for ecology and evolutionary and conservation biology has developed primarily from data on species and communities from young, often disturbed, fertile landscapes (YODFELs), mainly in the Northern Hemisphere. OCBILs are rare, but are prominent in the Southwest Australian Floristic Region, South Africa's Greater Cape, and Venezuela's Pantepui Highlands. They may have been more common globally before Pleistocene glaciations. Based on the premise that natural selection has favoured limited dispersability of sedentary organisms, OCBILs should have elevated persistence of lineages (Gondwanan Heritage Hypothesis) and long-lived individuals (Ultimate Self Hypothesis), high numbers of localised rare endemics and strongly differentiated population systems. To counter such natural fragmentation and inbreeding due to small population size, ecological, cytogenetic and genetic mechanisms selecting for the retention of heterozygosity should feature (the James Effect). The climatic stability of OCBILs should be paralleled by persistence of adjacent semi-arid areas, conducive to speciation (Semiarid Cradle Hypothesis). Special nutritional and other biological traits associated with coping with infertile lands should be evident, accentuated in plants, for example, through waterforaging strategies, symbioses, carnivory, pollination and parasitism. The uniquely flat landscapes of southwestern Australia have had prolonged presence of saline lakes along palaeoriver systems favouring evolution of accentuated tolerance to salinity. Lastly, unusual resiliences and vulnerabilities might be evident among OCBIL organisms, such as enhanced abilities to persist in small fragmented populations but great susceptibility to major soil disturbances. In those places where it is most pertinent, OCBIL theory hopefully lays a foundation for future research and for better informed conservation management. © Springer Science + Business Media B.V. 2009.","author":[{"dropping-particle":"","family":"Hopper","given":"Stephen D.","non-dropping-particle":"","parse-names":false,"suffix":""}],"container-title":"Plant and Soil","id":"ITEM-1","issue":"1","issued":{"date-parts":[["2009"]]},"page":"49-86","title":"OCBIL theory: Towards an integrated understanding of the evolution, ecology and conservation of biodiversity on old, climatically buffered, infertile landscapes","type":"article-journal","volume":"322"},"uris":["http://www.mendeley.com/documents/?uuid=3245e19e-125b-4c74-aa4c-0d0c29930a90"]}],"mendeley":{"formattedCitation":"(Hopper, 2009)","manualFormatting":"Hopper, 2009","plainTextFormattedCitation":"(Hopper, 2009)","previouslyFormattedCitation":"(Hopper, 2009)"},"properties":{"noteIndex":0},"schema":"https://github.com/citation-style-language/schema/raw/master/csl-citation.json"}</w:instrText>
      </w:r>
      <w:r w:rsidR="008D71CC">
        <w:fldChar w:fldCharType="separate"/>
      </w:r>
      <w:r w:rsidR="008D71CC" w:rsidRPr="008D71CC">
        <w:rPr>
          <w:noProof/>
        </w:rPr>
        <w:t>Hopper, 2009</w:t>
      </w:r>
      <w:r w:rsidR="008D71CC">
        <w:fldChar w:fldCharType="end"/>
      </w:r>
      <w:r>
        <w:t xml:space="preserve">). Owing to these environmental similarities, the SWAFR and GCFR floras are very similar </w:t>
      </w:r>
      <w:r w:rsidR="00217AAC">
        <w:t>with respect to</w:t>
      </w:r>
      <w:r>
        <w:t xml:space="preserve"> their </w:t>
      </w:r>
      <w:r w:rsidR="00644D4A">
        <w:t xml:space="preserve">plant </w:t>
      </w:r>
      <w:r>
        <w:t>functional trait spectra</w:t>
      </w:r>
      <w:r w:rsidR="002A0921">
        <w:t xml:space="preserve"> </w:t>
      </w:r>
      <w:r w:rsidR="00017496">
        <w:fldChar w:fldCharType="begin" w:fldLock="1"/>
      </w:r>
      <w:r w:rsidR="00020F42">
        <w:instrText>ADDIN CSL_CITATION {"citationItems":[{"id":"ITEM-1","itemData":{"DOI":"10.2307/2846038","ISSN":"03050270","abstract":"This paper analyses the edaphic and biological aspects of plant endemism in floristic lists from five edaphically matched sites, and the taxonomic aspects in regional floras, from the Agulhas Plain, South Africa and the Barrens, south western Australia. The two regions are very closely matched in terms of their mediterranean-typec limates, landforms, soil types and disturbance regimes. Both regions have large neo-endemic floras. At the flora level, the incidence of local and regional endemism was almost identical on both continents (c. 6% and 22%, respectively) and endemics were not a random assemblage taxonomically. Endemics were over-represented among taxa speciose only in Australia (e.g. Myrtaceae) and only in South Africa (e.g. Mesembryanthemaceae), as well as among taxa richly represented on both continents (Proteaceae, Ericaceae/Epacridaceae)I. n both regions different edaphic sites supported floristically distinct sclerophyllous shrublands. Levels of narrow endemism on the various substrata were similar on both continents, ranging from near zero on the relatively fertile calcareous sands to 30% on the highly infertile quartzites and siliceous sands. Relative to Australia, however, endemics on limestone were significantly over-represented in South Africa. On both continents more than 90% of endemics were edaphic specialists. There were differences for the two regions in the biological profiles of endemics. South African endemics were most likely to be low shrubs with soil-stored and ant-dispersed seed. Australian endemics were concentrated among low to medium height shrubs with either canopy-stored or soil-stored seed. Differential diversification of lineages with different ecological traits probably accounts for these different profiles. Nonetheless, the strong overall similarities in patterns of endemism on the two continents suggests similar speciation histories in phylogenetically distantly related floras.","author":[{"dropping-particle":"","family":"Cowling","given":"R. M.","non-dropping-particle":"","parse-names":false,"suffix":""},{"dropping-particle":"","family":"Witkowski","given":"E. T. F.","non-dropping-particle":"","parse-names":false,"suffix":""},{"dropping-particle":"V.","family":"Milewski","given":"A.","non-dropping-particle":"","parse-names":false,"suffix":""},{"dropping-particle":"","family":"Newbey","given":"K. R.","non-dropping-particle":"","parse-names":false,"suffix":""}],"container-title":"Journal of Biogeography","id":"ITEM-1","issue":"6","issued":{"date-parts":[["1994","11"]]},"page":"651","title":"Taxonomic, Edaphic and Biological Aspects of Narrow Plant Endemism on Matched Sites in Mediterranean South Africa and Australia","type":"article-journal","volume":"21"},"uris":["http://www.mendeley.com/documents/?uuid=449e9e3c-5bea-4362-9d39-2fdab3a0ea6b"]}],"mendeley":{"formattedCitation":"(R. M. Cowling, Witkowski, Milewski, &amp; Newbey, 1994)","manualFormatting":"(Cowling, Witkowski, Milewski, &amp; Newbey, 1994)","plainTextFormattedCitation":"(R. M. Cowling, Witkowski, Milewski, &amp; Newbey, 1994)","previouslyFormattedCitation":"(R. M. Cowling, Witkowski, Milewski, &amp; Newbey, 1994)"},"properties":{"noteIndex":0},"schema":"https://github.com/citation-style-language/schema/raw/master/csl-citation.json"}</w:instrText>
      </w:r>
      <w:r w:rsidR="00017496">
        <w:fldChar w:fldCharType="separate"/>
      </w:r>
      <w:r w:rsidR="002D7223" w:rsidRPr="002D7223">
        <w:rPr>
          <w:noProof/>
        </w:rPr>
        <w:t>(Cowling, Witkowski, Milewski, &amp; Newbey, 1994)</w:t>
      </w:r>
      <w:r w:rsidR="00017496">
        <w:fldChar w:fldCharType="end"/>
      </w:r>
      <w:r>
        <w:t xml:space="preserve">, </w:t>
      </w:r>
      <w:r w:rsidR="00217AAC">
        <w:t>al</w:t>
      </w:r>
      <w:r>
        <w:t xml:space="preserve">though the presence of a significant tree component in the SWAFR underpins a striking difference in vegetation physiognomy </w:t>
      </w:r>
      <w:r w:rsidR="00E16405">
        <w:fldChar w:fldCharType="begin" w:fldLock="1"/>
      </w:r>
      <w:r w:rsidR="004E5115">
        <w:instrText>ADDIN CSL_CITATION {"citationItems":[{"id":"ITEM-1","itemData":{"DOI":"10.2307/2844553","ISSN":"03050270","abstract":"A detailed comparison is made of the height of vegetation under apparently similar climates in Australia and southern Africa. The Barrens on the south coast of Western Australia and the Caledon coast in South Africa receive only light falls of winter frontal rain, resulting in very similar mediterranean climates. Vegetation consisting of tall shrubs consequently occurs in both of these areas although formed of different floras. Elsewhere under a mediterranean and associated arid climate, tall trees grow in Australia where, on similar soils, only shrubs or low trees grow in southern Africa. However it is now realised that these parts of Australia are exposed to rain-storms made more intense by the warmth of the off-shore waters west and north-west of the continent. The mediterranean climate on the west coast receives intense winter rain absent from South Africa. In addition, occasional but extremely heavy rains originating off the north-west of Australia during late summer and autumn affect the arid area inland and north of the mediterranean climate which would otherwise have only very light winter rainfall and a vegetation of low shrubs. It is suggested that trees are widespread in dry environements in Australia because of unusually effective, deep wetting rainfall rather than the peculiar flora of the region.","author":[{"dropping-particle":"V.","family":"Milewski","given":"A.","non-dropping-particle":"","parse-names":false,"suffix":""}],"container-title":"Journal of Biogeography","id":"ITEM-1","issue":"2","issued":{"date-parts":[["1981","3"]]},"page":"107","title":"A comparison of vegetation height in relation to the effectiveness of rainfall in the mediterranean and adjacent arid parts of Australia and South Africa","type":"article-journal","volume":"8"},"uris":["http://www.mendeley.com/documents/?uuid=8b6f9076-1ace-4d92-aa06-bdd5869e41c7"]},{"id":"ITEM-2","itemData":{"DOI":"10.1046/j.1365-2699.2000.00509.x","ISBN":"1365-2699","ISSN":"03050270","PMID":"1605","abstract":"Aim Estimates of endemic and non-endemic native vascular plant species in each of the three Western Australian Botanical Provinces were made by East in 1912 and Beard in 1969. The present paper contains an updated assessment of species endemism in the State. Location Western Australia comprises one third of the continental Australian land mass. It extends from 13° to 35° S and 113° to 129° W. Methods Western Australia is recognized as having three Botanical Provinces (Northern, Eremaean and South-West) each divided into a number of Botanical Districts. Updated statistics for number of species and species endemism in each Province are based on the Census of Western Australian Plants data base at the Western Australian Herbarium (Western Australian Herbarium, 1998 onwards). Results The number of known species in Western Australia has risen steadily over the years but reputed endemism has declined in the Northern and Eremaean Provinces where cross-continental floras are common. Only the isolated South-West Province retains high rates of endemism (79%). Main conclusions With 5710 native species, the South-West Province contains about the same number as the California Floristic Province which has a similar area. The Italian mediterranean zone also contains about this number but in a smaller area, while the much smaller Cape Floristic Region has almost twice as many native species. The percentage of endemic species is highest at the Cape, somewhat less in south-western Australia and less again in California. Italy, at 12.5%, has the lowest value. Apart from Italy, it is usual for endemism to reach high values in the largest plant families. In Western Australia, these mainly include woody sclerophyll shrubs and herbaceous perennials with special adaptations to environmental conditions. While those life forms are prominent in the Cape, that region differs in the great importance of herbaceous families and succulents, both of which are virtually absent from Western Australia. In California and Italy, most endemics are in families of annual, herbaceous perennial and soft shrub plants. It is suggested that the dominant factor shaping the South-West Province flora is the extreme poverty of the area’s soils, a feature that emphasizes sclerophylly, favours habitat specialization and ensures relatively many local endemic species.","author":[{"dropping-particle":"","family":"Beard","given":"J. S.","non-dropping-particle":"","parse-names":false,"suffix":""},{"dropping-particle":"","family":"Chapman","given":"A. R.","non-dropping-particle":"","parse-names":false,"suffix":""},{"dropping-particle":"","family":"Gioia","given":"P.","non-dropping-particle":"","parse-names":false,"suffix":""}],"container-title":"Journal of Biogeography","id":"ITEM-2","issue":"6","issued":{"date-parts":[["2000","11"]]},"page":"1257-1268","title":"Species richness and endemism in the Western Australian flora","type":"article-journal","volume":"27"},"uris":["http://www.mendeley.com/documents/?uuid=ac2168c1-04a9-4f8e-a292-6a6c13db388c"]}],"mendeley":{"formattedCitation":"(Beard, Chapman, &amp; Gioia, 2000; Milewski, 1981)","plainTextFormattedCitation":"(Beard, Chapman, &amp; Gioia, 2000; Milewski, 1981)","previouslyFormattedCitation":"(Beard, Chapman, &amp; Gioia, 2000; Milewski, 1981)"},"properties":{"noteIndex":0},"schema":"https://github.com/citation-style-language/schema/raw/master/csl-citation.json"}</w:instrText>
      </w:r>
      <w:r w:rsidR="00E16405">
        <w:fldChar w:fldCharType="separate"/>
      </w:r>
      <w:r w:rsidR="00E16405" w:rsidRPr="00E16405">
        <w:rPr>
          <w:noProof/>
        </w:rPr>
        <w:t>(Beard, Chapman, &amp; Gioia, 2000; Milewski, 1981)</w:t>
      </w:r>
      <w:r w:rsidR="00E16405">
        <w:fldChar w:fldCharType="end"/>
      </w:r>
      <w:r>
        <w:t xml:space="preserve">. Moreover, the long-term climatic and geological stability of the two regions ensures that the native floras of both reflect long histories of assembly, extending back to the Palaeocene and possibly even </w:t>
      </w:r>
      <w:r>
        <w:lastRenderedPageBreak/>
        <w:t>earlier (</w:t>
      </w:r>
      <w:r w:rsidRPr="004D5D8A">
        <w:rPr>
          <w:highlight w:val="yellow"/>
        </w:rPr>
        <w:t>refs</w:t>
      </w:r>
      <w:r>
        <w:t>), with evidence of a long history of transoceanic dispersal between the</w:t>
      </w:r>
      <w:r w:rsidR="00705608">
        <w:t>m</w:t>
      </w:r>
      <w:r>
        <w:t xml:space="preserve"> </w:t>
      </w:r>
      <w:r w:rsidR="00627260">
        <w:fldChar w:fldCharType="begin" w:fldLock="1"/>
      </w:r>
      <w:r w:rsidR="00F72828">
        <w:instrText>ADDIN CSL_CITATION {"citationItems":[{"id":"ITEM-1","itemData":{"author":[{"dropping-particle":"","family":"Bergh","given":"Nicola G","non-dropping-particle":"","parse-names":false,"suffix":""},{"dropping-particle":"","family":"Linder","given":"H Peter","non-dropping-particle":"","parse-names":false,"suffix":""}],"container-title":"Molecular Phylogenetics and Evolution","id":"ITEM-1","issue":"1","issued":{"date-parts":[["2009"]]},"page":"5-18","publisher":"Elsevier","title":"Cape diversification and repeated out-of-southern-Africa dispersal in paper daisies (Asteraceae--Gnaphalieae)","type":"article-journal","volume":"51"},"uris":["http://www.mendeley.com/documents/?uuid=9678454c-d5cf-43c6-8ca8-ad6841aabd57"]}],"mendeley":{"formattedCitation":"(Bergh &amp; Linder, 2009)","plainTextFormattedCitation":"(Bergh &amp; Linder, 2009)","previouslyFormattedCitation":"(Bergh &amp; Linder, 2009)"},"properties":{"noteIndex":0},"schema":"https://github.com/citation-style-language/schema/raw/master/csl-citation.json"}</w:instrText>
      </w:r>
      <w:r w:rsidR="00627260">
        <w:fldChar w:fldCharType="separate"/>
      </w:r>
      <w:r w:rsidR="00627260" w:rsidRPr="00627260">
        <w:rPr>
          <w:noProof/>
        </w:rPr>
        <w:t>(Bergh &amp; Linder, 2009)</w:t>
      </w:r>
      <w:r w:rsidR="00627260">
        <w:fldChar w:fldCharType="end"/>
      </w:r>
      <w:r>
        <w:t>. In this context, it is unsurprising that the two floras show strong taxonomic affinities and that both are species-rich with high levels of regional endemism (</w:t>
      </w:r>
      <w:r w:rsidRPr="00F20A95">
        <w:rPr>
          <w:highlight w:val="yellow"/>
        </w:rPr>
        <w:t>refs</w:t>
      </w:r>
      <w:r>
        <w:t>).</w:t>
      </w:r>
    </w:p>
    <w:p w14:paraId="33297E6E" w14:textId="48CB06FB" w:rsidR="00D04776" w:rsidRPr="002C20EB" w:rsidRDefault="00D04776" w:rsidP="002C20EB">
      <w:pPr>
        <w:pStyle w:val="BodyText"/>
        <w:rPr>
          <w:lang w:val="en-ZA"/>
        </w:rPr>
      </w:pPr>
      <w:r>
        <w:t>Notwithstanding these similarities, the SWAFR and GCFR differ markedly in terms of their vascular plant species</w:t>
      </w:r>
      <w:r w:rsidR="001541B2">
        <w:t xml:space="preserve"> </w:t>
      </w:r>
      <w:r>
        <w:t xml:space="preserve">richness, particularly when considered in relation to geographical area. Where the SWAFR accommodates </w:t>
      </w:r>
      <w:r w:rsidR="00632A02">
        <w:t>ca.</w:t>
      </w:r>
      <w:r w:rsidR="00236CF0">
        <w:t xml:space="preserve"> </w:t>
      </w:r>
      <w:r>
        <w:t xml:space="preserve">7,380 species in an area of </w:t>
      </w:r>
      <w:r w:rsidR="006462CD">
        <w:t xml:space="preserve">ca. </w:t>
      </w:r>
      <w:r>
        <w:t>302,600 km</w:t>
      </w:r>
      <w:r>
        <w:rPr>
          <w:vertAlign w:val="superscript"/>
        </w:rPr>
        <w:t>2</w:t>
      </w:r>
      <w:r>
        <w:t xml:space="preserve"> (i.e. 0.024 species km</w:t>
      </w:r>
      <w:r>
        <w:rPr>
          <w:vertAlign w:val="superscript"/>
        </w:rPr>
        <w:t>-2</w:t>
      </w:r>
      <w:r>
        <w:t xml:space="preserve">; </w:t>
      </w:r>
      <w:r w:rsidR="00F24CDB">
        <w:fldChar w:fldCharType="begin" w:fldLock="1"/>
      </w:r>
      <w:r w:rsidR="00411C29">
        <w:instrText>ADDIN CSL_CITATION {"citationItems":[{"id":"ITEM-1","itemData":{"DOI":"10.1146/annurev.ecolsys.35.112202.130201","ISSN":"00664162","abstract":"Like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Systematics","id":"ITEM-1","issued":{"date-parts":[["2004"]]},"page":"623-650","title":"The Southwest Australian floristic region: Evolution and conservation of a global hot spot of biodiversity","type":"article-journal","volume":"35"},"uris":["http://www.mendeley.com/documents/?uuid=85cab335-61f8-4414-a150-449fba523731"]}],"mendeley":{"formattedCitation":"(Hopper &amp; Gioia, 2004b)","manualFormatting":"Hopper &amp; Gioia, 2004)","plainTextFormattedCitation":"(Hopper &amp; Gioia, 2004b)","previouslyFormattedCitation":"(Hopper &amp; Gioia, 2004b)"},"properties":{"noteIndex":0},"schema":"https://github.com/citation-style-language/schema/raw/master/csl-citation.json"}</w:instrText>
      </w:r>
      <w:r w:rsidR="00F24CDB">
        <w:fldChar w:fldCharType="separate"/>
      </w:r>
      <w:r w:rsidR="00F24CDB" w:rsidRPr="00F24CDB">
        <w:rPr>
          <w:noProof/>
        </w:rPr>
        <w:t>Hopper &amp; Gioia, 2004)</w:t>
      </w:r>
      <w:r w:rsidR="00F24CDB">
        <w:fldChar w:fldCharType="end"/>
      </w:r>
      <w:r>
        <w:t xml:space="preserve">, the GCFR </w:t>
      </w:r>
      <w:r w:rsidR="00236CF0">
        <w:t xml:space="preserve">is home to </w:t>
      </w:r>
      <w:r w:rsidR="006462CD">
        <w:t xml:space="preserve">ca. </w:t>
      </w:r>
      <w:r>
        <w:t xml:space="preserve">11,430 species in an area of </w:t>
      </w:r>
      <w:r w:rsidR="002E231B">
        <w:t xml:space="preserve">ca. </w:t>
      </w:r>
      <w:r>
        <w:t>189,700 km</w:t>
      </w:r>
      <w:r>
        <w:rPr>
          <w:vertAlign w:val="superscript"/>
        </w:rPr>
        <w:t>2</w:t>
      </w:r>
      <w:r>
        <w:t xml:space="preserve"> (i.e. 0.060 species km</w:t>
      </w:r>
      <w:r>
        <w:rPr>
          <w:vertAlign w:val="superscript"/>
        </w:rPr>
        <w:t>-2</w:t>
      </w:r>
      <w:r>
        <w:t xml:space="preserve">; </w:t>
      </w:r>
      <w:r w:rsidRPr="005A1AF0">
        <w:rPr>
          <w:highlight w:val="green"/>
        </w:rPr>
        <w:t>Snijman</w:t>
      </w:r>
      <w:r w:rsidR="00B847F4" w:rsidRPr="005A1AF0">
        <w:rPr>
          <w:highlight w:val="green"/>
        </w:rPr>
        <w:t>,</w:t>
      </w:r>
      <w:r w:rsidRPr="005A1AF0">
        <w:rPr>
          <w:highlight w:val="green"/>
        </w:rPr>
        <w:t xml:space="preserve"> 2013</w:t>
      </w:r>
      <w:r>
        <w:t xml:space="preserve">). </w:t>
      </w:r>
      <w:r w:rsidR="00872425">
        <w:t xml:space="preserve">Although on-going identification of new species </w:t>
      </w:r>
      <w:r w:rsidR="000D32D5">
        <w:t xml:space="preserve">may change these statistics (e.g. </w:t>
      </w:r>
      <w:r w:rsidR="004E5115">
        <w:fldChar w:fldCharType="begin" w:fldLock="1"/>
      </w:r>
      <w:r w:rsidR="00CC44C1">
        <w:instrText>ADDIN CSL_CITATION {"citationItems":[{"id":"ITEM-1","itemData":{"DOI":"10.1093/botlinnean/box010","ISSN":"10958339","abstract":"After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Society","id":"ITEM-1","issue":"1","issued":{"date-parts":[["2017"]]},"page":"1-15","title":"A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2017)","manualFormatting":"Gioia &amp; Hopper, 2017","plainTextFormattedCitation":"(Gioia &amp; Hopper, 2017)","previouslyFormattedCitation":"(Gioia &amp; Hopper, 2017)"},"properties":{"noteIndex":0},"schema":"https://github.com/citation-style-language/schema/raw/master/csl-citation.json"}</w:instrText>
      </w:r>
      <w:r w:rsidR="004E5115">
        <w:fldChar w:fldCharType="separate"/>
      </w:r>
      <w:r w:rsidR="004E5115" w:rsidRPr="004E5115">
        <w:rPr>
          <w:noProof/>
        </w:rPr>
        <w:t>Gioia &amp; Hopper, 2017</w:t>
      </w:r>
      <w:r w:rsidR="004E5115">
        <w:fldChar w:fldCharType="end"/>
      </w:r>
      <w:r w:rsidR="000D32D5">
        <w:t>), the overall differences in species km</w:t>
      </w:r>
      <w:r w:rsidR="000D32D5" w:rsidRPr="00F12728">
        <w:rPr>
          <w:vertAlign w:val="superscript"/>
        </w:rPr>
        <w:t>-2</w:t>
      </w:r>
      <w:r w:rsidR="000D32D5">
        <w:t xml:space="preserve"> are quite dramatic. </w:t>
      </w:r>
      <w:r>
        <w:t xml:space="preserve">One </w:t>
      </w:r>
      <w:r w:rsidR="000D32D5">
        <w:t xml:space="preserve">possible </w:t>
      </w:r>
      <w:r>
        <w:t xml:space="preserve">explanation for this striking 2.5-fold species richness difference (per </w:t>
      </w:r>
      <w:r w:rsidR="00F177A5">
        <w:t xml:space="preserve">unit </w:t>
      </w:r>
      <w:r>
        <w:t>area) relates to differences in the physical heterogeneity of the two regions. Where much of the GCFR, particularly the hyper-diverse (</w:t>
      </w:r>
      <w:r w:rsidR="005F0D12">
        <w:t xml:space="preserve">ca. </w:t>
      </w:r>
      <w:r>
        <w:t xml:space="preserve">9,400 species in </w:t>
      </w:r>
      <w:r w:rsidR="008259DB">
        <w:t xml:space="preserve">ca. </w:t>
      </w:r>
      <w:r>
        <w:t>90,800 km</w:t>
      </w:r>
      <w:r>
        <w:rPr>
          <w:vertAlign w:val="superscript"/>
        </w:rPr>
        <w:t>2</w:t>
      </w:r>
      <w:r>
        <w:t>; 0.104 species km</w:t>
      </w:r>
      <w:r>
        <w:rPr>
          <w:vertAlign w:val="superscript"/>
        </w:rPr>
        <w:t>-2</w:t>
      </w:r>
      <w:r>
        <w:t xml:space="preserve">) “core” Cape Floristic Region (CFR; </w:t>
      </w:r>
      <w:r w:rsidRPr="00E14302">
        <w:rPr>
          <w:highlight w:val="green"/>
        </w:rPr>
        <w:t>Goldblatt</w:t>
      </w:r>
      <w:r w:rsidR="00B847F4" w:rsidRPr="00E14302">
        <w:rPr>
          <w:highlight w:val="green"/>
        </w:rPr>
        <w:t>,</w:t>
      </w:r>
      <w:r w:rsidRPr="00E14302">
        <w:rPr>
          <w:highlight w:val="green"/>
        </w:rPr>
        <w:t xml:space="preserve"> 1978</w:t>
      </w:r>
      <w:r>
        <w:t xml:space="preserve">), is rugged and mountainous, the SWAFR landscape is much more subdued, comprising an ancient, weathered plateau. </w:t>
      </w:r>
      <w:r w:rsidR="003B49FB">
        <w:t>Indeed</w:t>
      </w:r>
      <w:r w:rsidR="00E561E1">
        <w:t xml:space="preserve">, of the </w:t>
      </w:r>
      <w:r w:rsidR="003B49FB">
        <w:t xml:space="preserve">world’s </w:t>
      </w:r>
      <w:r w:rsidR="00E561E1">
        <w:t>five</w:t>
      </w:r>
      <w:r w:rsidR="00E561E1" w:rsidRPr="00E561E1">
        <w:rPr>
          <w:lang w:val="en-ZA"/>
        </w:rPr>
        <w:t xml:space="preserve"> </w:t>
      </w:r>
      <w:r w:rsidR="00E561E1">
        <w:rPr>
          <w:lang w:val="en-ZA"/>
        </w:rPr>
        <w:t>m</w:t>
      </w:r>
      <w:r w:rsidR="00E561E1" w:rsidRPr="00E87C83">
        <w:rPr>
          <w:lang w:val="en-ZA"/>
        </w:rPr>
        <w:t>editerranean-climate regions</w:t>
      </w:r>
      <w:r w:rsidR="00E561E1">
        <w:t xml:space="preserve">, </w:t>
      </w:r>
      <w:r w:rsidR="00E561E1">
        <w:rPr>
          <w:lang w:val="en-ZA"/>
        </w:rPr>
        <w:t xml:space="preserve">the </w:t>
      </w:r>
      <w:r w:rsidR="003B49FB">
        <w:rPr>
          <w:lang w:val="en-ZA"/>
        </w:rPr>
        <w:t>CFR has</w:t>
      </w:r>
      <w:r w:rsidR="00E561E1" w:rsidRPr="00E87C83">
        <w:rPr>
          <w:lang w:val="en-ZA"/>
        </w:rPr>
        <w:t xml:space="preserve"> the second highest median topographic heterogeneity</w:t>
      </w:r>
      <w:r w:rsidR="003B49FB">
        <w:rPr>
          <w:lang w:val="en-ZA"/>
        </w:rPr>
        <w:t>, being surpassed only by the Mediterranean</w:t>
      </w:r>
      <w:r w:rsidR="00E561E1" w:rsidRPr="00E87C83">
        <w:rPr>
          <w:lang w:val="en-ZA"/>
        </w:rPr>
        <w:t xml:space="preserve"> </w:t>
      </w:r>
      <w:r w:rsidR="006D7237">
        <w:rPr>
          <w:lang w:val="en-ZA"/>
        </w:rPr>
        <w:fldChar w:fldCharType="begin" w:fldLock="1"/>
      </w:r>
      <w:r w:rsidR="0090330E">
        <w:rPr>
          <w:lang w:val="en-ZA"/>
        </w:rPr>
        <w:instrText>ADDIN CSL_CITATION {"citationItems":[{"id":"ITEM-1","itemData":{"DOI":"oso/9780199679584.003.0002","ISBN":"9780199679584","abstract":"This chapter outlines the abiotic characteristics of the GCFR, principally its landscapes, rock types, and gradients of climate. These act together to produce a mosaic of environmental conditions which facilitate the differentiation of the GCFR into smaller physiographic units. The GCFR’s latitudinal position (28°S to 35°S) together with its largely coastal position in the westerly wind belt ensures that it receives reliable winter rain and has relatively mild temperatures; however only the south west qualifies as a mediterranean-type climate. Northwards, temperature increases and rainfall decreases, while from west to east rainfall dominance changes from winter to summer. The alpine-like topography of the Cape Fold Belt produces localized, orographically induced exceptions to these general climate trends, notably a rapid increase in annual rainfall, and pronounced rain shadows. The Great Escarpment impedes the eastward penetration of winter rain and the westward penetration of summer rain, accentuating seasonal rainfall regimes. While the coast is mild, the escarpment is more extreme, as minimum temperatures decrease and maximum temperatures increase. Different rock types partition the climate gradients of the GCFR into more discrete physiographic units. Fynbos occurs on infertile siliceous sandstone soils associated with the Cape Fold Belt, while succulent karoo and renosterveld occur on more fertile, heavier soils of the coastal forelands and intermontane valleys. However, succulent karoo vegetation can occur on infertile sandstone soils, especially in the west where rainfall is very low. In the absence of fire, both forest and thicket can colonize infertile soils of the GCFR.","author":[{"dropping-particle":"","family":"Bradshaw","given":"P. L.","non-dropping-particle":"","parse-names":false,"suffix":""},{"dropping-particle":"","family":"Cowling","given":"Richard M.","non-dropping-particle":"","parse-names":false,"suffix":""}],"chapter-number":"2","container-title":"Fynbos: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Anthony","non-dropping-particle":"","parse-names":false,"suffix":""}],"id":"ITEM-1","issued":{"date-parts":[["2014"]]},"page":"26-46","publisher":"Oxford University Press","publisher-place":"Oxford","title":"Landscapes, rock types, and climate of the Greater Cape Floristic Region","type":"chapter"},"uris":["http://www.mendeley.com/documents/?uuid=67e1310b-bf35-43be-927c-6e8b938a7373"]}],"mendeley":{"formattedCitation":"(Bradshaw &amp; Cowling, 2014)","plainTextFormattedCitation":"(Bradshaw &amp; Cowling, 2014)","previouslyFormattedCitation":"(Bradshaw &amp; Cowling, 2014)"},"properties":{"noteIndex":0},"schema":"https://github.com/citation-style-language/schema/raw/master/csl-citation.json"}</w:instrText>
      </w:r>
      <w:r w:rsidR="006D7237">
        <w:rPr>
          <w:lang w:val="en-ZA"/>
        </w:rPr>
        <w:fldChar w:fldCharType="separate"/>
      </w:r>
      <w:r w:rsidR="006D7237" w:rsidRPr="006D7237">
        <w:rPr>
          <w:noProof/>
          <w:lang w:val="en-ZA"/>
        </w:rPr>
        <w:t>(Bradshaw &amp; Cowling, 2014)</w:t>
      </w:r>
      <w:r w:rsidR="006D7237">
        <w:rPr>
          <w:lang w:val="en-ZA"/>
        </w:rPr>
        <w:fldChar w:fldCharType="end"/>
      </w:r>
      <w:r w:rsidR="00E561E1" w:rsidRPr="00E87C83">
        <w:rPr>
          <w:lang w:val="en-ZA"/>
        </w:rPr>
        <w:t>.</w:t>
      </w:r>
      <w:r w:rsidR="00E561E1">
        <w:rPr>
          <w:lang w:val="en-ZA"/>
        </w:rPr>
        <w:t xml:space="preserve"> </w:t>
      </w:r>
      <w:r w:rsidR="003B49FB">
        <w:rPr>
          <w:lang w:val="en-ZA"/>
        </w:rPr>
        <w:t xml:space="preserve">Critically, </w:t>
      </w:r>
      <w:r w:rsidR="00455694">
        <w:t>si</w:t>
      </w:r>
      <w:r>
        <w:t>nce the strong relief of the GCFR underlies steep climat</w:t>
      </w:r>
      <w:r w:rsidR="001541B2">
        <w:t>ic and edaphic gradients (</w:t>
      </w:r>
      <w:r w:rsidR="001541B2" w:rsidRPr="00B847F4">
        <w:rPr>
          <w:highlight w:val="yellow"/>
        </w:rPr>
        <w:t>refs</w:t>
      </w:r>
      <w:r w:rsidR="001541B2">
        <w:t>), it</w:t>
      </w:r>
      <w:r w:rsidR="00E561E1">
        <w:t xml:space="preserve">s </w:t>
      </w:r>
      <w:r w:rsidR="0010729C">
        <w:t xml:space="preserve">climatic and edaphic </w:t>
      </w:r>
      <w:r w:rsidR="007948F4">
        <w:t>heterogeneity</w:t>
      </w:r>
      <w:r w:rsidR="001541B2">
        <w:t xml:space="preserve"> </w:t>
      </w:r>
      <w:r w:rsidR="007948F4">
        <w:t xml:space="preserve">is </w:t>
      </w:r>
      <w:r w:rsidR="0010729C">
        <w:t>correspondingly high</w:t>
      </w:r>
      <w:r>
        <w:t>.</w:t>
      </w:r>
      <w:r w:rsidR="001541B2">
        <w:t xml:space="preserve"> </w:t>
      </w:r>
      <w:r>
        <w:t xml:space="preserve">The central aim of this paper, then, is to test the hypothesis that the observed </w:t>
      </w:r>
      <w:r w:rsidR="007A1F3D">
        <w:t xml:space="preserve">difference in </w:t>
      </w:r>
      <w:r>
        <w:t xml:space="preserve">species richness (per </w:t>
      </w:r>
      <w:r w:rsidR="00A52520">
        <w:t xml:space="preserve">unit </w:t>
      </w:r>
      <w:r>
        <w:t xml:space="preserve">area) </w:t>
      </w:r>
      <w:r w:rsidR="007A1F3D">
        <w:t xml:space="preserve">between the SWAFR and GCFR </w:t>
      </w:r>
      <w:r>
        <w:t>is a consequence of differences in the physical heterogeneity of these regions. Focusing on the quarter-degree square (QDS)</w:t>
      </w:r>
      <w:r w:rsidR="009A576E">
        <w:t xml:space="preserve">, </w:t>
      </w:r>
      <w:r>
        <w:t xml:space="preserve">half-degree square (HDS) </w:t>
      </w:r>
      <w:r w:rsidR="009A576E">
        <w:t xml:space="preserve">and degree square (DS) </w:t>
      </w:r>
      <w:r>
        <w:t>scales</w:t>
      </w:r>
      <w:r w:rsidR="000F59F5">
        <w:t xml:space="preserve"> (sensu </w:t>
      </w:r>
      <w:r w:rsidR="005B6901">
        <w:fldChar w:fldCharType="begin" w:fldLock="1"/>
      </w:r>
      <w:r w:rsidR="00CB7719">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Holmern, Prager, Maliti, &amp; Røskaft, 2009)","manualFormatting":"Larsen, Holmern, Prager, Maliti, &amp; Røskaft, 2009)","plainTextFormattedCitation":"(Larsen, Holmern, Prager, Maliti, &amp; Røskaft, 2009)","previouslyFormattedCitation":"(Larsen, Holmern, Prager, Maliti, &amp; Røskaft, 2009)"},"properties":{"noteIndex":0},"schema":"https://github.com/citation-style-language/schema/raw/master/csl-citation.json"}</w:instrText>
      </w:r>
      <w:r w:rsidR="005B6901">
        <w:fldChar w:fldCharType="separate"/>
      </w:r>
      <w:r w:rsidR="005B6901" w:rsidRPr="005B6901">
        <w:rPr>
          <w:noProof/>
        </w:rPr>
        <w:t>Larsen, Holmern, Prager, Maliti, &amp; Røskaft, 2009)</w:t>
      </w:r>
      <w:r w:rsidR="005B6901">
        <w:fldChar w:fldCharType="end"/>
      </w:r>
      <w:r>
        <w:t>, we first compare the distribution of species richness between the two regions</w:t>
      </w:r>
      <w:r w:rsidR="00E96D62">
        <w:t xml:space="preserve">, and </w:t>
      </w:r>
      <w:r w:rsidR="00C26903">
        <w:t xml:space="preserve">in </w:t>
      </w:r>
      <w:r w:rsidR="0059637F">
        <w:t>each region</w:t>
      </w:r>
      <w:r w:rsidR="00E96D62">
        <w:t xml:space="preserve"> decompos</w:t>
      </w:r>
      <w:r w:rsidR="0059637F">
        <w:t xml:space="preserve">e </w:t>
      </w:r>
      <w:r w:rsidR="009460AD">
        <w:t>broader-scale</w:t>
      </w:r>
      <w:r w:rsidR="0059637F">
        <w:t xml:space="preserve"> richness</w:t>
      </w:r>
      <w:r w:rsidR="00E96D62">
        <w:t xml:space="preserve"> in</w:t>
      </w:r>
      <w:r w:rsidR="004F6F8D">
        <w:t>to</w:t>
      </w:r>
      <w:r w:rsidR="00E96D62">
        <w:t xml:space="preserve"> </w:t>
      </w:r>
      <w:r w:rsidR="00493CCF">
        <w:t>average finer-scale</w:t>
      </w:r>
      <w:r w:rsidR="00E96D62">
        <w:t xml:space="preserve"> richness and between-</w:t>
      </w:r>
      <w:r w:rsidR="00493CCF">
        <w:t>square</w:t>
      </w:r>
      <w:r w:rsidR="00E96D62">
        <w:t xml:space="preserve"> turnover.</w:t>
      </w:r>
      <w:r>
        <w:t xml:space="preserve"> Thereafter, we compare </w:t>
      </w:r>
      <w:r w:rsidR="007948F4">
        <w:t>environmental heterogeneity</w:t>
      </w:r>
      <w:r>
        <w:t xml:space="preserve"> between the two regions </w:t>
      </w:r>
      <w:r w:rsidR="007A1F3D">
        <w:t xml:space="preserve">at </w:t>
      </w:r>
      <w:r>
        <w:t xml:space="preserve">a range of spatial scales. Finally, we use linear models to assess whether differences in </w:t>
      </w:r>
      <w:r w:rsidR="007948F4">
        <w:t>environmental heterogeneity</w:t>
      </w:r>
      <w:r>
        <w:t xml:space="preserve"> are sufficient to explain observed differences in species richness between the two regions.</w:t>
      </w:r>
    </w:p>
    <w:p w14:paraId="70315767" w14:textId="7005505E" w:rsidR="00DD2348" w:rsidRDefault="00970650" w:rsidP="008A4E97">
      <w:pPr>
        <w:pStyle w:val="Heading1"/>
        <w:spacing w:line="240" w:lineRule="auto"/>
      </w:pPr>
      <w:r w:rsidRPr="00DD7307">
        <w:t>2</w:t>
      </w:r>
      <w:r w:rsidR="00F31AF3">
        <w:t>:</w:t>
      </w:r>
      <w:r w:rsidR="00DD7307">
        <w:t xml:space="preserve"> </w:t>
      </w:r>
      <w:r w:rsidR="005F0FFB" w:rsidRPr="00DD7307">
        <w:t>Materials</w:t>
      </w:r>
      <w:r w:rsidR="005F0FFB">
        <w:t xml:space="preserve"> and methods</w:t>
      </w:r>
      <w:bookmarkEnd w:id="0"/>
    </w:p>
    <w:p w14:paraId="37E86CBC" w14:textId="54F8283C" w:rsidR="00D04776" w:rsidRDefault="00970650" w:rsidP="008A4E97">
      <w:pPr>
        <w:pStyle w:val="Heading2"/>
        <w:spacing w:line="240" w:lineRule="auto"/>
      </w:pPr>
      <w:bookmarkStart w:id="3" w:name="comparing-regions-environmental-heteroge"/>
      <w:r>
        <w:t>2.1</w:t>
      </w:r>
      <w:r w:rsidR="00F31AF3">
        <w:t>:</w:t>
      </w:r>
      <w:r>
        <w:t xml:space="preserve"> </w:t>
      </w:r>
      <w:r w:rsidR="00D04776">
        <w:t>Comparing species richness</w:t>
      </w:r>
    </w:p>
    <w:p w14:paraId="52348C6B" w14:textId="647D8AC1" w:rsidR="006A239A" w:rsidRPr="00D52E5F" w:rsidRDefault="00D04776" w:rsidP="00FE0731">
      <w:pPr>
        <w:pStyle w:val="FirstParagraph"/>
        <w:rPr>
          <w:rFonts w:cstheme="majorBidi"/>
        </w:rPr>
      </w:pPr>
      <w:r>
        <w:t xml:space="preserve">To compare </w:t>
      </w:r>
      <w:r w:rsidR="001C5D8A">
        <w:t xml:space="preserve">vascular plant </w:t>
      </w:r>
      <w:r>
        <w:t xml:space="preserve">species richness </w:t>
      </w:r>
      <w:r w:rsidR="001C5D8A">
        <w:t xml:space="preserve">between the </w:t>
      </w:r>
      <w:r w:rsidR="00996B78">
        <w:t>GCFR and SWAFR</w:t>
      </w:r>
      <w:r>
        <w:t xml:space="preserve">, geospatially-explicit </w:t>
      </w:r>
      <w:r w:rsidR="001C5D8A">
        <w:t xml:space="preserve">occurrence </w:t>
      </w:r>
      <w:r>
        <w:t>record</w:t>
      </w:r>
      <w:r w:rsidR="00996B78">
        <w:t>s of tracheophytes</w:t>
      </w:r>
      <w:r w:rsidR="001C5D8A">
        <w:t xml:space="preserve"> </w:t>
      </w:r>
      <w:r w:rsidR="00996B78">
        <w:t xml:space="preserve">from within the borders of </w:t>
      </w:r>
      <w:r w:rsidR="00B5670A">
        <w:t>each region</w:t>
      </w:r>
      <w:r w:rsidR="00996B78">
        <w:t xml:space="preserve"> </w:t>
      </w:r>
      <w:r w:rsidR="007C5AFE">
        <w:t xml:space="preserve">were </w:t>
      </w:r>
      <w:r w:rsidR="00236CF0">
        <w:t xml:space="preserve">obtained </w:t>
      </w:r>
      <w:r>
        <w:t>from the Global Biodiversity Information Facility (GBIF</w:t>
      </w:r>
      <w:r w:rsidR="00B60E07">
        <w:t>;</w:t>
      </w:r>
      <w:r>
        <w:t xml:space="preserve"> Table </w:t>
      </w:r>
      <w:r w:rsidR="0087028D">
        <w:t>S</w:t>
      </w:r>
      <w:r w:rsidRPr="00254120">
        <w:t>1</w:t>
      </w:r>
      <w:r>
        <w:t xml:space="preserve">). </w:t>
      </w:r>
      <w:r w:rsidR="001C5D8A">
        <w:t xml:space="preserve">For this purpose, the GCFR was treated as the area occupied by the Succulent Karoo and Fynbos Biomes </w:t>
      </w:r>
      <w:r w:rsidR="00830A3B">
        <w:fldChar w:fldCharType="begin" w:fldLock="1"/>
      </w:r>
      <w:r w:rsidR="00CB7719">
        <w:instrText>ADDIN CSL_CITATION {"citationItems":[{"id":"ITEM-1","itemData":{"author":[{"dropping-particle":"","family":"Mucina","given":"Ladislav","non-dropping-particle":"","parse-names":false,"suffix":""},{"dropping-particle":"","family":"Rutherford","given":"Michael C.","non-dropping-particle":"","parse-names":false,"suffix":""}],"id":"ITEM-1","issued":{"date-parts":[["2006"]]},"publisher":"South African National Biodiversity Institute","title":"The vegetation of South Africa, Lesotho and Swaziland.","type":"book"},"uris":["http://www.mendeley.com/documents/?uuid=7b62e872-ce2f-4f2c-8ccf-112b9acba364"]}],"mendeley":{"formattedCitation":"(Mucina &amp; Rutherford, 2006)","plainTextFormattedCitation":"(Mucina &amp; Rutherford, 2006)","previouslyFormattedCitation":"(Mucina &amp; Rutherford, 2006)"},"properties":{"noteIndex":0},"schema":"https://github.com/citation-style-language/schema/raw/master/csl-citation.json"}</w:instrText>
      </w:r>
      <w:r w:rsidR="00830A3B">
        <w:fldChar w:fldCharType="separate"/>
      </w:r>
      <w:r w:rsidR="00B1341B" w:rsidRPr="00B1341B">
        <w:rPr>
          <w:noProof/>
        </w:rPr>
        <w:t>(Mucina &amp; Rutherford, 2006)</w:t>
      </w:r>
      <w:r w:rsidR="00830A3B">
        <w:fldChar w:fldCharType="end"/>
      </w:r>
      <w:r w:rsidR="006F0BA2">
        <w:t>, while t</w:t>
      </w:r>
      <w:r w:rsidR="001C5D8A">
        <w:t xml:space="preserve">he SWAFR </w:t>
      </w:r>
      <w:r w:rsidR="006F0BA2">
        <w:t xml:space="preserve">was treated </w:t>
      </w:r>
      <w:r w:rsidR="001C5D8A">
        <w:t xml:space="preserve">as the area occupied by Southwest Australia </w:t>
      </w:r>
      <w:r w:rsidR="006F0BA2">
        <w:t>S</w:t>
      </w:r>
      <w:r w:rsidR="001C5D8A">
        <w:t xml:space="preserve">avanna, Swan Coastal Plain Scrub and Woodlands, Jarrah-Karri </w:t>
      </w:r>
      <w:r w:rsidR="006F0BA2">
        <w:t>F</w:t>
      </w:r>
      <w:r w:rsidR="001C5D8A">
        <w:t xml:space="preserve">orest and </w:t>
      </w:r>
      <w:r w:rsidR="006F0BA2">
        <w:t>S</w:t>
      </w:r>
      <w:r w:rsidR="001C5D8A">
        <w:t xml:space="preserve">hrublands, Southwest Australia </w:t>
      </w:r>
      <w:r w:rsidR="006F0BA2">
        <w:t>W</w:t>
      </w:r>
      <w:r w:rsidR="001C5D8A">
        <w:t xml:space="preserve">oodlands, Esperance </w:t>
      </w:r>
      <w:r w:rsidR="006F0BA2">
        <w:t>M</w:t>
      </w:r>
      <w:r w:rsidR="001C5D8A">
        <w:t xml:space="preserve">allee, and Coolgardie </w:t>
      </w:r>
      <w:r w:rsidR="006F0BA2">
        <w:t>W</w:t>
      </w:r>
      <w:r w:rsidR="001C5D8A">
        <w:t xml:space="preserve">oodlands </w:t>
      </w:r>
      <w:r w:rsidR="00F72828">
        <w:fldChar w:fldCharType="begin" w:fldLock="1"/>
      </w:r>
      <w:r w:rsidR="006D7237">
        <w:instrText>ADDIN CSL_CITATION {"citationItems":[{"id":"ITEM-1","itemData":{"author":[{"dropping-particle":"","family":"Olson","given":"David M","non-dropping-particle":"","parse-names":false,"suffix":""},{"dropping-particle":"","family":"Dinerstein","given":"Eric","non-dropping-particle":"","parse-names":false,"suffix":""},{"dropping-particle":"","family":"Wikramanayake","given":"Eric D","non-dropping-particle":"","parse-names":false,"suffix":""},{"dropping-particle":"","family":"Burgess","given":"Neil D","non-dropping-particle":"","parse-names":false,"suffix":""},{"dropping-particle":"","family":"Powell","given":"George V N","non-dropping-particle":"","parse-names":false,"suffix":""},{"dropping-particle":"","family":"Underwood","given":"Emma C","non-dropping-particle":"","parse-names":false,"suffix":""},{"dropping-particle":"","family":"D'amico","given":"Jennifer A","non-dropping-particle":"","parse-names":false,"suffix":""},{"dropping-particle":"","family":"Itoua","given":"Illanga","non-dropping-particle":"","parse-names":false,"suffix":""},{"dropping-particle":"","family":"Strand","given":"Holly E","non-dropping-particle":"","parse-names":false,"suffix":""},{"dropping-particle":"","family":"Morrison","given":"John C","non-dropping-particle":"","parse-names":false,"suffix":""},{"dropping-particle":"","family":"others","given":"","non-dropping-particle":"","parse-names":false,"suffix":""}],"container-title":"BioScience","id":"ITEM-1","issue":"11","issued":{"date-parts":[["2001"]]},"page":"933-938","publisher":"BioOne","title":"Terrestrial Ecoregions of the World: A New Map of Life on Earth: A new global map of terrestrial ecoregions provides an innovative tool for conserving biodiversity","type":"article-journal","volume":"51"},"uris":["http://www.mendeley.com/documents/?uuid=3436c3e3-d454-449a-abbb-d6ee82cecdd7"]}],"mendeley":{"formattedCitation":"(Olson et al., 2001)","plainTextFormattedCitation":"(Olson et al., 2001)","previouslyFormattedCitation":"(Olson et al., 2001)"},"properties":{"noteIndex":0},"schema":"https://github.com/citation-style-language/schema/raw/master/csl-citation.json"}</w:instrText>
      </w:r>
      <w:r w:rsidR="00F72828">
        <w:fldChar w:fldCharType="separate"/>
      </w:r>
      <w:r w:rsidR="00F72828" w:rsidRPr="00F72828">
        <w:rPr>
          <w:noProof/>
        </w:rPr>
        <w:t>(Olson et al., 2001)</w:t>
      </w:r>
      <w:r w:rsidR="00F72828">
        <w:fldChar w:fldCharType="end"/>
      </w:r>
      <w:r w:rsidR="001C5D8A">
        <w:t xml:space="preserve"> in order to match the current deli</w:t>
      </w:r>
      <w:r w:rsidR="006F0BA2">
        <w:t>mitation of the</w:t>
      </w:r>
      <w:r w:rsidR="001C5D8A">
        <w:t xml:space="preserve"> SWAFR </w:t>
      </w:r>
      <w:r w:rsidR="00184015">
        <w:fldChar w:fldCharType="begin" w:fldLock="1"/>
      </w:r>
      <w:r w:rsidR="006774CD">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Biodiversity","type":"article-journal","volume":"35"},"uris":["http://www.mendeley.com/documents/?uuid=cf433376-e654-49f4-950c-946103ea9c0f"]},{"id":"ITEM-2","itemData":{"DOI":"10.1093/botlinnean/box010","ISSN":"10958339","abstract":"After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Society","id":"ITEM-2","issue":"1","issued":{"date-parts":[["2017"]]},"page":"1-15","title":"A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 Hopper &amp; Gioia, 2004a)","plainTextFormattedCitation":"(Gioia &amp; Hopper, 2017; Hopper &amp; Gioia, 2004a)","previouslyFormattedCitation":"(Gioia &amp; Hopper, 2017; Hopper &amp; Gioia, 2004a)"},"properties":{"noteIndex":0},"schema":"https://github.com/citation-style-language/schema/raw/master/csl-citation.json"}</w:instrText>
      </w:r>
      <w:r w:rsidR="00184015">
        <w:fldChar w:fldCharType="separate"/>
      </w:r>
      <w:r w:rsidR="00E74506" w:rsidRPr="00E74506">
        <w:rPr>
          <w:noProof/>
        </w:rPr>
        <w:t>(Gioia &amp; Hopper, 2017; Hopper &amp; Gioia, 2004a)</w:t>
      </w:r>
      <w:r w:rsidR="00184015">
        <w:fldChar w:fldCharType="end"/>
      </w:r>
      <w:r w:rsidR="001C5D8A">
        <w:t>.</w:t>
      </w:r>
      <w:r w:rsidR="006F0BA2">
        <w:t xml:space="preserve"> </w:t>
      </w:r>
      <w:r w:rsidR="00DC7F3D">
        <w:t>The</w:t>
      </w:r>
      <w:r w:rsidR="00996B78">
        <w:t xml:space="preserve"> </w:t>
      </w:r>
      <w:r w:rsidR="00C87747">
        <w:t xml:space="preserve">downloaded occurrence data </w:t>
      </w:r>
      <w:r w:rsidR="00DC7F3D">
        <w:t xml:space="preserve">were </w:t>
      </w:r>
      <w:r w:rsidR="00996B78">
        <w:t xml:space="preserve">then </w:t>
      </w:r>
      <w:r w:rsidR="00DC7F3D">
        <w:t xml:space="preserve">cleaned </w:t>
      </w:r>
      <w:r w:rsidR="001D58D6">
        <w:t xml:space="preserve">using </w:t>
      </w:r>
      <w:r w:rsidR="00166053">
        <w:t xml:space="preserve">the “taxize” package </w:t>
      </w:r>
      <w:r w:rsidR="00166053">
        <w:fldChar w:fldCharType="begin" w:fldLock="1"/>
      </w:r>
      <w:r w:rsidR="00CB7719">
        <w:instrText>ADDIN CSL_CITATION {"citationItems":[{"id":"ITEM-1","itemData":{"author":[{"dropping-particle":"","family":"Chamberlain","given":"Scott","non-dropping-particle":"","parse-names":false,"suffix":""},{"dropping-particle":"","family":"Szocs","given":"Eduard","non-dropping-particle":"","parse-names":false,"suffix":""},{"dropping-particle":"","family":"Boettiger","given":"Carl","non-dropping-particle":"","parse-names":false,"suffix":""},{"dropping-particle":"","family":"Ram","given":"Karthik","non-dropping-particle":"","parse-names":false,"suffix":""},{"dropping-particle":"","family":"Bartomeus","given":"Ignasi","non-dropping-particle":"","parse-names":false,"suffix":""},{"dropping-particle":"","family":"Baumgartner","given":"John","non-dropping-particle":"","parse-names":false,"suffix":""},{"dropping-particle":"","family":"Foster","given":"Zachary","non-dropping-particle":"","parse-names":false,"suffix":""},{"dropping-particle":"","family":"O'Donnell","given":"James","non-dropping-particle":"","parse-names":false,"suffix":""}],"id":"ITEM-1","issued":{"date-parts":[["2016"]]},"note":"R package version 0.7.8","title":"taxize: Taxonomic information from around the web. R package version 0.7.8","type":"article"},"uris":["http://www.mendeley.com/documents/?uuid=f606a714-c235-4d62-85c6-b865522a8509"]}],"mendeley":{"formattedCitation":"(Chamberlain et al., 2016)","plainTextFormattedCitation":"(Chamberlain et al., 2016)","previouslyFormattedCitation":"(Chamberlain et al., 2016)"},"properties":{"noteIndex":0},"schema":"https://github.com/citation-style-language/schema/raw/master/csl-citation.json"}</w:instrText>
      </w:r>
      <w:r w:rsidR="00166053">
        <w:fldChar w:fldCharType="separate"/>
      </w:r>
      <w:r w:rsidR="00166053" w:rsidRPr="00B1341B">
        <w:rPr>
          <w:noProof/>
        </w:rPr>
        <w:t>(Chamberlain et al., 2016)</w:t>
      </w:r>
      <w:r w:rsidR="00166053">
        <w:fldChar w:fldCharType="end"/>
      </w:r>
      <w:r w:rsidR="00CE21A6">
        <w:t xml:space="preserve"> </w:t>
      </w:r>
      <w:r w:rsidR="003E3635">
        <w:t>in R (</w:t>
      </w:r>
      <w:r w:rsidR="003E3635" w:rsidRPr="00E87AB4">
        <w:rPr>
          <w:highlight w:val="yellow"/>
        </w:rPr>
        <w:t>ref</w:t>
      </w:r>
      <w:r w:rsidR="003E3635">
        <w:t>)</w:t>
      </w:r>
      <w:r w:rsidR="003E3635" w:rsidRPr="00166053">
        <w:t xml:space="preserve"> </w:t>
      </w:r>
      <w:r w:rsidR="00CE21A6">
        <w:t>(</w:t>
      </w:r>
      <w:r w:rsidR="00F625C0" w:rsidRPr="00F625C0">
        <w:t xml:space="preserve">see </w:t>
      </w:r>
      <w:r w:rsidR="00CE21A6" w:rsidRPr="00F625C0">
        <w:t>S</w:t>
      </w:r>
      <w:r w:rsidR="00F625C0" w:rsidRPr="00F625C0">
        <w:t xml:space="preserve">upporting </w:t>
      </w:r>
      <w:r w:rsidR="00CE21A6" w:rsidRPr="00F625C0">
        <w:t>I</w:t>
      </w:r>
      <w:r w:rsidR="00F625C0" w:rsidRPr="00F625C0">
        <w:t>nformation</w:t>
      </w:r>
      <w:r w:rsidR="00CE21A6">
        <w:t>)</w:t>
      </w:r>
      <w:r w:rsidR="00DC7F3D">
        <w:t xml:space="preserve">. </w:t>
      </w:r>
      <w:r w:rsidR="009956E5">
        <w:t xml:space="preserve">Despite </w:t>
      </w:r>
      <w:r w:rsidR="00950B88">
        <w:t xml:space="preserve">spatial </w:t>
      </w:r>
      <w:r w:rsidR="009956E5">
        <w:t xml:space="preserve">variability </w:t>
      </w:r>
      <w:r w:rsidR="00950B88">
        <w:t xml:space="preserve">in collection effort in both regions, we </w:t>
      </w:r>
      <w:r w:rsidR="004B5BA7">
        <w:t>used raw species counts to estimate QDS-scale species richness on the basis that the application of rarefaction techniques severely distorts known richness patterns</w:t>
      </w:r>
      <w:r w:rsidR="003563D1">
        <w:t xml:space="preserve"> when applied to the South African flora</w:t>
      </w:r>
      <w:r w:rsidR="004B5BA7">
        <w:t xml:space="preserve"> (</w:t>
      </w:r>
      <w:r w:rsidR="00CB7719">
        <w:fldChar w:fldCharType="begin" w:fldLock="1"/>
      </w:r>
      <w:r w:rsidR="00A67894">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CB7719">
        <w:fldChar w:fldCharType="separate"/>
      </w:r>
      <w:r w:rsidR="00CB7719" w:rsidRPr="00CB7719">
        <w:rPr>
          <w:noProof/>
        </w:rPr>
        <w:t>Cramer &amp; Verboom</w:t>
      </w:r>
      <w:r w:rsidR="004B5BA7">
        <w:rPr>
          <w:noProof/>
        </w:rPr>
        <w:t>,</w:t>
      </w:r>
      <w:r w:rsidR="00455488">
        <w:rPr>
          <w:noProof/>
        </w:rPr>
        <w:t xml:space="preserve"> </w:t>
      </w:r>
      <w:r w:rsidR="00CB7719" w:rsidRPr="00CB7719">
        <w:rPr>
          <w:noProof/>
        </w:rPr>
        <w:t>2016)</w:t>
      </w:r>
      <w:r w:rsidR="00CB7719">
        <w:fldChar w:fldCharType="end"/>
      </w:r>
      <w:r w:rsidR="00B853C4">
        <w:t>.</w:t>
      </w:r>
      <w:r w:rsidR="00CF1908">
        <w:t xml:space="preserve"> </w:t>
      </w:r>
      <w:r>
        <w:t xml:space="preserve">The final </w:t>
      </w:r>
      <w:r w:rsidR="00CF1908">
        <w:t>number</w:t>
      </w:r>
      <w:r w:rsidR="003563D1">
        <w:t>s</w:t>
      </w:r>
      <w:r w:rsidR="00CF1908">
        <w:t xml:space="preserve"> of unique species </w:t>
      </w:r>
      <w:r w:rsidR="003563D1">
        <w:t xml:space="preserve">thus identified as occurring in the GCFR and SWAFR, respectively, </w:t>
      </w:r>
      <w:r>
        <w:t>w</w:t>
      </w:r>
      <w:r w:rsidR="00D61D4D">
        <w:t>ere</w:t>
      </w:r>
      <w:r>
        <w:t xml:space="preserve"> </w:t>
      </w:r>
      <w:r w:rsidR="00DE66AC">
        <w:t>8,578</w:t>
      </w:r>
      <w:r>
        <w:t xml:space="preserve"> and </w:t>
      </w:r>
      <w:r w:rsidR="00DE66AC">
        <w:t>6,558</w:t>
      </w:r>
      <w:r>
        <w:t>.</w:t>
      </w:r>
      <w:r w:rsidR="00841086">
        <w:t xml:space="preserve"> Note, we excluded occurrence data (and indeed environmental data, </w:t>
      </w:r>
      <w:r w:rsidR="00841086">
        <w:lastRenderedPageBreak/>
        <w:t>below) originating from coastal pixels at the 0.05</w:t>
      </w:r>
      <w:r w:rsidR="00841086">
        <w:rPr>
          <w:rFonts w:cstheme="majorBidi"/>
        </w:rPr>
        <w:t>° resolution</w:t>
      </w:r>
      <w:r w:rsidR="00D52E5F">
        <w:rPr>
          <w:rFonts w:cstheme="majorBidi"/>
        </w:rPr>
        <w:t>. This excluded any relationships exhibited in coastal/dunal vegetation from our analyses</w:t>
      </w:r>
      <w:r w:rsidR="006B6D5E">
        <w:rPr>
          <w:rFonts w:cstheme="majorBidi"/>
        </w:rPr>
        <w:t xml:space="preserve"> [</w:t>
      </w:r>
      <w:r w:rsidR="006B6D5E" w:rsidRPr="006B6D5E">
        <w:rPr>
          <w:rFonts w:cstheme="majorBidi"/>
          <w:highlight w:val="yellow"/>
        </w:rPr>
        <w:t>…</w:t>
      </w:r>
      <w:r w:rsidR="006B6D5E">
        <w:rPr>
          <w:rFonts w:cstheme="majorBidi"/>
        </w:rPr>
        <w:t>]</w:t>
      </w:r>
      <w:r w:rsidR="00841086">
        <w:rPr>
          <w:rFonts w:cstheme="majorBidi"/>
        </w:rPr>
        <w:t>.</w:t>
      </w:r>
    </w:p>
    <w:p w14:paraId="26664BCB" w14:textId="6BC681F2" w:rsidR="00FE0731" w:rsidRDefault="000F59F5" w:rsidP="00FE0731">
      <w:pPr>
        <w:pStyle w:val="FirstParagraph"/>
      </w:pPr>
      <w:r>
        <w:t>Using R</w:t>
      </w:r>
      <w:r w:rsidR="00293C78">
        <w:t xml:space="preserve">, </w:t>
      </w:r>
      <w:r w:rsidR="00C44DFF">
        <w:t>t</w:t>
      </w:r>
      <w:r w:rsidR="00A87D09">
        <w:t xml:space="preserve">he </w:t>
      </w:r>
      <w:r>
        <w:t xml:space="preserve">cleaned species occurrence record data were </w:t>
      </w:r>
      <w:r w:rsidR="002314C2">
        <w:t xml:space="preserve">collated into </w:t>
      </w:r>
      <w:r w:rsidR="00BF54E8">
        <w:t xml:space="preserve">QDS, </w:t>
      </w:r>
      <w:r w:rsidR="002314C2">
        <w:t>HDS</w:t>
      </w:r>
      <w:r w:rsidR="00BF54E8">
        <w:t xml:space="preserve"> and </w:t>
      </w:r>
      <w:r w:rsidR="002314C2">
        <w:t>DS</w:t>
      </w:r>
      <w:r w:rsidR="00D04776">
        <w:t>.</w:t>
      </w:r>
      <w:r w:rsidR="00FC4F1F">
        <w:t xml:space="preserve"> To compare species richness across equally sized areas, we only ma</w:t>
      </w:r>
      <w:r w:rsidR="003302D7">
        <w:t>d</w:t>
      </w:r>
      <w:r w:rsidR="00FC4F1F">
        <w:t xml:space="preserve">e comparisons between </w:t>
      </w:r>
      <w:r w:rsidR="00E42645">
        <w:t xml:space="preserve">squares </w:t>
      </w:r>
      <w:r w:rsidR="00FC4F1F">
        <w:t>consisting of all four sub-</w:t>
      </w:r>
      <w:r w:rsidR="00E42645">
        <w:t xml:space="preserve">squares </w:t>
      </w:r>
      <w:r w:rsidR="00E604FC">
        <w:t xml:space="preserve">(e.g. four QDS in an HDS). </w:t>
      </w:r>
      <w:r>
        <w:t xml:space="preserve">In addition, </w:t>
      </w:r>
      <w:r w:rsidR="003562E3">
        <w:t>following Whittaker’s (</w:t>
      </w:r>
      <w:r w:rsidR="00C77A61" w:rsidRPr="00047D3A">
        <w:rPr>
          <w:highlight w:val="yellow"/>
        </w:rPr>
        <w:t>ref</w:t>
      </w:r>
      <w:r w:rsidR="003562E3">
        <w:t xml:space="preserve">) original additive decomposition of </w:t>
      </w:r>
      <w:r w:rsidR="003562E3" w:rsidRPr="003562E3">
        <w:rPr>
          <w:rFonts w:cstheme="majorBidi"/>
          <w:i/>
        </w:rPr>
        <w:t>γ</w:t>
      </w:r>
      <w:r w:rsidR="003562E3">
        <w:t xml:space="preserve">-diversity, we decomposed the </w:t>
      </w:r>
      <w:r>
        <w:t>species richness</w:t>
      </w:r>
      <w:r w:rsidR="00D04776">
        <w:t xml:space="preserve"> </w:t>
      </w:r>
      <w:r>
        <w:t xml:space="preserve">of </w:t>
      </w:r>
      <w:r w:rsidR="003562E3">
        <w:t>each</w:t>
      </w:r>
      <w:r>
        <w:t xml:space="preserve"> HDS</w:t>
      </w:r>
      <w:r w:rsidR="001B0959">
        <w:t xml:space="preserve"> </w:t>
      </w:r>
      <w:r w:rsidR="00F07BEC">
        <w:t>(</w:t>
      </w:r>
      <w:r w:rsidR="00BC5EDB" w:rsidRPr="00BC5EDB">
        <w:rPr>
          <w:i/>
        </w:rPr>
        <w:t>S</w:t>
      </w:r>
      <w:r w:rsidR="00BC5EDB">
        <w:rPr>
          <w:vertAlign w:val="subscript"/>
        </w:rPr>
        <w:t>HDS</w:t>
      </w:r>
      <w:r w:rsidR="00BC5EDB">
        <w:t xml:space="preserve">) </w:t>
      </w:r>
      <w:r w:rsidR="00B91619">
        <w:t>and DS (</w:t>
      </w:r>
      <w:r w:rsidR="00B91619" w:rsidRPr="00B91619">
        <w:rPr>
          <w:i/>
          <w:iCs/>
        </w:rPr>
        <w:t>S</w:t>
      </w:r>
      <w:r w:rsidR="00B91619" w:rsidRPr="00B91619">
        <w:rPr>
          <w:vertAlign w:val="subscript"/>
        </w:rPr>
        <w:t>DS</w:t>
      </w:r>
      <w:r w:rsidR="00B91619">
        <w:t xml:space="preserve">) </w:t>
      </w:r>
      <w:r w:rsidR="00F07BEC">
        <w:rPr>
          <w:rFonts w:eastAsiaTheme="minorEastAsia"/>
        </w:rPr>
        <w:t>i</w:t>
      </w:r>
      <w:r w:rsidR="003562E3">
        <w:t xml:space="preserve">nto its </w:t>
      </w:r>
      <w:r w:rsidR="003562E3" w:rsidRPr="003562E3">
        <w:rPr>
          <w:rFonts w:cstheme="majorBidi"/>
          <w:i/>
        </w:rPr>
        <w:t>α</w:t>
      </w:r>
      <w:r w:rsidR="003562E3">
        <w:rPr>
          <w:rFonts w:cstheme="majorBidi"/>
        </w:rPr>
        <w:t xml:space="preserve"> </w:t>
      </w:r>
      <w:r w:rsidR="00F07BEC">
        <w:rPr>
          <w:rFonts w:cstheme="majorBidi"/>
        </w:rPr>
        <w:t>(</w:t>
      </w:r>
      <w:r w:rsidR="00800FA8">
        <w:rPr>
          <w:rFonts w:cstheme="majorBidi"/>
        </w:rPr>
        <w:t>“</w:t>
      </w:r>
      <w:r w:rsidR="00F07BEC">
        <w:rPr>
          <w:rFonts w:cstheme="majorBidi"/>
        </w:rPr>
        <w:t>p</w:t>
      </w:r>
      <w:r w:rsidR="00800FA8">
        <w:rPr>
          <w:rFonts w:cstheme="majorBidi"/>
        </w:rPr>
        <w:t>lot”</w:t>
      </w:r>
      <w:r w:rsidR="00F07BEC">
        <w:rPr>
          <w:rFonts w:cstheme="majorBidi"/>
        </w:rPr>
        <w:t xml:space="preserve"> richness) </w:t>
      </w:r>
      <w:r w:rsidR="003562E3">
        <w:rPr>
          <w:rFonts w:cstheme="majorBidi"/>
        </w:rPr>
        <w:t xml:space="preserve">and </w:t>
      </w:r>
      <w:r w:rsidR="003562E3" w:rsidRPr="003562E3">
        <w:rPr>
          <w:rFonts w:cstheme="majorBidi"/>
          <w:i/>
        </w:rPr>
        <w:t>β</w:t>
      </w:r>
      <w:r w:rsidR="001B0959">
        <w:rPr>
          <w:rFonts w:cstheme="majorBidi"/>
        </w:rPr>
        <w:t xml:space="preserve"> </w:t>
      </w:r>
      <w:r w:rsidR="00F07BEC">
        <w:rPr>
          <w:rFonts w:cstheme="majorBidi"/>
        </w:rPr>
        <w:t xml:space="preserve">(turnover) </w:t>
      </w:r>
      <w:r w:rsidR="001B0959">
        <w:rPr>
          <w:rFonts w:cstheme="majorBidi"/>
        </w:rPr>
        <w:t>components</w:t>
      </w:r>
      <w:r w:rsidR="00F07BEC">
        <w:rPr>
          <w:rFonts w:cstheme="majorBidi"/>
        </w:rPr>
        <w:t xml:space="preserve">, </w:t>
      </w:r>
      <w:r w:rsidR="00364F0A">
        <w:rPr>
          <w:rFonts w:cstheme="majorBidi"/>
        </w:rPr>
        <w:t>using the equation</w:t>
      </w:r>
      <w:r w:rsidR="00FE0731">
        <w:rPr>
          <w:rFonts w:cstheme="majorBidi"/>
        </w:rPr>
        <w:t>s</w:t>
      </w:r>
    </w:p>
    <w:p w14:paraId="037F7D6A" w14:textId="191A9F0A" w:rsidR="00FE0731" w:rsidRPr="00FE0731" w:rsidRDefault="00E16405"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HDS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QDS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QDS</m:t>
              </m:r>
            </m:sub>
          </m:sSub>
        </m:oMath>
      </m:oMathPara>
    </w:p>
    <w:p w14:paraId="5E14789F" w14:textId="3787E63B" w:rsidR="00FE0731" w:rsidRPr="00FE0731" w:rsidRDefault="00E16405"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HDS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HDS</m:t>
              </m:r>
            </m:sub>
          </m:sSub>
        </m:oMath>
      </m:oMathPara>
    </w:p>
    <w:p w14:paraId="7E2DAD40" w14:textId="37B20A1A" w:rsidR="00364F0A" w:rsidRPr="00B6436E" w:rsidRDefault="00364F0A" w:rsidP="008A4E97">
      <w:pPr>
        <w:pStyle w:val="FirstParagraph"/>
        <w:rPr>
          <w:rFonts w:eastAsiaTheme="minorEastAsia"/>
        </w:rPr>
      </w:pPr>
      <w:r>
        <w:t xml:space="preserve">where </w:t>
      </w:r>
      <m:oMath>
        <m:bar>
          <m:barPr>
            <m:pos m:val="top"/>
            <m:ctrlPr>
              <w:rPr>
                <w:rFonts w:ascii="Cambria Math" w:hAnsi="Cambria Math"/>
              </w:rPr>
            </m:ctrlPr>
          </m:barPr>
          <m:e>
            <m:r>
              <w:rPr>
                <w:rFonts w:ascii="Cambria Math" w:hAnsi="Cambria Math"/>
              </w:rPr>
              <m:t>S</m:t>
            </m:r>
          </m:e>
        </m:bar>
      </m:oMath>
      <w:r w:rsidR="00BC5EDB">
        <w:rPr>
          <w:rFonts w:eastAsiaTheme="minorEastAsia"/>
          <w:vertAlign w:val="subscript"/>
        </w:rPr>
        <w:t>QDS</w:t>
      </w:r>
      <w:r>
        <w:t xml:space="preserve"> </w:t>
      </w:r>
      <w:r w:rsidR="00EF6C4B">
        <w:t xml:space="preserve">and </w:t>
      </w:r>
      <m:oMath>
        <m:bar>
          <m:barPr>
            <m:pos m:val="top"/>
            <m:ctrlPr>
              <w:rPr>
                <w:rFonts w:ascii="Cambria Math" w:hAnsi="Cambria Math"/>
              </w:rPr>
            </m:ctrlPr>
          </m:barPr>
          <m:e>
            <m:r>
              <w:rPr>
                <w:rFonts w:ascii="Cambria Math" w:hAnsi="Cambria Math"/>
              </w:rPr>
              <m:t>S</m:t>
            </m:r>
          </m:e>
        </m:bar>
      </m:oMath>
      <w:r w:rsidR="00EF6C4B">
        <w:rPr>
          <w:rFonts w:eastAsiaTheme="minorEastAsia"/>
          <w:vertAlign w:val="subscript"/>
        </w:rPr>
        <w:t>HDS</w:t>
      </w:r>
      <w:r w:rsidR="00EF6C4B">
        <w:t xml:space="preserve"> are</w:t>
      </w:r>
      <w:r>
        <w:t xml:space="preserve"> the average species richness of the four constituent </w:t>
      </w:r>
      <w:r w:rsidR="00E42645">
        <w:t xml:space="preserve">squares </w:t>
      </w:r>
      <w:r w:rsidR="00D50517">
        <w:t>in each HDS and DS</w:t>
      </w:r>
      <w:r w:rsidR="003563D1">
        <w:t>,</w:t>
      </w:r>
      <w:r w:rsidR="00D50517">
        <w:t xml:space="preserve"> respectively (i.e.</w:t>
      </w:r>
      <w:r w:rsidR="003563D1">
        <w:t xml:space="preserve"> mean</w:t>
      </w:r>
      <w:r w:rsidR="00D50517">
        <w:t xml:space="preserve"> </w:t>
      </w:r>
      <w:r w:rsidR="00D50517" w:rsidRPr="003562E3">
        <w:rPr>
          <w:rFonts w:cstheme="majorBidi"/>
          <w:i/>
        </w:rPr>
        <w:t>α</w:t>
      </w:r>
      <w:r w:rsidR="003563D1">
        <w:rPr>
          <w:rFonts w:cstheme="majorBidi"/>
        </w:rPr>
        <w:t xml:space="preserve"> richness</w:t>
      </w:r>
      <w:r w:rsidR="00D50517" w:rsidRPr="00D50517">
        <w:rPr>
          <w:rFonts w:cstheme="majorBidi"/>
        </w:rPr>
        <w:t>)</w:t>
      </w:r>
      <w:r w:rsidR="00EB1A1E">
        <w:t>,</w:t>
      </w:r>
      <w:r>
        <w:t xml:space="preserve"> and</w:t>
      </w:r>
      <w:r w:rsidR="00BC5EDB">
        <w:t xml:space="preserve"> </w:t>
      </w:r>
      <w:r w:rsidR="00BC5EDB">
        <w:rPr>
          <w:i/>
        </w:rPr>
        <w:t>T</w:t>
      </w:r>
      <w:r w:rsidR="00BC5EDB">
        <w:rPr>
          <w:vertAlign w:val="subscript"/>
        </w:rPr>
        <w:t>QDS</w:t>
      </w:r>
      <w:r w:rsidR="00BC5EDB">
        <w:t xml:space="preserve"> </w:t>
      </w:r>
      <w:r w:rsidR="00D50517">
        <w:t xml:space="preserve">and </w:t>
      </w:r>
      <w:r w:rsidR="00D50517" w:rsidRPr="00D50517">
        <w:rPr>
          <w:i/>
        </w:rPr>
        <w:t>T</w:t>
      </w:r>
      <w:r w:rsidR="00D50517">
        <w:rPr>
          <w:vertAlign w:val="subscript"/>
        </w:rPr>
        <w:t>HDS</w:t>
      </w:r>
      <w:r w:rsidR="00D50517">
        <w:t xml:space="preserve"> represent</w:t>
      </w:r>
      <w:r>
        <w:t xml:space="preserve"> </w:t>
      </w:r>
      <w:r w:rsidR="003D65D2">
        <w:t xml:space="preserve">the residual (i.e. turnover-based) </w:t>
      </w:r>
      <w:r w:rsidR="009D7AE2" w:rsidRPr="003562E3">
        <w:rPr>
          <w:rFonts w:cstheme="majorBidi"/>
          <w:i/>
        </w:rPr>
        <w:t>β</w:t>
      </w:r>
      <w:r w:rsidR="009D7AE2">
        <w:t xml:space="preserve"> </w:t>
      </w:r>
      <w:r w:rsidR="003D65D2">
        <w:t xml:space="preserve">richness, </w:t>
      </w:r>
      <w:r>
        <w:t>determined as</w:t>
      </w:r>
      <w:r w:rsidR="00BC5EDB">
        <w:t xml:space="preserve"> </w:t>
      </w:r>
      <w:r w:rsidR="00293F2E" w:rsidRPr="003562E3">
        <w:rPr>
          <w:rFonts w:cstheme="majorBidi"/>
          <w:i/>
        </w:rPr>
        <w:t>γ</w:t>
      </w:r>
      <w:r w:rsidR="00FE0731">
        <w:t xml:space="preserve"> </w:t>
      </w:r>
      <w:r w:rsidR="00FE0731">
        <w:rPr>
          <w:rFonts w:ascii="Cambria Math" w:hAnsi="Cambria Math"/>
        </w:rPr>
        <w:t xml:space="preserve">− </w:t>
      </w:r>
      <w:r w:rsidR="00293F2E" w:rsidRPr="003562E3">
        <w:rPr>
          <w:rFonts w:cstheme="majorBidi"/>
          <w:i/>
        </w:rPr>
        <w:t>α</w:t>
      </w:r>
      <w:r>
        <w:rPr>
          <w:rFonts w:eastAsiaTheme="minorEastAsia"/>
        </w:rPr>
        <w:t>.</w:t>
      </w:r>
    </w:p>
    <w:p w14:paraId="2FF2F365" w14:textId="0C8205FE" w:rsidR="00DD2348" w:rsidRDefault="00970650" w:rsidP="008A4E97">
      <w:pPr>
        <w:pStyle w:val="Heading2"/>
        <w:spacing w:line="240" w:lineRule="auto"/>
      </w:pPr>
      <w:r>
        <w:t>2.2</w:t>
      </w:r>
      <w:r w:rsidR="00305C02">
        <w:t>:</w:t>
      </w:r>
      <w:r>
        <w:t xml:space="preserve"> </w:t>
      </w:r>
      <w:r w:rsidR="005F0FFB">
        <w:t>Comparing environmental heterogeneity</w:t>
      </w:r>
      <w:bookmarkEnd w:id="3"/>
    </w:p>
    <w:p w14:paraId="16702F9A" w14:textId="4E77BF4A" w:rsidR="00DD2348" w:rsidRDefault="00B6082F" w:rsidP="008A4E97">
      <w:pPr>
        <w:pStyle w:val="FirstParagraph"/>
      </w:pPr>
      <w:r>
        <w:t>T</w:t>
      </w:r>
      <w:r w:rsidR="005F0FFB">
        <w:t xml:space="preserve">o compare </w:t>
      </w:r>
      <w:r w:rsidR="007948F4">
        <w:t>environmental heterogeneity</w:t>
      </w:r>
      <w:r w:rsidR="005F0FFB">
        <w:t xml:space="preserve"> </w:t>
      </w:r>
      <w:r>
        <w:t>between the GCFR and SWAFR,</w:t>
      </w:r>
      <w:r w:rsidR="005F0FFB">
        <w:t xml:space="preserve"> we acquired a suite of </w:t>
      </w:r>
      <w:r w:rsidR="00E37201">
        <w:t xml:space="preserve">nine </w:t>
      </w:r>
      <w:r w:rsidR="005F0FFB">
        <w:t xml:space="preserve">geospatially-explicit environmental </w:t>
      </w:r>
      <w:r w:rsidR="00E37201">
        <w:t>variables</w:t>
      </w:r>
      <w:r w:rsidR="005F0FFB">
        <w:t xml:space="preserve"> </w:t>
      </w:r>
      <w:r w:rsidR="00E37201">
        <w:t>(Table S</w:t>
      </w:r>
      <w:r w:rsidR="00E37201" w:rsidRPr="00E17D52">
        <w:t>1</w:t>
      </w:r>
      <w:r w:rsidR="00E37201">
        <w:t xml:space="preserve">) </w:t>
      </w:r>
      <w:r w:rsidR="005F0FFB">
        <w:t>in the form of raster layers</w:t>
      </w:r>
      <w:r w:rsidR="00E37201">
        <w:t xml:space="preserve"> </w:t>
      </w:r>
      <w:r w:rsidR="00086052">
        <w:t xml:space="preserve">to </w:t>
      </w:r>
      <w:r w:rsidR="007612C7">
        <w:t>represent</w:t>
      </w:r>
      <w:r w:rsidR="00E25251">
        <w:t xml:space="preserve"> topographic (elevation), climatic (surface T, MAP, PDQ), edaphic (clay content, soil C, pH, CEC) and vegetational </w:t>
      </w:r>
      <w:r w:rsidR="00086052">
        <w:t xml:space="preserve">(NDVI) </w:t>
      </w:r>
      <w:r w:rsidR="00E25251">
        <w:t xml:space="preserve">gradients. </w:t>
      </w:r>
      <w:r w:rsidR="00086052">
        <w:t xml:space="preserve">As far as possible, these variables were selected to represent environmental axes which are </w:t>
      </w:r>
      <w:r w:rsidR="00086052" w:rsidRPr="00793AD5">
        <w:t>considered regionally important</w:t>
      </w:r>
      <w:r w:rsidR="004066C3" w:rsidRPr="00793AD5">
        <w:t xml:space="preserve"> and </w:t>
      </w:r>
      <w:r w:rsidR="0062793F" w:rsidRPr="00793AD5">
        <w:t>i</w:t>
      </w:r>
      <w:r w:rsidR="004066C3" w:rsidRPr="00793AD5">
        <w:t>ndependent</w:t>
      </w:r>
      <w:r w:rsidR="00780F37">
        <w:t xml:space="preserve"> (see Figure S</w:t>
      </w:r>
      <w:r w:rsidR="00780F37" w:rsidRPr="009A4D83">
        <w:t>1–3</w:t>
      </w:r>
      <w:r w:rsidR="00780F37">
        <w:t>)</w:t>
      </w:r>
      <w:r w:rsidR="00086052">
        <w:t xml:space="preserve">. For example, the inclusion of PDQ in addition to MAP is justified on the basis that, where the </w:t>
      </w:r>
      <w:r w:rsidR="00657049">
        <w:t xml:space="preserve">latter </w:t>
      </w:r>
      <w:r w:rsidR="00086052">
        <w:t>captures variation in overall rainfall amount, the former measures the intensity of seasonal aridity</w:t>
      </w:r>
      <w:r w:rsidR="00FA10B3">
        <w:t xml:space="preserve">, </w:t>
      </w:r>
      <w:r w:rsidR="00086052">
        <w:t xml:space="preserve">a key feature of </w:t>
      </w:r>
      <w:r w:rsidR="003B10FC">
        <w:t>mediterranean-type climates (</w:t>
      </w:r>
      <w:r w:rsidR="003B10FC" w:rsidRPr="00E0149B">
        <w:rPr>
          <w:highlight w:val="yellow"/>
        </w:rPr>
        <w:t>ref</w:t>
      </w:r>
      <w:r w:rsidR="003B10FC">
        <w:t>). Variable selection was, however, constrained by the availability of suitable raster-layers. Thus, although soil [P] is probably an important determinant of plant distribution in both the GCFR and SWAFR (</w:t>
      </w:r>
      <w:r w:rsidR="003B10FC" w:rsidRPr="00E0149B">
        <w:rPr>
          <w:highlight w:val="yellow"/>
        </w:rPr>
        <w:t>refs</w:t>
      </w:r>
      <w:r w:rsidR="003B10FC">
        <w:t>), this variable could not</w:t>
      </w:r>
      <w:r w:rsidR="00C42B96">
        <w:t xml:space="preserve"> be</w:t>
      </w:r>
      <w:r w:rsidR="003B10FC">
        <w:t xml:space="preserve"> included owing to a lack of comparable data layers for the two regions. Indeed, </w:t>
      </w:r>
      <w:r w:rsidR="003B10FC" w:rsidRPr="006F3164">
        <w:t xml:space="preserve">wherever possible, we made use of </w:t>
      </w:r>
      <w:r w:rsidR="006F3164" w:rsidRPr="006F3164">
        <w:t>remote sensing derived layers</w:t>
      </w:r>
      <w:r w:rsidR="003B10FC" w:rsidRPr="006F3164">
        <w:t xml:space="preserve">. </w:t>
      </w:r>
      <w:r w:rsidR="003F1CDD" w:rsidRPr="006F3164">
        <w:t>Where</w:t>
      </w:r>
      <w:r w:rsidR="003F1CDD">
        <w:t xml:space="preserve"> s</w:t>
      </w:r>
      <w:r w:rsidR="007612C7">
        <w:t>oil variables were summari</w:t>
      </w:r>
      <w:r w:rsidR="00EB34AB">
        <w:t>s</w:t>
      </w:r>
      <w:r w:rsidR="007612C7">
        <w:t>ed as</w:t>
      </w:r>
      <w:r w:rsidR="005F0FFB">
        <w:t xml:space="preserve"> depth-interval weighted average</w:t>
      </w:r>
      <w:r w:rsidR="007612C7">
        <w:t>s, climatic a</w:t>
      </w:r>
      <w:r w:rsidR="005F0FFB">
        <w:t xml:space="preserve">nd spectral </w:t>
      </w:r>
      <w:r w:rsidR="007612C7">
        <w:t>variables</w:t>
      </w:r>
      <w:r w:rsidR="005F0FFB">
        <w:t xml:space="preserve"> </w:t>
      </w:r>
      <w:r w:rsidR="003F1CDD">
        <w:t>were summari</w:t>
      </w:r>
      <w:r w:rsidR="00EB34AB">
        <w:t>s</w:t>
      </w:r>
      <w:r w:rsidR="003F1CDD">
        <w:t xml:space="preserve">ed </w:t>
      </w:r>
      <w:r w:rsidR="007612C7">
        <w:t>as</w:t>
      </w:r>
      <w:r w:rsidR="005F0FFB">
        <w:t xml:space="preserve"> </w:t>
      </w:r>
      <w:r w:rsidR="007612C7">
        <w:t>annual means</w:t>
      </w:r>
      <w:r w:rsidR="002F7183">
        <w:t>, both</w:t>
      </w:r>
      <w:r w:rsidR="003F1CDD">
        <w:t xml:space="preserve"> using the “raster” package for R</w:t>
      </w:r>
      <w:r w:rsidR="000202B4">
        <w:t xml:space="preserve"> </w:t>
      </w:r>
      <w:r w:rsidR="006D46F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6D46FC">
        <w:fldChar w:fldCharType="separate"/>
      </w:r>
      <w:r w:rsidR="00B1341B" w:rsidRPr="00B1341B">
        <w:rPr>
          <w:noProof/>
        </w:rPr>
        <w:t>(Hijmans, 2016)</w:t>
      </w:r>
      <w:r w:rsidR="006D46FC">
        <w:fldChar w:fldCharType="end"/>
      </w:r>
      <w:r w:rsidR="003F1CDD">
        <w:t xml:space="preserve">. All layers were then </w:t>
      </w:r>
      <w:r w:rsidR="005F0FFB">
        <w:t>projected to a common coordinate reference system (WGS84) using the “rgdal” package</w:t>
      </w:r>
      <w:r w:rsidR="003F1CDD">
        <w:t xml:space="preserve"> </w:t>
      </w:r>
      <w:r w:rsidR="00713882">
        <w:fldChar w:fldCharType="begin" w:fldLock="1"/>
      </w:r>
      <w:r w:rsidR="00CB7719">
        <w:instrText>ADDIN CSL_CITATION {"citationItems":[{"id":"ITEM-1","itemData":{"author":[{"dropping-particle":"","family":"Bivand","given":"Roger","non-dropping-particle":"","parse-names":false,"suffix":""},{"dropping-particle":"","family":"Keitt","given":"Tim","non-dropping-particle":"","parse-names":false,"suffix":""},{"dropping-particle":"","family":"Rowlingson","given":"Barry","non-dropping-particle":"","parse-names":false,"suffix":""}],"id":"ITEM-1","issued":{"date-parts":[["2017"]]},"note":"R package version 1.2-7","title":"rgdal: Bindings for the Geospatial Data Abstraction Library. R package version 1.2-7","type":"article"},"uris":["http://www.mendeley.com/documents/?uuid=ad47ce2a-b11c-4257-a0dc-af013995a00f"]}],"mendeley":{"formattedCitation":"(Bivand, Keitt, &amp; Rowlingson, 2017)","plainTextFormattedCitation":"(Bivand, Keitt, &amp; Rowlingson, 2017)","previouslyFormattedCitation":"(Bivand, Keitt, &amp; Rowlingson, 2017)"},"properties":{"noteIndex":0},"schema":"https://github.com/citation-style-language/schema/raw/master/csl-citation.json"}</w:instrText>
      </w:r>
      <w:r w:rsidR="00713882">
        <w:fldChar w:fldCharType="separate"/>
      </w:r>
      <w:r w:rsidR="00B1341B" w:rsidRPr="00B1341B">
        <w:rPr>
          <w:noProof/>
        </w:rPr>
        <w:t>(Bivand, Keitt, &amp; Rowlingson, 2017)</w:t>
      </w:r>
      <w:r w:rsidR="00713882">
        <w:fldChar w:fldCharType="end"/>
      </w:r>
      <w:r w:rsidR="003F1CDD">
        <w:t xml:space="preserve"> and</w:t>
      </w:r>
      <w:r w:rsidR="005F0FFB">
        <w:t xml:space="preserve"> resampled to 0.05º resolution using the “resample” function in “raster</w:t>
      </w:r>
      <w:r w:rsidR="000202B4">
        <w:t>,</w:t>
      </w:r>
      <w:r w:rsidR="005F0FFB">
        <w:t>” with the “bilinear” method.</w:t>
      </w:r>
    </w:p>
    <w:p w14:paraId="74D8719F" w14:textId="73CD5DDE" w:rsidR="00444B5F" w:rsidRDefault="00946957">
      <w:pPr>
        <w:pStyle w:val="BodyText"/>
      </w:pPr>
      <w:r>
        <w:t>In order t</w:t>
      </w:r>
      <w:r w:rsidR="000C57CB" w:rsidRPr="00A3580F">
        <w:t>o quantify heterogeneity in the</w:t>
      </w:r>
      <w:r w:rsidR="001D7221">
        <w:t>se</w:t>
      </w:r>
      <w:r w:rsidR="000C57CB" w:rsidRPr="00A3580F">
        <w:t xml:space="preserve"> </w:t>
      </w:r>
      <w:r w:rsidR="001D7221">
        <w:t xml:space="preserve">environmental </w:t>
      </w:r>
      <w:r w:rsidR="000C57CB" w:rsidRPr="00A3580F">
        <w:t>variable</w:t>
      </w:r>
      <w:r w:rsidR="001D7221">
        <w:t>s</w:t>
      </w:r>
      <w:r w:rsidR="000C57CB" w:rsidRPr="00A3580F">
        <w:t>, w</w:t>
      </w:r>
      <w:r w:rsidR="005F0FFB" w:rsidRPr="00A3580F">
        <w:t xml:space="preserve">e developed an index that would account for the spatial configuration of environmental conditions. Our index, </w:t>
      </w:r>
      <w:r w:rsidR="00DE5FA7" w:rsidRPr="00A3580F">
        <w:t>based on</w:t>
      </w:r>
      <w:r w:rsidR="005F0FFB" w:rsidRPr="00A3580F">
        <w:t xml:space="preserve"> raster data, </w:t>
      </w:r>
      <w:r w:rsidR="005F0FFB" w:rsidRPr="006F3914">
        <w:t>employs</w:t>
      </w:r>
      <w:r w:rsidR="002C7938" w:rsidRPr="006F3914">
        <w:t xml:space="preserve"> nested </w:t>
      </w:r>
      <w:r w:rsidR="0090106E">
        <w:t>squares</w:t>
      </w:r>
      <w:r w:rsidR="0090106E" w:rsidRPr="006F3914">
        <w:t xml:space="preserve"> </w:t>
      </w:r>
      <w:r w:rsidR="002C7938" w:rsidRPr="006F3914">
        <w:t>at various spatial scales</w:t>
      </w:r>
      <w:r w:rsidR="00E7429C" w:rsidRPr="006F3914">
        <w:t>.</w:t>
      </w:r>
      <w:r w:rsidR="005F0FFB" w:rsidRPr="00C57F5D">
        <w:t xml:space="preserve"> </w:t>
      </w:r>
      <w:r w:rsidR="002C7938" w:rsidRPr="00946957">
        <w:t xml:space="preserve">We </w:t>
      </w:r>
      <w:r w:rsidR="003E6B88">
        <w:t>quantified</w:t>
      </w:r>
      <w:r w:rsidR="003E6B88" w:rsidRPr="00946957">
        <w:t xml:space="preserve"> </w:t>
      </w:r>
      <w:r w:rsidR="003E6B88">
        <w:t xml:space="preserve">the </w:t>
      </w:r>
      <w:r w:rsidR="002C7938" w:rsidRPr="00946957">
        <w:t>environmental heterogeneity</w:t>
      </w:r>
      <w:r w:rsidR="003E6B88">
        <w:t xml:space="preserve"> of a given square (i.e. 0.10</w:t>
      </w:r>
      <w:r w:rsidR="003E6B88">
        <w:rPr>
          <w:rFonts w:cstheme="majorBidi"/>
        </w:rPr>
        <w:t>°×</w:t>
      </w:r>
      <w:r w:rsidR="003E6B88">
        <w:t>0.10</w:t>
      </w:r>
      <w:r w:rsidR="003E6B88">
        <w:rPr>
          <w:rFonts w:ascii="Times New Roman" w:hAnsi="Times New Roman" w:cs="Times New Roman"/>
        </w:rPr>
        <w:t>°-</w:t>
      </w:r>
      <w:r w:rsidR="003E6B88" w:rsidRPr="00946957">
        <w:t>, QDS</w:t>
      </w:r>
      <w:r w:rsidR="003E6B88">
        <w:t>-</w:t>
      </w:r>
      <w:r w:rsidR="003E6B88" w:rsidRPr="00946957">
        <w:t>, HDS</w:t>
      </w:r>
      <w:r w:rsidR="003E6B88">
        <w:t>-</w:t>
      </w:r>
      <w:r w:rsidR="003E6B88" w:rsidRPr="00946957">
        <w:t xml:space="preserve"> and DS</w:t>
      </w:r>
      <w:r w:rsidR="003E6B88">
        <w:t>-scale)</w:t>
      </w:r>
      <w:r w:rsidR="002C7938" w:rsidRPr="00946957">
        <w:t xml:space="preserve"> as the variance </w:t>
      </w:r>
      <w:r w:rsidR="002810B1">
        <w:t xml:space="preserve">of the environmental conditions </w:t>
      </w:r>
      <w:r w:rsidR="003E6B88">
        <w:t xml:space="preserve">of </w:t>
      </w:r>
      <w:r w:rsidR="002810B1">
        <w:t>the four sub-</w:t>
      </w:r>
      <w:r w:rsidR="0051498F">
        <w:t>squares</w:t>
      </w:r>
      <w:r w:rsidR="003E6B88">
        <w:t xml:space="preserve"> (i.e. 0.05</w:t>
      </w:r>
      <w:r w:rsidR="003E6B88">
        <w:rPr>
          <w:rFonts w:cstheme="majorBidi"/>
        </w:rPr>
        <w:t>°×</w:t>
      </w:r>
      <w:r w:rsidR="003E6B88">
        <w:t>0.05</w:t>
      </w:r>
      <w:r w:rsidR="003E6B88">
        <w:rPr>
          <w:rFonts w:ascii="Times New Roman" w:hAnsi="Times New Roman" w:cs="Times New Roman"/>
        </w:rPr>
        <w:t>°</w:t>
      </w:r>
      <w:r w:rsidR="00444B5F">
        <w:rPr>
          <w:rFonts w:ascii="Times New Roman" w:hAnsi="Times New Roman" w:cs="Times New Roman"/>
        </w:rPr>
        <w:t>-</w:t>
      </w:r>
      <w:r w:rsidR="003E6B88" w:rsidRPr="00946957">
        <w:t>, eighth-</w:t>
      </w:r>
      <w:r w:rsidR="003E6B88">
        <w:t>degree square</w:t>
      </w:r>
      <w:r w:rsidR="00444B5F">
        <w:t>-</w:t>
      </w:r>
      <w:r w:rsidR="003E6B88" w:rsidRPr="00946957">
        <w:t>,</w:t>
      </w:r>
      <w:r w:rsidR="003E6B88">
        <w:t xml:space="preserve"> </w:t>
      </w:r>
      <w:r w:rsidR="003E6B88" w:rsidRPr="00946957">
        <w:t>QDS</w:t>
      </w:r>
      <w:r w:rsidR="00444B5F">
        <w:t>-</w:t>
      </w:r>
      <w:r w:rsidR="003E6B88">
        <w:t xml:space="preserve"> and </w:t>
      </w:r>
      <w:r w:rsidR="003E6B88" w:rsidRPr="00946957">
        <w:t>HDS</w:t>
      </w:r>
      <w:r w:rsidR="00444B5F">
        <w:t>-scale</w:t>
      </w:r>
      <w:r w:rsidR="003E6B88">
        <w:t>)</w:t>
      </w:r>
      <w:r w:rsidR="0051498F">
        <w:t xml:space="preserve"> </w:t>
      </w:r>
      <w:r w:rsidR="003E6B88">
        <w:t>nested within it</w:t>
      </w:r>
      <w:r w:rsidR="002810B1">
        <w:t xml:space="preserve">. </w:t>
      </w:r>
      <w:r w:rsidR="003E6B88">
        <w:t>T</w:t>
      </w:r>
      <w:r w:rsidR="00E7429C" w:rsidRPr="0001739B">
        <w:t xml:space="preserve">his </w:t>
      </w:r>
      <w:r w:rsidR="003E6B88">
        <w:t>was d</w:t>
      </w:r>
      <w:r w:rsidR="00444B5F">
        <w:t>one</w:t>
      </w:r>
      <w:r w:rsidR="003E6B88">
        <w:t xml:space="preserve"> </w:t>
      </w:r>
      <w:r w:rsidR="00E7429C" w:rsidRPr="0001739B">
        <w:t>using the “</w:t>
      </w:r>
      <w:r w:rsidR="00B41D09" w:rsidRPr="0001739B">
        <w:t>aggregate</w:t>
      </w:r>
      <w:r w:rsidR="00E7429C" w:rsidRPr="0001739B">
        <w:t xml:space="preserve">” </w:t>
      </w:r>
      <w:r w:rsidR="00BD5C4F">
        <w:t xml:space="preserve">function in </w:t>
      </w:r>
      <w:r w:rsidR="00A30A5A">
        <w:t xml:space="preserve">the </w:t>
      </w:r>
      <w:r w:rsidR="00E7429C" w:rsidRPr="0001739B">
        <w:t>R package “raster</w:t>
      </w:r>
      <w:r w:rsidR="008E6F1C">
        <w:t xml:space="preserve">” </w:t>
      </w:r>
      <w:r w:rsidR="008E6F1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8E6F1C">
        <w:fldChar w:fldCharType="separate"/>
      </w:r>
      <w:r w:rsidR="00B1341B" w:rsidRPr="00B1341B">
        <w:rPr>
          <w:noProof/>
        </w:rPr>
        <w:t>(Hijmans, 2016)</w:t>
      </w:r>
      <w:r w:rsidR="008E6F1C">
        <w:fldChar w:fldCharType="end"/>
      </w:r>
      <w:r w:rsidR="003E6B88">
        <w:t>,</w:t>
      </w:r>
      <w:r w:rsidR="008E6F1C">
        <w:t xml:space="preserve"> </w:t>
      </w:r>
      <w:r w:rsidR="0076433F">
        <w:t xml:space="preserve">with </w:t>
      </w:r>
      <w:r w:rsidR="00BD5C4F">
        <w:t xml:space="preserve">variance </w:t>
      </w:r>
      <w:r w:rsidR="003E6B88">
        <w:t xml:space="preserve">set </w:t>
      </w:r>
      <w:r w:rsidR="00BD5C4F">
        <w:t>as the aggregation function</w:t>
      </w:r>
      <w:r w:rsidR="00A30A5A">
        <w:t>.</w:t>
      </w:r>
      <w:r w:rsidR="00DE7007">
        <w:t xml:space="preserve"> </w:t>
      </w:r>
      <w:r w:rsidR="00444B5F">
        <w:t xml:space="preserve">Since </w:t>
      </w:r>
      <w:r w:rsidR="009B5F2E">
        <w:t>our index</w:t>
      </w:r>
      <w:r w:rsidR="00444B5F">
        <w:t xml:space="preserve"> measure</w:t>
      </w:r>
      <w:r w:rsidR="009B5F2E">
        <w:t>s</w:t>
      </w:r>
      <w:r w:rsidR="00444B5F">
        <w:t xml:space="preserve"> within-square heterogeneity at each spatial scale, </w:t>
      </w:r>
      <w:r w:rsidR="009B5F2E">
        <w:t>it can be related directly</w:t>
      </w:r>
      <w:r w:rsidR="00444B5F">
        <w:t xml:space="preserve"> to </w:t>
      </w:r>
      <w:r w:rsidR="009B5F2E">
        <w:t>species richness at the QDS-, HDS- and DS-scales</w:t>
      </w:r>
      <w:r w:rsidR="00444B5F">
        <w:t>.</w:t>
      </w:r>
    </w:p>
    <w:p w14:paraId="4910D4CC" w14:textId="283EB743" w:rsidR="00DD2348" w:rsidRPr="00377F87" w:rsidRDefault="00C116AB" w:rsidP="00377F87">
      <w:pPr>
        <w:pStyle w:val="BodyText"/>
        <w:rPr>
          <w:rFonts w:eastAsiaTheme="minorEastAsia"/>
        </w:rPr>
      </w:pPr>
      <w:r>
        <w:t>W</w:t>
      </w:r>
      <w:r w:rsidR="005F0FFB">
        <w:t xml:space="preserve">e </w:t>
      </w:r>
      <w:r w:rsidR="00FD3C3A">
        <w:t xml:space="preserve">used principal components analysis (PCA), applied to the </w:t>
      </w:r>
      <w:r w:rsidR="002711B7">
        <w:t>nine</w:t>
      </w:r>
      <w:r w:rsidR="00FD3C3A">
        <w:t xml:space="preserve"> environmental variables across both regions, to </w:t>
      </w:r>
      <w:r w:rsidR="00DA6161">
        <w:t>extract a major axis of</w:t>
      </w:r>
      <w:r w:rsidR="005F0FFB">
        <w:t xml:space="preserve"> </w:t>
      </w:r>
      <w:r w:rsidR="007948F4">
        <w:t>environmental heterogeneity</w:t>
      </w:r>
      <w:r w:rsidR="005F0FFB">
        <w:t xml:space="preserve">. </w:t>
      </w:r>
      <w:r w:rsidR="00F358D2">
        <w:t xml:space="preserve">For this purpose, the layers describing heterogeneity in the </w:t>
      </w:r>
      <w:r w:rsidR="0036760E">
        <w:t>nine</w:t>
      </w:r>
      <w:r w:rsidR="00F358D2">
        <w:t xml:space="preserve"> environmental variables at each spatial scale </w:t>
      </w:r>
      <w:r w:rsidR="00B645EA">
        <w:t xml:space="preserve">were </w:t>
      </w:r>
      <w:r w:rsidR="00F358D2">
        <w:lastRenderedPageBreak/>
        <w:t>first log</w:t>
      </w:r>
      <w:r w:rsidR="00F70EA3">
        <w:rPr>
          <w:vertAlign w:val="subscript"/>
        </w:rPr>
        <w:t>10</w:t>
      </w:r>
      <w:r w:rsidR="00F70EA3">
        <w:t>-</w:t>
      </w:r>
      <w:r w:rsidR="00F358D2">
        <w:t xml:space="preserve">transformed to ensure normality. A separate PCA was </w:t>
      </w:r>
      <w:r w:rsidR="00DA6161">
        <w:t>then run at</w:t>
      </w:r>
      <w:r w:rsidR="005F0FFB">
        <w:t xml:space="preserve"> each </w:t>
      </w:r>
      <w:r w:rsidR="00FD3C3A">
        <w:t>spatial scale</w:t>
      </w:r>
      <w:r w:rsidR="00F358D2">
        <w:t xml:space="preserve">. </w:t>
      </w:r>
      <w:r w:rsidR="005F0FFB">
        <w:t xml:space="preserve">The first </w:t>
      </w:r>
      <w:r w:rsidR="00E52A66">
        <w:t>axis</w:t>
      </w:r>
      <w:r w:rsidR="005F0FFB">
        <w:t xml:space="preserve"> </w:t>
      </w:r>
      <w:r w:rsidR="002B0F5B">
        <w:t xml:space="preserve">(PC1) </w:t>
      </w:r>
      <w:r w:rsidR="00DA6161">
        <w:t xml:space="preserve">thus </w:t>
      </w:r>
      <w:r w:rsidR="00E52A66">
        <w:t xml:space="preserve">extracted </w:t>
      </w:r>
      <w:r w:rsidR="005F0FFB">
        <w:t xml:space="preserve">from each of the </w:t>
      </w:r>
      <w:r w:rsidR="00334B9B">
        <w:t>four</w:t>
      </w:r>
      <w:r w:rsidR="005F0FFB">
        <w:t xml:space="preserve"> PCAs represents the major axis of heterogeneity </w:t>
      </w:r>
      <w:r w:rsidR="00E52A66">
        <w:t xml:space="preserve">across </w:t>
      </w:r>
      <w:r w:rsidR="005F0FFB">
        <w:t xml:space="preserve">the </w:t>
      </w:r>
      <w:r w:rsidR="00361152">
        <w:t>nine</w:t>
      </w:r>
      <w:r w:rsidR="00E52A66">
        <w:t xml:space="preserve"> </w:t>
      </w:r>
      <w:r w:rsidR="005F0FFB">
        <w:t>environmental</w:t>
      </w:r>
      <w:r w:rsidR="0098402A">
        <w:t xml:space="preserve"> heterogeneity</w:t>
      </w:r>
      <w:r w:rsidR="005F0FFB">
        <w:t xml:space="preserve"> </w:t>
      </w:r>
      <w:r w:rsidR="00E52A66">
        <w:t xml:space="preserve">variables </w:t>
      </w:r>
      <w:r w:rsidR="005F0FFB">
        <w:t>considered</w:t>
      </w:r>
      <w:r w:rsidR="00D76A9A">
        <w:t xml:space="preserve"> (see Figure S</w:t>
      </w:r>
      <w:r w:rsidR="00D76A9A" w:rsidRPr="009A4D83">
        <w:t>4</w:t>
      </w:r>
      <w:r w:rsidR="00D76A9A">
        <w:t>)</w:t>
      </w:r>
      <w:r w:rsidR="005F0FFB">
        <w:t>.</w:t>
      </w:r>
    </w:p>
    <w:p w14:paraId="043425BC" w14:textId="2EA7E361" w:rsidR="007E72DA" w:rsidRPr="00DE7007" w:rsidRDefault="00BE3A41" w:rsidP="00BE3A41">
      <w:pPr>
        <w:pStyle w:val="BodyText"/>
      </w:pPr>
      <w:r w:rsidRPr="000519A1">
        <w:t xml:space="preserve">To compare </w:t>
      </w:r>
      <w:r w:rsidR="00F53D6B">
        <w:t>heterogeneity in the nine</w:t>
      </w:r>
      <w:r w:rsidR="000519A1" w:rsidRPr="000519A1">
        <w:t xml:space="preserve"> </w:t>
      </w:r>
      <w:r w:rsidRPr="000519A1">
        <w:t xml:space="preserve">environmental </w:t>
      </w:r>
      <w:r w:rsidR="00F53D6B">
        <w:t>variables</w:t>
      </w:r>
      <w:r w:rsidR="00F53D6B" w:rsidRPr="000519A1">
        <w:t xml:space="preserve"> </w:t>
      </w:r>
      <w:r w:rsidR="007E72DA" w:rsidRPr="000519A1">
        <w:t xml:space="preserve">and </w:t>
      </w:r>
      <w:r w:rsidR="00F53D6B">
        <w:t xml:space="preserve">in </w:t>
      </w:r>
      <w:r w:rsidR="007E72DA" w:rsidRPr="000519A1">
        <w:t>the major axis of heterogeneity between the two regions</w:t>
      </w:r>
      <w:r w:rsidR="000519A1" w:rsidRPr="000519A1">
        <w:t xml:space="preserve">, we employed common language effect sizes </w:t>
      </w:r>
      <w:r w:rsidR="000519A1">
        <w:t>(</w:t>
      </w:r>
      <w:r w:rsidR="000519A1">
        <w:rPr>
          <w:i/>
        </w:rPr>
        <w:t>CLES</w:t>
      </w:r>
      <w:r w:rsidR="000519A1" w:rsidRPr="000519A1">
        <w:t>)</w:t>
      </w:r>
      <w:r w:rsidR="000519A1">
        <w:t xml:space="preserve"> using the R package “canprot” (</w:t>
      </w:r>
      <w:r w:rsidR="000519A1" w:rsidRPr="000519A1">
        <w:rPr>
          <w:highlight w:val="yellow"/>
        </w:rPr>
        <w:t>ref</w:t>
      </w:r>
      <w:r w:rsidR="000519A1">
        <w:t>)</w:t>
      </w:r>
      <w:r w:rsidR="007E72DA" w:rsidRPr="000519A1">
        <w:t>.</w:t>
      </w:r>
      <w:r w:rsidR="000519A1">
        <w:t xml:space="preserve"> </w:t>
      </w:r>
      <w:r w:rsidR="0032532C">
        <w:t xml:space="preserve">The </w:t>
      </w:r>
      <w:r w:rsidR="000519A1">
        <w:rPr>
          <w:i/>
        </w:rPr>
        <w:t>CLES</w:t>
      </w:r>
      <w:r w:rsidR="000519A1">
        <w:t xml:space="preserve"> describe</w:t>
      </w:r>
      <w:r w:rsidR="0032532C">
        <w:t>s</w:t>
      </w:r>
      <w:r w:rsidR="000519A1">
        <w:t xml:space="preserve"> the proportion of pairwise comparisons </w:t>
      </w:r>
      <w:r w:rsidR="00F1656B">
        <w:t xml:space="preserve">of a variable </w:t>
      </w:r>
      <w:r w:rsidR="000519A1">
        <w:t xml:space="preserve">between two categories </w:t>
      </w:r>
      <w:r w:rsidR="00F53D6B">
        <w:t xml:space="preserve">in which </w:t>
      </w:r>
      <w:r w:rsidR="00F1656B">
        <w:t>the value in on</w:t>
      </w:r>
      <w:r w:rsidR="000519A1">
        <w:t xml:space="preserve">e category </w:t>
      </w:r>
      <w:r w:rsidR="00104ADF">
        <w:t>exceed</w:t>
      </w:r>
      <w:r w:rsidR="00F1656B">
        <w:t>s</w:t>
      </w:r>
      <w:r w:rsidR="000519A1">
        <w:t xml:space="preserve"> th</w:t>
      </w:r>
      <w:r w:rsidR="00F1656B">
        <w:t>at in the other</w:t>
      </w:r>
      <w:r w:rsidR="000519A1">
        <w:t>.</w:t>
      </w:r>
      <w:r w:rsidR="0032532C">
        <w:t xml:space="preserve"> </w:t>
      </w:r>
      <w:r w:rsidR="00312AA7">
        <w:t>Additionally</w:t>
      </w:r>
      <w:r w:rsidR="005C752F">
        <w:t xml:space="preserve">, we tested for differences in </w:t>
      </w:r>
      <w:r w:rsidR="00F1656B">
        <w:t xml:space="preserve">regional </w:t>
      </w:r>
      <w:r w:rsidR="005C752F">
        <w:t xml:space="preserve">heterogeneity values using two-sided Mann-Whitney </w:t>
      </w:r>
      <w:r w:rsidR="005C752F">
        <w:rPr>
          <w:i/>
        </w:rPr>
        <w:t>U</w:t>
      </w:r>
      <w:r w:rsidR="005C752F" w:rsidRPr="005C752F">
        <w:t>-</w:t>
      </w:r>
      <w:r w:rsidR="005C752F">
        <w:t>tests (</w:t>
      </w:r>
      <w:r w:rsidR="005C752F" w:rsidRPr="005C752F">
        <w:rPr>
          <w:highlight w:val="yellow"/>
        </w:rPr>
        <w:t>ref</w:t>
      </w:r>
      <w:r w:rsidR="005C752F">
        <w:t>)</w:t>
      </w:r>
      <w:r w:rsidR="0061190A">
        <w:t xml:space="preserve"> </w:t>
      </w:r>
      <w:r w:rsidR="00F1656B">
        <w:t xml:space="preserve">as implemented </w:t>
      </w:r>
      <w:r w:rsidR="0061190A">
        <w:t>in R</w:t>
      </w:r>
      <w:r w:rsidR="005C752F">
        <w:t>.</w:t>
      </w:r>
      <w:r w:rsidR="00DE7007">
        <w:t xml:space="preserve"> </w:t>
      </w:r>
      <w:r w:rsidR="00F1656B">
        <w:t>Both analyses were done</w:t>
      </w:r>
      <w:r w:rsidR="00DE7007">
        <w:t xml:space="preserve"> at </w:t>
      </w:r>
      <w:r w:rsidR="00F1656B">
        <w:t xml:space="preserve">all </w:t>
      </w:r>
      <w:r w:rsidR="00DE7007">
        <w:t>four spatial scales</w:t>
      </w:r>
      <w:r w:rsidR="00502FAF">
        <w:t>. Th</w:t>
      </w:r>
      <w:r w:rsidR="0076433F">
        <w:t>is</w:t>
      </w:r>
      <w:r w:rsidR="00502FAF">
        <w:t xml:space="preserve"> enabled us</w:t>
      </w:r>
      <w:r w:rsidR="00DE7007">
        <w:t xml:space="preserve"> to assess scale-dependence</w:t>
      </w:r>
      <w:r w:rsidR="00502FAF">
        <w:t xml:space="preserve"> in heterogeneity and to ascertain the spatial scale at which </w:t>
      </w:r>
      <w:r w:rsidR="00793F46">
        <w:t xml:space="preserve">regional </w:t>
      </w:r>
      <w:r w:rsidR="00502FAF">
        <w:t>environmental heterogeneity</w:t>
      </w:r>
      <w:r w:rsidR="00F1656B">
        <w:t xml:space="preserve"> differences are</w:t>
      </w:r>
      <w:r w:rsidR="00502FAF">
        <w:t xml:space="preserve"> most pronounced.</w:t>
      </w:r>
    </w:p>
    <w:p w14:paraId="362E99FC" w14:textId="77122C2B" w:rsidR="00DD2348" w:rsidRDefault="00DD7307" w:rsidP="008A4E97">
      <w:pPr>
        <w:pStyle w:val="Heading2"/>
        <w:spacing w:line="240" w:lineRule="auto"/>
      </w:pPr>
      <w:bookmarkStart w:id="4" w:name="environmental-heterogeneity-as-an-explan"/>
      <w:r>
        <w:t>2.3</w:t>
      </w:r>
      <w:r w:rsidR="0009179A">
        <w:t>:</w:t>
      </w:r>
      <w:r>
        <w:t xml:space="preserve"> </w:t>
      </w:r>
      <w:r w:rsidR="005F0FFB">
        <w:t>Environmental heterogeneity as an explanation of species richness</w:t>
      </w:r>
      <w:bookmarkEnd w:id="4"/>
    </w:p>
    <w:p w14:paraId="23BA1837" w14:textId="6F1F13DB" w:rsidR="002F092D" w:rsidRDefault="001E723F" w:rsidP="00DF0226">
      <w:pPr>
        <w:pStyle w:val="FirstParagraph"/>
        <w:rPr>
          <w:rFonts w:eastAsiaTheme="minorEastAsia"/>
        </w:rPr>
      </w:pPr>
      <w:r>
        <w:t>W</w:t>
      </w:r>
      <w:r w:rsidR="00FE3E67">
        <w:t>e used linear</w:t>
      </w:r>
      <w:r w:rsidR="00FE4E23">
        <w:t xml:space="preserve"> </w:t>
      </w:r>
      <w:r w:rsidR="00FE3E67">
        <w:t>models</w:t>
      </w:r>
      <w:r w:rsidR="00CD7A9B">
        <w:t xml:space="preserve"> </w:t>
      </w:r>
      <w:r w:rsidR="00FE3E67">
        <w:t xml:space="preserve">to assess </w:t>
      </w:r>
      <w:r w:rsidR="005F0FFB">
        <w:t xml:space="preserve">the explanatory power of </w:t>
      </w:r>
      <w:r w:rsidR="007948F4">
        <w:t>heterogeneity</w:t>
      </w:r>
      <w:r w:rsidR="005F0FFB">
        <w:t xml:space="preserve"> </w:t>
      </w:r>
      <w:r w:rsidR="00793F46">
        <w:t xml:space="preserve">in the nine selected </w:t>
      </w:r>
      <w:r w:rsidR="00352C55">
        <w:t xml:space="preserve">environmental </w:t>
      </w:r>
      <w:r w:rsidR="00793F46">
        <w:t>variables, and the major heterogeneity axis represented by PC1</w:t>
      </w:r>
      <w:r w:rsidR="00352C55">
        <w:t>,</w:t>
      </w:r>
      <w:r w:rsidR="00793F46">
        <w:t xml:space="preserve"> </w:t>
      </w:r>
      <w:r w:rsidR="00FE3E67">
        <w:t>as determinant</w:t>
      </w:r>
      <w:r w:rsidR="00963268">
        <w:t>s</w:t>
      </w:r>
      <w:r w:rsidR="00FE3E67">
        <w:t xml:space="preserve"> of</w:t>
      </w:r>
      <w:r w:rsidR="005F0FFB">
        <w:t xml:space="preserve"> species richness</w:t>
      </w:r>
      <w:r w:rsidR="00FE3E67">
        <w:t xml:space="preserve"> </w:t>
      </w:r>
      <w:r w:rsidR="00793F46">
        <w:t>across the two regions</w:t>
      </w:r>
      <w:r w:rsidR="00A13B07">
        <w:t>.</w:t>
      </w:r>
    </w:p>
    <w:p w14:paraId="738597DF" w14:textId="30FEB7AD" w:rsidR="000A2EAE" w:rsidRPr="00516F90" w:rsidRDefault="00FE4E23">
      <w:pPr>
        <w:pStyle w:val="FirstParagraph"/>
        <w:rPr>
          <w:rFonts w:eastAsiaTheme="minorEastAsia"/>
        </w:rPr>
      </w:pPr>
      <w:r>
        <w:rPr>
          <w:rFonts w:eastAsiaTheme="minorEastAsia"/>
        </w:rPr>
        <w:t xml:space="preserve">We first used </w:t>
      </w:r>
      <w:r w:rsidR="00963268">
        <w:rPr>
          <w:rFonts w:eastAsiaTheme="minorEastAsia"/>
        </w:rPr>
        <w:t>analyses of covariance</w:t>
      </w:r>
      <w:r w:rsidR="00A13B07">
        <w:rPr>
          <w:rFonts w:eastAsiaTheme="minorEastAsia"/>
        </w:rPr>
        <w:t xml:space="preserve"> (ANCOVA)</w:t>
      </w:r>
      <w:r w:rsidR="00A13B07">
        <w:t>, at the QDS-, HDS- and DS-scales,</w:t>
      </w:r>
      <w:r>
        <w:rPr>
          <w:rFonts w:eastAsiaTheme="minorEastAsia"/>
        </w:rPr>
        <w:t xml:space="preserve"> to relate species richness to </w:t>
      </w:r>
      <w:r w:rsidR="00963268">
        <w:rPr>
          <w:rFonts w:eastAsiaTheme="minorEastAsia"/>
        </w:rPr>
        <w:t xml:space="preserve">the </w:t>
      </w:r>
      <w:r>
        <w:rPr>
          <w:rFonts w:eastAsiaTheme="minorEastAsia"/>
        </w:rPr>
        <w:t>heterogeneit</w:t>
      </w:r>
      <w:r w:rsidR="00963268">
        <w:rPr>
          <w:rFonts w:eastAsiaTheme="minorEastAsia"/>
        </w:rPr>
        <w:t xml:space="preserve">y </w:t>
      </w:r>
      <w:r>
        <w:rPr>
          <w:rFonts w:eastAsiaTheme="minorEastAsia"/>
        </w:rPr>
        <w:t xml:space="preserve">of </w:t>
      </w:r>
      <w:r w:rsidR="00963268">
        <w:rPr>
          <w:rFonts w:eastAsiaTheme="minorEastAsia"/>
        </w:rPr>
        <w:t>each</w:t>
      </w:r>
      <w:r>
        <w:rPr>
          <w:rFonts w:eastAsiaTheme="minorEastAsia"/>
        </w:rPr>
        <w:t xml:space="preserve"> environmental variable</w:t>
      </w:r>
      <w:r w:rsidR="00A13B07">
        <w:rPr>
          <w:rFonts w:eastAsiaTheme="minorEastAsia"/>
        </w:rPr>
        <w:t>, and</w:t>
      </w:r>
      <w:r w:rsidR="00A15FD6">
        <w:rPr>
          <w:rFonts w:eastAsiaTheme="minorEastAsia"/>
        </w:rPr>
        <w:t xml:space="preserve"> </w:t>
      </w:r>
      <w:r w:rsidR="00A13B07">
        <w:rPr>
          <w:rFonts w:eastAsiaTheme="minorEastAsia"/>
        </w:rPr>
        <w:t xml:space="preserve">to </w:t>
      </w:r>
      <w:r>
        <w:rPr>
          <w:rFonts w:eastAsiaTheme="minorEastAsia"/>
        </w:rPr>
        <w:t xml:space="preserve">the major axis of heterogeneity, </w:t>
      </w:r>
      <w:r w:rsidR="00963268">
        <w:rPr>
          <w:rFonts w:eastAsiaTheme="minorEastAsia"/>
        </w:rPr>
        <w:t>across the two regions</w:t>
      </w:r>
      <w:r>
        <w:rPr>
          <w:rFonts w:eastAsiaTheme="minorEastAsia"/>
        </w:rPr>
        <w:t xml:space="preserve">. </w:t>
      </w:r>
      <w:r w:rsidR="00A465FD">
        <w:rPr>
          <w:rFonts w:eastAsiaTheme="minorEastAsia"/>
        </w:rPr>
        <w:t>I</w:t>
      </w:r>
      <w:r>
        <w:rPr>
          <w:rFonts w:eastAsiaTheme="minorEastAsia"/>
        </w:rPr>
        <w:t>n order to assess whether th</w:t>
      </w:r>
      <w:r w:rsidR="00547291">
        <w:rPr>
          <w:rFonts w:eastAsiaTheme="minorEastAsia"/>
        </w:rPr>
        <w:t>ese</w:t>
      </w:r>
      <w:r>
        <w:rPr>
          <w:rFonts w:eastAsiaTheme="minorEastAsia"/>
        </w:rPr>
        <w:t xml:space="preserve"> relationship</w:t>
      </w:r>
      <w:r w:rsidR="00547291">
        <w:rPr>
          <w:rFonts w:eastAsiaTheme="minorEastAsia"/>
        </w:rPr>
        <w:t>s are</w:t>
      </w:r>
      <w:r>
        <w:rPr>
          <w:rFonts w:eastAsiaTheme="minorEastAsia"/>
        </w:rPr>
        <w:t xml:space="preserve"> identical</w:t>
      </w:r>
      <w:r w:rsidR="00547291">
        <w:rPr>
          <w:rFonts w:eastAsiaTheme="minorEastAsia"/>
        </w:rPr>
        <w:t xml:space="preserve"> in form</w:t>
      </w:r>
      <w:r>
        <w:rPr>
          <w:rFonts w:eastAsiaTheme="minorEastAsia"/>
        </w:rPr>
        <w:t xml:space="preserve"> </w:t>
      </w:r>
      <w:r w:rsidR="00547291">
        <w:rPr>
          <w:rFonts w:eastAsiaTheme="minorEastAsia"/>
        </w:rPr>
        <w:t>across</w:t>
      </w:r>
      <w:r>
        <w:rPr>
          <w:rFonts w:eastAsiaTheme="minorEastAsia"/>
        </w:rPr>
        <w:t xml:space="preserve"> the two regions</w:t>
      </w:r>
      <w:r w:rsidR="00711950">
        <w:rPr>
          <w:rFonts w:eastAsiaTheme="minorEastAsia"/>
        </w:rPr>
        <w:t>,</w:t>
      </w:r>
      <w:r w:rsidR="005527B5" w:rsidRPr="009266B9">
        <w:rPr>
          <w:rFonts w:eastAsiaTheme="minorEastAsia"/>
        </w:rPr>
        <w:t xml:space="preserve"> we fitted three </w:t>
      </w:r>
      <w:r w:rsidR="00472BBD">
        <w:rPr>
          <w:rFonts w:eastAsiaTheme="minorEastAsia"/>
        </w:rPr>
        <w:t xml:space="preserve">nested </w:t>
      </w:r>
      <w:r w:rsidR="005527B5" w:rsidRPr="009266B9">
        <w:rPr>
          <w:rFonts w:eastAsiaTheme="minorEastAsia"/>
        </w:rPr>
        <w:t>models</w:t>
      </w:r>
      <w:r w:rsidR="00711950">
        <w:rPr>
          <w:rFonts w:eastAsiaTheme="minorEastAsia"/>
        </w:rPr>
        <w:t xml:space="preserve"> for </w:t>
      </w:r>
      <w:r w:rsidR="00547291">
        <w:rPr>
          <w:rFonts w:eastAsiaTheme="minorEastAsia"/>
        </w:rPr>
        <w:t xml:space="preserve">each heterogeneity predictor </w:t>
      </w:r>
      <w:r w:rsidR="00547291" w:rsidRPr="00D51E2F">
        <w:rPr>
          <w:rFonts w:eastAsiaTheme="minorEastAsia"/>
          <w:i/>
        </w:rPr>
        <w:t>X</w:t>
      </w:r>
      <w:r w:rsidR="00547291">
        <w:rPr>
          <w:rFonts w:eastAsiaTheme="minorEastAsia"/>
        </w:rPr>
        <w:t xml:space="preserve">, as follows: </w:t>
      </w:r>
      <w:r w:rsidR="00D51E2F">
        <w:rPr>
          <w:rFonts w:eastAsiaTheme="minorEastAsia"/>
        </w:rPr>
        <w:t>a “main effect only” model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51E2F">
        <w:rPr>
          <w:rFonts w:eastAsiaTheme="minorEastAsia"/>
        </w:rPr>
        <w:t>), a “main effect + region” model (</w:t>
      </w:r>
      <w:r w:rsidR="00342111" w:rsidRPr="00D67CEB">
        <w:rPr>
          <w:rFonts w:eastAsiaTheme="minorEastAsia"/>
          <w:i/>
        </w:rPr>
        <w:t>S</w:t>
      </w:r>
      <w:r w:rsidR="00342111">
        <w:rPr>
          <w:rFonts w:eastAsiaTheme="minorEastAsia"/>
        </w:rPr>
        <w:t xml:space="preserve"> ~ </w:t>
      </w:r>
      <w:r w:rsidR="00342111"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Pr>
          <w:rFonts w:cstheme="majorBidi"/>
        </w:rPr>
        <w:t>)</w:t>
      </w:r>
      <w:r w:rsidR="00D51E2F">
        <w:rPr>
          <w:rFonts w:eastAsiaTheme="minorEastAsia"/>
        </w:rPr>
        <w:t xml:space="preserve"> and a</w:t>
      </w:r>
      <w:r w:rsidR="004511B3">
        <w:rPr>
          <w:rFonts w:eastAsiaTheme="minorEastAsia"/>
        </w:rPr>
        <w:t xml:space="preserve"> </w:t>
      </w:r>
      <w:r w:rsidR="00C07B05">
        <w:rPr>
          <w:rFonts w:eastAsiaTheme="minorEastAsia"/>
        </w:rPr>
        <w:t xml:space="preserve">“main effect </w:t>
      </w:r>
      <w:r w:rsidR="00C07B05">
        <w:rPr>
          <w:rFonts w:eastAsiaTheme="minorEastAsia" w:cstheme="majorBidi"/>
        </w:rPr>
        <w:t>×</w:t>
      </w:r>
      <w:r w:rsidR="00C07B05">
        <w:rPr>
          <w:rFonts w:eastAsiaTheme="minorEastAsia"/>
        </w:rPr>
        <w:t xml:space="preserve"> region” </w:t>
      </w:r>
      <w:r w:rsidR="004511B3">
        <w:rPr>
          <w:rFonts w:eastAsiaTheme="minorEastAsia"/>
        </w:rPr>
        <w:t xml:space="preserve">model </w:t>
      </w:r>
      <w:r w:rsidR="00C07B05">
        <w:rPr>
          <w:rFonts w:eastAsiaTheme="minorEastAsia"/>
        </w:rPr>
        <w:t>which includes</w:t>
      </w:r>
      <w:r w:rsidR="00A15FD6">
        <w:rPr>
          <w:rFonts w:eastAsiaTheme="minorEastAsia"/>
        </w:rPr>
        <w:t xml:space="preserve"> </w:t>
      </w:r>
      <w:r w:rsidR="004511B3">
        <w:rPr>
          <w:rFonts w:eastAsiaTheme="minorEastAsia"/>
        </w:rPr>
        <w:t xml:space="preserve">an interaction </w:t>
      </w:r>
      <w:r w:rsidR="00A15FD6">
        <w:rPr>
          <w:rFonts w:eastAsiaTheme="minorEastAsia"/>
        </w:rPr>
        <w:t xml:space="preserve">between heterogeneity and </w:t>
      </w:r>
      <w:r w:rsidR="004511B3">
        <w:rPr>
          <w:rFonts w:eastAsiaTheme="minorEastAsia"/>
        </w:rPr>
        <w:t>region</w:t>
      </w:r>
      <w:r w:rsidR="00723D01">
        <w:rPr>
          <w:rFonts w:eastAsiaTheme="minorEastAsia"/>
        </w:rPr>
        <w:t xml:space="preserve">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sidRP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sidRPr="00D67CEB">
        <w:rPr>
          <w:rFonts w:cstheme="majorBidi"/>
        </w:rPr>
        <w:t xml:space="preserve"> + </w:t>
      </w:r>
      <w:r w:rsidR="00D67CEB" w:rsidRPr="00D67CEB">
        <w:rPr>
          <w:rFonts w:cstheme="majorBidi"/>
          <w:i/>
        </w:rPr>
        <w:t>β</w:t>
      </w:r>
      <w:r w:rsidR="00D67CEB" w:rsidRPr="00D67CEB">
        <w:rPr>
          <w:rFonts w:cstheme="majorBidi"/>
          <w:vertAlign w:val="subscript"/>
        </w:rPr>
        <w:t>3</w:t>
      </w:r>
      <w:r w:rsidR="00D67CEB" w:rsidRPr="00D67CEB">
        <w:rPr>
          <w:rFonts w:cstheme="majorBidi"/>
        </w:rPr>
        <w:t>(</w:t>
      </w:r>
      <w:r w:rsidR="00D67CEB">
        <w:rPr>
          <w:rFonts w:cstheme="majorBidi"/>
          <w:i/>
        </w:rPr>
        <w:t>X × R</w:t>
      </w:r>
      <w:r w:rsidR="00D67CEB" w:rsidRPr="00D67CEB">
        <w:rPr>
          <w:rFonts w:cstheme="majorBidi"/>
          <w:i/>
        </w:rPr>
        <w:t>egion</w:t>
      </w:r>
      <w:r w:rsidR="004511B3">
        <w:rPr>
          <w:rFonts w:eastAsiaTheme="minorEastAsia"/>
        </w:rPr>
        <w:t>)</w:t>
      </w:r>
      <w:r w:rsidR="00D67CEB">
        <w:rPr>
          <w:rFonts w:eastAsiaTheme="minorEastAsia"/>
        </w:rPr>
        <w:t>)</w:t>
      </w:r>
      <w:r w:rsidR="00D62239">
        <w:rPr>
          <w:rFonts w:eastAsiaTheme="minorEastAsia"/>
        </w:rPr>
        <w:t>.</w:t>
      </w:r>
      <w:r w:rsidR="00042E25">
        <w:rPr>
          <w:rFonts w:eastAsiaTheme="minorEastAsia"/>
        </w:rPr>
        <w:t xml:space="preserve"> </w:t>
      </w:r>
      <w:r w:rsidR="00547291">
        <w:rPr>
          <w:rFonts w:eastAsiaTheme="minorEastAsia"/>
        </w:rPr>
        <w:t>For each of the ten predictor</w:t>
      </w:r>
      <w:r w:rsidR="00A13B07">
        <w:rPr>
          <w:rFonts w:eastAsiaTheme="minorEastAsia"/>
        </w:rPr>
        <w:t>s</w:t>
      </w:r>
      <w:r w:rsidR="00547291">
        <w:rPr>
          <w:rFonts w:eastAsiaTheme="minorEastAsia"/>
        </w:rPr>
        <w:t>, t</w:t>
      </w:r>
      <w:r w:rsidR="00042E25">
        <w:rPr>
          <w:rFonts w:eastAsiaTheme="minorEastAsia"/>
        </w:rPr>
        <w:t xml:space="preserve">he best fitting </w:t>
      </w:r>
      <w:r w:rsidR="00547291">
        <w:rPr>
          <w:rFonts w:eastAsiaTheme="minorEastAsia"/>
        </w:rPr>
        <w:t>model</w:t>
      </w:r>
      <w:r w:rsidR="00042E25">
        <w:rPr>
          <w:rFonts w:eastAsiaTheme="minorEastAsia"/>
        </w:rPr>
        <w:t xml:space="preserve"> was determined using Akaike’s information criterion (</w:t>
      </w:r>
      <w:r w:rsidR="00042E25">
        <w:rPr>
          <w:rFonts w:eastAsiaTheme="minorEastAsia"/>
          <w:i/>
        </w:rPr>
        <w:t>AIC</w:t>
      </w:r>
      <w:r w:rsidR="00042E25">
        <w:rPr>
          <w:rFonts w:eastAsiaTheme="minorEastAsia"/>
        </w:rPr>
        <w:t xml:space="preserve">; </w:t>
      </w:r>
      <w:r w:rsidR="00042E25" w:rsidRPr="00042E25">
        <w:rPr>
          <w:rFonts w:eastAsiaTheme="minorEastAsia"/>
          <w:highlight w:val="yellow"/>
        </w:rPr>
        <w:t>ref</w:t>
      </w:r>
      <w:r w:rsidR="00042E25">
        <w:rPr>
          <w:rFonts w:eastAsiaTheme="minorEastAsia"/>
        </w:rPr>
        <w:t>)</w:t>
      </w:r>
      <w:r w:rsidR="00472BBD">
        <w:rPr>
          <w:rFonts w:eastAsiaTheme="minorEastAsia"/>
        </w:rPr>
        <w:t xml:space="preserve">, </w:t>
      </w:r>
      <w:r w:rsidR="00A465FD">
        <w:t xml:space="preserve">as </w:t>
      </w:r>
      <w:r w:rsidR="00472BBD">
        <w:t xml:space="preserve">the simplest model with </w:t>
      </w:r>
      <w:r w:rsidR="00472BBD">
        <w:rPr>
          <w:i/>
        </w:rPr>
        <w:t>∆AIC</w:t>
      </w:r>
      <w:r w:rsidR="00472BBD">
        <w:t xml:space="preserve"> &lt; 2 (</w:t>
      </w:r>
      <w:r w:rsidR="00472BBD" w:rsidRPr="00472BBD">
        <w:rPr>
          <w:highlight w:val="yellow"/>
        </w:rPr>
        <w:t>ref</w:t>
      </w:r>
      <w:r w:rsidR="00472BBD">
        <w:t>).</w:t>
      </w:r>
      <w:r w:rsidR="00176E4F">
        <w:rPr>
          <w:rFonts w:eastAsiaTheme="minorEastAsia"/>
          <w:i/>
        </w:rPr>
        <w:t xml:space="preserve"> </w:t>
      </w:r>
      <w:r w:rsidR="00B07EC3">
        <w:rPr>
          <w:rFonts w:eastAsiaTheme="minorEastAsia"/>
        </w:rPr>
        <w:t>Where the</w:t>
      </w:r>
      <w:r w:rsidR="000A2EAE">
        <w:rPr>
          <w:rFonts w:eastAsiaTheme="minorEastAsia"/>
        </w:rPr>
        <w:t xml:space="preserve"> “main effect only” model </w:t>
      </w:r>
      <w:r w:rsidR="00B07EC3">
        <w:rPr>
          <w:rFonts w:eastAsiaTheme="minorEastAsia"/>
        </w:rPr>
        <w:t xml:space="preserve">describes </w:t>
      </w:r>
      <w:r w:rsidR="00A13B07">
        <w:rPr>
          <w:rFonts w:eastAsiaTheme="minorEastAsia"/>
        </w:rPr>
        <w:t>heterogeneity</w:t>
      </w:r>
      <w:r w:rsidR="00B07EC3">
        <w:rPr>
          <w:rFonts w:eastAsiaTheme="minorEastAsia"/>
        </w:rPr>
        <w:t xml:space="preserve"> </w:t>
      </w:r>
      <w:r w:rsidR="00A15FD6">
        <w:rPr>
          <w:rFonts w:eastAsiaTheme="minorEastAsia"/>
        </w:rPr>
        <w:t xml:space="preserve">as having a uniform effect </w:t>
      </w:r>
      <w:r w:rsidR="00B07EC3">
        <w:rPr>
          <w:rFonts w:eastAsiaTheme="minorEastAsia"/>
        </w:rPr>
        <w:t>on species richness across the two regions</w:t>
      </w:r>
      <w:r w:rsidR="00A15FD6">
        <w:rPr>
          <w:rFonts w:eastAsiaTheme="minorEastAsia"/>
        </w:rPr>
        <w:t xml:space="preserve"> (i.e. a common relationship)</w:t>
      </w:r>
      <w:r w:rsidR="00B07EC3">
        <w:rPr>
          <w:rFonts w:eastAsiaTheme="minorEastAsia"/>
        </w:rPr>
        <w:t xml:space="preserve">, the “main effect + region” and “main effect </w:t>
      </w:r>
      <w:r w:rsidR="00B07EC3">
        <w:rPr>
          <w:rFonts w:eastAsiaTheme="minorEastAsia" w:cstheme="majorBidi"/>
        </w:rPr>
        <w:t>×</w:t>
      </w:r>
      <w:r w:rsidR="00B07EC3">
        <w:rPr>
          <w:rFonts w:eastAsiaTheme="minorEastAsia"/>
        </w:rPr>
        <w:t xml:space="preserve"> region” models </w:t>
      </w:r>
      <w:r w:rsidR="009D235A">
        <w:rPr>
          <w:rFonts w:eastAsiaTheme="minorEastAsia"/>
        </w:rPr>
        <w:t>describe the relationship</w:t>
      </w:r>
      <w:r w:rsidR="00A15FD6">
        <w:rPr>
          <w:rFonts w:eastAsiaTheme="minorEastAsia"/>
        </w:rPr>
        <w:t>s</w:t>
      </w:r>
      <w:r w:rsidR="009D235A">
        <w:rPr>
          <w:rFonts w:eastAsiaTheme="minorEastAsia"/>
        </w:rPr>
        <w:t xml:space="preserve"> </w:t>
      </w:r>
      <w:r w:rsidR="00A15FD6">
        <w:rPr>
          <w:rFonts w:eastAsiaTheme="minorEastAsia"/>
        </w:rPr>
        <w:t>of</w:t>
      </w:r>
      <w:r w:rsidR="009D235A">
        <w:rPr>
          <w:rFonts w:eastAsiaTheme="minorEastAsia"/>
        </w:rPr>
        <w:t xml:space="preserve"> species richness </w:t>
      </w:r>
      <w:r w:rsidR="00A15FD6">
        <w:rPr>
          <w:rFonts w:eastAsiaTheme="minorEastAsia"/>
        </w:rPr>
        <w:t>to</w:t>
      </w:r>
      <w:r w:rsidR="009D235A">
        <w:rPr>
          <w:rFonts w:eastAsiaTheme="minorEastAsia"/>
        </w:rPr>
        <w:t xml:space="preserve"> heterogeneity as being region</w:t>
      </w:r>
      <w:r w:rsidR="00A13B07">
        <w:rPr>
          <w:rFonts w:eastAsiaTheme="minorEastAsia"/>
        </w:rPr>
        <w:t>-dependent</w:t>
      </w:r>
      <w:r w:rsidR="009D235A">
        <w:rPr>
          <w:rFonts w:eastAsiaTheme="minorEastAsia"/>
        </w:rPr>
        <w:t>. Specifically, where the “main effect + region” model describe</w:t>
      </w:r>
      <w:r w:rsidR="00A15FD6">
        <w:rPr>
          <w:rFonts w:eastAsiaTheme="minorEastAsia"/>
        </w:rPr>
        <w:t>s</w:t>
      </w:r>
      <w:r w:rsidR="009D235A">
        <w:rPr>
          <w:rFonts w:eastAsiaTheme="minorEastAsia"/>
        </w:rPr>
        <w:t xml:space="preserve"> these relationships as being identical in terms of slope but not intercept, the “main effect </w:t>
      </w:r>
      <w:r w:rsidR="009D235A">
        <w:rPr>
          <w:rFonts w:eastAsiaTheme="minorEastAsia" w:cstheme="majorBidi"/>
        </w:rPr>
        <w:t>×</w:t>
      </w:r>
      <w:r w:rsidR="009D235A">
        <w:rPr>
          <w:rFonts w:eastAsiaTheme="minorEastAsia"/>
        </w:rPr>
        <w:t xml:space="preserve"> region” describes them as differing in both intercept and slope.</w:t>
      </w:r>
    </w:p>
    <w:p w14:paraId="08FB22C3" w14:textId="02774DA9" w:rsidR="00E01AE6" w:rsidRDefault="00A465FD">
      <w:pPr>
        <w:pStyle w:val="FirstParagraph"/>
      </w:pPr>
      <w:r>
        <w:rPr>
          <w:rFonts w:eastAsiaTheme="minorEastAsia"/>
        </w:rPr>
        <w:t>We then used m</w:t>
      </w:r>
      <w:r w:rsidR="005F0FFB" w:rsidRPr="00070D03">
        <w:t>ulti</w:t>
      </w:r>
      <w:r w:rsidR="007A5438">
        <w:t xml:space="preserve">ple linear regressions </w:t>
      </w:r>
      <w:r w:rsidR="005F0FFB" w:rsidRPr="00070D03">
        <w:t xml:space="preserve">to </w:t>
      </w:r>
      <w:r w:rsidR="002536E4">
        <w:t>model species</w:t>
      </w:r>
      <w:r w:rsidR="005F0FFB" w:rsidRPr="00070D03">
        <w:t xml:space="preserve"> richness </w:t>
      </w:r>
      <w:r w:rsidR="002536E4">
        <w:t xml:space="preserve">as a function of </w:t>
      </w:r>
      <w:r>
        <w:t xml:space="preserve">region and </w:t>
      </w:r>
      <w:r w:rsidR="007948F4" w:rsidRPr="00070D03">
        <w:t>heterogeneity</w:t>
      </w:r>
      <w:r w:rsidR="005F0FFB" w:rsidRPr="00070D03">
        <w:t xml:space="preserve"> </w:t>
      </w:r>
      <w:r w:rsidR="002536E4">
        <w:t xml:space="preserve">in </w:t>
      </w:r>
      <w:r>
        <w:t>all nine</w:t>
      </w:r>
      <w:r w:rsidR="002536E4">
        <w:t xml:space="preserve"> environmental variables </w:t>
      </w:r>
      <w:r w:rsidR="005F0FFB" w:rsidRPr="00070D03">
        <w:t>simultaneousl</w:t>
      </w:r>
      <w:r w:rsidR="0059394E">
        <w:t xml:space="preserve">y. </w:t>
      </w:r>
      <w:r w:rsidR="00D6426B">
        <w:t xml:space="preserve">As with the simple regressions, this was done at </w:t>
      </w:r>
      <w:r w:rsidR="002536E4">
        <w:t>all three spatial scales</w:t>
      </w:r>
      <w:r w:rsidR="00D6426B">
        <w:t>. Starting from a 19-predictor model</w:t>
      </w:r>
      <w:r w:rsidR="00094CB2">
        <w:t>,</w:t>
      </w:r>
      <w:r w:rsidR="00D6426B">
        <w:t xml:space="preserve"> including region, </w:t>
      </w:r>
      <w:r w:rsidR="005E220D">
        <w:t xml:space="preserve">the </w:t>
      </w:r>
      <w:r w:rsidR="00D6426B">
        <w:t>heterogeneit</w:t>
      </w:r>
      <w:r w:rsidR="005E220D">
        <w:t>ies</w:t>
      </w:r>
      <w:r w:rsidR="00D6426B">
        <w:t xml:space="preserve"> </w:t>
      </w:r>
      <w:r w:rsidR="00094CB2">
        <w:t>of</w:t>
      </w:r>
      <w:r w:rsidR="00D6426B">
        <w:t xml:space="preserve"> all nine environmental variables and the interactions of the latter with region, </w:t>
      </w:r>
      <w:r w:rsidR="005E220D">
        <w:t>mode</w:t>
      </w:r>
      <w:r w:rsidR="00F61C02">
        <w:t>l</w:t>
      </w:r>
      <w:r w:rsidR="005E220D">
        <w:t>s</w:t>
      </w:r>
      <w:r w:rsidR="00F61C02">
        <w:t xml:space="preserve"> were s</w:t>
      </w:r>
      <w:r w:rsidR="005E220D">
        <w:t>implifi</w:t>
      </w:r>
      <w:r w:rsidR="00F61C02">
        <w:t>ed</w:t>
      </w:r>
      <w:r w:rsidR="005E220D">
        <w:t xml:space="preserve"> using </w:t>
      </w:r>
      <w:r w:rsidR="0059394E" w:rsidRPr="0059394E">
        <w:t>reverse stepwise model selection</w:t>
      </w:r>
      <w:r w:rsidR="00520D38">
        <w:t xml:space="preserve"> (</w:t>
      </w:r>
      <w:r w:rsidR="00520D38" w:rsidRPr="00520D38">
        <w:rPr>
          <w:highlight w:val="yellow"/>
        </w:rPr>
        <w:t>ref</w:t>
      </w:r>
      <w:r w:rsidR="00520D38">
        <w:t>)</w:t>
      </w:r>
      <w:r w:rsidR="0059394E" w:rsidRPr="0059394E">
        <w:t xml:space="preserve"> </w:t>
      </w:r>
      <w:r w:rsidR="005E220D">
        <w:t>based on</w:t>
      </w:r>
      <w:r w:rsidR="0059394E" w:rsidRPr="0059394E">
        <w:t xml:space="preserve"> </w:t>
      </w:r>
      <w:r w:rsidR="0059394E" w:rsidRPr="0035175F">
        <w:rPr>
          <w:i/>
        </w:rPr>
        <w:t>AIC</w:t>
      </w:r>
      <w:r w:rsidR="0059394E" w:rsidRPr="0059394E">
        <w:t>-scores</w:t>
      </w:r>
      <w:r w:rsidR="005E220D">
        <w:t xml:space="preserve">. </w:t>
      </w:r>
      <w:r w:rsidR="00094CB2">
        <w:t xml:space="preserve">In the final model, the retention of significant heterogeneity-region interaction terms indicates that the dependence of species richness on heterogeneity differs between the two regions. </w:t>
      </w:r>
      <w:r w:rsidR="009D474B">
        <w:t>Conversely</w:t>
      </w:r>
      <w:r w:rsidR="00094CB2">
        <w:t>, where only the main effect</w:t>
      </w:r>
      <w:r w:rsidR="009D474B">
        <w:t xml:space="preserve"> is</w:t>
      </w:r>
      <w:r w:rsidR="00094CB2">
        <w:t xml:space="preserve"> significant</w:t>
      </w:r>
      <w:r w:rsidR="009D474B">
        <w:t xml:space="preserve"> the dependence of species richness on heterogeneity is inferred to be uniform across the two regions.</w:t>
      </w:r>
    </w:p>
    <w:p w14:paraId="22B60912" w14:textId="05E4684D" w:rsidR="00F42EEB" w:rsidRPr="00502524" w:rsidRDefault="00F42EEB" w:rsidP="00C47FAF">
      <w:pPr>
        <w:pStyle w:val="Heading2"/>
        <w:spacing w:line="240" w:lineRule="auto"/>
      </w:pPr>
      <w:r w:rsidRPr="00502524">
        <w:t xml:space="preserve">2.4: </w:t>
      </w:r>
      <w:r w:rsidR="003D2B4F">
        <w:t>S</w:t>
      </w:r>
      <w:r w:rsidRPr="00502524">
        <w:t>pecies richness</w:t>
      </w:r>
      <w:r w:rsidR="003D2B4F">
        <w:t xml:space="preserve"> hotspots</w:t>
      </w:r>
    </w:p>
    <w:p w14:paraId="42F144AD" w14:textId="0B2D0F38" w:rsidR="003D2B4F" w:rsidRDefault="00E01AE6">
      <w:pPr>
        <w:pStyle w:val="FirstParagraph"/>
      </w:pPr>
      <w:r>
        <w:t xml:space="preserve">To </w:t>
      </w:r>
      <w:r w:rsidR="00DC385A">
        <w:t>identify</w:t>
      </w:r>
      <w:r>
        <w:t xml:space="preserve"> </w:t>
      </w:r>
      <w:r w:rsidR="00DC385A">
        <w:t>hotspots of exceptional richness, i.e. squares</w:t>
      </w:r>
      <w:r>
        <w:t xml:space="preserve"> whose species richness </w:t>
      </w:r>
      <w:r w:rsidR="00DC385A">
        <w:t xml:space="preserve">exceeds </w:t>
      </w:r>
      <w:r w:rsidR="00887059">
        <w:t>that</w:t>
      </w:r>
      <w:r w:rsidR="00DC385A">
        <w:t xml:space="preserve"> expected on the basis of their environmental heterogeneity, we </w:t>
      </w:r>
      <w:r w:rsidR="00887059">
        <w:t>used</w:t>
      </w:r>
      <w:r w:rsidR="00DC385A">
        <w:t xml:space="preserve"> the residuals </w:t>
      </w:r>
      <w:r w:rsidR="00887059">
        <w:t>associated with</w:t>
      </w:r>
      <w:r w:rsidR="00DC385A">
        <w:t xml:space="preserve"> the PC1-based ANCOVA</w:t>
      </w:r>
      <w:r w:rsidR="00887059">
        <w:t xml:space="preserve"> models</w:t>
      </w:r>
      <w:r w:rsidR="00DC385A">
        <w:t xml:space="preserve"> and </w:t>
      </w:r>
      <w:r w:rsidR="00887059">
        <w:t xml:space="preserve">the </w:t>
      </w:r>
      <w:r w:rsidR="00DC385A">
        <w:t>multiple regression models</w:t>
      </w:r>
      <w:r w:rsidR="00887059">
        <w:t>, at all three spatial scales,</w:t>
      </w:r>
      <w:r w:rsidR="00DC385A">
        <w:t xml:space="preserve"> </w:t>
      </w:r>
      <w:r w:rsidR="00887059">
        <w:t xml:space="preserve">to identify outlier points. For this </w:t>
      </w:r>
      <w:r w:rsidR="00E26DDB">
        <w:t>purpose,</w:t>
      </w:r>
      <w:r w:rsidR="00887059">
        <w:t xml:space="preserve"> outliers </w:t>
      </w:r>
      <w:r w:rsidR="003D2B4F">
        <w:t xml:space="preserve">were defined as any </w:t>
      </w:r>
      <w:r w:rsidR="00887059">
        <w:t xml:space="preserve">points </w:t>
      </w:r>
      <w:r w:rsidR="0072431B">
        <w:t xml:space="preserve">with residual </w:t>
      </w:r>
      <w:r w:rsidR="0072431B">
        <w:lastRenderedPageBreak/>
        <w:t>species richness</w:t>
      </w:r>
      <w:r w:rsidR="00887059">
        <w:t xml:space="preserve"> more than two standard deviations from the mean</w:t>
      </w:r>
      <w:r w:rsidR="006D6946">
        <w:t xml:space="preserve"> predicted species richness at a given level of environmental heterogeneity (in both the PC1-based and multiple regression models)</w:t>
      </w:r>
      <w:r w:rsidR="00887059">
        <w:t xml:space="preserve">. We also used </w:t>
      </w:r>
      <w:r w:rsidR="00887059" w:rsidRPr="00C47FAF">
        <w:rPr>
          <w:i/>
        </w:rPr>
        <w:t>F</w:t>
      </w:r>
      <w:r w:rsidR="00887059">
        <w:t>-test</w:t>
      </w:r>
      <w:r w:rsidR="00552D77">
        <w:t>s</w:t>
      </w:r>
      <w:r w:rsidR="00887059">
        <w:t xml:space="preserve"> to assess whether the </w:t>
      </w:r>
      <w:r w:rsidR="003D2B4F">
        <w:t xml:space="preserve">variances of the </w:t>
      </w:r>
      <w:r w:rsidR="00887059">
        <w:t>residual</w:t>
      </w:r>
      <w:r w:rsidR="003D2B4F">
        <w:t>s associated with ANCOVA and multiple regressions</w:t>
      </w:r>
      <w:r w:rsidR="00887059">
        <w:t xml:space="preserve"> differed between the GCFR and SWAFR. Finally, </w:t>
      </w:r>
      <w:r w:rsidR="00265947">
        <w:t>to assess</w:t>
      </w:r>
      <w:r w:rsidR="003D2B4F">
        <w:t xml:space="preserve"> whether the exceptional richness of hotspots is best explained by factors other than environmental heterogeneity, </w:t>
      </w:r>
      <w:r w:rsidR="00844FEA">
        <w:t xml:space="preserve">and to assess the sensitivity of results to these hotspots, </w:t>
      </w:r>
      <w:r w:rsidR="003D2B4F">
        <w:t>we repeated the ANCOVA and multiple regression analyses with hotspots omitted, and compared the coefficients of determination.</w:t>
      </w:r>
    </w:p>
    <w:p w14:paraId="5B8B0085" w14:textId="716A78D0" w:rsidR="00D04776" w:rsidRDefault="00DD7307" w:rsidP="008A4E97">
      <w:pPr>
        <w:pStyle w:val="Heading1"/>
        <w:spacing w:line="240" w:lineRule="auto"/>
      </w:pPr>
      <w:bookmarkStart w:id="5" w:name="results"/>
      <w:r>
        <w:t>3</w:t>
      </w:r>
      <w:r w:rsidR="00E4661A">
        <w:t>:</w:t>
      </w:r>
      <w:r>
        <w:t xml:space="preserve"> </w:t>
      </w:r>
      <w:r w:rsidR="00D04776">
        <w:t>Results</w:t>
      </w:r>
      <w:bookmarkEnd w:id="5"/>
    </w:p>
    <w:p w14:paraId="233719EB" w14:textId="2C58C402" w:rsidR="0060601F" w:rsidRDefault="00DD7307" w:rsidP="008A4E97">
      <w:pPr>
        <w:pStyle w:val="Heading2"/>
        <w:spacing w:line="240" w:lineRule="auto"/>
      </w:pPr>
      <w:r>
        <w:t>3.1</w:t>
      </w:r>
      <w:r w:rsidR="00E4661A">
        <w:t>:</w:t>
      </w:r>
      <w:r>
        <w:t xml:space="preserve"> </w:t>
      </w:r>
      <w:r w:rsidR="0060601F">
        <w:t>Comparing species richness</w:t>
      </w:r>
    </w:p>
    <w:p w14:paraId="2713C102" w14:textId="252ADA7F" w:rsidR="002C32D6" w:rsidRPr="006B3905" w:rsidRDefault="002C32D6" w:rsidP="002C32D6">
      <w:pPr>
        <w:pStyle w:val="FirstParagraph"/>
        <w:rPr>
          <w:i/>
        </w:rPr>
      </w:pPr>
      <w:r w:rsidRPr="006B3905">
        <w:t>Vascular plant species richness varies spatially in both the GCFR and SWAFR, with both regions possessing a hotspot of exceptional richness (the Kogelberg Centre in the GCFR; Greater Perth in the SWAFR) and declining species richness towards its interior margin (</w:t>
      </w:r>
      <w:r w:rsidR="00304EA1" w:rsidRPr="006B3905">
        <w:t xml:space="preserve">Figure </w:t>
      </w:r>
      <w:r w:rsidR="00FC2A30" w:rsidRPr="006B3905">
        <w:t>1</w:t>
      </w:r>
      <w:r w:rsidRPr="006B3905">
        <w:t xml:space="preserve">a,b). Comparisons of species richness between the regions using two-sided Mann-Whitney </w:t>
      </w:r>
      <w:r w:rsidRPr="006B3905">
        <w:rPr>
          <w:i/>
        </w:rPr>
        <w:t>U</w:t>
      </w:r>
      <w:r w:rsidRPr="006B3905">
        <w:t xml:space="preserve"> tests reveal that species richness per unit area is similar at the QDS- (Figure 2</w:t>
      </w:r>
      <w:r w:rsidR="00604263" w:rsidRPr="006B3905">
        <w:t>c</w:t>
      </w:r>
      <w:r w:rsidRPr="006B3905">
        <w:t>;</w:t>
      </w:r>
      <w:r w:rsidRPr="006B3905">
        <w:rPr>
          <w:i/>
        </w:rPr>
        <w:t xml:space="preserve"> P</w:t>
      </w:r>
      <w:r w:rsidRPr="006B3905">
        <w:t xml:space="preserve"> = 0.402, </w:t>
      </w:r>
      <w:r w:rsidRPr="006B3905">
        <w:rPr>
          <w:i/>
          <w:iCs/>
        </w:rPr>
        <w:t>CLES</w:t>
      </w:r>
      <w:r w:rsidRPr="006B3905">
        <w:t xml:space="preserve"> = 0.516) and HDS-scales (Figure 2b;</w:t>
      </w:r>
      <w:r w:rsidRPr="006B3905">
        <w:rPr>
          <w:i/>
        </w:rPr>
        <w:t xml:space="preserve"> P</w:t>
      </w:r>
      <w:r w:rsidRPr="006B3905">
        <w:t xml:space="preserve"> = 0.275, </w:t>
      </w:r>
      <w:r w:rsidRPr="006B3905">
        <w:rPr>
          <w:i/>
          <w:iCs/>
        </w:rPr>
        <w:t>CLES</w:t>
      </w:r>
      <w:r w:rsidRPr="006B3905">
        <w:t xml:space="preserve"> = 0.542), but that the GCFR is significantly more species-rich than the SWAFR at the DS-scale (Figure </w:t>
      </w:r>
      <w:r w:rsidR="0057720E" w:rsidRPr="006B3905">
        <w:t>2</w:t>
      </w:r>
      <w:r w:rsidR="00604263" w:rsidRPr="006B3905">
        <w:t>a</w:t>
      </w:r>
      <w:r w:rsidRPr="006B3905">
        <w:t>;</w:t>
      </w:r>
      <w:r w:rsidRPr="006B3905">
        <w:rPr>
          <w:i/>
        </w:rPr>
        <w:t xml:space="preserve"> P</w:t>
      </w:r>
      <w:r w:rsidRPr="006B3905">
        <w:t xml:space="preserve"> = 0.038, </w:t>
      </w:r>
      <w:r w:rsidRPr="006B3905">
        <w:rPr>
          <w:i/>
        </w:rPr>
        <w:t>CLES</w:t>
      </w:r>
      <w:r w:rsidRPr="006B3905">
        <w:t xml:space="preserve"> = 0.658).</w:t>
      </w:r>
    </w:p>
    <w:p w14:paraId="3BE0333B" w14:textId="1B0A7FA6" w:rsidR="002C32D6" w:rsidRDefault="002C32D6" w:rsidP="002C32D6">
      <w:pPr>
        <w:pStyle w:val="BodyText"/>
      </w:pPr>
      <w:r w:rsidRPr="006B3905">
        <w:t xml:space="preserve">Partitioning </w:t>
      </w:r>
      <w:r w:rsidRPr="006B3905">
        <w:rPr>
          <w:i/>
        </w:rPr>
        <w:t>S</w:t>
      </w:r>
      <w:r w:rsidRPr="006B3905">
        <w:rPr>
          <w:vertAlign w:val="subscript"/>
        </w:rPr>
        <w:t>HDS</w:t>
      </w:r>
      <w:r w:rsidRPr="006B3905">
        <w:t xml:space="preserve"> into its </w:t>
      </w:r>
      <w:r w:rsidRPr="006B3905">
        <w:rPr>
          <w:rFonts w:cstheme="majorBidi"/>
          <w:i/>
        </w:rPr>
        <w:t>α</w:t>
      </w:r>
      <w:r w:rsidRPr="006B3905">
        <w:t xml:space="preserve">- and </w:t>
      </w:r>
      <w:r w:rsidRPr="006B3905">
        <w:rPr>
          <w:rFonts w:cstheme="majorBidi"/>
          <w:i/>
        </w:rPr>
        <w:t>β</w:t>
      </w:r>
      <w:r w:rsidRPr="006B3905">
        <w:t>-components (</w:t>
      </w:r>
      <m:oMath>
        <m:bar>
          <m:barPr>
            <m:pos m:val="top"/>
            <m:ctrlPr>
              <w:rPr>
                <w:rFonts w:ascii="Cambria Math" w:hAnsi="Cambria Math"/>
              </w:rPr>
            </m:ctrlPr>
          </m:barPr>
          <m:e>
            <m:r>
              <w:rPr>
                <w:rFonts w:ascii="Cambria Math" w:hAnsi="Cambria Math"/>
              </w:rPr>
              <m:t>S</m:t>
            </m:r>
          </m:e>
        </m:bar>
      </m:oMath>
      <w:r w:rsidRPr="006B3905">
        <w:rPr>
          <w:vertAlign w:val="subscript"/>
        </w:rPr>
        <w:t>QDS</w:t>
      </w:r>
      <w:r w:rsidRPr="006B3905">
        <w:t xml:space="preserve"> and </w:t>
      </w:r>
      <w:r w:rsidRPr="006B3905">
        <w:rPr>
          <w:i/>
        </w:rPr>
        <w:t>T</w:t>
      </w:r>
      <w:r w:rsidRPr="006B3905">
        <w:rPr>
          <w:vertAlign w:val="subscript"/>
        </w:rPr>
        <w:t>QDS</w:t>
      </w:r>
      <w:r w:rsidRPr="006B3905">
        <w:t xml:space="preserve"> respectively; Figure 2</w:t>
      </w:r>
      <w:r w:rsidR="00604263" w:rsidRPr="006B3905">
        <w:t>g</w:t>
      </w:r>
      <w:r w:rsidRPr="006B3905">
        <w:t xml:space="preserve">), we found that the proportional contribution of floristic turnover (i.e. </w:t>
      </w:r>
      <w:r w:rsidRPr="006B3905">
        <w:rPr>
          <w:i/>
        </w:rPr>
        <w:t>T</w:t>
      </w:r>
      <w:r w:rsidRPr="006B3905">
        <w:rPr>
          <w:vertAlign w:val="subscript"/>
        </w:rPr>
        <w:t>QDS</w:t>
      </w:r>
      <w:r w:rsidRPr="006B3905">
        <w:t>/</w:t>
      </w:r>
      <w:r w:rsidRPr="006B3905">
        <w:rPr>
          <w:i/>
        </w:rPr>
        <w:t>S</w:t>
      </w:r>
      <w:r w:rsidRPr="006B3905">
        <w:rPr>
          <w:vertAlign w:val="subscript"/>
        </w:rPr>
        <w:t>HDS</w:t>
      </w:r>
      <w:r w:rsidRPr="006B3905">
        <w:t>; Figure 2</w:t>
      </w:r>
      <w:r w:rsidR="00257D86" w:rsidRPr="006B3905">
        <w:t>e</w:t>
      </w:r>
      <w:r w:rsidRPr="006B3905">
        <w:t xml:space="preserve">) is greater in the GCFR (0.64) than in the SWAFR (0.60) (two-sided Mann-Whitney </w:t>
      </w:r>
      <w:r w:rsidRPr="006B3905">
        <w:rPr>
          <w:i/>
        </w:rPr>
        <w:t>U</w:t>
      </w:r>
      <w:r w:rsidRPr="006B3905">
        <w:t xml:space="preserve"> test, </w:t>
      </w:r>
      <w:r w:rsidRPr="006B3905">
        <w:rPr>
          <w:i/>
        </w:rPr>
        <w:t>P</w:t>
      </w:r>
      <w:r w:rsidRPr="006B3905">
        <w:t xml:space="preserve"> &lt; 0.001; </w:t>
      </w:r>
      <w:r w:rsidRPr="006B3905">
        <w:rPr>
          <w:i/>
          <w:iCs/>
        </w:rPr>
        <w:t>CLES</w:t>
      </w:r>
      <w:r w:rsidRPr="006B3905">
        <w:t xml:space="preserve"> = 0.696). This is also the case at the DS-scale (Figure </w:t>
      </w:r>
      <w:r w:rsidR="003F2156" w:rsidRPr="006B3905">
        <w:t>2d</w:t>
      </w:r>
      <w:r w:rsidR="00FE217D" w:rsidRPr="006B3905">
        <w:t xml:space="preserve">; </w:t>
      </w:r>
      <w:r w:rsidR="00CA131C" w:rsidRPr="006B3905">
        <w:rPr>
          <w:i/>
        </w:rPr>
        <w:t>T</w:t>
      </w:r>
      <w:r w:rsidR="00CA131C" w:rsidRPr="006B3905">
        <w:rPr>
          <w:vertAlign w:val="subscript"/>
        </w:rPr>
        <w:t>QDS</w:t>
      </w:r>
      <w:r w:rsidR="00CA131C" w:rsidRPr="006B3905">
        <w:t>/</w:t>
      </w:r>
      <w:r w:rsidR="00CA131C" w:rsidRPr="006B3905">
        <w:rPr>
          <w:i/>
        </w:rPr>
        <w:t>S</w:t>
      </w:r>
      <w:r w:rsidR="00CA131C" w:rsidRPr="006B3905">
        <w:rPr>
          <w:vertAlign w:val="subscript"/>
        </w:rPr>
        <w:t>HDS</w:t>
      </w:r>
      <w:r w:rsidR="001A29B8" w:rsidRPr="006B3905">
        <w:t>,</w:t>
      </w:r>
      <w:r w:rsidR="00CA131C" w:rsidRPr="006B3905">
        <w:t xml:space="preserve"> </w:t>
      </w:r>
      <w:r w:rsidRPr="006B3905">
        <w:t>GCFR:</w:t>
      </w:r>
      <w:r w:rsidR="00CA131C" w:rsidRPr="006B3905">
        <w:rPr>
          <w:i/>
        </w:rPr>
        <w:t xml:space="preserve"> </w:t>
      </w:r>
      <w:r w:rsidRPr="006B3905">
        <w:t xml:space="preserve">0.55, SWAFR: 0.48; two-sided Mann-Whitney </w:t>
      </w:r>
      <w:r w:rsidRPr="006B3905">
        <w:rPr>
          <w:i/>
        </w:rPr>
        <w:t>U</w:t>
      </w:r>
      <w:r w:rsidRPr="006B3905">
        <w:t xml:space="preserve"> test, </w:t>
      </w:r>
      <w:r w:rsidRPr="006B3905">
        <w:rPr>
          <w:i/>
        </w:rPr>
        <w:t>P</w:t>
      </w:r>
      <w:r w:rsidRPr="006B3905">
        <w:t xml:space="preserve"> = 0.001, </w:t>
      </w:r>
      <w:r w:rsidRPr="006B3905">
        <w:rPr>
          <w:i/>
        </w:rPr>
        <w:t>CLES</w:t>
      </w:r>
      <w:r w:rsidRPr="006B3905">
        <w:t xml:space="preserve"> = 0.741).</w:t>
      </w:r>
    </w:p>
    <w:p w14:paraId="7CCFB235" w14:textId="4A3ECB49" w:rsidR="008811CD" w:rsidRPr="003F5B2B" w:rsidRDefault="008811CD" w:rsidP="002C32D6">
      <w:pPr>
        <w:pStyle w:val="BodyText"/>
        <w:rPr>
          <w:i/>
        </w:rPr>
      </w:pPr>
      <w:r w:rsidRPr="00F14EA3">
        <w:rPr>
          <w:highlight w:val="yellow"/>
        </w:rPr>
        <w:t xml:space="preserve">[Reorder sentences to refer to Figure 2 as a </w:t>
      </w:r>
      <w:r w:rsidRPr="00F14EA3">
        <w:rPr>
          <w:highlight w:val="yellow"/>
        </w:rPr>
        <w:sym w:font="Wingdings" w:char="F0E0"/>
      </w:r>
      <w:r w:rsidRPr="00F14EA3">
        <w:rPr>
          <w:highlight w:val="yellow"/>
        </w:rPr>
        <w:t xml:space="preserve"> b </w:t>
      </w:r>
      <w:r w:rsidRPr="00F14EA3">
        <w:rPr>
          <w:highlight w:val="yellow"/>
        </w:rPr>
        <w:sym w:font="Wingdings" w:char="F0E0"/>
      </w:r>
      <w:r w:rsidRPr="00F14EA3">
        <w:rPr>
          <w:highlight w:val="yellow"/>
        </w:rPr>
        <w:t xml:space="preserve"> c?]</w:t>
      </w:r>
    </w:p>
    <w:p w14:paraId="7E9FCA66" w14:textId="3D92E970" w:rsidR="00D04776" w:rsidRDefault="00DD7307">
      <w:pPr>
        <w:pStyle w:val="Heading2"/>
        <w:spacing w:line="240" w:lineRule="auto"/>
      </w:pPr>
      <w:r>
        <w:t>3.2</w:t>
      </w:r>
      <w:r w:rsidR="00462611">
        <w:t>:</w:t>
      </w:r>
      <w:r>
        <w:t xml:space="preserve"> </w:t>
      </w:r>
      <w:r w:rsidR="00D04776">
        <w:t>Comparing environmental heterogeneity</w:t>
      </w:r>
    </w:p>
    <w:p w14:paraId="11E8A663" w14:textId="42A689BA" w:rsidR="00AD4DCC" w:rsidRDefault="00AD1230" w:rsidP="008A4E97">
      <w:pPr>
        <w:pStyle w:val="FirstParagraph"/>
      </w:pPr>
      <w:r>
        <w:t xml:space="preserve">With a few exceptions (MAP, NDVI and CEC at the DS-scale; </w:t>
      </w:r>
      <w:r w:rsidR="0031751D">
        <w:t>Figure</w:t>
      </w:r>
      <w:r w:rsidR="005C5EBF">
        <w:t xml:space="preserve"> 3</w:t>
      </w:r>
      <w:r>
        <w:t xml:space="preserve">b,e,f), </w:t>
      </w:r>
      <w:r w:rsidR="001A23A6" w:rsidRPr="00916B93">
        <w:rPr>
          <w:i/>
        </w:rPr>
        <w:t>CLES</w:t>
      </w:r>
      <w:r w:rsidR="00776E99">
        <w:t xml:space="preserve"> comparisons revealed</w:t>
      </w:r>
      <w:r w:rsidR="0060601F" w:rsidRPr="00916B93">
        <w:t xml:space="preserve"> the GCFR </w:t>
      </w:r>
      <w:r w:rsidR="00776E99">
        <w:t>to</w:t>
      </w:r>
      <w:r w:rsidR="00776E99" w:rsidRPr="00916B93">
        <w:t xml:space="preserve"> </w:t>
      </w:r>
      <w:r w:rsidR="00776E99">
        <w:t>be</w:t>
      </w:r>
      <w:r w:rsidR="0060601F" w:rsidRPr="00916B93">
        <w:t xml:space="preserve"> more heterogeneous</w:t>
      </w:r>
      <w:r w:rsidR="00AB36BF" w:rsidRPr="009A6ABA">
        <w:rPr>
          <w:lang w:val="en-ZA"/>
        </w:rPr>
        <w:t xml:space="preserve"> </w:t>
      </w:r>
      <w:r w:rsidR="0060601F" w:rsidRPr="00916B93">
        <w:t xml:space="preserve">than the SWAFR </w:t>
      </w:r>
      <w:r w:rsidR="00E32EE7">
        <w:t>in</w:t>
      </w:r>
      <w:r w:rsidR="00E32EE7" w:rsidRPr="00916B93">
        <w:t xml:space="preserve"> </w:t>
      </w:r>
      <w:r w:rsidR="0060601F" w:rsidRPr="00916B93">
        <w:t xml:space="preserve">all nine environmental variables, </w:t>
      </w:r>
      <w:r w:rsidR="00AB21A1">
        <w:t xml:space="preserve">and </w:t>
      </w:r>
      <w:r w:rsidR="0060601F" w:rsidRPr="00916B93">
        <w:t>across the full range of spatial scales (</w:t>
      </w:r>
      <w:r w:rsidR="0031751D">
        <w:t>Figure</w:t>
      </w:r>
      <w:r w:rsidR="005C5EBF">
        <w:t xml:space="preserve"> 3</w:t>
      </w:r>
      <w:r w:rsidR="00826383" w:rsidRPr="00916B93">
        <w:t>)</w:t>
      </w:r>
      <w:r w:rsidR="00A778BB" w:rsidRPr="00916B93">
        <w:t xml:space="preserve">. </w:t>
      </w:r>
      <w:r w:rsidR="00FA78DF" w:rsidRPr="00916B93">
        <w:t>The same was true for the major axis of heterogeneity described by PC1</w:t>
      </w:r>
      <w:r w:rsidR="00AF1477">
        <w:t xml:space="preserve"> (</w:t>
      </w:r>
      <w:r w:rsidR="0031751D">
        <w:t>Figure</w:t>
      </w:r>
      <w:r w:rsidR="005C5EBF">
        <w:t xml:space="preserve"> 3</w:t>
      </w:r>
      <w:r w:rsidR="00EC0576">
        <w:t>j</w:t>
      </w:r>
      <w:r w:rsidR="00FB4658">
        <w:t xml:space="preserve">, </w:t>
      </w:r>
      <w:r w:rsidR="00FC2A30">
        <w:t>1</w:t>
      </w:r>
      <w:r w:rsidR="00AF1477">
        <w:t>c,d)</w:t>
      </w:r>
      <w:r w:rsidR="00FA78DF" w:rsidRPr="00916B93">
        <w:t xml:space="preserve">, which accounted for between </w:t>
      </w:r>
      <w:r w:rsidR="00816F2B" w:rsidRPr="007974D6">
        <w:t>38</w:t>
      </w:r>
      <w:r w:rsidR="00FA78DF" w:rsidRPr="007974D6">
        <w:t>%</w:t>
      </w:r>
      <w:r w:rsidR="00FA78DF" w:rsidRPr="00916B93">
        <w:t xml:space="preserve"> </w:t>
      </w:r>
      <w:r w:rsidR="00C52934">
        <w:t xml:space="preserve">(at the </w:t>
      </w:r>
      <w:r w:rsidR="00F84C1A">
        <w:t>0.10</w:t>
      </w:r>
      <w:r w:rsidR="00F84C1A">
        <w:rPr>
          <w:rFonts w:cstheme="majorBidi"/>
        </w:rPr>
        <w:t>°×</w:t>
      </w:r>
      <w:r w:rsidR="00F84C1A">
        <w:t>0.10</w:t>
      </w:r>
      <w:r w:rsidR="00F84C1A">
        <w:rPr>
          <w:rFonts w:ascii="Times New Roman" w:hAnsi="Times New Roman" w:cs="Times New Roman"/>
        </w:rPr>
        <w:t>°</w:t>
      </w:r>
      <w:r w:rsidR="00C52934">
        <w:t xml:space="preserve">-degree scale) </w:t>
      </w:r>
      <w:r w:rsidR="00FA78DF" w:rsidRPr="00916B93">
        <w:t>and 4</w:t>
      </w:r>
      <w:r w:rsidR="00916B93" w:rsidRPr="00916B93">
        <w:t>2</w:t>
      </w:r>
      <w:r w:rsidR="00FA78DF" w:rsidRPr="00916B93">
        <w:t xml:space="preserve">% </w:t>
      </w:r>
      <w:r w:rsidR="00C52934">
        <w:t xml:space="preserve">(at the QDS-scale) </w:t>
      </w:r>
      <w:r w:rsidR="00FA78DF" w:rsidRPr="00916B93">
        <w:t xml:space="preserve">of the variance in all nine </w:t>
      </w:r>
      <w:r w:rsidR="00D01E0F">
        <w:t xml:space="preserve">heterogeneity </w:t>
      </w:r>
      <w:r w:rsidR="00FA78DF" w:rsidRPr="00916B93">
        <w:t>variables</w:t>
      </w:r>
      <w:r w:rsidR="00220A65">
        <w:t>.</w:t>
      </w:r>
      <w:r w:rsidR="00F45440">
        <w:t xml:space="preserve"> </w:t>
      </w:r>
      <w:r w:rsidR="00EF0EC1">
        <w:t xml:space="preserve">In </w:t>
      </w:r>
      <w:r w:rsidR="00E26DDB">
        <w:t>general,</w:t>
      </w:r>
      <w:r w:rsidR="00EF0EC1">
        <w:t xml:space="preserve"> the </w:t>
      </w:r>
      <w:r w:rsidR="00AB21A1" w:rsidRPr="009A6ABA">
        <w:rPr>
          <w:lang w:val="en-ZA"/>
        </w:rPr>
        <w:t xml:space="preserve">disparity in </w:t>
      </w:r>
      <w:r w:rsidR="00AB21A1">
        <w:rPr>
          <w:lang w:val="en-ZA"/>
        </w:rPr>
        <w:t xml:space="preserve">heterogeneity between the two regions </w:t>
      </w:r>
      <w:r w:rsidR="00AB21A1">
        <w:t>is greater for</w:t>
      </w:r>
      <w:r w:rsidR="00E67A7C" w:rsidRPr="009A6ABA">
        <w:rPr>
          <w:lang w:val="en-ZA"/>
        </w:rPr>
        <w:t xml:space="preserve"> topographic and climatic (</w:t>
      </w:r>
      <w:r w:rsidR="00AB0A34" w:rsidRPr="009A6ABA">
        <w:rPr>
          <w:lang w:val="en-ZA"/>
        </w:rPr>
        <w:t xml:space="preserve">all </w:t>
      </w:r>
      <w:r w:rsidR="00AB0A34" w:rsidRPr="00503A1D">
        <w:rPr>
          <w:i/>
          <w:lang w:val="en-ZA"/>
        </w:rPr>
        <w:t>CLES</w:t>
      </w:r>
      <w:r w:rsidR="00AB0A34" w:rsidRPr="009A6ABA">
        <w:rPr>
          <w:lang w:val="en-ZA"/>
        </w:rPr>
        <w:t xml:space="preserve"> &gt; 0.60</w:t>
      </w:r>
      <w:r w:rsidR="00AB0A34">
        <w:rPr>
          <w:lang w:val="en-ZA"/>
        </w:rPr>
        <w:t xml:space="preserve">; </w:t>
      </w:r>
      <w:r w:rsidR="0031751D">
        <w:rPr>
          <w:lang w:val="en-ZA"/>
        </w:rPr>
        <w:t>Figure</w:t>
      </w:r>
      <w:r w:rsidR="005C5EBF">
        <w:rPr>
          <w:lang w:val="en-ZA"/>
        </w:rPr>
        <w:t xml:space="preserve"> 3</w:t>
      </w:r>
      <w:r w:rsidR="00E67A7C" w:rsidRPr="009A6ABA">
        <w:rPr>
          <w:lang w:val="en-ZA"/>
        </w:rPr>
        <w:t>a</w:t>
      </w:r>
      <w:r w:rsidR="00E67A7C" w:rsidRPr="009A6ABA">
        <w:t>–d</w:t>
      </w:r>
      <w:r w:rsidR="00E67A7C" w:rsidRPr="009A6ABA">
        <w:rPr>
          <w:lang w:val="en-ZA"/>
        </w:rPr>
        <w:t xml:space="preserve">) than edaphic </w:t>
      </w:r>
      <w:r w:rsidR="00AB21A1">
        <w:rPr>
          <w:lang w:val="en-ZA"/>
        </w:rPr>
        <w:t>variables</w:t>
      </w:r>
      <w:r w:rsidR="00AB21A1" w:rsidRPr="009A6ABA">
        <w:rPr>
          <w:lang w:val="en-ZA"/>
        </w:rPr>
        <w:t xml:space="preserve"> </w:t>
      </w:r>
      <w:r w:rsidR="00E67A7C" w:rsidRPr="009A6ABA">
        <w:rPr>
          <w:lang w:val="en-ZA"/>
        </w:rPr>
        <w:t>(</w:t>
      </w:r>
      <w:r w:rsidR="00AB0A34" w:rsidRPr="009A6ABA">
        <w:t xml:space="preserve">all </w:t>
      </w:r>
      <w:r w:rsidR="00AB0A34" w:rsidRPr="00503A1D">
        <w:rPr>
          <w:i/>
        </w:rPr>
        <w:t>CLES</w:t>
      </w:r>
      <w:r w:rsidR="00AB0A34" w:rsidRPr="009A6ABA">
        <w:t xml:space="preserve"> &lt; 0.75</w:t>
      </w:r>
      <w:r w:rsidR="00AB0A34">
        <w:t xml:space="preserve">; </w:t>
      </w:r>
      <w:r w:rsidR="0031751D">
        <w:rPr>
          <w:lang w:val="en-ZA"/>
        </w:rPr>
        <w:t>Figure</w:t>
      </w:r>
      <w:r w:rsidR="005C5EBF">
        <w:rPr>
          <w:lang w:val="en-ZA"/>
        </w:rPr>
        <w:t xml:space="preserve"> 3</w:t>
      </w:r>
      <w:r w:rsidR="00E67A7C" w:rsidRPr="009A6ABA">
        <w:rPr>
          <w:lang w:val="en-ZA"/>
        </w:rPr>
        <w:t>f</w:t>
      </w:r>
      <w:r w:rsidR="00E67A7C" w:rsidRPr="009A6ABA">
        <w:t>–</w:t>
      </w:r>
      <w:r w:rsidR="000962CB">
        <w:t>i</w:t>
      </w:r>
      <w:r w:rsidR="00E67A7C" w:rsidRPr="009A6ABA">
        <w:t>)</w:t>
      </w:r>
      <w:r w:rsidR="00F3440B">
        <w:rPr>
          <w:lang w:val="en-ZA"/>
        </w:rPr>
        <w:t>.</w:t>
      </w:r>
    </w:p>
    <w:p w14:paraId="5FF97D42" w14:textId="4603A043" w:rsidR="00F45440" w:rsidRPr="00F45440" w:rsidRDefault="00AD1230" w:rsidP="005D1374">
      <w:pPr>
        <w:pStyle w:val="FirstParagraph"/>
      </w:pPr>
      <w:r>
        <w:t xml:space="preserve">Regressions </w:t>
      </w:r>
      <w:r w:rsidR="00CA131C">
        <w:t>indicate</w:t>
      </w:r>
      <w:r>
        <w:t xml:space="preserve"> that t</w:t>
      </w:r>
      <w:r w:rsidR="00880A28">
        <w:t xml:space="preserve">he degree to which the GCFR is more </w:t>
      </w:r>
      <w:r w:rsidR="00BF546E">
        <w:t xml:space="preserve">environmentally </w:t>
      </w:r>
      <w:r w:rsidR="00880A28">
        <w:t>heterogeneous than the SWAFR is largely scale-independent</w:t>
      </w:r>
      <w:r w:rsidR="00346C28">
        <w:t>, with the notable exception</w:t>
      </w:r>
      <w:r w:rsidR="00BF546E">
        <w:t>s</w:t>
      </w:r>
      <w:r w:rsidR="00346C28">
        <w:t xml:space="preserve"> of MAP (</w:t>
      </w:r>
      <w:r w:rsidR="0031751D">
        <w:t>Figure</w:t>
      </w:r>
      <w:r w:rsidR="005C5EBF">
        <w:t xml:space="preserve"> 3</w:t>
      </w:r>
      <w:r w:rsidR="0012073A">
        <w:t>b</w:t>
      </w:r>
      <w:r w:rsidR="00346C28">
        <w:t>)</w:t>
      </w:r>
      <w:r w:rsidR="000C5AAD">
        <w:t xml:space="preserve">, </w:t>
      </w:r>
      <w:r>
        <w:t>in</w:t>
      </w:r>
      <w:r w:rsidR="00776E99">
        <w:t xml:space="preserve"> </w:t>
      </w:r>
      <w:r w:rsidR="000C5AAD">
        <w:t xml:space="preserve">which the GCFR </w:t>
      </w:r>
      <w:r w:rsidR="00776E99">
        <w:t xml:space="preserve">is disproportionately more heterogeneous </w:t>
      </w:r>
      <w:r w:rsidR="000C5AAD">
        <w:t xml:space="preserve">at </w:t>
      </w:r>
      <w:r w:rsidR="00776E99">
        <w:t>fine</w:t>
      </w:r>
      <w:r w:rsidR="000C5AAD">
        <w:t xml:space="preserve"> scales</w:t>
      </w:r>
      <w:r w:rsidR="00BF546E">
        <w:t>, and NDVI and clay (</w:t>
      </w:r>
      <w:r w:rsidR="0031751D">
        <w:t>Figure</w:t>
      </w:r>
      <w:r w:rsidR="005C5EBF">
        <w:t xml:space="preserve"> 3</w:t>
      </w:r>
      <w:r w:rsidR="00BF546E">
        <w:t xml:space="preserve">e,g), </w:t>
      </w:r>
      <w:r>
        <w:t xml:space="preserve">in which the </w:t>
      </w:r>
      <w:r w:rsidR="00BF546E">
        <w:t xml:space="preserve">GCFR </w:t>
      </w:r>
      <w:r>
        <w:t>is disproportionately more heterogeneous</w:t>
      </w:r>
      <w:r w:rsidR="00BF546E">
        <w:t xml:space="preserve"> at coarse spatial scales.</w:t>
      </w:r>
      <w:r w:rsidR="005171EA">
        <w:t xml:space="preserve"> Th</w:t>
      </w:r>
      <w:r w:rsidR="005B1454">
        <w:t>e</w:t>
      </w:r>
      <w:r w:rsidR="005171EA">
        <w:t xml:space="preserve"> major axis</w:t>
      </w:r>
      <w:r w:rsidR="005B1454">
        <w:t xml:space="preserve"> of heterogeneity (PC1)</w:t>
      </w:r>
      <w:r w:rsidR="003F7A46">
        <w:t xml:space="preserve"> reflect</w:t>
      </w:r>
      <w:r w:rsidR="00B14A5F">
        <w:t>s</w:t>
      </w:r>
      <w:r w:rsidR="003F7A46">
        <w:t xml:space="preserve"> the scale-independence</w:t>
      </w:r>
      <w:r w:rsidR="00B14A5F">
        <w:t xml:space="preserve"> of most forms </w:t>
      </w:r>
      <w:r w:rsidR="00FF729E">
        <w:t xml:space="preserve">of </w:t>
      </w:r>
      <w:r w:rsidR="00B14A5F">
        <w:t>heterogeneit</w:t>
      </w:r>
      <w:r w:rsidR="007A0841">
        <w:t>y</w:t>
      </w:r>
      <w:r w:rsidR="00AB21A1">
        <w:t xml:space="preserve">, </w:t>
      </w:r>
      <w:r w:rsidR="00202A32">
        <w:t xml:space="preserve">with </w:t>
      </w:r>
      <w:r w:rsidR="00AB21A1">
        <w:t xml:space="preserve">its </w:t>
      </w:r>
      <w:r w:rsidR="00633C2F" w:rsidRPr="00633C2F">
        <w:rPr>
          <w:i/>
        </w:rPr>
        <w:t>CLES</w:t>
      </w:r>
      <w:r w:rsidR="00633C2F">
        <w:t xml:space="preserve"> </w:t>
      </w:r>
      <w:r w:rsidR="00AB21A1">
        <w:t>being</w:t>
      </w:r>
      <w:r w:rsidR="000F7FB0">
        <w:t xml:space="preserve"> </w:t>
      </w:r>
      <w:r w:rsidR="00AB21A1">
        <w:t>more or less uniform</w:t>
      </w:r>
      <w:r w:rsidR="00633C2F">
        <w:t xml:space="preserve"> </w:t>
      </w:r>
      <w:r w:rsidR="000F7FB0">
        <w:t>across</w:t>
      </w:r>
      <w:r w:rsidR="00633C2F">
        <w:t xml:space="preserve"> spatial</w:t>
      </w:r>
      <w:r w:rsidR="000F7FB0">
        <w:t xml:space="preserve"> scales</w:t>
      </w:r>
      <w:r w:rsidR="00633C2F">
        <w:t xml:space="preserve"> (</w:t>
      </w:r>
      <w:r w:rsidR="0031751D">
        <w:t>Figure</w:t>
      </w:r>
      <w:r w:rsidR="005C5EBF">
        <w:t xml:space="preserve"> 3</w:t>
      </w:r>
      <w:r w:rsidR="007755AC">
        <w:t>j</w:t>
      </w:r>
      <w:r w:rsidR="00633C2F">
        <w:t>)</w:t>
      </w:r>
      <w:r w:rsidR="000C5BB8">
        <w:t>.</w:t>
      </w:r>
    </w:p>
    <w:p w14:paraId="6A280C6C" w14:textId="3E44A148" w:rsidR="00D04776" w:rsidRPr="00FB7B57" w:rsidRDefault="00DD7307" w:rsidP="008A4E97">
      <w:pPr>
        <w:pStyle w:val="Heading2"/>
        <w:spacing w:line="240" w:lineRule="auto"/>
      </w:pPr>
      <w:r>
        <w:lastRenderedPageBreak/>
        <w:t>3.3</w:t>
      </w:r>
      <w:r w:rsidR="00F055C7">
        <w:t>:</w:t>
      </w:r>
      <w:r>
        <w:t xml:space="preserve"> </w:t>
      </w:r>
      <w:r w:rsidR="00D04776">
        <w:t>Environme</w:t>
      </w:r>
      <w:r w:rsidR="00D04776" w:rsidRPr="00FB7B57">
        <w:t>ntal heterogeneity as an explanation of species richness</w:t>
      </w:r>
    </w:p>
    <w:p w14:paraId="13E7AA58" w14:textId="1972E1EA" w:rsidR="009B180C" w:rsidRPr="00C47FAF" w:rsidRDefault="006B7A26">
      <w:pPr>
        <w:pStyle w:val="FirstParagraph"/>
        <w:rPr>
          <w:rFonts w:eastAsiaTheme="minorEastAsia" w:cstheme="majorBidi"/>
        </w:rPr>
      </w:pPr>
      <w:r>
        <w:t xml:space="preserve">The </w:t>
      </w:r>
      <w:r w:rsidR="00F554DF">
        <w:t xml:space="preserve">ANCOVA </w:t>
      </w:r>
      <w:r w:rsidR="002C7612">
        <w:t>results show</w:t>
      </w:r>
      <w:r w:rsidR="00F554DF">
        <w:t xml:space="preserve"> that </w:t>
      </w:r>
      <w:r w:rsidR="00F554DF">
        <w:rPr>
          <w:rFonts w:eastAsiaTheme="minorEastAsia"/>
        </w:rPr>
        <w:t xml:space="preserve">heterogeneity in each of the nine environmental variables, as well as the main axis of heterogeneity (PC1), influence species richness in a consistently positive manner across the two study regions. In addition, </w:t>
      </w:r>
      <w:r w:rsidR="002C7612">
        <w:rPr>
          <w:rFonts w:eastAsiaTheme="minorEastAsia"/>
        </w:rPr>
        <w:t>they</w:t>
      </w:r>
      <w:r w:rsidR="00F554DF">
        <w:rPr>
          <w:rFonts w:eastAsiaTheme="minorEastAsia"/>
        </w:rPr>
        <w:t xml:space="preserve"> show</w:t>
      </w:r>
      <w:r w:rsidR="002C7612">
        <w:rPr>
          <w:rFonts w:eastAsiaTheme="minorEastAsia"/>
        </w:rPr>
        <w:t xml:space="preserve"> that,</w:t>
      </w:r>
      <w:r w:rsidR="003E7233">
        <w:t xml:space="preserve"> at the HDS- and DS-scales</w:t>
      </w:r>
      <w:r w:rsidR="00983D13">
        <w:t>,</w:t>
      </w:r>
      <w:r w:rsidR="003E7233">
        <w:t xml:space="preserve"> </w:t>
      </w:r>
      <w:r w:rsidR="002C7612">
        <w:rPr>
          <w:rFonts w:eastAsiaTheme="minorEastAsia"/>
        </w:rPr>
        <w:t>the effect of</w:t>
      </w:r>
      <w:r w:rsidR="003E7233">
        <w:rPr>
          <w:rFonts w:eastAsiaTheme="minorEastAsia"/>
        </w:rPr>
        <w:t xml:space="preserve"> </w:t>
      </w:r>
      <w:r w:rsidR="002C7612">
        <w:rPr>
          <w:rFonts w:eastAsiaTheme="minorEastAsia"/>
        </w:rPr>
        <w:t xml:space="preserve">heterogeneity in each environmental variable, and of PC1, on </w:t>
      </w:r>
      <w:r w:rsidR="003E7233">
        <w:rPr>
          <w:rFonts w:eastAsiaTheme="minorEastAsia"/>
        </w:rPr>
        <w:t xml:space="preserve">species richness </w:t>
      </w:r>
      <w:r w:rsidR="002C7612">
        <w:rPr>
          <w:rFonts w:eastAsiaTheme="minorEastAsia"/>
        </w:rPr>
        <w:t>is uniform</w:t>
      </w:r>
      <w:r w:rsidR="00E64B6B">
        <w:rPr>
          <w:rFonts w:eastAsiaTheme="minorEastAsia"/>
        </w:rPr>
        <w:t xml:space="preserve"> </w:t>
      </w:r>
      <w:r w:rsidR="003E7233">
        <w:rPr>
          <w:rFonts w:eastAsiaTheme="minorEastAsia"/>
        </w:rPr>
        <w:t>across the two regions</w:t>
      </w:r>
      <w:r w:rsidR="00983D13">
        <w:rPr>
          <w:rFonts w:eastAsiaTheme="minorEastAsia"/>
        </w:rPr>
        <w:t xml:space="preserve"> (</w:t>
      </w:r>
      <w:r w:rsidR="00A23494">
        <w:rPr>
          <w:rFonts w:eastAsiaTheme="minorEastAsia"/>
        </w:rPr>
        <w:t>i.e. “main effect</w:t>
      </w:r>
      <w:r w:rsidR="00EC5B19">
        <w:rPr>
          <w:rFonts w:eastAsiaTheme="minorEastAsia"/>
        </w:rPr>
        <w:t xml:space="preserve"> only</w:t>
      </w:r>
      <w:r w:rsidR="00A23494">
        <w:rPr>
          <w:rFonts w:eastAsiaTheme="minorEastAsia"/>
        </w:rPr>
        <w:t xml:space="preserve">” model favoured: </w:t>
      </w:r>
      <w:r w:rsidR="00983D13">
        <w:rPr>
          <w:rFonts w:eastAsiaTheme="minorEastAsia"/>
        </w:rPr>
        <w:t xml:space="preserve">Table </w:t>
      </w:r>
      <w:r w:rsidR="008B0E3F">
        <w:rPr>
          <w:rFonts w:eastAsiaTheme="minorEastAsia"/>
        </w:rPr>
        <w:t>1</w:t>
      </w:r>
      <w:r w:rsidR="00983D13">
        <w:rPr>
          <w:rFonts w:eastAsiaTheme="minorEastAsia"/>
        </w:rPr>
        <w:t xml:space="preserve">b,c; </w:t>
      </w:r>
      <w:r w:rsidR="00B02E73">
        <w:rPr>
          <w:rFonts w:eastAsiaTheme="minorEastAsia"/>
        </w:rPr>
        <w:t xml:space="preserve">Figure </w:t>
      </w:r>
      <w:r w:rsidR="00FF0F3A">
        <w:rPr>
          <w:rFonts w:eastAsiaTheme="minorEastAsia"/>
        </w:rPr>
        <w:t>4</w:t>
      </w:r>
      <w:r w:rsidR="00983D13">
        <w:rPr>
          <w:rFonts w:eastAsiaTheme="minorEastAsia"/>
        </w:rPr>
        <w:t>b, c)</w:t>
      </w:r>
      <w:r w:rsidR="003E7233">
        <w:rPr>
          <w:rFonts w:eastAsiaTheme="minorEastAsia"/>
        </w:rPr>
        <w:t xml:space="preserve">. </w:t>
      </w:r>
      <w:r w:rsidR="006C19C9">
        <w:rPr>
          <w:rFonts w:eastAsiaTheme="minorEastAsia"/>
        </w:rPr>
        <w:t>By contrast, t</w:t>
      </w:r>
      <w:r w:rsidR="00B9531E">
        <w:t>he</w:t>
      </w:r>
      <w:r w:rsidR="00D874F0">
        <w:t xml:space="preserve"> relationship of species richness to heterogeneity</w:t>
      </w:r>
      <w:r w:rsidR="00A23494">
        <w:t xml:space="preserve"> </w:t>
      </w:r>
      <w:r w:rsidR="001A7D58">
        <w:rPr>
          <w:rFonts w:eastAsiaTheme="minorEastAsia"/>
        </w:rPr>
        <w:t xml:space="preserve">at the </w:t>
      </w:r>
      <w:r w:rsidR="001A7D58">
        <w:t xml:space="preserve">QDS-scale </w:t>
      </w:r>
      <w:r w:rsidR="007D1813">
        <w:t>is</w:t>
      </w:r>
      <w:r w:rsidR="007F71F9">
        <w:t xml:space="preserve"> </w:t>
      </w:r>
      <w:r w:rsidR="006C19C9">
        <w:t>generall</w:t>
      </w:r>
      <w:r w:rsidR="002C7612">
        <w:t>y</w:t>
      </w:r>
      <w:r w:rsidR="007D1813">
        <w:t xml:space="preserve"> region-dependent</w:t>
      </w:r>
      <w:r w:rsidR="00D874F0">
        <w:t xml:space="preserve">, the “main effect </w:t>
      </w:r>
      <w:r w:rsidR="00D874F0">
        <w:rPr>
          <w:rFonts w:eastAsiaTheme="minorEastAsia" w:cstheme="majorBidi"/>
        </w:rPr>
        <w:t xml:space="preserve">× region” model being favoured for three </w:t>
      </w:r>
      <w:r w:rsidR="006C19C9">
        <w:rPr>
          <w:rFonts w:eastAsiaTheme="minorEastAsia" w:cstheme="majorBidi"/>
        </w:rPr>
        <w:t xml:space="preserve">environmental </w:t>
      </w:r>
      <w:r w:rsidR="007D1813">
        <w:rPr>
          <w:rFonts w:eastAsiaTheme="minorEastAsia" w:cstheme="majorBidi"/>
        </w:rPr>
        <w:t>variables</w:t>
      </w:r>
      <w:r w:rsidR="00D874F0">
        <w:rPr>
          <w:rFonts w:eastAsiaTheme="minorEastAsia" w:cstheme="majorBidi"/>
        </w:rPr>
        <w:t xml:space="preserve"> </w:t>
      </w:r>
      <w:r w:rsidR="006C19C9">
        <w:rPr>
          <w:rFonts w:eastAsiaTheme="minorEastAsia" w:cstheme="majorBidi"/>
        </w:rPr>
        <w:t>and</w:t>
      </w:r>
      <w:r w:rsidR="001A7D58">
        <w:rPr>
          <w:rFonts w:eastAsiaTheme="minorEastAsia" w:cstheme="majorBidi"/>
        </w:rPr>
        <w:t xml:space="preserve"> PC1</w:t>
      </w:r>
      <w:r w:rsidR="002644D2">
        <w:rPr>
          <w:rFonts w:eastAsiaTheme="minorEastAsia" w:cstheme="majorBidi"/>
        </w:rPr>
        <w:t>,</w:t>
      </w:r>
      <w:r w:rsidR="001A7D58">
        <w:rPr>
          <w:rFonts w:eastAsiaTheme="minorEastAsia" w:cstheme="majorBidi"/>
        </w:rPr>
        <w:t xml:space="preserve"> </w:t>
      </w:r>
      <w:r w:rsidR="00D874F0">
        <w:rPr>
          <w:rFonts w:eastAsiaTheme="minorEastAsia" w:cstheme="majorBidi"/>
        </w:rPr>
        <w:t xml:space="preserve">and </w:t>
      </w:r>
      <w:r w:rsidR="00D874F0">
        <w:t xml:space="preserve">the “main effect </w:t>
      </w:r>
      <w:r w:rsidR="00502524">
        <w:rPr>
          <w:rFonts w:eastAsiaTheme="minorEastAsia" w:cstheme="majorBidi"/>
        </w:rPr>
        <w:t>+</w:t>
      </w:r>
      <w:r w:rsidR="00D874F0">
        <w:rPr>
          <w:rFonts w:eastAsiaTheme="minorEastAsia" w:cstheme="majorBidi"/>
        </w:rPr>
        <w:t xml:space="preserve"> region” model </w:t>
      </w:r>
      <w:r w:rsidR="001A7D58">
        <w:rPr>
          <w:rFonts w:eastAsiaTheme="minorEastAsia" w:cstheme="majorBidi"/>
        </w:rPr>
        <w:t>for four</w:t>
      </w:r>
      <w:r w:rsidR="002644D2">
        <w:rPr>
          <w:rFonts w:eastAsiaTheme="minorEastAsia" w:cstheme="majorBidi"/>
        </w:rPr>
        <w:t xml:space="preserve"> variables</w:t>
      </w:r>
      <w:r w:rsidR="001A7D58">
        <w:rPr>
          <w:rFonts w:eastAsiaTheme="minorEastAsia" w:cstheme="majorBidi"/>
        </w:rPr>
        <w:t xml:space="preserve"> (Table </w:t>
      </w:r>
      <w:r w:rsidR="008B0E3F">
        <w:rPr>
          <w:rFonts w:eastAsiaTheme="minorEastAsia" w:cstheme="majorBidi"/>
        </w:rPr>
        <w:t>1</w:t>
      </w:r>
      <w:r w:rsidR="001A7D58">
        <w:rPr>
          <w:rFonts w:eastAsiaTheme="minorEastAsia" w:cstheme="majorBidi"/>
        </w:rPr>
        <w:t>a)</w:t>
      </w:r>
      <w:r w:rsidR="00827247">
        <w:rPr>
          <w:rFonts w:eastAsiaTheme="minorEastAsia" w:cstheme="majorBidi"/>
        </w:rPr>
        <w:t>. However</w:t>
      </w:r>
      <w:r w:rsidR="001A7D58">
        <w:rPr>
          <w:rFonts w:eastAsiaTheme="minorEastAsia" w:cstheme="majorBidi"/>
        </w:rPr>
        <w:t xml:space="preserve">, the </w:t>
      </w:r>
      <w:r w:rsidR="009F192B">
        <w:rPr>
          <w:rFonts w:eastAsiaTheme="minorEastAsia" w:cstheme="majorBidi"/>
        </w:rPr>
        <w:t>coefficient</w:t>
      </w:r>
      <w:r w:rsidR="006C19C9">
        <w:rPr>
          <w:rFonts w:eastAsiaTheme="minorEastAsia" w:cstheme="majorBidi"/>
        </w:rPr>
        <w:t xml:space="preserve">s </w:t>
      </w:r>
      <w:r w:rsidR="009F192B">
        <w:rPr>
          <w:rFonts w:eastAsiaTheme="minorEastAsia" w:cstheme="majorBidi"/>
        </w:rPr>
        <w:t xml:space="preserve">of </w:t>
      </w:r>
      <w:r w:rsidR="001A7D58">
        <w:rPr>
          <w:rFonts w:eastAsiaTheme="minorEastAsia" w:cstheme="majorBidi"/>
        </w:rPr>
        <w:t xml:space="preserve">the significant interaction </w:t>
      </w:r>
      <w:r w:rsidR="006C19C9">
        <w:rPr>
          <w:rFonts w:eastAsiaTheme="minorEastAsia" w:cstheme="majorBidi"/>
        </w:rPr>
        <w:t xml:space="preserve">(24.6 to 89.4) </w:t>
      </w:r>
      <w:r w:rsidR="001A7D58">
        <w:rPr>
          <w:rFonts w:eastAsiaTheme="minorEastAsia" w:cstheme="majorBidi"/>
        </w:rPr>
        <w:t xml:space="preserve">and region </w:t>
      </w:r>
      <w:r w:rsidR="006C19C9">
        <w:rPr>
          <w:rFonts w:eastAsiaTheme="minorEastAsia" w:cstheme="majorBidi"/>
        </w:rPr>
        <w:t xml:space="preserve">(50.5 to 72.6) </w:t>
      </w:r>
      <w:r w:rsidR="009F192B">
        <w:rPr>
          <w:rFonts w:eastAsiaTheme="minorEastAsia" w:cstheme="majorBidi"/>
        </w:rPr>
        <w:t>terms</w:t>
      </w:r>
      <w:r w:rsidR="001A7D58">
        <w:rPr>
          <w:rFonts w:eastAsiaTheme="minorEastAsia" w:cstheme="majorBidi"/>
        </w:rPr>
        <w:t xml:space="preserve"> are small</w:t>
      </w:r>
      <w:r w:rsidR="003E77D9">
        <w:rPr>
          <w:rFonts w:eastAsiaTheme="minorEastAsia" w:cstheme="majorBidi"/>
        </w:rPr>
        <w:t xml:space="preserve"> in magnitude</w:t>
      </w:r>
      <w:r w:rsidR="001A7D58">
        <w:rPr>
          <w:rFonts w:eastAsiaTheme="minorEastAsia" w:cstheme="majorBidi"/>
        </w:rPr>
        <w:t xml:space="preserve"> relative to the </w:t>
      </w:r>
      <w:r w:rsidR="00827247">
        <w:rPr>
          <w:rFonts w:eastAsiaTheme="minorEastAsia" w:cstheme="majorBidi"/>
        </w:rPr>
        <w:t xml:space="preserve">spread of residual </w:t>
      </w:r>
      <w:r w:rsidR="001A7D58">
        <w:rPr>
          <w:rFonts w:eastAsiaTheme="minorEastAsia" w:cstheme="majorBidi"/>
        </w:rPr>
        <w:t xml:space="preserve">species richness </w:t>
      </w:r>
      <w:r w:rsidR="009E0429">
        <w:rPr>
          <w:rFonts w:eastAsiaTheme="minorEastAsia" w:cstheme="majorBidi"/>
        </w:rPr>
        <w:t xml:space="preserve">at the </w:t>
      </w:r>
      <w:r w:rsidR="001A7D58">
        <w:rPr>
          <w:rFonts w:eastAsiaTheme="minorEastAsia" w:cstheme="majorBidi"/>
        </w:rPr>
        <w:t>QDS</w:t>
      </w:r>
      <w:r w:rsidR="009E0429">
        <w:rPr>
          <w:rFonts w:eastAsiaTheme="minorEastAsia" w:cstheme="majorBidi"/>
        </w:rPr>
        <w:t>-scale within</w:t>
      </w:r>
      <w:r w:rsidR="001A7D58">
        <w:rPr>
          <w:rFonts w:eastAsiaTheme="minorEastAsia" w:cstheme="majorBidi"/>
        </w:rPr>
        <w:t xml:space="preserve"> </w:t>
      </w:r>
      <w:r w:rsidR="009E0429">
        <w:rPr>
          <w:rFonts w:eastAsiaTheme="minorEastAsia" w:cstheme="majorBidi"/>
        </w:rPr>
        <w:t xml:space="preserve">each region </w:t>
      </w:r>
      <w:r w:rsidR="001A7D58">
        <w:t>(</w:t>
      </w:r>
      <w:r w:rsidR="001A7D58" w:rsidRPr="0087034A">
        <w:rPr>
          <w:i/>
          <w:iCs/>
        </w:rPr>
        <w:t>SD</w:t>
      </w:r>
      <w:r w:rsidR="00827247">
        <w:rPr>
          <w:iCs/>
          <w:vertAlign w:val="subscript"/>
        </w:rPr>
        <w:t>GCFR</w:t>
      </w:r>
      <w:r w:rsidR="001A7D58">
        <w:t xml:space="preserve"> = </w:t>
      </w:r>
      <w:r w:rsidR="00827247">
        <w:t>335</w:t>
      </w:r>
      <w:r w:rsidR="001A7D58" w:rsidRPr="0087034A">
        <w:t>.</w:t>
      </w:r>
      <w:r w:rsidR="00827247">
        <w:t xml:space="preserve">2; </w:t>
      </w:r>
      <w:r w:rsidR="00827247" w:rsidRPr="0087034A">
        <w:rPr>
          <w:i/>
          <w:iCs/>
        </w:rPr>
        <w:t>SD</w:t>
      </w:r>
      <w:r w:rsidR="00827247">
        <w:rPr>
          <w:iCs/>
          <w:vertAlign w:val="subscript"/>
        </w:rPr>
        <w:t>SWAFR</w:t>
      </w:r>
      <w:r w:rsidR="00827247">
        <w:t xml:space="preserve"> = 247.4</w:t>
      </w:r>
      <w:r w:rsidR="00496FAE">
        <w:t>; Table S</w:t>
      </w:r>
      <w:r w:rsidR="00AF3227">
        <w:t>3</w:t>
      </w:r>
      <w:r w:rsidR="00496FAE">
        <w:t>a</w:t>
      </w:r>
      <w:r w:rsidR="001A7D58">
        <w:t>).</w:t>
      </w:r>
      <w:r w:rsidR="007F71F9">
        <w:rPr>
          <w:rFonts w:eastAsiaTheme="minorEastAsia" w:cstheme="majorBidi"/>
        </w:rPr>
        <w:t xml:space="preserve"> </w:t>
      </w:r>
      <w:r w:rsidR="001A7D58">
        <w:rPr>
          <w:rFonts w:eastAsiaTheme="minorEastAsia" w:cstheme="majorBidi"/>
        </w:rPr>
        <w:t xml:space="preserve">This </w:t>
      </w:r>
      <w:r w:rsidR="00A46153">
        <w:rPr>
          <w:rFonts w:eastAsiaTheme="minorEastAsia" w:cstheme="majorBidi"/>
        </w:rPr>
        <w:t>indicates</w:t>
      </w:r>
      <w:r w:rsidR="001A7D58">
        <w:rPr>
          <w:rFonts w:eastAsiaTheme="minorEastAsia" w:cstheme="majorBidi"/>
        </w:rPr>
        <w:t xml:space="preserve"> that </w:t>
      </w:r>
      <w:r w:rsidR="002644D2">
        <w:rPr>
          <w:rFonts w:eastAsiaTheme="minorEastAsia" w:cstheme="majorBidi"/>
        </w:rPr>
        <w:t xml:space="preserve">regional differences in the form of the </w:t>
      </w:r>
      <w:r w:rsidR="009E0429">
        <w:rPr>
          <w:rFonts w:eastAsiaTheme="minorEastAsia" w:cstheme="majorBidi"/>
        </w:rPr>
        <w:t xml:space="preserve">QDS-scale </w:t>
      </w:r>
      <w:r w:rsidR="002644D2">
        <w:rPr>
          <w:rFonts w:eastAsiaTheme="minorEastAsia" w:cstheme="majorBidi"/>
        </w:rPr>
        <w:t>species richness-heterogeneity relationship</w:t>
      </w:r>
      <w:r w:rsidR="00EB3F26">
        <w:t xml:space="preserve">, while statistically significant, </w:t>
      </w:r>
      <w:r w:rsidR="001A7D58">
        <w:rPr>
          <w:rFonts w:eastAsiaTheme="minorEastAsia" w:cstheme="majorBidi"/>
        </w:rPr>
        <w:t xml:space="preserve"> are </w:t>
      </w:r>
      <w:r w:rsidR="009B4280">
        <w:rPr>
          <w:rFonts w:eastAsiaTheme="minorEastAsia" w:cstheme="majorBidi"/>
        </w:rPr>
        <w:t>subtle</w:t>
      </w:r>
      <w:r w:rsidR="00B2312C">
        <w:rPr>
          <w:rFonts w:eastAsiaTheme="minorEastAsia" w:cstheme="majorBidi"/>
        </w:rPr>
        <w:t xml:space="preserve"> (</w:t>
      </w:r>
      <w:r w:rsidR="00B2312C" w:rsidRPr="00D43F6A">
        <w:rPr>
          <w:rFonts w:eastAsiaTheme="minorEastAsia" w:cstheme="majorBidi"/>
        </w:rPr>
        <w:t xml:space="preserve">see also </w:t>
      </w:r>
      <w:r w:rsidR="00B02E73">
        <w:rPr>
          <w:rFonts w:eastAsiaTheme="minorEastAsia" w:cstheme="majorBidi"/>
        </w:rPr>
        <w:t xml:space="preserve">Figure </w:t>
      </w:r>
      <w:r w:rsidR="00FF0F3A">
        <w:rPr>
          <w:rFonts w:eastAsiaTheme="minorEastAsia" w:cstheme="majorBidi"/>
        </w:rPr>
        <w:t>4</w:t>
      </w:r>
      <w:r w:rsidR="00CE206A" w:rsidRPr="00D43F6A">
        <w:rPr>
          <w:rFonts w:eastAsiaTheme="minorEastAsia" w:cstheme="majorBidi"/>
        </w:rPr>
        <w:t>a</w:t>
      </w:r>
      <w:r w:rsidR="00B2312C">
        <w:rPr>
          <w:rFonts w:eastAsiaTheme="minorEastAsia" w:cstheme="majorBidi"/>
        </w:rPr>
        <w:t>)</w:t>
      </w:r>
      <w:r w:rsidR="001A7D58">
        <w:rPr>
          <w:rFonts w:eastAsiaTheme="minorEastAsia" w:cstheme="majorBidi"/>
        </w:rPr>
        <w:t>.</w:t>
      </w:r>
    </w:p>
    <w:p w14:paraId="6B93ECCA" w14:textId="6AF0E603" w:rsidR="00FC1C62" w:rsidRDefault="00B930DF">
      <w:pPr>
        <w:pStyle w:val="FirstParagraph"/>
      </w:pPr>
      <w:r w:rsidRPr="00F76134">
        <w:rPr>
          <w:highlight w:val="red"/>
        </w:rPr>
        <w:t xml:space="preserve">With the exception of pH at all spatial scales and elevation at the DS-scale, the partial </w:t>
      </w:r>
      <w:r w:rsidR="0064694B" w:rsidRPr="00F76134">
        <w:rPr>
          <w:highlight w:val="red"/>
        </w:rPr>
        <w:t xml:space="preserve">main </w:t>
      </w:r>
      <w:r w:rsidRPr="00F76134">
        <w:rPr>
          <w:highlight w:val="red"/>
        </w:rPr>
        <w:t xml:space="preserve">effects of all heterogeneity predictors retained in the optimal multiple regression models </w:t>
      </w:r>
      <w:r w:rsidR="00350FE5" w:rsidRPr="00F76134">
        <w:rPr>
          <w:highlight w:val="red"/>
        </w:rPr>
        <w:t>a</w:t>
      </w:r>
      <w:r w:rsidRPr="00F76134">
        <w:rPr>
          <w:highlight w:val="red"/>
        </w:rPr>
        <w:t>re consistently positive</w:t>
      </w:r>
      <w:r w:rsidR="00350FE5">
        <w:t xml:space="preserve">, </w:t>
      </w:r>
      <w:r w:rsidR="0064694B">
        <w:t>corroborating the</w:t>
      </w:r>
      <w:r w:rsidR="00350FE5">
        <w:t xml:space="preserve"> generally </w:t>
      </w:r>
      <w:r w:rsidR="0090296A">
        <w:t>positive</w:t>
      </w:r>
      <w:r w:rsidR="00350FE5">
        <w:t xml:space="preserve"> influence of heterogeneity on species richness</w:t>
      </w:r>
      <w:r w:rsidR="00684D2A">
        <w:t xml:space="preserve"> (</w:t>
      </w:r>
      <w:r w:rsidR="008538A7">
        <w:t xml:space="preserve">Figure </w:t>
      </w:r>
      <w:r w:rsidR="00977291">
        <w:t>5</w:t>
      </w:r>
      <w:r w:rsidR="00684D2A">
        <w:t>)</w:t>
      </w:r>
      <w:r w:rsidR="00350FE5">
        <w:t xml:space="preserve">. </w:t>
      </w:r>
      <w:r w:rsidR="00273B1A" w:rsidRPr="00273B1A">
        <w:rPr>
          <w:highlight w:val="yellow"/>
        </w:rPr>
        <w:t xml:space="preserve">[…] </w:t>
      </w:r>
      <w:r w:rsidR="0032574D" w:rsidRPr="00273B1A">
        <w:rPr>
          <w:highlight w:val="yellow"/>
        </w:rPr>
        <w:t>MAP which has the greatest explanatory power in all models (</w:t>
      </w:r>
      <w:r w:rsidR="00D17FCB" w:rsidRPr="00273B1A">
        <w:rPr>
          <w:highlight w:val="yellow"/>
        </w:rPr>
        <w:t>Table S</w:t>
      </w:r>
      <w:r w:rsidR="00D17FCB" w:rsidRPr="005E7BB2">
        <w:rPr>
          <w:highlight w:val="yellow"/>
        </w:rPr>
        <w:t>2</w:t>
      </w:r>
      <w:r w:rsidR="0032574D" w:rsidRPr="00273B1A">
        <w:rPr>
          <w:highlight w:val="yellow"/>
        </w:rPr>
        <w:t>)</w:t>
      </w:r>
      <w:r w:rsidR="00350FE5" w:rsidRPr="00273B1A">
        <w:rPr>
          <w:highlight w:val="yellow"/>
        </w:rPr>
        <w:t>.</w:t>
      </w:r>
      <w:r w:rsidR="00350FE5">
        <w:t xml:space="preserve"> </w:t>
      </w:r>
      <w:r w:rsidR="0028338C">
        <w:t xml:space="preserve">In contrast to </w:t>
      </w:r>
      <w:r w:rsidR="00237525">
        <w:t xml:space="preserve">the </w:t>
      </w:r>
      <w:r w:rsidR="006B7A26">
        <w:t xml:space="preserve">optimal </w:t>
      </w:r>
      <w:r>
        <w:t>ANCOVA</w:t>
      </w:r>
      <w:r w:rsidR="006B7A26">
        <w:t xml:space="preserve"> models, multiple</w:t>
      </w:r>
      <w:r w:rsidR="00350FE5">
        <w:t xml:space="preserve"> </w:t>
      </w:r>
      <w:r w:rsidR="00983D13">
        <w:t>regression</w:t>
      </w:r>
      <w:r w:rsidR="00350FE5">
        <w:t xml:space="preserve"> model</w:t>
      </w:r>
      <w:r w:rsidR="009F3EA3">
        <w:t xml:space="preserve">s </w:t>
      </w:r>
      <w:r w:rsidR="00473F34">
        <w:t>suggest</w:t>
      </w:r>
      <w:r w:rsidR="00D06C06">
        <w:t xml:space="preserve"> region-dependence </w:t>
      </w:r>
      <w:r w:rsidR="00262F02">
        <w:t xml:space="preserve">in the relationships of species dependence to environmental heterogeneity </w:t>
      </w:r>
      <w:r w:rsidR="00D06C06">
        <w:t>at all three spatial scales</w:t>
      </w:r>
      <w:r w:rsidR="003115F6">
        <w:t xml:space="preserve"> (</w:t>
      </w:r>
      <w:r w:rsidR="008538A7">
        <w:t xml:space="preserve">Figure </w:t>
      </w:r>
      <w:r w:rsidR="00977291">
        <w:t>5</w:t>
      </w:r>
      <w:r w:rsidR="00CA688A">
        <w:t>)</w:t>
      </w:r>
      <w:r w:rsidR="00473F34">
        <w:t>. However,</w:t>
      </w:r>
      <w:r w:rsidR="003E77D9">
        <w:t xml:space="preserve"> the coefficients associated with the significant interaction terms are small in </w:t>
      </w:r>
      <w:r w:rsidR="00473F34">
        <w:t>magnitude</w:t>
      </w:r>
      <w:r w:rsidR="003E77D9">
        <w:t xml:space="preserve"> at </w:t>
      </w:r>
      <w:r w:rsidR="00473F34">
        <w:t xml:space="preserve">both </w:t>
      </w:r>
      <w:r w:rsidR="003E77D9">
        <w:t>the QDS- (54.2 to 65.8) and HDS-scale</w:t>
      </w:r>
      <w:r w:rsidR="0032574D">
        <w:t>s</w:t>
      </w:r>
      <w:r w:rsidR="003E77D9">
        <w:t xml:space="preserve"> (200.8, 210.8)</w:t>
      </w:r>
      <w:r w:rsidR="00EB3F26">
        <w:t>,</w:t>
      </w:r>
      <w:r w:rsidR="003E77D9">
        <w:t xml:space="preserve"> relative to the spread of residual species richness within each region (QDS: </w:t>
      </w:r>
      <w:r w:rsidR="003E77D9" w:rsidRPr="0087034A">
        <w:rPr>
          <w:i/>
          <w:iCs/>
        </w:rPr>
        <w:t>SD</w:t>
      </w:r>
      <w:r w:rsidR="003E77D9">
        <w:rPr>
          <w:iCs/>
          <w:vertAlign w:val="subscript"/>
        </w:rPr>
        <w:t>GCFR</w:t>
      </w:r>
      <w:r w:rsidR="003E77D9">
        <w:t xml:space="preserve"> = 315.5; </w:t>
      </w:r>
      <w:r w:rsidR="003E77D9" w:rsidRPr="0087034A">
        <w:rPr>
          <w:i/>
          <w:iCs/>
        </w:rPr>
        <w:t>SD</w:t>
      </w:r>
      <w:r w:rsidR="003E77D9">
        <w:rPr>
          <w:iCs/>
          <w:vertAlign w:val="subscript"/>
        </w:rPr>
        <w:t>SWAFR</w:t>
      </w:r>
      <w:r w:rsidR="003E77D9">
        <w:t xml:space="preserve"> = 230.1; HDS: </w:t>
      </w:r>
      <w:r w:rsidR="003E77D9" w:rsidRPr="0087034A">
        <w:rPr>
          <w:i/>
          <w:iCs/>
        </w:rPr>
        <w:t>SD</w:t>
      </w:r>
      <w:r w:rsidR="003E77D9">
        <w:rPr>
          <w:iCs/>
          <w:vertAlign w:val="subscript"/>
        </w:rPr>
        <w:t>GCFR</w:t>
      </w:r>
      <w:r w:rsidR="003E77D9">
        <w:t xml:space="preserve"> = </w:t>
      </w:r>
      <w:r w:rsidR="00473F34">
        <w:t>540.2</w:t>
      </w:r>
      <w:r w:rsidR="003E77D9">
        <w:t xml:space="preserve">; </w:t>
      </w:r>
      <w:r w:rsidR="003E77D9" w:rsidRPr="0087034A">
        <w:rPr>
          <w:i/>
          <w:iCs/>
        </w:rPr>
        <w:t>SD</w:t>
      </w:r>
      <w:r w:rsidR="003E77D9">
        <w:rPr>
          <w:iCs/>
          <w:vertAlign w:val="subscript"/>
        </w:rPr>
        <w:t>SWAFR</w:t>
      </w:r>
      <w:r w:rsidR="003E77D9">
        <w:t xml:space="preserve"> = </w:t>
      </w:r>
      <w:r w:rsidR="00473F34">
        <w:t>337.3</w:t>
      </w:r>
      <w:r w:rsidR="00DF3A9D">
        <w:t>; Table S</w:t>
      </w:r>
      <w:r w:rsidR="00F16FBC">
        <w:t>3</w:t>
      </w:r>
      <w:r w:rsidR="007D6DC1">
        <w:t>a,b</w:t>
      </w:r>
      <w:r w:rsidR="003E77D9">
        <w:t>)</w:t>
      </w:r>
      <w:r w:rsidR="00473F34">
        <w:t>. As before, this suggests that regional differences in the relationship of species richness to heterogeneity</w:t>
      </w:r>
      <w:r w:rsidR="000B2398">
        <w:t xml:space="preserve"> at these scales</w:t>
      </w:r>
      <w:r w:rsidR="00473F34">
        <w:t xml:space="preserve">, while statistically significant, are subtle. At the DS-scale, however, the </w:t>
      </w:r>
      <w:r w:rsidR="00C96F57">
        <w:t xml:space="preserve">significant </w:t>
      </w:r>
      <w:r w:rsidR="00473F34">
        <w:t>coefficients are</w:t>
      </w:r>
      <w:r w:rsidR="0032574D">
        <w:t xml:space="preserve"> </w:t>
      </w:r>
      <w:r w:rsidR="00C96F57">
        <w:t>large (500.0 to 1622.9) relative to the spread of residual species richness within each region (</w:t>
      </w:r>
      <w:r w:rsidR="00C96F57" w:rsidRPr="0087034A">
        <w:rPr>
          <w:i/>
          <w:iCs/>
        </w:rPr>
        <w:t>SD</w:t>
      </w:r>
      <w:r w:rsidR="00C96F57">
        <w:rPr>
          <w:iCs/>
          <w:vertAlign w:val="subscript"/>
        </w:rPr>
        <w:t>GCFR</w:t>
      </w:r>
      <w:r w:rsidR="00C96F57">
        <w:t xml:space="preserve"> = 638.4; </w:t>
      </w:r>
      <w:r w:rsidR="00C96F57" w:rsidRPr="0087034A">
        <w:rPr>
          <w:i/>
          <w:iCs/>
        </w:rPr>
        <w:t>SD</w:t>
      </w:r>
      <w:r w:rsidR="00C96F57">
        <w:rPr>
          <w:iCs/>
          <w:vertAlign w:val="subscript"/>
        </w:rPr>
        <w:t>SWAFR</w:t>
      </w:r>
      <w:r w:rsidR="00C96F57">
        <w:t xml:space="preserve"> = 353.9</w:t>
      </w:r>
      <w:r w:rsidR="007144CE">
        <w:t>; Table S</w:t>
      </w:r>
      <w:r w:rsidR="00290F74">
        <w:t>3</w:t>
      </w:r>
      <w:r w:rsidR="007144CE">
        <w:t>c</w:t>
      </w:r>
      <w:r w:rsidR="00C96F57">
        <w:t>)</w:t>
      </w:r>
      <w:r w:rsidR="0032574D">
        <w:t xml:space="preserve">. </w:t>
      </w:r>
      <w:r w:rsidR="00C96F57" w:rsidRPr="0049586B">
        <w:rPr>
          <w:highlight w:val="red"/>
        </w:rPr>
        <w:t xml:space="preserve">Where the </w:t>
      </w:r>
      <w:r w:rsidR="00230147" w:rsidRPr="0049586B">
        <w:rPr>
          <w:highlight w:val="red"/>
        </w:rPr>
        <w:t xml:space="preserve">significant </w:t>
      </w:r>
      <w:r w:rsidR="00C96F57" w:rsidRPr="0049586B">
        <w:rPr>
          <w:highlight w:val="red"/>
        </w:rPr>
        <w:t>negative coefficients</w:t>
      </w:r>
      <w:r w:rsidR="00230147" w:rsidRPr="0049586B">
        <w:rPr>
          <w:highlight w:val="red"/>
        </w:rPr>
        <w:t xml:space="preserve"> associated with</w:t>
      </w:r>
      <w:r w:rsidR="00C96F57" w:rsidRPr="0049586B">
        <w:rPr>
          <w:highlight w:val="red"/>
        </w:rPr>
        <w:t xml:space="preserve"> surface T and clay heterogeneity </w:t>
      </w:r>
      <w:r w:rsidR="00230147" w:rsidRPr="0049586B">
        <w:rPr>
          <w:highlight w:val="red"/>
        </w:rPr>
        <w:t xml:space="preserve">imply that these variables </w:t>
      </w:r>
      <w:r w:rsidR="00C96F57" w:rsidRPr="0049586B">
        <w:rPr>
          <w:highlight w:val="red"/>
        </w:rPr>
        <w:t xml:space="preserve">exert a greater positive influence on species richness in the GCFR </w:t>
      </w:r>
      <w:r w:rsidR="00230147" w:rsidRPr="0049586B">
        <w:rPr>
          <w:highlight w:val="red"/>
        </w:rPr>
        <w:t>than</w:t>
      </w:r>
      <w:r w:rsidR="00C96F57" w:rsidRPr="0049586B">
        <w:rPr>
          <w:highlight w:val="red"/>
        </w:rPr>
        <w:t xml:space="preserve"> in the SWAFR, the positive coefficients </w:t>
      </w:r>
      <w:r w:rsidR="00230147" w:rsidRPr="0049586B">
        <w:rPr>
          <w:highlight w:val="red"/>
        </w:rPr>
        <w:t>associated with elevation and pH</w:t>
      </w:r>
      <w:r w:rsidR="00FC1C62" w:rsidRPr="0049586B">
        <w:rPr>
          <w:highlight w:val="red"/>
        </w:rPr>
        <w:t xml:space="preserve"> heterogeneity</w:t>
      </w:r>
      <w:r w:rsidR="00230147">
        <w:t xml:space="preserve"> have the effect of cancelling (in the SWAFR) the effects of these variables</w:t>
      </w:r>
      <w:r w:rsidR="00EE7F70">
        <w:t xml:space="preserve"> estimated in the GCFR</w:t>
      </w:r>
      <w:r w:rsidR="00230147">
        <w:t xml:space="preserve">. </w:t>
      </w:r>
    </w:p>
    <w:p w14:paraId="2C47BF37" w14:textId="56E3044E" w:rsidR="00350FE5" w:rsidRDefault="00E81245">
      <w:pPr>
        <w:pStyle w:val="FirstParagraph"/>
      </w:pPr>
      <w:r>
        <w:t>That the coefficients of determi</w:t>
      </w:r>
      <w:r w:rsidR="006F4CB8">
        <w:t>nation associated with the opti</w:t>
      </w:r>
      <w:r>
        <w:t>mum regression models</w:t>
      </w:r>
      <w:r w:rsidR="006F4CB8">
        <w:t xml:space="preserve"> (</w:t>
      </w:r>
      <w:r w:rsidR="008538A7">
        <w:t xml:space="preserve">Figure </w:t>
      </w:r>
      <w:r w:rsidR="00977291">
        <w:t>5</w:t>
      </w:r>
      <w:r w:rsidR="00BA3932">
        <w:t xml:space="preserve">: </w:t>
      </w:r>
      <w:r w:rsidR="00BA3932" w:rsidRPr="00095788">
        <w:rPr>
          <w:i/>
          <w:iCs/>
        </w:rPr>
        <w:t>R</w:t>
      </w:r>
      <w:r w:rsidR="00BA3932">
        <w:rPr>
          <w:vertAlign w:val="superscript"/>
        </w:rPr>
        <w:t>2</w:t>
      </w:r>
      <w:r w:rsidR="00BA3932">
        <w:t xml:space="preserve"> = 0.24, 0.33 and 0.61</w:t>
      </w:r>
      <w:r w:rsidR="006F4CB8">
        <w:t>)</w:t>
      </w:r>
      <w:r>
        <w:t xml:space="preserve"> </w:t>
      </w:r>
      <w:r w:rsidR="006F4CB8">
        <w:t>are consistently</w:t>
      </w:r>
      <w:r>
        <w:t xml:space="preserve"> greate</w:t>
      </w:r>
      <w:r w:rsidR="006F4CB8">
        <w:t>r than those associated with the optimal ANCOVA models based on PC1 (</w:t>
      </w:r>
      <w:r w:rsidR="00B02E73">
        <w:t xml:space="preserve">Figure </w:t>
      </w:r>
      <w:r w:rsidR="00FF0F3A">
        <w:t>4</w:t>
      </w:r>
      <w:r w:rsidR="00BA3932">
        <w:t xml:space="preserve">: </w:t>
      </w:r>
      <w:r w:rsidR="00BA3932" w:rsidRPr="00095788">
        <w:rPr>
          <w:i/>
          <w:iCs/>
        </w:rPr>
        <w:t>R</w:t>
      </w:r>
      <w:r w:rsidR="00BA3932">
        <w:rPr>
          <w:vertAlign w:val="superscript"/>
        </w:rPr>
        <w:t>2</w:t>
      </w:r>
      <w:r w:rsidR="00BA3932">
        <w:t xml:space="preserve"> = 0.14, 0.19 and 0.28</w:t>
      </w:r>
      <w:r w:rsidR="006F4CB8">
        <w:t xml:space="preserve">) </w:t>
      </w:r>
      <w:r w:rsidR="0090296A">
        <w:t xml:space="preserve">is because </w:t>
      </w:r>
      <w:r w:rsidR="006F4CB8">
        <w:t xml:space="preserve">PC1 </w:t>
      </w:r>
      <w:r w:rsidR="0090296A">
        <w:t xml:space="preserve">does not </w:t>
      </w:r>
      <w:r w:rsidR="006F4CB8">
        <w:t xml:space="preserve"> capture </w:t>
      </w:r>
      <w:r w:rsidR="000075FC">
        <w:t xml:space="preserve">some </w:t>
      </w:r>
      <w:r w:rsidR="0090296A">
        <w:t xml:space="preserve">environmental heterogeneity </w:t>
      </w:r>
      <w:r w:rsidR="006F4CB8">
        <w:t>relevant to the prediction of species richness.</w:t>
      </w:r>
    </w:p>
    <w:p w14:paraId="4DC1AF30" w14:textId="7AD6C6A2" w:rsidR="00BA3932" w:rsidRPr="002F6163" w:rsidRDefault="00272E07" w:rsidP="00BA3932">
      <w:pPr>
        <w:pStyle w:val="Heading2"/>
        <w:spacing w:line="240" w:lineRule="auto"/>
      </w:pPr>
      <w:r>
        <w:t>3</w:t>
      </w:r>
      <w:r w:rsidR="00BA3932" w:rsidRPr="002F6163">
        <w:t xml:space="preserve">.4: </w:t>
      </w:r>
      <w:r w:rsidR="00BA3932">
        <w:t>S</w:t>
      </w:r>
      <w:r w:rsidR="00BA3932" w:rsidRPr="002F6163">
        <w:t>pecies richness</w:t>
      </w:r>
      <w:r w:rsidR="00BA3932">
        <w:t xml:space="preserve"> hotspots</w:t>
      </w:r>
    </w:p>
    <w:p w14:paraId="67B0A8D0" w14:textId="189D8005" w:rsidR="007628D8" w:rsidRDefault="00390A5D" w:rsidP="00C47FAF">
      <w:pPr>
        <w:pStyle w:val="BodyText"/>
      </w:pPr>
      <w:r>
        <w:t xml:space="preserve">Residual-based </w:t>
      </w:r>
      <w:r w:rsidR="00EF067C">
        <w:t xml:space="preserve">outlier </w:t>
      </w:r>
      <w:r>
        <w:t xml:space="preserve">identification </w:t>
      </w:r>
      <w:r w:rsidR="006B7A26">
        <w:t xml:space="preserve">yielded very similar results for the PC1-based ANCOVA </w:t>
      </w:r>
      <w:bookmarkStart w:id="6" w:name="_GoBack"/>
      <w:r w:rsidR="006B7A26">
        <w:t>and multiple regression models at all spatial scales</w:t>
      </w:r>
      <w:r w:rsidR="001B4B9F">
        <w:t xml:space="preserve"> (</w:t>
      </w:r>
      <w:r w:rsidR="00127033">
        <w:t xml:space="preserve">Table 2; </w:t>
      </w:r>
      <w:r w:rsidR="00304EA1">
        <w:t xml:space="preserve">Figure </w:t>
      </w:r>
      <w:r w:rsidR="00FC2A30">
        <w:t>1</w:t>
      </w:r>
      <w:r w:rsidR="005D74C8" w:rsidRPr="005D74C8">
        <w:t>e–h</w:t>
      </w:r>
      <w:r w:rsidR="00E42B45">
        <w:t>,</w:t>
      </w:r>
      <w:r w:rsidR="001B4B9F" w:rsidRPr="00514C5C">
        <w:t xml:space="preserve"> </w:t>
      </w:r>
      <w:r w:rsidR="004C30F1" w:rsidRPr="00514C5C">
        <w:t>S</w:t>
      </w:r>
      <w:r w:rsidR="00514C5C" w:rsidRPr="00E42B45">
        <w:rPr>
          <w:highlight w:val="red"/>
        </w:rPr>
        <w:t>5</w:t>
      </w:r>
      <w:r w:rsidR="00514C5C" w:rsidRPr="00514C5C">
        <w:t>e–h</w:t>
      </w:r>
      <w:r w:rsidR="00E42B45">
        <w:t>,</w:t>
      </w:r>
      <w:r w:rsidR="00514C5C" w:rsidRPr="00514C5C">
        <w:t xml:space="preserve"> S</w:t>
      </w:r>
      <w:r w:rsidR="00514C5C" w:rsidRPr="00E42B45">
        <w:rPr>
          <w:highlight w:val="red"/>
        </w:rPr>
        <w:t>6</w:t>
      </w:r>
      <w:r w:rsidR="00514C5C" w:rsidRPr="00514C5C">
        <w:t>e–h</w:t>
      </w:r>
      <w:r w:rsidR="001B4B9F" w:rsidRPr="00514C5C">
        <w:t>)</w:t>
      </w:r>
      <w:r w:rsidR="006B7A26" w:rsidRPr="00514C5C">
        <w:t>.</w:t>
      </w:r>
      <w:r w:rsidR="006B7A26">
        <w:t xml:space="preserve"> For </w:t>
      </w:r>
      <w:bookmarkEnd w:id="6"/>
      <w:r w:rsidR="006B7A26">
        <w:t xml:space="preserve">both the GCFR and SWAFR, outliers </w:t>
      </w:r>
      <w:r w:rsidR="00123A7A">
        <w:t>a</w:t>
      </w:r>
      <w:r w:rsidR="006B7A26">
        <w:t>r</w:t>
      </w:r>
      <w:r w:rsidR="00C64450">
        <w:t>e geographically clustered, in areas corresponding to recognized diversity centres</w:t>
      </w:r>
      <w:r w:rsidR="007D7372">
        <w:t xml:space="preserve"> (</w:t>
      </w:r>
      <w:r w:rsidR="00F31699">
        <w:t>Figure FOO</w:t>
      </w:r>
      <w:r w:rsidR="007D7372">
        <w:t>,</w:t>
      </w:r>
      <w:r w:rsidR="00D9172D">
        <w:t xml:space="preserve"> </w:t>
      </w:r>
      <w:r w:rsidR="002D1220">
        <w:t>BAR</w:t>
      </w:r>
      <w:r w:rsidR="007D7372">
        <w:t>)</w:t>
      </w:r>
      <w:r w:rsidR="00C64450">
        <w:t xml:space="preserve">. At the QDS-scale, for example, GCFR outliers </w:t>
      </w:r>
      <w:r w:rsidR="00123A7A">
        <w:t>a</w:t>
      </w:r>
      <w:r w:rsidR="00C64450">
        <w:t>re concentrated in the Kogelberg-Hottentots</w:t>
      </w:r>
      <w:r w:rsidR="000C33EC">
        <w:t>-</w:t>
      </w:r>
      <w:r w:rsidR="00C64450">
        <w:t xml:space="preserve">Holland and Cederberg </w:t>
      </w:r>
      <w:r w:rsidR="0028496B">
        <w:t>area</w:t>
      </w:r>
      <w:r w:rsidR="00C64450">
        <w:t xml:space="preserve">s, while SWAFR outliers </w:t>
      </w:r>
      <w:r w:rsidR="00123A7A">
        <w:t>a</w:t>
      </w:r>
      <w:r w:rsidR="00C64450">
        <w:t xml:space="preserve">re concentrated in the Mt Lesueur, Perth, Stirling-Albany and Fitzgerald River </w:t>
      </w:r>
      <w:r w:rsidR="0028496B">
        <w:t>area</w:t>
      </w:r>
      <w:r w:rsidR="00C64450">
        <w:t>s.</w:t>
      </w:r>
      <w:r w:rsidR="006B0D68">
        <w:t xml:space="preserve"> </w:t>
      </w:r>
      <w:r w:rsidR="00123A7A">
        <w:t xml:space="preserve">Fewer hotspots are </w:t>
      </w:r>
      <w:r w:rsidR="00A57067">
        <w:t xml:space="preserve">necessarily </w:t>
      </w:r>
      <w:r w:rsidR="00123A7A">
        <w:t>resolved a</w:t>
      </w:r>
      <w:r w:rsidR="006B0D68">
        <w:t xml:space="preserve">t the HDS-scale </w:t>
      </w:r>
      <w:r w:rsidR="00123A7A">
        <w:t>(i.e. the</w:t>
      </w:r>
      <w:r w:rsidR="006B0D68">
        <w:t xml:space="preserve"> Kogelberg-Hottentots</w:t>
      </w:r>
      <w:r w:rsidR="000C33EC">
        <w:t>-</w:t>
      </w:r>
      <w:r w:rsidR="006B0D68">
        <w:t xml:space="preserve">Holland </w:t>
      </w:r>
      <w:r w:rsidR="0028496B">
        <w:t>area</w:t>
      </w:r>
      <w:r w:rsidR="006B0D68">
        <w:t xml:space="preserve"> in the GCFR and the Perth </w:t>
      </w:r>
      <w:r w:rsidR="0028496B">
        <w:t>area</w:t>
      </w:r>
      <w:r w:rsidR="006B0D68">
        <w:t xml:space="preserve"> in the SWAFR</w:t>
      </w:r>
      <w:r w:rsidR="00123A7A">
        <w:t>) and only one a</w:t>
      </w:r>
      <w:r w:rsidR="000C33EC">
        <w:t>t</w:t>
      </w:r>
      <w:r w:rsidR="001B4B9F">
        <w:t xml:space="preserve"> </w:t>
      </w:r>
      <w:r w:rsidR="006B0D68">
        <w:t xml:space="preserve">the DS-scale </w:t>
      </w:r>
      <w:r w:rsidR="00123A7A">
        <w:t>(the</w:t>
      </w:r>
      <w:r w:rsidR="006B0D68">
        <w:t xml:space="preserve"> Hottentots </w:t>
      </w:r>
      <w:r w:rsidR="006B0D68">
        <w:lastRenderedPageBreak/>
        <w:t xml:space="preserve">Holland </w:t>
      </w:r>
      <w:r w:rsidR="00123A7A">
        <w:t>area</w:t>
      </w:r>
      <w:r w:rsidR="000D6FAE">
        <w:t xml:space="preserve"> in the GCFR</w:t>
      </w:r>
      <w:r w:rsidR="00123A7A">
        <w:t>)</w:t>
      </w:r>
      <w:r w:rsidR="0040353B">
        <w:t>.</w:t>
      </w:r>
      <w:r w:rsidR="00C4302C">
        <w:t xml:space="preserve"> </w:t>
      </w:r>
      <w:r w:rsidR="003047D0">
        <w:t>Omission of outlier</w:t>
      </w:r>
      <w:r w:rsidR="00EF067C">
        <w:t>s</w:t>
      </w:r>
      <w:r w:rsidR="003047D0">
        <w:t xml:space="preserve"> from the </w:t>
      </w:r>
      <w:r w:rsidR="00F674A6">
        <w:t xml:space="preserve">PC1-based </w:t>
      </w:r>
      <w:r w:rsidR="003047D0">
        <w:t xml:space="preserve">ANCOVA </w:t>
      </w:r>
      <w:r w:rsidR="00C1212C">
        <w:t>(Figure S</w:t>
      </w:r>
      <w:r w:rsidR="00C1212C" w:rsidRPr="00C1212C">
        <w:rPr>
          <w:highlight w:val="red"/>
        </w:rPr>
        <w:t>11</w:t>
      </w:r>
      <w:r w:rsidR="00C1212C">
        <w:t xml:space="preserve">) </w:t>
      </w:r>
      <w:r w:rsidR="003047D0">
        <w:t>and multiple regression</w:t>
      </w:r>
      <w:r w:rsidR="00301369">
        <w:t>s</w:t>
      </w:r>
      <w:r w:rsidR="003047D0">
        <w:t xml:space="preserve"> </w:t>
      </w:r>
      <w:r w:rsidR="0081543B">
        <w:t>(</w:t>
      </w:r>
      <w:r w:rsidR="00C1212C">
        <w:t>Figure</w:t>
      </w:r>
      <w:r w:rsidR="0081543B">
        <w:t xml:space="preserve"> S</w:t>
      </w:r>
      <w:r w:rsidR="00C1212C" w:rsidRPr="00C1212C">
        <w:rPr>
          <w:highlight w:val="red"/>
        </w:rPr>
        <w:t>10</w:t>
      </w:r>
      <w:r w:rsidR="0081543B">
        <w:t xml:space="preserve">) </w:t>
      </w:r>
      <w:r w:rsidR="003047D0">
        <w:t xml:space="preserve">yielded </w:t>
      </w:r>
      <w:r w:rsidR="00C4302C">
        <w:t xml:space="preserve">qualitatively similar </w:t>
      </w:r>
      <w:r w:rsidR="003047D0">
        <w:t>models</w:t>
      </w:r>
      <w:r w:rsidR="00EC5B19">
        <w:t xml:space="preserve"> </w:t>
      </w:r>
      <w:r w:rsidR="00EF067C">
        <w:t xml:space="preserve">as before, but </w:t>
      </w:r>
      <w:r w:rsidR="00EC5B19">
        <w:t xml:space="preserve">generally </w:t>
      </w:r>
      <w:r w:rsidR="00FC7DE5">
        <w:t xml:space="preserve">with slightly </w:t>
      </w:r>
      <w:r w:rsidR="00EC5B19">
        <w:t>improved coefficients of determination</w:t>
      </w:r>
      <w:r w:rsidR="0081543B">
        <w:t>.</w:t>
      </w:r>
    </w:p>
    <w:p w14:paraId="3B4BD914" w14:textId="7BED419D" w:rsidR="00D06C06" w:rsidRDefault="002531F6" w:rsidP="00C47FAF">
      <w:pPr>
        <w:pStyle w:val="BodyText"/>
      </w:pPr>
      <w:r w:rsidRPr="007628D8">
        <w:rPr>
          <w:highlight w:val="yellow"/>
        </w:rPr>
        <w:t>[</w:t>
      </w:r>
      <w:r w:rsidR="00F4584C" w:rsidRPr="007628D8">
        <w:rPr>
          <w:highlight w:val="yellow"/>
        </w:rPr>
        <w:t xml:space="preserve">Mention/describe: </w:t>
      </w:r>
      <w:r w:rsidRPr="007628D8">
        <w:rPr>
          <w:i/>
          <w:iCs/>
          <w:highlight w:val="yellow"/>
        </w:rPr>
        <w:t>F</w:t>
      </w:r>
      <w:r w:rsidRPr="007628D8">
        <w:rPr>
          <w:highlight w:val="yellow"/>
        </w:rPr>
        <w:t>-test results</w:t>
      </w:r>
      <w:r w:rsidR="008B06C2" w:rsidRPr="007628D8">
        <w:rPr>
          <w:highlight w:val="yellow"/>
        </w:rPr>
        <w:t xml:space="preserve"> for SD of residuals</w:t>
      </w:r>
      <w:r w:rsidR="00CF6CA1" w:rsidRPr="007628D8">
        <w:rPr>
          <w:highlight w:val="yellow"/>
        </w:rPr>
        <w:t xml:space="preserve"> (</w:t>
      </w:r>
      <w:r w:rsidR="00272EF5" w:rsidRPr="007628D8">
        <w:rPr>
          <w:highlight w:val="yellow"/>
        </w:rPr>
        <w:t xml:space="preserve">Table </w:t>
      </w:r>
      <w:r w:rsidR="00272EF5" w:rsidRPr="006208D8">
        <w:rPr>
          <w:highlight w:val="yellow"/>
        </w:rPr>
        <w:t>S</w:t>
      </w:r>
      <w:r w:rsidR="00776B09" w:rsidRPr="00776B09">
        <w:rPr>
          <w:highlight w:val="yellow"/>
        </w:rPr>
        <w:t>3</w:t>
      </w:r>
      <w:r w:rsidR="00CF6CA1" w:rsidRPr="007628D8">
        <w:rPr>
          <w:highlight w:val="yellow"/>
        </w:rPr>
        <w:t>)</w:t>
      </w:r>
      <w:r w:rsidRPr="007628D8">
        <w:rPr>
          <w:highlight w:val="yellow"/>
        </w:rPr>
        <w:t>]</w:t>
      </w:r>
    </w:p>
    <w:p w14:paraId="573F5A1A" w14:textId="04268AD5" w:rsidR="00F8593E" w:rsidRDefault="00DD7307">
      <w:pPr>
        <w:pStyle w:val="Heading1"/>
        <w:spacing w:line="240" w:lineRule="auto"/>
      </w:pPr>
      <w:r>
        <w:t>4</w:t>
      </w:r>
      <w:r w:rsidR="00765FAE">
        <w:t>:</w:t>
      </w:r>
      <w:r>
        <w:t xml:space="preserve"> </w:t>
      </w:r>
      <w:r w:rsidR="00F8593E" w:rsidRPr="00891FE6">
        <w:t>Discussion</w:t>
      </w:r>
    </w:p>
    <w:p w14:paraId="6DC64564" w14:textId="6396E19A" w:rsidR="001E1442" w:rsidRDefault="006A4B08" w:rsidP="002C20EB">
      <w:pPr>
        <w:pStyle w:val="BodyText"/>
        <w:tabs>
          <w:tab w:val="left" w:pos="6189"/>
        </w:tabs>
      </w:pPr>
      <w:bookmarkStart w:id="7" w:name="tables"/>
      <w:r>
        <w:t>Consistent with a recent meta-analysis identifying environmental heterogeneity as a universal driver of species richness</w:t>
      </w:r>
      <w:r w:rsidR="00DD5CB7">
        <w:t xml:space="preserve"> </w:t>
      </w:r>
      <w:r w:rsidR="00DD5CB7">
        <w:fldChar w:fldCharType="begin" w:fldLock="1"/>
      </w:r>
      <w:r w:rsidR="002A7F32">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Gerstner, &amp; Kreft, 2014)","plainTextFormattedCitation":"(Stein, Gerstner, &amp; Kreft, 2014)","previouslyFormattedCitation":"(Stein, Gerstner, &amp; Kreft, 2014)"},"properties":{"noteIndex":0},"schema":"https://github.com/citation-style-language/schema/raw/master/csl-citation.json"}</w:instrText>
      </w:r>
      <w:r w:rsidR="00DD5CB7">
        <w:fldChar w:fldCharType="separate"/>
      </w:r>
      <w:r w:rsidR="00DD5CB7" w:rsidRPr="00DD5CB7">
        <w:rPr>
          <w:noProof/>
        </w:rPr>
        <w:t>(Stein, Gerstner, &amp; Kreft, 2014)</w:t>
      </w:r>
      <w:r w:rsidR="00DD5CB7">
        <w:fldChar w:fldCharType="end"/>
      </w:r>
      <w:r>
        <w:t xml:space="preserve">, </w:t>
      </w:r>
      <w:r w:rsidR="00186541">
        <w:t>we found</w:t>
      </w:r>
      <w:r w:rsidR="00925DAC">
        <w:t xml:space="preserve"> heterogeneity to have a consistently positive influence on species richness in the GCFR and SWAFR.</w:t>
      </w:r>
      <w:r w:rsidR="003A63A6">
        <w:t xml:space="preserve"> </w:t>
      </w:r>
      <w:r w:rsidR="006435FF">
        <w:t xml:space="preserve">Except for the </w:t>
      </w:r>
      <w:r w:rsidR="00A2083E">
        <w:t xml:space="preserve">partial </w:t>
      </w:r>
      <w:r w:rsidR="007A7C1E">
        <w:t>coefficient</w:t>
      </w:r>
      <w:r w:rsidR="006435FF">
        <w:t>s of pH and elevation</w:t>
      </w:r>
      <w:r w:rsidR="00D839BD" w:rsidRPr="00D839BD">
        <w:t xml:space="preserve"> </w:t>
      </w:r>
      <w:r w:rsidR="00D839BD">
        <w:t>in the multiple regressions</w:t>
      </w:r>
      <w:r w:rsidR="006435FF">
        <w:t xml:space="preserve">, </w:t>
      </w:r>
      <w:r w:rsidR="006435FF" w:rsidRPr="003264AF">
        <w:rPr>
          <w:highlight w:val="red"/>
        </w:rPr>
        <w:t xml:space="preserve">which </w:t>
      </w:r>
      <w:r w:rsidR="00DB42AF" w:rsidRPr="003264AF">
        <w:rPr>
          <w:highlight w:val="red"/>
        </w:rPr>
        <w:t>a</w:t>
      </w:r>
      <w:r w:rsidR="006435FF" w:rsidRPr="003264AF">
        <w:rPr>
          <w:highlight w:val="red"/>
        </w:rPr>
        <w:t>re negative on account of their collinearity with other variables</w:t>
      </w:r>
      <w:r w:rsidR="006435FF">
        <w:t xml:space="preserve">, all </w:t>
      </w:r>
      <w:r w:rsidR="00186541">
        <w:t xml:space="preserve">significant </w:t>
      </w:r>
      <w:r w:rsidR="006435FF">
        <w:t>coefficients associated with environmental heterogeneity</w:t>
      </w:r>
      <w:r w:rsidR="002376C5">
        <w:t xml:space="preserve"> terms</w:t>
      </w:r>
      <w:r w:rsidR="006435FF">
        <w:t xml:space="preserve"> in our </w:t>
      </w:r>
      <w:r w:rsidR="00186541">
        <w:t xml:space="preserve">ANCOVA and multiple regression </w:t>
      </w:r>
      <w:r w:rsidR="006435FF">
        <w:t xml:space="preserve">models </w:t>
      </w:r>
      <w:r w:rsidR="00DB42AF">
        <w:t>a</w:t>
      </w:r>
      <w:r w:rsidR="006435FF">
        <w:t>re positive. Thus, we f</w:t>
      </w:r>
      <w:r w:rsidR="00DB42AF">
        <w:t>i</w:t>
      </w:r>
      <w:r w:rsidR="006435FF">
        <w:t xml:space="preserve">nd no evidence </w:t>
      </w:r>
      <w:r w:rsidR="00D13C71">
        <w:t>for</w:t>
      </w:r>
      <w:r w:rsidR="007A7C1E">
        <w:t xml:space="preserve"> </w:t>
      </w:r>
      <w:r w:rsidR="00D13C71">
        <w:t>the</w:t>
      </w:r>
      <w:r w:rsidR="007A7C1E">
        <w:t xml:space="preserve"> hump-backed </w:t>
      </w:r>
      <w:r w:rsidR="00D13C71">
        <w:t xml:space="preserve">response of </w:t>
      </w:r>
      <w:r w:rsidR="007A7C1E">
        <w:t xml:space="preserve">species richness </w:t>
      </w:r>
      <w:r w:rsidR="00D13C71">
        <w:t xml:space="preserve">to heterogeneity </w:t>
      </w:r>
      <w:r w:rsidR="007F0700">
        <w:t>anticipat</w:t>
      </w:r>
      <w:r w:rsidR="00D13C71">
        <w:t>ed by some authors</w:t>
      </w:r>
      <w:r w:rsidR="007A7C1E">
        <w:t xml:space="preserve"> (</w:t>
      </w:r>
      <w:r w:rsidR="007A7C1E" w:rsidRPr="00DD5CB7">
        <w:rPr>
          <w:highlight w:val="green"/>
        </w:rPr>
        <w:t>Allouche et al.</w:t>
      </w:r>
      <w:r w:rsidR="00DD5CB7">
        <w:rPr>
          <w:highlight w:val="green"/>
        </w:rPr>
        <w:t>,</w:t>
      </w:r>
      <w:r w:rsidR="007A7C1E" w:rsidRPr="00DD5CB7">
        <w:rPr>
          <w:highlight w:val="green"/>
        </w:rPr>
        <w:t xml:space="preserve"> 2012</w:t>
      </w:r>
      <w:r w:rsidR="007A7C1E">
        <w:t xml:space="preserve">; </w:t>
      </w:r>
      <w:r w:rsidR="007A7C1E" w:rsidRPr="00DD5CB7">
        <w:rPr>
          <w:highlight w:val="green"/>
        </w:rPr>
        <w:t>Carnicer et al.</w:t>
      </w:r>
      <w:r w:rsidR="00DD5CB7">
        <w:rPr>
          <w:highlight w:val="green"/>
        </w:rPr>
        <w:t>,</w:t>
      </w:r>
      <w:r w:rsidR="007A7C1E" w:rsidRPr="00DD5CB7">
        <w:rPr>
          <w:highlight w:val="green"/>
        </w:rPr>
        <w:t xml:space="preserve"> 2013</w:t>
      </w:r>
      <w:r w:rsidR="007A7C1E">
        <w:t>)</w:t>
      </w:r>
      <w:r w:rsidR="00004BFE">
        <w:t xml:space="preserve">. </w:t>
      </w:r>
      <w:r w:rsidR="002376C5">
        <w:t xml:space="preserve">Additionally, and </w:t>
      </w:r>
      <w:r w:rsidR="00670FB5">
        <w:t xml:space="preserve">also </w:t>
      </w:r>
      <w:r w:rsidR="00D13C71">
        <w:t xml:space="preserve">consistent with </w:t>
      </w:r>
      <w:r w:rsidR="00F703AD">
        <w:fldChar w:fldCharType="begin" w:fldLock="1"/>
      </w:r>
      <w:r w:rsidR="00F703AD">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F703AD">
        <w:fldChar w:fldCharType="separate"/>
      </w:r>
      <w:r w:rsidR="00F703AD" w:rsidRPr="00F703AD">
        <w:rPr>
          <w:noProof/>
        </w:rPr>
        <w:t>(Stein et al., 2014)</w:t>
      </w:r>
      <w:r w:rsidR="00F703AD">
        <w:fldChar w:fldCharType="end"/>
      </w:r>
      <w:r w:rsidR="00D13C71">
        <w:t>,</w:t>
      </w:r>
      <w:r w:rsidR="00A2083E">
        <w:t xml:space="preserve"> </w:t>
      </w:r>
      <w:r w:rsidR="00186541">
        <w:t>we f</w:t>
      </w:r>
      <w:r w:rsidR="00DB42AF">
        <w:t>i</w:t>
      </w:r>
      <w:r w:rsidR="00186541">
        <w:t>nd</w:t>
      </w:r>
      <w:r w:rsidR="002376C5">
        <w:t xml:space="preserve"> </w:t>
      </w:r>
      <w:r w:rsidR="00D839BD">
        <w:t xml:space="preserve">the strength of the heterogeneity-species richness relationship </w:t>
      </w:r>
      <w:r w:rsidR="00186541">
        <w:t xml:space="preserve">to </w:t>
      </w:r>
      <w:r w:rsidR="00FC548E">
        <w:t>assoc</w:t>
      </w:r>
      <w:r w:rsidR="00D839BD">
        <w:t>i</w:t>
      </w:r>
      <w:r w:rsidR="00FC548E">
        <w:t>ate</w:t>
      </w:r>
      <w:r w:rsidR="00186541">
        <w:t xml:space="preserve"> positively with</w:t>
      </w:r>
      <w:r w:rsidR="00D839BD" w:rsidRPr="00D839BD">
        <w:t xml:space="preserve"> </w:t>
      </w:r>
      <w:r w:rsidR="00D839BD">
        <w:t>spatial scale (grain)</w:t>
      </w:r>
      <w:r w:rsidR="001E1442">
        <w:t xml:space="preserve">, </w:t>
      </w:r>
      <w:r w:rsidR="0090296A">
        <w:t xml:space="preserve">as evidenced by that fact that </w:t>
      </w:r>
      <w:r w:rsidR="001E1442">
        <w:t xml:space="preserve">the coefficients of determination associated with </w:t>
      </w:r>
      <w:r w:rsidR="00186541">
        <w:t>our ANCOVA and multiple regression models</w:t>
      </w:r>
      <w:r w:rsidR="001E1442">
        <w:t xml:space="preserve"> </w:t>
      </w:r>
      <w:r w:rsidR="0090296A">
        <w:t>were</w:t>
      </w:r>
      <w:r w:rsidR="00186541">
        <w:t xml:space="preserve"> greatest at the DS-scale and smallest at the QDS-scale.</w:t>
      </w:r>
      <w:r w:rsidR="002376C5">
        <w:t xml:space="preserve"> </w:t>
      </w:r>
      <w:r w:rsidR="00C85C59">
        <w:t xml:space="preserve">One </w:t>
      </w:r>
      <w:r w:rsidR="001F0A16">
        <w:t>possible</w:t>
      </w:r>
      <w:r w:rsidR="000A7820">
        <w:t xml:space="preserve"> </w:t>
      </w:r>
      <w:r w:rsidR="00C85C59">
        <w:t>explanation of</w:t>
      </w:r>
      <w:r w:rsidR="000A7820">
        <w:t xml:space="preserve"> t</w:t>
      </w:r>
      <w:r w:rsidR="00A22281">
        <w:t>his effect</w:t>
      </w:r>
      <w:r w:rsidR="00C85C59">
        <w:t xml:space="preserve"> is</w:t>
      </w:r>
      <w:r w:rsidR="00485517">
        <w:t xml:space="preserve"> </w:t>
      </w:r>
      <w:r w:rsidR="000A7820">
        <w:t xml:space="preserve">the </w:t>
      </w:r>
      <w:r w:rsidR="00A57067">
        <w:t>fact</w:t>
      </w:r>
      <w:r w:rsidR="000A7820">
        <w:t xml:space="preserve"> </w:t>
      </w:r>
      <w:r w:rsidR="00485517">
        <w:t xml:space="preserve">that larger </w:t>
      </w:r>
      <w:r w:rsidR="00A22281">
        <w:t>areas</w:t>
      </w:r>
      <w:r w:rsidR="00485517">
        <w:t xml:space="preserve"> </w:t>
      </w:r>
      <w:r w:rsidR="00213749">
        <w:t>accommodate</w:t>
      </w:r>
      <w:r w:rsidR="00485517">
        <w:t xml:space="preserve"> more </w:t>
      </w:r>
      <w:r w:rsidR="00213749">
        <w:t xml:space="preserve">environmental </w:t>
      </w:r>
      <w:r w:rsidR="00485517">
        <w:t>variability</w:t>
      </w:r>
      <w:r w:rsidR="001F0A16">
        <w:t xml:space="preserve"> </w:t>
      </w:r>
      <w:r w:rsidR="002A7F32">
        <w:fldChar w:fldCharType="begin" w:fldLock="1"/>
      </w:r>
      <w:r w:rsidR="00DB4E25">
        <w:instrText>ADDIN CSL_CITATION {"citationItems":[{"id":"ITEM-1","itemData":{"DOI":"10.1111/jbi.13625","ISSN":"13652699","abstract":"Aim: Fragmented distributions should show immigration and diversification dynamics consistent with the predictions of island biogeography theory. We test whether this applies to the fragmented Cape fynbos vegetation. Location: Southern Africa, Cape Floristic Region (CFR). Taxon: Angiosperms, Restionaceae (restios). Methods: We used a large occurrence dataset and environmental layers to characterize an existing regionalization and the intervals between the regions ecologically and spatially. We extended the available phylogeny for restios and inferred their historical biogeography using models implemented in BioGeoBEARS. We then measured the relative contribution of immigration and in situ speciation to the species richness of each region within the CFR. We used standard statistical methods to test the predictions of the island biogeography theory. Results: The area and environmental heterogeneity of the seven regions of the CFR are positively correlated with in situ speciation rate. Furthermore, more isolated areas, and areas colonized more recently, have proportionally higher immigration rates, and more central and older areas proportionally higher in situ speciation rates. Main conclusions: The variation in immigration and diversification dynamics among the regions within the CFR is extensive and consistent with the archipelago model of island biography theory. This dynamic may contribute significantly to the diversity of the Cape flora. Such a model could be generally useful for understanding the generation and maintenance of diversity in biodiversity hotspots, and may even scale up to explain continental biodiversity.","author":[{"dropping-particle":"","family":"Wüest","given":"Rafael O.","non-dropping-particle":"","parse-names":false,"suffix":""},{"dropping-particle":"","family":"Boucher","given":"Florian C.","non-dropping-particle":"","parse-names":false,"suffix":""},{"dropping-particle":"","family":"Bouchenak-Khelladi","given":"Yanis","non-dropping-particle":"","parse-names":false,"suffix":""},{"dropping-particle":"","family":"Karger","given":"Dirk N.","non-dropping-particle":"","parse-names":false,"suffix":""},{"dropping-particle":"","family":"Linder","given":"H. Peter","non-dropping-particle":"","parse-names":false,"suffix":""}],"container-title":"Journal of Biogeography","id":"ITEM-1","issue":"9","issued":{"date-parts":[["2019"]]},"page":"1936-1947","title":"Dissecting biodiversity in a global hotspot: Uneven dynamics of immigration and diversification within the Cape Floristic Region of South Africa","type":"article-journal","volume":"46"},"uris":["http://www.mendeley.com/documents/?uuid=76c529f6-8858-45ca-9bd2-4db8ca3e1ea7"]}],"mendeley":{"formattedCitation":"(Wüest, Boucher, Bouchenak-Khelladi, Karger, &amp; Linder, 2019)","plainTextFormattedCitation":"(Wüest, Boucher, Bouchenak-Khelladi, Karger, &amp; Linder, 2019)","previouslyFormattedCitation":"(Wüest, Boucher, Bouchenak-Khelladi, Karger, &amp; Linder, 2019)"},"properties":{"noteIndex":0},"schema":"https://github.com/citation-style-language/schema/raw/master/csl-citation.json"}</w:instrText>
      </w:r>
      <w:r w:rsidR="002A7F32">
        <w:fldChar w:fldCharType="separate"/>
      </w:r>
      <w:r w:rsidR="002A7F32" w:rsidRPr="002A7F32">
        <w:rPr>
          <w:noProof/>
        </w:rPr>
        <w:t>(Wüest, Boucher, Bouchenak-Khelladi, Karger, &amp; Linder, 2019)</w:t>
      </w:r>
      <w:r w:rsidR="002A7F32">
        <w:fldChar w:fldCharType="end"/>
      </w:r>
      <w:r w:rsidR="001F0A16">
        <w:t xml:space="preserve">, </w:t>
      </w:r>
      <w:r w:rsidR="00485517">
        <w:t xml:space="preserve">and so facilitate stronger heterogeneity-species richness relationships </w:t>
      </w:r>
      <w:r w:rsidR="0090330E">
        <w:fldChar w:fldCharType="begin" w:fldLock="1"/>
      </w:r>
      <w:r w:rsidR="009F4954">
        <w:instrText>ADDIN CSL_CITATION {"citationItems":[{"id":"ITEM-1","itemData":{"DOI":"10.1086/339464","ISBN":"00030147 (ISSN)","ISSN":"0003-0147","PMID":"18707437","abstract":"Energy and habitat heterogeneity are important correlates of spatial variation in species richness, though few investigations have sought to determine simultaneously their relative influences. Here we use the South African avifauna to examine the extent to which species richness is related to these variables and how these relationships depend on spatial grain. Taking spatial autocorrelation and area effects into account, we find that primary productivity, precipitation, absolute minimum temperature, and, at coarser resolutions, habitat heterogeneity account for most of the variation in species richness. Species richness and productivity are positively related, whereas the relationship between potential evapotranspiration (PET) and richness is unimodal. This is largely because of the constraining effects of low rainfall on productivity in high-PET areas. The increase in the importance of vegetation heterogeneity as an explanatory variable is caused largely by an increase in the range of vegetation heterogeneity included at coarse resolutions and is probably also a result of the positive effects of environmental heterogeneity on species richness. Our findings indicate that species richness is correlated with, and hence likely a function of, several variables, that spatial resolution and extent must be taken into account during investigations of these relationships, and that surrogate measures for productivity should be interpreted cautiously.","author":[{"dropping-particle":"","family":"Rensburg","given":"B. J.","non-dropping-particle":"van","parse-names":false,"suffix":""},{"dropping-particle":"","family":"Chown","given":"S. L.","non-dropping-particle":"","parse-names":false,"suffix":""},{"dropping-particle":"","family":"Gaston","given":"K. J.","non-dropping-particle":"","parse-names":false,"suffix":""}],"container-title":"The American Naturalist","id":"ITEM-1","issue":"5","issued":{"date-parts":[["2002","5"]]},"page":"566-577","title":"Species richness, environmental correlates, and spatial scale: a test esing South African birds","type":"article-journal","volume":"159"},"uris":["http://www.mendeley.com/documents/?uuid=6211fb34-0458-4f45-b038-0598983c6d64"]}],"mendeley":{"formattedCitation":"(van Rensburg, Chown, &amp; Gaston, 2002)","manualFormatting":"(Van Rensburg, Chown, &amp; Gaston, 2002)","plainTextFormattedCitation":"(van Rensburg, Chown, &amp; Gaston, 2002)","previouslyFormattedCitation":"(van Rensburg, Chown, &amp; Gaston, 2002)"},"properties":{"noteIndex":0},"schema":"https://github.com/citation-style-language/schema/raw/master/csl-citation.json"}</w:instrText>
      </w:r>
      <w:r w:rsidR="0090330E">
        <w:fldChar w:fldCharType="separate"/>
      </w:r>
      <w:r w:rsidR="0090330E" w:rsidRPr="0090330E">
        <w:rPr>
          <w:noProof/>
        </w:rPr>
        <w:t>(</w:t>
      </w:r>
      <w:r w:rsidR="00E4577F">
        <w:rPr>
          <w:noProof/>
        </w:rPr>
        <w:t>V</w:t>
      </w:r>
      <w:r w:rsidR="0090330E" w:rsidRPr="0090330E">
        <w:rPr>
          <w:noProof/>
        </w:rPr>
        <w:t>an Rensburg, Chown, &amp; Gaston, 2002)</w:t>
      </w:r>
      <w:r w:rsidR="0090330E">
        <w:fldChar w:fldCharType="end"/>
      </w:r>
      <w:r w:rsidR="000A7820">
        <w:t>.</w:t>
      </w:r>
      <w:r w:rsidR="00670FB5">
        <w:t xml:space="preserve"> </w:t>
      </w:r>
      <w:r w:rsidR="000A7820">
        <w:t>I</w:t>
      </w:r>
      <w:r w:rsidR="00B24543">
        <w:t>n speciation hotspot</w:t>
      </w:r>
      <w:r w:rsidR="00D839BD">
        <w:t>s</w:t>
      </w:r>
      <w:r w:rsidR="00B24543">
        <w:t xml:space="preserve"> like the GCFR </w:t>
      </w:r>
      <w:r w:rsidR="00A22281">
        <w:t xml:space="preserve">or the SWAFR, </w:t>
      </w:r>
      <w:r w:rsidR="000A7820">
        <w:t>however, a</w:t>
      </w:r>
      <w:r w:rsidR="00C85C59">
        <w:t>n</w:t>
      </w:r>
      <w:r w:rsidR="000A7820">
        <w:t xml:space="preserve"> important </w:t>
      </w:r>
      <w:r w:rsidR="00C85C59">
        <w:t xml:space="preserve">additional </w:t>
      </w:r>
      <w:r w:rsidR="000A7820">
        <w:t xml:space="preserve">consideration </w:t>
      </w:r>
      <w:r w:rsidR="00C85C59">
        <w:t>is</w:t>
      </w:r>
      <w:r w:rsidR="000A7820">
        <w:t xml:space="preserve"> the </w:t>
      </w:r>
      <w:r w:rsidR="00A22281">
        <w:t xml:space="preserve">spatial scale of speciation </w:t>
      </w:r>
      <w:r w:rsidR="00F703AD">
        <w:fldChar w:fldCharType="begin" w:fldLock="1"/>
      </w:r>
      <w:r w:rsidR="004915CE">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F703AD">
        <w:fldChar w:fldCharType="separate"/>
      </w:r>
      <w:r w:rsidR="00F703AD" w:rsidRPr="00F703AD">
        <w:rPr>
          <w:noProof/>
        </w:rPr>
        <w:t>(Stein et al., 2014)</w:t>
      </w:r>
      <w:r w:rsidR="00F703AD">
        <w:fldChar w:fldCharType="end"/>
      </w:r>
      <w:r w:rsidR="00D839BD">
        <w:t>, with the stronger coupling of species richness</w:t>
      </w:r>
      <w:r w:rsidR="003617CF">
        <w:t xml:space="preserve"> to heterogeneity </w:t>
      </w:r>
      <w:r w:rsidR="000A7820">
        <w:t xml:space="preserve">at the DS-scale </w:t>
      </w:r>
      <w:r w:rsidR="00C85C59">
        <w:t xml:space="preserve">possibly </w:t>
      </w:r>
      <w:r w:rsidR="00D839BD">
        <w:t>arising</w:t>
      </w:r>
      <w:r w:rsidR="003617CF">
        <w:t xml:space="preserve"> because </w:t>
      </w:r>
      <w:r w:rsidR="00C85C59">
        <w:t>the DS, in contrast to the QDS and HDS,</w:t>
      </w:r>
      <w:r w:rsidR="00BE7B44">
        <w:t xml:space="preserve"> </w:t>
      </w:r>
      <w:r w:rsidR="003617CF">
        <w:t>is sufficiently large</w:t>
      </w:r>
      <w:r w:rsidR="00D13C71">
        <w:t xml:space="preserve"> </w:t>
      </w:r>
      <w:r w:rsidR="00BE7B44">
        <w:t xml:space="preserve">to </w:t>
      </w:r>
      <w:r w:rsidR="00896B4A">
        <w:t>capture</w:t>
      </w:r>
      <w:r w:rsidR="00BE7B44">
        <w:t xml:space="preserve"> allopatric speci</w:t>
      </w:r>
      <w:r w:rsidR="00C85C59">
        <w:t>ation processes</w:t>
      </w:r>
      <w:r w:rsidR="00BE7B44">
        <w:t>.</w:t>
      </w:r>
      <w:r w:rsidR="00FC5FCB">
        <w:t xml:space="preserve"> </w:t>
      </w:r>
      <w:r w:rsidR="00FC5FCB" w:rsidRPr="00FC5FCB">
        <w:rPr>
          <w:highlight w:val="yellow"/>
        </w:rPr>
        <w:t xml:space="preserve">[Mike: </w:t>
      </w:r>
      <w:r w:rsidR="00FC5FCB" w:rsidRPr="00FC5FCB">
        <w:rPr>
          <w:highlight w:val="yellow"/>
        </w:rPr>
        <w:t>I am not at all convinced by this argument. Isn’t this just a necessary consequence of data aggregation?</w:t>
      </w:r>
      <w:r w:rsidR="00FC5FCB" w:rsidRPr="00FC5FCB">
        <w:rPr>
          <w:highlight w:val="yellow"/>
        </w:rPr>
        <w:t>]</w:t>
      </w:r>
    </w:p>
    <w:p w14:paraId="3B792383" w14:textId="27C0FFEE" w:rsidR="00E3070E" w:rsidRDefault="0016731D" w:rsidP="00E3070E">
      <w:pPr>
        <w:pStyle w:val="BodyText"/>
        <w:tabs>
          <w:tab w:val="left" w:pos="6189"/>
        </w:tabs>
      </w:pPr>
      <w:r>
        <w:t>The</w:t>
      </w:r>
      <w:r w:rsidR="001E1442">
        <w:t xml:space="preserve"> observation that species richness </w:t>
      </w:r>
      <w:r w:rsidR="004F61BD">
        <w:t>r</w:t>
      </w:r>
      <w:r w:rsidR="005048A3">
        <w:t xml:space="preserve">esponds to environmental heterogeneity in </w:t>
      </w:r>
      <w:r w:rsidR="00B53C15">
        <w:t>a uniform</w:t>
      </w:r>
      <w:r w:rsidR="005048A3">
        <w:t xml:space="preserve"> manner </w:t>
      </w:r>
      <w:r w:rsidR="001E1442">
        <w:t>across the GCFR and SWAFR</w:t>
      </w:r>
      <w:r w:rsidR="005048A3">
        <w:t xml:space="preserve"> </w:t>
      </w:r>
      <w:r w:rsidR="00A342A8">
        <w:t>or</w:t>
      </w:r>
      <w:r w:rsidR="00BB20AD">
        <w:t xml:space="preserve"> at least</w:t>
      </w:r>
      <w:r w:rsidR="00B26384">
        <w:t>, where this is not the case,</w:t>
      </w:r>
      <w:r w:rsidR="005048A3">
        <w:t xml:space="preserve"> </w:t>
      </w:r>
      <w:r w:rsidR="004F61BD">
        <w:t xml:space="preserve">that </w:t>
      </w:r>
      <w:r w:rsidR="005048A3">
        <w:t>regional differences in the form of the richness-heterogeneity relationship are subtle, suggests that the greater vascular plant species richness of the GCFR</w:t>
      </w:r>
      <w:r w:rsidR="001E1442">
        <w:t xml:space="preserve"> </w:t>
      </w:r>
      <w:r w:rsidR="005048A3">
        <w:t xml:space="preserve">is partly attributable to </w:t>
      </w:r>
      <w:r w:rsidR="00A342A8">
        <w:t>the</w:t>
      </w:r>
      <w:r w:rsidR="005048A3">
        <w:t xml:space="preserve"> greater physiographic heterogeneity</w:t>
      </w:r>
      <w:r w:rsidR="00A342A8">
        <w:t xml:space="preserve"> of this region</w:t>
      </w:r>
      <w:r w:rsidR="005048A3">
        <w:t>.</w:t>
      </w:r>
      <w:r w:rsidR="00B26384">
        <w:t xml:space="preserve"> As noted by </w:t>
      </w:r>
      <w:r w:rsidR="00DB4E25">
        <w:fldChar w:fldCharType="begin" w:fldLock="1"/>
      </w:r>
      <w:r w:rsidR="00A353A2">
        <w:instrText>ADDIN CSL_CITATION {"citationItems":[{"id":"ITEM-1","itemData":{"DOI":"10.1111/jbi.12429","ISSN":"13652699","abstract":"Aim: Although all five of the major mediterranean-climate ecosystems (MCEs) of the world are recognized as loci of high plant species diversity and endemism, they show considerable variation in regional-scale richness. Here, we assess the role of stable Pleistocene climate and Cenozoic topography in explaining variation in regional richness of the globe's MCEs. We hypothesize that older, more climatically stable MCEs would support more species, because they have had more time for species to accumulate than MCEs that were historically subject to greater topographic upheavals and fluctuating climates. Location: South-western Africa (Cape), south-western Australia, California, central Chile and the eastern (Greece) and western (Spain) Mediterranean Basin. Methods: We estimated plant diversity for each MCE as the intercepts of species-area curves that are homogeneous in slope across all regions. We used two down-scaled global circulation models of the Last Glacial Maximum (LGM) to quantify climate stability by comparing the change in the location of MCEs between the LGM and present. We quantified the Cenozoic topographic stability of each MCE by comparing contemporary topographic profiles with those present in the late Oligocene and the early Pliocene. Results: The most diverse MCEs - Cape and Australia - had the highest Cenozoic environmental stability, and the least diverse - Chile and California - had the lowest stability. Main conclusions: Variation in plant diversity in MCEs is likely to be a consequence not of differences in diversification rates, but rather the persistence of numerous pre-Pliocene clades in the more stable MCEs. The extraordinary plant diversity of the Cape is a consequence of the combined effects of both mature and recent radiations, the latter associated with increased habitat heterogeneity produced by mild tectonic uplift in the Neogene.","author":[{"dropping-particle":"","family":"Cowling","given":"Richard M.","non-dropping-particle":"","parse-names":false,"suffix":""},{"dropping-particle":"","family":"Potts","given":"Alastair J.","non-dropping-particle":"","parse-names":false,"suffix":""},{"dropping-particle":"","family":"Bradshaw","given":"Peter L.","non-dropping-particle":"","parse-names":false,"suffix":""},{"dropping-particle":"","family":"Colville","given":"Jonathan","non-dropping-particle":"","parse-names":false,"suffix":""},{"dropping-particle":"","family":"Arianoutsou","given":"Margarita","non-dropping-particle":"","parse-names":false,"suffix":""},{"dropping-particle":"","family":"Ferrier","given":"Simon","non-dropping-particle":"","parse-names":false,"suffix":""},{"dropping-particle":"","family":"Forest","given":"Felix","non-dropping-particle":"","parse-names":false,"suffix":""},{"dropping-particle":"","family":"Fyllas","given":"Nikolaos M.","non-dropping-particle":"","parse-names":false,"suffix":""},{"dropping-particle":"","family":"Hopper","given":"Stephen D.","non-dropping-particle":"","parse-names":false,"suffix":""},{"dropping-particle":"","family":"Ojeda","given":"Fernando","non-dropping-particle":"","parse-names":false,"suffix":""},{"dropping-particle":"","family":"Procheş","given":"Şerban","non-dropping-particle":"","parse-names":false,"suffix":""},{"dropping-particle":"","family":"Smith","given":"Rhian J.","non-dropping-particle":"","parse-names":false,"suffix":""},{"dropping-particle":"","family":"Rundel","given":"Philip W.","non-dropping-particle":"","parse-names":false,"suffix":""},{"dropping-particle":"","family":"Vassilakis","given":"Emmanuel","non-dropping-particle":"","parse-names":false,"suffix":""},{"dropping-particle":"","family":"Zutta","given":"Brian R.","non-dropping-particle":"","parse-names":false,"suffix":""}],"container-title":"Journal of Biogeography","id":"ITEM-1","issue":"3","issued":{"date-parts":[["2015"]]},"page":"552-564","title":"Variation in plant diversity in mediterranean-climate ecosystems: The role of climatic and topographical stability","type":"article-journal","volume":"42"},"uris":["http://www.mendeley.com/documents/?uuid=2a5795b3-829e-4401-a432-202f2b308b7d"]}],"mendeley":{"formattedCitation":"(Richard M. Cowling et al., 2015)","manualFormatting":"Cowling et al. (2015)","plainTextFormattedCitation":"(Richard M. Cowling et al., 2015)","previouslyFormattedCitation":"(Richard M. Cowling et al., 2015)"},"properties":{"noteIndex":0},"schema":"https://github.com/citation-style-language/schema/raw/master/csl-citation.json"}</w:instrText>
      </w:r>
      <w:r w:rsidR="00DB4E25">
        <w:fldChar w:fldCharType="separate"/>
      </w:r>
      <w:r w:rsidR="00DB4E25" w:rsidRPr="00DB4E25">
        <w:rPr>
          <w:noProof/>
        </w:rPr>
        <w:t xml:space="preserve">Cowling et al. </w:t>
      </w:r>
      <w:r w:rsidR="00DB4E25">
        <w:rPr>
          <w:noProof/>
        </w:rPr>
        <w:t>(</w:t>
      </w:r>
      <w:r w:rsidR="00DB4E25" w:rsidRPr="00DB4E25">
        <w:rPr>
          <w:noProof/>
        </w:rPr>
        <w:t>2015)</w:t>
      </w:r>
      <w:r w:rsidR="00DB4E25">
        <w:fldChar w:fldCharType="end"/>
      </w:r>
      <w:r w:rsidR="00DB4E25">
        <w:t xml:space="preserve"> </w:t>
      </w:r>
      <w:r w:rsidR="00B26384">
        <w:t>the lower heterogeneity of SWAFR, both now and during the Tertiary, would have constrained opportunities for radiation</w:t>
      </w:r>
      <w:r w:rsidR="00E3070E">
        <w:t>, thereby</w:t>
      </w:r>
      <w:r w:rsidR="00B26384">
        <w:t xml:space="preserve"> produc</w:t>
      </w:r>
      <w:r w:rsidR="00E3070E">
        <w:t>ing</w:t>
      </w:r>
      <w:r w:rsidR="00B26384">
        <w:t xml:space="preserve"> a flora that is generally less diverse. </w:t>
      </w:r>
      <w:r w:rsidR="00E3070E">
        <w:t>In addition, the greater heterogeneity of the GCFR might facilitate denser species packing, through the provision of greater niche diversity, at a range of scales (</w:t>
      </w:r>
      <w:r w:rsidR="00E3070E" w:rsidRPr="00284163">
        <w:rPr>
          <w:highlight w:val="yellow"/>
        </w:rPr>
        <w:t>refs</w:t>
      </w:r>
      <w:r w:rsidR="00E3070E">
        <w:t xml:space="preserve">). </w:t>
      </w:r>
      <w:r w:rsidR="00B00A94">
        <w:t>O</w:t>
      </w:r>
      <w:r w:rsidR="00E3070E">
        <w:t xml:space="preserve">ur </w:t>
      </w:r>
      <w:r w:rsidR="000804E8">
        <w:t xml:space="preserve">data </w:t>
      </w:r>
      <w:r w:rsidR="00E3070E">
        <w:t>reveal</w:t>
      </w:r>
      <w:r w:rsidR="00B26384">
        <w:t xml:space="preserve"> </w:t>
      </w:r>
      <w:r w:rsidR="00E3070E">
        <w:t xml:space="preserve">that, despite </w:t>
      </w:r>
      <w:r w:rsidR="004F61BD">
        <w:t>its</w:t>
      </w:r>
      <w:r w:rsidR="00B00A94">
        <w:t xml:space="preserve"> </w:t>
      </w:r>
      <w:r w:rsidR="00E3070E">
        <w:t xml:space="preserve">significantly </w:t>
      </w:r>
      <w:r w:rsidR="00B00A94">
        <w:t>greater</w:t>
      </w:r>
      <w:r w:rsidR="004F61BD">
        <w:t xml:space="preserve"> DS-scale</w:t>
      </w:r>
      <w:r w:rsidR="00B00A94">
        <w:t xml:space="preserve"> species richness</w:t>
      </w:r>
      <w:r w:rsidR="00E3070E">
        <w:t>, the</w:t>
      </w:r>
      <w:r w:rsidR="00B00A94">
        <w:t xml:space="preserve"> GCFR does not </w:t>
      </w:r>
      <w:r w:rsidR="003252BC">
        <w:t>have significantly greater</w:t>
      </w:r>
      <w:r w:rsidR="00B00A94">
        <w:t xml:space="preserve"> </w:t>
      </w:r>
      <w:r w:rsidR="003252BC">
        <w:t xml:space="preserve">QDS- and HDS-scale species richness than </w:t>
      </w:r>
      <w:r w:rsidR="00B00A94">
        <w:t xml:space="preserve">the SWAFR. This </w:t>
      </w:r>
      <w:r w:rsidR="008B5685">
        <w:t>pattern</w:t>
      </w:r>
      <w:r w:rsidR="00BB20AD">
        <w:t>, which reflects</w:t>
      </w:r>
      <w:r w:rsidR="004F61BD">
        <w:t xml:space="preserve"> higher </w:t>
      </w:r>
      <w:r w:rsidR="00BB20AD">
        <w:t xml:space="preserve">rates of </w:t>
      </w:r>
      <w:r w:rsidR="00274581">
        <w:t xml:space="preserve">QDS- and HDS-scale </w:t>
      </w:r>
      <w:r w:rsidR="00BB20AD">
        <w:t xml:space="preserve">species turnover </w:t>
      </w:r>
      <w:r w:rsidR="00274581">
        <w:t>in the GCFR</w:t>
      </w:r>
      <w:r w:rsidR="00BB20AD">
        <w:t xml:space="preserve">, implies </w:t>
      </w:r>
      <w:r w:rsidR="007149DA">
        <w:t xml:space="preserve">a greater role for dispersal limitation and </w:t>
      </w:r>
      <w:r w:rsidR="00BB20AD">
        <w:t xml:space="preserve">local </w:t>
      </w:r>
      <w:r w:rsidR="007149DA">
        <w:t>species differentiation</w:t>
      </w:r>
      <w:r w:rsidR="009A709A">
        <w:t xml:space="preserve"> in </w:t>
      </w:r>
      <w:r w:rsidR="0072106C">
        <w:t>driving</w:t>
      </w:r>
      <w:r w:rsidR="009A709A">
        <w:t xml:space="preserve"> high DS-scale richness</w:t>
      </w:r>
      <w:r w:rsidR="007149DA">
        <w:t xml:space="preserve"> </w:t>
      </w:r>
      <w:r w:rsidR="0072106C">
        <w:t>in the Cape. This interpretation is consistent with evidence for a much high</w:t>
      </w:r>
      <w:r w:rsidR="0058677B">
        <w:t>er</w:t>
      </w:r>
      <w:r w:rsidR="0072106C">
        <w:t xml:space="preserve"> frequency of single-site endemic taxa in the Cape than in the Australian flora</w:t>
      </w:r>
      <w:r w:rsidR="002D7223">
        <w:t xml:space="preserve"> </w:t>
      </w:r>
      <w:r w:rsidR="002D7223">
        <w:fldChar w:fldCharType="begin" w:fldLock="1"/>
      </w:r>
      <w:r w:rsidR="00B1381E">
        <w:instrText>ADDIN CSL_CITATION {"citationItems":[{"id":"ITEM-1","itemData":{"DOI":"10.1111/jbi.13709","ISSN":"0305-0270","author":[{"dropping-particle":"","family":"Linder","given":"Hans Peter","non-dropping-particle":"","parse-names":false,"suffix":""}],"container-title":"Journal of Biogeography","id":"ITEM-1","issued":{"date-parts":[["2019","9","27"]]},"page":"1-14","title":"Rare species, Restionaceae, and the Cape flora","type":"article-journal"},"uris":["http://www.mendeley.com/documents/?uuid=aa169c93-affb-4734-9e23-fdf28ce77f13"]}],"mendeley":{"formattedCitation":"(Linder, 2019)","plainTextFormattedCitation":"(Linder, 2019)","previouslyFormattedCitation":"(Linder, 2019)"},"properties":{"noteIndex":0},"schema":"https://github.com/citation-style-language/schema/raw/master/csl-citation.json"}</w:instrText>
      </w:r>
      <w:r w:rsidR="002D7223">
        <w:fldChar w:fldCharType="separate"/>
      </w:r>
      <w:r w:rsidR="002D7223" w:rsidRPr="002D7223">
        <w:rPr>
          <w:noProof/>
        </w:rPr>
        <w:t>(Linder, 2019)</w:t>
      </w:r>
      <w:r w:rsidR="002D7223">
        <w:fldChar w:fldCharType="end"/>
      </w:r>
      <w:r w:rsidR="0072106C">
        <w:t>.</w:t>
      </w:r>
    </w:p>
    <w:p w14:paraId="2B259CB7" w14:textId="00414463" w:rsidR="00DE487A" w:rsidRDefault="005F5881" w:rsidP="00E3070E">
      <w:pPr>
        <w:pStyle w:val="BodyText"/>
        <w:tabs>
          <w:tab w:val="left" w:pos="6189"/>
        </w:tabs>
      </w:pPr>
      <w:r>
        <w:t xml:space="preserve">Although </w:t>
      </w:r>
      <w:r w:rsidR="00653FBE">
        <w:t xml:space="preserve">our data </w:t>
      </w:r>
      <w:r w:rsidR="001F48A1">
        <w:t xml:space="preserve">confirm </w:t>
      </w:r>
      <w:r w:rsidR="0029777A">
        <w:t>a broad</w:t>
      </w:r>
      <w:r w:rsidR="001F48A1">
        <w:t xml:space="preserve"> dependence of</w:t>
      </w:r>
      <w:r w:rsidR="00653FBE">
        <w:t xml:space="preserve"> </w:t>
      </w:r>
      <w:r w:rsidR="003362FE">
        <w:t xml:space="preserve">GCFR and SWAFR plant </w:t>
      </w:r>
      <w:r>
        <w:t xml:space="preserve">species richness </w:t>
      </w:r>
      <w:r w:rsidR="001F48A1">
        <w:t>on</w:t>
      </w:r>
      <w:r w:rsidR="000C6E98">
        <w:t xml:space="preserve"> </w:t>
      </w:r>
      <w:r>
        <w:t xml:space="preserve">environmental heterogeneity, as defined by the nine environmental variables examined, </w:t>
      </w:r>
      <w:r w:rsidR="007B1FA8">
        <w:t xml:space="preserve">the generally low coefficients of determination associated with these relationships indicate </w:t>
      </w:r>
      <w:r w:rsidR="00653FBE">
        <w:t xml:space="preserve">a </w:t>
      </w:r>
      <w:r w:rsidR="008B5685">
        <w:t>role for other</w:t>
      </w:r>
      <w:r w:rsidR="007B1FA8">
        <w:t xml:space="preserve"> factors.</w:t>
      </w:r>
      <w:r w:rsidR="00B461C6">
        <w:t xml:space="preserve"> </w:t>
      </w:r>
      <w:r w:rsidR="00653FBE">
        <w:t>First</w:t>
      </w:r>
      <w:r w:rsidR="000C6E98">
        <w:t>ly</w:t>
      </w:r>
      <w:r w:rsidR="00653FBE">
        <w:t xml:space="preserve">, </w:t>
      </w:r>
      <w:r w:rsidR="0074652D">
        <w:t xml:space="preserve">species richness is </w:t>
      </w:r>
      <w:r w:rsidR="000C6E98">
        <w:t>almost certainly</w:t>
      </w:r>
      <w:r w:rsidR="008D30F0">
        <w:t xml:space="preserve"> influenced by </w:t>
      </w:r>
      <w:r w:rsidR="00FD7934">
        <w:t>heterogeneity</w:t>
      </w:r>
      <w:r w:rsidR="0074652D">
        <w:t xml:space="preserve"> </w:t>
      </w:r>
      <w:r w:rsidR="008D30F0">
        <w:t xml:space="preserve">in </w:t>
      </w:r>
      <w:r w:rsidR="00A234EE">
        <w:t>other</w:t>
      </w:r>
      <w:r w:rsidR="000C6E98">
        <w:t xml:space="preserve"> </w:t>
      </w:r>
      <w:r w:rsidR="008D30F0">
        <w:lastRenderedPageBreak/>
        <w:t>environmental variables</w:t>
      </w:r>
      <w:r w:rsidR="000C6E98">
        <w:t xml:space="preserve">, some of which </w:t>
      </w:r>
      <w:r w:rsidR="00A234EE">
        <w:t xml:space="preserve">may </w:t>
      </w:r>
      <w:r w:rsidR="001F48A1">
        <w:t xml:space="preserve">vary at spatial scales beyond the resolution of </w:t>
      </w:r>
      <w:r w:rsidR="003362FE">
        <w:t>available</w:t>
      </w:r>
      <w:r w:rsidR="001F48A1">
        <w:t xml:space="preserve"> environmental layers. </w:t>
      </w:r>
      <w:r w:rsidR="00067982">
        <w:fldChar w:fldCharType="begin" w:fldLock="1"/>
      </w:r>
      <w:r w:rsidR="008A6247">
        <w:instrText>ADDIN CSL_CITATION {"citationItems":[{"id":"ITEM-1","itemData":{"author":[{"dropping-particle":"","family":"Cramer","given":"Michael D.","non-dropping-particle":"","parse-names":false,"suffix":""},{"dropping-particle":"","family":"Wootton","given":"Lara M.","non-dropping-particle":"","parse-names":false,"suffix":""},{"dropping-particle":"","family":"Mazijk","given":"Ruan","non-dropping-particle":"van","parse-names":false,"suffix":""},{"dropping-particle":"","family":"Verboom","given":"George Anthony","non-dropping-particle":"","parse-names":false,"suffix":""}],"container-title":"Diversity and Distributions","id":"ITEM-1","issue":"11","issued":{"date-parts":[["2019"]]},"page":"1736-1750","publisher":"Wiley Online Library","title":"New regionally modelled soil layers improve prediction of vegetation type relative to that based on global soil models","type":"article-journal","volume":"25"},"uris":["http://www.mendeley.com/documents/?uuid=9cbaf630-a1d2-402b-83d1-2a7ba7f05945"]}],"mendeley":{"formattedCitation":"(Cramer, Wootton, van Mazijk, &amp; Verboom, 2019)","manualFormatting":"Cramer, Wootton, van Mazijk, &amp; Verboom (2019)","plainTextFormattedCitation":"(Cramer, Wootton, van Mazijk, &amp; Verboom, 2019)","previouslyFormattedCitation":"(Cramer, Wootton, van Mazijk, &amp; Verboom, 2019)"},"properties":{"noteIndex":0},"schema":"https://github.com/citation-style-language/schema/raw/master/csl-citation.json"}</w:instrText>
      </w:r>
      <w:r w:rsidR="00067982">
        <w:fldChar w:fldCharType="separate"/>
      </w:r>
      <w:r w:rsidR="00067982" w:rsidRPr="00067982">
        <w:rPr>
          <w:noProof/>
        </w:rPr>
        <w:t xml:space="preserve">Cramer, Wootton, van Mazijk, &amp; Verboom </w:t>
      </w:r>
      <w:r w:rsidR="00067982">
        <w:rPr>
          <w:noProof/>
        </w:rPr>
        <w:t>(</w:t>
      </w:r>
      <w:r w:rsidR="00067982" w:rsidRPr="00067982">
        <w:rPr>
          <w:noProof/>
        </w:rPr>
        <w:t>2019)</w:t>
      </w:r>
      <w:r w:rsidR="00067982">
        <w:fldChar w:fldCharType="end"/>
      </w:r>
      <w:r w:rsidR="00FD7934">
        <w:t>, for example, recently highlighted the superiority of locally-modelled soil layers</w:t>
      </w:r>
      <w:r w:rsidR="008D30F0">
        <w:t xml:space="preserve">, which also </w:t>
      </w:r>
      <w:r w:rsidR="001F48A1">
        <w:t>include aspects of</w:t>
      </w:r>
      <w:r w:rsidR="008D30F0">
        <w:t xml:space="preserve"> soil chemistry,</w:t>
      </w:r>
      <w:r w:rsidR="00FD7934">
        <w:t xml:space="preserve"> as predictors of vegetation type in the GCFR,</w:t>
      </w:r>
      <w:r w:rsidR="00BD7A0C">
        <w:t xml:space="preserve"> compared with the globally-modelled layers used </w:t>
      </w:r>
      <w:r w:rsidR="003362FE">
        <w:t>in this study</w:t>
      </w:r>
      <w:r w:rsidR="00BD7A0C">
        <w:t xml:space="preserve">. Unfortunately, </w:t>
      </w:r>
      <w:r w:rsidR="0074652D">
        <w:t xml:space="preserve">we </w:t>
      </w:r>
      <w:r w:rsidR="00FD7934">
        <w:t xml:space="preserve">were unable to </w:t>
      </w:r>
      <w:r w:rsidR="00164E10">
        <w:t xml:space="preserve">make </w:t>
      </w:r>
      <w:r w:rsidR="003362FE">
        <w:t>use</w:t>
      </w:r>
      <w:r w:rsidR="00FD7934">
        <w:t xml:space="preserve"> </w:t>
      </w:r>
      <w:r w:rsidR="00164E10">
        <w:t xml:space="preserve">of </w:t>
      </w:r>
      <w:r w:rsidR="00FD7934">
        <w:t xml:space="preserve">these </w:t>
      </w:r>
      <w:r w:rsidR="008D30F0">
        <w:t>layers</w:t>
      </w:r>
      <w:r w:rsidR="00164E10">
        <w:t xml:space="preserve"> as</w:t>
      </w:r>
      <w:r w:rsidR="00FD7934">
        <w:t xml:space="preserve"> comparable </w:t>
      </w:r>
      <w:r w:rsidR="007F3925">
        <w:t>data</w:t>
      </w:r>
      <w:r w:rsidR="00FD7934">
        <w:t xml:space="preserve"> are </w:t>
      </w:r>
      <w:r w:rsidR="008D30F0">
        <w:t>lacking</w:t>
      </w:r>
      <w:r w:rsidR="00FD7934">
        <w:t xml:space="preserve"> for the SWAFR.</w:t>
      </w:r>
      <w:r w:rsidR="0074652D">
        <w:t xml:space="preserve"> </w:t>
      </w:r>
      <w:r w:rsidR="00BD7A0C">
        <w:t>I</w:t>
      </w:r>
      <w:r w:rsidR="00F06213">
        <w:t xml:space="preserve">n any </w:t>
      </w:r>
      <w:r w:rsidR="001F48A1">
        <w:t>event</w:t>
      </w:r>
      <w:r w:rsidR="00F06213">
        <w:t xml:space="preserve">, </w:t>
      </w:r>
      <w:r w:rsidR="00BD7A0C">
        <w:t>despite the</w:t>
      </w:r>
      <w:r w:rsidR="003362FE">
        <w:t xml:space="preserve"> obvious importance of soil variables</w:t>
      </w:r>
      <w:r w:rsidR="00BD7A0C">
        <w:t xml:space="preserve"> as determinants of plant distribution, </w:t>
      </w:r>
      <w:r w:rsidR="003362FE">
        <w:t xml:space="preserve">their inclusion </w:t>
      </w:r>
      <w:r w:rsidR="00F06213">
        <w:t xml:space="preserve">in broad-scale spatial modelling exercises </w:t>
      </w:r>
      <w:r w:rsidR="003362FE">
        <w:t xml:space="preserve">remains problematic </w:t>
      </w:r>
      <w:r w:rsidR="00A234EE">
        <w:t>since</w:t>
      </w:r>
      <w:r w:rsidR="00F06213">
        <w:t xml:space="preserve"> </w:t>
      </w:r>
      <w:r w:rsidR="00BD7A0C">
        <w:t xml:space="preserve">the spatial scale at which </w:t>
      </w:r>
      <w:r w:rsidR="00164E10">
        <w:t>soils</w:t>
      </w:r>
      <w:r w:rsidR="00BD7A0C">
        <w:t xml:space="preserve"> vary is typically much finer than the spatial </w:t>
      </w:r>
      <w:r w:rsidR="00164E10">
        <w:t>resolution of modelled</w:t>
      </w:r>
      <w:r w:rsidR="00BD7A0C">
        <w:t xml:space="preserve"> layers </w:t>
      </w:r>
      <w:r w:rsidR="00B1381E">
        <w:fldChar w:fldCharType="begin" w:fldLock="1"/>
      </w:r>
      <w:r w:rsidR="00B1381E">
        <w:instrText>ADDIN CSL_CITATION {"citationItems":[{"id":"ITEM-1","itemData":{"DOI":"10.1111/jbi.13104","ISSN":"03050270","abstract":"Aim: To evaluate the relative importance of climatic versus soil data when predicting species distributions for Amazonian plants and to gain understanding of potential range shifts under climate change. Location: Amazon rain forest. Methods: We produced species distribution models (SDM) at 5-km spatial resolution for 42 plant species (trees, palms, lianas, monocot herbs and ferns) using species occurrence data from herbarium records and plot-based inventories. We modelled species distribution with Bayesian logistic regression using either climate data only, soil data only or climate and soil data together to estimate their relative predictive powers. For areas defined as unsuitable to species occurrence, we mapped the difference between the suitability predictions obtained with climate-only versus soil-only models to identify regions where climate and soil might restrict species ranges independently or jointly. Results: For 40 out of the 42 species, the best models included both climate and soil predictors. The models including only soil predictors performed better than the models including only climate predictors, but we still detected a drought-sensitive response for most of the species. Edaphic conditions were predicted to restrict species occurrence in the centre, the north-west and in the north-east of Amazonia, while the climatic conditions were identified as the restricting factor in the eastern Amazonia, at the border of Roraima and Venezuela and in the Andean foothills. Main conclusions: Our results revealed that soil data are a more important predictor than climate of plant species range in Amazonia. The strong control of species ranges by edaphic features might reduce species’ abilities to track suitable climate conditions under a drought-increase scenario. Future challenges are to improve the quality of soil data and couple them with process-based models to better predict species range dynamics under climate change.","author":[{"dropping-particle":"","family":"Figueiredo","given":"Fernando O. G.","non-dropping-particle":"","parse-names":false,"suffix":""},{"dropping-particle":"","family":"Zuquim","given":"Gabriela","non-dropping-particle":"","parse-names":false,"suffix":""},{"dropping-particle":"","family":"Tuomisto","given":"Hanna","non-dropping-particle":"","parse-names":false,"suffix":""},{"dropping-particle":"","family":"Moulatlet","given":"Gabriel M.","non-dropping-particle":"","parse-names":false,"suffix":""},{"dropping-particle":"","family":"Balslev","given":"Henrik","non-dropping-particle":"","parse-names":false,"suffix":""},{"dropping-particle":"","family":"Costa","given":"Flávia R. C.","non-dropping-particle":"","parse-names":false,"suffix":""}],"container-title":"Journal of Biogeography","id":"ITEM-1","issue":"1","issued":{"date-parts":[["2018","1"]]},"page":"190-200","title":"Beyond climate control on species range: The importance of soil data to predict distribution of Amazonian plant species","type":"article-journal","volume":"45"},"uris":["http://www.mendeley.com/documents/?uuid=dd7f1cad-89e6-43c8-8af6-238a4884191b"]}],"mendeley":{"formattedCitation":"(Figueiredo et al., 2018)","plainTextFormattedCitation":"(Figueiredo et al., 2018)","previouslyFormattedCitation":"(Figueiredo et al., 2018)"},"properties":{"noteIndex":0},"schema":"https://github.com/citation-style-language/schema/raw/master/csl-citation.json"}</w:instrText>
      </w:r>
      <w:r w:rsidR="00B1381E">
        <w:fldChar w:fldCharType="separate"/>
      </w:r>
      <w:r w:rsidR="00B1381E" w:rsidRPr="00B1381E">
        <w:rPr>
          <w:noProof/>
        </w:rPr>
        <w:t>(Figueiredo et al., 2018)</w:t>
      </w:r>
      <w:r w:rsidR="00B1381E">
        <w:fldChar w:fldCharType="end"/>
      </w:r>
      <w:r w:rsidR="00F06213">
        <w:t xml:space="preserve">. </w:t>
      </w:r>
      <w:r w:rsidR="00E806A3">
        <w:t>Similarly</w:t>
      </w:r>
      <w:r w:rsidR="003362FE">
        <w:t>, the association of many point</w:t>
      </w:r>
      <w:r w:rsidR="00A179C9">
        <w:t>-</w:t>
      </w:r>
      <w:r w:rsidR="00BC31F1">
        <w:t xml:space="preserve">endemics in the GCFR </w:t>
      </w:r>
      <w:r w:rsidR="003362FE">
        <w:t xml:space="preserve">with </w:t>
      </w:r>
      <w:r w:rsidR="008B5685">
        <w:t>highly-</w:t>
      </w:r>
      <w:r w:rsidR="00E806A3">
        <w:t xml:space="preserve">localized </w:t>
      </w:r>
      <w:r w:rsidR="00A179C9">
        <w:t>bogs</w:t>
      </w:r>
      <w:r w:rsidR="00E806A3">
        <w:t>,</w:t>
      </w:r>
      <w:r w:rsidR="003362FE">
        <w:t xml:space="preserve"> whose distribution</w:t>
      </w:r>
      <w:r w:rsidR="00E806A3">
        <w:t>s</w:t>
      </w:r>
      <w:r w:rsidR="003362FE">
        <w:t xml:space="preserve"> </w:t>
      </w:r>
      <w:r w:rsidR="00E806A3">
        <w:t>are</w:t>
      </w:r>
      <w:r w:rsidR="00D65C79">
        <w:t xml:space="preserve"> </w:t>
      </w:r>
      <w:r w:rsidR="003362FE">
        <w:t>geo</w:t>
      </w:r>
      <w:r w:rsidR="00AD171B">
        <w:t>morpho</w:t>
      </w:r>
      <w:r w:rsidR="003362FE">
        <w:t>logically- rather than climatically-determined</w:t>
      </w:r>
      <w:r w:rsidR="00E806A3">
        <w:t>,</w:t>
      </w:r>
      <w:r w:rsidR="00164E10">
        <w:t xml:space="preserve"> presents challenges </w:t>
      </w:r>
      <w:r w:rsidR="00E806A3">
        <w:t xml:space="preserve">for species distribution modelling </w:t>
      </w:r>
      <w:r w:rsidR="003B08CE">
        <w:t>on account of their small size</w:t>
      </w:r>
      <w:r w:rsidR="00B1381E">
        <w:t xml:space="preserve"> </w:t>
      </w:r>
      <w:r w:rsidR="00B1381E">
        <w:fldChar w:fldCharType="begin" w:fldLock="1"/>
      </w:r>
      <w:r w:rsidR="00E74506">
        <w:instrText>ADDIN CSL_CITATION {"citationItems":[{"id":"ITEM-1","itemData":{"DOI":"10.1111/aec.12616","ISSN":"14429985","abstract":"The ability of plants to survive drought or waterlogging constitutes an important niche parameter, which might be particularly significant in explaining species coexistence in the species-rich and seasonally dry Cape Floristic Region of South Africa. However, the degree of physiological adaptation and specialization to these eco-hydrological parameters (the fundamental niche) cannot be readily inferred from correlative studies based on species distributions and spatial variation in environmental parameters (the realized niche). We used an ex situ greenhouse experiment to compare the fundamental hydrological niches (different mean annual precipitation, rainfall seasonality and soil drainage) of six eco-hydrologically divergent African Restionaceae species. Juvenile plants were subjected to six different watering treatments, ranging from no watering to waterlogging, to determine drought and waterlogging susceptibility and optimal growth conditions. We used the rate of biomass accumulation and survival rate as response measures. We found that species from dry and mesic (but well-drained) habitats had optimal or near-optimal growth at benign conditions (under which most restio species grow well). All species performed worse when droughted and died when not watered. Species from dry habitats tended to perform better (assessed in growth) than species from wet habitats under droughting. Species from wet habitats performed best when waterlogged, whereas species from dry habitats performed very poorly when waterlogged – thus showing that realized and fundamental niches covaried at the wet end of the hydrological gradient. We conclude that eco-hydrological parameters are part of the fundamental niche, and fundamental and realized species niches are approximately correlated along them. The distribution of wet habitat species appears not to reflect their drought tolerance, suggesting that it may not be predicted by bioclimatic variables, but rather by soil drainage characteristics.","author":[{"dropping-particle":"","family":"Born","given":"Julia","non-dropping-particle":"","parse-names":false,"suffix":""},{"dropping-particle":"","family":"Linder","given":"Hans Peter","non-dropping-particle":"","parse-names":false,"suffix":""}],"container-title":"Austral Ecology","id":"ITEM-1","issue":"6","issued":{"date-parts":[["2018","9"]]},"page":"696-705","title":"Water availability, fundamental niches and realized niches: A case study from the Cape flora","type":"article-journal","volume":"43"},"uris":["http://www.mendeley.com/documents/?uuid=b54b5ed8-2c42-4269-9103-b11d722627c5"]}],"mendeley":{"formattedCitation":"(Julia Born &amp; Linder, 2018)","manualFormatting":"(Born &amp; Linder, 2018)","plainTextFormattedCitation":"(Julia Born &amp; Linder, 2018)","previouslyFormattedCitation":"(Julia Born &amp; Linder, 2018)"},"properties":{"noteIndex":0},"schema":"https://github.com/citation-style-language/schema/raw/master/csl-citation.json"}</w:instrText>
      </w:r>
      <w:r w:rsidR="00B1381E">
        <w:fldChar w:fldCharType="separate"/>
      </w:r>
      <w:r w:rsidR="00B1381E" w:rsidRPr="00B1381E">
        <w:rPr>
          <w:noProof/>
        </w:rPr>
        <w:t>(Born &amp; Linder, 2018)</w:t>
      </w:r>
      <w:r w:rsidR="00B1381E">
        <w:fldChar w:fldCharType="end"/>
      </w:r>
      <w:r w:rsidR="00164E10">
        <w:t>.</w:t>
      </w:r>
      <w:r w:rsidR="00996D75">
        <w:t xml:space="preserve"> The same may </w:t>
      </w:r>
      <w:r w:rsidR="00B31A36">
        <w:t xml:space="preserve">well </w:t>
      </w:r>
      <w:r w:rsidR="00996D75">
        <w:t>be true for the SWAFR flora where phylogenetically-relictual species typically inhabit waterlogged situations</w:t>
      </w:r>
      <w:r w:rsidR="00E74506">
        <w:t xml:space="preserve"> </w:t>
      </w:r>
      <w:r w:rsidR="00E74506">
        <w:fldChar w:fldCharType="begin" w:fldLock="1"/>
      </w:r>
      <w:r w:rsidR="004D38A3">
        <w:instrText>ADDIN CSL_CITATION {"citationItems":[{"id":"ITEM-1","itemData":{"DOI":"10.1146/annurev.ecolsys.35.112202.130201","ISSN":"00664162","abstract":"Like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Systematics","id":"ITEM-1","issued":{"date-parts":[["2004"]]},"page":"623-650","title":"The Southwest Australian floristic region: Evolution and conservation of a global hot spot of biodiversity","type":"article-journal","volume":"35"},"uris":["http://www.mendeley.com/documents/?uuid=85cab335-61f8-4414-a150-449fba523731"]}],"mendeley":{"formattedCitation":"(Hopper &amp; Gioia, 2004b)","manualFormatting":"(Hopper &amp; Gioia, 2004)","plainTextFormattedCitation":"(Hopper &amp; Gioia, 2004b)","previouslyFormattedCitation":"(Hopper &amp; Gioia, 2004b)"},"properties":{"noteIndex":0},"schema":"https://github.com/citation-style-language/schema/raw/master/csl-citation.json"}</w:instrText>
      </w:r>
      <w:r w:rsidR="00E74506">
        <w:fldChar w:fldCharType="separate"/>
      </w:r>
      <w:r w:rsidR="00E74506" w:rsidRPr="00E74506">
        <w:rPr>
          <w:noProof/>
        </w:rPr>
        <w:t>(Hopper &amp; Gioia, 2004)</w:t>
      </w:r>
      <w:r w:rsidR="00E74506">
        <w:fldChar w:fldCharType="end"/>
      </w:r>
      <w:r w:rsidR="00996D75">
        <w:t>.</w:t>
      </w:r>
    </w:p>
    <w:p w14:paraId="67982DFE" w14:textId="0FEB892F" w:rsidR="00CF6AF3" w:rsidRDefault="00DE487A" w:rsidP="00E3070E">
      <w:pPr>
        <w:pStyle w:val="BodyText"/>
        <w:tabs>
          <w:tab w:val="left" w:pos="6189"/>
        </w:tabs>
      </w:pPr>
      <w:r>
        <w:t>A second</w:t>
      </w:r>
      <w:r w:rsidR="00164E10">
        <w:t xml:space="preserve"> </w:t>
      </w:r>
      <w:r w:rsidR="00B718C1">
        <w:t xml:space="preserve">factor </w:t>
      </w:r>
      <w:r w:rsidR="00A646E1">
        <w:t xml:space="preserve">potentially </w:t>
      </w:r>
      <w:r w:rsidR="004940AD">
        <w:t>compromising</w:t>
      </w:r>
      <w:r w:rsidR="00B718C1">
        <w:t xml:space="preserve"> the </w:t>
      </w:r>
      <w:r w:rsidR="00A646E1">
        <w:t>explanatory power of our models</w:t>
      </w:r>
      <w:r w:rsidR="003362FE">
        <w:t xml:space="preserve"> </w:t>
      </w:r>
      <w:r w:rsidR="009B7312">
        <w:t xml:space="preserve">is the inclusion of only </w:t>
      </w:r>
      <w:r w:rsidR="00FA12E2">
        <w:t>the</w:t>
      </w:r>
      <w:r w:rsidR="009B7312">
        <w:t xml:space="preserve"> hete</w:t>
      </w:r>
      <w:r w:rsidR="00D96E88">
        <w:t>rogeneities</w:t>
      </w:r>
      <w:r w:rsidR="00FA12E2">
        <w:t xml:space="preserve"> of environmental variables</w:t>
      </w:r>
      <w:r w:rsidR="00D96E88">
        <w:t xml:space="preserve"> and not the</w:t>
      </w:r>
      <w:r w:rsidR="008353FD">
        <w:t>ir</w:t>
      </w:r>
      <w:r w:rsidR="00D96E88">
        <w:t xml:space="preserve"> </w:t>
      </w:r>
      <w:r w:rsidR="008353FD">
        <w:t>absolute</w:t>
      </w:r>
      <w:r w:rsidR="00D96E88">
        <w:t xml:space="preserve"> va</w:t>
      </w:r>
      <w:r w:rsidR="008353FD">
        <w:t>lues</w:t>
      </w:r>
      <w:r w:rsidR="00D96E88">
        <w:t xml:space="preserve">. </w:t>
      </w:r>
      <w:r w:rsidR="008353FD">
        <w:t xml:space="preserve">Although the absolute values of </w:t>
      </w:r>
      <w:r w:rsidR="00C55DCA">
        <w:t>certain</w:t>
      </w:r>
      <w:r w:rsidR="0065333D">
        <w:t xml:space="preserve"> environmental </w:t>
      </w:r>
      <w:r w:rsidR="008353FD">
        <w:t xml:space="preserve">variables, particularly those </w:t>
      </w:r>
      <w:r w:rsidR="0065333D">
        <w:t>influencing</w:t>
      </w:r>
      <w:r w:rsidR="008353FD">
        <w:t xml:space="preserve"> </w:t>
      </w:r>
      <w:r w:rsidR="0065333D">
        <w:t>biological</w:t>
      </w:r>
      <w:r w:rsidR="008353FD">
        <w:t xml:space="preserve"> productivity</w:t>
      </w:r>
      <w:r w:rsidR="00873A2C">
        <w:t xml:space="preserve"> (</w:t>
      </w:r>
      <w:r w:rsidR="00A82266">
        <w:t xml:space="preserve">i.e. </w:t>
      </w:r>
      <w:r w:rsidR="00873A2C">
        <w:t>energy-water theory)</w:t>
      </w:r>
      <w:r w:rsidR="008353FD">
        <w:t xml:space="preserve">, have often been </w:t>
      </w:r>
      <w:r w:rsidR="00FA12E2">
        <w:t>found</w:t>
      </w:r>
      <w:r w:rsidR="008353FD">
        <w:t xml:space="preserve"> to </w:t>
      </w:r>
      <w:r w:rsidR="00C55DCA">
        <w:t>correlate positively with</w:t>
      </w:r>
      <w:r w:rsidR="008353FD">
        <w:t xml:space="preserve"> species richness</w:t>
      </w:r>
      <w:r w:rsidR="00C55DCA">
        <w:t xml:space="preserve"> at broad scales</w:t>
      </w:r>
      <w:r w:rsidR="0065333D">
        <w:t xml:space="preserve"> </w:t>
      </w:r>
      <w:r w:rsidR="009F4954">
        <w:fldChar w:fldCharType="begin" w:fldLock="1"/>
      </w:r>
      <w:r w:rsidR="00446F26">
        <w:instrText>ADDIN CSL_CITATION {"citationItems":[{"id":"ITEM-1","itemData":{"DOI":"10.1073/pnas.0608361104","ISBN":"0027-8424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Sciences","id":"ITEM-1","issue":"14","issued":{"date-parts":[["2007","4","3"]]},"page":"5925-5930","title":"Global patterns and determinants of vascular plant diversity","type":"article-journal","volume":"104"},"uris":["http://www.mendeley.com/documents/?uuid=c7e13ce7-cc30-4a21-95e5-6078c56c1ad2"]}],"mendeley":{"formattedCitation":"(Kreft &amp; Jetz, 2007)","plainTextFormattedCitation":"(Kreft &amp; Jetz, 2007)","previouslyFormattedCitation":"(Kreft &amp; Jetz, 2007)"},"properties":{"noteIndex":0},"schema":"https://github.com/citation-style-language/schema/raw/master/csl-citation.json"}</w:instrText>
      </w:r>
      <w:r w:rsidR="009F4954">
        <w:fldChar w:fldCharType="separate"/>
      </w:r>
      <w:r w:rsidR="009F4954" w:rsidRPr="009F4954">
        <w:rPr>
          <w:noProof/>
        </w:rPr>
        <w:t>(Kreft &amp; Jetz, 2007)</w:t>
      </w:r>
      <w:r w:rsidR="009F4954">
        <w:fldChar w:fldCharType="end"/>
      </w:r>
      <w:r w:rsidR="009F4954">
        <w:t xml:space="preserve">; </w:t>
      </w:r>
      <w:r w:rsidR="00873A2C" w:rsidRPr="006774CD">
        <w:rPr>
          <w:highlight w:val="green"/>
        </w:rPr>
        <w:t>Currie</w:t>
      </w:r>
      <w:r w:rsidR="006774CD">
        <w:rPr>
          <w:highlight w:val="green"/>
        </w:rPr>
        <w:t>,</w:t>
      </w:r>
      <w:r w:rsidR="00873A2C" w:rsidRPr="006774CD">
        <w:rPr>
          <w:highlight w:val="green"/>
        </w:rPr>
        <w:t xml:space="preserve"> 1991</w:t>
      </w:r>
      <w:r w:rsidR="00873A2C">
        <w:t xml:space="preserve">; </w:t>
      </w:r>
      <w:r w:rsidR="00873A2C" w:rsidRPr="006774CD">
        <w:rPr>
          <w:highlight w:val="green"/>
        </w:rPr>
        <w:t>Hawkins et al.</w:t>
      </w:r>
      <w:r w:rsidR="006774CD" w:rsidRPr="006774CD">
        <w:rPr>
          <w:highlight w:val="green"/>
        </w:rPr>
        <w:t>,</w:t>
      </w:r>
      <w:r w:rsidR="00873A2C" w:rsidRPr="006774CD">
        <w:rPr>
          <w:highlight w:val="green"/>
        </w:rPr>
        <w:t xml:space="preserve"> 2003</w:t>
      </w:r>
      <w:r w:rsidR="0065333D">
        <w:t>)</w:t>
      </w:r>
      <w:r w:rsidR="008353FD">
        <w:t xml:space="preserve">, we elected to omit these variables from our analyses because </w:t>
      </w:r>
      <w:r w:rsidR="002D35E5">
        <w:t>we</w:t>
      </w:r>
      <w:r w:rsidR="0065333D">
        <w:t xml:space="preserve"> </w:t>
      </w:r>
      <w:r w:rsidR="008B6F00">
        <w:t>wished</w:t>
      </w:r>
      <w:r w:rsidR="0065333D">
        <w:t xml:space="preserve"> explicitly </w:t>
      </w:r>
      <w:r w:rsidR="00873A2C">
        <w:t>to assess</w:t>
      </w:r>
      <w:r w:rsidR="00C55DCA">
        <w:t xml:space="preserve"> the </w:t>
      </w:r>
      <w:r w:rsidR="008B6F00">
        <w:t>ability</w:t>
      </w:r>
      <w:r w:rsidR="00C55DCA">
        <w:t xml:space="preserve"> of heterogeneity </w:t>
      </w:r>
      <w:r w:rsidR="008B6F00">
        <w:t>to account for</w:t>
      </w:r>
      <w:r w:rsidR="00C55DCA">
        <w:t xml:space="preserve"> species richness variation across the GCFR and SWAFR. </w:t>
      </w:r>
      <w:r w:rsidR="00B31A36">
        <w:t>Besides</w:t>
      </w:r>
      <w:r w:rsidR="00C55DCA">
        <w:t xml:space="preserve">, </w:t>
      </w:r>
      <w:r w:rsidR="001B750B">
        <w:t xml:space="preserve">as noted by </w:t>
      </w:r>
      <w:r w:rsidR="00873A2C" w:rsidRPr="00D06BF4">
        <w:rPr>
          <w:highlight w:val="green"/>
        </w:rPr>
        <w:t>Cowling et al. (2017)</w:t>
      </w:r>
      <w:r w:rsidR="001B750B">
        <w:t>,</w:t>
      </w:r>
      <w:r w:rsidR="00873A2C">
        <w:t xml:space="preserve"> ene</w:t>
      </w:r>
      <w:r w:rsidR="00E929F6">
        <w:t xml:space="preserve">rgy-water theory does not </w:t>
      </w:r>
      <w:r w:rsidR="008B6F00">
        <w:t>appear to hold</w:t>
      </w:r>
      <w:r w:rsidR="00E929F6">
        <w:t xml:space="preserve"> in the GCFR where species richness is </w:t>
      </w:r>
      <w:r w:rsidR="00DA7104">
        <w:t>maximized</w:t>
      </w:r>
      <w:r w:rsidR="00E929F6">
        <w:t xml:space="preserve"> in cool</w:t>
      </w:r>
      <w:r w:rsidR="008B6F00">
        <w:t>,</w:t>
      </w:r>
      <w:r w:rsidR="00E929F6">
        <w:t xml:space="preserve"> nutrient-impoverished</w:t>
      </w:r>
      <w:r w:rsidR="008B6F00">
        <w:t xml:space="preserve"> areas</w:t>
      </w:r>
      <w:r w:rsidR="00E929F6">
        <w:t>.</w:t>
      </w:r>
      <w:r w:rsidR="00DA7104">
        <w:t xml:space="preserve"> </w:t>
      </w:r>
      <w:r w:rsidR="004F2596">
        <w:t>The same appears to be true for the</w:t>
      </w:r>
      <w:r w:rsidR="00CF6AF3">
        <w:t xml:space="preserve"> SWAFR</w:t>
      </w:r>
      <w:r w:rsidR="004F2596">
        <w:t xml:space="preserve"> (</w:t>
      </w:r>
      <w:r w:rsidR="004F2596" w:rsidRPr="00CC1848">
        <w:rPr>
          <w:highlight w:val="yellow"/>
        </w:rPr>
        <w:t>ref***</w:t>
      </w:r>
      <w:r w:rsidR="004F2596" w:rsidRPr="001B7AF6">
        <w:t>)</w:t>
      </w:r>
      <w:r w:rsidR="00CF6AF3" w:rsidRPr="001B7AF6">
        <w:t>.</w:t>
      </w:r>
    </w:p>
    <w:p w14:paraId="0610530F" w14:textId="52575938" w:rsidR="00375621" w:rsidRDefault="001C321C" w:rsidP="00E3070E">
      <w:pPr>
        <w:pStyle w:val="BodyText"/>
        <w:tabs>
          <w:tab w:val="left" w:pos="6189"/>
        </w:tabs>
      </w:pPr>
      <w:r>
        <w:t xml:space="preserve">A third factor underpinning the unexplained variance in our models is spatial variation in collection effort and its consequences for </w:t>
      </w:r>
      <w:r w:rsidR="00F83A4F">
        <w:t>species richness estimates.</w:t>
      </w:r>
      <w:r w:rsidR="008353FD">
        <w:t xml:space="preserve"> </w:t>
      </w:r>
      <w:r w:rsidR="00E823D6">
        <w:t xml:space="preserve">Although some </w:t>
      </w:r>
      <w:r w:rsidR="00841F89">
        <w:t>a</w:t>
      </w:r>
      <w:r w:rsidR="00E823D6">
        <w:t xml:space="preserve">uthors </w:t>
      </w:r>
      <w:r w:rsidR="004F2596">
        <w:t>have argued for</w:t>
      </w:r>
      <w:r w:rsidR="00E823D6">
        <w:t xml:space="preserve"> the</w:t>
      </w:r>
      <w:r w:rsidR="002D35E5">
        <w:t xml:space="preserve"> application of </w:t>
      </w:r>
      <w:r w:rsidR="00375621" w:rsidRPr="003C5ACF">
        <w:rPr>
          <w:rFonts w:ascii="Times New Roman" w:hAnsi="Times New Roman" w:cs="Times New Roman"/>
          <w:noProof/>
          <w:lang w:val="en-GB"/>
        </w:rPr>
        <w:t xml:space="preserve">sample- </w:t>
      </w:r>
      <w:r w:rsidR="006C2C54">
        <w:rPr>
          <w:rFonts w:ascii="Times New Roman" w:hAnsi="Times New Roman" w:cs="Times New Roman"/>
          <w:noProof/>
          <w:lang w:val="en-GB"/>
        </w:rPr>
        <w:fldChar w:fldCharType="begin" w:fldLock="1"/>
      </w:r>
      <w:r w:rsidR="001A41BA">
        <w:rPr>
          <w:rFonts w:ascii="Times New Roman" w:hAnsi="Times New Roman" w:cs="Times New Roman"/>
          <w:noProof/>
          <w:lang w:val="en-GB"/>
        </w:rPr>
        <w:instrText>ADDIN CSL_CITATION {"citationItems":[{"id":"ITEM-1","itemData":{"DOI":"10.1046/j.1461-0248.2001.00230.x","ISBN":"1461-0248","ISSN":"1461023X","PMID":"9828362","author":[{"dropping-particle":"","family":"Gotelli","given":"Nicholas J.","non-dropping-particle":"","parse-names":false,"suffix":""},{"dropping-particle":"","family":"Colwell","given":"Robert K.","non-dropping-particle":"","parse-names":false,"suffix":""}],"container-title":"Ecology Letters","id":"ITEM-1","issue":"4","issued":{"date-parts":[["2001","7","22"]]},"page":"379-391","title":"Quantifying biodiversity: procedures and pitfalls in the measurement and comparison of species richness","type":"article-journal","volume":"4"},"uris":["http://www.mendeley.com/documents/?uuid=535ea93a-c74b-46ba-88be-a9cbf496955f"]}],"mendeley":{"formattedCitation":"(Gotelli &amp; Colwell, 2001)","plainTextFormattedCitation":"(Gotelli &amp; Colwell, 2001)","previouslyFormattedCitation":"(Gotelli &amp; Colwell, 2001)"},"properties":{"noteIndex":0},"schema":"https://github.com/citation-style-language/schema/raw/master/csl-citation.json"}</w:instrText>
      </w:r>
      <w:r w:rsidR="006C2C54">
        <w:rPr>
          <w:rFonts w:ascii="Times New Roman" w:hAnsi="Times New Roman" w:cs="Times New Roman"/>
          <w:noProof/>
          <w:lang w:val="en-GB"/>
        </w:rPr>
        <w:fldChar w:fldCharType="separate"/>
      </w:r>
      <w:r w:rsidR="006C2C54" w:rsidRPr="006C2C54">
        <w:rPr>
          <w:rFonts w:ascii="Times New Roman" w:hAnsi="Times New Roman" w:cs="Times New Roman"/>
          <w:noProof/>
          <w:lang w:val="en-GB"/>
        </w:rPr>
        <w:t>(Gotelli &amp; Colwell, 2001)</w:t>
      </w:r>
      <w:r w:rsidR="006C2C54">
        <w:rPr>
          <w:rFonts w:ascii="Times New Roman" w:hAnsi="Times New Roman" w:cs="Times New Roman"/>
          <w:noProof/>
          <w:lang w:val="en-GB"/>
        </w:rPr>
        <w:fldChar w:fldCharType="end"/>
      </w:r>
      <w:r w:rsidR="00375621" w:rsidRPr="003C5ACF">
        <w:rPr>
          <w:rFonts w:ascii="Times New Roman" w:hAnsi="Times New Roman" w:cs="Times New Roman"/>
          <w:noProof/>
          <w:lang w:val="en-GB"/>
        </w:rPr>
        <w:t xml:space="preserve"> or coverage-based rarefaction techniques </w:t>
      </w:r>
      <w:r w:rsidR="008A6247">
        <w:rPr>
          <w:rFonts w:ascii="Times New Roman" w:hAnsi="Times New Roman" w:cs="Times New Roman"/>
          <w:noProof/>
          <w:lang w:val="en-GB"/>
        </w:rPr>
        <w:fldChar w:fldCharType="begin" w:fldLock="1"/>
      </w:r>
      <w:r w:rsidR="0064618C">
        <w:rPr>
          <w:rFonts w:ascii="Times New Roman" w:hAnsi="Times New Roman" w:cs="Times New Roman"/>
          <w:noProof/>
          <w:lang w:val="en-GB"/>
        </w:rPr>
        <w:instrText>ADDIN CSL_CITATION {"citationItems":[{"id":"ITEM-1","itemData":{"author":[{"dropping-particle":"","family":"Chao","given":"Anne","non-dropping-particle":"","parse-names":false,"suffix":""},{"dropping-particle":"","family":"Jost","given":"Lou","non-dropping-particle":"","parse-names":false,"suffix":""}],"container-title":"Ecology","id":"ITEM-1","issue":"12","issued":{"date-parts":[["2012"]]},"page":"2533-2547","publisher":"Wiley Online Library","title":"Coverage-based rarefaction and extrapolation: standardizing samples by completeness rather than size","type":"article-journal","volume":"93"},"uris":["http://www.mendeley.com/documents/?uuid=5610885f-9550-4c96-b1cd-f5a64b5da8f9"]}],"mendeley":{"formattedCitation":"(Chao &amp; Jost, 2012)","plainTextFormattedCitation":"(Chao &amp; Jost, 2012)","previouslyFormattedCitation":"(Chao &amp; Jost, 2012)"},"properties":{"noteIndex":0},"schema":"https://github.com/citation-style-language/schema/raw/master/csl-citation.json"}</w:instrText>
      </w:r>
      <w:r w:rsidR="008A6247">
        <w:rPr>
          <w:rFonts w:ascii="Times New Roman" w:hAnsi="Times New Roman" w:cs="Times New Roman"/>
          <w:noProof/>
          <w:lang w:val="en-GB"/>
        </w:rPr>
        <w:fldChar w:fldCharType="separate"/>
      </w:r>
      <w:r w:rsidR="008A6247" w:rsidRPr="008A6247">
        <w:rPr>
          <w:rFonts w:ascii="Times New Roman" w:hAnsi="Times New Roman" w:cs="Times New Roman"/>
          <w:noProof/>
          <w:lang w:val="en-GB"/>
        </w:rPr>
        <w:t>(Chao &amp; Jost, 2012)</w:t>
      </w:r>
      <w:r w:rsidR="008A6247">
        <w:rPr>
          <w:rFonts w:ascii="Times New Roman" w:hAnsi="Times New Roman" w:cs="Times New Roman"/>
          <w:noProof/>
          <w:lang w:val="en-GB"/>
        </w:rPr>
        <w:fldChar w:fldCharType="end"/>
      </w:r>
      <w:r w:rsidR="00375621" w:rsidRPr="003C5ACF">
        <w:rPr>
          <w:rFonts w:ascii="Times New Roman" w:hAnsi="Times New Roman" w:cs="Times New Roman"/>
          <w:noProof/>
          <w:lang w:val="en-GB"/>
        </w:rPr>
        <w:t xml:space="preserve"> </w:t>
      </w:r>
      <w:r w:rsidR="00E823D6">
        <w:t xml:space="preserve">to correct for </w:t>
      </w:r>
      <w:r w:rsidR="002D35E5">
        <w:t xml:space="preserve">variable </w:t>
      </w:r>
      <w:r w:rsidR="00E823D6">
        <w:t>collection effort</w:t>
      </w:r>
      <w:r w:rsidR="002D35E5">
        <w:t xml:space="preserve"> </w:t>
      </w:r>
      <w:r w:rsidR="00077059">
        <w:fldChar w:fldCharType="begin" w:fldLock="1"/>
      </w:r>
      <w:r w:rsidR="006C2C54">
        <w:instrText>ADDIN CSL_CITATION {"citationItems":[{"id":"ITEM-1","itemData":{"author":[{"dropping-particle":"","family":"Engemann","given":"Kristine","non-dropping-particle":"","parse-names":false,"suffix":""},{"dropping-particle":"","family":"Enquist","given":"Brian J","non-dropping-particle":"","parse-names":false,"suffix":""},{"dropping-particle":"","family":"Sandel","given":"Brody","non-dropping-particle":"","parse-names":false,"suffix":""},{"dropping-particle":"","family":"Boyle","given":"Brad","non-dropping-particle":"","parse-names":false,"suffix":""},{"dropping-particle":"","family":"Jørgensen","given":"Peter M","non-dropping-particle":"","parse-names":false,"suffix":""},{"dropping-particle":"","family":"Morueta-Holme","given":"Naia","non-dropping-particle":"","parse-names":false,"suffix":""},{"dropping-particle":"","family":"Peet","given":"Robert K","non-dropping-particle":"","parse-names":false,"suffix":""},{"dropping-particle":"","family":"Violle","given":"Cyrille","non-dropping-particle":"","parse-names":false,"suffix":""},{"dropping-particle":"","family":"Svenning","given":"Jens-Christian","non-dropping-particle":"","parse-names":false,"suffix":""}],"container-title":"Ecology and Evolution","id":"ITEM-1","issue":"3","issued":{"date-parts":[["2015"]]},"page":"807-820","publisher":"Wiley Online Library","title":"Limited sampling hampers “big data” estimation of species richness in a tropical biodiversity hotspot","type":"article-journal","volume":"5"},"uris":["http://www.mendeley.com/documents/?uuid=f0bbb409-dc94-4844-b255-51341217ed45"]}],"mendeley":{"formattedCitation":"(Engemann et al., 2015)","plainTextFormattedCitation":"(Engemann et al., 2015)","previouslyFormattedCitation":"(Engemann et al., 2015)"},"properties":{"noteIndex":0},"schema":"https://github.com/citation-style-language/schema/raw/master/csl-citation.json"}</w:instrText>
      </w:r>
      <w:r w:rsidR="00077059">
        <w:fldChar w:fldCharType="separate"/>
      </w:r>
      <w:r w:rsidR="00077059" w:rsidRPr="00077059">
        <w:rPr>
          <w:noProof/>
        </w:rPr>
        <w:t>(Engemann et al., 2015)</w:t>
      </w:r>
      <w:r w:rsidR="00077059">
        <w:fldChar w:fldCharType="end"/>
      </w:r>
      <w:r w:rsidR="00E823D6">
        <w:t xml:space="preserve">, </w:t>
      </w:r>
      <w:r w:rsidR="00B053CB">
        <w:t xml:space="preserve">the application of these approaches to systematically-biased collection data is </w:t>
      </w:r>
      <w:r w:rsidR="0092446E">
        <w:t xml:space="preserve">potentially </w:t>
      </w:r>
      <w:r w:rsidR="00B053CB">
        <w:t>problematic (</w:t>
      </w:r>
      <w:r w:rsidR="00B053CB" w:rsidRPr="00B64F53">
        <w:rPr>
          <w:highlight w:val="yellow"/>
        </w:rPr>
        <w:t>refs</w:t>
      </w:r>
      <w:r w:rsidR="00B053CB">
        <w:t>)</w:t>
      </w:r>
      <w:r w:rsidR="00375621">
        <w:t xml:space="preserve">. </w:t>
      </w:r>
      <w:r w:rsidR="00375621" w:rsidRPr="003C5ACF">
        <w:rPr>
          <w:rFonts w:ascii="Times New Roman" w:hAnsi="Times New Roman" w:cs="Times New Roman"/>
          <w:noProof/>
          <w:lang w:val="en-GB"/>
        </w:rPr>
        <w:t>These techniques, however, assume that the relationship between the true species richness and sampling effort is weak. In contrast, herbarium collectors commonly focus their efforts on rare species, and many herbaria do not accept material indiscriminately, being reluctant to accept multiple accessions of the same species from a single area</w:t>
      </w:r>
      <w:r w:rsidR="00375621">
        <w:rPr>
          <w:rFonts w:ascii="Times New Roman" w:hAnsi="Times New Roman" w:cs="Times New Roman"/>
          <w:noProof/>
          <w:lang w:val="en-GB"/>
        </w:rPr>
        <w:t>. W</w:t>
      </w:r>
      <w:r w:rsidR="00E823D6">
        <w:t xml:space="preserve">e have desisted from </w:t>
      </w:r>
      <w:r w:rsidR="00375621">
        <w:t xml:space="preserve">applying these techniques </w:t>
      </w:r>
      <w:r w:rsidR="00E823D6">
        <w:t>because</w:t>
      </w:r>
      <w:r w:rsidR="00F85B67">
        <w:t xml:space="preserve">, </w:t>
      </w:r>
      <w:r w:rsidR="00375621">
        <w:t xml:space="preserve">at least </w:t>
      </w:r>
      <w:r w:rsidR="00F85B67">
        <w:t>for the South African flora,</w:t>
      </w:r>
      <w:r w:rsidR="00E823D6">
        <w:t xml:space="preserve"> </w:t>
      </w:r>
      <w:r w:rsidR="002D35E5">
        <w:t xml:space="preserve">these methods severely distort known species richness </w:t>
      </w:r>
      <w:r w:rsidR="002066AB">
        <w:fldChar w:fldCharType="begin" w:fldLock="1"/>
      </w:r>
      <w:r w:rsidR="008E1634">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2016)","plainTextFormattedCitation":"(Cramer &amp; Verboom, 2016)","previouslyFormattedCitation":"(Cramer &amp; Verboom, 2016)"},"properties":{"noteIndex":0},"schema":"https://github.com/citation-style-language/schema/raw/master/csl-citation.json"}</w:instrText>
      </w:r>
      <w:r w:rsidR="002066AB">
        <w:fldChar w:fldCharType="separate"/>
      </w:r>
      <w:r w:rsidR="002066AB" w:rsidRPr="002066AB">
        <w:rPr>
          <w:noProof/>
        </w:rPr>
        <w:t>(Cramer &amp; Verboom, 2016)</w:t>
      </w:r>
      <w:r w:rsidR="002066AB">
        <w:fldChar w:fldCharType="end"/>
      </w:r>
      <w:r w:rsidR="002D35E5">
        <w:t>.</w:t>
      </w:r>
      <w:r w:rsidR="00375621">
        <w:t xml:space="preserve"> </w:t>
      </w:r>
      <w:r w:rsidR="002F32A1">
        <w:rPr>
          <w:rFonts w:ascii="Times New Roman" w:hAnsi="Times New Roman" w:cs="Times New Roman"/>
          <w:lang w:val="en-GB"/>
        </w:rPr>
        <w:t xml:space="preserve">Use of rarefaction may artificially inflate species richness in areas of low collection, where collections are low not because of </w:t>
      </w:r>
      <w:r w:rsidR="001576DD">
        <w:rPr>
          <w:rFonts w:ascii="Times New Roman" w:hAnsi="Times New Roman" w:cs="Times New Roman"/>
          <w:lang w:val="en-GB"/>
        </w:rPr>
        <w:t>inaccessibility</w:t>
      </w:r>
      <w:r w:rsidR="002F32A1">
        <w:rPr>
          <w:rFonts w:ascii="Times New Roman" w:hAnsi="Times New Roman" w:cs="Times New Roman"/>
          <w:lang w:val="en-GB"/>
        </w:rPr>
        <w:t xml:space="preserve">, but because species richness is low. </w:t>
      </w:r>
      <w:r w:rsidR="00375621">
        <w:t xml:space="preserve">Indeed, </w:t>
      </w:r>
      <w:r w:rsidR="008E1634">
        <w:fldChar w:fldCharType="begin" w:fldLock="1"/>
      </w:r>
      <w:r w:rsidR="00582362">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8E1634">
        <w:fldChar w:fldCharType="separate"/>
      </w:r>
      <w:r w:rsidR="008E1634" w:rsidRPr="008E1634">
        <w:rPr>
          <w:noProof/>
        </w:rPr>
        <w:t xml:space="preserve">(Cramer &amp; Verboom </w:t>
      </w:r>
      <w:r w:rsidR="008E1634">
        <w:rPr>
          <w:noProof/>
        </w:rPr>
        <w:t>(</w:t>
      </w:r>
      <w:r w:rsidR="008E1634" w:rsidRPr="008E1634">
        <w:rPr>
          <w:noProof/>
        </w:rPr>
        <w:t>2016)</w:t>
      </w:r>
      <w:r w:rsidR="008E1634">
        <w:fldChar w:fldCharType="end"/>
      </w:r>
      <w:r w:rsidR="002F32A1">
        <w:t xml:space="preserve"> </w:t>
      </w:r>
      <w:r w:rsidR="00375621">
        <w:t xml:space="preserve">found that the cumulative species </w:t>
      </w:r>
      <w:r w:rsidR="005F7C7C">
        <w:t xml:space="preserve">richness </w:t>
      </w:r>
      <w:r w:rsidR="00375621">
        <w:t xml:space="preserve">provided a reasonable estimate of the </w:t>
      </w:r>
      <w:r w:rsidR="005F7C7C">
        <w:t xml:space="preserve">biome-level </w:t>
      </w:r>
      <w:r w:rsidR="00375621">
        <w:t xml:space="preserve">floral richness, </w:t>
      </w:r>
      <w:r w:rsidR="002F32A1">
        <w:t xml:space="preserve">and </w:t>
      </w:r>
      <w:r w:rsidR="00375621">
        <w:t xml:space="preserve">that these numbers were consistent with results from an exhaustive atlassing project (i.e. </w:t>
      </w:r>
      <w:r w:rsidR="00375621" w:rsidRPr="003C5ACF">
        <w:rPr>
          <w:rFonts w:ascii="Times New Roman" w:hAnsi="Times New Roman" w:cs="Times New Roman"/>
          <w:lang w:val="en-GB"/>
        </w:rPr>
        <w:t>Protea Atlas</w:t>
      </w:r>
      <w:r w:rsidR="00375621">
        <w:rPr>
          <w:rFonts w:ascii="Times New Roman" w:hAnsi="Times New Roman" w:cs="Times New Roman"/>
          <w:lang w:val="en-GB"/>
        </w:rPr>
        <w:t>;</w:t>
      </w:r>
      <w:r w:rsidR="00A76010">
        <w:rPr>
          <w:rFonts w:ascii="Times New Roman" w:hAnsi="Times New Roman" w:cs="Times New Roman"/>
          <w:lang w:val="en-GB"/>
        </w:rPr>
        <w:t xml:space="preserve"> </w:t>
      </w:r>
      <w:r w:rsidR="00A76010">
        <w:rPr>
          <w:rFonts w:ascii="Times New Roman" w:hAnsi="Times New Roman" w:cs="Times New Roman"/>
          <w:lang w:val="en-GB"/>
        </w:rPr>
        <w:fldChar w:fldCharType="begin" w:fldLock="1"/>
      </w:r>
      <w:r w:rsidR="005A5407">
        <w:rPr>
          <w:rFonts w:ascii="Times New Roman" w:hAnsi="Times New Roman" w:cs="Times New Roman"/>
          <w:lang w:val="en-GB"/>
        </w:rPr>
        <w:instrText>ADDIN CSL_CITATION {"citationItems":[{"id":"ITEM-1","itemData":{"author":[{"dropping-particle":"","family":"Rebelo","given":"T G","non-dropping-particle":"","parse-names":false,"suffix":""}],"id":"ITEM-1","issued":{"date-parts":[["2001"]]},"publisher":"Fernwood","publisher-place":"Vlaeberg","title":"A field guide to the proteas of South Africa","type":"book"},"uris":["http://www.mendeley.com/documents/?uuid=d5e4f8c1-3a52-4077-a21e-8c09faf49ba7"]}],"mendeley":{"formattedCitation":"(Rebelo, 2001)","manualFormatting":"Rebelo, 2001)","plainTextFormattedCitation":"(Rebelo, 2001)","previouslyFormattedCitation":"(Rebelo, 2001)"},"properties":{"noteIndex":0},"schema":"https://github.com/citation-style-language/schema/raw/master/csl-citation.json"}</w:instrText>
      </w:r>
      <w:r w:rsidR="00A76010">
        <w:rPr>
          <w:rFonts w:ascii="Times New Roman" w:hAnsi="Times New Roman" w:cs="Times New Roman"/>
          <w:lang w:val="en-GB"/>
        </w:rPr>
        <w:fldChar w:fldCharType="separate"/>
      </w:r>
      <w:r w:rsidR="00A76010" w:rsidRPr="00A76010">
        <w:rPr>
          <w:rFonts w:ascii="Times New Roman" w:hAnsi="Times New Roman" w:cs="Times New Roman"/>
          <w:noProof/>
          <w:lang w:val="en-GB"/>
        </w:rPr>
        <w:t>Rebelo, 2001)</w:t>
      </w:r>
      <w:r w:rsidR="00A76010">
        <w:rPr>
          <w:rFonts w:ascii="Times New Roman" w:hAnsi="Times New Roman" w:cs="Times New Roman"/>
          <w:lang w:val="en-GB"/>
        </w:rPr>
        <w:fldChar w:fldCharType="end"/>
      </w:r>
      <w:r w:rsidR="002F32A1">
        <w:rPr>
          <w:rFonts w:ascii="Times New Roman" w:hAnsi="Times New Roman" w:cs="Times New Roman"/>
          <w:lang w:val="en-GB"/>
        </w:rPr>
        <w:t xml:space="preserve"> with low collecting bias </w:t>
      </w:r>
      <w:r w:rsidR="001A41BA">
        <w:rPr>
          <w:rFonts w:ascii="Times New Roman" w:hAnsi="Times New Roman" w:cs="Times New Roman"/>
          <w:lang w:val="en-GB"/>
        </w:rPr>
        <w:fldChar w:fldCharType="begin" w:fldLock="1"/>
      </w:r>
      <w:r w:rsidR="00A76010">
        <w:rPr>
          <w:rFonts w:ascii="Times New Roman" w:hAnsi="Times New Roman" w:cs="Times New Roman"/>
          <w:lang w:val="en-GB"/>
        </w:rPr>
        <w:instrText>ADDIN CSL_CITATION {"citationItems":[{"id":"ITEM-1","itemData":{"author":[{"dropping-particle":"","family":"Merow","given":"Cory","non-dropping-particle":"","parse-names":false,"suffix":""},{"dropping-particle":"","family":"Smith","given":"Matthew J","non-dropping-particle":"","parse-names":false,"suffix":""},{"dropping-particle":"","family":"Silander","given":"John A","non-dropping-particle":"","parse-names":false,"suffix":""}],"container-title":"Ecography","id":"ITEM-1","issue":"10","issued":{"date-parts":[["2013"]]},"page":"1058-1069","publisher":"Wiley Online Library","title":"A practical guide to MaxEnt for modeling species’ distributions: what it does, and why inputs and settings matter","type":"article-journal","volume":"36"},"uris":["http://www.mendeley.com/documents/?uuid=2e5f940c-1528-47c1-9475-e107e3bc350b"]}],"mendeley":{"formattedCitation":"(Merow, Smith, &amp; Silander, 2013)","plainTextFormattedCitation":"(Merow, Smith, &amp; Silander, 2013)","previouslyFormattedCitation":"(Merow, Smith, &amp; Silander, 2013)"},"properties":{"noteIndex":0},"schema":"https://github.com/citation-style-language/schema/raw/master/csl-citation.json"}</w:instrText>
      </w:r>
      <w:r w:rsidR="001A41BA">
        <w:rPr>
          <w:rFonts w:ascii="Times New Roman" w:hAnsi="Times New Roman" w:cs="Times New Roman"/>
          <w:lang w:val="en-GB"/>
        </w:rPr>
        <w:fldChar w:fldCharType="separate"/>
      </w:r>
      <w:r w:rsidR="00C03AFA" w:rsidRPr="00C03AFA">
        <w:rPr>
          <w:rFonts w:ascii="Times New Roman" w:hAnsi="Times New Roman" w:cs="Times New Roman"/>
          <w:noProof/>
          <w:lang w:val="en-GB"/>
        </w:rPr>
        <w:t>(Merow, Smith, &amp; Silander, 2013)</w:t>
      </w:r>
      <w:r w:rsidR="001A41BA">
        <w:rPr>
          <w:rFonts w:ascii="Times New Roman" w:hAnsi="Times New Roman" w:cs="Times New Roman"/>
          <w:lang w:val="en-GB"/>
        </w:rPr>
        <w:fldChar w:fldCharType="end"/>
      </w:r>
      <w:r w:rsidR="002F32A1">
        <w:rPr>
          <w:rFonts w:ascii="Times New Roman" w:hAnsi="Times New Roman" w:cs="Times New Roman"/>
          <w:lang w:val="en-GB"/>
        </w:rPr>
        <w:t xml:space="preserve">. </w:t>
      </w:r>
    </w:p>
    <w:p w14:paraId="73FD09B2" w14:textId="17888204" w:rsidR="005C0E41" w:rsidRDefault="007535ED">
      <w:pPr>
        <w:pStyle w:val="BodyText"/>
        <w:tabs>
          <w:tab w:val="left" w:pos="6189"/>
        </w:tabs>
      </w:pPr>
      <w:r>
        <w:t xml:space="preserve">A fourth and final factor </w:t>
      </w:r>
      <w:r w:rsidR="003C1D3C">
        <w:t xml:space="preserve">potentially </w:t>
      </w:r>
      <w:r>
        <w:t>compromising</w:t>
      </w:r>
      <w:r w:rsidR="00022A4F">
        <w:t xml:space="preserve"> </w:t>
      </w:r>
      <w:r w:rsidR="0039482B">
        <w:t xml:space="preserve">the strength of the species richness-heterogeneity relationship </w:t>
      </w:r>
      <w:r>
        <w:t>is the</w:t>
      </w:r>
      <w:r w:rsidR="00022A4F">
        <w:t xml:space="preserve"> existence of diversity hotspots </w:t>
      </w:r>
      <w:r>
        <w:t>whose</w:t>
      </w:r>
      <w:r w:rsidR="00022A4F">
        <w:t xml:space="preserve"> high species richness </w:t>
      </w:r>
      <w:r>
        <w:t xml:space="preserve">is not </w:t>
      </w:r>
      <w:r w:rsidR="00E41E17">
        <w:t xml:space="preserve">directly </w:t>
      </w:r>
      <w:r>
        <w:t>linked to</w:t>
      </w:r>
      <w:r w:rsidR="005C0E41">
        <w:t xml:space="preserve"> </w:t>
      </w:r>
      <w:r w:rsidR="00422E7C">
        <w:t>physiographic</w:t>
      </w:r>
      <w:r w:rsidR="00022A4F">
        <w:t xml:space="preserve"> heterogeneity</w:t>
      </w:r>
      <w:r w:rsidR="0039482B">
        <w:t xml:space="preserve">. </w:t>
      </w:r>
      <w:r w:rsidR="007E4A90">
        <w:t>W</w:t>
      </w:r>
      <w:r w:rsidR="002B4C08">
        <w:t>e suspect</w:t>
      </w:r>
      <w:r w:rsidR="007E4A90">
        <w:t xml:space="preserve">, for example, </w:t>
      </w:r>
      <w:r w:rsidR="002B4C08">
        <w:t>that the exceptional species richness of the Perth QDS</w:t>
      </w:r>
      <w:r w:rsidR="007E4A90">
        <w:t xml:space="preserve">/HDS </w:t>
      </w:r>
      <w:r w:rsidR="002B4C08">
        <w:t xml:space="preserve">reported in this study partly reflects the introduction of </w:t>
      </w:r>
      <w:r w:rsidR="00123B47">
        <w:t xml:space="preserve">plants from elsewhere in </w:t>
      </w:r>
      <w:r w:rsidR="007E4A90">
        <w:t>the SWAFR</w:t>
      </w:r>
      <w:r w:rsidR="00123B47">
        <w:t xml:space="preserve"> into the </w:t>
      </w:r>
      <w:r w:rsidR="00767DB5">
        <w:t>Greater Perth metropolitan area</w:t>
      </w:r>
      <w:r w:rsidR="00123B47">
        <w:t xml:space="preserve">. </w:t>
      </w:r>
      <w:r w:rsidR="008A6F1B">
        <w:t>But, beyond such artefacts</w:t>
      </w:r>
      <w:r w:rsidR="00123B47">
        <w:t>, species richness</w:t>
      </w:r>
      <w:r w:rsidR="00B053CB">
        <w:t xml:space="preserve"> in </w:t>
      </w:r>
      <w:r w:rsidR="000C16A6">
        <w:t xml:space="preserve">both </w:t>
      </w:r>
      <w:r w:rsidR="00B053CB">
        <w:t xml:space="preserve">the </w:t>
      </w:r>
      <w:r w:rsidR="00E41E17">
        <w:t>GCFR</w:t>
      </w:r>
      <w:r w:rsidR="0092446E">
        <w:t xml:space="preserve"> and SWAFR</w:t>
      </w:r>
      <w:r w:rsidR="00422E7C">
        <w:t xml:space="preserve"> </w:t>
      </w:r>
      <w:r w:rsidR="005C5C96">
        <w:t xml:space="preserve">is often concentrated in </w:t>
      </w:r>
      <w:r w:rsidR="00AF591A">
        <w:t>hotspots</w:t>
      </w:r>
      <w:r w:rsidR="0092446E">
        <w:t xml:space="preserve"> (cf. </w:t>
      </w:r>
      <w:r w:rsidR="0092446E" w:rsidRPr="00580CBB">
        <w:rPr>
          <w:highlight w:val="green"/>
        </w:rPr>
        <w:lastRenderedPageBreak/>
        <w:t>Oliver et al.</w:t>
      </w:r>
      <w:r w:rsidR="00580CBB">
        <w:rPr>
          <w:highlight w:val="green"/>
        </w:rPr>
        <w:t>,</w:t>
      </w:r>
      <w:r w:rsidR="0092446E" w:rsidRPr="00580CBB">
        <w:rPr>
          <w:highlight w:val="green"/>
        </w:rPr>
        <w:t xml:space="preserve"> 1983</w:t>
      </w:r>
      <w:r w:rsidR="0092446E">
        <w:t xml:space="preserve">; </w:t>
      </w:r>
      <w:r w:rsidR="00580CBB">
        <w:fldChar w:fldCharType="begin" w:fldLock="1"/>
      </w:r>
      <w:r w:rsidR="00F10AF1">
        <w:instrText>ADDIN CSL_CITATION {"citationItems":[{"id":"ITEM-1","itemData":{"DOI":"10.1093/botlinnean/box010","ISSN":"10958339","abstract":"After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Society","id":"ITEM-1","issue":"1","issued":{"date-parts":[["2017"]]},"page":"1-15","title":"A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2017)","manualFormatting":"Gioia &amp; Hopper, 2017)","plainTextFormattedCitation":"(Gioia &amp; Hopper, 2017)","previouslyFormattedCitation":"(Gioia &amp; Hopper, 2017)"},"properties":{"noteIndex":0},"schema":"https://github.com/citation-style-language/schema/raw/master/csl-citation.json"}</w:instrText>
      </w:r>
      <w:r w:rsidR="00580CBB">
        <w:fldChar w:fldCharType="separate"/>
      </w:r>
      <w:r w:rsidR="00580CBB" w:rsidRPr="00580CBB">
        <w:rPr>
          <w:noProof/>
        </w:rPr>
        <w:t>Gioia &amp; Hopper, 2017)</w:t>
      </w:r>
      <w:r w:rsidR="00580CBB">
        <w:fldChar w:fldCharType="end"/>
      </w:r>
      <w:r w:rsidR="0092446E">
        <w:t xml:space="preserve"> </w:t>
      </w:r>
      <w:r w:rsidR="005C5C96">
        <w:t xml:space="preserve">whose exceptional richness may be a consequence of </w:t>
      </w:r>
      <w:r w:rsidR="00B35FF5">
        <w:t>their long-term climatic and/or hydrological stability</w:t>
      </w:r>
      <w:r w:rsidR="0092446E">
        <w:t xml:space="preserve">. </w:t>
      </w:r>
      <w:r w:rsidR="00422E7C">
        <w:t xml:space="preserve">In the Cape Floristic Region (CFR; </w:t>
      </w:r>
      <w:r w:rsidR="00422E7C" w:rsidRPr="008D71B2">
        <w:rPr>
          <w:iCs/>
        </w:rPr>
        <w:t>sensu</w:t>
      </w:r>
      <w:r w:rsidR="00422E7C">
        <w:t xml:space="preserve"> </w:t>
      </w:r>
      <w:r w:rsidR="00422E7C" w:rsidRPr="008D71B2">
        <w:rPr>
          <w:highlight w:val="green"/>
        </w:rPr>
        <w:t>Goldblatt</w:t>
      </w:r>
      <w:r w:rsidR="008D71B2">
        <w:rPr>
          <w:highlight w:val="green"/>
        </w:rPr>
        <w:t>,</w:t>
      </w:r>
      <w:r w:rsidR="00422E7C" w:rsidRPr="008D71B2">
        <w:rPr>
          <w:highlight w:val="green"/>
        </w:rPr>
        <w:t xml:space="preserve"> 1978</w:t>
      </w:r>
      <w:r w:rsidR="00422E7C">
        <w:t>), for example,</w:t>
      </w:r>
      <w:r w:rsidR="00EC2B93">
        <w:t xml:space="preserve"> </w:t>
      </w:r>
      <w:r w:rsidR="00654E88">
        <w:t>high</w:t>
      </w:r>
      <w:r w:rsidR="00EC2B93">
        <w:t>er</w:t>
      </w:r>
      <w:r w:rsidR="00422E7C">
        <w:t xml:space="preserve"> species richness </w:t>
      </w:r>
      <w:r w:rsidR="00EC2B93">
        <w:t>in</w:t>
      </w:r>
      <w:r w:rsidR="00422E7C">
        <w:t xml:space="preserve"> the west </w:t>
      </w:r>
      <w:r w:rsidR="00C5195B">
        <w:t xml:space="preserve">has been attributed to </w:t>
      </w:r>
      <w:r w:rsidR="009959BB">
        <w:t>reduced rates of extinction</w:t>
      </w:r>
      <w:r w:rsidR="00340481">
        <w:t>,</w:t>
      </w:r>
      <w:r w:rsidR="009959BB">
        <w:t xml:space="preserve"> associated with greater climatic stability through the Pleistocene</w:t>
      </w:r>
      <w:r w:rsidR="00C5195B">
        <w:t xml:space="preserve"> (</w:t>
      </w:r>
      <w:r w:rsidR="00C5195B" w:rsidRPr="00FE5B7A">
        <w:rPr>
          <w:highlight w:val="green"/>
        </w:rPr>
        <w:t xml:space="preserve">Cowling </w:t>
      </w:r>
      <w:r w:rsidR="00FE5B7A" w:rsidRPr="00FE5B7A">
        <w:rPr>
          <w:highlight w:val="green"/>
        </w:rPr>
        <w:t>&amp;</w:t>
      </w:r>
      <w:r w:rsidR="00C5195B" w:rsidRPr="00FE5B7A">
        <w:rPr>
          <w:highlight w:val="green"/>
        </w:rPr>
        <w:t xml:space="preserve"> Lombard</w:t>
      </w:r>
      <w:r w:rsidR="00FE5B7A" w:rsidRPr="00FE5B7A">
        <w:rPr>
          <w:highlight w:val="green"/>
        </w:rPr>
        <w:t>,</w:t>
      </w:r>
      <w:r w:rsidR="00C5195B" w:rsidRPr="00FE5B7A">
        <w:rPr>
          <w:highlight w:val="green"/>
        </w:rPr>
        <w:t xml:space="preserve"> 2002</w:t>
      </w:r>
      <w:r w:rsidR="00C5195B">
        <w:t xml:space="preserve">; </w:t>
      </w:r>
      <w:r w:rsidR="00C5195B" w:rsidRPr="00A03452">
        <w:rPr>
          <w:highlight w:val="green"/>
        </w:rPr>
        <w:t>Cowling et al.</w:t>
      </w:r>
      <w:r w:rsidR="009D3658" w:rsidRPr="00A03452">
        <w:rPr>
          <w:highlight w:val="green"/>
        </w:rPr>
        <w:t>,</w:t>
      </w:r>
      <w:r w:rsidR="00C5195B" w:rsidRPr="00A03452">
        <w:rPr>
          <w:highlight w:val="green"/>
        </w:rPr>
        <w:t xml:space="preserve"> 2017</w:t>
      </w:r>
      <w:r w:rsidR="00C5195B">
        <w:t>)</w:t>
      </w:r>
      <w:r w:rsidR="00422E7C">
        <w:t>.</w:t>
      </w:r>
      <w:r w:rsidR="00B876DB">
        <w:t xml:space="preserve"> </w:t>
      </w:r>
      <w:r w:rsidR="005C5C96">
        <w:t>In this study, w</w:t>
      </w:r>
      <w:r w:rsidR="003C6BD9">
        <w:t xml:space="preserve">e used the residuals </w:t>
      </w:r>
      <w:r w:rsidR="00FB1888">
        <w:t>derived from</w:t>
      </w:r>
      <w:r w:rsidR="003C6BD9">
        <w:t xml:space="preserve"> PC1-based ANCOVA and multiple regression models to identify </w:t>
      </w:r>
      <w:r w:rsidR="005C5C96">
        <w:t>hotspots</w:t>
      </w:r>
      <w:r w:rsidR="00E17461">
        <w:t xml:space="preserve"> </w:t>
      </w:r>
      <w:r w:rsidR="003C6BD9">
        <w:t>whose species richness exceeds that expected on the basis of their underlying heterogeneities.</w:t>
      </w:r>
      <w:r w:rsidR="004B237D">
        <w:t xml:space="preserve"> </w:t>
      </w:r>
      <w:r w:rsidR="002E03CA">
        <w:t xml:space="preserve">At least some of the hotspots </w:t>
      </w:r>
      <w:r w:rsidR="00ED4D30">
        <w:t>thus</w:t>
      </w:r>
      <w:r w:rsidR="00AE7946">
        <w:t xml:space="preserve"> </w:t>
      </w:r>
      <w:r w:rsidR="002E03CA">
        <w:t>identified correspond to centres of long</w:t>
      </w:r>
      <w:r w:rsidR="00F600D2">
        <w:t>-</w:t>
      </w:r>
      <w:r w:rsidR="002E03CA">
        <w:t>ter</w:t>
      </w:r>
      <w:r w:rsidR="00F600D2">
        <w:t xml:space="preserve">m environmental </w:t>
      </w:r>
      <w:r w:rsidR="00FB1888">
        <w:t>stability</w:t>
      </w:r>
      <w:r w:rsidR="00F600D2">
        <w:t xml:space="preserve">. In the GCFR, for example, the </w:t>
      </w:r>
      <w:r w:rsidR="00865292">
        <w:t>southwestern mountains (</w:t>
      </w:r>
      <w:r w:rsidR="00F600D2">
        <w:t>Kogelberg</w:t>
      </w:r>
      <w:r w:rsidR="00D279AB">
        <w:t>-Hottentots Holland</w:t>
      </w:r>
      <w:r w:rsidR="00865292">
        <w:t>)</w:t>
      </w:r>
      <w:r w:rsidR="00F600D2">
        <w:t xml:space="preserve"> ha</w:t>
      </w:r>
      <w:r w:rsidR="00865292">
        <w:t>ve</w:t>
      </w:r>
      <w:r w:rsidR="00F600D2">
        <w:t xml:space="preserve"> been identified as a </w:t>
      </w:r>
      <w:r w:rsidR="00D279AB">
        <w:t>long-term climatic</w:t>
      </w:r>
      <w:r w:rsidR="005143E0">
        <w:t xml:space="preserve"> and hydrological</w:t>
      </w:r>
      <w:r w:rsidR="00F600D2">
        <w:t xml:space="preserve"> refugium</w:t>
      </w:r>
      <w:r w:rsidR="00D279AB">
        <w:t>, especially</w:t>
      </w:r>
      <w:r w:rsidR="00F600D2">
        <w:t xml:space="preserve"> for </w:t>
      </w:r>
      <w:r w:rsidR="00670FB5">
        <w:t>moisture-loving species</w:t>
      </w:r>
      <w:r w:rsidR="005143E0">
        <w:t xml:space="preserve"> which inhabit the numerous bogs and seeps found there</w:t>
      </w:r>
      <w:r w:rsidR="00670FB5">
        <w:t xml:space="preserve"> </w:t>
      </w:r>
      <w:r w:rsidR="00F10AF1">
        <w:fldChar w:fldCharType="begin" w:fldLock="1"/>
      </w:r>
      <w:r w:rsidR="00DC181B">
        <w:instrText>ADDIN CSL_CITATION {"citationItems":[{"id":"ITEM-1","itemData":{"DOI":"10.1111/jbi.13625","ISSN":"13652699","abstract":"Aim: Fragmented distributions should show immigration and diversification dynamics consistent with the predictions of island biogeography theory. We test whether this applies to the fragmented Cape fynbos vegetation. Location: Southern Africa, Cape Floristic Region (CFR). Taxon: Angiosperms, Restionaceae (restios). Methods: We used a large occurrence dataset and environmental layers to characterize an existing regionalization and the intervals between the regions ecologically and spatially. We extended the available phylogeny for restios and inferred their historical biogeography using models implemented in BioGeoBEARS. We then measured the relative contribution of immigration and in situ speciation to the species richness of each region within the CFR. We used standard statistical methods to test the predictions of the island biogeography theory. Results: The area and environmental heterogeneity of the seven regions of the CFR are positively correlated with in situ speciation rate. Furthermore, more isolated areas, and areas colonized more recently, have proportionally higher immigration rates, and more central and older areas proportionally higher in situ speciation rates. Main conclusions: The variation in immigration and diversification dynamics among the regions within the CFR is extensive and consistent with the archipelago model of island biography theory. This dynamic may contribute significantly to the diversity of the Cape flora. Such a model could be generally useful for understanding the generation and maintenance of diversity in biodiversity hotspots, and may even scale up to explain continental biodiversity.","author":[{"dropping-particle":"","family":"Wüest","given":"Rafael O.","non-dropping-particle":"","parse-names":false,"suffix":""},{"dropping-particle":"","family":"Boucher","given":"Florian C.","non-dropping-particle":"","parse-names":false,"suffix":""},{"dropping-particle":"","family":"Bouchenak-Khelladi","given":"Yanis","non-dropping-particle":"","parse-names":false,"suffix":""},{"dropping-particle":"","family":"Karger","given":"Dirk N.","non-dropping-particle":"","parse-names":false,"suffix":""},{"dropping-particle":"","family":"Linder","given":"H. Peter","non-dropping-particle":"","parse-names":false,"suffix":""}],"container-title":"Journal of Biogeography","id":"ITEM-1","issue":"9","issued":{"date-parts":[["2019"]]},"page":"1936-1947","title":"Dissecting biodiversity in a global hotspot: Uneven dynamics of immigration and diversification within the Cape Floristic Region of South Africa","type":"article-journal","volume":"46"},"uris":["http://www.mendeley.com/documents/?uuid=76c529f6-8858-45ca-9bd2-4db8ca3e1ea7"]},{"id":"ITEM-2","itemData":{"DOI":"10.1111/jbi.13709","ISSN":"0305-0270","author":[{"dropping-particle":"","family":"Linder","given":"Hans Peter","non-dropping-particle":"","parse-names":false,"suffix":""}],"container-title":"Journal of Biogeography","id":"ITEM-2","issued":{"date-parts":[["2019","9","27"]]},"page":"1-14","title":"Rare species, Restionaceae, and the Cape flora","type":"article-journal"},"uris":["http://www.mendeley.com/documents/?uuid=aa169c93-affb-4734-9e23-fdf28ce77f13"]}],"mendeley":{"formattedCitation":"(Linder, 2019; Wüest et al., 2019)","plainTextFormattedCitation":"(Linder, 2019; Wüest et al., 2019)","previouslyFormattedCitation":"(Linder, 2019; Wüest et al., 2019)"},"properties":{"noteIndex":0},"schema":"https://github.com/citation-style-language/schema/raw/master/csl-citation.json"}</w:instrText>
      </w:r>
      <w:r w:rsidR="00F10AF1">
        <w:fldChar w:fldCharType="separate"/>
      </w:r>
      <w:r w:rsidR="00F10AF1" w:rsidRPr="00F10AF1">
        <w:rPr>
          <w:noProof/>
        </w:rPr>
        <w:t>(Linder, 2019; Wüest et al., 2019)</w:t>
      </w:r>
      <w:r w:rsidR="00F10AF1">
        <w:fldChar w:fldCharType="end"/>
      </w:r>
      <w:r w:rsidR="00D279AB">
        <w:t xml:space="preserve">. Similarly, </w:t>
      </w:r>
      <w:r w:rsidR="008E7CC7">
        <w:t>pollen and midden-based isotope data provide evidence of relatively muted Pleistocene climate change</w:t>
      </w:r>
      <w:r w:rsidR="002B7852">
        <w:t xml:space="preserve"> in </w:t>
      </w:r>
      <w:r w:rsidR="008E7CC7">
        <w:t xml:space="preserve">the </w:t>
      </w:r>
      <w:r w:rsidR="00803F65">
        <w:t>Cederberg</w:t>
      </w:r>
      <w:r w:rsidR="008E7CC7">
        <w:t xml:space="preserve"> (</w:t>
      </w:r>
      <w:r w:rsidR="008E7CC7" w:rsidRPr="005950B9">
        <w:rPr>
          <w:highlight w:val="green"/>
        </w:rPr>
        <w:t xml:space="preserve">Meadows </w:t>
      </w:r>
      <w:r w:rsidR="005950B9" w:rsidRPr="005950B9">
        <w:rPr>
          <w:highlight w:val="green"/>
        </w:rPr>
        <w:t>&amp;</w:t>
      </w:r>
      <w:r w:rsidR="008E7CC7" w:rsidRPr="005950B9">
        <w:rPr>
          <w:highlight w:val="green"/>
        </w:rPr>
        <w:t xml:space="preserve"> Sugden</w:t>
      </w:r>
      <w:r w:rsidR="005950B9" w:rsidRPr="005950B9">
        <w:rPr>
          <w:highlight w:val="green"/>
        </w:rPr>
        <w:t>,</w:t>
      </w:r>
      <w:r w:rsidR="008E7CC7" w:rsidRPr="005950B9">
        <w:rPr>
          <w:highlight w:val="green"/>
        </w:rPr>
        <w:t xml:space="preserve"> 1991</w:t>
      </w:r>
      <w:r w:rsidR="008E7CC7" w:rsidRPr="005950B9">
        <w:t xml:space="preserve">, </w:t>
      </w:r>
      <w:r w:rsidR="008E7CC7" w:rsidRPr="005950B9">
        <w:rPr>
          <w:highlight w:val="green"/>
        </w:rPr>
        <w:t>1993</w:t>
      </w:r>
      <w:r w:rsidR="008E7CC7">
        <w:t xml:space="preserve">; </w:t>
      </w:r>
      <w:r w:rsidR="008E7CC7" w:rsidRPr="005950B9">
        <w:rPr>
          <w:highlight w:val="green"/>
        </w:rPr>
        <w:t>Meadows et al.</w:t>
      </w:r>
      <w:r w:rsidR="005950B9">
        <w:rPr>
          <w:highlight w:val="green"/>
        </w:rPr>
        <w:t>,</w:t>
      </w:r>
      <w:r w:rsidR="008E7CC7" w:rsidRPr="005950B9">
        <w:rPr>
          <w:highlight w:val="green"/>
        </w:rPr>
        <w:t xml:space="preserve"> 2010</w:t>
      </w:r>
      <w:r w:rsidR="008E7CC7">
        <w:t>).</w:t>
      </w:r>
      <w:r w:rsidR="00B419FD">
        <w:t xml:space="preserve"> </w:t>
      </w:r>
      <w:r w:rsidR="00865292">
        <w:t xml:space="preserve">Although the biota of the SWAFR </w:t>
      </w:r>
      <w:r w:rsidR="005143E0">
        <w:t xml:space="preserve">also </w:t>
      </w:r>
      <w:r w:rsidR="00865292">
        <w:t>shows evidence of climatically-forced range contraction</w:t>
      </w:r>
      <w:r w:rsidR="00AA210A">
        <w:t xml:space="preserve"> in the Pleistocene</w:t>
      </w:r>
      <w:r w:rsidR="0084063D">
        <w:t xml:space="preserve"> (</w:t>
      </w:r>
      <w:r w:rsidR="0084063D" w:rsidRPr="00D13862">
        <w:rPr>
          <w:highlight w:val="green"/>
        </w:rPr>
        <w:t xml:space="preserve">Byrne </w:t>
      </w:r>
      <w:r w:rsidR="00D13862" w:rsidRPr="00D13862">
        <w:rPr>
          <w:highlight w:val="green"/>
        </w:rPr>
        <w:t>&amp;</w:t>
      </w:r>
      <w:r w:rsidR="0084063D" w:rsidRPr="00D13862">
        <w:rPr>
          <w:highlight w:val="green"/>
        </w:rPr>
        <w:t xml:space="preserve"> Hines</w:t>
      </w:r>
      <w:r w:rsidR="00D13862" w:rsidRPr="00D13862">
        <w:rPr>
          <w:highlight w:val="green"/>
        </w:rPr>
        <w:t>,</w:t>
      </w:r>
      <w:r w:rsidR="0084063D" w:rsidRPr="00D13862">
        <w:rPr>
          <w:highlight w:val="green"/>
        </w:rPr>
        <w:t xml:space="preserve"> 2004</w:t>
      </w:r>
      <w:r w:rsidR="0084063D">
        <w:t>;</w:t>
      </w:r>
      <w:r w:rsidR="00DC181B">
        <w:t xml:space="preserve"> </w:t>
      </w:r>
      <w:r w:rsidR="00DC181B">
        <w:fldChar w:fldCharType="begin" w:fldLock="1"/>
      </w:r>
      <w:r w:rsidR="00B152CB">
        <w:instrText>ADDIN CSL_CITATION {"citationItems":[{"id":"ITEM-1","itemData":{"DOI":"10.1016/j.quascirev.2008.08.032","ISSN":"02773791","abstract":"Phylogeography uses the spatial distribution of genealogical lineages to deduce the influence of historical processes on the evolution of species, and can be informative in regard to location of refugia during extreme climatic conditions. Southern Australia is an ancient landscape with generally low geological relief that was not glaciated but did experience significant climatic oscillations from warm wet conditions in interglacials to cool dry environments during glacial maxima. Phylogeographic patterns in many of the biota of southern Australia reveal evidence of geographically structured divergent lineages indicative of contraction to, and expansion from, major refugia. The time frame for this divergence corresponds with mid Pleistocene climatic oscillations that became more extreme with greater amplitude, and with increased aridity and the formation of sandy deserts. Within lineages there is high haplotype diversity that is generally locally distributed, often specific to populations. These patterns do not reveal specific locations of major refugia that have high diversity and acted as an origin for recent range expansion, as has been observed in Northern Hemisphere glaciated regions. Rather it appears there have been multiple localised refugia throughout the distributions of the species, allowing them to persist through multiple climatic cycles in heterogeneous environments. Phylogeographic patterns in southern Australia indicate that major biotic responses to climatic change involve persistence and resilience rather than large-scale migration, indicating the importance of dynamic evolutionary processes and a mosaic of habitats in heterogeneous landscapes for species to persist though changing environmental conditions. © 2008 Elsevier Ltd. All rights reserved.","author":[{"dropping-particle":"","family":"Byrne","given":"M.","non-dropping-particle":"","parse-names":false,"suffix":""}],"container-title":"Quaternary Science Reviews","id":"ITEM-1","issue":"27-28","issued":{"date-parts":[["2008","12"]]},"page":"2576-2585","publisher":"Elsevier Ltd","title":"Evidence for multiple refugia at different time scales during Pleistocene climatic oscillations in southern Australia inferred from phylogeography","type":"article-journal","volume":"27"},"uris":["http://www.mendeley.com/documents/?uuid=d1291e0b-a9c0-442b-a75f-35908667a304"]}],"mendeley":{"formattedCitation":"(Byrne, 2008)","manualFormatting":"Byrne, 2008)","plainTextFormattedCitation":"(Byrne, 2008)","previouslyFormattedCitation":"(Byrne, 2008)"},"properties":{"noteIndex":0},"schema":"https://github.com/citation-style-language/schema/raw/master/csl-citation.json"}</w:instrText>
      </w:r>
      <w:r w:rsidR="00DC181B">
        <w:fldChar w:fldCharType="separate"/>
      </w:r>
      <w:r w:rsidR="00DC181B" w:rsidRPr="00DC181B">
        <w:rPr>
          <w:noProof/>
        </w:rPr>
        <w:t>Byrne, 2008)</w:t>
      </w:r>
      <w:r w:rsidR="00DC181B">
        <w:fldChar w:fldCharType="end"/>
      </w:r>
      <w:r w:rsidR="00865292">
        <w:t xml:space="preserve">, the </w:t>
      </w:r>
      <w:r w:rsidR="0084063D">
        <w:t>exact posi</w:t>
      </w:r>
      <w:r w:rsidR="005143E0">
        <w:t xml:space="preserve">tion of putative refugia </w:t>
      </w:r>
      <w:r w:rsidR="00A44F62">
        <w:t xml:space="preserve">in the SWAFR </w:t>
      </w:r>
      <w:r w:rsidR="005143E0">
        <w:t>is somewhat un</w:t>
      </w:r>
      <w:r w:rsidR="0084063D">
        <w:t xml:space="preserve">clear. </w:t>
      </w:r>
      <w:r w:rsidR="0005522C">
        <w:t xml:space="preserve">Maps in Byrne (2008; Fig. 2), however, </w:t>
      </w:r>
      <w:r w:rsidR="00A44F62">
        <w:t>identify</w:t>
      </w:r>
      <w:r w:rsidR="0005522C">
        <w:t xml:space="preserve"> one </w:t>
      </w:r>
      <w:r w:rsidR="00AA210A">
        <w:t>refugium in the vicinity of Perth and a second in the vicinity of Fitzgerald River.</w:t>
      </w:r>
    </w:p>
    <w:p w14:paraId="1CF39377" w14:textId="7C36E498" w:rsidR="006665D2" w:rsidRDefault="00A828D7">
      <w:pPr>
        <w:pStyle w:val="BodyText"/>
        <w:tabs>
          <w:tab w:val="left" w:pos="6189"/>
        </w:tabs>
      </w:pPr>
      <w:r>
        <w:t>Given th</w:t>
      </w:r>
      <w:r w:rsidR="00F6046E">
        <w:t xml:space="preserve">eir importance </w:t>
      </w:r>
      <w:r w:rsidR="00024506">
        <w:t xml:space="preserve">for long-term </w:t>
      </w:r>
      <w:r w:rsidR="00F6046E">
        <w:t xml:space="preserve">species </w:t>
      </w:r>
      <w:r w:rsidR="00024506">
        <w:t xml:space="preserve">persistence </w:t>
      </w:r>
      <w:r w:rsidR="00901D65">
        <w:t>(</w:t>
      </w:r>
      <w:r w:rsidR="00901D65" w:rsidRPr="00EB0CE5">
        <w:rPr>
          <w:highlight w:val="green"/>
        </w:rPr>
        <w:t>McLaughlin et al.</w:t>
      </w:r>
      <w:r w:rsidR="00974041" w:rsidRPr="00EB0CE5">
        <w:rPr>
          <w:highlight w:val="green"/>
        </w:rPr>
        <w:t>,</w:t>
      </w:r>
      <w:r w:rsidR="00901D65" w:rsidRPr="00EB0CE5">
        <w:rPr>
          <w:highlight w:val="green"/>
        </w:rPr>
        <w:t xml:space="preserve"> 2017</w:t>
      </w:r>
      <w:r w:rsidR="00901D65">
        <w:t>)</w:t>
      </w:r>
      <w:r w:rsidR="00024506">
        <w:t>, the</w:t>
      </w:r>
      <w:r w:rsidR="00F6046E">
        <w:t xml:space="preserve"> acc</w:t>
      </w:r>
      <w:r w:rsidR="00024506">
        <w:t xml:space="preserve">urate identification and effective protection </w:t>
      </w:r>
      <w:r w:rsidR="00F6046E">
        <w:t xml:space="preserve">of climatically- and/or hydrologically-stable hotspots </w:t>
      </w:r>
      <w:r w:rsidR="004D44BC">
        <w:t>must be</w:t>
      </w:r>
      <w:r>
        <w:t xml:space="preserve"> an important conservation objective</w:t>
      </w:r>
      <w:r w:rsidR="00273150">
        <w:t xml:space="preserve">, particularly in the </w:t>
      </w:r>
      <w:r w:rsidR="00B357CB">
        <w:t>face</w:t>
      </w:r>
      <w:r w:rsidR="00273150">
        <w:t xml:space="preserve"> of contemporary climatic deterioration. </w:t>
      </w:r>
      <w:r w:rsidR="007A4238">
        <w:t xml:space="preserve">In </w:t>
      </w:r>
      <w:r w:rsidR="006A1997">
        <w:t xml:space="preserve">the context of the GCFR, therefore, it is important to </w:t>
      </w:r>
      <w:r w:rsidR="007C1274">
        <w:t>establi</w:t>
      </w:r>
      <w:r w:rsidR="006A1997">
        <w:t xml:space="preserve">sh whether the </w:t>
      </w:r>
      <w:r w:rsidR="007C1274">
        <w:t>high</w:t>
      </w:r>
      <w:r w:rsidR="006A1997">
        <w:t xml:space="preserve"> species richness i</w:t>
      </w:r>
      <w:r w:rsidR="007C1274">
        <w:t>n the west i</w:t>
      </w:r>
      <w:r w:rsidR="006A1997">
        <w:t xml:space="preserve">s </w:t>
      </w:r>
      <w:r w:rsidR="0047615F">
        <w:t xml:space="preserve">in fact attributable </w:t>
      </w:r>
      <w:r w:rsidR="007C1274">
        <w:t>to</w:t>
      </w:r>
      <w:r w:rsidR="006A1997">
        <w:t xml:space="preserve"> a broad longitudinal effect, as </w:t>
      </w:r>
      <w:r w:rsidR="008C42F3">
        <w:t>impli</w:t>
      </w:r>
      <w:r w:rsidR="006A1997">
        <w:t>ed by some authors (</w:t>
      </w:r>
      <w:r w:rsidR="006A1997" w:rsidRPr="00B0394F">
        <w:rPr>
          <w:highlight w:val="green"/>
        </w:rPr>
        <w:t xml:space="preserve">Cowling </w:t>
      </w:r>
      <w:r w:rsidR="00B0394F" w:rsidRPr="00B0394F">
        <w:rPr>
          <w:highlight w:val="green"/>
        </w:rPr>
        <w:t>&amp;</w:t>
      </w:r>
      <w:r w:rsidR="006A1997" w:rsidRPr="00B0394F">
        <w:rPr>
          <w:highlight w:val="green"/>
        </w:rPr>
        <w:t xml:space="preserve"> Lombard</w:t>
      </w:r>
      <w:r w:rsidR="00B0394F" w:rsidRPr="00B0394F">
        <w:rPr>
          <w:highlight w:val="green"/>
        </w:rPr>
        <w:t>,</w:t>
      </w:r>
      <w:r w:rsidR="006A1997" w:rsidRPr="00B0394F">
        <w:rPr>
          <w:highlight w:val="green"/>
        </w:rPr>
        <w:t xml:space="preserve"> 2002</w:t>
      </w:r>
      <w:r w:rsidR="006A1997">
        <w:t xml:space="preserve">; </w:t>
      </w:r>
      <w:r w:rsidR="006A1997" w:rsidRPr="00EB0CE5">
        <w:rPr>
          <w:highlight w:val="green"/>
        </w:rPr>
        <w:t>Verboom et al.</w:t>
      </w:r>
      <w:r w:rsidR="00EB0CE5" w:rsidRPr="00EB0CE5">
        <w:rPr>
          <w:highlight w:val="green"/>
        </w:rPr>
        <w:t>,</w:t>
      </w:r>
      <w:r w:rsidR="006A1997" w:rsidRPr="00EB0CE5">
        <w:rPr>
          <w:highlight w:val="green"/>
        </w:rPr>
        <w:t xml:space="preserve"> 2014</w:t>
      </w:r>
      <w:r w:rsidR="006A1997">
        <w:t xml:space="preserve">; </w:t>
      </w:r>
      <w:r w:rsidR="006A1997" w:rsidRPr="00EB0CE5">
        <w:rPr>
          <w:highlight w:val="green"/>
        </w:rPr>
        <w:t>Cowling et al. 2017</w:t>
      </w:r>
      <w:r w:rsidR="006A1997">
        <w:t xml:space="preserve">), or whether it is </w:t>
      </w:r>
      <w:r w:rsidR="00E63877">
        <w:t>tied</w:t>
      </w:r>
      <w:r w:rsidR="00017D5E">
        <w:t xml:space="preserve"> to the </w:t>
      </w:r>
      <w:r w:rsidR="007C1274">
        <w:t>presence of</w:t>
      </w:r>
      <w:r w:rsidR="006A1997">
        <w:t xml:space="preserve"> hotspots </w:t>
      </w:r>
      <w:r w:rsidR="007C1274">
        <w:t xml:space="preserve">whose exceptional richness is attributable to </w:t>
      </w:r>
      <w:r w:rsidR="008C42F3">
        <w:t>effects that are more local in nature</w:t>
      </w:r>
      <w:r w:rsidR="007C1274">
        <w:t>.</w:t>
      </w:r>
      <w:r w:rsidR="003C7229">
        <w:t xml:space="preserve"> </w:t>
      </w:r>
      <w:r w:rsidR="00E63877">
        <w:t>O</w:t>
      </w:r>
      <w:r w:rsidR="003C7229">
        <w:t>ur data</w:t>
      </w:r>
      <w:r w:rsidR="0020179E">
        <w:t xml:space="preserve">, perhaps, </w:t>
      </w:r>
      <w:r w:rsidR="00E63877">
        <w:t>point</w:t>
      </w:r>
      <w:r w:rsidR="0020179E">
        <w:t xml:space="preserve"> </w:t>
      </w:r>
      <w:r w:rsidR="003C7229">
        <w:t>towards the second interpretation, with the Kogelberg-Hottentots Holland area emerging as a particularly important refugium</w:t>
      </w:r>
      <w:r w:rsidR="00E63877">
        <w:t xml:space="preserve"> for Cape plant diversity.</w:t>
      </w:r>
      <w:r w:rsidR="009555F6">
        <w:t xml:space="preserve"> Given that much of the locally-endemic diversity of this area is associated </w:t>
      </w:r>
      <w:r w:rsidR="003E5F41">
        <w:t xml:space="preserve">with </w:t>
      </w:r>
      <w:r w:rsidR="009555F6">
        <w:t xml:space="preserve">bog and seepage habitats </w:t>
      </w:r>
      <w:r w:rsidR="00B152CB">
        <w:fldChar w:fldCharType="begin" w:fldLock="1"/>
      </w:r>
      <w:r w:rsidR="00023612">
        <w:instrText>ADDIN CSL_CITATION {"citationItems":[{"id":"ITEM-1","itemData":{"DOI":"10.1111/jbi.13709","ISSN":"0305-0270","author":[{"dropping-particle":"","family":"Linder","given":"Hans Peter","non-dropping-particle":"","parse-names":false,"suffix":""}],"container-title":"Journal of Biogeography","id":"ITEM-1","issued":{"date-parts":[["2019","9","27"]]},"page":"1-14","title":"Rare species, Restionaceae, and the Cape flora","type":"article-journal"},"uris":["http://www.mendeley.com/documents/?uuid=aa169c93-affb-4734-9e23-fdf28ce77f13"]}],"mendeley":{"formattedCitation":"(Linder, 2019)","plainTextFormattedCitation":"(Linder, 2019)","previouslyFormattedCitation":"(Linder, 2019)"},"properties":{"noteIndex":0},"schema":"https://github.com/citation-style-language/schema/raw/master/csl-citation.json"}</w:instrText>
      </w:r>
      <w:r w:rsidR="00B152CB">
        <w:fldChar w:fldCharType="separate"/>
      </w:r>
      <w:r w:rsidR="00B152CB" w:rsidRPr="00B152CB">
        <w:rPr>
          <w:noProof/>
        </w:rPr>
        <w:t>(Linder, 2019)</w:t>
      </w:r>
      <w:r w:rsidR="00B152CB">
        <w:fldChar w:fldCharType="end"/>
      </w:r>
      <w:r w:rsidR="009555F6">
        <w:t xml:space="preserve">, </w:t>
      </w:r>
      <w:r w:rsidR="003E5F41">
        <w:t>recent proposals to abstract water from the Table Mountain Group aquifer which feeds these bogs, present a serious threat to the continued persistence of Cape floristic diversity, particularly since the hydrological consequences of such abstraction remain poorly understood</w:t>
      </w:r>
      <w:r w:rsidR="00C250BB">
        <w:t xml:space="preserve"> </w:t>
      </w:r>
      <w:r w:rsidR="00023612">
        <w:fldChar w:fldCharType="begin" w:fldLock="1"/>
      </w:r>
      <w:r w:rsidR="009501F7">
        <w:instrText>ADDIN CSL_CITATION {"citationItems":[{"id":"ITEM-1","itemData":{"author":[{"dropping-particle":"","family":"Slingsby","given":"Jasper Alexander","non-dropping-particle":"","parse-names":false,"suffix":""},{"dropping-particle":"","family":"February","given":"Edmund C.","non-dropping-particle":"","parse-names":false,"suffix":""},{"dropping-particle":"","family":"Rebelo","given":"Tony G.","non-dropping-particle":"","parse-names":false,"suffix":""}],"container-title":"Veld &amp; Flora","id":"ITEM-1","issued":{"date-parts":[["2018"]]},"page":"72-75","title":"Water: at what cost to our unique flora?","type":"article-journal","volume":"June"},"uris":["http://www.mendeley.com/documents/?uuid=ce9cc8d0-cfcf-4e42-a7cf-d4fdb290c9aa"]}],"mendeley":{"formattedCitation":"(Slingsby, February, &amp; Rebelo, 2018)","plainTextFormattedCitation":"(Slingsby, February, &amp; Rebelo, 2018)","previouslyFormattedCitation":"(Slingsby, February, &amp; Rebelo, 2018)"},"properties":{"noteIndex":0},"schema":"https://github.com/citation-style-language/schema/raw/master/csl-citation.json"}</w:instrText>
      </w:r>
      <w:r w:rsidR="00023612">
        <w:fldChar w:fldCharType="separate"/>
      </w:r>
      <w:r w:rsidR="00023612" w:rsidRPr="00023612">
        <w:rPr>
          <w:noProof/>
        </w:rPr>
        <w:t>(Slingsby, February, &amp; Rebelo, 2018)</w:t>
      </w:r>
      <w:r w:rsidR="00023612">
        <w:fldChar w:fldCharType="end"/>
      </w:r>
      <w:r w:rsidR="003E5F41">
        <w:t>.</w:t>
      </w:r>
      <w:r w:rsidR="00461C06">
        <w:t xml:space="preserve"> The long-term integrity of groundwater-dependent terrestrial vegetation is similarly threatened by </w:t>
      </w:r>
      <w:r w:rsidR="00D51B17">
        <w:t>groundwater abstraction in the Perth area of the SWAFR (</w:t>
      </w:r>
      <w:r w:rsidR="00D51B17" w:rsidRPr="009501F7">
        <w:rPr>
          <w:highlight w:val="green"/>
        </w:rPr>
        <w:t xml:space="preserve">Froend </w:t>
      </w:r>
      <w:r w:rsidR="009501F7" w:rsidRPr="009501F7">
        <w:rPr>
          <w:highlight w:val="green"/>
        </w:rPr>
        <w:t>&amp;</w:t>
      </w:r>
      <w:r w:rsidR="00D51B17" w:rsidRPr="009501F7">
        <w:rPr>
          <w:highlight w:val="green"/>
        </w:rPr>
        <w:t xml:space="preserve"> Sommer</w:t>
      </w:r>
      <w:r w:rsidR="009501F7" w:rsidRPr="009501F7">
        <w:rPr>
          <w:highlight w:val="green"/>
        </w:rPr>
        <w:t>,</w:t>
      </w:r>
      <w:r w:rsidR="00D51B17" w:rsidRPr="009501F7">
        <w:rPr>
          <w:highlight w:val="green"/>
        </w:rPr>
        <w:t xml:space="preserve"> 2010</w:t>
      </w:r>
      <w:r w:rsidR="00D51B17">
        <w:t xml:space="preserve">; </w:t>
      </w:r>
      <w:r w:rsidR="00D51B17" w:rsidRPr="009501F7">
        <w:rPr>
          <w:highlight w:val="green"/>
        </w:rPr>
        <w:t>Barron et al.</w:t>
      </w:r>
      <w:r w:rsidR="009501F7" w:rsidRPr="009501F7">
        <w:rPr>
          <w:highlight w:val="green"/>
        </w:rPr>
        <w:t>,</w:t>
      </w:r>
      <w:r w:rsidR="00D51B17" w:rsidRPr="009501F7">
        <w:rPr>
          <w:highlight w:val="green"/>
        </w:rPr>
        <w:t xml:space="preserve"> 2014</w:t>
      </w:r>
      <w:r w:rsidR="00D51B17">
        <w:t>).</w:t>
      </w:r>
    </w:p>
    <w:p w14:paraId="73EE69CB" w14:textId="00A40044" w:rsidR="004B3DF5" w:rsidRPr="008D3C44" w:rsidRDefault="002448E4" w:rsidP="007A506C">
      <w:pPr>
        <w:pStyle w:val="CommentText"/>
        <w:spacing w:before="180" w:after="180"/>
        <w:rPr>
          <w:sz w:val="24"/>
        </w:rPr>
      </w:pPr>
      <w:r>
        <w:rPr>
          <w:sz w:val="24"/>
          <w:szCs w:val="24"/>
        </w:rPr>
        <w:t xml:space="preserve">Although the </w:t>
      </w:r>
      <w:r w:rsidR="00AB7C3A">
        <w:rPr>
          <w:sz w:val="24"/>
          <w:szCs w:val="24"/>
        </w:rPr>
        <w:t xml:space="preserve">plant species richness of the </w:t>
      </w:r>
      <w:r>
        <w:rPr>
          <w:sz w:val="24"/>
          <w:szCs w:val="24"/>
        </w:rPr>
        <w:t>GCFR has been</w:t>
      </w:r>
      <w:r w:rsidR="00AB7C3A">
        <w:rPr>
          <w:sz w:val="24"/>
          <w:szCs w:val="24"/>
        </w:rPr>
        <w:t xml:space="preserve"> identified as being </w:t>
      </w:r>
      <w:r w:rsidR="005C122F">
        <w:rPr>
          <w:sz w:val="24"/>
          <w:szCs w:val="24"/>
        </w:rPr>
        <w:t xml:space="preserve">globally </w:t>
      </w:r>
      <w:r w:rsidR="00AB7C3A">
        <w:rPr>
          <w:sz w:val="24"/>
          <w:szCs w:val="24"/>
        </w:rPr>
        <w:t>anomalous</w:t>
      </w:r>
      <w:r w:rsidR="0064618C">
        <w:rPr>
          <w:sz w:val="24"/>
          <w:szCs w:val="24"/>
        </w:rPr>
        <w:t xml:space="preserve"> </w:t>
      </w:r>
      <w:r w:rsidR="0064618C">
        <w:rPr>
          <w:sz w:val="24"/>
          <w:szCs w:val="24"/>
        </w:rPr>
        <w:fldChar w:fldCharType="begin" w:fldLock="1"/>
      </w:r>
      <w:r w:rsidR="00077059">
        <w:rPr>
          <w:sz w:val="24"/>
          <w:szCs w:val="24"/>
        </w:rPr>
        <w:instrText xml:space="preserve">ADDIN CSL_CITATION {"citationItems":[{"id":"ITEM-1","itemData":{"DOI":"10.1073/pnas.0608361104","ISBN":"0027-8424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w:instrText>
      </w:r>
      <w:r w:rsidR="00077059">
        <w:rPr>
          <w:sz w:val="24"/>
          <w:szCs w:val="24"/>
        </w:rPr>
        <w:instrText>≈</w:instrText>
      </w:r>
      <w:r w:rsidR="00077059">
        <w:rPr>
          <w:sz w:val="24"/>
          <w:szCs w:val="24"/>
        </w:rPr>
        <w:instrText>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w:instrText>
      </w:r>
      <w:r w:rsidR="00077059">
        <w:rPr>
          <w:sz w:val="24"/>
          <w:szCs w:val="24"/>
        </w:rPr>
        <w:instrText>–</w:instrText>
      </w:r>
      <w:r w:rsidR="00077059">
        <w:rPr>
          <w:sz w:val="24"/>
          <w:szCs w:val="24"/>
        </w:rPr>
        <w:instrText>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Sciences","id":"ITEM-1","issue":"14","issued":{"date-parts":[["2007","4","3"]]},"page":"5925-5930","title":"Global patterns and determinants of vascular plant diversity","type":"article-journal","volume":"104"},"uris":["http://www.mendeley.com/documents/?uuid=c7e13ce7-cc30-4a21-95e5-6078c56c1ad2"]}],"mendeley":{"formattedCitation":"(Kreft &amp; Jetz, 2007)","plainTextFormattedCitation":"(Kreft &amp; Jetz, 2007)","previouslyFormattedCitation":"(Kreft &amp; Jetz, 2007)"},"properties":{"noteIndex":0},"schema":"https://github.com/citation-style-language/schema/raw/master/csl-citation.json"}</w:instrText>
      </w:r>
      <w:r w:rsidR="0064618C">
        <w:rPr>
          <w:sz w:val="24"/>
          <w:szCs w:val="24"/>
        </w:rPr>
        <w:fldChar w:fldCharType="separate"/>
      </w:r>
      <w:r w:rsidR="0064618C" w:rsidRPr="0064618C">
        <w:rPr>
          <w:noProof/>
          <w:sz w:val="24"/>
          <w:szCs w:val="24"/>
        </w:rPr>
        <w:t>(Kreft &amp; Jetz, 2007)</w:t>
      </w:r>
      <w:r w:rsidR="0064618C">
        <w:rPr>
          <w:sz w:val="24"/>
          <w:szCs w:val="24"/>
        </w:rPr>
        <w:fldChar w:fldCharType="end"/>
      </w:r>
      <w:r w:rsidR="00AB7C3A">
        <w:rPr>
          <w:sz w:val="24"/>
          <w:szCs w:val="24"/>
        </w:rPr>
        <w:t xml:space="preserve">, our data </w:t>
      </w:r>
      <w:r w:rsidR="0083425C">
        <w:rPr>
          <w:sz w:val="24"/>
          <w:szCs w:val="24"/>
        </w:rPr>
        <w:t>reveal</w:t>
      </w:r>
      <w:r w:rsidR="00AB7C3A">
        <w:rPr>
          <w:sz w:val="24"/>
          <w:szCs w:val="24"/>
        </w:rPr>
        <w:t xml:space="preserve"> that </w:t>
      </w:r>
      <w:r w:rsidR="005C122F">
        <w:rPr>
          <w:sz w:val="24"/>
          <w:szCs w:val="24"/>
        </w:rPr>
        <w:t>species</w:t>
      </w:r>
      <w:r w:rsidR="00AB7C3A">
        <w:rPr>
          <w:sz w:val="24"/>
          <w:szCs w:val="24"/>
        </w:rPr>
        <w:t xml:space="preserve"> richness </w:t>
      </w:r>
      <w:r w:rsidR="005C122F">
        <w:rPr>
          <w:sz w:val="24"/>
          <w:szCs w:val="24"/>
        </w:rPr>
        <w:t>in</w:t>
      </w:r>
      <w:r w:rsidR="00AB7C3A">
        <w:rPr>
          <w:sz w:val="24"/>
          <w:szCs w:val="24"/>
        </w:rPr>
        <w:t xml:space="preserve"> the GCFR and SWAFR </w:t>
      </w:r>
      <w:r w:rsidR="005C122F">
        <w:rPr>
          <w:sz w:val="24"/>
          <w:szCs w:val="24"/>
        </w:rPr>
        <w:t xml:space="preserve">varies </w:t>
      </w:r>
      <w:r w:rsidR="0046296E">
        <w:rPr>
          <w:sz w:val="24"/>
          <w:szCs w:val="24"/>
        </w:rPr>
        <w:t xml:space="preserve">broadly </w:t>
      </w:r>
      <w:r w:rsidR="005C122F">
        <w:rPr>
          <w:sz w:val="24"/>
          <w:szCs w:val="24"/>
        </w:rPr>
        <w:t>as a common function of environmental heterogeneity</w:t>
      </w:r>
      <w:r w:rsidR="00711CBD">
        <w:rPr>
          <w:sz w:val="24"/>
          <w:szCs w:val="24"/>
        </w:rPr>
        <w:t>, the latter promoting diversification and facilitating species coexistence</w:t>
      </w:r>
      <w:r w:rsidR="005C122F">
        <w:rPr>
          <w:sz w:val="24"/>
          <w:szCs w:val="24"/>
        </w:rPr>
        <w:t xml:space="preserve">. </w:t>
      </w:r>
      <w:r w:rsidR="00FC3AFE">
        <w:rPr>
          <w:sz w:val="24"/>
          <w:szCs w:val="24"/>
        </w:rPr>
        <w:t xml:space="preserve">This corroborates the suggestion </w:t>
      </w:r>
      <w:r w:rsidR="00C1730E">
        <w:rPr>
          <w:sz w:val="24"/>
          <w:szCs w:val="24"/>
        </w:rPr>
        <w:fldChar w:fldCharType="begin" w:fldLock="1"/>
      </w:r>
      <w:r w:rsidR="00A353A2">
        <w:rPr>
          <w:sz w:val="24"/>
          <w:szCs w:val="24"/>
        </w:rPr>
        <w:instrText>ADDIN CSL_CITATION {"citationItems":[{"id":"ITEM-1","itemData":{"DOI":"10.1111/jbi.12429","ISSN":"13652699","abstract":"Aim: Although all five of the major mediterranean-climate ecosystems (MCEs) of the world are recognized as loci of high plant species diversity and endemism, they show considerable variation in regional-scale richness. Here, we assess the role of stable Pleistocene climate and Cenozoic topography in explaining variation in regional richness of the globe's MCEs. We hypothesize that older, more climatically stable MCEs would support more species, because they have had more time for species to accumulate than MCEs that were historically subject to greater topographic upheavals and fluctuating climates. Location: South-western Africa (Cape), south-western Australia, California, central Chile and the eastern (Greece) and western (Spain) Mediterranean Basin. Methods: We estimated plant diversity for each MCE as the intercepts of species-area curves that are homogeneous in slope across all regions. We used two down-scaled global circulation models of the Last Glacial Maximum (LGM) to quantify climate stability by comparing the change in the location of MCEs between the LGM and present. We quantified the Cenozoic topographic stability of each MCE by comparing contemporary topographic profiles with those present in the late Oligocene and the early Pliocene. Results: The most diverse MCEs - Cape and Australia - had the highest Cenozoic environmental stability, and the least diverse - Chile and California - had the lowest stability. Main conclusions: Variation in plant diversity in MCEs is likely to be a consequence not of differences in diversification rates, but rather the persistence of numerous pre-Pliocene clades in the more stable MCEs. The extraordinary plant diversity of the Cape is a consequence of the combined effects of both mature and recent radiations, the latter associated with increased habitat heterogeneity produced by mild tectonic uplift in the Neogene.","author":[{"dropping-particle":"","family":"Cowling","given":"Richard M.","non-dropping-particle":"","parse-names":false,"suffix":""},{"dropping-particle":"","family":"Potts","given":"Alastair J.","non-dropping-particle":"","parse-names":false,"suffix":""},{"dropping-particle":"","family":"Bradshaw","given":"Peter L.","non-dropping-particle":"","parse-names":false,"suffix":""},{"dropping-particle":"","family":"Colville","given":"Jonathan","non-dropping-particle":"","parse-names":false,"suffix":""},{"dropping-particle":"","family":"Arianoutsou","given":"Margarita","non-dropping-particle":"","parse-names":false,"suffix":""},{"dropping-particle":"","family":"Ferrier","given":"Simon","non-dropping-particle":"","parse-names":false,"suffix":""},{"dropping-particle":"","family":"Forest","given":"Felix","non-dropping-particle":"","parse-names":false,"suffix":""},{"dropping-particle":"","family":"Fyllas","given":"Nikolaos M.","non-dropping-particle":"","parse-names":false,"suffix":""},{"dropping-particle":"","family":"Hopper","given":"Stephen D.","non-dropping-particle":"","parse-names":false,"suffix":""},{"dropping-particle":"","family":"Ojeda","given":"Fernando","non-dropping-particle":"","parse-names":false,"suffix":""},{"dropping-particle":"","family":"Proche</w:instrText>
      </w:r>
      <w:r w:rsidR="00A353A2">
        <w:rPr>
          <w:sz w:val="24"/>
          <w:szCs w:val="24"/>
        </w:rPr>
        <w:instrText>ş</w:instrText>
      </w:r>
      <w:r w:rsidR="00A353A2">
        <w:rPr>
          <w:sz w:val="24"/>
          <w:szCs w:val="24"/>
        </w:rPr>
        <w:instrText>","given":"</w:instrText>
      </w:r>
      <w:r w:rsidR="00A353A2">
        <w:rPr>
          <w:sz w:val="24"/>
          <w:szCs w:val="24"/>
        </w:rPr>
        <w:instrText>Ş</w:instrText>
      </w:r>
      <w:r w:rsidR="00A353A2">
        <w:rPr>
          <w:sz w:val="24"/>
          <w:szCs w:val="24"/>
        </w:rPr>
        <w:instrText>erban","non-dropping-particle":"","parse-names":false,"suffix":""},{"dropping-particle":"","family":"Smith","given":"Rhian J.","non-dropping-particle":"","parse-names":false,"suffix":""},{"dropping-particle":"","family":"Rundel","given":"Philip W.","non-dropping-particle":"","parse-names":false,"suffix":""},{"dropping-particle":"","family":"Vassilakis","given":"Emmanuel","non-dropping-particle":"","parse-names":false,"suffix":""},{"dropping-particle":"","family":"Zutta","given":"Brian R.","non-dropping-particle":"","parse-names":false,"suffix":""}],"container-title":"Journal of Biogeography","id":"ITEM-1","issue":"3","issued":{"date-parts":[["2015"]]},"page":"552-564","title":"Variation in plant diversity in mediterranean-climate ecosystems: The role of climatic and topographical stability","type":"article-journal","volume":"42"},"uris":["http://www.mendeley.com/documents/?uuid=2a5795b3-829e-4401-a432-202f2b308b7d"]}],"mendeley":{"formattedCitation":"(Richard M. Cowling et al., 2015)","manualFormatting":"(Cowling et al., 2015)","plainTextFormattedCitation":"(Richard M. Cowling et al., 2015)","previouslyFormattedCitation":"(Richard M. Cowling et al., 2015)"},"properties":{"noteIndex":0},"schema":"https://github.com/citation-style-language/schema/raw/master/csl-citation.json"}</w:instrText>
      </w:r>
      <w:r w:rsidR="00C1730E">
        <w:rPr>
          <w:sz w:val="24"/>
          <w:szCs w:val="24"/>
        </w:rPr>
        <w:fldChar w:fldCharType="separate"/>
      </w:r>
      <w:r w:rsidR="00C1730E" w:rsidRPr="00C1730E">
        <w:rPr>
          <w:noProof/>
          <w:sz w:val="24"/>
          <w:szCs w:val="24"/>
        </w:rPr>
        <w:t>(Cowling et al., 2015)</w:t>
      </w:r>
      <w:r w:rsidR="00C1730E">
        <w:rPr>
          <w:sz w:val="24"/>
          <w:szCs w:val="24"/>
        </w:rPr>
        <w:fldChar w:fldCharType="end"/>
      </w:r>
      <w:r w:rsidR="00711CBD">
        <w:rPr>
          <w:sz w:val="24"/>
          <w:szCs w:val="24"/>
        </w:rPr>
        <w:t xml:space="preserve"> that</w:t>
      </w:r>
      <w:r w:rsidR="005C122F">
        <w:rPr>
          <w:sz w:val="24"/>
          <w:szCs w:val="24"/>
        </w:rPr>
        <w:t xml:space="preserve"> the greater richness of the GCFR</w:t>
      </w:r>
      <w:r w:rsidR="00711CBD">
        <w:rPr>
          <w:sz w:val="24"/>
          <w:szCs w:val="24"/>
        </w:rPr>
        <w:t>,</w:t>
      </w:r>
      <w:r w:rsidR="005C122F">
        <w:rPr>
          <w:sz w:val="24"/>
          <w:szCs w:val="24"/>
        </w:rPr>
        <w:t xml:space="preserve"> relative to that of the SWAFR, </w:t>
      </w:r>
      <w:r w:rsidR="00711CBD">
        <w:rPr>
          <w:sz w:val="24"/>
          <w:szCs w:val="24"/>
        </w:rPr>
        <w:t>is a product of</w:t>
      </w:r>
      <w:r w:rsidR="005C122F">
        <w:rPr>
          <w:sz w:val="24"/>
          <w:szCs w:val="24"/>
        </w:rPr>
        <w:t xml:space="preserve"> </w:t>
      </w:r>
      <w:r w:rsidR="00FD350F">
        <w:rPr>
          <w:sz w:val="24"/>
          <w:szCs w:val="24"/>
        </w:rPr>
        <w:t>its</w:t>
      </w:r>
      <w:r w:rsidR="005C122F">
        <w:rPr>
          <w:sz w:val="24"/>
          <w:szCs w:val="24"/>
        </w:rPr>
        <w:t xml:space="preserve"> greater </w:t>
      </w:r>
      <w:r w:rsidR="006401C7">
        <w:rPr>
          <w:sz w:val="24"/>
          <w:szCs w:val="24"/>
        </w:rPr>
        <w:t xml:space="preserve">environmental </w:t>
      </w:r>
      <w:r w:rsidR="005C122F">
        <w:rPr>
          <w:sz w:val="24"/>
          <w:szCs w:val="24"/>
        </w:rPr>
        <w:t>heterogeneity</w:t>
      </w:r>
      <w:r w:rsidR="00FC3AFE">
        <w:rPr>
          <w:sz w:val="24"/>
          <w:szCs w:val="24"/>
        </w:rPr>
        <w:t xml:space="preserve">. </w:t>
      </w:r>
      <w:r w:rsidR="00711CBD">
        <w:rPr>
          <w:sz w:val="24"/>
          <w:szCs w:val="24"/>
        </w:rPr>
        <w:t>Importantly, s</w:t>
      </w:r>
      <w:r w:rsidR="00FC3AFE">
        <w:rPr>
          <w:sz w:val="24"/>
          <w:szCs w:val="24"/>
        </w:rPr>
        <w:t xml:space="preserve">ince </w:t>
      </w:r>
      <w:r w:rsidR="00711CBD">
        <w:rPr>
          <w:sz w:val="24"/>
          <w:szCs w:val="24"/>
        </w:rPr>
        <w:t xml:space="preserve">environmental </w:t>
      </w:r>
      <w:r w:rsidR="00FC3AFE">
        <w:rPr>
          <w:sz w:val="24"/>
          <w:szCs w:val="24"/>
        </w:rPr>
        <w:t xml:space="preserve">heterogeneity </w:t>
      </w:r>
      <w:r w:rsidR="00711CBD">
        <w:rPr>
          <w:sz w:val="24"/>
          <w:szCs w:val="24"/>
        </w:rPr>
        <w:t>invariably</w:t>
      </w:r>
      <w:r w:rsidR="00FC3AFE">
        <w:rPr>
          <w:sz w:val="24"/>
          <w:szCs w:val="24"/>
        </w:rPr>
        <w:t xml:space="preserve"> </w:t>
      </w:r>
      <w:r w:rsidR="0046296E">
        <w:rPr>
          <w:sz w:val="24"/>
          <w:szCs w:val="24"/>
        </w:rPr>
        <w:t xml:space="preserve">is </w:t>
      </w:r>
      <w:r w:rsidR="00FC3AFE">
        <w:rPr>
          <w:sz w:val="24"/>
          <w:szCs w:val="24"/>
        </w:rPr>
        <w:t>spatial</w:t>
      </w:r>
      <w:r w:rsidR="001A0AB2">
        <w:rPr>
          <w:sz w:val="24"/>
          <w:szCs w:val="24"/>
        </w:rPr>
        <w:t>ly-configured</w:t>
      </w:r>
      <w:r w:rsidR="00FC3AFE">
        <w:rPr>
          <w:sz w:val="24"/>
          <w:szCs w:val="24"/>
        </w:rPr>
        <w:t xml:space="preserve">, the greater </w:t>
      </w:r>
      <w:r w:rsidR="00711CBD">
        <w:rPr>
          <w:sz w:val="24"/>
          <w:szCs w:val="24"/>
        </w:rPr>
        <w:t xml:space="preserve">richness </w:t>
      </w:r>
      <w:r w:rsidR="00FC3AFE">
        <w:rPr>
          <w:sz w:val="24"/>
          <w:szCs w:val="24"/>
        </w:rPr>
        <w:t xml:space="preserve">of the GCFR </w:t>
      </w:r>
      <w:r w:rsidR="00711CBD">
        <w:rPr>
          <w:sz w:val="24"/>
          <w:szCs w:val="24"/>
        </w:rPr>
        <w:t>flora</w:t>
      </w:r>
      <w:r w:rsidR="00FC3AFE">
        <w:rPr>
          <w:sz w:val="24"/>
          <w:szCs w:val="24"/>
        </w:rPr>
        <w:t xml:space="preserve"> </w:t>
      </w:r>
      <w:r w:rsidR="00711CBD">
        <w:rPr>
          <w:sz w:val="24"/>
          <w:szCs w:val="24"/>
        </w:rPr>
        <w:t xml:space="preserve">is </w:t>
      </w:r>
      <w:r w:rsidR="001A0AB2">
        <w:rPr>
          <w:sz w:val="24"/>
          <w:szCs w:val="24"/>
        </w:rPr>
        <w:t>associated with</w:t>
      </w:r>
      <w:r w:rsidR="00D26D35">
        <w:rPr>
          <w:sz w:val="24"/>
          <w:szCs w:val="24"/>
        </w:rPr>
        <w:t xml:space="preserve"> higher rates of</w:t>
      </w:r>
      <w:r w:rsidR="007A3CF4">
        <w:rPr>
          <w:sz w:val="24"/>
          <w:szCs w:val="24"/>
        </w:rPr>
        <w:t xml:space="preserve"> </w:t>
      </w:r>
      <w:r w:rsidR="00FC3AFE">
        <w:rPr>
          <w:sz w:val="24"/>
          <w:szCs w:val="24"/>
        </w:rPr>
        <w:t xml:space="preserve">species turnover in space. </w:t>
      </w:r>
      <w:r w:rsidR="00BE1C44">
        <w:rPr>
          <w:sz w:val="24"/>
          <w:szCs w:val="24"/>
        </w:rPr>
        <w:t>Thus, a</w:t>
      </w:r>
      <w:r w:rsidR="00FC3AFE">
        <w:rPr>
          <w:sz w:val="24"/>
          <w:szCs w:val="24"/>
        </w:rPr>
        <w:t xml:space="preserve">lthough the species richness-environmental heterogeneity relationship is punctuated by the existence of local hotspots, whose exceptional richness may be a consequence of historical factors and which may be important for species persistence in the face of climate change, </w:t>
      </w:r>
      <w:r w:rsidR="00BE1C44">
        <w:rPr>
          <w:sz w:val="24"/>
          <w:szCs w:val="24"/>
        </w:rPr>
        <w:t xml:space="preserve">we find evidence for a unified conceptual framework for </w:t>
      </w:r>
      <w:r w:rsidR="00317DAF" w:rsidRPr="00E97920">
        <w:rPr>
          <w:sz w:val="24"/>
        </w:rPr>
        <w:t xml:space="preserve">thinking about the species richness </w:t>
      </w:r>
      <w:r w:rsidR="00BB2E13">
        <w:rPr>
          <w:sz w:val="24"/>
        </w:rPr>
        <w:t>in</w:t>
      </w:r>
      <w:r w:rsidR="00317DAF" w:rsidRPr="00E97920">
        <w:rPr>
          <w:sz w:val="24"/>
        </w:rPr>
        <w:t xml:space="preserve"> the two regions.</w:t>
      </w:r>
      <w:r w:rsidR="004B3DF5">
        <w:br w:type="page"/>
      </w:r>
    </w:p>
    <w:p w14:paraId="18D025C9" w14:textId="77777777" w:rsidR="00DD7CD4" w:rsidRDefault="00D04776">
      <w:pPr>
        <w:pStyle w:val="Heading1"/>
      </w:pPr>
      <w:r w:rsidRPr="008A4E97">
        <w:lastRenderedPageBreak/>
        <w:t>Tables</w:t>
      </w:r>
      <w:bookmarkEnd w:id="7"/>
    </w:p>
    <w:p w14:paraId="71033F34" w14:textId="2371106F" w:rsidR="00146F57" w:rsidRDefault="00D04776" w:rsidP="00FA753D">
      <w:r w:rsidRPr="00643806">
        <w:rPr>
          <w:b/>
        </w:rPr>
        <w:t xml:space="preserve">Table </w:t>
      </w:r>
      <w:r w:rsidR="008B0E3F">
        <w:rPr>
          <w:b/>
        </w:rPr>
        <w:t>1</w:t>
      </w:r>
      <w:r w:rsidRPr="00643806">
        <w:rPr>
          <w:b/>
        </w:rPr>
        <w:t>:</w:t>
      </w:r>
      <w:r w:rsidRPr="00FE718A">
        <w:t xml:space="preserve"> </w:t>
      </w:r>
      <w:r w:rsidR="00CC6B4A">
        <w:t>Values</w:t>
      </w:r>
      <w:r w:rsidR="00F75284">
        <w:t xml:space="preserve"> and significances</w:t>
      </w:r>
      <w:r w:rsidR="00F75284">
        <w:rPr>
          <w:vertAlign w:val="superscript"/>
        </w:rPr>
        <w:t>1</w:t>
      </w:r>
      <w:r w:rsidR="00F75284">
        <w:t xml:space="preserve"> of</w:t>
      </w:r>
      <w:r w:rsidR="00F75284" w:rsidRPr="00FE718A">
        <w:t xml:space="preserve"> </w:t>
      </w:r>
      <w:r w:rsidR="003F76AF">
        <w:t>coefficients</w:t>
      </w:r>
      <w:r w:rsidR="003F76AF" w:rsidRPr="00FE718A">
        <w:t xml:space="preserve"> </w:t>
      </w:r>
      <w:r w:rsidR="003F76AF">
        <w:t>from</w:t>
      </w:r>
      <w:r w:rsidRPr="00FE718A">
        <w:t xml:space="preserve"> univariate regressions of vascular plant species richness against </w:t>
      </w:r>
      <w:r w:rsidR="00AB5AE8" w:rsidRPr="00FE718A">
        <w:t>different</w:t>
      </w:r>
      <w:r w:rsidRPr="00FE718A">
        <w:t xml:space="preserve"> axes of </w:t>
      </w:r>
      <w:r w:rsidR="007948F4" w:rsidRPr="00FE718A">
        <w:t>environmental heterogeneity</w:t>
      </w:r>
      <w:r w:rsidR="00F75284">
        <w:rPr>
          <w:vertAlign w:val="superscript"/>
        </w:rPr>
        <w:t>2</w:t>
      </w:r>
      <w:r w:rsidRPr="00FE718A">
        <w:t xml:space="preserve"> </w:t>
      </w:r>
      <w:r w:rsidR="00EB2BE1">
        <w:t>(log</w:t>
      </w:r>
      <w:r w:rsidR="00EB2BE1" w:rsidRPr="00EB2BE1">
        <w:rPr>
          <w:vertAlign w:val="subscript"/>
        </w:rPr>
        <w:t>10</w:t>
      </w:r>
      <w:r w:rsidR="00EB2BE1">
        <w:t xml:space="preserve">-transformed) </w:t>
      </w:r>
      <w:r w:rsidRPr="00FE718A">
        <w:t xml:space="preserve">and overall </w:t>
      </w:r>
      <w:r w:rsidR="007948F4" w:rsidRPr="00FE718A">
        <w:t>environmental heterogeneity</w:t>
      </w:r>
      <w:r w:rsidRPr="00FE718A">
        <w:t xml:space="preserve"> (PC1) across the </w:t>
      </w:r>
      <w:r w:rsidR="0024363A" w:rsidRPr="00FE718A">
        <w:t xml:space="preserve">GCFR </w:t>
      </w:r>
      <w:r w:rsidRPr="00FE718A">
        <w:t xml:space="preserve">and </w:t>
      </w:r>
      <w:r w:rsidR="000134E5" w:rsidRPr="00FE718A">
        <w:t>S</w:t>
      </w:r>
      <w:r w:rsidRPr="00FE718A">
        <w:t xml:space="preserve">WAFR at </w:t>
      </w:r>
      <w:r w:rsidR="00FE718A">
        <w:t>the</w:t>
      </w:r>
      <w:r w:rsidRPr="00FE718A">
        <w:t xml:space="preserve"> (a) </w:t>
      </w:r>
      <w:r w:rsidR="00FE718A">
        <w:t>Q</w:t>
      </w:r>
      <w:r w:rsidRPr="00FE718A">
        <w:t>DS-</w:t>
      </w:r>
      <w:r w:rsidR="00FE718A">
        <w:t xml:space="preserve">, </w:t>
      </w:r>
      <w:r w:rsidRPr="00FE718A">
        <w:t xml:space="preserve">(b) </w:t>
      </w:r>
      <w:r w:rsidR="00FE718A">
        <w:t>H</w:t>
      </w:r>
      <w:r w:rsidRPr="00FE718A">
        <w:t>DS-</w:t>
      </w:r>
      <w:r w:rsidR="00FE718A">
        <w:t xml:space="preserve"> and (c) DS-</w:t>
      </w:r>
      <w:r w:rsidRPr="00FE718A">
        <w:t>scale</w:t>
      </w:r>
      <w:r w:rsidR="00FE718A">
        <w:t>s</w:t>
      </w:r>
      <w:r w:rsidRPr="00FE718A">
        <w:t>.</w:t>
      </w:r>
    </w:p>
    <w:tbl>
      <w:tblPr>
        <w:tblStyle w:val="Table"/>
        <w:tblW w:w="5525" w:type="pct"/>
        <w:tblLayout w:type="fixed"/>
        <w:tblLook w:val="07E0" w:firstRow="1" w:lastRow="1" w:firstColumn="1" w:lastColumn="1" w:noHBand="1" w:noVBand="1"/>
        <w:tblCaption w:val="Table 2: Results of univariate regressions of vascular plant species richness against various axes of EH and overall EH (PC1) across the GCFR and SWAFR, at both (a) HDS- and (b) QDS-scale. For each axis of EH, we fit three univariate models: S as a function of EH, S as a function of EH with an additive term describing region and S as a of EH with an interaction term for region. We used Akaike’s information criterion (AIC; ref) to select which of these three model types fit best for each EH predictor variable. In each case, the best-fitting model (those presented) was selected as the simplest model with ∆AIC &lt; 2.  Abbreviations are as follows: MAP, mean annual precipitation; PDQ, precipitation in the driest quarter; CEC, cation exchange capacity; T, temperature."/>
      </w:tblPr>
      <w:tblGrid>
        <w:gridCol w:w="1134"/>
        <w:gridCol w:w="2268"/>
        <w:gridCol w:w="1418"/>
        <w:gridCol w:w="712"/>
        <w:gridCol w:w="705"/>
        <w:gridCol w:w="1276"/>
        <w:gridCol w:w="851"/>
        <w:gridCol w:w="1278"/>
        <w:gridCol w:w="701"/>
      </w:tblGrid>
      <w:tr w:rsidR="00750943" w:rsidRPr="00840830" w14:paraId="68C1A1ED" w14:textId="426C9F16" w:rsidTr="009C10BD">
        <w:trPr>
          <w:trHeight w:val="227"/>
        </w:trPr>
        <w:tc>
          <w:tcPr>
            <w:tcW w:w="1134" w:type="dxa"/>
            <w:tcBorders>
              <w:top w:val="single" w:sz="4" w:space="0" w:color="auto"/>
              <w:bottom w:val="single" w:sz="2" w:space="0" w:color="auto"/>
            </w:tcBorders>
            <w:vAlign w:val="bottom"/>
          </w:tcPr>
          <w:p w14:paraId="62EBEFAF" w14:textId="77777777" w:rsidR="00750943" w:rsidRPr="00840830" w:rsidRDefault="00750943"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Response</w:t>
            </w:r>
          </w:p>
        </w:tc>
        <w:tc>
          <w:tcPr>
            <w:tcW w:w="2268" w:type="dxa"/>
            <w:tcBorders>
              <w:top w:val="single" w:sz="4" w:space="0" w:color="auto"/>
              <w:bottom w:val="single" w:sz="2" w:space="0" w:color="auto"/>
            </w:tcBorders>
            <w:vAlign w:val="bottom"/>
          </w:tcPr>
          <w:p w14:paraId="1057092F" w14:textId="77777777" w:rsidR="00750943" w:rsidRPr="00840830" w:rsidRDefault="00750943"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Model type</w:t>
            </w:r>
          </w:p>
        </w:tc>
        <w:tc>
          <w:tcPr>
            <w:tcW w:w="1418" w:type="dxa"/>
            <w:tcBorders>
              <w:top w:val="single" w:sz="4" w:space="0" w:color="auto"/>
              <w:bottom w:val="single" w:sz="2" w:space="0" w:color="auto"/>
            </w:tcBorders>
            <w:vAlign w:val="bottom"/>
          </w:tcPr>
          <w:p w14:paraId="7608062B" w14:textId="23B856CA" w:rsidR="00750943" w:rsidRPr="00840830" w:rsidRDefault="00750943"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Predictor</w:t>
            </w:r>
          </w:p>
        </w:tc>
        <w:tc>
          <w:tcPr>
            <w:tcW w:w="1417" w:type="dxa"/>
            <w:gridSpan w:val="2"/>
            <w:tcBorders>
              <w:top w:val="single" w:sz="4" w:space="0" w:color="auto"/>
              <w:bottom w:val="single" w:sz="2" w:space="0" w:color="auto"/>
            </w:tcBorders>
            <w:vAlign w:val="bottom"/>
          </w:tcPr>
          <w:p w14:paraId="6791E9D4" w14:textId="2864D8E1" w:rsidR="00750943" w:rsidRPr="00840830" w:rsidRDefault="00750943" w:rsidP="009C10BD">
            <w:pPr>
              <w:pStyle w:val="Compact"/>
              <w:spacing w:before="0" w:after="0"/>
              <w:jc w:val="center"/>
              <w:rPr>
                <w:rFonts w:ascii="Times New Roman" w:hAnsi="Times New Roman" w:cs="Times New Roman"/>
                <w:sz w:val="22"/>
                <w:szCs w:val="22"/>
              </w:rPr>
            </w:pPr>
            <w:r w:rsidRPr="00840830">
              <w:rPr>
                <w:rFonts w:ascii="Times New Roman" w:hAnsi="Times New Roman" w:cs="Times New Roman"/>
                <w:sz w:val="22"/>
                <w:szCs w:val="22"/>
              </w:rPr>
              <w:t>Main effect</w:t>
            </w:r>
          </w:p>
        </w:tc>
        <w:tc>
          <w:tcPr>
            <w:tcW w:w="2127" w:type="dxa"/>
            <w:gridSpan w:val="2"/>
            <w:tcBorders>
              <w:top w:val="single" w:sz="4" w:space="0" w:color="auto"/>
              <w:bottom w:val="single" w:sz="2" w:space="0" w:color="auto"/>
            </w:tcBorders>
            <w:vAlign w:val="bottom"/>
          </w:tcPr>
          <w:p w14:paraId="7CB0CB9D" w14:textId="6549483C" w:rsidR="00750943" w:rsidRPr="00840830" w:rsidRDefault="00750943" w:rsidP="009C10BD">
            <w:pPr>
              <w:pStyle w:val="Compact"/>
              <w:spacing w:before="0" w:after="0"/>
              <w:jc w:val="center"/>
              <w:rPr>
                <w:rFonts w:ascii="Times New Roman" w:hAnsi="Times New Roman" w:cs="Times New Roman"/>
                <w:sz w:val="22"/>
                <w:szCs w:val="22"/>
              </w:rPr>
            </w:pPr>
            <w:r w:rsidRPr="00840830">
              <w:rPr>
                <w:rFonts w:ascii="Times New Roman" w:hAnsi="Times New Roman" w:cs="Times New Roman"/>
                <w:sz w:val="22"/>
                <w:szCs w:val="22"/>
              </w:rPr>
              <w:t>SWAFR effect</w:t>
            </w:r>
          </w:p>
        </w:tc>
        <w:tc>
          <w:tcPr>
            <w:tcW w:w="1979" w:type="dxa"/>
            <w:gridSpan w:val="2"/>
            <w:tcBorders>
              <w:top w:val="single" w:sz="4" w:space="0" w:color="auto"/>
              <w:bottom w:val="single" w:sz="2" w:space="0" w:color="auto"/>
            </w:tcBorders>
          </w:tcPr>
          <w:p w14:paraId="5C1FEF33" w14:textId="0F98C276" w:rsidR="00750943" w:rsidRPr="00840830" w:rsidRDefault="00750943" w:rsidP="009C10BD">
            <w:pPr>
              <w:pStyle w:val="Compact"/>
              <w:spacing w:before="0" w:after="0"/>
              <w:jc w:val="center"/>
              <w:rPr>
                <w:rFonts w:ascii="Times New Roman" w:hAnsi="Times New Roman" w:cs="Times New Roman"/>
                <w:sz w:val="22"/>
                <w:szCs w:val="22"/>
              </w:rPr>
            </w:pPr>
            <w:r w:rsidRPr="00840830">
              <w:rPr>
                <w:rFonts w:ascii="Times New Roman" w:hAnsi="Times New Roman" w:cs="Times New Roman"/>
                <w:sz w:val="22"/>
                <w:szCs w:val="22"/>
              </w:rPr>
              <w:t>SWAFR interaction</w:t>
            </w:r>
          </w:p>
        </w:tc>
      </w:tr>
      <w:tr w:rsidR="00D51F88" w:rsidRPr="00840830" w14:paraId="5E236C3F" w14:textId="50285A0F" w:rsidTr="009C10BD">
        <w:trPr>
          <w:trHeight w:val="227"/>
        </w:trPr>
        <w:tc>
          <w:tcPr>
            <w:tcW w:w="1134" w:type="dxa"/>
            <w:tcBorders>
              <w:top w:val="single" w:sz="4" w:space="0" w:color="auto"/>
            </w:tcBorders>
          </w:tcPr>
          <w:p w14:paraId="7FDF71C7" w14:textId="65BB2C33" w:rsidR="00D51F88" w:rsidRPr="00840830" w:rsidRDefault="00D51F88"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 xml:space="preserve">(a) </w:t>
            </w:r>
            <w:r w:rsidRPr="00840830">
              <w:rPr>
                <w:rFonts w:ascii="Times New Roman" w:hAnsi="Times New Roman" w:cs="Times New Roman"/>
                <w:i/>
                <w:sz w:val="22"/>
                <w:szCs w:val="22"/>
              </w:rPr>
              <w:t>S</w:t>
            </w:r>
            <w:r w:rsidRPr="00840830">
              <w:rPr>
                <w:rFonts w:ascii="Times New Roman" w:hAnsi="Times New Roman" w:cs="Times New Roman"/>
                <w:sz w:val="22"/>
                <w:szCs w:val="22"/>
                <w:vertAlign w:val="subscript"/>
              </w:rPr>
              <w:t>QDS</w:t>
            </w:r>
          </w:p>
        </w:tc>
        <w:tc>
          <w:tcPr>
            <w:tcW w:w="2268" w:type="dxa"/>
            <w:tcBorders>
              <w:top w:val="single" w:sz="4" w:space="0" w:color="auto"/>
            </w:tcBorders>
          </w:tcPr>
          <w:p w14:paraId="3A1CD0A9" w14:textId="53405389"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Main effect </w:t>
            </w:r>
            <w:r w:rsidR="00A46338" w:rsidRPr="00840830">
              <w:rPr>
                <w:rFonts w:cstheme="majorBidi"/>
                <w:sz w:val="22"/>
                <w:szCs w:val="22"/>
              </w:rPr>
              <w:t>×</w:t>
            </w:r>
            <w:r w:rsidRPr="00840830">
              <w:rPr>
                <w:sz w:val="22"/>
                <w:szCs w:val="22"/>
              </w:rPr>
              <w:t xml:space="preserve"> region</w:t>
            </w:r>
          </w:p>
        </w:tc>
        <w:tc>
          <w:tcPr>
            <w:tcW w:w="1418" w:type="dxa"/>
            <w:tcBorders>
              <w:top w:val="single" w:sz="4" w:space="0" w:color="auto"/>
            </w:tcBorders>
          </w:tcPr>
          <w:p w14:paraId="7E7DB67D" w14:textId="2547FEF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MAP</w:t>
            </w:r>
          </w:p>
        </w:tc>
        <w:tc>
          <w:tcPr>
            <w:tcW w:w="712" w:type="dxa"/>
            <w:tcBorders>
              <w:top w:val="single" w:sz="4" w:space="0" w:color="auto"/>
            </w:tcBorders>
          </w:tcPr>
          <w:p w14:paraId="37CEC41C" w14:textId="79DF839F"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192.1</w:t>
            </w:r>
          </w:p>
        </w:tc>
        <w:tc>
          <w:tcPr>
            <w:tcW w:w="705" w:type="dxa"/>
            <w:tcBorders>
              <w:top w:val="single" w:sz="4" w:space="0" w:color="auto"/>
            </w:tcBorders>
          </w:tcPr>
          <w:p w14:paraId="124632D4" w14:textId="61F0FA12"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single" w:sz="4" w:space="0" w:color="auto"/>
            </w:tcBorders>
          </w:tcPr>
          <w:p w14:paraId="2A189B86" w14:textId="061D8C8F"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66.4</w:t>
            </w:r>
          </w:p>
        </w:tc>
        <w:tc>
          <w:tcPr>
            <w:tcW w:w="851" w:type="dxa"/>
            <w:tcBorders>
              <w:top w:val="single" w:sz="4" w:space="0" w:color="auto"/>
            </w:tcBorders>
          </w:tcPr>
          <w:p w14:paraId="0D13397A" w14:textId="479067F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single" w:sz="4" w:space="0" w:color="auto"/>
            </w:tcBorders>
          </w:tcPr>
          <w:p w14:paraId="1933196D" w14:textId="36A60123"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-74.0</w:t>
            </w:r>
          </w:p>
        </w:tc>
        <w:tc>
          <w:tcPr>
            <w:tcW w:w="701" w:type="dxa"/>
            <w:tcBorders>
              <w:top w:val="single" w:sz="4" w:space="0" w:color="auto"/>
            </w:tcBorders>
          </w:tcPr>
          <w:p w14:paraId="3713C5D2" w14:textId="312B0609"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D51F88" w:rsidRPr="00840830" w14:paraId="7933C511" w14:textId="0C98D100" w:rsidTr="009C10BD">
        <w:trPr>
          <w:trHeight w:val="227"/>
        </w:trPr>
        <w:tc>
          <w:tcPr>
            <w:tcW w:w="1134" w:type="dxa"/>
          </w:tcPr>
          <w:p w14:paraId="0FFC9D5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692D782F" w14:textId="5A93554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106891E5" w14:textId="32AC1D22"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NDVI</w:t>
            </w:r>
          </w:p>
        </w:tc>
        <w:tc>
          <w:tcPr>
            <w:tcW w:w="712" w:type="dxa"/>
          </w:tcPr>
          <w:p w14:paraId="16B1CA79" w14:textId="33E57F82"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137.5</w:t>
            </w:r>
          </w:p>
        </w:tc>
        <w:tc>
          <w:tcPr>
            <w:tcW w:w="705" w:type="dxa"/>
          </w:tcPr>
          <w:p w14:paraId="3DB133FD" w14:textId="0FDBAB94"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22434F2" w14:textId="065966B0"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-42.1</w:t>
            </w:r>
          </w:p>
        </w:tc>
        <w:tc>
          <w:tcPr>
            <w:tcW w:w="851" w:type="dxa"/>
          </w:tcPr>
          <w:p w14:paraId="520FFF0E" w14:textId="6335A438"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6D0CD601" w14:textId="2EC513DA"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-89.4</w:t>
            </w:r>
          </w:p>
        </w:tc>
        <w:tc>
          <w:tcPr>
            <w:tcW w:w="701" w:type="dxa"/>
          </w:tcPr>
          <w:p w14:paraId="5D9699F5" w14:textId="77C8FD5C"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D51F88" w:rsidRPr="00840830" w14:paraId="791B7B7E" w14:textId="759D253E" w:rsidTr="009C10BD">
        <w:trPr>
          <w:trHeight w:val="227"/>
        </w:trPr>
        <w:tc>
          <w:tcPr>
            <w:tcW w:w="1134" w:type="dxa"/>
          </w:tcPr>
          <w:p w14:paraId="521C1AF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1B43E820" w14:textId="1E144F7B"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172CDE68" w14:textId="243CFA57"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Soil C</w:t>
            </w:r>
          </w:p>
        </w:tc>
        <w:tc>
          <w:tcPr>
            <w:tcW w:w="712" w:type="dxa"/>
          </w:tcPr>
          <w:p w14:paraId="2F5CF9E6" w14:textId="423DF673"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113.9</w:t>
            </w:r>
          </w:p>
        </w:tc>
        <w:tc>
          <w:tcPr>
            <w:tcW w:w="705" w:type="dxa"/>
          </w:tcPr>
          <w:p w14:paraId="1CEBB649" w14:textId="5C9578D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19BCDE2C" w14:textId="5E246E38"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-4.2</w:t>
            </w:r>
          </w:p>
        </w:tc>
        <w:tc>
          <w:tcPr>
            <w:tcW w:w="851" w:type="dxa"/>
          </w:tcPr>
          <w:p w14:paraId="7DA3F4AE" w14:textId="1CCCF96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2BF8188" w14:textId="36A54F62"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-72.4</w:t>
            </w:r>
          </w:p>
        </w:tc>
        <w:tc>
          <w:tcPr>
            <w:tcW w:w="701" w:type="dxa"/>
          </w:tcPr>
          <w:p w14:paraId="28AAA22D" w14:textId="4D7F04E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D51F88" w:rsidRPr="00840830" w14:paraId="3395C1A3" w14:textId="351C6C7E" w:rsidTr="009C10BD">
        <w:trPr>
          <w:trHeight w:val="227"/>
        </w:trPr>
        <w:tc>
          <w:tcPr>
            <w:tcW w:w="1134" w:type="dxa"/>
          </w:tcPr>
          <w:p w14:paraId="2E5D80C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5422B480" w14:textId="1CEB0AF9"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Borders>
              <w:bottom w:val="dashSmallGap" w:sz="4" w:space="0" w:color="auto"/>
            </w:tcBorders>
          </w:tcPr>
          <w:p w14:paraId="52737AA6" w14:textId="1EB3FA3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PC1</w:t>
            </w:r>
          </w:p>
        </w:tc>
        <w:tc>
          <w:tcPr>
            <w:tcW w:w="712" w:type="dxa"/>
            <w:tcBorders>
              <w:bottom w:val="dashSmallGap" w:sz="4" w:space="0" w:color="auto"/>
            </w:tcBorders>
          </w:tcPr>
          <w:p w14:paraId="33351E94" w14:textId="20A43517"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79.4</w:t>
            </w:r>
          </w:p>
        </w:tc>
        <w:tc>
          <w:tcPr>
            <w:tcW w:w="705" w:type="dxa"/>
            <w:tcBorders>
              <w:bottom w:val="dashSmallGap" w:sz="4" w:space="0" w:color="auto"/>
            </w:tcBorders>
          </w:tcPr>
          <w:p w14:paraId="17E2D94D" w14:textId="4D1B06C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74B72806" w14:textId="5695876D"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89.6</w:t>
            </w:r>
          </w:p>
        </w:tc>
        <w:tc>
          <w:tcPr>
            <w:tcW w:w="851" w:type="dxa"/>
            <w:tcBorders>
              <w:bottom w:val="dashSmallGap" w:sz="4" w:space="0" w:color="auto"/>
            </w:tcBorders>
          </w:tcPr>
          <w:p w14:paraId="31877234" w14:textId="5AC8354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bottom w:val="dashSmallGap" w:sz="4" w:space="0" w:color="auto"/>
            </w:tcBorders>
          </w:tcPr>
          <w:p w14:paraId="4C9E306A" w14:textId="417932CB"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-24.6</w:t>
            </w:r>
          </w:p>
        </w:tc>
        <w:tc>
          <w:tcPr>
            <w:tcW w:w="701" w:type="dxa"/>
            <w:tcBorders>
              <w:bottom w:val="dashSmallGap" w:sz="4" w:space="0" w:color="auto"/>
            </w:tcBorders>
          </w:tcPr>
          <w:p w14:paraId="1E7AF6F1" w14:textId="3ACBF80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750943" w:rsidRPr="00840830" w14:paraId="4503C606" w14:textId="6E6034DE" w:rsidTr="009C10BD">
        <w:trPr>
          <w:trHeight w:val="227"/>
        </w:trPr>
        <w:tc>
          <w:tcPr>
            <w:tcW w:w="1134" w:type="dxa"/>
          </w:tcPr>
          <w:p w14:paraId="13326302"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Borders>
              <w:top w:val="dashSmallGap" w:sz="4" w:space="0" w:color="auto"/>
            </w:tcBorders>
          </w:tcPr>
          <w:p w14:paraId="0F0D0092" w14:textId="3DF5ECBF"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Main effect + region</w:t>
            </w:r>
          </w:p>
        </w:tc>
        <w:tc>
          <w:tcPr>
            <w:tcW w:w="1418" w:type="dxa"/>
            <w:tcBorders>
              <w:top w:val="dashSmallGap" w:sz="4" w:space="0" w:color="auto"/>
            </w:tcBorders>
          </w:tcPr>
          <w:p w14:paraId="00DBA767" w14:textId="6730091E"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Elevation</w:t>
            </w:r>
          </w:p>
        </w:tc>
        <w:tc>
          <w:tcPr>
            <w:tcW w:w="712" w:type="dxa"/>
            <w:tcBorders>
              <w:top w:val="dashSmallGap" w:sz="4" w:space="0" w:color="auto"/>
            </w:tcBorders>
          </w:tcPr>
          <w:p w14:paraId="05B1BD0A" w14:textId="3CBA4480"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96.9</w:t>
            </w:r>
          </w:p>
        </w:tc>
        <w:tc>
          <w:tcPr>
            <w:tcW w:w="705" w:type="dxa"/>
            <w:tcBorders>
              <w:top w:val="dashSmallGap" w:sz="4" w:space="0" w:color="auto"/>
            </w:tcBorders>
          </w:tcPr>
          <w:p w14:paraId="0EADD8F7" w14:textId="54864BBD"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tcBorders>
          </w:tcPr>
          <w:p w14:paraId="3E6940C6" w14:textId="50E2A64F"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72.6</w:t>
            </w:r>
          </w:p>
        </w:tc>
        <w:tc>
          <w:tcPr>
            <w:tcW w:w="851" w:type="dxa"/>
            <w:tcBorders>
              <w:top w:val="dashSmallGap" w:sz="4" w:space="0" w:color="auto"/>
            </w:tcBorders>
          </w:tcPr>
          <w:p w14:paraId="66E6B99C" w14:textId="0DD73A64"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tcBorders>
          </w:tcPr>
          <w:p w14:paraId="7AE7FA8F" w14:textId="5D55B9DA"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tcBorders>
          </w:tcPr>
          <w:p w14:paraId="7BD92720" w14:textId="3CC7D6F5" w:rsidR="00750943" w:rsidRPr="00840830" w:rsidRDefault="00750943" w:rsidP="009C10BD">
            <w:pPr>
              <w:pStyle w:val="Compact"/>
              <w:spacing w:before="0" w:after="0"/>
              <w:rPr>
                <w:rFonts w:ascii="Times New Roman" w:hAnsi="Times New Roman" w:cs="Times New Roman"/>
                <w:sz w:val="22"/>
                <w:szCs w:val="22"/>
              </w:rPr>
            </w:pPr>
          </w:p>
        </w:tc>
      </w:tr>
      <w:tr w:rsidR="00750943" w:rsidRPr="00840830" w14:paraId="2061C68C" w14:textId="54BEE7D7" w:rsidTr="009C10BD">
        <w:trPr>
          <w:trHeight w:val="227"/>
        </w:trPr>
        <w:tc>
          <w:tcPr>
            <w:tcW w:w="1134" w:type="dxa"/>
          </w:tcPr>
          <w:p w14:paraId="3CD09BF6"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Pr>
          <w:p w14:paraId="29FC06A8" w14:textId="7C7FB2D9"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44983026" w14:textId="0FA94D8A"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PDQ</w:t>
            </w:r>
          </w:p>
        </w:tc>
        <w:tc>
          <w:tcPr>
            <w:tcW w:w="712" w:type="dxa"/>
          </w:tcPr>
          <w:p w14:paraId="1D7C08D5" w14:textId="24DFBC3E"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112.1</w:t>
            </w:r>
          </w:p>
        </w:tc>
        <w:tc>
          <w:tcPr>
            <w:tcW w:w="705" w:type="dxa"/>
          </w:tcPr>
          <w:p w14:paraId="3A6BA3DA" w14:textId="231D76CE"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4E79BF2E" w14:textId="36455F0E"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57.6</w:t>
            </w:r>
          </w:p>
        </w:tc>
        <w:tc>
          <w:tcPr>
            <w:tcW w:w="851" w:type="dxa"/>
          </w:tcPr>
          <w:p w14:paraId="2FA83183" w14:textId="51C0D1BA"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5D786016" w14:textId="598E4B05"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Pr>
          <w:p w14:paraId="3AD10EA1" w14:textId="42E0ECBD" w:rsidR="00750943" w:rsidRPr="00840830" w:rsidRDefault="00750943" w:rsidP="009C10BD">
            <w:pPr>
              <w:pStyle w:val="Compact"/>
              <w:spacing w:before="0" w:after="0"/>
              <w:rPr>
                <w:rFonts w:ascii="Times New Roman" w:hAnsi="Times New Roman" w:cs="Times New Roman"/>
                <w:sz w:val="22"/>
                <w:szCs w:val="22"/>
              </w:rPr>
            </w:pPr>
          </w:p>
        </w:tc>
      </w:tr>
      <w:tr w:rsidR="00D51F88" w:rsidRPr="00840830" w14:paraId="61021E01" w14:textId="012B0312" w:rsidTr="009C10BD">
        <w:trPr>
          <w:trHeight w:val="227"/>
        </w:trPr>
        <w:tc>
          <w:tcPr>
            <w:tcW w:w="1134" w:type="dxa"/>
          </w:tcPr>
          <w:p w14:paraId="620A9F7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4C951B7B" w14:textId="2457F46C"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0F4C29CF" w14:textId="468F415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CEC</w:t>
            </w:r>
          </w:p>
        </w:tc>
        <w:tc>
          <w:tcPr>
            <w:tcW w:w="712" w:type="dxa"/>
          </w:tcPr>
          <w:p w14:paraId="77ECA1CB" w14:textId="56381F62"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25.0</w:t>
            </w:r>
          </w:p>
        </w:tc>
        <w:tc>
          <w:tcPr>
            <w:tcW w:w="705" w:type="dxa"/>
          </w:tcPr>
          <w:p w14:paraId="4C07E068" w14:textId="696CA07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6538D2C4" w14:textId="4218E7B7"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-50.5</w:t>
            </w:r>
          </w:p>
        </w:tc>
        <w:tc>
          <w:tcPr>
            <w:tcW w:w="851" w:type="dxa"/>
          </w:tcPr>
          <w:p w14:paraId="4FFA9300" w14:textId="0466A13F"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37F42DAA" w14:textId="49E6D40B"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Pr>
          <w:p w14:paraId="6A216F13" w14:textId="37618B7B"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36C98A9B" w14:textId="1FAF2C2F" w:rsidTr="009C10BD">
        <w:trPr>
          <w:trHeight w:val="227"/>
        </w:trPr>
        <w:tc>
          <w:tcPr>
            <w:tcW w:w="1134" w:type="dxa"/>
          </w:tcPr>
          <w:p w14:paraId="2945E947"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7A130542" w14:textId="7AD4626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Borders>
              <w:bottom w:val="dashSmallGap" w:sz="4" w:space="0" w:color="auto"/>
            </w:tcBorders>
          </w:tcPr>
          <w:p w14:paraId="46BDA538" w14:textId="15EECAA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Clay</w:t>
            </w:r>
          </w:p>
        </w:tc>
        <w:tc>
          <w:tcPr>
            <w:tcW w:w="712" w:type="dxa"/>
            <w:tcBorders>
              <w:bottom w:val="dashSmallGap" w:sz="4" w:space="0" w:color="auto"/>
            </w:tcBorders>
          </w:tcPr>
          <w:p w14:paraId="74783313" w14:textId="5C26E844"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27.0</w:t>
            </w:r>
          </w:p>
        </w:tc>
        <w:tc>
          <w:tcPr>
            <w:tcW w:w="705" w:type="dxa"/>
            <w:tcBorders>
              <w:bottom w:val="dashSmallGap" w:sz="4" w:space="0" w:color="auto"/>
            </w:tcBorders>
          </w:tcPr>
          <w:p w14:paraId="424C6905" w14:textId="2D4746C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0865CE3F" w14:textId="5BA957A3"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-53.4</w:t>
            </w:r>
          </w:p>
        </w:tc>
        <w:tc>
          <w:tcPr>
            <w:tcW w:w="851" w:type="dxa"/>
            <w:tcBorders>
              <w:bottom w:val="dashSmallGap" w:sz="4" w:space="0" w:color="auto"/>
            </w:tcBorders>
          </w:tcPr>
          <w:p w14:paraId="44A5E9CE" w14:textId="3DDB2476"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bottom w:val="dashSmallGap" w:sz="4" w:space="0" w:color="auto"/>
            </w:tcBorders>
          </w:tcPr>
          <w:p w14:paraId="6D69913D" w14:textId="3430AD39"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bottom w:val="dashSmallGap" w:sz="4" w:space="0" w:color="auto"/>
            </w:tcBorders>
          </w:tcPr>
          <w:p w14:paraId="1E3EC4D1" w14:textId="4A723EBF" w:rsidR="00D51F88" w:rsidRPr="00840830" w:rsidRDefault="00D51F88" w:rsidP="009C10BD">
            <w:pPr>
              <w:pStyle w:val="Compact"/>
              <w:spacing w:before="0" w:after="0"/>
              <w:rPr>
                <w:rFonts w:ascii="Times New Roman" w:hAnsi="Times New Roman" w:cs="Times New Roman"/>
                <w:sz w:val="22"/>
                <w:szCs w:val="22"/>
              </w:rPr>
            </w:pPr>
          </w:p>
        </w:tc>
      </w:tr>
      <w:tr w:rsidR="00750943" w:rsidRPr="00840830" w14:paraId="14F91A09" w14:textId="6911532D" w:rsidTr="009C10BD">
        <w:trPr>
          <w:trHeight w:val="227"/>
        </w:trPr>
        <w:tc>
          <w:tcPr>
            <w:tcW w:w="1134" w:type="dxa"/>
          </w:tcPr>
          <w:p w14:paraId="6CD73313"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Borders>
              <w:top w:val="dashSmallGap" w:sz="4" w:space="0" w:color="auto"/>
              <w:bottom w:val="dashSmallGap" w:sz="4" w:space="0" w:color="auto"/>
            </w:tcBorders>
          </w:tcPr>
          <w:p w14:paraId="16CF46C8" w14:textId="5D2C097B"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Main effect only</w:t>
            </w:r>
          </w:p>
        </w:tc>
        <w:tc>
          <w:tcPr>
            <w:tcW w:w="1418" w:type="dxa"/>
            <w:tcBorders>
              <w:top w:val="dashSmallGap" w:sz="4" w:space="0" w:color="auto"/>
              <w:bottom w:val="dashSmallGap" w:sz="4" w:space="0" w:color="auto"/>
            </w:tcBorders>
          </w:tcPr>
          <w:p w14:paraId="28DB2945" w14:textId="7C2C766D"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Surface T</w:t>
            </w:r>
          </w:p>
        </w:tc>
        <w:tc>
          <w:tcPr>
            <w:tcW w:w="712" w:type="dxa"/>
            <w:tcBorders>
              <w:top w:val="dashSmallGap" w:sz="4" w:space="0" w:color="auto"/>
              <w:bottom w:val="dashSmallGap" w:sz="4" w:space="0" w:color="auto"/>
            </w:tcBorders>
          </w:tcPr>
          <w:p w14:paraId="7ACB01E5" w14:textId="775FD444" w:rsidR="00750943"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74.6</w:t>
            </w:r>
          </w:p>
        </w:tc>
        <w:tc>
          <w:tcPr>
            <w:tcW w:w="705" w:type="dxa"/>
            <w:tcBorders>
              <w:top w:val="dashSmallGap" w:sz="4" w:space="0" w:color="auto"/>
              <w:bottom w:val="dashSmallGap" w:sz="4" w:space="0" w:color="auto"/>
            </w:tcBorders>
          </w:tcPr>
          <w:p w14:paraId="5914B97B" w14:textId="2CD01952"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bottom w:val="dashSmallGap" w:sz="4" w:space="0" w:color="auto"/>
            </w:tcBorders>
          </w:tcPr>
          <w:p w14:paraId="0B1C974D" w14:textId="2454AC90" w:rsidR="00750943" w:rsidRPr="00840830" w:rsidRDefault="00750943"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top w:val="dashSmallGap" w:sz="4" w:space="0" w:color="auto"/>
              <w:bottom w:val="dashSmallGap" w:sz="4" w:space="0" w:color="auto"/>
            </w:tcBorders>
          </w:tcPr>
          <w:p w14:paraId="62E522DD" w14:textId="6DDBC8CE"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top w:val="dashSmallGap" w:sz="4" w:space="0" w:color="auto"/>
              <w:bottom w:val="dashSmallGap" w:sz="4" w:space="0" w:color="auto"/>
            </w:tcBorders>
          </w:tcPr>
          <w:p w14:paraId="3E1DE032" w14:textId="1BDDF377"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bottom w:val="dashSmallGap" w:sz="4" w:space="0" w:color="auto"/>
            </w:tcBorders>
          </w:tcPr>
          <w:p w14:paraId="58B0C99A" w14:textId="2CD1DA0C" w:rsidR="00750943" w:rsidRPr="00840830" w:rsidRDefault="00750943" w:rsidP="009C10BD">
            <w:pPr>
              <w:pStyle w:val="Compact"/>
              <w:spacing w:before="0" w:after="0"/>
              <w:rPr>
                <w:rFonts w:ascii="Times New Roman" w:hAnsi="Times New Roman" w:cs="Times New Roman"/>
                <w:sz w:val="22"/>
                <w:szCs w:val="22"/>
              </w:rPr>
            </w:pPr>
          </w:p>
        </w:tc>
      </w:tr>
      <w:tr w:rsidR="00750943" w:rsidRPr="00840830" w14:paraId="64E78183" w14:textId="1132F423" w:rsidTr="009C10BD">
        <w:trPr>
          <w:trHeight w:val="227"/>
        </w:trPr>
        <w:tc>
          <w:tcPr>
            <w:tcW w:w="1134" w:type="dxa"/>
            <w:tcBorders>
              <w:bottom w:val="single" w:sz="4" w:space="0" w:color="auto"/>
            </w:tcBorders>
          </w:tcPr>
          <w:p w14:paraId="336879F3"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Borders>
              <w:top w:val="dashSmallGap" w:sz="4" w:space="0" w:color="auto"/>
            </w:tcBorders>
          </w:tcPr>
          <w:p w14:paraId="4A1B3F56" w14:textId="0E1B96C2"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Region only</w:t>
            </w:r>
          </w:p>
        </w:tc>
        <w:tc>
          <w:tcPr>
            <w:tcW w:w="1418" w:type="dxa"/>
            <w:tcBorders>
              <w:top w:val="dashSmallGap" w:sz="4" w:space="0" w:color="auto"/>
            </w:tcBorders>
          </w:tcPr>
          <w:p w14:paraId="12599AD7" w14:textId="071CC3AA"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pH</w:t>
            </w:r>
          </w:p>
        </w:tc>
        <w:tc>
          <w:tcPr>
            <w:tcW w:w="712" w:type="dxa"/>
            <w:tcBorders>
              <w:top w:val="dashSmallGap" w:sz="4" w:space="0" w:color="auto"/>
            </w:tcBorders>
          </w:tcPr>
          <w:p w14:paraId="1295E05B" w14:textId="4DB9D3E0" w:rsidR="00750943"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18.5</w:t>
            </w:r>
          </w:p>
        </w:tc>
        <w:tc>
          <w:tcPr>
            <w:tcW w:w="705" w:type="dxa"/>
            <w:tcBorders>
              <w:top w:val="dashSmallGap" w:sz="4" w:space="0" w:color="auto"/>
            </w:tcBorders>
          </w:tcPr>
          <w:p w14:paraId="1ACCCA05" w14:textId="4FDAEDB1" w:rsidR="00750943" w:rsidRPr="00840830" w:rsidRDefault="002B5DBF"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tcBorders>
          </w:tcPr>
          <w:p w14:paraId="3D6ED5D1" w14:textId="6D021B47" w:rsidR="00750943"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-53.6</w:t>
            </w:r>
          </w:p>
        </w:tc>
        <w:tc>
          <w:tcPr>
            <w:tcW w:w="851" w:type="dxa"/>
            <w:tcBorders>
              <w:top w:val="dashSmallGap" w:sz="4" w:space="0" w:color="auto"/>
            </w:tcBorders>
          </w:tcPr>
          <w:p w14:paraId="600D8F03" w14:textId="3CF6E141"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tcBorders>
          </w:tcPr>
          <w:p w14:paraId="67001671" w14:textId="09A6D295"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tcBorders>
          </w:tcPr>
          <w:p w14:paraId="6ACC985C" w14:textId="5FE957E6" w:rsidR="00750943" w:rsidRPr="00840830" w:rsidRDefault="00750943" w:rsidP="009C10BD">
            <w:pPr>
              <w:pStyle w:val="Compact"/>
              <w:spacing w:before="0" w:after="0"/>
              <w:rPr>
                <w:rFonts w:ascii="Times New Roman" w:hAnsi="Times New Roman" w:cs="Times New Roman"/>
                <w:sz w:val="22"/>
                <w:szCs w:val="22"/>
              </w:rPr>
            </w:pPr>
          </w:p>
        </w:tc>
      </w:tr>
      <w:tr w:rsidR="00D15B52" w:rsidRPr="00840830" w14:paraId="1D077985" w14:textId="45FE03B9" w:rsidTr="009C10BD">
        <w:trPr>
          <w:trHeight w:val="227"/>
        </w:trPr>
        <w:tc>
          <w:tcPr>
            <w:tcW w:w="1134" w:type="dxa"/>
            <w:tcBorders>
              <w:top w:val="single" w:sz="4" w:space="0" w:color="auto"/>
            </w:tcBorders>
          </w:tcPr>
          <w:p w14:paraId="6E4CF490" w14:textId="041C0560"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 xml:space="preserve">(b) </w:t>
            </w:r>
            <w:r w:rsidRPr="00840830">
              <w:rPr>
                <w:rFonts w:ascii="Times New Roman" w:hAnsi="Times New Roman" w:cs="Times New Roman"/>
                <w:i/>
                <w:sz w:val="22"/>
                <w:szCs w:val="22"/>
              </w:rPr>
              <w:t>S</w:t>
            </w:r>
            <w:r w:rsidRPr="00840830">
              <w:rPr>
                <w:rFonts w:ascii="Times New Roman" w:hAnsi="Times New Roman" w:cs="Times New Roman"/>
                <w:sz w:val="22"/>
                <w:szCs w:val="22"/>
                <w:vertAlign w:val="subscript"/>
              </w:rPr>
              <w:t>HDS</w:t>
            </w:r>
          </w:p>
        </w:tc>
        <w:tc>
          <w:tcPr>
            <w:tcW w:w="2268" w:type="dxa"/>
            <w:tcBorders>
              <w:top w:val="single" w:sz="2" w:space="0" w:color="auto"/>
            </w:tcBorders>
          </w:tcPr>
          <w:p w14:paraId="194F390B" w14:textId="77777777"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Main effect only</w:t>
            </w:r>
          </w:p>
        </w:tc>
        <w:tc>
          <w:tcPr>
            <w:tcW w:w="1418" w:type="dxa"/>
            <w:tcBorders>
              <w:top w:val="single" w:sz="2" w:space="0" w:color="auto"/>
            </w:tcBorders>
          </w:tcPr>
          <w:p w14:paraId="0F4C10DF" w14:textId="5DF63C0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Elevation</w:t>
            </w:r>
          </w:p>
        </w:tc>
        <w:tc>
          <w:tcPr>
            <w:tcW w:w="712" w:type="dxa"/>
            <w:tcBorders>
              <w:top w:val="single" w:sz="2" w:space="0" w:color="auto"/>
            </w:tcBorders>
          </w:tcPr>
          <w:p w14:paraId="7430057D" w14:textId="0F058425"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119.3</w:t>
            </w:r>
          </w:p>
        </w:tc>
        <w:tc>
          <w:tcPr>
            <w:tcW w:w="705" w:type="dxa"/>
            <w:tcBorders>
              <w:top w:val="single" w:sz="2" w:space="0" w:color="auto"/>
            </w:tcBorders>
          </w:tcPr>
          <w:p w14:paraId="714F7B60" w14:textId="0C0084C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single" w:sz="2" w:space="0" w:color="auto"/>
            </w:tcBorders>
          </w:tcPr>
          <w:p w14:paraId="113D1288" w14:textId="0AF2E3DF"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top w:val="single" w:sz="2" w:space="0" w:color="auto"/>
            </w:tcBorders>
          </w:tcPr>
          <w:p w14:paraId="6EFC9A3C" w14:textId="231C951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top w:val="single" w:sz="2" w:space="0" w:color="auto"/>
            </w:tcBorders>
          </w:tcPr>
          <w:p w14:paraId="3F218F66"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top w:val="single" w:sz="2" w:space="0" w:color="auto"/>
            </w:tcBorders>
          </w:tcPr>
          <w:p w14:paraId="3CE1A540"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6B625CED" w14:textId="378D684F" w:rsidTr="009C10BD">
        <w:trPr>
          <w:trHeight w:val="227"/>
        </w:trPr>
        <w:tc>
          <w:tcPr>
            <w:tcW w:w="1134" w:type="dxa"/>
          </w:tcPr>
          <w:p w14:paraId="42CDAA33"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670739EC"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1B45F2F2" w14:textId="53862390"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MAP</w:t>
            </w:r>
          </w:p>
        </w:tc>
        <w:tc>
          <w:tcPr>
            <w:tcW w:w="712" w:type="dxa"/>
          </w:tcPr>
          <w:p w14:paraId="6585EA14" w14:textId="38D2FEDB"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266.1</w:t>
            </w:r>
          </w:p>
        </w:tc>
        <w:tc>
          <w:tcPr>
            <w:tcW w:w="705" w:type="dxa"/>
          </w:tcPr>
          <w:p w14:paraId="5D71FBFF" w14:textId="319C70A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78DD53B4" w14:textId="599BA30B"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5DE11A13" w14:textId="42CAC30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9C76AB8"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6E7734B"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5210E479" w14:textId="383EE0DC" w:rsidTr="009C10BD">
        <w:trPr>
          <w:trHeight w:val="227"/>
        </w:trPr>
        <w:tc>
          <w:tcPr>
            <w:tcW w:w="1134" w:type="dxa"/>
          </w:tcPr>
          <w:p w14:paraId="3793E1B1"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3F4604DD"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7C3569A6" w14:textId="3E798513"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PDQ</w:t>
            </w:r>
          </w:p>
        </w:tc>
        <w:tc>
          <w:tcPr>
            <w:tcW w:w="712" w:type="dxa"/>
          </w:tcPr>
          <w:p w14:paraId="2822FD91" w14:textId="07BC58E2"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189.4</w:t>
            </w:r>
          </w:p>
        </w:tc>
        <w:tc>
          <w:tcPr>
            <w:tcW w:w="705" w:type="dxa"/>
          </w:tcPr>
          <w:p w14:paraId="61666BAE" w14:textId="49911C5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313DE168" w14:textId="5EF8516D"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2DFD1B8A" w14:textId="7758A20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13DDF654"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5F451EE1"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67434E0C" w14:textId="79BE7819" w:rsidTr="009C10BD">
        <w:trPr>
          <w:trHeight w:val="227"/>
        </w:trPr>
        <w:tc>
          <w:tcPr>
            <w:tcW w:w="1134" w:type="dxa"/>
          </w:tcPr>
          <w:p w14:paraId="6D19E55F"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1581718A"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21ED70B5" w14:textId="2C1716B0"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Surface T</w:t>
            </w:r>
          </w:p>
        </w:tc>
        <w:tc>
          <w:tcPr>
            <w:tcW w:w="712" w:type="dxa"/>
          </w:tcPr>
          <w:p w14:paraId="2D09A4B9" w14:textId="5D7B6563"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130.6</w:t>
            </w:r>
          </w:p>
        </w:tc>
        <w:tc>
          <w:tcPr>
            <w:tcW w:w="705" w:type="dxa"/>
          </w:tcPr>
          <w:p w14:paraId="6601264B" w14:textId="6E7A722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5270A53" w14:textId="6A797EBB"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55C3EE63" w14:textId="51FFB9D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38F98BF8"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1B125989"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27B21AD3" w14:textId="2A019963" w:rsidTr="009C10BD">
        <w:trPr>
          <w:trHeight w:val="227"/>
        </w:trPr>
        <w:tc>
          <w:tcPr>
            <w:tcW w:w="1134" w:type="dxa"/>
          </w:tcPr>
          <w:p w14:paraId="1C1616E0"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16785429"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214178FF" w14:textId="7361BE08"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NDVI</w:t>
            </w:r>
          </w:p>
        </w:tc>
        <w:tc>
          <w:tcPr>
            <w:tcW w:w="712" w:type="dxa"/>
          </w:tcPr>
          <w:p w14:paraId="67CB88C7" w14:textId="5F01D234"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253.6</w:t>
            </w:r>
          </w:p>
        </w:tc>
        <w:tc>
          <w:tcPr>
            <w:tcW w:w="705" w:type="dxa"/>
          </w:tcPr>
          <w:p w14:paraId="064B38B3" w14:textId="261241F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0ECAEEEA" w14:textId="2579E80B"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1A3C5037" w14:textId="50C7A7C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1307D745"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1A6642C9"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122B6F0E" w14:textId="601CC7FF" w:rsidTr="009C10BD">
        <w:trPr>
          <w:trHeight w:val="227"/>
        </w:trPr>
        <w:tc>
          <w:tcPr>
            <w:tcW w:w="1134" w:type="dxa"/>
          </w:tcPr>
          <w:p w14:paraId="76BBEAF0"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2230F4AC"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4B272B26" w14:textId="2A2A68B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Clay</w:t>
            </w:r>
          </w:p>
        </w:tc>
        <w:tc>
          <w:tcPr>
            <w:tcW w:w="712" w:type="dxa"/>
          </w:tcPr>
          <w:p w14:paraId="38AF2147" w14:textId="3AFF1674"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129.7</w:t>
            </w:r>
          </w:p>
        </w:tc>
        <w:tc>
          <w:tcPr>
            <w:tcW w:w="705" w:type="dxa"/>
          </w:tcPr>
          <w:p w14:paraId="319C7DC8" w14:textId="7B8D4229"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B922517" w14:textId="75302A09"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10A5CF7B" w14:textId="53C980F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0329A84D"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B317D91"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5ABA2A23" w14:textId="44AB0E26" w:rsidTr="009C10BD">
        <w:trPr>
          <w:trHeight w:val="227"/>
        </w:trPr>
        <w:tc>
          <w:tcPr>
            <w:tcW w:w="1134" w:type="dxa"/>
          </w:tcPr>
          <w:p w14:paraId="2750288F"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4930B078"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6BEEC01C" w14:textId="55D3667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Soil C</w:t>
            </w:r>
          </w:p>
        </w:tc>
        <w:tc>
          <w:tcPr>
            <w:tcW w:w="712" w:type="dxa"/>
          </w:tcPr>
          <w:p w14:paraId="414CEE2E" w14:textId="66675122"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140.3</w:t>
            </w:r>
          </w:p>
        </w:tc>
        <w:tc>
          <w:tcPr>
            <w:tcW w:w="705" w:type="dxa"/>
          </w:tcPr>
          <w:p w14:paraId="3F5A25DD" w14:textId="7067134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006B703F" w14:textId="3D5BFDB6"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34BDD603" w14:textId="0D210477"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1E9D96A3"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714AA5E9"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06A9E078" w14:textId="57CBE13E" w:rsidTr="009C10BD">
        <w:trPr>
          <w:trHeight w:val="227"/>
        </w:trPr>
        <w:tc>
          <w:tcPr>
            <w:tcW w:w="1134" w:type="dxa"/>
          </w:tcPr>
          <w:p w14:paraId="32EF69C4"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25B95102"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5165742B" w14:textId="27ABA4C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pH</w:t>
            </w:r>
          </w:p>
        </w:tc>
        <w:tc>
          <w:tcPr>
            <w:tcW w:w="712" w:type="dxa"/>
          </w:tcPr>
          <w:p w14:paraId="3C268989" w14:textId="2FD01FA7"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54.4</w:t>
            </w:r>
          </w:p>
        </w:tc>
        <w:tc>
          <w:tcPr>
            <w:tcW w:w="705" w:type="dxa"/>
          </w:tcPr>
          <w:p w14:paraId="2D772689" w14:textId="55C2CEC6"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Pr>
          <w:p w14:paraId="4F0E2079" w14:textId="2D836702"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6C009F77" w14:textId="251392D7"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49BF513A"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38CDC44"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7180B734" w14:textId="0DEB0741" w:rsidTr="009C10BD">
        <w:trPr>
          <w:trHeight w:val="227"/>
        </w:trPr>
        <w:tc>
          <w:tcPr>
            <w:tcW w:w="1134" w:type="dxa"/>
          </w:tcPr>
          <w:p w14:paraId="3E151716"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4A23895F"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Borders>
              <w:bottom w:val="dashSmallGap" w:sz="4" w:space="0" w:color="auto"/>
            </w:tcBorders>
          </w:tcPr>
          <w:p w14:paraId="5059EE4F" w14:textId="2785ECD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PC1</w:t>
            </w:r>
          </w:p>
        </w:tc>
        <w:tc>
          <w:tcPr>
            <w:tcW w:w="712" w:type="dxa"/>
            <w:tcBorders>
              <w:bottom w:val="dashSmallGap" w:sz="4" w:space="0" w:color="auto"/>
            </w:tcBorders>
          </w:tcPr>
          <w:p w14:paraId="25181CA6" w14:textId="1B27EC0E"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131.0</w:t>
            </w:r>
          </w:p>
        </w:tc>
        <w:tc>
          <w:tcPr>
            <w:tcW w:w="705" w:type="dxa"/>
            <w:tcBorders>
              <w:bottom w:val="dashSmallGap" w:sz="4" w:space="0" w:color="auto"/>
            </w:tcBorders>
          </w:tcPr>
          <w:p w14:paraId="290FDEE1" w14:textId="7C45796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60E617A8" w14:textId="10507271"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bottom w:val="dashSmallGap" w:sz="4" w:space="0" w:color="auto"/>
            </w:tcBorders>
          </w:tcPr>
          <w:p w14:paraId="76267187" w14:textId="794307B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bottom w:val="dashSmallGap" w:sz="4" w:space="0" w:color="auto"/>
            </w:tcBorders>
          </w:tcPr>
          <w:p w14:paraId="387A0337"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bottom w:val="dashSmallGap" w:sz="4" w:space="0" w:color="auto"/>
            </w:tcBorders>
          </w:tcPr>
          <w:p w14:paraId="0C820755" w14:textId="77777777" w:rsidR="00D15B52" w:rsidRPr="00840830" w:rsidRDefault="00D15B52" w:rsidP="009C10BD">
            <w:pPr>
              <w:pStyle w:val="Compact"/>
              <w:spacing w:before="0" w:after="0"/>
              <w:rPr>
                <w:rFonts w:ascii="Times New Roman" w:hAnsi="Times New Roman" w:cs="Times New Roman"/>
                <w:sz w:val="22"/>
                <w:szCs w:val="22"/>
              </w:rPr>
            </w:pPr>
          </w:p>
        </w:tc>
      </w:tr>
      <w:tr w:rsidR="00D51F88" w:rsidRPr="00840830" w14:paraId="193508D6" w14:textId="735FFCA0" w:rsidTr="009C10BD">
        <w:trPr>
          <w:trHeight w:val="227"/>
        </w:trPr>
        <w:tc>
          <w:tcPr>
            <w:tcW w:w="1134" w:type="dxa"/>
            <w:tcBorders>
              <w:bottom w:val="single" w:sz="4" w:space="0" w:color="auto"/>
            </w:tcBorders>
          </w:tcPr>
          <w:p w14:paraId="72012CC4"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top w:val="dashSmallGap" w:sz="4" w:space="0" w:color="auto"/>
              <w:bottom w:val="single" w:sz="4" w:space="0" w:color="auto"/>
            </w:tcBorders>
          </w:tcPr>
          <w:p w14:paraId="321F442E" w14:textId="6320EC6B" w:rsidR="00D51F88" w:rsidRPr="00840830" w:rsidRDefault="00D51F88"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Region only</w:t>
            </w:r>
          </w:p>
        </w:tc>
        <w:tc>
          <w:tcPr>
            <w:tcW w:w="1418" w:type="dxa"/>
            <w:tcBorders>
              <w:top w:val="dashSmallGap" w:sz="4" w:space="0" w:color="auto"/>
              <w:bottom w:val="single" w:sz="4" w:space="0" w:color="auto"/>
            </w:tcBorders>
          </w:tcPr>
          <w:p w14:paraId="74875E9E" w14:textId="75D79504"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CEC</w:t>
            </w:r>
          </w:p>
        </w:tc>
        <w:tc>
          <w:tcPr>
            <w:tcW w:w="712" w:type="dxa"/>
            <w:tcBorders>
              <w:top w:val="dashSmallGap" w:sz="4" w:space="0" w:color="auto"/>
              <w:bottom w:val="single" w:sz="4" w:space="0" w:color="auto"/>
            </w:tcBorders>
          </w:tcPr>
          <w:p w14:paraId="0845BF4D" w14:textId="2F03B0F6"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-13.4</w:t>
            </w:r>
          </w:p>
        </w:tc>
        <w:tc>
          <w:tcPr>
            <w:tcW w:w="705" w:type="dxa"/>
            <w:tcBorders>
              <w:top w:val="dashSmallGap" w:sz="4" w:space="0" w:color="auto"/>
              <w:bottom w:val="single" w:sz="4" w:space="0" w:color="auto"/>
            </w:tcBorders>
          </w:tcPr>
          <w:p w14:paraId="76C88FA9" w14:textId="7121FC19" w:rsidR="00D51F88" w:rsidRPr="00840830" w:rsidRDefault="00D51F88" w:rsidP="009C10BD">
            <w:pPr>
              <w:pStyle w:val="Compact"/>
              <w:spacing w:before="0" w:after="0"/>
              <w:rPr>
                <w:rFonts w:ascii="Times New Roman" w:hAnsi="Times New Roman" w:cs="Times New Roman"/>
                <w:sz w:val="22"/>
                <w:szCs w:val="22"/>
              </w:rPr>
            </w:pPr>
          </w:p>
        </w:tc>
        <w:tc>
          <w:tcPr>
            <w:tcW w:w="1276" w:type="dxa"/>
            <w:tcBorders>
              <w:top w:val="dashSmallGap" w:sz="4" w:space="0" w:color="auto"/>
              <w:bottom w:val="single" w:sz="4" w:space="0" w:color="auto"/>
            </w:tcBorders>
          </w:tcPr>
          <w:p w14:paraId="073C4A6C" w14:textId="3BA89274"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-161.4</w:t>
            </w:r>
          </w:p>
        </w:tc>
        <w:tc>
          <w:tcPr>
            <w:tcW w:w="851" w:type="dxa"/>
            <w:tcBorders>
              <w:top w:val="dashSmallGap" w:sz="4" w:space="0" w:color="auto"/>
              <w:bottom w:val="single" w:sz="4" w:space="0" w:color="auto"/>
            </w:tcBorders>
          </w:tcPr>
          <w:p w14:paraId="2EFFC6CF" w14:textId="63E8495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bottom w:val="single" w:sz="4" w:space="0" w:color="auto"/>
            </w:tcBorders>
          </w:tcPr>
          <w:p w14:paraId="3B85487F"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bottom w:val="single" w:sz="4" w:space="0" w:color="auto"/>
            </w:tcBorders>
          </w:tcPr>
          <w:p w14:paraId="446B8188" w14:textId="77777777" w:rsidR="00D51F88" w:rsidRPr="00840830" w:rsidRDefault="00D51F88" w:rsidP="009C10BD">
            <w:pPr>
              <w:pStyle w:val="Compact"/>
              <w:spacing w:before="0" w:after="0"/>
              <w:rPr>
                <w:rFonts w:ascii="Times New Roman" w:hAnsi="Times New Roman" w:cs="Times New Roman"/>
                <w:sz w:val="22"/>
                <w:szCs w:val="22"/>
              </w:rPr>
            </w:pPr>
          </w:p>
        </w:tc>
      </w:tr>
      <w:tr w:rsidR="00D15B52" w:rsidRPr="00840830" w14:paraId="732DC4E4" w14:textId="6B551E89" w:rsidTr="009C10BD">
        <w:trPr>
          <w:trHeight w:val="227"/>
        </w:trPr>
        <w:tc>
          <w:tcPr>
            <w:tcW w:w="1134" w:type="dxa"/>
          </w:tcPr>
          <w:p w14:paraId="45910090" w14:textId="1CD4D8BF"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 xml:space="preserve">(c) </w:t>
            </w:r>
            <w:r w:rsidRPr="00840830">
              <w:rPr>
                <w:rFonts w:ascii="Times New Roman" w:hAnsi="Times New Roman" w:cs="Times New Roman"/>
                <w:i/>
                <w:sz w:val="22"/>
                <w:szCs w:val="22"/>
              </w:rPr>
              <w:t>S</w:t>
            </w:r>
            <w:r w:rsidRPr="00840830">
              <w:rPr>
                <w:rFonts w:ascii="Times New Roman" w:hAnsi="Times New Roman" w:cs="Times New Roman"/>
                <w:sz w:val="22"/>
                <w:szCs w:val="22"/>
                <w:vertAlign w:val="subscript"/>
              </w:rPr>
              <w:t>DS</w:t>
            </w:r>
          </w:p>
        </w:tc>
        <w:tc>
          <w:tcPr>
            <w:tcW w:w="2268" w:type="dxa"/>
            <w:tcBorders>
              <w:top w:val="single" w:sz="4" w:space="0" w:color="auto"/>
            </w:tcBorders>
          </w:tcPr>
          <w:p w14:paraId="66CF7711" w14:textId="3239BEC5"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Main effect only</w:t>
            </w:r>
          </w:p>
        </w:tc>
        <w:tc>
          <w:tcPr>
            <w:tcW w:w="1418" w:type="dxa"/>
            <w:tcBorders>
              <w:top w:val="single" w:sz="4" w:space="0" w:color="auto"/>
            </w:tcBorders>
          </w:tcPr>
          <w:p w14:paraId="4017B073" w14:textId="5CDA1C2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Elevation</w:t>
            </w:r>
          </w:p>
        </w:tc>
        <w:tc>
          <w:tcPr>
            <w:tcW w:w="712" w:type="dxa"/>
            <w:tcBorders>
              <w:top w:val="single" w:sz="4" w:space="0" w:color="auto"/>
            </w:tcBorders>
          </w:tcPr>
          <w:p w14:paraId="67D90D7B" w14:textId="7D621AC1"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289.5</w:t>
            </w:r>
          </w:p>
        </w:tc>
        <w:tc>
          <w:tcPr>
            <w:tcW w:w="705" w:type="dxa"/>
            <w:tcBorders>
              <w:top w:val="single" w:sz="4" w:space="0" w:color="auto"/>
            </w:tcBorders>
          </w:tcPr>
          <w:p w14:paraId="0CE7227F" w14:textId="3E4F0F99"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single" w:sz="4" w:space="0" w:color="auto"/>
            </w:tcBorders>
          </w:tcPr>
          <w:p w14:paraId="1A230A73" w14:textId="7A16315A"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top w:val="single" w:sz="4" w:space="0" w:color="auto"/>
            </w:tcBorders>
          </w:tcPr>
          <w:p w14:paraId="4D54ACFA" w14:textId="4070428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top w:val="single" w:sz="4" w:space="0" w:color="auto"/>
            </w:tcBorders>
          </w:tcPr>
          <w:p w14:paraId="0B6D8853"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top w:val="single" w:sz="4" w:space="0" w:color="auto"/>
            </w:tcBorders>
          </w:tcPr>
          <w:p w14:paraId="3B816FB2"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3202EACA" w14:textId="6FA6D84D" w:rsidTr="009C10BD">
        <w:trPr>
          <w:trHeight w:val="227"/>
        </w:trPr>
        <w:tc>
          <w:tcPr>
            <w:tcW w:w="1134" w:type="dxa"/>
          </w:tcPr>
          <w:p w14:paraId="41C4392E" w14:textId="50CFE1DD"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1FD269A9"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662C4AF7" w14:textId="3E35B70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MAP</w:t>
            </w:r>
          </w:p>
        </w:tc>
        <w:tc>
          <w:tcPr>
            <w:tcW w:w="712" w:type="dxa"/>
          </w:tcPr>
          <w:p w14:paraId="4C44C603" w14:textId="64F80934"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535.4</w:t>
            </w:r>
          </w:p>
        </w:tc>
        <w:tc>
          <w:tcPr>
            <w:tcW w:w="705" w:type="dxa"/>
          </w:tcPr>
          <w:p w14:paraId="056D4A98" w14:textId="09C7D37B"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4CD3531A" w14:textId="5208C4F6"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6227FAE3" w14:textId="357902CF"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7B1A5C95"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6EC4FD9A"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24D9F533" w14:textId="1641F210" w:rsidTr="009C10BD">
        <w:trPr>
          <w:trHeight w:val="227"/>
        </w:trPr>
        <w:tc>
          <w:tcPr>
            <w:tcW w:w="1134" w:type="dxa"/>
          </w:tcPr>
          <w:p w14:paraId="16CD37FC"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59E974A5"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6C2CBD53" w14:textId="4D9AA60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PDQ</w:t>
            </w:r>
          </w:p>
        </w:tc>
        <w:tc>
          <w:tcPr>
            <w:tcW w:w="712" w:type="dxa"/>
          </w:tcPr>
          <w:p w14:paraId="0B67FBC3" w14:textId="0EA666B5"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441.9</w:t>
            </w:r>
          </w:p>
        </w:tc>
        <w:tc>
          <w:tcPr>
            <w:tcW w:w="705" w:type="dxa"/>
          </w:tcPr>
          <w:p w14:paraId="2F321CD1" w14:textId="04CE811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30884183" w14:textId="013A9A89"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76461248" w14:textId="40472B13"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78E66CFC"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7AEFFFB0"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4BAEC65F" w14:textId="643105C3" w:rsidTr="009C10BD">
        <w:trPr>
          <w:trHeight w:val="227"/>
        </w:trPr>
        <w:tc>
          <w:tcPr>
            <w:tcW w:w="1134" w:type="dxa"/>
          </w:tcPr>
          <w:p w14:paraId="4712CEB3"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37907335"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3BA08B5A" w14:textId="5925A2F9"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NDVI</w:t>
            </w:r>
          </w:p>
        </w:tc>
        <w:tc>
          <w:tcPr>
            <w:tcW w:w="712" w:type="dxa"/>
          </w:tcPr>
          <w:p w14:paraId="190EC008" w14:textId="591F86BF"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400.6</w:t>
            </w:r>
          </w:p>
        </w:tc>
        <w:tc>
          <w:tcPr>
            <w:tcW w:w="705" w:type="dxa"/>
          </w:tcPr>
          <w:p w14:paraId="65E9BF8E" w14:textId="020B9661"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366A3D2" w14:textId="1194BA7E"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23A78516" w14:textId="11C3308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56C8C54"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7B6E960"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734D55D8" w14:textId="4F23D20E" w:rsidTr="009C10BD">
        <w:trPr>
          <w:trHeight w:val="227"/>
        </w:trPr>
        <w:tc>
          <w:tcPr>
            <w:tcW w:w="1134" w:type="dxa"/>
          </w:tcPr>
          <w:p w14:paraId="3EE9157F"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0EEA7AA9"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547070D9" w14:textId="525660D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Clay</w:t>
            </w:r>
          </w:p>
        </w:tc>
        <w:tc>
          <w:tcPr>
            <w:tcW w:w="712" w:type="dxa"/>
          </w:tcPr>
          <w:p w14:paraId="78A60B4C" w14:textId="6F5B743F"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405.8</w:t>
            </w:r>
          </w:p>
        </w:tc>
        <w:tc>
          <w:tcPr>
            <w:tcW w:w="705" w:type="dxa"/>
          </w:tcPr>
          <w:p w14:paraId="150C53FB" w14:textId="4CB52CE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14FE70EB" w14:textId="5D89578A"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003EABB6" w14:textId="78F021FF"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F696074"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2C3E362F"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49B40E0E" w14:textId="69B16D68" w:rsidTr="009C10BD">
        <w:trPr>
          <w:trHeight w:val="227"/>
        </w:trPr>
        <w:tc>
          <w:tcPr>
            <w:tcW w:w="1134" w:type="dxa"/>
          </w:tcPr>
          <w:p w14:paraId="1BC98CC9"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1E2ACB7F"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Borders>
              <w:bottom w:val="dashSmallGap" w:sz="4" w:space="0" w:color="auto"/>
            </w:tcBorders>
          </w:tcPr>
          <w:p w14:paraId="6ACD7DC2" w14:textId="6F6576DF"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PC1</w:t>
            </w:r>
          </w:p>
        </w:tc>
        <w:tc>
          <w:tcPr>
            <w:tcW w:w="712" w:type="dxa"/>
            <w:tcBorders>
              <w:bottom w:val="dashSmallGap" w:sz="4" w:space="0" w:color="auto"/>
            </w:tcBorders>
          </w:tcPr>
          <w:p w14:paraId="685E6546" w14:textId="510C1207"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247.5</w:t>
            </w:r>
          </w:p>
        </w:tc>
        <w:tc>
          <w:tcPr>
            <w:tcW w:w="705" w:type="dxa"/>
            <w:tcBorders>
              <w:bottom w:val="dashSmallGap" w:sz="4" w:space="0" w:color="auto"/>
            </w:tcBorders>
          </w:tcPr>
          <w:p w14:paraId="08601A8E" w14:textId="75A0D7E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69E7712E" w14:textId="36885DBE"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bottom w:val="dashSmallGap" w:sz="4" w:space="0" w:color="auto"/>
            </w:tcBorders>
          </w:tcPr>
          <w:p w14:paraId="6EEDE95E" w14:textId="288106E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bottom w:val="dashSmallGap" w:sz="4" w:space="0" w:color="auto"/>
            </w:tcBorders>
          </w:tcPr>
          <w:p w14:paraId="1567368F"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bottom w:val="dashSmallGap" w:sz="4" w:space="0" w:color="auto"/>
            </w:tcBorders>
          </w:tcPr>
          <w:p w14:paraId="56BF21CC" w14:textId="77777777" w:rsidR="00D15B52" w:rsidRPr="00840830" w:rsidRDefault="00D15B52" w:rsidP="009C10BD">
            <w:pPr>
              <w:pStyle w:val="Compact"/>
              <w:spacing w:before="0" w:after="0"/>
              <w:rPr>
                <w:rFonts w:ascii="Times New Roman" w:hAnsi="Times New Roman" w:cs="Times New Roman"/>
                <w:sz w:val="22"/>
                <w:szCs w:val="22"/>
              </w:rPr>
            </w:pPr>
          </w:p>
        </w:tc>
      </w:tr>
      <w:tr w:rsidR="00D51F88" w:rsidRPr="00840830" w14:paraId="03DCF9E4" w14:textId="7D8061FA" w:rsidTr="009C10BD">
        <w:trPr>
          <w:trHeight w:val="227"/>
        </w:trPr>
        <w:tc>
          <w:tcPr>
            <w:tcW w:w="1134" w:type="dxa"/>
          </w:tcPr>
          <w:p w14:paraId="2C26BCAD"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top w:val="dashSmallGap" w:sz="4" w:space="0" w:color="auto"/>
            </w:tcBorders>
          </w:tcPr>
          <w:p w14:paraId="6520F10B" w14:textId="48C00019" w:rsidR="00D51F88" w:rsidRPr="00840830" w:rsidRDefault="00D51F88"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Region only</w:t>
            </w:r>
          </w:p>
        </w:tc>
        <w:tc>
          <w:tcPr>
            <w:tcW w:w="1418" w:type="dxa"/>
            <w:tcBorders>
              <w:top w:val="dashSmallGap" w:sz="4" w:space="0" w:color="auto"/>
            </w:tcBorders>
          </w:tcPr>
          <w:p w14:paraId="3BCC15AD" w14:textId="72A4C50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Surface T</w:t>
            </w:r>
          </w:p>
        </w:tc>
        <w:tc>
          <w:tcPr>
            <w:tcW w:w="712" w:type="dxa"/>
            <w:tcBorders>
              <w:top w:val="dashSmallGap" w:sz="4" w:space="0" w:color="auto"/>
            </w:tcBorders>
          </w:tcPr>
          <w:p w14:paraId="1F687028" w14:textId="4F42B25D"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197.7</w:t>
            </w:r>
          </w:p>
        </w:tc>
        <w:tc>
          <w:tcPr>
            <w:tcW w:w="705" w:type="dxa"/>
            <w:tcBorders>
              <w:top w:val="dashSmallGap" w:sz="4" w:space="0" w:color="auto"/>
            </w:tcBorders>
          </w:tcPr>
          <w:p w14:paraId="04A36E00" w14:textId="4A3935B8"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tcBorders>
          </w:tcPr>
          <w:p w14:paraId="0CBFA3B6" w14:textId="4CC1824F"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-484.0</w:t>
            </w:r>
          </w:p>
        </w:tc>
        <w:tc>
          <w:tcPr>
            <w:tcW w:w="851" w:type="dxa"/>
            <w:tcBorders>
              <w:top w:val="dashSmallGap" w:sz="4" w:space="0" w:color="auto"/>
            </w:tcBorders>
          </w:tcPr>
          <w:p w14:paraId="2EF828F4" w14:textId="644FCF4B"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tcBorders>
          </w:tcPr>
          <w:p w14:paraId="553BE8A5"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tcBorders>
          </w:tcPr>
          <w:p w14:paraId="413BAFFA" w14:textId="77777777"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6EC09B0B" w14:textId="29DAE2E9" w:rsidTr="009C10BD">
        <w:trPr>
          <w:trHeight w:val="227"/>
        </w:trPr>
        <w:tc>
          <w:tcPr>
            <w:tcW w:w="1134" w:type="dxa"/>
          </w:tcPr>
          <w:p w14:paraId="417441BF"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240B1F12" w14:textId="77777777" w:rsidR="00D51F88" w:rsidRPr="00840830" w:rsidRDefault="00D51F88" w:rsidP="009C10BD">
            <w:pPr>
              <w:pStyle w:val="Compact"/>
              <w:spacing w:before="0" w:after="0"/>
              <w:rPr>
                <w:rFonts w:ascii="Times New Roman" w:hAnsi="Times New Roman" w:cs="Times New Roman"/>
                <w:sz w:val="22"/>
                <w:szCs w:val="22"/>
              </w:rPr>
            </w:pPr>
          </w:p>
        </w:tc>
        <w:tc>
          <w:tcPr>
            <w:tcW w:w="1418" w:type="dxa"/>
          </w:tcPr>
          <w:p w14:paraId="59B3B17B" w14:textId="2629FA7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CEC</w:t>
            </w:r>
          </w:p>
        </w:tc>
        <w:tc>
          <w:tcPr>
            <w:tcW w:w="712" w:type="dxa"/>
          </w:tcPr>
          <w:p w14:paraId="5DACA182" w14:textId="76EDF8A5"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-29.8</w:t>
            </w:r>
          </w:p>
        </w:tc>
        <w:tc>
          <w:tcPr>
            <w:tcW w:w="705" w:type="dxa"/>
          </w:tcPr>
          <w:p w14:paraId="42BCF2A9" w14:textId="23114B6C"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Pr>
          <w:p w14:paraId="65B60F97" w14:textId="2268B9CB"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-564.0</w:t>
            </w:r>
          </w:p>
        </w:tc>
        <w:tc>
          <w:tcPr>
            <w:tcW w:w="851" w:type="dxa"/>
          </w:tcPr>
          <w:p w14:paraId="1480F7AA" w14:textId="4DB5D42D"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4A4A9573"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Pr>
          <w:p w14:paraId="4D3FDD5C" w14:textId="77777777"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134D8943" w14:textId="261BEEA9" w:rsidTr="009C10BD">
        <w:trPr>
          <w:trHeight w:val="227"/>
        </w:trPr>
        <w:tc>
          <w:tcPr>
            <w:tcW w:w="1134" w:type="dxa"/>
          </w:tcPr>
          <w:p w14:paraId="6D8D73E7"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66A44EB7" w14:textId="77777777" w:rsidR="00D51F88" w:rsidRPr="00840830" w:rsidRDefault="00D51F88" w:rsidP="009C10BD">
            <w:pPr>
              <w:pStyle w:val="Compact"/>
              <w:spacing w:before="0" w:after="0"/>
              <w:rPr>
                <w:rFonts w:ascii="Times New Roman" w:hAnsi="Times New Roman" w:cs="Times New Roman"/>
                <w:sz w:val="22"/>
                <w:szCs w:val="22"/>
              </w:rPr>
            </w:pPr>
          </w:p>
        </w:tc>
        <w:tc>
          <w:tcPr>
            <w:tcW w:w="1418" w:type="dxa"/>
          </w:tcPr>
          <w:p w14:paraId="486CAE9A" w14:textId="4533B437"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Soil C</w:t>
            </w:r>
          </w:p>
        </w:tc>
        <w:tc>
          <w:tcPr>
            <w:tcW w:w="712" w:type="dxa"/>
          </w:tcPr>
          <w:p w14:paraId="0C7327E9" w14:textId="4FFBF763"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181.3</w:t>
            </w:r>
          </w:p>
        </w:tc>
        <w:tc>
          <w:tcPr>
            <w:tcW w:w="705" w:type="dxa"/>
          </w:tcPr>
          <w:p w14:paraId="38CEC094" w14:textId="4F346D1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Pr>
          <w:p w14:paraId="6EBECAAD" w14:textId="104E6B68"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-474.2</w:t>
            </w:r>
          </w:p>
        </w:tc>
        <w:tc>
          <w:tcPr>
            <w:tcW w:w="851" w:type="dxa"/>
          </w:tcPr>
          <w:p w14:paraId="287231AE" w14:textId="528392F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7A672C96"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Pr>
          <w:p w14:paraId="189F93E0" w14:textId="77777777"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1660C718" w14:textId="3CF8C0FB" w:rsidTr="009C10BD">
        <w:trPr>
          <w:trHeight w:val="227"/>
        </w:trPr>
        <w:tc>
          <w:tcPr>
            <w:tcW w:w="1134" w:type="dxa"/>
            <w:tcBorders>
              <w:bottom w:val="single" w:sz="4" w:space="0" w:color="auto"/>
            </w:tcBorders>
          </w:tcPr>
          <w:p w14:paraId="5C8E4A60"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bottom w:val="single" w:sz="4" w:space="0" w:color="auto"/>
            </w:tcBorders>
          </w:tcPr>
          <w:p w14:paraId="59C830FF" w14:textId="77777777" w:rsidR="00D51F88" w:rsidRPr="00840830" w:rsidRDefault="00D51F88" w:rsidP="009C10BD">
            <w:pPr>
              <w:pStyle w:val="Compact"/>
              <w:spacing w:before="0" w:after="0"/>
              <w:rPr>
                <w:rFonts w:ascii="Times New Roman" w:hAnsi="Times New Roman" w:cs="Times New Roman"/>
                <w:sz w:val="22"/>
                <w:szCs w:val="22"/>
              </w:rPr>
            </w:pPr>
          </w:p>
        </w:tc>
        <w:tc>
          <w:tcPr>
            <w:tcW w:w="1418" w:type="dxa"/>
            <w:tcBorders>
              <w:bottom w:val="single" w:sz="4" w:space="0" w:color="auto"/>
            </w:tcBorders>
          </w:tcPr>
          <w:p w14:paraId="700C8498" w14:textId="1D590BF7"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pH</w:t>
            </w:r>
          </w:p>
        </w:tc>
        <w:tc>
          <w:tcPr>
            <w:tcW w:w="712" w:type="dxa"/>
            <w:tcBorders>
              <w:bottom w:val="single" w:sz="4" w:space="0" w:color="auto"/>
            </w:tcBorders>
          </w:tcPr>
          <w:p w14:paraId="2B47B2E1" w14:textId="43191DD4"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95.1</w:t>
            </w:r>
          </w:p>
        </w:tc>
        <w:tc>
          <w:tcPr>
            <w:tcW w:w="705" w:type="dxa"/>
            <w:tcBorders>
              <w:bottom w:val="single" w:sz="4" w:space="0" w:color="auto"/>
            </w:tcBorders>
          </w:tcPr>
          <w:p w14:paraId="78A63EB9" w14:textId="7B2795E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Borders>
              <w:bottom w:val="single" w:sz="4" w:space="0" w:color="auto"/>
            </w:tcBorders>
          </w:tcPr>
          <w:p w14:paraId="1CC12902" w14:textId="359A34F8"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-511.6</w:t>
            </w:r>
          </w:p>
        </w:tc>
        <w:tc>
          <w:tcPr>
            <w:tcW w:w="851" w:type="dxa"/>
            <w:tcBorders>
              <w:bottom w:val="single" w:sz="4" w:space="0" w:color="auto"/>
            </w:tcBorders>
          </w:tcPr>
          <w:p w14:paraId="394EF77C" w14:textId="58E94793"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bottom w:val="single" w:sz="4" w:space="0" w:color="auto"/>
            </w:tcBorders>
          </w:tcPr>
          <w:p w14:paraId="54F2246E"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bottom w:val="single" w:sz="4" w:space="0" w:color="auto"/>
            </w:tcBorders>
          </w:tcPr>
          <w:p w14:paraId="2E103766" w14:textId="77777777" w:rsidR="00D51F88" w:rsidRPr="00840830" w:rsidRDefault="00D51F88" w:rsidP="009C10BD">
            <w:pPr>
              <w:pStyle w:val="Compact"/>
              <w:spacing w:before="0" w:after="0"/>
              <w:rPr>
                <w:rFonts w:ascii="Times New Roman" w:hAnsi="Times New Roman" w:cs="Times New Roman"/>
                <w:sz w:val="22"/>
                <w:szCs w:val="22"/>
              </w:rPr>
            </w:pPr>
          </w:p>
        </w:tc>
      </w:tr>
    </w:tbl>
    <w:p w14:paraId="11591A9A" w14:textId="77777777" w:rsidR="00F75284" w:rsidRPr="00840830" w:rsidRDefault="00F75284" w:rsidP="00F75284">
      <w:pPr>
        <w:pStyle w:val="BodyText"/>
        <w:spacing w:before="0" w:after="0"/>
      </w:pPr>
      <w:r w:rsidRPr="00840830">
        <w:rPr>
          <w:vertAlign w:val="superscript"/>
        </w:rPr>
        <w:t xml:space="preserve">1 </w:t>
      </w:r>
      <w:r w:rsidRPr="00840830">
        <w:t xml:space="preserve">Represented as follows: ***, </w:t>
      </w:r>
      <w:r w:rsidRPr="00840830">
        <w:rPr>
          <w:i/>
        </w:rPr>
        <w:t>P</w:t>
      </w:r>
      <w:r w:rsidRPr="00840830">
        <w:t xml:space="preserve"> &lt; 0.001; **, </w:t>
      </w:r>
      <w:r w:rsidRPr="00840830">
        <w:rPr>
          <w:i/>
        </w:rPr>
        <w:t>P</w:t>
      </w:r>
      <w:r w:rsidRPr="00840830">
        <w:t xml:space="preserve"> &lt; 0.01; *, </w:t>
      </w:r>
      <w:r w:rsidRPr="00840830">
        <w:rPr>
          <w:i/>
        </w:rPr>
        <w:t>P</w:t>
      </w:r>
      <w:r w:rsidRPr="00840830">
        <w:t xml:space="preserve"> &lt; 0.05; ~, </w:t>
      </w:r>
      <w:r w:rsidRPr="00840830">
        <w:rPr>
          <w:i/>
        </w:rPr>
        <w:t>P</w:t>
      </w:r>
      <w:r w:rsidRPr="00840830">
        <w:t xml:space="preserve"> &lt; 0.1; blank, NS.</w:t>
      </w:r>
    </w:p>
    <w:p w14:paraId="3ACB7801" w14:textId="5B94AEA3" w:rsidR="00B73D31" w:rsidRPr="00840830" w:rsidRDefault="00F75284" w:rsidP="002C20EB">
      <w:pPr>
        <w:pStyle w:val="BodyText"/>
        <w:spacing w:before="0" w:after="0"/>
        <w:rPr>
          <w:vertAlign w:val="superscript"/>
        </w:rPr>
      </w:pPr>
      <w:r w:rsidRPr="00840830">
        <w:rPr>
          <w:vertAlign w:val="superscript"/>
        </w:rPr>
        <w:t>2</w:t>
      </w:r>
      <w:r w:rsidR="00B34B13" w:rsidRPr="00840830">
        <w:rPr>
          <w:vertAlign w:val="superscript"/>
        </w:rPr>
        <w:t xml:space="preserve"> </w:t>
      </w:r>
      <w:r w:rsidR="00F76AE8" w:rsidRPr="00840830">
        <w:t>Abbreviations are as follows: NDVI, normalized difference vegetation index; T, temperature; MAP, mean annual precipitation; PDQ, precipitation in the driest quarter; CEC, cation exchange capacity; C, carbon.</w:t>
      </w:r>
      <w:r w:rsidR="00B73D31" w:rsidRPr="00840830">
        <w:rPr>
          <w:vertAlign w:val="superscript"/>
        </w:rPr>
        <w:br w:type="page"/>
      </w:r>
    </w:p>
    <w:p w14:paraId="1B4BCCF4" w14:textId="67C55DD5" w:rsidR="00874A01" w:rsidRPr="0069122B" w:rsidRDefault="00874A01" w:rsidP="00FA753D">
      <w:pPr>
        <w:pStyle w:val="BodyText"/>
        <w:spacing w:before="0"/>
      </w:pPr>
      <w:bookmarkStart w:id="8" w:name="figures"/>
      <w:r w:rsidRPr="00874A01">
        <w:rPr>
          <w:b/>
          <w:bCs/>
        </w:rPr>
        <w:lastRenderedPageBreak/>
        <w:t xml:space="preserve">Table </w:t>
      </w:r>
      <w:r w:rsidR="00BB2964">
        <w:rPr>
          <w:b/>
          <w:bCs/>
        </w:rPr>
        <w:t>2</w:t>
      </w:r>
      <w:r w:rsidRPr="00874A01">
        <w:rPr>
          <w:b/>
          <w:bCs/>
        </w:rPr>
        <w:t>:</w:t>
      </w:r>
      <w:r w:rsidR="0069122B" w:rsidRPr="0069122B">
        <w:t xml:space="preserve"> </w:t>
      </w:r>
      <w:r w:rsidR="0069122B">
        <w:t xml:space="preserve">Pearson’s </w:t>
      </w:r>
      <w:r w:rsidR="0069122B" w:rsidRPr="00D02C8F">
        <w:rPr>
          <w:i/>
          <w:iCs/>
        </w:rPr>
        <w:t>r</w:t>
      </w:r>
      <w:r w:rsidR="0069122B">
        <w:t xml:space="preserve"> c</w:t>
      </w:r>
      <w:r w:rsidR="0069122B" w:rsidRPr="0069122B">
        <w:t>orrel</w:t>
      </w:r>
      <w:r w:rsidR="0069122B">
        <w:t>ation coefficients</w:t>
      </w:r>
      <w:r w:rsidR="00513AF7">
        <w:t xml:space="preserve"> comparing</w:t>
      </w:r>
      <w:r w:rsidR="0069122B">
        <w:t xml:space="preserve"> </w:t>
      </w:r>
      <w:r w:rsidR="00513AF7">
        <w:t>the</w:t>
      </w:r>
      <w:r w:rsidR="0069122B">
        <w:t xml:space="preserve"> </w:t>
      </w:r>
      <w:r w:rsidR="00B77487">
        <w:t>predictions and residuals</w:t>
      </w:r>
      <w:r w:rsidR="00F7254D">
        <w:t xml:space="preserve"> of regressions of species richness (</w:t>
      </w:r>
      <w:r w:rsidR="0069122B">
        <w:rPr>
          <w:i/>
          <w:iCs/>
        </w:rPr>
        <w:t>S</w:t>
      </w:r>
      <w:r w:rsidR="00F7254D" w:rsidRPr="00F7254D">
        <w:t>)</w:t>
      </w:r>
      <w:r w:rsidR="00513AF7">
        <w:rPr>
          <w:i/>
          <w:iCs/>
        </w:rPr>
        <w:t xml:space="preserve"> </w:t>
      </w:r>
      <w:r w:rsidR="0069122B">
        <w:t xml:space="preserve">against the major axis of environmental heterogeneity (PC1; Table </w:t>
      </w:r>
      <w:r w:rsidR="008B0E3F">
        <w:t>1</w:t>
      </w:r>
      <w:r w:rsidR="00F7254D">
        <w:t>,</w:t>
      </w:r>
      <w:r w:rsidR="0069122B">
        <w:t xml:space="preserve"> </w:t>
      </w:r>
      <w:r w:rsidR="00B02E73">
        <w:t xml:space="preserve">Figure </w:t>
      </w:r>
      <w:r w:rsidR="00FF0F3A">
        <w:t>4</w:t>
      </w:r>
      <w:r w:rsidR="0069122B">
        <w:t>) and the multivariate regressions (</w:t>
      </w:r>
      <w:r w:rsidR="008538A7">
        <w:t xml:space="preserve">Figure </w:t>
      </w:r>
      <w:r w:rsidR="00977291">
        <w:t>5</w:t>
      </w:r>
      <w:r w:rsidR="0069122B">
        <w:t>). All correlation coefficients were significant (</w:t>
      </w:r>
      <w:r w:rsidR="0069122B">
        <w:rPr>
          <w:i/>
          <w:iCs/>
        </w:rPr>
        <w:t>P</w:t>
      </w:r>
      <w:r w:rsidR="0069122B">
        <w:t xml:space="preserve"> &lt; 0.001; two-sided </w:t>
      </w:r>
      <w:r w:rsidR="0069122B">
        <w:rPr>
          <w:i/>
          <w:iCs/>
        </w:rPr>
        <w:t>t</w:t>
      </w:r>
      <w:r w:rsidR="0069122B">
        <w:t>-test).</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3"/>
        <w:gridCol w:w="1423"/>
        <w:gridCol w:w="1356"/>
      </w:tblGrid>
      <w:tr w:rsidR="00874A01" w:rsidRPr="006A200F" w14:paraId="3EA4BFED" w14:textId="77777777" w:rsidTr="00FA753D">
        <w:trPr>
          <w:trHeight w:val="227"/>
        </w:trPr>
        <w:tc>
          <w:tcPr>
            <w:tcW w:w="1543" w:type="dxa"/>
          </w:tcPr>
          <w:p w14:paraId="5CE4D5AB" w14:textId="77777777" w:rsidR="00874A01" w:rsidRPr="006A200F" w:rsidRDefault="00874A01" w:rsidP="00874A01">
            <w:pPr>
              <w:rPr>
                <w:sz w:val="22"/>
              </w:rPr>
            </w:pPr>
          </w:p>
        </w:tc>
        <w:tc>
          <w:tcPr>
            <w:tcW w:w="2779" w:type="dxa"/>
            <w:gridSpan w:val="2"/>
            <w:tcBorders>
              <w:bottom w:val="single" w:sz="4" w:space="0" w:color="auto"/>
            </w:tcBorders>
          </w:tcPr>
          <w:p w14:paraId="7972A805" w14:textId="7E53C9F4" w:rsidR="00874A01" w:rsidRPr="006A200F" w:rsidRDefault="00874A01" w:rsidP="00874A01">
            <w:pPr>
              <w:jc w:val="center"/>
              <w:rPr>
                <w:sz w:val="22"/>
              </w:rPr>
            </w:pPr>
            <w:r w:rsidRPr="006A200F">
              <w:rPr>
                <w:sz w:val="22"/>
              </w:rPr>
              <w:t>Correlation</w:t>
            </w:r>
          </w:p>
        </w:tc>
      </w:tr>
      <w:tr w:rsidR="00874A01" w:rsidRPr="006A200F" w14:paraId="43E71235" w14:textId="77777777" w:rsidTr="00FA753D">
        <w:trPr>
          <w:trHeight w:val="227"/>
        </w:trPr>
        <w:tc>
          <w:tcPr>
            <w:tcW w:w="1543" w:type="dxa"/>
            <w:tcBorders>
              <w:bottom w:val="single" w:sz="4" w:space="0" w:color="auto"/>
            </w:tcBorders>
          </w:tcPr>
          <w:p w14:paraId="5163C788" w14:textId="340FA41C" w:rsidR="00874A01" w:rsidRPr="006A200F" w:rsidRDefault="00874A01" w:rsidP="00874A01">
            <w:pPr>
              <w:jc w:val="center"/>
              <w:rPr>
                <w:sz w:val="22"/>
              </w:rPr>
            </w:pPr>
            <w:r w:rsidRPr="006A200F">
              <w:rPr>
                <w:sz w:val="22"/>
              </w:rPr>
              <w:t>Spatial scale</w:t>
            </w:r>
          </w:p>
        </w:tc>
        <w:tc>
          <w:tcPr>
            <w:tcW w:w="1423" w:type="dxa"/>
            <w:tcBorders>
              <w:top w:val="single" w:sz="4" w:space="0" w:color="auto"/>
              <w:bottom w:val="single" w:sz="4" w:space="0" w:color="auto"/>
            </w:tcBorders>
          </w:tcPr>
          <w:p w14:paraId="7BEA7D7A" w14:textId="70998894" w:rsidR="00874A01" w:rsidRPr="006A200F" w:rsidRDefault="00874A01" w:rsidP="00874A01">
            <w:pPr>
              <w:jc w:val="center"/>
              <w:rPr>
                <w:sz w:val="22"/>
              </w:rPr>
            </w:pPr>
            <w:r w:rsidRPr="006A200F">
              <w:rPr>
                <w:sz w:val="22"/>
              </w:rPr>
              <w:t xml:space="preserve">Predicted </w:t>
            </w:r>
            <w:r w:rsidRPr="006A200F">
              <w:rPr>
                <w:i/>
                <w:iCs/>
                <w:sz w:val="22"/>
              </w:rPr>
              <w:t>S</w:t>
            </w:r>
          </w:p>
        </w:tc>
        <w:tc>
          <w:tcPr>
            <w:tcW w:w="1356" w:type="dxa"/>
            <w:tcBorders>
              <w:top w:val="single" w:sz="4" w:space="0" w:color="auto"/>
              <w:bottom w:val="single" w:sz="4" w:space="0" w:color="auto"/>
            </w:tcBorders>
          </w:tcPr>
          <w:p w14:paraId="6DDC9FB0" w14:textId="47BDAEDA" w:rsidR="00874A01" w:rsidRPr="006A200F" w:rsidRDefault="00874A01" w:rsidP="00874A01">
            <w:pPr>
              <w:jc w:val="center"/>
              <w:rPr>
                <w:sz w:val="22"/>
              </w:rPr>
            </w:pPr>
            <w:r w:rsidRPr="006A200F">
              <w:rPr>
                <w:sz w:val="22"/>
              </w:rPr>
              <w:t xml:space="preserve">Residual </w:t>
            </w:r>
            <w:r w:rsidRPr="006A200F">
              <w:rPr>
                <w:i/>
                <w:iCs/>
                <w:sz w:val="22"/>
              </w:rPr>
              <w:t>S</w:t>
            </w:r>
          </w:p>
        </w:tc>
      </w:tr>
      <w:tr w:rsidR="00874A01" w:rsidRPr="006A200F" w14:paraId="0EF9A9E7" w14:textId="77777777" w:rsidTr="00FA753D">
        <w:trPr>
          <w:trHeight w:val="227"/>
        </w:trPr>
        <w:tc>
          <w:tcPr>
            <w:tcW w:w="1543" w:type="dxa"/>
            <w:tcBorders>
              <w:top w:val="single" w:sz="4" w:space="0" w:color="auto"/>
            </w:tcBorders>
          </w:tcPr>
          <w:p w14:paraId="12B24B0E" w14:textId="0B2D9B50" w:rsidR="00874A01" w:rsidRPr="006A200F" w:rsidRDefault="00874A01" w:rsidP="00874A01">
            <w:pPr>
              <w:rPr>
                <w:sz w:val="22"/>
              </w:rPr>
            </w:pPr>
            <w:r w:rsidRPr="006A200F">
              <w:rPr>
                <w:sz w:val="22"/>
              </w:rPr>
              <w:t>QDS</w:t>
            </w:r>
          </w:p>
        </w:tc>
        <w:tc>
          <w:tcPr>
            <w:tcW w:w="1423" w:type="dxa"/>
            <w:tcBorders>
              <w:top w:val="single" w:sz="4" w:space="0" w:color="auto"/>
            </w:tcBorders>
          </w:tcPr>
          <w:p w14:paraId="5CF61CB8" w14:textId="70043932" w:rsidR="00874A01" w:rsidRPr="006A200F" w:rsidRDefault="00874A01" w:rsidP="00874A01">
            <w:pPr>
              <w:jc w:val="right"/>
              <w:rPr>
                <w:sz w:val="22"/>
              </w:rPr>
            </w:pPr>
            <w:r w:rsidRPr="006A200F">
              <w:rPr>
                <w:sz w:val="22"/>
              </w:rPr>
              <w:t>0.743</w:t>
            </w:r>
          </w:p>
        </w:tc>
        <w:tc>
          <w:tcPr>
            <w:tcW w:w="1356" w:type="dxa"/>
            <w:tcBorders>
              <w:top w:val="single" w:sz="4" w:space="0" w:color="auto"/>
            </w:tcBorders>
          </w:tcPr>
          <w:p w14:paraId="68B8A75E" w14:textId="0047E7D5" w:rsidR="00874A01" w:rsidRPr="006A200F" w:rsidRDefault="00874A01" w:rsidP="00874A01">
            <w:pPr>
              <w:jc w:val="right"/>
              <w:rPr>
                <w:sz w:val="22"/>
              </w:rPr>
            </w:pPr>
            <w:r w:rsidRPr="006A200F">
              <w:rPr>
                <w:sz w:val="22"/>
              </w:rPr>
              <w:t>0.934</w:t>
            </w:r>
          </w:p>
        </w:tc>
      </w:tr>
      <w:tr w:rsidR="00874A01" w:rsidRPr="006A200F" w14:paraId="049F0CAF" w14:textId="77777777" w:rsidTr="00FA753D">
        <w:trPr>
          <w:trHeight w:val="227"/>
        </w:trPr>
        <w:tc>
          <w:tcPr>
            <w:tcW w:w="1543" w:type="dxa"/>
          </w:tcPr>
          <w:p w14:paraId="1AF7B3D9" w14:textId="0C295EF5" w:rsidR="00874A01" w:rsidRPr="006A200F" w:rsidRDefault="00874A01" w:rsidP="00874A01">
            <w:pPr>
              <w:rPr>
                <w:sz w:val="22"/>
              </w:rPr>
            </w:pPr>
            <w:r w:rsidRPr="006A200F">
              <w:rPr>
                <w:sz w:val="22"/>
              </w:rPr>
              <w:t>HDS</w:t>
            </w:r>
          </w:p>
        </w:tc>
        <w:tc>
          <w:tcPr>
            <w:tcW w:w="1423" w:type="dxa"/>
          </w:tcPr>
          <w:p w14:paraId="2BBB56C3" w14:textId="5A364A95" w:rsidR="00874A01" w:rsidRPr="006A200F" w:rsidRDefault="00874A01" w:rsidP="00874A01">
            <w:pPr>
              <w:jc w:val="right"/>
              <w:rPr>
                <w:sz w:val="22"/>
              </w:rPr>
            </w:pPr>
            <w:r w:rsidRPr="006A200F">
              <w:rPr>
                <w:sz w:val="22"/>
              </w:rPr>
              <w:t>0.711</w:t>
            </w:r>
          </w:p>
        </w:tc>
        <w:tc>
          <w:tcPr>
            <w:tcW w:w="1356" w:type="dxa"/>
          </w:tcPr>
          <w:p w14:paraId="4CFC42E4" w14:textId="70A2D781" w:rsidR="00874A01" w:rsidRPr="006A200F" w:rsidRDefault="00874A01" w:rsidP="00874A01">
            <w:pPr>
              <w:jc w:val="right"/>
              <w:rPr>
                <w:sz w:val="22"/>
              </w:rPr>
            </w:pPr>
            <w:r w:rsidRPr="006A200F">
              <w:rPr>
                <w:sz w:val="22"/>
              </w:rPr>
              <w:t>0.878</w:t>
            </w:r>
          </w:p>
        </w:tc>
      </w:tr>
      <w:tr w:rsidR="00874A01" w:rsidRPr="006A200F" w14:paraId="68F6574E" w14:textId="77777777" w:rsidTr="00FA753D">
        <w:trPr>
          <w:trHeight w:val="227"/>
        </w:trPr>
        <w:tc>
          <w:tcPr>
            <w:tcW w:w="1543" w:type="dxa"/>
          </w:tcPr>
          <w:p w14:paraId="64B63F9B" w14:textId="2B4B9F02" w:rsidR="00874A01" w:rsidRPr="006A200F" w:rsidRDefault="00874A01" w:rsidP="00874A01">
            <w:pPr>
              <w:rPr>
                <w:sz w:val="22"/>
              </w:rPr>
            </w:pPr>
            <w:r w:rsidRPr="006A200F">
              <w:rPr>
                <w:sz w:val="22"/>
              </w:rPr>
              <w:t>DS</w:t>
            </w:r>
          </w:p>
        </w:tc>
        <w:tc>
          <w:tcPr>
            <w:tcW w:w="1423" w:type="dxa"/>
          </w:tcPr>
          <w:p w14:paraId="3EB319B1" w14:textId="5FC9D052" w:rsidR="00874A01" w:rsidRPr="006A200F" w:rsidRDefault="00874A01" w:rsidP="00874A01">
            <w:pPr>
              <w:jc w:val="right"/>
              <w:rPr>
                <w:sz w:val="22"/>
              </w:rPr>
            </w:pPr>
            <w:r w:rsidRPr="006A200F">
              <w:rPr>
                <w:sz w:val="22"/>
              </w:rPr>
              <w:t>0.638</w:t>
            </w:r>
          </w:p>
        </w:tc>
        <w:tc>
          <w:tcPr>
            <w:tcW w:w="1356" w:type="dxa"/>
          </w:tcPr>
          <w:p w14:paraId="77ED62DB" w14:textId="5CBEF284" w:rsidR="00874A01" w:rsidRPr="006A200F" w:rsidRDefault="00874A01" w:rsidP="00874A01">
            <w:pPr>
              <w:jc w:val="right"/>
              <w:rPr>
                <w:sz w:val="22"/>
              </w:rPr>
            </w:pPr>
            <w:r w:rsidRPr="006A200F">
              <w:rPr>
                <w:sz w:val="22"/>
              </w:rPr>
              <w:t>0.656</w:t>
            </w:r>
          </w:p>
        </w:tc>
      </w:tr>
    </w:tbl>
    <w:p w14:paraId="29EF0B66" w14:textId="73D665E6" w:rsidR="00F23EA1" w:rsidRPr="002B2755" w:rsidRDefault="00874A01" w:rsidP="002C20EB">
      <w:pPr>
        <w:pStyle w:val="Heading1"/>
      </w:pPr>
      <w:r>
        <w:br w:type="page"/>
      </w:r>
      <w:bookmarkEnd w:id="8"/>
      <w:r w:rsidR="00BE18DF">
        <w:lastRenderedPageBreak/>
        <w:t>Figures</w:t>
      </w:r>
    </w:p>
    <w:p w14:paraId="457D8DE2" w14:textId="01335922" w:rsidR="00D04776" w:rsidRDefault="00D04776" w:rsidP="002C20EB">
      <w:pPr>
        <w:pStyle w:val="BodyText"/>
      </w:pPr>
      <w:r>
        <w:rPr>
          <w:noProof/>
          <w:lang w:val="en-ZA" w:eastAsia="en-ZA"/>
        </w:rPr>
        <w:drawing>
          <wp:inline distT="0" distB="0" distL="0" distR="0" wp14:anchorId="4180D9B2" wp14:editId="3902878C">
            <wp:extent cx="6840000" cy="3908571"/>
            <wp:effectExtent l="0" t="0" r="0"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1-CLES-EH-fits.pdf"/>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6840000" cy="3908571"/>
                    </a:xfrm>
                    <a:prstGeom prst="rect">
                      <a:avLst/>
                    </a:prstGeom>
                    <a:noFill/>
                    <a:ln w="9525">
                      <a:noFill/>
                      <a:headEnd/>
                      <a:tailEnd/>
                    </a:ln>
                  </pic:spPr>
                </pic:pic>
              </a:graphicData>
            </a:graphic>
          </wp:inline>
        </w:drawing>
      </w:r>
    </w:p>
    <w:p w14:paraId="5CEC371A" w14:textId="4C2C98D8" w:rsidR="00D04776" w:rsidRDefault="0031751D" w:rsidP="0018462C">
      <w:pPr>
        <w:pStyle w:val="BodyText"/>
      </w:pPr>
      <w:r>
        <w:rPr>
          <w:b/>
        </w:rPr>
        <w:t>Figure</w:t>
      </w:r>
      <w:r w:rsidR="005C5EBF">
        <w:rPr>
          <w:b/>
        </w:rPr>
        <w:t xml:space="preserve"> 3</w:t>
      </w:r>
      <w:r w:rsidR="002C037D" w:rsidRPr="00242181">
        <w:rPr>
          <w:b/>
        </w:rPr>
        <w:t>:</w:t>
      </w:r>
      <w:r w:rsidR="002C037D">
        <w:t xml:space="preserve"> </w:t>
      </w:r>
      <w:r w:rsidR="006A6996" w:rsidRPr="006A6996">
        <w:t>The common language effect size (</w:t>
      </w:r>
      <w:r w:rsidR="006A6996" w:rsidRPr="008E45A8">
        <w:rPr>
          <w:i/>
        </w:rPr>
        <w:t>CLES</w:t>
      </w:r>
      <w:r w:rsidR="006A6996" w:rsidRPr="006A6996">
        <w:t>) of (a–i) various forms of environmental heterogeneity (log</w:t>
      </w:r>
      <w:r w:rsidR="006A6996" w:rsidRPr="008E45A8">
        <w:rPr>
          <w:vertAlign w:val="subscript"/>
        </w:rPr>
        <w:t>10</w:t>
      </w:r>
      <w:r w:rsidR="006A6996" w:rsidRPr="006A6996">
        <w:t xml:space="preserve">-transformed) and (j) the major axis thereof (PC1) in the GCFR and SWAFR. </w:t>
      </w:r>
      <w:r w:rsidR="006A6996" w:rsidRPr="008E45A8">
        <w:rPr>
          <w:i/>
        </w:rPr>
        <w:t>CLES</w:t>
      </w:r>
      <w:r w:rsidR="006A6996" w:rsidRPr="006A6996">
        <w:t xml:space="preserve"> here is treated as the effect of GCFR relative to SWAFR values. Filled points represent comparisons where the GCFR and SWAFR significantly differed in heterogeneity (</w:t>
      </w:r>
      <w:r w:rsidR="006A6996" w:rsidRPr="00157417">
        <w:rPr>
          <w:i/>
        </w:rPr>
        <w:t>P</w:t>
      </w:r>
      <w:r w:rsidR="006A6996" w:rsidRPr="006A6996">
        <w:t xml:space="preserve"> </w:t>
      </w:r>
      <w:r w:rsidR="00157417">
        <w:t>&lt;</w:t>
      </w:r>
      <w:r w:rsidR="006A6996" w:rsidRPr="006A6996">
        <w:t xml:space="preserve"> 0.05</w:t>
      </w:r>
      <w:r w:rsidR="009A1044">
        <w:t>;</w:t>
      </w:r>
      <w:r w:rsidR="006A6996" w:rsidRPr="006A6996">
        <w:t xml:space="preserve"> </w:t>
      </w:r>
      <w:r w:rsidR="001506B6">
        <w:t xml:space="preserve">two-sided </w:t>
      </w:r>
      <w:r w:rsidR="006A6996" w:rsidRPr="006A6996">
        <w:t xml:space="preserve">Mann-Whitney </w:t>
      </w:r>
      <w:r w:rsidR="006A6996" w:rsidRPr="00157417">
        <w:rPr>
          <w:i/>
        </w:rPr>
        <w:t>U</w:t>
      </w:r>
      <w:r w:rsidR="006A6996" w:rsidRPr="006A6996">
        <w:t xml:space="preserve">-tests), while unfilled points represent those that were not significant. Following simple linear regressions of </w:t>
      </w:r>
      <w:r w:rsidR="006A6996" w:rsidRPr="00EC572B">
        <w:rPr>
          <w:i/>
        </w:rPr>
        <w:t>CLES</w:t>
      </w:r>
      <w:r w:rsidR="006A6996" w:rsidRPr="006A6996">
        <w:t xml:space="preserve"> against scale, </w:t>
      </w:r>
      <w:r w:rsidR="00AD4DCC" w:rsidRPr="00503D20">
        <w:t>we found some evidence for</w:t>
      </w:r>
      <w:r w:rsidR="004816AD">
        <w:t xml:space="preserve"> </w:t>
      </w:r>
      <w:r w:rsidR="006A6996" w:rsidRPr="00503D20">
        <w:t>relationship</w:t>
      </w:r>
      <w:r w:rsidR="00B73B0B" w:rsidRPr="00503D20">
        <w:t>s</w:t>
      </w:r>
      <w:r w:rsidR="006A6996" w:rsidRPr="00503D20">
        <w:t xml:space="preserve"> (depicted by lines) for MAP (slope = </w:t>
      </w:r>
      <w:r w:rsidR="00D14040" w:rsidRPr="00503D20">
        <w:t>–</w:t>
      </w:r>
      <w:r w:rsidR="006A6996" w:rsidRPr="00503D20">
        <w:t>0.</w:t>
      </w:r>
      <w:r w:rsidR="00B73B0B" w:rsidRPr="00503D20">
        <w:t>157</w:t>
      </w:r>
      <w:r w:rsidR="00D91165" w:rsidRPr="00503D20">
        <w:t>;</w:t>
      </w:r>
      <w:r w:rsidR="006A6996" w:rsidRPr="00503D20">
        <w:t xml:space="preserve"> </w:t>
      </w:r>
      <w:r w:rsidR="006A6996" w:rsidRPr="00503D20">
        <w:rPr>
          <w:i/>
        </w:rPr>
        <w:t>P</w:t>
      </w:r>
      <w:r w:rsidR="006A6996" w:rsidRPr="00503D20">
        <w:t xml:space="preserve"> = 0.0</w:t>
      </w:r>
      <w:r w:rsidR="00B73B0B" w:rsidRPr="00503D20">
        <w:t>98</w:t>
      </w:r>
      <w:r w:rsidR="006A6996" w:rsidRPr="00503D20">
        <w:t>)</w:t>
      </w:r>
      <w:r w:rsidR="00B73B0B" w:rsidRPr="00503D20">
        <w:t xml:space="preserve">, NDVI </w:t>
      </w:r>
      <w:r w:rsidR="006A6996" w:rsidRPr="00503D20">
        <w:t xml:space="preserve">(slope = </w:t>
      </w:r>
      <w:r w:rsidR="00B73B0B" w:rsidRPr="00503D20">
        <w:t>0.116</w:t>
      </w:r>
      <w:r w:rsidR="00DD0559" w:rsidRPr="00503D20">
        <w:t>;</w:t>
      </w:r>
      <w:r w:rsidR="006A6996" w:rsidRPr="00503D20">
        <w:t xml:space="preserve"> </w:t>
      </w:r>
      <w:r w:rsidR="006A6996" w:rsidRPr="00503D20">
        <w:rPr>
          <w:i/>
        </w:rPr>
        <w:t>P</w:t>
      </w:r>
      <w:r w:rsidR="006A6996" w:rsidRPr="00503D20">
        <w:t xml:space="preserve"> </w:t>
      </w:r>
      <w:r w:rsidR="00B73B0B" w:rsidRPr="00503D20">
        <w:t>&lt; 0.001</w:t>
      </w:r>
      <w:r w:rsidR="006A6996" w:rsidRPr="00503D20">
        <w:t>)</w:t>
      </w:r>
      <w:r w:rsidR="00AF21A3">
        <w:t xml:space="preserve"> and </w:t>
      </w:r>
      <w:r w:rsidR="00AF21A3" w:rsidRPr="00AF21A3">
        <w:t>Clay</w:t>
      </w:r>
      <w:r w:rsidR="00AF21A3">
        <w:t xml:space="preserve"> (slope = </w:t>
      </w:r>
      <w:r w:rsidR="00AF21A3" w:rsidRPr="00AF21A3">
        <w:t>0.158</w:t>
      </w:r>
      <w:r w:rsidR="00AF21A3">
        <w:t xml:space="preserve">, </w:t>
      </w:r>
      <w:r w:rsidR="00AF21A3" w:rsidRPr="00AF21A3">
        <w:rPr>
          <w:i/>
        </w:rPr>
        <w:t>P</w:t>
      </w:r>
      <w:r w:rsidR="00AF21A3">
        <w:t xml:space="preserve"> = </w:t>
      </w:r>
      <w:r w:rsidR="00AF21A3" w:rsidRPr="00AF21A3">
        <w:t>0.037</w:t>
      </w:r>
      <w:r w:rsidR="00AF21A3">
        <w:t>)</w:t>
      </w:r>
      <w:r w:rsidR="006A6996" w:rsidRPr="006A6996">
        <w:t>. Abbreviations are as in Table</w:t>
      </w:r>
      <w:r w:rsidR="00D6118F">
        <w:t xml:space="preserve"> </w:t>
      </w:r>
      <w:r w:rsidR="008B0E3F">
        <w:t>1</w:t>
      </w:r>
      <w:r w:rsidR="006A6996" w:rsidRPr="006A6996">
        <w:t>.</w:t>
      </w:r>
      <w:r w:rsidR="00D04776">
        <w:br w:type="page"/>
      </w:r>
    </w:p>
    <w:p w14:paraId="6D0ABDE1" w14:textId="77777777" w:rsidR="00D04776" w:rsidRDefault="00D04776" w:rsidP="0018462C">
      <w:pPr>
        <w:pStyle w:val="CaptionedFigure"/>
        <w:spacing w:line="240" w:lineRule="auto"/>
      </w:pPr>
      <w:r>
        <w:rPr>
          <w:noProof/>
          <w:lang w:val="en-ZA" w:eastAsia="en-ZA"/>
        </w:rPr>
        <w:lastRenderedPageBreak/>
        <w:drawing>
          <wp:inline distT="0" distB="0" distL="0" distR="0" wp14:anchorId="4CFE472E" wp14:editId="1294E167">
            <wp:extent cx="6840000" cy="5984999"/>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2-partition-richness_manual-edit.png"/>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6840000" cy="5984999"/>
                    </a:xfrm>
                    <a:prstGeom prst="rect">
                      <a:avLst/>
                    </a:prstGeom>
                    <a:noFill/>
                    <a:ln w="9525">
                      <a:noFill/>
                      <a:headEnd/>
                      <a:tailEnd/>
                    </a:ln>
                  </pic:spPr>
                </pic:pic>
              </a:graphicData>
            </a:graphic>
          </wp:inline>
        </w:drawing>
      </w:r>
    </w:p>
    <w:p w14:paraId="75739017" w14:textId="17135AF9" w:rsidR="00D04776" w:rsidRDefault="002C037D" w:rsidP="00FF3CE7">
      <w:pPr>
        <w:pStyle w:val="ImageCaption"/>
        <w:spacing w:line="240" w:lineRule="auto"/>
      </w:pPr>
      <w:r w:rsidRPr="006B3905">
        <w:rPr>
          <w:b/>
        </w:rPr>
        <w:t>Figure 2:</w:t>
      </w:r>
      <w:r w:rsidRPr="006B3905">
        <w:t xml:space="preserve"> </w:t>
      </w:r>
      <w:r w:rsidR="00F330A8" w:rsidRPr="006B3905">
        <w:t>Frequency</w:t>
      </w:r>
      <w:r w:rsidR="00F330A8" w:rsidRPr="00832261">
        <w:t xml:space="preserve"> d</w:t>
      </w:r>
      <w:r w:rsidRPr="00832261">
        <w:t xml:space="preserve">istributions of </w:t>
      </w:r>
      <w:r w:rsidR="00F8403E" w:rsidRPr="00832261">
        <w:t xml:space="preserve">vascular plant species richness </w:t>
      </w:r>
      <w:r w:rsidR="00832261" w:rsidRPr="00832261">
        <w:t xml:space="preserve">in the GCFR and SWAFR </w:t>
      </w:r>
      <w:r w:rsidR="00F8403E" w:rsidRPr="00832261">
        <w:t xml:space="preserve">at the </w:t>
      </w:r>
      <w:r w:rsidRPr="00832261">
        <w:t xml:space="preserve">(a) </w:t>
      </w:r>
      <w:r w:rsidR="00F8403E" w:rsidRPr="00832261">
        <w:t xml:space="preserve">DS-, </w:t>
      </w:r>
      <w:r w:rsidRPr="00832261">
        <w:t>(b) HDS-</w:t>
      </w:r>
      <w:r w:rsidR="00F8403E" w:rsidRPr="00832261">
        <w:t>, and (c) Q</w:t>
      </w:r>
      <w:r w:rsidR="00F8403E" w:rsidRPr="009D1CA2">
        <w:t>DS-scales</w:t>
      </w:r>
      <w:r w:rsidR="0026216D" w:rsidRPr="009D1CA2">
        <w:t xml:space="preserve">, </w:t>
      </w:r>
      <w:r w:rsidR="009D1CA2" w:rsidRPr="009D1CA2">
        <w:t xml:space="preserve">and of </w:t>
      </w:r>
      <w:r w:rsidR="0026216D" w:rsidRPr="009D1CA2">
        <w:t xml:space="preserve">the </w:t>
      </w:r>
      <w:r w:rsidR="009D1CA2" w:rsidRPr="009D1CA2">
        <w:t>proporti</w:t>
      </w:r>
      <w:r w:rsidR="009D1CA2" w:rsidRPr="00223948">
        <w:t xml:space="preserve">onal contributions of floristic turnover </w:t>
      </w:r>
      <w:r w:rsidR="00223948">
        <w:t>(</w:t>
      </w:r>
      <w:r w:rsidR="00223948" w:rsidRPr="00223948">
        <w:rPr>
          <w:i/>
        </w:rPr>
        <w:t>T</w:t>
      </w:r>
      <w:r w:rsidR="00223948">
        <w:t>/</w:t>
      </w:r>
      <w:r w:rsidR="00223948" w:rsidRPr="00223948">
        <w:rPr>
          <w:i/>
        </w:rPr>
        <w:t>S</w:t>
      </w:r>
      <w:r w:rsidR="00223948">
        <w:t xml:space="preserve">) </w:t>
      </w:r>
      <w:r w:rsidR="009D1CA2" w:rsidRPr="00223948">
        <w:t xml:space="preserve">to (d) </w:t>
      </w:r>
      <w:r w:rsidR="009D1CA2" w:rsidRPr="00223948">
        <w:rPr>
          <w:i/>
        </w:rPr>
        <w:t>S</w:t>
      </w:r>
      <w:r w:rsidR="009D1CA2" w:rsidRPr="00223948">
        <w:rPr>
          <w:vertAlign w:val="subscript"/>
        </w:rPr>
        <w:t>DS</w:t>
      </w:r>
      <w:r w:rsidR="009D1CA2" w:rsidRPr="00223948">
        <w:t xml:space="preserve"> </w:t>
      </w:r>
      <w:r w:rsidR="00223948" w:rsidRPr="00223948">
        <w:t xml:space="preserve">(i.e. </w:t>
      </w:r>
      <w:r w:rsidR="00223948" w:rsidRPr="00CC1818">
        <w:rPr>
          <w:i/>
        </w:rPr>
        <w:t>T</w:t>
      </w:r>
      <w:r w:rsidR="00223948" w:rsidRPr="00CC1818">
        <w:rPr>
          <w:vertAlign w:val="subscript"/>
        </w:rPr>
        <w:t xml:space="preserve">HDS </w:t>
      </w:r>
      <w:r w:rsidR="00223948" w:rsidRPr="00CC1818">
        <w:t>/</w:t>
      </w:r>
      <w:r w:rsidR="00223948" w:rsidRPr="00CC1818">
        <w:rPr>
          <w:i/>
        </w:rPr>
        <w:t xml:space="preserve"> S</w:t>
      </w:r>
      <w:r w:rsidR="00223948" w:rsidRPr="00CC1818">
        <w:rPr>
          <w:vertAlign w:val="subscript"/>
        </w:rPr>
        <w:t>DS</w:t>
      </w:r>
      <w:r w:rsidR="00223948" w:rsidRPr="00CC1818">
        <w:t xml:space="preserve">) </w:t>
      </w:r>
      <w:r w:rsidR="009D1CA2" w:rsidRPr="00CC1818">
        <w:t xml:space="preserve">and (e) </w:t>
      </w:r>
      <w:r w:rsidR="009D1CA2" w:rsidRPr="00CC1818">
        <w:rPr>
          <w:i/>
        </w:rPr>
        <w:t>S</w:t>
      </w:r>
      <w:r w:rsidR="00CC1818" w:rsidRPr="00CC1818">
        <w:rPr>
          <w:vertAlign w:val="subscript"/>
        </w:rPr>
        <w:t>H</w:t>
      </w:r>
      <w:r w:rsidR="009D1CA2" w:rsidRPr="00CC1818">
        <w:rPr>
          <w:vertAlign w:val="subscript"/>
        </w:rPr>
        <w:t>DS</w:t>
      </w:r>
      <w:r w:rsidR="009D1CA2" w:rsidRPr="00CC1818">
        <w:t xml:space="preserve">. </w:t>
      </w:r>
      <w:r w:rsidR="00223948" w:rsidRPr="00CC1818">
        <w:t>(</w:t>
      </w:r>
      <w:r w:rsidR="00223948" w:rsidRPr="00CC1818">
        <w:rPr>
          <w:i/>
        </w:rPr>
        <w:t>T</w:t>
      </w:r>
      <w:r w:rsidR="00223948" w:rsidRPr="00CC1818">
        <w:rPr>
          <w:vertAlign w:val="subscript"/>
        </w:rPr>
        <w:t xml:space="preserve">QDS </w:t>
      </w:r>
      <w:r w:rsidR="00223948" w:rsidRPr="00CC1818">
        <w:t>/</w:t>
      </w:r>
      <w:r w:rsidR="00223948" w:rsidRPr="00CC1818">
        <w:rPr>
          <w:i/>
        </w:rPr>
        <w:t xml:space="preserve"> S</w:t>
      </w:r>
      <w:r w:rsidR="00223948" w:rsidRPr="00CC1818">
        <w:rPr>
          <w:vertAlign w:val="subscript"/>
        </w:rPr>
        <w:t>HDS</w:t>
      </w:r>
      <w:r w:rsidR="00223948" w:rsidRPr="00CC1818">
        <w:t xml:space="preserve">). </w:t>
      </w:r>
      <w:r w:rsidR="00CC1818" w:rsidRPr="00CC1818">
        <w:t xml:space="preserve">The derivations of </w:t>
      </w:r>
      <w:r w:rsidR="00CC1818" w:rsidRPr="00CC1818">
        <w:rPr>
          <w:i/>
        </w:rPr>
        <w:t>T</w:t>
      </w:r>
      <w:r w:rsidR="00CC1818" w:rsidRPr="00CC1818">
        <w:rPr>
          <w:vertAlign w:val="subscript"/>
        </w:rPr>
        <w:t>DS</w:t>
      </w:r>
      <w:r w:rsidR="00CC1818" w:rsidRPr="00CC1818">
        <w:t xml:space="preserve"> and </w:t>
      </w:r>
      <w:r w:rsidR="00CC1818" w:rsidRPr="00CC1818">
        <w:rPr>
          <w:i/>
        </w:rPr>
        <w:t>T</w:t>
      </w:r>
      <w:r w:rsidR="00CC1818" w:rsidRPr="00CC1818">
        <w:rPr>
          <w:vertAlign w:val="subscript"/>
        </w:rPr>
        <w:t>HDS</w:t>
      </w:r>
      <w:r w:rsidR="00CC1818" w:rsidRPr="00CC1818">
        <w:t xml:space="preserve"> are demonstrated with s</w:t>
      </w:r>
      <w:r w:rsidRPr="00CC1818">
        <w:t>catter plot</w:t>
      </w:r>
      <w:r w:rsidR="00CC1818" w:rsidRPr="00CC1818">
        <w:t>s</w:t>
      </w:r>
      <w:r w:rsidRPr="00CC1818">
        <w:t xml:space="preserve"> of mean </w:t>
      </w:r>
      <w:r w:rsidR="00CC1818" w:rsidRPr="00CC1818">
        <w:t>(f) H</w:t>
      </w:r>
      <w:r w:rsidRPr="00CC1818">
        <w:t>DS-</w:t>
      </w:r>
      <w:r w:rsidR="00CC1818" w:rsidRPr="00CC1818">
        <w:t xml:space="preserve"> and (g) QDS-</w:t>
      </w:r>
      <w:r w:rsidRPr="00CC1818">
        <w:t>scale richness (</w:t>
      </w:r>
      <m:oMath>
        <m:bar>
          <m:barPr>
            <m:pos m:val="top"/>
            <m:ctrlPr>
              <w:rPr>
                <w:rFonts w:ascii="Cambria Math" w:hAnsi="Cambria Math"/>
              </w:rPr>
            </m:ctrlPr>
          </m:barPr>
          <m:e>
            <m:r>
              <w:rPr>
                <w:rFonts w:ascii="Cambria Math" w:hAnsi="Cambria Math"/>
              </w:rPr>
              <m:t>S</m:t>
            </m:r>
          </m:e>
        </m:bar>
      </m:oMath>
      <w:r w:rsidR="00CC1818" w:rsidRPr="00CC1818">
        <w:rPr>
          <w:vertAlign w:val="subscript"/>
        </w:rPr>
        <w:t>H</w:t>
      </w:r>
      <w:r w:rsidRPr="00CC1818">
        <w:rPr>
          <w:vertAlign w:val="subscript"/>
        </w:rPr>
        <w:t>DS</w:t>
      </w:r>
      <w:r w:rsidR="00CC1818" w:rsidRPr="00CC1818">
        <w:t xml:space="preserve"> and</w:t>
      </w:r>
      <w:r w:rsidR="00CC1818" w:rsidRPr="00CC1818">
        <w:rPr>
          <w:rFonts w:eastAsiaTheme="minorEastAsia"/>
        </w:rPr>
        <w:t xml:space="preserve"> </w:t>
      </w:r>
      <m:oMath>
        <m:bar>
          <m:barPr>
            <m:pos m:val="top"/>
            <m:ctrlPr>
              <w:rPr>
                <w:rFonts w:ascii="Cambria Math" w:hAnsi="Cambria Math"/>
              </w:rPr>
            </m:ctrlPr>
          </m:barPr>
          <m:e>
            <m:r>
              <w:rPr>
                <w:rFonts w:ascii="Cambria Math" w:hAnsi="Cambria Math"/>
              </w:rPr>
              <m:t>S</m:t>
            </m:r>
          </m:e>
        </m:bar>
      </m:oMath>
      <w:r w:rsidR="00CC1818" w:rsidRPr="00CC1818">
        <w:rPr>
          <w:vertAlign w:val="subscript"/>
        </w:rPr>
        <w:t>QDS</w:t>
      </w:r>
      <w:r w:rsidR="00CC1818" w:rsidRPr="00CC1818">
        <w:t xml:space="preserve"> respectively</w:t>
      </w:r>
      <w:r w:rsidRPr="00CC1818">
        <w:t xml:space="preserve">) </w:t>
      </w:r>
      <w:r w:rsidR="00CC1818" w:rsidRPr="00CC1818">
        <w:t>against</w:t>
      </w:r>
      <w:r w:rsidRPr="00CC1818">
        <w:t xml:space="preserve"> turnover </w:t>
      </w:r>
      <w:r w:rsidR="00CC1818" w:rsidRPr="00CC1818">
        <w:t>(</w:t>
      </w:r>
      <w:r w:rsidRPr="00CC1818">
        <w:t>(</w:t>
      </w:r>
      <w:r w:rsidR="00CC1818" w:rsidRPr="00CC1818">
        <w:t xml:space="preserve">f) </w:t>
      </w:r>
      <w:r w:rsidRPr="00CC1818">
        <w:rPr>
          <w:i/>
        </w:rPr>
        <w:t>T</w:t>
      </w:r>
      <w:r w:rsidR="00CC1818" w:rsidRPr="00CC1818">
        <w:rPr>
          <w:vertAlign w:val="subscript"/>
        </w:rPr>
        <w:t>H</w:t>
      </w:r>
      <w:r w:rsidRPr="00CC1818">
        <w:rPr>
          <w:vertAlign w:val="subscript"/>
        </w:rPr>
        <w:t>DS</w:t>
      </w:r>
      <w:r w:rsidR="00CC1818" w:rsidRPr="00CC1818">
        <w:t xml:space="preserve"> and (g) </w:t>
      </w:r>
      <w:r w:rsidR="00CC1818" w:rsidRPr="00CC1818">
        <w:rPr>
          <w:i/>
        </w:rPr>
        <w:t>T</w:t>
      </w:r>
      <w:r w:rsidR="00CC1818" w:rsidRPr="00CC1818">
        <w:rPr>
          <w:vertAlign w:val="subscript"/>
        </w:rPr>
        <w:t>QDS</w:t>
      </w:r>
      <w:r w:rsidRPr="00CC1818">
        <w:t>) with contour lines denoting the</w:t>
      </w:r>
      <w:r w:rsidR="00CC1818" w:rsidRPr="00CC1818">
        <w:t xml:space="preserve"> </w:t>
      </w:r>
      <w:r w:rsidR="00CC1818" w:rsidRPr="00CC1818">
        <w:rPr>
          <w:i/>
        </w:rPr>
        <w:t>S</w:t>
      </w:r>
      <w:r w:rsidR="00CC1818" w:rsidRPr="00CC1818">
        <w:rPr>
          <w:vertAlign w:val="subscript"/>
        </w:rPr>
        <w:t>DS</w:t>
      </w:r>
      <w:r w:rsidRPr="00CC1818">
        <w:t xml:space="preserve"> </w:t>
      </w:r>
      <w:r w:rsidR="00CC1818">
        <w:t xml:space="preserve">and </w:t>
      </w:r>
      <w:r w:rsidRPr="00CC1818">
        <w:rPr>
          <w:i/>
        </w:rPr>
        <w:t>S</w:t>
      </w:r>
      <w:r w:rsidRPr="00CC1818">
        <w:rPr>
          <w:vertAlign w:val="subscript"/>
        </w:rPr>
        <w:t>HDS</w:t>
      </w:r>
      <w:r w:rsidRPr="00CC1818">
        <w:t xml:space="preserve"> that arise as their sum</w:t>
      </w:r>
      <w:r w:rsidR="00CC1818">
        <w:t>s</w:t>
      </w:r>
      <w:r w:rsidRPr="00CC1818">
        <w:t>.</w:t>
      </w:r>
      <w:r w:rsidR="00D04776">
        <w:br w:type="page"/>
      </w:r>
    </w:p>
    <w:p w14:paraId="6D6BB07F" w14:textId="77777777" w:rsidR="00D04776" w:rsidRDefault="00D04776" w:rsidP="0018462C">
      <w:pPr>
        <w:pStyle w:val="CaptionedFigure"/>
        <w:spacing w:line="240" w:lineRule="auto"/>
      </w:pPr>
      <w:r>
        <w:rPr>
          <w:noProof/>
          <w:lang w:val="en-ZA" w:eastAsia="en-ZA"/>
        </w:rPr>
        <w:lastRenderedPageBreak/>
        <w:drawing>
          <wp:inline distT="0" distB="0" distL="0" distR="0" wp14:anchorId="06F193A1" wp14:editId="4720EADA">
            <wp:extent cx="6840000" cy="2280000"/>
            <wp:effectExtent l="0" t="0" r="0" b="635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3-PC1-model-fits.pdf"/>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6840000" cy="2280000"/>
                    </a:xfrm>
                    <a:prstGeom prst="rect">
                      <a:avLst/>
                    </a:prstGeom>
                    <a:noFill/>
                    <a:ln w="9525">
                      <a:noFill/>
                      <a:headEnd/>
                      <a:tailEnd/>
                    </a:ln>
                  </pic:spPr>
                </pic:pic>
              </a:graphicData>
            </a:graphic>
          </wp:inline>
        </w:drawing>
      </w:r>
    </w:p>
    <w:p w14:paraId="7180F251" w14:textId="33F98981" w:rsidR="00D04776" w:rsidRDefault="00B02E73" w:rsidP="008B688E">
      <w:pPr>
        <w:pStyle w:val="ImageCaption"/>
        <w:spacing w:line="240" w:lineRule="auto"/>
      </w:pPr>
      <w:r>
        <w:rPr>
          <w:b/>
        </w:rPr>
        <w:t xml:space="preserve">Figure </w:t>
      </w:r>
      <w:r w:rsidR="00FF0F3A">
        <w:rPr>
          <w:b/>
        </w:rPr>
        <w:t>4</w:t>
      </w:r>
      <w:r w:rsidR="00D04776" w:rsidRPr="00242181">
        <w:rPr>
          <w:b/>
        </w:rPr>
        <w:t>:</w:t>
      </w:r>
      <w:r w:rsidR="00D04776" w:rsidRPr="000951C2">
        <w:t xml:space="preserve"> </w:t>
      </w:r>
      <w:r w:rsidR="004D7400" w:rsidRPr="000951C2">
        <w:t>S</w:t>
      </w:r>
      <w:r w:rsidR="00D04776" w:rsidRPr="000951C2">
        <w:t xml:space="preserve">imple linear regressions of </w:t>
      </w:r>
      <w:r w:rsidR="00132E42" w:rsidRPr="000951C2">
        <w:t xml:space="preserve">vascular plant species richness as </w:t>
      </w:r>
      <w:r w:rsidR="00D04776" w:rsidRPr="000951C2">
        <w:t xml:space="preserve">(a) </w:t>
      </w:r>
      <w:r w:rsidR="00D04776" w:rsidRPr="000951C2">
        <w:rPr>
          <w:i/>
        </w:rPr>
        <w:t>S</w:t>
      </w:r>
      <w:r w:rsidR="000951C2">
        <w:rPr>
          <w:vertAlign w:val="subscript"/>
        </w:rPr>
        <w:t>Q</w:t>
      </w:r>
      <w:r w:rsidR="00D04776" w:rsidRPr="000951C2">
        <w:rPr>
          <w:vertAlign w:val="subscript"/>
        </w:rPr>
        <w:t>DS</w:t>
      </w:r>
      <w:r w:rsidR="000951C2">
        <w:t xml:space="preserve">, </w:t>
      </w:r>
      <w:r w:rsidR="00D04776" w:rsidRPr="000951C2">
        <w:t xml:space="preserve">(b) </w:t>
      </w:r>
      <w:r w:rsidR="00D04776" w:rsidRPr="000951C2">
        <w:rPr>
          <w:i/>
        </w:rPr>
        <w:t>S</w:t>
      </w:r>
      <w:r w:rsidR="000951C2">
        <w:rPr>
          <w:vertAlign w:val="subscript"/>
        </w:rPr>
        <w:t>H</w:t>
      </w:r>
      <w:r w:rsidR="00D04776" w:rsidRPr="000951C2">
        <w:rPr>
          <w:vertAlign w:val="subscript"/>
        </w:rPr>
        <w:t>DS</w:t>
      </w:r>
      <w:r w:rsidR="00D04776" w:rsidRPr="000951C2">
        <w:t xml:space="preserve"> </w:t>
      </w:r>
      <w:r w:rsidR="000951C2">
        <w:t xml:space="preserve">and (c) </w:t>
      </w:r>
      <w:r w:rsidR="00603141" w:rsidRPr="00603141">
        <w:rPr>
          <w:i/>
        </w:rPr>
        <w:t>S</w:t>
      </w:r>
      <w:r w:rsidR="00603141">
        <w:rPr>
          <w:vertAlign w:val="subscript"/>
        </w:rPr>
        <w:t>DS</w:t>
      </w:r>
      <w:r w:rsidR="00AF3C81">
        <w:t xml:space="preserve"> </w:t>
      </w:r>
      <w:r w:rsidR="00D04776" w:rsidRPr="000951C2">
        <w:t xml:space="preserve">against each respective scale’s </w:t>
      </w:r>
      <w:r w:rsidR="00603141">
        <w:t xml:space="preserve">major axis </w:t>
      </w:r>
      <w:r w:rsidR="00132E42" w:rsidRPr="000951C2">
        <w:t xml:space="preserve">of environmental heterogeneity </w:t>
      </w:r>
      <w:r w:rsidR="006507B4">
        <w:t>(PC1</w:t>
      </w:r>
      <w:r w:rsidR="00D1761D" w:rsidRPr="000951C2">
        <w:t xml:space="preserve">) </w:t>
      </w:r>
      <w:r w:rsidR="00515DC1">
        <w:t>across</w:t>
      </w:r>
      <w:r w:rsidR="00132E42" w:rsidRPr="000951C2">
        <w:t xml:space="preserve"> the</w:t>
      </w:r>
      <w:r w:rsidR="007F2F46">
        <w:t xml:space="preserve"> </w:t>
      </w:r>
      <w:r w:rsidR="00132E42" w:rsidRPr="000951C2">
        <w:t>GCFR</w:t>
      </w:r>
      <w:r w:rsidR="007F2F46">
        <w:t xml:space="preserve"> and </w:t>
      </w:r>
      <w:r w:rsidR="00132E42" w:rsidRPr="000951C2">
        <w:t>SWAFR</w:t>
      </w:r>
      <w:r w:rsidR="00D04776" w:rsidRPr="000951C2">
        <w:t xml:space="preserve">. </w:t>
      </w:r>
      <w:r w:rsidR="0083371B">
        <w:t xml:space="preserve">Grid-cells representing </w:t>
      </w:r>
      <w:r w:rsidR="0083371B" w:rsidRPr="00D031FB">
        <w:t>hotspots</w:t>
      </w:r>
      <w:r w:rsidR="0083371B">
        <w:t xml:space="preserve"> of species richness (identified as having residual </w:t>
      </w:r>
      <w:r w:rsidR="0083371B">
        <w:rPr>
          <w:i/>
        </w:rPr>
        <w:t>S</w:t>
      </w:r>
      <w:r w:rsidR="0083371B">
        <w:t xml:space="preserve"> greater than two standard deviations from the mean) are identified by triangles (black for the GCFR, white for SWAFR, as with round points). </w:t>
      </w:r>
      <w:r w:rsidR="003939AA">
        <w:t xml:space="preserve">These three linear models are presented in Table </w:t>
      </w:r>
      <w:r w:rsidR="008B0E3F">
        <w:t>1</w:t>
      </w:r>
      <w:r w:rsidR="00AA17FE">
        <w:t>, all with highly significant slopes (</w:t>
      </w:r>
      <w:r w:rsidR="00AA17FE" w:rsidRPr="007C06EE">
        <w:rPr>
          <w:i/>
        </w:rPr>
        <w:t>P</w:t>
      </w:r>
      <w:r w:rsidR="00AA17FE">
        <w:t xml:space="preserve"> &lt; 0.001)</w:t>
      </w:r>
      <w:r w:rsidR="0083371B">
        <w:t>, and were fitted including species richness hotspots</w:t>
      </w:r>
      <w:r w:rsidR="003939AA">
        <w:t xml:space="preserve">. </w:t>
      </w:r>
      <w:r w:rsidR="00126FD8">
        <w:t xml:space="preserve">For </w:t>
      </w:r>
      <w:r w:rsidR="00126FD8" w:rsidRPr="00B55EEC">
        <w:rPr>
          <w:i/>
          <w:iCs/>
        </w:rPr>
        <w:t>S</w:t>
      </w:r>
      <w:r w:rsidR="00126FD8" w:rsidRPr="00B55EEC">
        <w:rPr>
          <w:vertAlign w:val="subscript"/>
        </w:rPr>
        <w:t>QDS</w:t>
      </w:r>
      <w:r w:rsidR="00126FD8">
        <w:t xml:space="preserve">, the separate </w:t>
      </w:r>
      <w:r w:rsidR="00561FC0">
        <w:t>fits</w:t>
      </w:r>
      <w:r w:rsidR="00126FD8">
        <w:t xml:space="preserve"> for the GCFR (</w:t>
      </w:r>
      <w:r w:rsidR="00E178D8">
        <w:t>black</w:t>
      </w:r>
      <w:r w:rsidR="00126FD8">
        <w:t>) and SWAFR (</w:t>
      </w:r>
      <w:r w:rsidR="00E178D8">
        <w:t>grey</w:t>
      </w:r>
      <w:r w:rsidR="00126FD8">
        <w:t xml:space="preserve">) are presented, following the best fitting model at that scale (see Table </w:t>
      </w:r>
      <w:r w:rsidR="008B0E3F">
        <w:t>1</w:t>
      </w:r>
      <w:r w:rsidR="00126FD8">
        <w:t xml:space="preserve">a). </w:t>
      </w:r>
      <w:r w:rsidR="005D4530">
        <w:t xml:space="preserve">The </w:t>
      </w:r>
      <w:r w:rsidR="005D4530">
        <w:rPr>
          <w:i/>
        </w:rPr>
        <w:t>R</w:t>
      </w:r>
      <w:r w:rsidR="005D4530">
        <w:rPr>
          <w:vertAlign w:val="superscript"/>
        </w:rPr>
        <w:t>2</w:t>
      </w:r>
      <w:r w:rsidR="005D4530">
        <w:t xml:space="preserve">-values of each model and the variation in environmental heterogeneity explained by </w:t>
      </w:r>
      <w:r w:rsidR="00D12783">
        <w:t xml:space="preserve">PC1 from </w:t>
      </w:r>
      <w:r w:rsidR="005D4530">
        <w:t>each of the three PCAs are noted in parentheses in the panel and horizontal axis headings respectively.</w:t>
      </w:r>
      <w:r w:rsidR="00D5350F">
        <w:t xml:space="preserve"> The e</w:t>
      </w:r>
      <w:r w:rsidR="00E7325B">
        <w:t xml:space="preserve">quivalent results when hotpots </w:t>
      </w:r>
      <w:r w:rsidR="00CA3AC0">
        <w:t>we</w:t>
      </w:r>
      <w:r w:rsidR="00E7325B">
        <w:t>re excluded is available in the online version (Figure S</w:t>
      </w:r>
      <w:r w:rsidR="00E7325B" w:rsidRPr="00E7325B">
        <w:rPr>
          <w:highlight w:val="red"/>
        </w:rPr>
        <w:t>11</w:t>
      </w:r>
      <w:r w:rsidR="00E7325B">
        <w:t>).</w:t>
      </w:r>
      <w:r w:rsidR="00D04776">
        <w:br w:type="page"/>
      </w:r>
    </w:p>
    <w:p w14:paraId="7ADCF32D" w14:textId="77777777" w:rsidR="00D04776" w:rsidRDefault="00D04776" w:rsidP="0018462C">
      <w:pPr>
        <w:pStyle w:val="CaptionedFigure"/>
        <w:spacing w:line="240" w:lineRule="auto"/>
      </w:pPr>
      <w:r>
        <w:rPr>
          <w:noProof/>
          <w:lang w:val="en-ZA" w:eastAsia="en-ZA"/>
        </w:rPr>
        <w:lastRenderedPageBreak/>
        <w:drawing>
          <wp:inline distT="0" distB="0" distL="0" distR="0" wp14:anchorId="6BA46A0B" wp14:editId="3394A2C3">
            <wp:extent cx="6840000" cy="3908571"/>
            <wp:effectExtent l="0" t="0" r="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4-multivariate-model-terms.pdf"/>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6840000" cy="3908571"/>
                    </a:xfrm>
                    <a:prstGeom prst="rect">
                      <a:avLst/>
                    </a:prstGeom>
                    <a:noFill/>
                    <a:ln w="9525">
                      <a:noFill/>
                      <a:headEnd/>
                      <a:tailEnd/>
                    </a:ln>
                  </pic:spPr>
                </pic:pic>
              </a:graphicData>
            </a:graphic>
          </wp:inline>
        </w:drawing>
      </w:r>
    </w:p>
    <w:p w14:paraId="784FFE15" w14:textId="59B03AB7" w:rsidR="00762256" w:rsidRDefault="008538A7" w:rsidP="00A9751F">
      <w:pPr>
        <w:pStyle w:val="ImageCaption"/>
        <w:spacing w:line="240" w:lineRule="auto"/>
      </w:pPr>
      <w:r>
        <w:rPr>
          <w:b/>
        </w:rPr>
        <w:t xml:space="preserve">Figure </w:t>
      </w:r>
      <w:r w:rsidR="00977291">
        <w:rPr>
          <w:b/>
        </w:rPr>
        <w:t>5</w:t>
      </w:r>
      <w:r w:rsidR="00D04776" w:rsidRPr="00242181">
        <w:rPr>
          <w:b/>
        </w:rPr>
        <w:t>:</w:t>
      </w:r>
      <w:r w:rsidR="00D04776" w:rsidRPr="00EB7331">
        <w:t xml:space="preserve"> Slope estimates </w:t>
      </w:r>
      <w:r w:rsidR="00FD18C0" w:rsidRPr="00EB7331">
        <w:t xml:space="preserve">from </w:t>
      </w:r>
      <w:r w:rsidR="00D04776" w:rsidRPr="00EB7331">
        <w:t xml:space="preserve">multiple linear regressions of </w:t>
      </w:r>
      <w:r w:rsidR="00466172" w:rsidRPr="00EB7331">
        <w:t xml:space="preserve">vascular plant species richness as </w:t>
      </w:r>
      <w:r w:rsidR="00D04776" w:rsidRPr="00EB7331">
        <w:t xml:space="preserve">(a) </w:t>
      </w:r>
      <w:r w:rsidR="00D04776" w:rsidRPr="00EB7331">
        <w:rPr>
          <w:i/>
        </w:rPr>
        <w:t>S</w:t>
      </w:r>
      <w:r w:rsidR="00F53C09">
        <w:rPr>
          <w:vertAlign w:val="subscript"/>
        </w:rPr>
        <w:t>Q</w:t>
      </w:r>
      <w:r w:rsidR="00D04776" w:rsidRPr="00EB7331">
        <w:rPr>
          <w:vertAlign w:val="subscript"/>
        </w:rPr>
        <w:t>DS</w:t>
      </w:r>
      <w:r w:rsidR="00F53C09">
        <w:t>,</w:t>
      </w:r>
      <w:r w:rsidR="00D04776" w:rsidRPr="00EB7331">
        <w:t xml:space="preserve"> (b) </w:t>
      </w:r>
      <w:r w:rsidR="00D04776" w:rsidRPr="00EB7331">
        <w:rPr>
          <w:i/>
        </w:rPr>
        <w:t>S</w:t>
      </w:r>
      <w:r w:rsidR="00F53C09">
        <w:rPr>
          <w:vertAlign w:val="subscript"/>
        </w:rPr>
        <w:t>H</w:t>
      </w:r>
      <w:r w:rsidR="00D04776" w:rsidRPr="00EB7331">
        <w:rPr>
          <w:vertAlign w:val="subscript"/>
        </w:rPr>
        <w:t>DS</w:t>
      </w:r>
      <w:r w:rsidR="00D04776" w:rsidRPr="00EB7331">
        <w:t xml:space="preserve"> </w:t>
      </w:r>
      <w:r w:rsidR="00F53C09">
        <w:t>and (c</w:t>
      </w:r>
      <w:r w:rsidR="00D04776" w:rsidRPr="00EB7331">
        <w:t xml:space="preserve">) </w:t>
      </w:r>
      <w:r w:rsidR="00F53C09" w:rsidRPr="00F53C09">
        <w:rPr>
          <w:i/>
        </w:rPr>
        <w:t>S</w:t>
      </w:r>
      <w:r w:rsidR="00F53C09">
        <w:rPr>
          <w:vertAlign w:val="subscript"/>
        </w:rPr>
        <w:t>DS</w:t>
      </w:r>
      <w:r w:rsidR="00F53C09">
        <w:t xml:space="preserve"> </w:t>
      </w:r>
      <w:r w:rsidR="00D04776" w:rsidRPr="00EB7331">
        <w:t>again</w:t>
      </w:r>
      <w:r w:rsidR="008F0AB7" w:rsidRPr="00EB7331">
        <w:t>s</w:t>
      </w:r>
      <w:r w:rsidR="00D04776" w:rsidRPr="00EB7331">
        <w:t xml:space="preserve">t the various forms of </w:t>
      </w:r>
      <w:r w:rsidR="007948F4" w:rsidRPr="00EB7331">
        <w:t>environmental heterogeneity</w:t>
      </w:r>
      <w:r w:rsidR="001F4B4C" w:rsidRPr="00EB7331">
        <w:t xml:space="preserve"> </w:t>
      </w:r>
      <w:r w:rsidR="004D0D3F">
        <w:t>(log</w:t>
      </w:r>
      <w:r w:rsidR="004D0D3F">
        <w:rPr>
          <w:vertAlign w:val="subscript"/>
        </w:rPr>
        <w:t>10</w:t>
      </w:r>
      <w:r w:rsidR="004D0D3F">
        <w:t xml:space="preserve">-transformed and </w:t>
      </w:r>
      <w:r w:rsidR="00422D50">
        <w:t>re-</w:t>
      </w:r>
      <w:r w:rsidR="004D0D3F">
        <w:t xml:space="preserve">scaled) </w:t>
      </w:r>
      <w:r w:rsidR="00741F6E" w:rsidRPr="00EB7331">
        <w:t>across GCFR</w:t>
      </w:r>
      <w:r w:rsidR="00F53C09">
        <w:t xml:space="preserve"> and </w:t>
      </w:r>
      <w:r w:rsidR="00741F6E" w:rsidRPr="00EB7331">
        <w:t>SWAFR</w:t>
      </w:r>
      <w:r w:rsidR="00D04776" w:rsidRPr="00EB7331">
        <w:t>. Points with error bars denote</w:t>
      </w:r>
      <w:r w:rsidR="004318FF">
        <w:t xml:space="preserve"> </w:t>
      </w:r>
      <w:r w:rsidR="00865E47" w:rsidRPr="004318FF">
        <w:t>partial</w:t>
      </w:r>
      <w:r w:rsidR="00786594">
        <w:t xml:space="preserve"> effect</w:t>
      </w:r>
      <w:r w:rsidR="00D04776" w:rsidRPr="00EB7331">
        <w:t xml:space="preserve"> estimates and their 95% confidence intervals. </w:t>
      </w:r>
      <w:r w:rsidR="00E959AF">
        <w:t xml:space="preserve">Filled and empty points represent effect estimates  for the GCFR and SWAFR respectively when region-interaction terms were retained during </w:t>
      </w:r>
      <w:r w:rsidR="00E959AF" w:rsidRPr="00EB7331">
        <w:t>stepwise model selection</w:t>
      </w:r>
      <w:r w:rsidR="00E959AF">
        <w:t>, while crosses represent main effects</w:t>
      </w:r>
      <w:r w:rsidR="00CC531D">
        <w:t xml:space="preserve"> (i.e. no region-interaction term retained)</w:t>
      </w:r>
      <w:r w:rsidR="00E959AF">
        <w:t xml:space="preserve">. </w:t>
      </w:r>
      <w:r w:rsidR="00D04776" w:rsidRPr="00EB7331">
        <w:t>Estimates illustrated in black were significant (</w:t>
      </w:r>
      <w:r w:rsidR="00D04776" w:rsidRPr="00EB7331">
        <w:rPr>
          <w:i/>
        </w:rPr>
        <w:t>P</w:t>
      </w:r>
      <w:r w:rsidR="00D04776" w:rsidRPr="00EB7331">
        <w:t xml:space="preserve"> &lt; 0.05), while those in grey were not</w:t>
      </w:r>
      <w:r w:rsidR="00381E28" w:rsidRPr="00EB7331">
        <w:t>,</w:t>
      </w:r>
      <w:r w:rsidR="00BB3353" w:rsidRPr="00EB7331">
        <w:t xml:space="preserve"> but still retained during stepwise model selection</w:t>
      </w:r>
      <w:r w:rsidR="00D04776" w:rsidRPr="00EB7331">
        <w:t>.</w:t>
      </w:r>
      <w:r w:rsidR="006255A4" w:rsidRPr="00EB7331">
        <w:t xml:space="preserve"> </w:t>
      </w:r>
      <w:r w:rsidR="00663F53">
        <w:t>The</w:t>
      </w:r>
      <w:r w:rsidR="008F386A">
        <w:t xml:space="preserve"> multiple adjusted</w:t>
      </w:r>
      <w:r w:rsidR="00663F53">
        <w:t xml:space="preserve"> </w:t>
      </w:r>
      <w:r w:rsidR="00663F53">
        <w:rPr>
          <w:i/>
        </w:rPr>
        <w:t>R</w:t>
      </w:r>
      <w:r w:rsidR="00663F53">
        <w:rPr>
          <w:vertAlign w:val="superscript"/>
        </w:rPr>
        <w:t>2</w:t>
      </w:r>
      <w:r w:rsidR="00663F53">
        <w:t xml:space="preserve">-values of each model </w:t>
      </w:r>
      <w:r w:rsidR="00240829">
        <w:t>are</w:t>
      </w:r>
      <w:r w:rsidR="00663F53">
        <w:t xml:space="preserve"> noted in parentheses in the panel headings.</w:t>
      </w:r>
      <w:r w:rsidR="00240829">
        <w:t xml:space="preserve"> </w:t>
      </w:r>
      <w:r w:rsidR="006255A4" w:rsidRPr="00EB7331">
        <w:t xml:space="preserve">Abbreviations </w:t>
      </w:r>
      <w:r w:rsidR="00E423C5" w:rsidRPr="00EB7331">
        <w:t xml:space="preserve">of variables are </w:t>
      </w:r>
      <w:r w:rsidR="006255A4" w:rsidRPr="00EB7331">
        <w:t>as in Table</w:t>
      </w:r>
      <w:r w:rsidR="008D7B9E">
        <w:t xml:space="preserve"> </w:t>
      </w:r>
      <w:r w:rsidR="008B0E3F">
        <w:t>1</w:t>
      </w:r>
      <w:r w:rsidR="006255A4" w:rsidRPr="00EB7331">
        <w:t xml:space="preserve"> and </w:t>
      </w:r>
      <w:r w:rsidR="0031751D">
        <w:t>Figure</w:t>
      </w:r>
      <w:r w:rsidR="005C5EBF">
        <w:t xml:space="preserve"> 3</w:t>
      </w:r>
      <w:r w:rsidR="006255A4" w:rsidRPr="00EB7331">
        <w:t>.</w:t>
      </w:r>
      <w:r w:rsidR="00E7325B">
        <w:t xml:space="preserve"> The equivalent results when hotpots </w:t>
      </w:r>
      <w:r w:rsidR="00585277">
        <w:t>we</w:t>
      </w:r>
      <w:r w:rsidR="00E7325B">
        <w:t>re excluded is available in the online version (Figure S</w:t>
      </w:r>
      <w:r w:rsidR="00E7325B" w:rsidRPr="00E7325B">
        <w:rPr>
          <w:highlight w:val="red"/>
        </w:rPr>
        <w:t>1</w:t>
      </w:r>
      <w:r w:rsidR="00E7325B">
        <w:t>0).</w:t>
      </w:r>
      <w:r w:rsidR="00F614B4">
        <w:br w:type="page"/>
      </w:r>
      <w:bookmarkStart w:id="9" w:name="references"/>
    </w:p>
    <w:p w14:paraId="1E6EA73B" w14:textId="2CF84CFA" w:rsidR="006E4549" w:rsidRDefault="00A45444" w:rsidP="006E4549">
      <w:pPr>
        <w:pStyle w:val="BodyText"/>
      </w:pPr>
      <w:r>
        <w:rPr>
          <w:noProof/>
          <w:lang w:val="en-ZA" w:eastAsia="en-ZA"/>
        </w:rPr>
        <w:lastRenderedPageBreak/>
        <w:drawing>
          <wp:inline distT="0" distB="0" distL="0" distR="0" wp14:anchorId="6CD6A0FF" wp14:editId="2E8917FD">
            <wp:extent cx="5145000" cy="8819999"/>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p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145000" cy="8819999"/>
                    </a:xfrm>
                    <a:prstGeom prst="rect">
                      <a:avLst/>
                    </a:prstGeom>
                  </pic:spPr>
                </pic:pic>
              </a:graphicData>
            </a:graphic>
          </wp:inline>
        </w:drawing>
      </w:r>
      <w:r w:rsidR="006E4549">
        <w:br w:type="page"/>
      </w:r>
    </w:p>
    <w:p w14:paraId="20EF5617" w14:textId="434D656C" w:rsidR="00A45444" w:rsidRPr="002C20EB" w:rsidRDefault="00A45444" w:rsidP="0074274A">
      <w:pPr>
        <w:pStyle w:val="BodyText"/>
      </w:pPr>
      <w:r w:rsidRPr="00242181">
        <w:rPr>
          <w:b/>
        </w:rPr>
        <w:lastRenderedPageBreak/>
        <w:t xml:space="preserve">Figure </w:t>
      </w:r>
      <w:r w:rsidR="00FC2A30">
        <w:rPr>
          <w:b/>
        </w:rPr>
        <w:t>1</w:t>
      </w:r>
      <w:r w:rsidR="005649C9">
        <w:rPr>
          <w:b/>
        </w:rPr>
        <w:t xml:space="preserve"> (previous page)</w:t>
      </w:r>
      <w:r w:rsidRPr="00242181">
        <w:rPr>
          <w:b/>
        </w:rPr>
        <w:t>:</w:t>
      </w:r>
      <w:r w:rsidRPr="00EB7331">
        <w:t xml:space="preserve"> </w:t>
      </w:r>
      <w:r w:rsidR="00C9106C">
        <w:t>HDS-scale m</w:t>
      </w:r>
      <w:r w:rsidR="00C9106C" w:rsidRPr="00C9106C">
        <w:t>ap</w:t>
      </w:r>
      <w:r w:rsidR="00C9106C">
        <w:t xml:space="preserve">s </w:t>
      </w:r>
      <w:r w:rsidR="00A940C8">
        <w:t xml:space="preserve">for the GCFR and SWAFR </w:t>
      </w:r>
      <w:r w:rsidR="00C9106C">
        <w:t>of (a,b) vascular plant species richness, (c,d) the major axis of environmental heterogeneity (PC1) from the PCA of nine forms of environmental heterogeneity (log</w:t>
      </w:r>
      <w:r w:rsidR="00C9106C" w:rsidRPr="00C9106C">
        <w:rPr>
          <w:vertAlign w:val="subscript"/>
        </w:rPr>
        <w:t>10</w:t>
      </w:r>
      <w:r w:rsidR="00C9106C">
        <w:t>-transformed), residuals from regressions of species richness against (e,f) PC1 (</w:t>
      </w:r>
      <w:r w:rsidR="00B02E73">
        <w:t xml:space="preserve">Figure </w:t>
      </w:r>
      <w:r w:rsidR="00FF0F3A">
        <w:t>4</w:t>
      </w:r>
      <w:r w:rsidR="00C9106C">
        <w:t>b) and (g,h) the multivariate (MV) model (</w:t>
      </w:r>
      <w:r w:rsidR="008538A7">
        <w:t xml:space="preserve">Figure </w:t>
      </w:r>
      <w:r w:rsidR="00977291">
        <w:t>5</w:t>
      </w:r>
      <w:r w:rsidR="00C9106C">
        <w:t xml:space="preserve">b). Map projection used: WGS84. </w:t>
      </w:r>
      <w:r w:rsidR="008C1315">
        <w:t xml:space="preserve">Colour versions of these maps, and the </w:t>
      </w:r>
      <w:r w:rsidR="00C9106C">
        <w:t xml:space="preserve">QDS- and DS-scale equivalents </w:t>
      </w:r>
      <w:r w:rsidR="008C1315">
        <w:t>(Figure S</w:t>
      </w:r>
      <w:r w:rsidR="008C1315" w:rsidRPr="003055F8">
        <w:rPr>
          <w:highlight w:val="red"/>
        </w:rPr>
        <w:t>5</w:t>
      </w:r>
      <w:r w:rsidR="008C1315">
        <w:t>,</w:t>
      </w:r>
      <w:r w:rsidR="003055F8">
        <w:t xml:space="preserve"> </w:t>
      </w:r>
      <w:r w:rsidR="008C1315">
        <w:t>S</w:t>
      </w:r>
      <w:r w:rsidR="008C1315" w:rsidRPr="003055F8">
        <w:rPr>
          <w:highlight w:val="red"/>
        </w:rPr>
        <w:t>6</w:t>
      </w:r>
      <w:r w:rsidR="008C1315">
        <w:t xml:space="preserve"> respectively) </w:t>
      </w:r>
      <w:r w:rsidR="00C9106C">
        <w:t>are available in the online version</w:t>
      </w:r>
      <w:r w:rsidR="008C1315">
        <w:t>.</w:t>
      </w:r>
      <w:r>
        <w:rPr>
          <w:highlight w:val="yellow"/>
        </w:rPr>
        <w:br w:type="page"/>
      </w:r>
    </w:p>
    <w:p w14:paraId="779CFF39" w14:textId="77777777" w:rsidR="000878A3" w:rsidRDefault="009E59E0" w:rsidP="000878A3">
      <w:pPr>
        <w:pStyle w:val="Heading1"/>
        <w:spacing w:line="240" w:lineRule="auto"/>
      </w:pPr>
      <w:r w:rsidRPr="009E59E0">
        <w:lastRenderedPageBreak/>
        <w:t>Data availability statement</w:t>
      </w:r>
    </w:p>
    <w:p w14:paraId="6743CDCE" w14:textId="16CAB420" w:rsidR="009E59E0" w:rsidRPr="000878A3" w:rsidRDefault="00DC1038" w:rsidP="000878A3">
      <w:pPr>
        <w:pStyle w:val="BodyText"/>
      </w:pPr>
      <w:r>
        <w:t xml:space="preserve">Raster-layers (of the nine forms of environmental heterogeneity, the major axis of heterogeneity (PC1) and vascular species richness) at each of the four spatial scales and analyses in the form of R-scripts </w:t>
      </w:r>
      <w:r w:rsidRPr="0019466D">
        <w:rPr>
          <w:highlight w:val="cyan"/>
        </w:rPr>
        <w:t>are available in the DRYAD Digital Repository (URL/DOI</w:t>
      </w:r>
      <w:r>
        <w:t xml:space="preserve">). The </w:t>
      </w:r>
      <w:r w:rsidR="00A56EBA">
        <w:t xml:space="preserve">raw </w:t>
      </w:r>
      <w:r>
        <w:t xml:space="preserve">plant occurrence records are available from GBIF (GCFR: </w:t>
      </w:r>
      <w:hyperlink r:id="rId14" w:history="1">
        <w:r w:rsidR="00A56EBA" w:rsidRPr="000F1325">
          <w:rPr>
            <w:rStyle w:val="Hyperlink"/>
          </w:rPr>
          <w:t>https://doi.org/10.15468/dl.n6u6n0</w:t>
        </w:r>
      </w:hyperlink>
      <w:r>
        <w:t xml:space="preserve">; SWAFR: </w:t>
      </w:r>
      <w:hyperlink r:id="rId15" w:history="1">
        <w:r w:rsidR="00930D80" w:rsidRPr="000F1325">
          <w:rPr>
            <w:rStyle w:val="Hyperlink"/>
          </w:rPr>
          <w:t>https://doi.org/10.15468/dl.46okua</w:t>
        </w:r>
      </w:hyperlink>
      <w:r>
        <w:t xml:space="preserve">). </w:t>
      </w:r>
      <w:r w:rsidRPr="00596AC4">
        <w:rPr>
          <w:highlight w:val="cyan"/>
        </w:rPr>
        <w:t>Our analyses are reproducible using R-scripts available also on GitHub (</w:t>
      </w:r>
      <w:hyperlink r:id="rId16" w:history="1">
        <w:r w:rsidR="00114B76" w:rsidRPr="00EC4B74">
          <w:rPr>
            <w:rStyle w:val="Hyperlink"/>
            <w:highlight w:val="cyan"/>
          </w:rPr>
          <w:t>https://github.com/rvanmazijk/Cape-vs-SWA</w:t>
        </w:r>
      </w:hyperlink>
      <w:r w:rsidRPr="00596AC4">
        <w:rPr>
          <w:highlight w:val="cyan"/>
        </w:rPr>
        <w:t>).</w:t>
      </w:r>
    </w:p>
    <w:p w14:paraId="3FB275CB" w14:textId="782BA677" w:rsidR="00DD2348" w:rsidRDefault="005F0FFB" w:rsidP="0018462C">
      <w:pPr>
        <w:pStyle w:val="Heading1"/>
      </w:pPr>
      <w:r w:rsidRPr="002C20EB">
        <w:t>References</w:t>
      </w:r>
      <w:bookmarkEnd w:id="9"/>
    </w:p>
    <w:p w14:paraId="1E00319A" w14:textId="64736A2C" w:rsidR="000C3D30" w:rsidRPr="000C3D30" w:rsidRDefault="008E0DFC" w:rsidP="000C3D30">
      <w:pPr>
        <w:widowControl w:val="0"/>
        <w:autoSpaceDE w:val="0"/>
        <w:autoSpaceDN w:val="0"/>
        <w:adjustRightInd w:val="0"/>
        <w:spacing w:after="180"/>
        <w:ind w:left="480" w:hanging="480"/>
        <w:rPr>
          <w:rFonts w:hAnsi="Times New Roman" w:cs="Times New Roman"/>
          <w:noProof/>
        </w:rPr>
      </w:pPr>
      <w:r>
        <w:fldChar w:fldCharType="begin" w:fldLock="1"/>
      </w:r>
      <w:r>
        <w:instrText xml:space="preserve">ADDIN Mendeley Bibliography CSL_BIBLIOGRAPHY </w:instrText>
      </w:r>
      <w:r>
        <w:fldChar w:fldCharType="separate"/>
      </w:r>
      <w:r w:rsidR="000C3D30" w:rsidRPr="000C3D30">
        <w:rPr>
          <w:rFonts w:hAnsi="Times New Roman" w:cs="Times New Roman"/>
          <w:noProof/>
        </w:rPr>
        <w:t xml:space="preserve">Beard, J. S., Chapman, A. R., &amp; Gioia, P. (2000). Species richness and endemism in the Western Australian flora. </w:t>
      </w:r>
      <w:r w:rsidR="000C3D30" w:rsidRPr="000C3D30">
        <w:rPr>
          <w:rFonts w:hAnsi="Times New Roman" w:cs="Times New Roman"/>
          <w:i/>
          <w:iCs/>
          <w:noProof/>
        </w:rPr>
        <w:t>Journal of Biogeography</w:t>
      </w:r>
      <w:r w:rsidR="000C3D30" w:rsidRPr="000C3D30">
        <w:rPr>
          <w:rFonts w:hAnsi="Times New Roman" w:cs="Times New Roman"/>
          <w:noProof/>
        </w:rPr>
        <w:t xml:space="preserve">, </w:t>
      </w:r>
      <w:r w:rsidR="000C3D30" w:rsidRPr="000C3D30">
        <w:rPr>
          <w:rFonts w:hAnsi="Times New Roman" w:cs="Times New Roman"/>
          <w:i/>
          <w:iCs/>
          <w:noProof/>
        </w:rPr>
        <w:t>27</w:t>
      </w:r>
      <w:r w:rsidR="000C3D30" w:rsidRPr="000C3D30">
        <w:rPr>
          <w:rFonts w:hAnsi="Times New Roman" w:cs="Times New Roman"/>
          <w:noProof/>
        </w:rPr>
        <w:t>(6), 1257–1268. https://doi.org/10.1046/j.1365-2699.2000.00509.x</w:t>
      </w:r>
    </w:p>
    <w:p w14:paraId="087B9DDE"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Bergh, N. G., &amp; Linder, H. P. (2009). Cape diversification and repeated out-of-southern-Africa dispersal in paper daisies (Asteraceae--Gnaphalieae). </w:t>
      </w:r>
      <w:r w:rsidRPr="000C3D30">
        <w:rPr>
          <w:rFonts w:hAnsi="Times New Roman" w:cs="Times New Roman"/>
          <w:i/>
          <w:iCs/>
          <w:noProof/>
        </w:rPr>
        <w:t>Molecular Phylogenetics and Evolution</w:t>
      </w:r>
      <w:r w:rsidRPr="000C3D30">
        <w:rPr>
          <w:rFonts w:hAnsi="Times New Roman" w:cs="Times New Roman"/>
          <w:noProof/>
        </w:rPr>
        <w:t xml:space="preserve">, </w:t>
      </w:r>
      <w:r w:rsidRPr="000C3D30">
        <w:rPr>
          <w:rFonts w:hAnsi="Times New Roman" w:cs="Times New Roman"/>
          <w:i/>
          <w:iCs/>
          <w:noProof/>
        </w:rPr>
        <w:t>51</w:t>
      </w:r>
      <w:r w:rsidRPr="000C3D30">
        <w:rPr>
          <w:rFonts w:hAnsi="Times New Roman" w:cs="Times New Roman"/>
          <w:noProof/>
        </w:rPr>
        <w:t>(1), 5–18.</w:t>
      </w:r>
    </w:p>
    <w:p w14:paraId="0963F49D"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Bivand, R., Keitt, T., &amp; Rowlingson, B. (2017). rgdal: Bindings for the Geospatial Data Abstraction Library. R package version 1.2-7. Retrieved from https://cran.r-project.org/package=rgdal</w:t>
      </w:r>
    </w:p>
    <w:p w14:paraId="5AABEFE5"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Born, J., Linder, H. P., &amp; Desmet, P. (2007). The Greater Cape Floristic Region. </w:t>
      </w:r>
      <w:r w:rsidRPr="000C3D30">
        <w:rPr>
          <w:rFonts w:hAnsi="Times New Roman" w:cs="Times New Roman"/>
          <w:i/>
          <w:iCs/>
          <w:noProof/>
        </w:rPr>
        <w:t>Journal of Biogeography</w:t>
      </w:r>
      <w:r w:rsidRPr="000C3D30">
        <w:rPr>
          <w:rFonts w:hAnsi="Times New Roman" w:cs="Times New Roman"/>
          <w:noProof/>
        </w:rPr>
        <w:t xml:space="preserve">, </w:t>
      </w:r>
      <w:r w:rsidRPr="000C3D30">
        <w:rPr>
          <w:rFonts w:hAnsi="Times New Roman" w:cs="Times New Roman"/>
          <w:i/>
          <w:iCs/>
          <w:noProof/>
        </w:rPr>
        <w:t>34</w:t>
      </w:r>
      <w:r w:rsidRPr="000C3D30">
        <w:rPr>
          <w:rFonts w:hAnsi="Times New Roman" w:cs="Times New Roman"/>
          <w:noProof/>
        </w:rPr>
        <w:t>(1), 147–162. https://doi.org/10.1111/j.1365-2699.2006.01595.x</w:t>
      </w:r>
    </w:p>
    <w:p w14:paraId="111EFB43"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Born, Julia, &amp; Linder, H. P. (2018). Water availability, fundamental niches and realized niches: A case study from the Cape flora. </w:t>
      </w:r>
      <w:r w:rsidRPr="000C3D30">
        <w:rPr>
          <w:rFonts w:hAnsi="Times New Roman" w:cs="Times New Roman"/>
          <w:i/>
          <w:iCs/>
          <w:noProof/>
        </w:rPr>
        <w:t>Austral Ecology</w:t>
      </w:r>
      <w:r w:rsidRPr="000C3D30">
        <w:rPr>
          <w:rFonts w:hAnsi="Times New Roman" w:cs="Times New Roman"/>
          <w:noProof/>
        </w:rPr>
        <w:t xml:space="preserve">, </w:t>
      </w:r>
      <w:r w:rsidRPr="000C3D30">
        <w:rPr>
          <w:rFonts w:hAnsi="Times New Roman" w:cs="Times New Roman"/>
          <w:i/>
          <w:iCs/>
          <w:noProof/>
        </w:rPr>
        <w:t>43</w:t>
      </w:r>
      <w:r w:rsidRPr="000C3D30">
        <w:rPr>
          <w:rFonts w:hAnsi="Times New Roman" w:cs="Times New Roman"/>
          <w:noProof/>
        </w:rPr>
        <w:t>(6), 696–705. https://doi.org/10.1111/aec.12616</w:t>
      </w:r>
    </w:p>
    <w:p w14:paraId="6C99EF5C"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Bradshaw, P. L., &amp; Cowling, R. M. (2014). Landscapes, rock types, and climate of the Greater Cape Floristic Region. In N. Allsopp, J. F. Colville, &amp; G. A. Verboom (Eds.), </w:t>
      </w:r>
      <w:r w:rsidRPr="000C3D30">
        <w:rPr>
          <w:rFonts w:hAnsi="Times New Roman" w:cs="Times New Roman"/>
          <w:i/>
          <w:iCs/>
          <w:noProof/>
        </w:rPr>
        <w:t>Fynbos: Ecology, Evolution and Conservation of a Megadiverse Region</w:t>
      </w:r>
      <w:r w:rsidRPr="000C3D30">
        <w:rPr>
          <w:rFonts w:hAnsi="Times New Roman" w:cs="Times New Roman"/>
          <w:noProof/>
        </w:rPr>
        <w:t xml:space="preserve"> (pp. 26–46). Oxford: Oxford University Press. https://doi.org/oso/9780199679584.003.0002</w:t>
      </w:r>
    </w:p>
    <w:p w14:paraId="68809B33"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Byrne, M. (2008). Evidence for multiple refugia at different time scales during Pleistocene climatic oscillations in southern Australia inferred from phylogeography. </w:t>
      </w:r>
      <w:r w:rsidRPr="000C3D30">
        <w:rPr>
          <w:rFonts w:hAnsi="Times New Roman" w:cs="Times New Roman"/>
          <w:i/>
          <w:iCs/>
          <w:noProof/>
        </w:rPr>
        <w:t>Quaternary Science Reviews</w:t>
      </w:r>
      <w:r w:rsidRPr="000C3D30">
        <w:rPr>
          <w:rFonts w:hAnsi="Times New Roman" w:cs="Times New Roman"/>
          <w:noProof/>
        </w:rPr>
        <w:t xml:space="preserve">, </w:t>
      </w:r>
      <w:r w:rsidRPr="000C3D30">
        <w:rPr>
          <w:rFonts w:hAnsi="Times New Roman" w:cs="Times New Roman"/>
          <w:i/>
          <w:iCs/>
          <w:noProof/>
        </w:rPr>
        <w:t>27</w:t>
      </w:r>
      <w:r w:rsidRPr="000C3D30">
        <w:rPr>
          <w:rFonts w:hAnsi="Times New Roman" w:cs="Times New Roman"/>
          <w:noProof/>
        </w:rPr>
        <w:t>(27–28), 2576–2585. https://doi.org/10.1016/j.quascirev.2008.08.032</w:t>
      </w:r>
    </w:p>
    <w:p w14:paraId="28CEDA41"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Chamberlain, S., Szocs, E., Boettiger, C., Ram, K., Bartomeus, I., Baumgartner, J., … O’Donnell, J. (2016). taxize: Taxonomic information from around the web. R package version 0.7.8. Retrieved from https://github.com/ropensci/taxize</w:t>
      </w:r>
    </w:p>
    <w:p w14:paraId="2297CA94"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Chao, A., &amp; Jost, L. (2012). Coverage-based rarefaction and extrapolation: standardizing samples by completeness rather than size. </w:t>
      </w:r>
      <w:r w:rsidRPr="000C3D30">
        <w:rPr>
          <w:rFonts w:hAnsi="Times New Roman" w:cs="Times New Roman"/>
          <w:i/>
          <w:iCs/>
          <w:noProof/>
        </w:rPr>
        <w:t>Ecology</w:t>
      </w:r>
      <w:r w:rsidRPr="000C3D30">
        <w:rPr>
          <w:rFonts w:hAnsi="Times New Roman" w:cs="Times New Roman"/>
          <w:noProof/>
        </w:rPr>
        <w:t xml:space="preserve">, </w:t>
      </w:r>
      <w:r w:rsidRPr="000C3D30">
        <w:rPr>
          <w:rFonts w:hAnsi="Times New Roman" w:cs="Times New Roman"/>
          <w:i/>
          <w:iCs/>
          <w:noProof/>
        </w:rPr>
        <w:t>93</w:t>
      </w:r>
      <w:r w:rsidRPr="000C3D30">
        <w:rPr>
          <w:rFonts w:hAnsi="Times New Roman" w:cs="Times New Roman"/>
          <w:noProof/>
        </w:rPr>
        <w:t>(12), 2533–2547.</w:t>
      </w:r>
    </w:p>
    <w:p w14:paraId="344356E0"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Cowling, R. M., Witkowski, E. T. F., Milewski, A. V., &amp; Newbey, K. R. (1994). Taxonomic, Edaphic and Biological Aspects of Narrow Plant Endemism on Matched Sites in Mediterranean South Africa and Australia. </w:t>
      </w:r>
      <w:r w:rsidRPr="000C3D30">
        <w:rPr>
          <w:rFonts w:hAnsi="Times New Roman" w:cs="Times New Roman"/>
          <w:i/>
          <w:iCs/>
          <w:noProof/>
        </w:rPr>
        <w:t>Journal of Biogeography</w:t>
      </w:r>
      <w:r w:rsidRPr="000C3D30">
        <w:rPr>
          <w:rFonts w:hAnsi="Times New Roman" w:cs="Times New Roman"/>
          <w:noProof/>
        </w:rPr>
        <w:t xml:space="preserve">, </w:t>
      </w:r>
      <w:r w:rsidRPr="000C3D30">
        <w:rPr>
          <w:rFonts w:hAnsi="Times New Roman" w:cs="Times New Roman"/>
          <w:i/>
          <w:iCs/>
          <w:noProof/>
        </w:rPr>
        <w:t>21</w:t>
      </w:r>
      <w:r w:rsidRPr="000C3D30">
        <w:rPr>
          <w:rFonts w:hAnsi="Times New Roman" w:cs="Times New Roman"/>
          <w:noProof/>
        </w:rPr>
        <w:t>(6), 651. https://doi.org/10.2307/2846038</w:t>
      </w:r>
    </w:p>
    <w:p w14:paraId="16689151"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Cowling, Richard M., Potts, A. J., Bradshaw, P. L., Colville, J., Arianoutsou, M., Ferrier, S., … </w:t>
      </w:r>
      <w:r w:rsidRPr="000C3D30">
        <w:rPr>
          <w:rFonts w:hAnsi="Times New Roman" w:cs="Times New Roman"/>
          <w:noProof/>
        </w:rPr>
        <w:lastRenderedPageBreak/>
        <w:t xml:space="preserve">Zutta, B. R. (2015). Variation in plant diversity in mediterranean-climate ecosystems: The role of climatic and topographical stability. </w:t>
      </w:r>
      <w:r w:rsidRPr="000C3D30">
        <w:rPr>
          <w:rFonts w:hAnsi="Times New Roman" w:cs="Times New Roman"/>
          <w:i/>
          <w:iCs/>
          <w:noProof/>
        </w:rPr>
        <w:t>Journal of Biogeography</w:t>
      </w:r>
      <w:r w:rsidRPr="000C3D30">
        <w:rPr>
          <w:rFonts w:hAnsi="Times New Roman" w:cs="Times New Roman"/>
          <w:noProof/>
        </w:rPr>
        <w:t xml:space="preserve">, </w:t>
      </w:r>
      <w:r w:rsidRPr="000C3D30">
        <w:rPr>
          <w:rFonts w:hAnsi="Times New Roman" w:cs="Times New Roman"/>
          <w:i/>
          <w:iCs/>
          <w:noProof/>
        </w:rPr>
        <w:t>42</w:t>
      </w:r>
      <w:r w:rsidRPr="000C3D30">
        <w:rPr>
          <w:rFonts w:hAnsi="Times New Roman" w:cs="Times New Roman"/>
          <w:noProof/>
        </w:rPr>
        <w:t>(3), 552–564. https://doi.org/10.1111/jbi.12429</w:t>
      </w:r>
    </w:p>
    <w:p w14:paraId="449B7DE8"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Cramer, M. D., &amp; Verboom, G. A. (2016). Measures of biologically relevant environmental heterogeneity improve prediction of regional plant species richness. </w:t>
      </w:r>
      <w:r w:rsidRPr="000C3D30">
        <w:rPr>
          <w:rFonts w:hAnsi="Times New Roman" w:cs="Times New Roman"/>
          <w:i/>
          <w:iCs/>
          <w:noProof/>
        </w:rPr>
        <w:t>Journal of Biogeography</w:t>
      </w:r>
      <w:r w:rsidRPr="000C3D30">
        <w:rPr>
          <w:rFonts w:hAnsi="Times New Roman" w:cs="Times New Roman"/>
          <w:noProof/>
        </w:rPr>
        <w:t xml:space="preserve">, </w:t>
      </w:r>
      <w:r w:rsidRPr="000C3D30">
        <w:rPr>
          <w:rFonts w:hAnsi="Times New Roman" w:cs="Times New Roman"/>
          <w:i/>
          <w:iCs/>
          <w:noProof/>
        </w:rPr>
        <w:t>44</w:t>
      </w:r>
      <w:r w:rsidRPr="000C3D30">
        <w:rPr>
          <w:rFonts w:hAnsi="Times New Roman" w:cs="Times New Roman"/>
          <w:noProof/>
        </w:rPr>
        <w:t>(3), 1–13. https://doi.org/10.1111/jbi.12911</w:t>
      </w:r>
    </w:p>
    <w:p w14:paraId="1C3A10F0"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Cramer, M. D., Wootton, L. M., van Mazijk, R., &amp; Verboom, G. A. (2019). New regionally modelled soil layers improve prediction of vegetation type relative to that based on global soil models. </w:t>
      </w:r>
      <w:r w:rsidRPr="000C3D30">
        <w:rPr>
          <w:rFonts w:hAnsi="Times New Roman" w:cs="Times New Roman"/>
          <w:i/>
          <w:iCs/>
          <w:noProof/>
        </w:rPr>
        <w:t>Diversity and Distributions</w:t>
      </w:r>
      <w:r w:rsidRPr="000C3D30">
        <w:rPr>
          <w:rFonts w:hAnsi="Times New Roman" w:cs="Times New Roman"/>
          <w:noProof/>
        </w:rPr>
        <w:t xml:space="preserve">, </w:t>
      </w:r>
      <w:r w:rsidRPr="000C3D30">
        <w:rPr>
          <w:rFonts w:hAnsi="Times New Roman" w:cs="Times New Roman"/>
          <w:i/>
          <w:iCs/>
          <w:noProof/>
        </w:rPr>
        <w:t>25</w:t>
      </w:r>
      <w:r w:rsidRPr="000C3D30">
        <w:rPr>
          <w:rFonts w:hAnsi="Times New Roman" w:cs="Times New Roman"/>
          <w:noProof/>
        </w:rPr>
        <w:t>(11), 1736–1750.</w:t>
      </w:r>
    </w:p>
    <w:p w14:paraId="7AA890FD"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Engemann, K., Enquist, B. J., Sandel, B., Boyle, B., Jørgensen, P. M., Morueta-Holme, N., … Svenning, J.-C. (2015). Limited sampling hampers “big data” estimation of species richness in a tropical biodiversity hotspot. </w:t>
      </w:r>
      <w:r w:rsidRPr="000C3D30">
        <w:rPr>
          <w:rFonts w:hAnsi="Times New Roman" w:cs="Times New Roman"/>
          <w:i/>
          <w:iCs/>
          <w:noProof/>
        </w:rPr>
        <w:t>Ecology and Evolution</w:t>
      </w:r>
      <w:r w:rsidRPr="000C3D30">
        <w:rPr>
          <w:rFonts w:hAnsi="Times New Roman" w:cs="Times New Roman"/>
          <w:noProof/>
        </w:rPr>
        <w:t xml:space="preserve">, </w:t>
      </w:r>
      <w:r w:rsidRPr="000C3D30">
        <w:rPr>
          <w:rFonts w:hAnsi="Times New Roman" w:cs="Times New Roman"/>
          <w:i/>
          <w:iCs/>
          <w:noProof/>
        </w:rPr>
        <w:t>5</w:t>
      </w:r>
      <w:r w:rsidRPr="000C3D30">
        <w:rPr>
          <w:rFonts w:hAnsi="Times New Roman" w:cs="Times New Roman"/>
          <w:noProof/>
        </w:rPr>
        <w:t>(3), 807–820.</w:t>
      </w:r>
    </w:p>
    <w:p w14:paraId="2FCF36E4"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Figueiredo, F. O. G., Zuquim, G., Tuomisto, H., Moulatlet, G. M., Balslev, H., &amp; Costa, F. R. C. (2018). Beyond climate control on species range: The importance of soil data to predict distribution of Amazonian plant species. </w:t>
      </w:r>
      <w:r w:rsidRPr="000C3D30">
        <w:rPr>
          <w:rFonts w:hAnsi="Times New Roman" w:cs="Times New Roman"/>
          <w:i/>
          <w:iCs/>
          <w:noProof/>
        </w:rPr>
        <w:t>Journal of Biogeography</w:t>
      </w:r>
      <w:r w:rsidRPr="000C3D30">
        <w:rPr>
          <w:rFonts w:hAnsi="Times New Roman" w:cs="Times New Roman"/>
          <w:noProof/>
        </w:rPr>
        <w:t xml:space="preserve">, </w:t>
      </w:r>
      <w:r w:rsidRPr="000C3D30">
        <w:rPr>
          <w:rFonts w:hAnsi="Times New Roman" w:cs="Times New Roman"/>
          <w:i/>
          <w:iCs/>
          <w:noProof/>
        </w:rPr>
        <w:t>45</w:t>
      </w:r>
      <w:r w:rsidRPr="000C3D30">
        <w:rPr>
          <w:rFonts w:hAnsi="Times New Roman" w:cs="Times New Roman"/>
          <w:noProof/>
        </w:rPr>
        <w:t>(1), 190–200. https://doi.org/10.1111/jbi.13104</w:t>
      </w:r>
    </w:p>
    <w:p w14:paraId="3B79A1C5"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Gioia, P., &amp; Hopper, S. D. (2017). A new phytogeographic map for the Southwest Australian Floristic Region after an exceptional decade of collection and discovery. </w:t>
      </w:r>
      <w:r w:rsidRPr="000C3D30">
        <w:rPr>
          <w:rFonts w:hAnsi="Times New Roman" w:cs="Times New Roman"/>
          <w:i/>
          <w:iCs/>
          <w:noProof/>
        </w:rPr>
        <w:t>Botanical Journal of the Linnean Society</w:t>
      </w:r>
      <w:r w:rsidRPr="000C3D30">
        <w:rPr>
          <w:rFonts w:hAnsi="Times New Roman" w:cs="Times New Roman"/>
          <w:noProof/>
        </w:rPr>
        <w:t xml:space="preserve">, </w:t>
      </w:r>
      <w:r w:rsidRPr="000C3D30">
        <w:rPr>
          <w:rFonts w:hAnsi="Times New Roman" w:cs="Times New Roman"/>
          <w:i/>
          <w:iCs/>
          <w:noProof/>
        </w:rPr>
        <w:t>184</w:t>
      </w:r>
      <w:r w:rsidRPr="000C3D30">
        <w:rPr>
          <w:rFonts w:hAnsi="Times New Roman" w:cs="Times New Roman"/>
          <w:noProof/>
        </w:rPr>
        <w:t>(1), 1–15. https://doi.org/10.1093/botlinnean/box010</w:t>
      </w:r>
    </w:p>
    <w:p w14:paraId="443FCD58"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Gotelli, N. J., &amp; Colwell, R. K. (2001). Quantifying biodiversity: procedures and pitfalls in the measurement and comparison of species richness. </w:t>
      </w:r>
      <w:r w:rsidRPr="000C3D30">
        <w:rPr>
          <w:rFonts w:hAnsi="Times New Roman" w:cs="Times New Roman"/>
          <w:i/>
          <w:iCs/>
          <w:noProof/>
        </w:rPr>
        <w:t>Ecology Letters</w:t>
      </w:r>
      <w:r w:rsidRPr="000C3D30">
        <w:rPr>
          <w:rFonts w:hAnsi="Times New Roman" w:cs="Times New Roman"/>
          <w:noProof/>
        </w:rPr>
        <w:t xml:space="preserve">, </w:t>
      </w:r>
      <w:r w:rsidRPr="000C3D30">
        <w:rPr>
          <w:rFonts w:hAnsi="Times New Roman" w:cs="Times New Roman"/>
          <w:i/>
          <w:iCs/>
          <w:noProof/>
        </w:rPr>
        <w:t>4</w:t>
      </w:r>
      <w:r w:rsidRPr="000C3D30">
        <w:rPr>
          <w:rFonts w:hAnsi="Times New Roman" w:cs="Times New Roman"/>
          <w:noProof/>
        </w:rPr>
        <w:t>(4), 379–391. https://doi.org/10.1046/j.1461-0248.2001.00230.x</w:t>
      </w:r>
    </w:p>
    <w:p w14:paraId="5EB58D72"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Hijmans, R. J. (2016). raster: Geographic Data Analysis and Modeling. R package version 2.5-8. Retrieved from https://cran.r-project.org/package=raster</w:t>
      </w:r>
    </w:p>
    <w:p w14:paraId="76003E81"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Hopper, S. D. (2009). OCBIL theory: Towards an integrated understanding of the evolution, ecology and conservation of biodiversity on old, climatically buffered, infertile landscapes. </w:t>
      </w:r>
      <w:r w:rsidRPr="000C3D30">
        <w:rPr>
          <w:rFonts w:hAnsi="Times New Roman" w:cs="Times New Roman"/>
          <w:i/>
          <w:iCs/>
          <w:noProof/>
        </w:rPr>
        <w:t>Plant and Soil</w:t>
      </w:r>
      <w:r w:rsidRPr="000C3D30">
        <w:rPr>
          <w:rFonts w:hAnsi="Times New Roman" w:cs="Times New Roman"/>
          <w:noProof/>
        </w:rPr>
        <w:t xml:space="preserve">, </w:t>
      </w:r>
      <w:r w:rsidRPr="000C3D30">
        <w:rPr>
          <w:rFonts w:hAnsi="Times New Roman" w:cs="Times New Roman"/>
          <w:i/>
          <w:iCs/>
          <w:noProof/>
        </w:rPr>
        <w:t>322</w:t>
      </w:r>
      <w:r w:rsidRPr="000C3D30">
        <w:rPr>
          <w:rFonts w:hAnsi="Times New Roman" w:cs="Times New Roman"/>
          <w:noProof/>
        </w:rPr>
        <w:t>(1), 49–86. https://doi.org/10.1007/s11104-009-0068-0</w:t>
      </w:r>
    </w:p>
    <w:p w14:paraId="026AD0E1"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Hopper, S. D., &amp; Gioia, P. (2004a). The Southwest Australian Floristic Region : Evolution and Conservation of a Global Hot Spot of Biodiversity. </w:t>
      </w:r>
      <w:r w:rsidRPr="000C3D30">
        <w:rPr>
          <w:rFonts w:hAnsi="Times New Roman" w:cs="Times New Roman"/>
          <w:i/>
          <w:iCs/>
          <w:noProof/>
        </w:rPr>
        <w:t>Annual Review of Ecology, Evolution, and Systematics</w:t>
      </w:r>
      <w:r w:rsidRPr="000C3D30">
        <w:rPr>
          <w:rFonts w:hAnsi="Times New Roman" w:cs="Times New Roman"/>
          <w:noProof/>
        </w:rPr>
        <w:t xml:space="preserve">, </w:t>
      </w:r>
      <w:r w:rsidRPr="000C3D30">
        <w:rPr>
          <w:rFonts w:hAnsi="Times New Roman" w:cs="Times New Roman"/>
          <w:i/>
          <w:iCs/>
          <w:noProof/>
        </w:rPr>
        <w:t>35</w:t>
      </w:r>
      <w:r w:rsidRPr="000C3D30">
        <w:rPr>
          <w:rFonts w:hAnsi="Times New Roman" w:cs="Times New Roman"/>
          <w:noProof/>
        </w:rPr>
        <w:t>(1), 623–650. https://doi.org/10.1146/annurev.ecolsys.35.112202.130201</w:t>
      </w:r>
    </w:p>
    <w:p w14:paraId="56DBFE83"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Hopper, S. D., &amp; Gioia, P. (2004b). The Southwest Australian floristic region: Evolution and conservation of a global hot spot of biodiversity. </w:t>
      </w:r>
      <w:r w:rsidRPr="000C3D30">
        <w:rPr>
          <w:rFonts w:hAnsi="Times New Roman" w:cs="Times New Roman"/>
          <w:i/>
          <w:iCs/>
          <w:noProof/>
        </w:rPr>
        <w:t>Annual Review of Ecology, Evolution, and Systematics</w:t>
      </w:r>
      <w:r w:rsidRPr="000C3D30">
        <w:rPr>
          <w:rFonts w:hAnsi="Times New Roman" w:cs="Times New Roman"/>
          <w:noProof/>
        </w:rPr>
        <w:t xml:space="preserve">, </w:t>
      </w:r>
      <w:r w:rsidRPr="000C3D30">
        <w:rPr>
          <w:rFonts w:hAnsi="Times New Roman" w:cs="Times New Roman"/>
          <w:i/>
          <w:iCs/>
          <w:noProof/>
        </w:rPr>
        <w:t>35</w:t>
      </w:r>
      <w:r w:rsidRPr="000C3D30">
        <w:rPr>
          <w:rFonts w:hAnsi="Times New Roman" w:cs="Times New Roman"/>
          <w:noProof/>
        </w:rPr>
        <w:t>, 623–650. https://doi.org/10.1146/annurev.ecolsys.35.112202.130201</w:t>
      </w:r>
    </w:p>
    <w:p w14:paraId="50BFB8F7"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Kreft, H., &amp; Jetz, W. (2007). Global patterns and determinants of vascular plant diversity. </w:t>
      </w:r>
      <w:r w:rsidRPr="000C3D30">
        <w:rPr>
          <w:rFonts w:hAnsi="Times New Roman" w:cs="Times New Roman"/>
          <w:i/>
          <w:iCs/>
          <w:noProof/>
        </w:rPr>
        <w:t>Proceedings of the National Academy of Sciences</w:t>
      </w:r>
      <w:r w:rsidRPr="000C3D30">
        <w:rPr>
          <w:rFonts w:hAnsi="Times New Roman" w:cs="Times New Roman"/>
          <w:noProof/>
        </w:rPr>
        <w:t xml:space="preserve">, </w:t>
      </w:r>
      <w:r w:rsidRPr="000C3D30">
        <w:rPr>
          <w:rFonts w:hAnsi="Times New Roman" w:cs="Times New Roman"/>
          <w:i/>
          <w:iCs/>
          <w:noProof/>
        </w:rPr>
        <w:t>104</w:t>
      </w:r>
      <w:r w:rsidRPr="000C3D30">
        <w:rPr>
          <w:rFonts w:hAnsi="Times New Roman" w:cs="Times New Roman"/>
          <w:noProof/>
        </w:rPr>
        <w:t>(14), 5925–5930. https://doi.org/10.1073/pnas.0608361104</w:t>
      </w:r>
    </w:p>
    <w:p w14:paraId="6627B03F"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Lamont, B. B., &amp; He, T. (2017). When did a Mediterranean-type climate originate in southwestern Australia? </w:t>
      </w:r>
      <w:r w:rsidRPr="000C3D30">
        <w:rPr>
          <w:rFonts w:hAnsi="Times New Roman" w:cs="Times New Roman"/>
          <w:i/>
          <w:iCs/>
          <w:noProof/>
        </w:rPr>
        <w:t>Global and Planetary Change</w:t>
      </w:r>
      <w:r w:rsidRPr="000C3D30">
        <w:rPr>
          <w:rFonts w:hAnsi="Times New Roman" w:cs="Times New Roman"/>
          <w:noProof/>
        </w:rPr>
        <w:t xml:space="preserve">, </w:t>
      </w:r>
      <w:r w:rsidRPr="000C3D30">
        <w:rPr>
          <w:rFonts w:hAnsi="Times New Roman" w:cs="Times New Roman"/>
          <w:i/>
          <w:iCs/>
          <w:noProof/>
        </w:rPr>
        <w:t>156</w:t>
      </w:r>
      <w:r w:rsidRPr="000C3D30">
        <w:rPr>
          <w:rFonts w:hAnsi="Times New Roman" w:cs="Times New Roman"/>
          <w:noProof/>
        </w:rPr>
        <w:t>, 46–58. https://doi.org/10.1016/j.gloplacha.2017.08.004</w:t>
      </w:r>
    </w:p>
    <w:p w14:paraId="1BA15CE5"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Larsen, R., Holmern, T., Prager, S. D., Maliti, H., &amp; Røskaft, E. (2009). Using the extended </w:t>
      </w:r>
      <w:r w:rsidRPr="000C3D30">
        <w:rPr>
          <w:rFonts w:hAnsi="Times New Roman" w:cs="Times New Roman"/>
          <w:noProof/>
        </w:rPr>
        <w:lastRenderedPageBreak/>
        <w:t xml:space="preserve">quarter degree grid cell system to unify mapping and sharing of biodiversity data. </w:t>
      </w:r>
      <w:r w:rsidRPr="000C3D30">
        <w:rPr>
          <w:rFonts w:hAnsi="Times New Roman" w:cs="Times New Roman"/>
          <w:i/>
          <w:iCs/>
          <w:noProof/>
        </w:rPr>
        <w:t>African Journal of Ecology</w:t>
      </w:r>
      <w:r w:rsidRPr="000C3D30">
        <w:rPr>
          <w:rFonts w:hAnsi="Times New Roman" w:cs="Times New Roman"/>
          <w:noProof/>
        </w:rPr>
        <w:t xml:space="preserve">, </w:t>
      </w:r>
      <w:r w:rsidRPr="000C3D30">
        <w:rPr>
          <w:rFonts w:hAnsi="Times New Roman" w:cs="Times New Roman"/>
          <w:i/>
          <w:iCs/>
          <w:noProof/>
        </w:rPr>
        <w:t>47</w:t>
      </w:r>
      <w:r w:rsidRPr="000C3D30">
        <w:rPr>
          <w:rFonts w:hAnsi="Times New Roman" w:cs="Times New Roman"/>
          <w:noProof/>
        </w:rPr>
        <w:t>(3), 382–392. https://doi.org/10.1111/j.1365-2028.2008.00997.x</w:t>
      </w:r>
    </w:p>
    <w:p w14:paraId="18758846"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Linder, H. P. (2019). Rare species, Restionaceae, and the Cape flora. </w:t>
      </w:r>
      <w:r w:rsidRPr="000C3D30">
        <w:rPr>
          <w:rFonts w:hAnsi="Times New Roman" w:cs="Times New Roman"/>
          <w:i/>
          <w:iCs/>
          <w:noProof/>
        </w:rPr>
        <w:t>Journal of Biogeography</w:t>
      </w:r>
      <w:r w:rsidRPr="000C3D30">
        <w:rPr>
          <w:rFonts w:hAnsi="Times New Roman" w:cs="Times New Roman"/>
          <w:noProof/>
        </w:rPr>
        <w:t>, 1–14. https://doi.org/10.1111/jbi.13709</w:t>
      </w:r>
    </w:p>
    <w:p w14:paraId="6FF9990D"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Merow, C., Smith, M. J., &amp; Silander, J. A. (2013). A practical guide to MaxEnt for modeling species’ distributions: what it does, and why inputs and settings matter. </w:t>
      </w:r>
      <w:r w:rsidRPr="000C3D30">
        <w:rPr>
          <w:rFonts w:hAnsi="Times New Roman" w:cs="Times New Roman"/>
          <w:i/>
          <w:iCs/>
          <w:noProof/>
        </w:rPr>
        <w:t>Ecography</w:t>
      </w:r>
      <w:r w:rsidRPr="000C3D30">
        <w:rPr>
          <w:rFonts w:hAnsi="Times New Roman" w:cs="Times New Roman"/>
          <w:noProof/>
        </w:rPr>
        <w:t xml:space="preserve">, </w:t>
      </w:r>
      <w:r w:rsidRPr="000C3D30">
        <w:rPr>
          <w:rFonts w:hAnsi="Times New Roman" w:cs="Times New Roman"/>
          <w:i/>
          <w:iCs/>
          <w:noProof/>
        </w:rPr>
        <w:t>36</w:t>
      </w:r>
      <w:r w:rsidRPr="000C3D30">
        <w:rPr>
          <w:rFonts w:hAnsi="Times New Roman" w:cs="Times New Roman"/>
          <w:noProof/>
        </w:rPr>
        <w:t>(10), 1058–1069.</w:t>
      </w:r>
    </w:p>
    <w:p w14:paraId="55718DB2"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Milewski, A. V. (1981). A comparison of vegetation height in relation to the effectiveness of rainfall in the mediterranean and adjacent arid parts of Australia and South Africa. </w:t>
      </w:r>
      <w:r w:rsidRPr="000C3D30">
        <w:rPr>
          <w:rFonts w:hAnsi="Times New Roman" w:cs="Times New Roman"/>
          <w:i/>
          <w:iCs/>
          <w:noProof/>
        </w:rPr>
        <w:t>Journal of Biogeography</w:t>
      </w:r>
      <w:r w:rsidRPr="000C3D30">
        <w:rPr>
          <w:rFonts w:hAnsi="Times New Roman" w:cs="Times New Roman"/>
          <w:noProof/>
        </w:rPr>
        <w:t xml:space="preserve">, </w:t>
      </w:r>
      <w:r w:rsidRPr="000C3D30">
        <w:rPr>
          <w:rFonts w:hAnsi="Times New Roman" w:cs="Times New Roman"/>
          <w:i/>
          <w:iCs/>
          <w:noProof/>
        </w:rPr>
        <w:t>8</w:t>
      </w:r>
      <w:r w:rsidRPr="000C3D30">
        <w:rPr>
          <w:rFonts w:hAnsi="Times New Roman" w:cs="Times New Roman"/>
          <w:noProof/>
        </w:rPr>
        <w:t>(2), 107. https://doi.org/10.2307/2844553</w:t>
      </w:r>
    </w:p>
    <w:p w14:paraId="0055B6D1"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Mucina, L., &amp; Rutherford, M. C. (2006). </w:t>
      </w:r>
      <w:r w:rsidRPr="000C3D30">
        <w:rPr>
          <w:rFonts w:hAnsi="Times New Roman" w:cs="Times New Roman"/>
          <w:i/>
          <w:iCs/>
          <w:noProof/>
        </w:rPr>
        <w:t>The vegetation of South Africa, Lesotho and Swaziland.</w:t>
      </w:r>
      <w:r w:rsidRPr="000C3D30">
        <w:rPr>
          <w:rFonts w:hAnsi="Times New Roman" w:cs="Times New Roman"/>
          <w:noProof/>
        </w:rPr>
        <w:t xml:space="preserve"> South African National Biodiversity Institute.</w:t>
      </w:r>
    </w:p>
    <w:p w14:paraId="73531889"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Olson, D. M., Dinerstein, E., Wikramanayake, E. D., Burgess, N. D., Powell, G. V. N., Underwood, E. C., … others. (2001). Terrestrial Ecoregions of the World: A New Map of Life on Earth: A new global map of terrestrial ecoregions provides an innovative tool for conserving biodiversity. </w:t>
      </w:r>
      <w:r w:rsidRPr="000C3D30">
        <w:rPr>
          <w:rFonts w:hAnsi="Times New Roman" w:cs="Times New Roman"/>
          <w:i/>
          <w:iCs/>
          <w:noProof/>
        </w:rPr>
        <w:t>BioScience</w:t>
      </w:r>
      <w:r w:rsidRPr="000C3D30">
        <w:rPr>
          <w:rFonts w:hAnsi="Times New Roman" w:cs="Times New Roman"/>
          <w:noProof/>
        </w:rPr>
        <w:t xml:space="preserve">, </w:t>
      </w:r>
      <w:r w:rsidRPr="000C3D30">
        <w:rPr>
          <w:rFonts w:hAnsi="Times New Roman" w:cs="Times New Roman"/>
          <w:i/>
          <w:iCs/>
          <w:noProof/>
        </w:rPr>
        <w:t>51</w:t>
      </w:r>
      <w:r w:rsidRPr="000C3D30">
        <w:rPr>
          <w:rFonts w:hAnsi="Times New Roman" w:cs="Times New Roman"/>
          <w:noProof/>
        </w:rPr>
        <w:t>(11), 933–938.</w:t>
      </w:r>
    </w:p>
    <w:p w14:paraId="55E12AD8"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Rebelo, T. G. (2001). </w:t>
      </w:r>
      <w:r w:rsidRPr="000C3D30">
        <w:rPr>
          <w:rFonts w:hAnsi="Times New Roman" w:cs="Times New Roman"/>
          <w:i/>
          <w:iCs/>
          <w:noProof/>
        </w:rPr>
        <w:t>A field guide to the proteas of South Africa</w:t>
      </w:r>
      <w:r w:rsidRPr="000C3D30">
        <w:rPr>
          <w:rFonts w:hAnsi="Times New Roman" w:cs="Times New Roman"/>
          <w:noProof/>
        </w:rPr>
        <w:t>. Vlaeberg: Fernwood.</w:t>
      </w:r>
    </w:p>
    <w:p w14:paraId="3A357810"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Ricklefs, R. E. (1987). Community diversity: relative roles of local and regional processes. </w:t>
      </w:r>
      <w:r w:rsidRPr="000C3D30">
        <w:rPr>
          <w:rFonts w:hAnsi="Times New Roman" w:cs="Times New Roman"/>
          <w:i/>
          <w:iCs/>
          <w:noProof/>
        </w:rPr>
        <w:t>Science, New Series</w:t>
      </w:r>
      <w:r w:rsidRPr="000C3D30">
        <w:rPr>
          <w:rFonts w:hAnsi="Times New Roman" w:cs="Times New Roman"/>
          <w:noProof/>
        </w:rPr>
        <w:t xml:space="preserve">, </w:t>
      </w:r>
      <w:r w:rsidRPr="000C3D30">
        <w:rPr>
          <w:rFonts w:hAnsi="Times New Roman" w:cs="Times New Roman"/>
          <w:i/>
          <w:iCs/>
          <w:noProof/>
        </w:rPr>
        <w:t>235</w:t>
      </w:r>
      <w:r w:rsidRPr="000C3D30">
        <w:rPr>
          <w:rFonts w:hAnsi="Times New Roman" w:cs="Times New Roman"/>
          <w:noProof/>
        </w:rPr>
        <w:t>(4785), 167–171.</w:t>
      </w:r>
    </w:p>
    <w:p w14:paraId="304BBE41"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Ricklefs, R. E. (2004). A comprehensive framework for global patterns in biodiversity. </w:t>
      </w:r>
      <w:r w:rsidRPr="000C3D30">
        <w:rPr>
          <w:rFonts w:hAnsi="Times New Roman" w:cs="Times New Roman"/>
          <w:i/>
          <w:iCs/>
          <w:noProof/>
        </w:rPr>
        <w:t>Ecology Letters</w:t>
      </w:r>
      <w:r w:rsidRPr="000C3D30">
        <w:rPr>
          <w:rFonts w:hAnsi="Times New Roman" w:cs="Times New Roman"/>
          <w:noProof/>
        </w:rPr>
        <w:t xml:space="preserve">, </w:t>
      </w:r>
      <w:r w:rsidRPr="000C3D30">
        <w:rPr>
          <w:rFonts w:hAnsi="Times New Roman" w:cs="Times New Roman"/>
          <w:i/>
          <w:iCs/>
          <w:noProof/>
        </w:rPr>
        <w:t>7</w:t>
      </w:r>
      <w:r w:rsidRPr="000C3D30">
        <w:rPr>
          <w:rFonts w:hAnsi="Times New Roman" w:cs="Times New Roman"/>
          <w:noProof/>
        </w:rPr>
        <w:t>(1), 1–15.</w:t>
      </w:r>
    </w:p>
    <w:p w14:paraId="64CE7F2E"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Slingsby, J. A., February, E. C., &amp; Rebelo, T. G. (2018). Water: at what cost to our unique flora? </w:t>
      </w:r>
      <w:r w:rsidRPr="000C3D30">
        <w:rPr>
          <w:rFonts w:hAnsi="Times New Roman" w:cs="Times New Roman"/>
          <w:i/>
          <w:iCs/>
          <w:noProof/>
        </w:rPr>
        <w:t>Veld &amp; Flora</w:t>
      </w:r>
      <w:r w:rsidRPr="000C3D30">
        <w:rPr>
          <w:rFonts w:hAnsi="Times New Roman" w:cs="Times New Roman"/>
          <w:noProof/>
        </w:rPr>
        <w:t xml:space="preserve">, </w:t>
      </w:r>
      <w:r w:rsidRPr="000C3D30">
        <w:rPr>
          <w:rFonts w:hAnsi="Times New Roman" w:cs="Times New Roman"/>
          <w:i/>
          <w:iCs/>
          <w:noProof/>
        </w:rPr>
        <w:t>June</w:t>
      </w:r>
      <w:r w:rsidRPr="000C3D30">
        <w:rPr>
          <w:rFonts w:hAnsi="Times New Roman" w:cs="Times New Roman"/>
          <w:noProof/>
        </w:rPr>
        <w:t>, 72–75.</w:t>
      </w:r>
    </w:p>
    <w:p w14:paraId="60F1F10F"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Sobel, J. M., Chen, G. F., Watt, L. R., &amp; Schemske, D. W. (2010). The biology of speciation. </w:t>
      </w:r>
      <w:r w:rsidRPr="000C3D30">
        <w:rPr>
          <w:rFonts w:hAnsi="Times New Roman" w:cs="Times New Roman"/>
          <w:i/>
          <w:iCs/>
          <w:noProof/>
        </w:rPr>
        <w:t>Evolution</w:t>
      </w:r>
      <w:r w:rsidRPr="000C3D30">
        <w:rPr>
          <w:rFonts w:hAnsi="Times New Roman" w:cs="Times New Roman"/>
          <w:noProof/>
        </w:rPr>
        <w:t xml:space="preserve">, </w:t>
      </w:r>
      <w:r w:rsidRPr="000C3D30">
        <w:rPr>
          <w:rFonts w:hAnsi="Times New Roman" w:cs="Times New Roman"/>
          <w:i/>
          <w:iCs/>
          <w:noProof/>
        </w:rPr>
        <w:t>64</w:t>
      </w:r>
      <w:r w:rsidRPr="000C3D30">
        <w:rPr>
          <w:rFonts w:hAnsi="Times New Roman" w:cs="Times New Roman"/>
          <w:noProof/>
        </w:rPr>
        <w:t>(2), 295–315. https://doi.org/10.1111/j.1558-5646.2009.00877.x</w:t>
      </w:r>
    </w:p>
    <w:p w14:paraId="3CB9B520"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Stein, A., Gerstner, K., &amp; Kreft, H. (2014). Environmental heterogeneity as a universal driver of species richness across taxa, biomes and spatial scales. </w:t>
      </w:r>
      <w:r w:rsidRPr="000C3D30">
        <w:rPr>
          <w:rFonts w:hAnsi="Times New Roman" w:cs="Times New Roman"/>
          <w:i/>
          <w:iCs/>
          <w:noProof/>
        </w:rPr>
        <w:t>Ecology Letters</w:t>
      </w:r>
      <w:r w:rsidRPr="000C3D30">
        <w:rPr>
          <w:rFonts w:hAnsi="Times New Roman" w:cs="Times New Roman"/>
          <w:noProof/>
        </w:rPr>
        <w:t xml:space="preserve">, </w:t>
      </w:r>
      <w:r w:rsidRPr="000C3D30">
        <w:rPr>
          <w:rFonts w:hAnsi="Times New Roman" w:cs="Times New Roman"/>
          <w:i/>
          <w:iCs/>
          <w:noProof/>
        </w:rPr>
        <w:t>17</w:t>
      </w:r>
      <w:r w:rsidRPr="000C3D30">
        <w:rPr>
          <w:rFonts w:hAnsi="Times New Roman" w:cs="Times New Roman"/>
          <w:noProof/>
        </w:rPr>
        <w:t>(7), 866–880. https://doi.org/10.1111/ele.12277</w:t>
      </w:r>
    </w:p>
    <w:p w14:paraId="3B665CF3"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van Rensburg, B. J., Chown, S. L., &amp; Gaston, K. J. (2002). Species richness, environmental correlates, and spatial scale: a test esing South African birds. </w:t>
      </w:r>
      <w:r w:rsidRPr="000C3D30">
        <w:rPr>
          <w:rFonts w:hAnsi="Times New Roman" w:cs="Times New Roman"/>
          <w:i/>
          <w:iCs/>
          <w:noProof/>
        </w:rPr>
        <w:t>The American Naturalist</w:t>
      </w:r>
      <w:r w:rsidRPr="000C3D30">
        <w:rPr>
          <w:rFonts w:hAnsi="Times New Roman" w:cs="Times New Roman"/>
          <w:noProof/>
        </w:rPr>
        <w:t xml:space="preserve">, </w:t>
      </w:r>
      <w:r w:rsidRPr="000C3D30">
        <w:rPr>
          <w:rFonts w:hAnsi="Times New Roman" w:cs="Times New Roman"/>
          <w:i/>
          <w:iCs/>
          <w:noProof/>
        </w:rPr>
        <w:t>159</w:t>
      </w:r>
      <w:r w:rsidRPr="000C3D30">
        <w:rPr>
          <w:rFonts w:hAnsi="Times New Roman" w:cs="Times New Roman"/>
          <w:noProof/>
        </w:rPr>
        <w:t>(5), 566–577. https://doi.org/10.1086/339464</w:t>
      </w:r>
    </w:p>
    <w:p w14:paraId="6108A553"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Wüest, R. O., Boucher, F. C., Bouchenak-Khelladi, Y., Karger, D. N., &amp; Linder, H. P. (2019). Dissecting biodiversity in a global hotspot: Uneven dynamics of immigration and diversification within the Cape Floristic Region of South Africa. </w:t>
      </w:r>
      <w:r w:rsidRPr="000C3D30">
        <w:rPr>
          <w:rFonts w:hAnsi="Times New Roman" w:cs="Times New Roman"/>
          <w:i/>
          <w:iCs/>
          <w:noProof/>
        </w:rPr>
        <w:t>Journal of Biogeography</w:t>
      </w:r>
      <w:r w:rsidRPr="000C3D30">
        <w:rPr>
          <w:rFonts w:hAnsi="Times New Roman" w:cs="Times New Roman"/>
          <w:noProof/>
        </w:rPr>
        <w:t xml:space="preserve">, </w:t>
      </w:r>
      <w:r w:rsidRPr="000C3D30">
        <w:rPr>
          <w:rFonts w:hAnsi="Times New Roman" w:cs="Times New Roman"/>
          <w:i/>
          <w:iCs/>
          <w:noProof/>
        </w:rPr>
        <w:t>46</w:t>
      </w:r>
      <w:r w:rsidRPr="000C3D30">
        <w:rPr>
          <w:rFonts w:hAnsi="Times New Roman" w:cs="Times New Roman"/>
          <w:noProof/>
        </w:rPr>
        <w:t>(9), 1936–1947. https://doi.org/10.1111/jbi.13625</w:t>
      </w:r>
    </w:p>
    <w:p w14:paraId="79A91F4D" w14:textId="23BB5332" w:rsidR="006F5855" w:rsidRDefault="008E0DFC" w:rsidP="000C3D30">
      <w:pPr>
        <w:widowControl w:val="0"/>
        <w:autoSpaceDE w:val="0"/>
        <w:autoSpaceDN w:val="0"/>
        <w:adjustRightInd w:val="0"/>
        <w:spacing w:after="180"/>
        <w:ind w:left="480" w:hanging="480"/>
        <w:rPr>
          <w:b/>
          <w:bCs/>
        </w:rPr>
      </w:pPr>
      <w:r>
        <w:rPr>
          <w:b/>
          <w:bCs/>
        </w:rPr>
        <w:fldChar w:fldCharType="end"/>
      </w:r>
    </w:p>
    <w:p w14:paraId="3FA687D3" w14:textId="4CAFAD71" w:rsidR="006F5855" w:rsidRDefault="006F5855" w:rsidP="006F5855">
      <w:pPr>
        <w:widowControl w:val="0"/>
        <w:autoSpaceDE w:val="0"/>
        <w:autoSpaceDN w:val="0"/>
        <w:adjustRightInd w:val="0"/>
        <w:spacing w:after="180"/>
        <w:rPr>
          <w:b/>
          <w:bCs/>
        </w:rPr>
      </w:pPr>
      <w:r>
        <w:rPr>
          <w:b/>
          <w:bCs/>
        </w:rPr>
        <w:br w:type="page"/>
      </w:r>
    </w:p>
    <w:p w14:paraId="48A13E83" w14:textId="33041BAD" w:rsidR="00EF41C1" w:rsidRDefault="004D4AE1" w:rsidP="006F5855">
      <w:pPr>
        <w:pStyle w:val="Heading1"/>
      </w:pPr>
      <w:r w:rsidRPr="004D4AE1">
        <w:lastRenderedPageBreak/>
        <w:t>Biosketch</w:t>
      </w:r>
      <w:r>
        <w:t>es</w:t>
      </w:r>
    </w:p>
    <w:p w14:paraId="540FBFB2" w14:textId="0CFCE5C3" w:rsidR="00EF41C1" w:rsidRDefault="00F3256A" w:rsidP="002C20EB">
      <w:pPr>
        <w:pStyle w:val="BodyText"/>
        <w:spacing w:before="0"/>
      </w:pPr>
      <w:r>
        <w:rPr>
          <w:b/>
        </w:rPr>
        <w:t>Ruan v</w:t>
      </w:r>
      <w:r w:rsidR="00EF41C1" w:rsidRPr="00F3256A">
        <w:rPr>
          <w:b/>
        </w:rPr>
        <w:t>an Mazijk</w:t>
      </w:r>
      <w:r w:rsidR="00EF41C1">
        <w:t xml:space="preserve"> is </w:t>
      </w:r>
      <w:r w:rsidR="00365CC9">
        <w:t xml:space="preserve">graduate student interested in </w:t>
      </w:r>
      <w:r w:rsidR="00D371B8">
        <w:t>[</w:t>
      </w:r>
      <w:r w:rsidR="00D371B8" w:rsidRPr="00D371B8">
        <w:rPr>
          <w:highlight w:val="yellow"/>
        </w:rPr>
        <w:t>…</w:t>
      </w:r>
      <w:r w:rsidR="00D371B8">
        <w:t>]</w:t>
      </w:r>
    </w:p>
    <w:p w14:paraId="699B3AEF" w14:textId="5468F934" w:rsidR="00E34369" w:rsidRDefault="00F3256A" w:rsidP="002F3B3B">
      <w:pPr>
        <w:pStyle w:val="BodyText"/>
      </w:pPr>
      <w:r>
        <w:rPr>
          <w:b/>
        </w:rPr>
        <w:t xml:space="preserve">Michael D. </w:t>
      </w:r>
      <w:r w:rsidR="00EF41C1" w:rsidRPr="00F3256A">
        <w:rPr>
          <w:b/>
        </w:rPr>
        <w:t>Cramer</w:t>
      </w:r>
      <w:r w:rsidR="00EF41C1" w:rsidRPr="00EF41C1">
        <w:t xml:space="preserve"> is an ecophysiologist interested in physiological specialization in the hyper‐diverse Cape flora and the link between nutrient‐impoverished soils and species richness.</w:t>
      </w:r>
    </w:p>
    <w:p w14:paraId="723E8390" w14:textId="19AFCAE2" w:rsidR="00EF41C1" w:rsidRPr="00EF41C1" w:rsidRDefault="00F3256A" w:rsidP="002F3B3B">
      <w:pPr>
        <w:pStyle w:val="BodyText"/>
        <w:rPr>
          <w:rFonts w:eastAsiaTheme="majorEastAsia" w:cstheme="majorBidi"/>
          <w:b/>
          <w:bCs/>
          <w:color w:val="000000" w:themeColor="text1"/>
          <w:sz w:val="32"/>
          <w:szCs w:val="32"/>
        </w:rPr>
      </w:pPr>
      <w:r>
        <w:rPr>
          <w:b/>
        </w:rPr>
        <w:t xml:space="preserve">G. Anthony </w:t>
      </w:r>
      <w:r w:rsidR="00EF41C1" w:rsidRPr="00F3256A">
        <w:rPr>
          <w:b/>
        </w:rPr>
        <w:t>Verboom</w:t>
      </w:r>
      <w:r w:rsidR="00EF41C1" w:rsidRPr="00EF41C1">
        <w:t xml:space="preserve"> works on the assembly of the hyper‐diverse Cape flora, its ve</w:t>
      </w:r>
      <w:r w:rsidR="002C6230">
        <w:t>g</w:t>
      </w:r>
      <w:r w:rsidR="00EF41C1" w:rsidRPr="00EF41C1">
        <w:t>etation organization and the role of speciation and extinction in its radiation.</w:t>
      </w:r>
    </w:p>
    <w:p w14:paraId="5FCEE1EB" w14:textId="713AA7A6" w:rsidR="006F043C" w:rsidRDefault="006F043C" w:rsidP="001453CD">
      <w:pPr>
        <w:pStyle w:val="Heading1"/>
        <w:spacing w:line="240" w:lineRule="auto"/>
      </w:pPr>
      <w:r>
        <w:t>Author contributions</w:t>
      </w:r>
    </w:p>
    <w:p w14:paraId="49141B2C" w14:textId="53FE1154" w:rsidR="00DC6978" w:rsidRDefault="006F043C" w:rsidP="002C20EB">
      <w:pPr>
        <w:pStyle w:val="BodyText"/>
        <w:rPr>
          <w:highlight w:val="yellow"/>
        </w:rPr>
      </w:pPr>
      <w:r>
        <w:t xml:space="preserve">MDC and GAV conceived the study question, which RvM investigated </w:t>
      </w:r>
      <w:r w:rsidR="00910BDE">
        <w:t xml:space="preserve">and developed </w:t>
      </w:r>
      <w:r>
        <w:t xml:space="preserve">under their supervision for his BSc Hons project. </w:t>
      </w:r>
      <w:r w:rsidR="00F80AE8">
        <w:t>RvM collated the data and carried out the</w:t>
      </w:r>
      <w:r>
        <w:t xml:space="preserve"> </w:t>
      </w:r>
      <w:r w:rsidR="00EF33BB">
        <w:t xml:space="preserve">GIS </w:t>
      </w:r>
      <w:r w:rsidR="00F80AE8">
        <w:t xml:space="preserve">work. All authors contributed to the analyses, which were </w:t>
      </w:r>
      <w:r w:rsidR="00D24377">
        <w:t xml:space="preserve">then </w:t>
      </w:r>
      <w:r w:rsidR="00F80AE8">
        <w:t>carried out by RvM</w:t>
      </w:r>
      <w:r w:rsidR="00D24377">
        <w:t xml:space="preserve">, who </w:t>
      </w:r>
      <w:r w:rsidR="00D2755D">
        <w:t xml:space="preserve">then </w:t>
      </w:r>
      <w:r>
        <w:t>wrote the first draft of the manuscript</w:t>
      </w:r>
      <w:r w:rsidR="00D24377">
        <w:t xml:space="preserve">. </w:t>
      </w:r>
      <w:r w:rsidR="00D24377" w:rsidRPr="00D13B49">
        <w:t>A</w:t>
      </w:r>
      <w:r w:rsidRPr="00D13B49">
        <w:t xml:space="preserve">ll authors contributed equally </w:t>
      </w:r>
      <w:r w:rsidR="00DE68BB" w:rsidRPr="00D13B49">
        <w:t>to the writing thereafter</w:t>
      </w:r>
      <w:r w:rsidRPr="00D13B49">
        <w:t>.</w:t>
      </w:r>
    </w:p>
    <w:p w14:paraId="1A12FE4F" w14:textId="77777777" w:rsidR="00B46208" w:rsidRPr="003C085D" w:rsidRDefault="00B46208" w:rsidP="00B46208">
      <w:pPr>
        <w:pStyle w:val="Heading1"/>
      </w:pPr>
      <w:r w:rsidRPr="003C085D">
        <w:t>ORCID</w:t>
      </w:r>
    </w:p>
    <w:p w14:paraId="65B2E59A" w14:textId="77777777" w:rsidR="00B46208" w:rsidRPr="002B2755" w:rsidRDefault="00B46208" w:rsidP="00B46208">
      <w:r w:rsidRPr="002B2755">
        <w:t>R</w:t>
      </w:r>
      <w:r w:rsidRPr="002C20EB">
        <w:t xml:space="preserve">uan van Mazijk: </w:t>
      </w:r>
      <w:hyperlink r:id="rId17" w:history="1">
        <w:r w:rsidRPr="002C20EB">
          <w:rPr>
            <w:rStyle w:val="Hyperlink"/>
          </w:rPr>
          <w:t>https://orcid.org/0000-0003-2659-6909</w:t>
        </w:r>
      </w:hyperlink>
    </w:p>
    <w:p w14:paraId="1B1F3B09" w14:textId="77777777" w:rsidR="00B46208" w:rsidRPr="002B2755" w:rsidRDefault="00B46208" w:rsidP="00B46208">
      <w:r w:rsidRPr="002C20EB">
        <w:t xml:space="preserve">Michael D. Cramer: </w:t>
      </w:r>
      <w:hyperlink r:id="rId18" w:history="1">
        <w:r w:rsidRPr="002C20EB">
          <w:rPr>
            <w:rStyle w:val="Hyperlink"/>
          </w:rPr>
          <w:t>https://orcid.org/0000-0003-0989-3266</w:t>
        </w:r>
      </w:hyperlink>
    </w:p>
    <w:p w14:paraId="54EBA765" w14:textId="4AB34602" w:rsidR="00B46208" w:rsidRPr="00B46208" w:rsidRDefault="00B46208" w:rsidP="00B46208">
      <w:r w:rsidRPr="002C20EB">
        <w:t xml:space="preserve">G. Anthony Verboom: </w:t>
      </w:r>
      <w:hyperlink r:id="rId19" w:history="1">
        <w:r w:rsidRPr="002C20EB">
          <w:rPr>
            <w:rStyle w:val="Hyperlink"/>
          </w:rPr>
          <w:t>https://orcid.org/0000-0002-1363-9781</w:t>
        </w:r>
      </w:hyperlink>
    </w:p>
    <w:sectPr w:rsidR="00B46208" w:rsidRPr="00B46208" w:rsidSect="009C2F09">
      <w:footerReference w:type="default" r:id="rId20"/>
      <w:pgSz w:w="12240" w:h="15840" w:code="1"/>
      <w:pgMar w:top="709"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C8A1D3" w14:textId="77777777" w:rsidR="00850EDB" w:rsidRDefault="00850EDB">
      <w:pPr>
        <w:spacing w:after="0"/>
      </w:pPr>
      <w:r>
        <w:separator/>
      </w:r>
    </w:p>
  </w:endnote>
  <w:endnote w:type="continuationSeparator" w:id="0">
    <w:p w14:paraId="0CD9902E" w14:textId="77777777" w:rsidR="00850EDB" w:rsidRDefault="00850EDB">
      <w:pPr>
        <w:spacing w:after="0"/>
      </w:pPr>
      <w:r>
        <w:continuationSeparator/>
      </w:r>
    </w:p>
  </w:endnote>
  <w:endnote w:type="continuationNotice" w:id="1">
    <w:p w14:paraId="0273ADA1" w14:textId="77777777" w:rsidR="00850EDB" w:rsidRDefault="00850EDB">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6830354"/>
      <w:docPartObj>
        <w:docPartGallery w:val="Page Numbers (Bottom of Page)"/>
        <w:docPartUnique/>
      </w:docPartObj>
    </w:sdtPr>
    <w:sdtEndPr>
      <w:rPr>
        <w:noProof/>
      </w:rPr>
    </w:sdtEndPr>
    <w:sdtContent>
      <w:p w14:paraId="2310A7E4" w14:textId="5C7FA65C" w:rsidR="00E16405" w:rsidRDefault="00E16405">
        <w:pPr>
          <w:pStyle w:val="Footer"/>
          <w:jc w:val="center"/>
        </w:pPr>
        <w:r>
          <w:fldChar w:fldCharType="begin"/>
        </w:r>
        <w:r>
          <w:instrText xml:space="preserve"> PAGE   \* MERGEFORMAT </w:instrText>
        </w:r>
        <w:r>
          <w:fldChar w:fldCharType="separate"/>
        </w:r>
        <w:r>
          <w:rPr>
            <w:noProof/>
          </w:rPr>
          <w:t>22</w:t>
        </w:r>
        <w:r>
          <w:rPr>
            <w:noProof/>
          </w:rPr>
          <w:fldChar w:fldCharType="end"/>
        </w:r>
      </w:p>
    </w:sdtContent>
  </w:sdt>
  <w:p w14:paraId="1D5C85C2" w14:textId="77777777" w:rsidR="00E16405" w:rsidRDefault="00E1640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82F52D" w14:textId="77777777" w:rsidR="00850EDB" w:rsidRDefault="00850EDB">
      <w:r>
        <w:separator/>
      </w:r>
    </w:p>
  </w:footnote>
  <w:footnote w:type="continuationSeparator" w:id="0">
    <w:p w14:paraId="685F72B1" w14:textId="77777777" w:rsidR="00850EDB" w:rsidRDefault="00850EDB">
      <w:r>
        <w:continuationSeparator/>
      </w:r>
    </w:p>
  </w:footnote>
  <w:footnote w:type="continuationNotice" w:id="1">
    <w:p w14:paraId="4C77CDAF" w14:textId="77777777" w:rsidR="00850EDB" w:rsidRDefault="00850EDB">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DF4A27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15E953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AAEAD5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2364B1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164C8C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4642B1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4AAD34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2E4120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EF23C0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1EAC81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C517A2"/>
    <w:multiLevelType w:val="hybridMultilevel"/>
    <w:tmpl w:val="923C835C"/>
    <w:lvl w:ilvl="0" w:tplc="1C09000F">
      <w:start w:val="1"/>
      <w:numFmt w:val="decimal"/>
      <w:lvlText w:val="%1."/>
      <w:lvlJc w:val="left"/>
      <w:pPr>
        <w:ind w:left="720" w:hanging="360"/>
      </w:pPr>
      <w:rPr>
        <w:rFonts w:hint="default"/>
      </w:rPr>
    </w:lvl>
    <w:lvl w:ilvl="1" w:tplc="1C090001">
      <w:start w:val="1"/>
      <w:numFmt w:val="bullet"/>
      <w:lvlText w:val=""/>
      <w:lvlJc w:val="left"/>
      <w:pPr>
        <w:ind w:left="1440" w:hanging="360"/>
      </w:pPr>
      <w:rPr>
        <w:rFonts w:ascii="Symbol" w:hAnsi="Symbol" w:hint="default"/>
      </w:r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0BF60A10"/>
    <w:multiLevelType w:val="hybridMultilevel"/>
    <w:tmpl w:val="6712AEB4"/>
    <w:lvl w:ilvl="0" w:tplc="1C09000F">
      <w:start w:val="1"/>
      <w:numFmt w:val="decimal"/>
      <w:lvlText w:val="%1."/>
      <w:lvlJc w:val="left"/>
      <w:pPr>
        <w:ind w:left="720" w:hanging="360"/>
      </w:pPr>
      <w:rPr>
        <w:rFont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166017B5"/>
    <w:multiLevelType w:val="hybridMultilevel"/>
    <w:tmpl w:val="AC5847EC"/>
    <w:lvl w:ilvl="0" w:tplc="1C09000F">
      <w:start w:val="1"/>
      <w:numFmt w:val="decimal"/>
      <w:lvlText w:val="%1."/>
      <w:lvlJc w:val="left"/>
      <w:pPr>
        <w:ind w:left="720" w:hanging="360"/>
      </w:pPr>
      <w:rPr>
        <w:rFonts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170CD2DE"/>
    <w:multiLevelType w:val="multilevel"/>
    <w:tmpl w:val="0896DC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0B5FB8"/>
    <w:multiLevelType w:val="hybridMultilevel"/>
    <w:tmpl w:val="ACEC5BA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2C1AE401"/>
    <w:multiLevelType w:val="multilevel"/>
    <w:tmpl w:val="A71A1A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6" w15:restartNumberingAfterBreak="0">
    <w:nsid w:val="33371449"/>
    <w:multiLevelType w:val="hybridMultilevel"/>
    <w:tmpl w:val="C0A4FDDA"/>
    <w:lvl w:ilvl="0" w:tplc="1C090001">
      <w:start w:val="1"/>
      <w:numFmt w:val="bullet"/>
      <w:lvlText w:val=""/>
      <w:lvlJc w:val="left"/>
      <w:pPr>
        <w:ind w:left="720" w:hanging="360"/>
      </w:pPr>
      <w:rPr>
        <w:rFonts w:ascii="Symbol" w:hAnsi="Symbol" w:hint="default"/>
      </w:rPr>
    </w:lvl>
    <w:lvl w:ilvl="1" w:tplc="854C5E9C">
      <w:numFmt w:val="bullet"/>
      <w:lvlText w:val="-"/>
      <w:lvlJc w:val="left"/>
      <w:pPr>
        <w:ind w:left="1440" w:hanging="360"/>
      </w:pPr>
      <w:rPr>
        <w:rFonts w:ascii="Times New Roman" w:eastAsiaTheme="minorHAnsi" w:hAnsi="Times New Roman" w:cs="Times New Roman"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36C73417"/>
    <w:multiLevelType w:val="multilevel"/>
    <w:tmpl w:val="4AF2B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C486616"/>
    <w:multiLevelType w:val="hybridMultilevel"/>
    <w:tmpl w:val="2EA8678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44117CD3"/>
    <w:multiLevelType w:val="hybridMultilevel"/>
    <w:tmpl w:val="1DFA84E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44470908"/>
    <w:multiLevelType w:val="multilevel"/>
    <w:tmpl w:val="D9367D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2CB00DA"/>
    <w:multiLevelType w:val="multilevel"/>
    <w:tmpl w:val="CDD626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774128D"/>
    <w:multiLevelType w:val="hybridMultilevel"/>
    <w:tmpl w:val="E43200EE"/>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 w15:restartNumberingAfterBreak="0">
    <w:nsid w:val="7D31024B"/>
    <w:multiLevelType w:val="hybridMultilevel"/>
    <w:tmpl w:val="15C68F70"/>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13"/>
  </w:num>
  <w:num w:numId="2">
    <w:abstractNumId w:val="13"/>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 w:numId="13">
    <w:abstractNumId w:val="15"/>
  </w:num>
  <w:num w:numId="14">
    <w:abstractNumId w:val="16"/>
  </w:num>
  <w:num w:numId="15">
    <w:abstractNumId w:val="12"/>
  </w:num>
  <w:num w:numId="16">
    <w:abstractNumId w:val="23"/>
  </w:num>
  <w:num w:numId="17">
    <w:abstractNumId w:val="14"/>
  </w:num>
  <w:num w:numId="18">
    <w:abstractNumId w:val="11"/>
  </w:num>
  <w:num w:numId="19">
    <w:abstractNumId w:val="22"/>
  </w:num>
  <w:num w:numId="20">
    <w:abstractNumId w:val="20"/>
  </w:num>
  <w:num w:numId="21">
    <w:abstractNumId w:val="17"/>
  </w:num>
  <w:num w:numId="22">
    <w:abstractNumId w:val="21"/>
  </w:num>
  <w:num w:numId="23">
    <w:abstractNumId w:val="10"/>
  </w:num>
  <w:num w:numId="24">
    <w:abstractNumId w:val="19"/>
  </w:num>
  <w:num w:numId="2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embedSystemFonts/>
  <w:activeWritingStyle w:appName="MSWord" w:lang="en-US" w:vendorID="64" w:dllVersion="4096" w:nlCheck="1" w:checkStyle="0"/>
  <w:activeWritingStyle w:appName="MSWord" w:lang="en-US" w:vendorID="64" w:dllVersion="0" w:nlCheck="1" w:checkStyle="0"/>
  <w:activeWritingStyle w:appName="MSWord" w:lang="en-ZA" w:vendorID="64" w:dllVersion="0" w:nlCheck="1" w:checkStyle="0"/>
  <w:activeWritingStyle w:appName="MSWord" w:lang="en-US" w:vendorID="64" w:dllVersion="6" w:nlCheck="1" w:checkStyle="1"/>
  <w:activeWritingStyle w:appName="MSWord" w:lang="en-ZA" w:vendorID="64" w:dllVersion="6" w:nlCheck="1" w:checkStyle="1"/>
  <w:activeWritingStyle w:appName="MSWord" w:lang="en-GB" w:vendorID="64" w:dllVersion="4096" w:nlCheck="1" w:checkStyle="0"/>
  <w:activeWritingStyle w:appName="MSWord" w:lang="en-GB" w:vendorID="64" w:dllVersion="0" w:nlCheck="1" w:checkStyle="0"/>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2FFF"/>
    <w:rsid w:val="0000489E"/>
    <w:rsid w:val="00004BFE"/>
    <w:rsid w:val="000058F5"/>
    <w:rsid w:val="00005DF9"/>
    <w:rsid w:val="00006E29"/>
    <w:rsid w:val="00007536"/>
    <w:rsid w:val="000075FC"/>
    <w:rsid w:val="00010D0D"/>
    <w:rsid w:val="00011C8B"/>
    <w:rsid w:val="00012F66"/>
    <w:rsid w:val="000134E5"/>
    <w:rsid w:val="00015987"/>
    <w:rsid w:val="00017062"/>
    <w:rsid w:val="0001735B"/>
    <w:rsid w:val="0001739B"/>
    <w:rsid w:val="00017496"/>
    <w:rsid w:val="00017D5E"/>
    <w:rsid w:val="00017E2E"/>
    <w:rsid w:val="000202B4"/>
    <w:rsid w:val="00020DE2"/>
    <w:rsid w:val="00020F42"/>
    <w:rsid w:val="00022A4F"/>
    <w:rsid w:val="00023612"/>
    <w:rsid w:val="00023792"/>
    <w:rsid w:val="00023A41"/>
    <w:rsid w:val="00024506"/>
    <w:rsid w:val="00024A7B"/>
    <w:rsid w:val="00024E99"/>
    <w:rsid w:val="00026A23"/>
    <w:rsid w:val="00030FA3"/>
    <w:rsid w:val="00031A1D"/>
    <w:rsid w:val="00032420"/>
    <w:rsid w:val="00032731"/>
    <w:rsid w:val="000330D1"/>
    <w:rsid w:val="000333A2"/>
    <w:rsid w:val="00034583"/>
    <w:rsid w:val="0003473B"/>
    <w:rsid w:val="000351FF"/>
    <w:rsid w:val="00035BBD"/>
    <w:rsid w:val="000362A6"/>
    <w:rsid w:val="00036460"/>
    <w:rsid w:val="00036900"/>
    <w:rsid w:val="00037267"/>
    <w:rsid w:val="00037D6D"/>
    <w:rsid w:val="000404E6"/>
    <w:rsid w:val="00041BB5"/>
    <w:rsid w:val="00042E25"/>
    <w:rsid w:val="00043102"/>
    <w:rsid w:val="000433A9"/>
    <w:rsid w:val="00043D4E"/>
    <w:rsid w:val="00044150"/>
    <w:rsid w:val="00045DE9"/>
    <w:rsid w:val="000469ED"/>
    <w:rsid w:val="00046D81"/>
    <w:rsid w:val="0004779B"/>
    <w:rsid w:val="00047D3A"/>
    <w:rsid w:val="0005005D"/>
    <w:rsid w:val="00050E44"/>
    <w:rsid w:val="00050E78"/>
    <w:rsid w:val="000519A1"/>
    <w:rsid w:val="00053ADB"/>
    <w:rsid w:val="00054A9F"/>
    <w:rsid w:val="00054E1D"/>
    <w:rsid w:val="0005522C"/>
    <w:rsid w:val="000558A9"/>
    <w:rsid w:val="000559BF"/>
    <w:rsid w:val="000563E6"/>
    <w:rsid w:val="00056A5E"/>
    <w:rsid w:val="0005751E"/>
    <w:rsid w:val="00060510"/>
    <w:rsid w:val="00060E27"/>
    <w:rsid w:val="000611F5"/>
    <w:rsid w:val="000621D6"/>
    <w:rsid w:val="000622E8"/>
    <w:rsid w:val="00062A2B"/>
    <w:rsid w:val="0006360F"/>
    <w:rsid w:val="00064E62"/>
    <w:rsid w:val="00065128"/>
    <w:rsid w:val="000657EC"/>
    <w:rsid w:val="00066121"/>
    <w:rsid w:val="00066CC6"/>
    <w:rsid w:val="0006708C"/>
    <w:rsid w:val="00067826"/>
    <w:rsid w:val="00067982"/>
    <w:rsid w:val="00070D03"/>
    <w:rsid w:val="000714AC"/>
    <w:rsid w:val="00072164"/>
    <w:rsid w:val="00072A60"/>
    <w:rsid w:val="00073C4B"/>
    <w:rsid w:val="00074006"/>
    <w:rsid w:val="000742FC"/>
    <w:rsid w:val="000747BD"/>
    <w:rsid w:val="000764C7"/>
    <w:rsid w:val="00076E7A"/>
    <w:rsid w:val="00077059"/>
    <w:rsid w:val="00077320"/>
    <w:rsid w:val="00077FB5"/>
    <w:rsid w:val="000804E8"/>
    <w:rsid w:val="000811CB"/>
    <w:rsid w:val="00083308"/>
    <w:rsid w:val="00083701"/>
    <w:rsid w:val="00083DD4"/>
    <w:rsid w:val="000847C4"/>
    <w:rsid w:val="00084808"/>
    <w:rsid w:val="00086052"/>
    <w:rsid w:val="00086273"/>
    <w:rsid w:val="00086992"/>
    <w:rsid w:val="00086D10"/>
    <w:rsid w:val="00086D19"/>
    <w:rsid w:val="000878A3"/>
    <w:rsid w:val="00087B3B"/>
    <w:rsid w:val="00091200"/>
    <w:rsid w:val="0009179A"/>
    <w:rsid w:val="00091AE9"/>
    <w:rsid w:val="00093051"/>
    <w:rsid w:val="00093309"/>
    <w:rsid w:val="000941A5"/>
    <w:rsid w:val="0009498D"/>
    <w:rsid w:val="00094CB2"/>
    <w:rsid w:val="000951C2"/>
    <w:rsid w:val="00095788"/>
    <w:rsid w:val="00095A50"/>
    <w:rsid w:val="0009612B"/>
    <w:rsid w:val="000962CB"/>
    <w:rsid w:val="000965D5"/>
    <w:rsid w:val="0009756C"/>
    <w:rsid w:val="000A2014"/>
    <w:rsid w:val="000A2EAE"/>
    <w:rsid w:val="000A3255"/>
    <w:rsid w:val="000A44BE"/>
    <w:rsid w:val="000A737C"/>
    <w:rsid w:val="000A7820"/>
    <w:rsid w:val="000A7C66"/>
    <w:rsid w:val="000B1C91"/>
    <w:rsid w:val="000B2398"/>
    <w:rsid w:val="000B6F4D"/>
    <w:rsid w:val="000C126B"/>
    <w:rsid w:val="000C16A6"/>
    <w:rsid w:val="000C16E4"/>
    <w:rsid w:val="000C1B2A"/>
    <w:rsid w:val="000C1DFD"/>
    <w:rsid w:val="000C2B76"/>
    <w:rsid w:val="000C2BA8"/>
    <w:rsid w:val="000C33EC"/>
    <w:rsid w:val="000C3D30"/>
    <w:rsid w:val="000C4BE0"/>
    <w:rsid w:val="000C4C83"/>
    <w:rsid w:val="000C57CB"/>
    <w:rsid w:val="000C58EB"/>
    <w:rsid w:val="000C5AAD"/>
    <w:rsid w:val="000C5BB8"/>
    <w:rsid w:val="000C6E98"/>
    <w:rsid w:val="000C780A"/>
    <w:rsid w:val="000C78F5"/>
    <w:rsid w:val="000D014B"/>
    <w:rsid w:val="000D1A3D"/>
    <w:rsid w:val="000D24A1"/>
    <w:rsid w:val="000D3247"/>
    <w:rsid w:val="000D32D5"/>
    <w:rsid w:val="000D5262"/>
    <w:rsid w:val="000D5F0A"/>
    <w:rsid w:val="000D698A"/>
    <w:rsid w:val="000D6AB1"/>
    <w:rsid w:val="000D6FAE"/>
    <w:rsid w:val="000D78B0"/>
    <w:rsid w:val="000E0454"/>
    <w:rsid w:val="000E04C6"/>
    <w:rsid w:val="000E0E58"/>
    <w:rsid w:val="000E1B64"/>
    <w:rsid w:val="000E2006"/>
    <w:rsid w:val="000E4213"/>
    <w:rsid w:val="000E5000"/>
    <w:rsid w:val="000E72CC"/>
    <w:rsid w:val="000E7EAD"/>
    <w:rsid w:val="000F117A"/>
    <w:rsid w:val="000F24B3"/>
    <w:rsid w:val="000F2560"/>
    <w:rsid w:val="000F2FAD"/>
    <w:rsid w:val="000F3C79"/>
    <w:rsid w:val="000F419D"/>
    <w:rsid w:val="000F5594"/>
    <w:rsid w:val="000F55E1"/>
    <w:rsid w:val="000F591F"/>
    <w:rsid w:val="000F59F5"/>
    <w:rsid w:val="000F6938"/>
    <w:rsid w:val="000F699D"/>
    <w:rsid w:val="000F7FB0"/>
    <w:rsid w:val="001002B2"/>
    <w:rsid w:val="0010066C"/>
    <w:rsid w:val="00101936"/>
    <w:rsid w:val="001031DA"/>
    <w:rsid w:val="00103D7E"/>
    <w:rsid w:val="00104482"/>
    <w:rsid w:val="00104ADF"/>
    <w:rsid w:val="00105FAF"/>
    <w:rsid w:val="00106E88"/>
    <w:rsid w:val="0010729C"/>
    <w:rsid w:val="001114A8"/>
    <w:rsid w:val="00114867"/>
    <w:rsid w:val="001149F3"/>
    <w:rsid w:val="00114B76"/>
    <w:rsid w:val="00115FA8"/>
    <w:rsid w:val="00117505"/>
    <w:rsid w:val="0012073A"/>
    <w:rsid w:val="00120FD9"/>
    <w:rsid w:val="0012344F"/>
    <w:rsid w:val="00123A7A"/>
    <w:rsid w:val="00123B47"/>
    <w:rsid w:val="00124716"/>
    <w:rsid w:val="001259A9"/>
    <w:rsid w:val="00125C57"/>
    <w:rsid w:val="0012609C"/>
    <w:rsid w:val="00126571"/>
    <w:rsid w:val="00126A24"/>
    <w:rsid w:val="00126FD8"/>
    <w:rsid w:val="00127033"/>
    <w:rsid w:val="0012736A"/>
    <w:rsid w:val="00131684"/>
    <w:rsid w:val="00131E2D"/>
    <w:rsid w:val="001320BF"/>
    <w:rsid w:val="00132E42"/>
    <w:rsid w:val="00134555"/>
    <w:rsid w:val="0013487E"/>
    <w:rsid w:val="00134D39"/>
    <w:rsid w:val="00137BA5"/>
    <w:rsid w:val="001405E1"/>
    <w:rsid w:val="00142208"/>
    <w:rsid w:val="00142261"/>
    <w:rsid w:val="0014323A"/>
    <w:rsid w:val="0014333C"/>
    <w:rsid w:val="001434FE"/>
    <w:rsid w:val="00144519"/>
    <w:rsid w:val="001453CD"/>
    <w:rsid w:val="00145581"/>
    <w:rsid w:val="001462B5"/>
    <w:rsid w:val="0014631A"/>
    <w:rsid w:val="00146F57"/>
    <w:rsid w:val="00147214"/>
    <w:rsid w:val="00147258"/>
    <w:rsid w:val="001506B6"/>
    <w:rsid w:val="001508F3"/>
    <w:rsid w:val="00150BF0"/>
    <w:rsid w:val="00152374"/>
    <w:rsid w:val="00152A7B"/>
    <w:rsid w:val="00152B31"/>
    <w:rsid w:val="001530FE"/>
    <w:rsid w:val="00153824"/>
    <w:rsid w:val="00153B86"/>
    <w:rsid w:val="001541B2"/>
    <w:rsid w:val="001545EB"/>
    <w:rsid w:val="0015465B"/>
    <w:rsid w:val="001548E4"/>
    <w:rsid w:val="00157417"/>
    <w:rsid w:val="001576DD"/>
    <w:rsid w:val="0016016F"/>
    <w:rsid w:val="00160C41"/>
    <w:rsid w:val="001617DD"/>
    <w:rsid w:val="00161FEB"/>
    <w:rsid w:val="001626C2"/>
    <w:rsid w:val="00163122"/>
    <w:rsid w:val="001640D1"/>
    <w:rsid w:val="00164E10"/>
    <w:rsid w:val="00166053"/>
    <w:rsid w:val="001666F2"/>
    <w:rsid w:val="00166C5E"/>
    <w:rsid w:val="0016731D"/>
    <w:rsid w:val="0016754C"/>
    <w:rsid w:val="00170800"/>
    <w:rsid w:val="001713AC"/>
    <w:rsid w:val="0017188B"/>
    <w:rsid w:val="001729D4"/>
    <w:rsid w:val="00172C85"/>
    <w:rsid w:val="001739C8"/>
    <w:rsid w:val="00174C2A"/>
    <w:rsid w:val="00175240"/>
    <w:rsid w:val="001755D7"/>
    <w:rsid w:val="001758FD"/>
    <w:rsid w:val="0017651E"/>
    <w:rsid w:val="00176B1A"/>
    <w:rsid w:val="00176C59"/>
    <w:rsid w:val="00176E4F"/>
    <w:rsid w:val="00177EA0"/>
    <w:rsid w:val="00180D4A"/>
    <w:rsid w:val="00181A68"/>
    <w:rsid w:val="00182898"/>
    <w:rsid w:val="00182CB9"/>
    <w:rsid w:val="00182FC5"/>
    <w:rsid w:val="00183126"/>
    <w:rsid w:val="00184015"/>
    <w:rsid w:val="001841EC"/>
    <w:rsid w:val="0018462C"/>
    <w:rsid w:val="001848E8"/>
    <w:rsid w:val="00184A95"/>
    <w:rsid w:val="00184EFF"/>
    <w:rsid w:val="001851C2"/>
    <w:rsid w:val="00185A50"/>
    <w:rsid w:val="00185C4C"/>
    <w:rsid w:val="00185E84"/>
    <w:rsid w:val="001860D1"/>
    <w:rsid w:val="00186541"/>
    <w:rsid w:val="001874F1"/>
    <w:rsid w:val="0018771F"/>
    <w:rsid w:val="00187A84"/>
    <w:rsid w:val="00190D4A"/>
    <w:rsid w:val="0019107E"/>
    <w:rsid w:val="00191261"/>
    <w:rsid w:val="0019466D"/>
    <w:rsid w:val="00195211"/>
    <w:rsid w:val="001955B7"/>
    <w:rsid w:val="00195C63"/>
    <w:rsid w:val="001A0AB2"/>
    <w:rsid w:val="001A123A"/>
    <w:rsid w:val="001A150C"/>
    <w:rsid w:val="001A1879"/>
    <w:rsid w:val="001A20FA"/>
    <w:rsid w:val="001A23A6"/>
    <w:rsid w:val="001A29B8"/>
    <w:rsid w:val="001A29C6"/>
    <w:rsid w:val="001A41BA"/>
    <w:rsid w:val="001A4B06"/>
    <w:rsid w:val="001A6185"/>
    <w:rsid w:val="001A6192"/>
    <w:rsid w:val="001A61A1"/>
    <w:rsid w:val="001A7D58"/>
    <w:rsid w:val="001B0693"/>
    <w:rsid w:val="001B0959"/>
    <w:rsid w:val="001B0A3C"/>
    <w:rsid w:val="001B1266"/>
    <w:rsid w:val="001B34DA"/>
    <w:rsid w:val="001B40A9"/>
    <w:rsid w:val="001B40FF"/>
    <w:rsid w:val="001B412D"/>
    <w:rsid w:val="001B4B9F"/>
    <w:rsid w:val="001B5E7E"/>
    <w:rsid w:val="001B6D6F"/>
    <w:rsid w:val="001B750B"/>
    <w:rsid w:val="001B7AF6"/>
    <w:rsid w:val="001C1E9D"/>
    <w:rsid w:val="001C20C8"/>
    <w:rsid w:val="001C321C"/>
    <w:rsid w:val="001C3B54"/>
    <w:rsid w:val="001C4D68"/>
    <w:rsid w:val="001C5D8A"/>
    <w:rsid w:val="001C64D6"/>
    <w:rsid w:val="001C6FE5"/>
    <w:rsid w:val="001C7670"/>
    <w:rsid w:val="001D3D4C"/>
    <w:rsid w:val="001D4356"/>
    <w:rsid w:val="001D4BC0"/>
    <w:rsid w:val="001D58D6"/>
    <w:rsid w:val="001D7221"/>
    <w:rsid w:val="001E0C75"/>
    <w:rsid w:val="001E1442"/>
    <w:rsid w:val="001E2A3C"/>
    <w:rsid w:val="001E414D"/>
    <w:rsid w:val="001E4787"/>
    <w:rsid w:val="001E723F"/>
    <w:rsid w:val="001F0A16"/>
    <w:rsid w:val="001F1053"/>
    <w:rsid w:val="001F2359"/>
    <w:rsid w:val="001F2B69"/>
    <w:rsid w:val="001F3585"/>
    <w:rsid w:val="001F3AA2"/>
    <w:rsid w:val="001F3C80"/>
    <w:rsid w:val="001F48A1"/>
    <w:rsid w:val="001F4B4C"/>
    <w:rsid w:val="001F70EF"/>
    <w:rsid w:val="002007E7"/>
    <w:rsid w:val="00200991"/>
    <w:rsid w:val="00200A28"/>
    <w:rsid w:val="00200C02"/>
    <w:rsid w:val="002011C9"/>
    <w:rsid w:val="0020179E"/>
    <w:rsid w:val="00201A80"/>
    <w:rsid w:val="00202291"/>
    <w:rsid w:val="00202A32"/>
    <w:rsid w:val="00204D2C"/>
    <w:rsid w:val="00205DC2"/>
    <w:rsid w:val="00205FB5"/>
    <w:rsid w:val="002065E6"/>
    <w:rsid w:val="002066AB"/>
    <w:rsid w:val="0020680A"/>
    <w:rsid w:val="002071E8"/>
    <w:rsid w:val="00210CA7"/>
    <w:rsid w:val="00211350"/>
    <w:rsid w:val="0021176B"/>
    <w:rsid w:val="00211A46"/>
    <w:rsid w:val="00211FC5"/>
    <w:rsid w:val="00212118"/>
    <w:rsid w:val="002121A7"/>
    <w:rsid w:val="00213749"/>
    <w:rsid w:val="00213D02"/>
    <w:rsid w:val="0021685A"/>
    <w:rsid w:val="00217498"/>
    <w:rsid w:val="00217AAC"/>
    <w:rsid w:val="00220A65"/>
    <w:rsid w:val="00220D2B"/>
    <w:rsid w:val="00221518"/>
    <w:rsid w:val="00221BC9"/>
    <w:rsid w:val="00221C0F"/>
    <w:rsid w:val="002234E3"/>
    <w:rsid w:val="00223948"/>
    <w:rsid w:val="00226569"/>
    <w:rsid w:val="00230147"/>
    <w:rsid w:val="00230ABA"/>
    <w:rsid w:val="00230AF5"/>
    <w:rsid w:val="00230C87"/>
    <w:rsid w:val="00230DBA"/>
    <w:rsid w:val="002314C2"/>
    <w:rsid w:val="00231B2B"/>
    <w:rsid w:val="002333AE"/>
    <w:rsid w:val="00233C17"/>
    <w:rsid w:val="00234AAB"/>
    <w:rsid w:val="0023532B"/>
    <w:rsid w:val="00235637"/>
    <w:rsid w:val="00236CF0"/>
    <w:rsid w:val="00237525"/>
    <w:rsid w:val="002376C5"/>
    <w:rsid w:val="00240829"/>
    <w:rsid w:val="00241435"/>
    <w:rsid w:val="00242181"/>
    <w:rsid w:val="00242EDD"/>
    <w:rsid w:val="0024363A"/>
    <w:rsid w:val="002448E4"/>
    <w:rsid w:val="00244E17"/>
    <w:rsid w:val="00246296"/>
    <w:rsid w:val="002465B9"/>
    <w:rsid w:val="0024759A"/>
    <w:rsid w:val="0024778C"/>
    <w:rsid w:val="00250011"/>
    <w:rsid w:val="00251338"/>
    <w:rsid w:val="00251E50"/>
    <w:rsid w:val="00251ECF"/>
    <w:rsid w:val="00252DA8"/>
    <w:rsid w:val="002531F6"/>
    <w:rsid w:val="002536E4"/>
    <w:rsid w:val="00253F7E"/>
    <w:rsid w:val="00254120"/>
    <w:rsid w:val="00254F18"/>
    <w:rsid w:val="002565DD"/>
    <w:rsid w:val="002566BD"/>
    <w:rsid w:val="00257896"/>
    <w:rsid w:val="00257D86"/>
    <w:rsid w:val="002604CE"/>
    <w:rsid w:val="00261A54"/>
    <w:rsid w:val="0026216D"/>
    <w:rsid w:val="002624D4"/>
    <w:rsid w:val="002626CC"/>
    <w:rsid w:val="00262EF2"/>
    <w:rsid w:val="00262F02"/>
    <w:rsid w:val="002644D2"/>
    <w:rsid w:val="002644F5"/>
    <w:rsid w:val="002658EC"/>
    <w:rsid w:val="00265947"/>
    <w:rsid w:val="00267348"/>
    <w:rsid w:val="00270A25"/>
    <w:rsid w:val="00270B4B"/>
    <w:rsid w:val="002711B7"/>
    <w:rsid w:val="00271377"/>
    <w:rsid w:val="0027221A"/>
    <w:rsid w:val="002722FB"/>
    <w:rsid w:val="00272E07"/>
    <w:rsid w:val="00272EF5"/>
    <w:rsid w:val="00273150"/>
    <w:rsid w:val="002736BC"/>
    <w:rsid w:val="00273B1A"/>
    <w:rsid w:val="00273E3C"/>
    <w:rsid w:val="00274581"/>
    <w:rsid w:val="0027541F"/>
    <w:rsid w:val="00275CEB"/>
    <w:rsid w:val="002766E7"/>
    <w:rsid w:val="002779ED"/>
    <w:rsid w:val="00277C9E"/>
    <w:rsid w:val="002808AF"/>
    <w:rsid w:val="002810B1"/>
    <w:rsid w:val="00281A14"/>
    <w:rsid w:val="0028331C"/>
    <w:rsid w:val="0028338C"/>
    <w:rsid w:val="00284163"/>
    <w:rsid w:val="0028496B"/>
    <w:rsid w:val="00285784"/>
    <w:rsid w:val="00286EA7"/>
    <w:rsid w:val="002870DB"/>
    <w:rsid w:val="00290F74"/>
    <w:rsid w:val="00290FB9"/>
    <w:rsid w:val="002919EA"/>
    <w:rsid w:val="002930F3"/>
    <w:rsid w:val="002935C5"/>
    <w:rsid w:val="00293721"/>
    <w:rsid w:val="002937DD"/>
    <w:rsid w:val="00293893"/>
    <w:rsid w:val="00293C78"/>
    <w:rsid w:val="00293F2E"/>
    <w:rsid w:val="002940F1"/>
    <w:rsid w:val="00295EF3"/>
    <w:rsid w:val="0029673C"/>
    <w:rsid w:val="00296DBE"/>
    <w:rsid w:val="00296FD9"/>
    <w:rsid w:val="00297603"/>
    <w:rsid w:val="0029777A"/>
    <w:rsid w:val="002A0204"/>
    <w:rsid w:val="002A0480"/>
    <w:rsid w:val="002A0921"/>
    <w:rsid w:val="002A1003"/>
    <w:rsid w:val="002A25AB"/>
    <w:rsid w:val="002A329D"/>
    <w:rsid w:val="002A4AB7"/>
    <w:rsid w:val="002A4F17"/>
    <w:rsid w:val="002A76BE"/>
    <w:rsid w:val="002A7DA8"/>
    <w:rsid w:val="002A7F32"/>
    <w:rsid w:val="002B028E"/>
    <w:rsid w:val="002B0B88"/>
    <w:rsid w:val="002B0F5B"/>
    <w:rsid w:val="002B270F"/>
    <w:rsid w:val="002B2755"/>
    <w:rsid w:val="002B3741"/>
    <w:rsid w:val="002B390D"/>
    <w:rsid w:val="002B49E3"/>
    <w:rsid w:val="002B4C08"/>
    <w:rsid w:val="002B54C7"/>
    <w:rsid w:val="002B5DBF"/>
    <w:rsid w:val="002B7732"/>
    <w:rsid w:val="002B7852"/>
    <w:rsid w:val="002C0152"/>
    <w:rsid w:val="002C016E"/>
    <w:rsid w:val="002C037D"/>
    <w:rsid w:val="002C08A1"/>
    <w:rsid w:val="002C1A2E"/>
    <w:rsid w:val="002C20EB"/>
    <w:rsid w:val="002C22CA"/>
    <w:rsid w:val="002C32D6"/>
    <w:rsid w:val="002C4EEB"/>
    <w:rsid w:val="002C5C96"/>
    <w:rsid w:val="002C6230"/>
    <w:rsid w:val="002C7612"/>
    <w:rsid w:val="002C7938"/>
    <w:rsid w:val="002D0B56"/>
    <w:rsid w:val="002D0C5E"/>
    <w:rsid w:val="002D1220"/>
    <w:rsid w:val="002D1301"/>
    <w:rsid w:val="002D283F"/>
    <w:rsid w:val="002D2E24"/>
    <w:rsid w:val="002D35E5"/>
    <w:rsid w:val="002D4267"/>
    <w:rsid w:val="002D4FA9"/>
    <w:rsid w:val="002D5B3F"/>
    <w:rsid w:val="002D7223"/>
    <w:rsid w:val="002E03CA"/>
    <w:rsid w:val="002E09CD"/>
    <w:rsid w:val="002E231B"/>
    <w:rsid w:val="002E3E0A"/>
    <w:rsid w:val="002E3FF8"/>
    <w:rsid w:val="002E41C7"/>
    <w:rsid w:val="002E4420"/>
    <w:rsid w:val="002E4631"/>
    <w:rsid w:val="002E6995"/>
    <w:rsid w:val="002E6AC4"/>
    <w:rsid w:val="002E6BEC"/>
    <w:rsid w:val="002F08B0"/>
    <w:rsid w:val="002F092D"/>
    <w:rsid w:val="002F32A1"/>
    <w:rsid w:val="002F370B"/>
    <w:rsid w:val="002F3914"/>
    <w:rsid w:val="002F3B3B"/>
    <w:rsid w:val="002F3B4F"/>
    <w:rsid w:val="002F3E6D"/>
    <w:rsid w:val="002F40D7"/>
    <w:rsid w:val="002F5AB6"/>
    <w:rsid w:val="002F5DB0"/>
    <w:rsid w:val="002F60C8"/>
    <w:rsid w:val="002F7183"/>
    <w:rsid w:val="002F7AE1"/>
    <w:rsid w:val="00300363"/>
    <w:rsid w:val="00300828"/>
    <w:rsid w:val="00300D68"/>
    <w:rsid w:val="00301369"/>
    <w:rsid w:val="00301A4F"/>
    <w:rsid w:val="00303501"/>
    <w:rsid w:val="00304086"/>
    <w:rsid w:val="003047D0"/>
    <w:rsid w:val="00304EA1"/>
    <w:rsid w:val="003055F8"/>
    <w:rsid w:val="00305C02"/>
    <w:rsid w:val="00305F60"/>
    <w:rsid w:val="00306123"/>
    <w:rsid w:val="003061B2"/>
    <w:rsid w:val="003063F7"/>
    <w:rsid w:val="003067AF"/>
    <w:rsid w:val="00306A3A"/>
    <w:rsid w:val="00307282"/>
    <w:rsid w:val="00310608"/>
    <w:rsid w:val="00310871"/>
    <w:rsid w:val="003115F6"/>
    <w:rsid w:val="00311E35"/>
    <w:rsid w:val="00312AA7"/>
    <w:rsid w:val="00314A7A"/>
    <w:rsid w:val="00314D2C"/>
    <w:rsid w:val="0031751D"/>
    <w:rsid w:val="00317DAF"/>
    <w:rsid w:val="003209CF"/>
    <w:rsid w:val="00321C77"/>
    <w:rsid w:val="00323509"/>
    <w:rsid w:val="003249DF"/>
    <w:rsid w:val="00324E0A"/>
    <w:rsid w:val="003251C7"/>
    <w:rsid w:val="003252BC"/>
    <w:rsid w:val="0032532C"/>
    <w:rsid w:val="0032574D"/>
    <w:rsid w:val="00325EB1"/>
    <w:rsid w:val="003264AF"/>
    <w:rsid w:val="0032680E"/>
    <w:rsid w:val="003302D7"/>
    <w:rsid w:val="0033192D"/>
    <w:rsid w:val="0033197F"/>
    <w:rsid w:val="00331CEC"/>
    <w:rsid w:val="00331D2E"/>
    <w:rsid w:val="0033206A"/>
    <w:rsid w:val="00332470"/>
    <w:rsid w:val="003328C5"/>
    <w:rsid w:val="00332DA6"/>
    <w:rsid w:val="00333A69"/>
    <w:rsid w:val="00334811"/>
    <w:rsid w:val="00334B9B"/>
    <w:rsid w:val="00335431"/>
    <w:rsid w:val="00335E0E"/>
    <w:rsid w:val="00336022"/>
    <w:rsid w:val="003362FE"/>
    <w:rsid w:val="0033651B"/>
    <w:rsid w:val="003368AB"/>
    <w:rsid w:val="00336EF5"/>
    <w:rsid w:val="0033748B"/>
    <w:rsid w:val="00340481"/>
    <w:rsid w:val="0034157B"/>
    <w:rsid w:val="00342111"/>
    <w:rsid w:val="00342EA6"/>
    <w:rsid w:val="00343252"/>
    <w:rsid w:val="00343FAF"/>
    <w:rsid w:val="003450F4"/>
    <w:rsid w:val="00345466"/>
    <w:rsid w:val="00346C28"/>
    <w:rsid w:val="003475E6"/>
    <w:rsid w:val="00350AEA"/>
    <w:rsid w:val="00350FE5"/>
    <w:rsid w:val="003510DE"/>
    <w:rsid w:val="0035130F"/>
    <w:rsid w:val="0035175F"/>
    <w:rsid w:val="00352039"/>
    <w:rsid w:val="00352382"/>
    <w:rsid w:val="00352767"/>
    <w:rsid w:val="00352AF2"/>
    <w:rsid w:val="00352C55"/>
    <w:rsid w:val="00354D6F"/>
    <w:rsid w:val="00354D9C"/>
    <w:rsid w:val="00354DF0"/>
    <w:rsid w:val="003556C4"/>
    <w:rsid w:val="00355D02"/>
    <w:rsid w:val="003562E3"/>
    <w:rsid w:val="003563D1"/>
    <w:rsid w:val="00357472"/>
    <w:rsid w:val="003601A9"/>
    <w:rsid w:val="00360716"/>
    <w:rsid w:val="00361152"/>
    <w:rsid w:val="003613FC"/>
    <w:rsid w:val="003617CF"/>
    <w:rsid w:val="00363038"/>
    <w:rsid w:val="00364F0A"/>
    <w:rsid w:val="00365CC9"/>
    <w:rsid w:val="0036643B"/>
    <w:rsid w:val="0036753D"/>
    <w:rsid w:val="0036760E"/>
    <w:rsid w:val="00367CC6"/>
    <w:rsid w:val="00371EA1"/>
    <w:rsid w:val="00372023"/>
    <w:rsid w:val="00374287"/>
    <w:rsid w:val="0037447E"/>
    <w:rsid w:val="003745E1"/>
    <w:rsid w:val="00375621"/>
    <w:rsid w:val="00377F87"/>
    <w:rsid w:val="003801F6"/>
    <w:rsid w:val="003819DB"/>
    <w:rsid w:val="00381AA9"/>
    <w:rsid w:val="00381E28"/>
    <w:rsid w:val="00381ECD"/>
    <w:rsid w:val="0038260D"/>
    <w:rsid w:val="0038290C"/>
    <w:rsid w:val="00382BBB"/>
    <w:rsid w:val="00382BC5"/>
    <w:rsid w:val="00382E74"/>
    <w:rsid w:val="0038369B"/>
    <w:rsid w:val="00384049"/>
    <w:rsid w:val="003847BF"/>
    <w:rsid w:val="00385BA5"/>
    <w:rsid w:val="00387230"/>
    <w:rsid w:val="00390292"/>
    <w:rsid w:val="00390307"/>
    <w:rsid w:val="00390A5D"/>
    <w:rsid w:val="00390D6B"/>
    <w:rsid w:val="003912CF"/>
    <w:rsid w:val="003913A0"/>
    <w:rsid w:val="003928B1"/>
    <w:rsid w:val="003939AA"/>
    <w:rsid w:val="00393AAD"/>
    <w:rsid w:val="0039482B"/>
    <w:rsid w:val="00395282"/>
    <w:rsid w:val="003A0E03"/>
    <w:rsid w:val="003A1338"/>
    <w:rsid w:val="003A1781"/>
    <w:rsid w:val="003A378D"/>
    <w:rsid w:val="003A3FB7"/>
    <w:rsid w:val="003A587C"/>
    <w:rsid w:val="003A5B50"/>
    <w:rsid w:val="003A5E82"/>
    <w:rsid w:val="003A604B"/>
    <w:rsid w:val="003A63A6"/>
    <w:rsid w:val="003A6BDD"/>
    <w:rsid w:val="003B08CE"/>
    <w:rsid w:val="003B0B06"/>
    <w:rsid w:val="003B10FC"/>
    <w:rsid w:val="003B1612"/>
    <w:rsid w:val="003B1E59"/>
    <w:rsid w:val="003B2885"/>
    <w:rsid w:val="003B2B0D"/>
    <w:rsid w:val="003B49FB"/>
    <w:rsid w:val="003B557D"/>
    <w:rsid w:val="003B6813"/>
    <w:rsid w:val="003B7C89"/>
    <w:rsid w:val="003B7DC8"/>
    <w:rsid w:val="003B7DEF"/>
    <w:rsid w:val="003C085D"/>
    <w:rsid w:val="003C1C5A"/>
    <w:rsid w:val="003C1D3C"/>
    <w:rsid w:val="003C30C4"/>
    <w:rsid w:val="003C34D2"/>
    <w:rsid w:val="003C35C8"/>
    <w:rsid w:val="003C37E1"/>
    <w:rsid w:val="003C3E31"/>
    <w:rsid w:val="003C430F"/>
    <w:rsid w:val="003C47B0"/>
    <w:rsid w:val="003C533D"/>
    <w:rsid w:val="003C58E2"/>
    <w:rsid w:val="003C666B"/>
    <w:rsid w:val="003C6BD9"/>
    <w:rsid w:val="003C7229"/>
    <w:rsid w:val="003C74FE"/>
    <w:rsid w:val="003C7780"/>
    <w:rsid w:val="003C7B0D"/>
    <w:rsid w:val="003D0572"/>
    <w:rsid w:val="003D18CE"/>
    <w:rsid w:val="003D2B4F"/>
    <w:rsid w:val="003D2C85"/>
    <w:rsid w:val="003D3340"/>
    <w:rsid w:val="003D3654"/>
    <w:rsid w:val="003D414F"/>
    <w:rsid w:val="003D61EB"/>
    <w:rsid w:val="003D65D2"/>
    <w:rsid w:val="003D6DA0"/>
    <w:rsid w:val="003E1A90"/>
    <w:rsid w:val="003E3177"/>
    <w:rsid w:val="003E3635"/>
    <w:rsid w:val="003E46DC"/>
    <w:rsid w:val="003E4723"/>
    <w:rsid w:val="003E4941"/>
    <w:rsid w:val="003E5397"/>
    <w:rsid w:val="003E55A4"/>
    <w:rsid w:val="003E5F41"/>
    <w:rsid w:val="003E656B"/>
    <w:rsid w:val="003E6B88"/>
    <w:rsid w:val="003E7233"/>
    <w:rsid w:val="003E7786"/>
    <w:rsid w:val="003E77D9"/>
    <w:rsid w:val="003F0EAA"/>
    <w:rsid w:val="003F1CDD"/>
    <w:rsid w:val="003F2156"/>
    <w:rsid w:val="003F41EA"/>
    <w:rsid w:val="003F51C0"/>
    <w:rsid w:val="003F5B2B"/>
    <w:rsid w:val="003F6977"/>
    <w:rsid w:val="003F76AF"/>
    <w:rsid w:val="003F7873"/>
    <w:rsid w:val="003F7A46"/>
    <w:rsid w:val="0040096C"/>
    <w:rsid w:val="00401338"/>
    <w:rsid w:val="00401CC9"/>
    <w:rsid w:val="0040220B"/>
    <w:rsid w:val="0040353B"/>
    <w:rsid w:val="004037DF"/>
    <w:rsid w:val="0040493A"/>
    <w:rsid w:val="00404BDD"/>
    <w:rsid w:val="00404D2B"/>
    <w:rsid w:val="00404DA4"/>
    <w:rsid w:val="0040528B"/>
    <w:rsid w:val="00405952"/>
    <w:rsid w:val="004063C5"/>
    <w:rsid w:val="004064DB"/>
    <w:rsid w:val="004066C3"/>
    <w:rsid w:val="0040717E"/>
    <w:rsid w:val="00407D70"/>
    <w:rsid w:val="00411C29"/>
    <w:rsid w:val="004121C0"/>
    <w:rsid w:val="00412F61"/>
    <w:rsid w:val="004134AA"/>
    <w:rsid w:val="00415D41"/>
    <w:rsid w:val="0041655F"/>
    <w:rsid w:val="00420576"/>
    <w:rsid w:val="0042088C"/>
    <w:rsid w:val="00421309"/>
    <w:rsid w:val="004218EE"/>
    <w:rsid w:val="00422D50"/>
    <w:rsid w:val="00422E7C"/>
    <w:rsid w:val="00422FC1"/>
    <w:rsid w:val="00426D59"/>
    <w:rsid w:val="00426DD1"/>
    <w:rsid w:val="00427A07"/>
    <w:rsid w:val="004307E2"/>
    <w:rsid w:val="004318FF"/>
    <w:rsid w:val="00431FDE"/>
    <w:rsid w:val="004330F5"/>
    <w:rsid w:val="00433400"/>
    <w:rsid w:val="0043502F"/>
    <w:rsid w:val="0044052A"/>
    <w:rsid w:val="004417B3"/>
    <w:rsid w:val="00441AEC"/>
    <w:rsid w:val="00442282"/>
    <w:rsid w:val="00443762"/>
    <w:rsid w:val="00444475"/>
    <w:rsid w:val="0044466E"/>
    <w:rsid w:val="00444B5F"/>
    <w:rsid w:val="00445473"/>
    <w:rsid w:val="0044606A"/>
    <w:rsid w:val="00446EF7"/>
    <w:rsid w:val="00446F26"/>
    <w:rsid w:val="004511B3"/>
    <w:rsid w:val="0045124F"/>
    <w:rsid w:val="00452B2E"/>
    <w:rsid w:val="00455488"/>
    <w:rsid w:val="00455694"/>
    <w:rsid w:val="004560F2"/>
    <w:rsid w:val="004570D3"/>
    <w:rsid w:val="00457659"/>
    <w:rsid w:val="00461C06"/>
    <w:rsid w:val="00461E25"/>
    <w:rsid w:val="00462611"/>
    <w:rsid w:val="0046296E"/>
    <w:rsid w:val="00462E55"/>
    <w:rsid w:val="004632FE"/>
    <w:rsid w:val="00463F34"/>
    <w:rsid w:val="00463F72"/>
    <w:rsid w:val="00464107"/>
    <w:rsid w:val="00464662"/>
    <w:rsid w:val="00464949"/>
    <w:rsid w:val="00465238"/>
    <w:rsid w:val="00465922"/>
    <w:rsid w:val="00466172"/>
    <w:rsid w:val="0047008D"/>
    <w:rsid w:val="00472407"/>
    <w:rsid w:val="00472798"/>
    <w:rsid w:val="00472BBD"/>
    <w:rsid w:val="00473F34"/>
    <w:rsid w:val="00474DE5"/>
    <w:rsid w:val="0047555C"/>
    <w:rsid w:val="0047615F"/>
    <w:rsid w:val="004769C5"/>
    <w:rsid w:val="004816AD"/>
    <w:rsid w:val="00481C6F"/>
    <w:rsid w:val="00482491"/>
    <w:rsid w:val="00483556"/>
    <w:rsid w:val="00485163"/>
    <w:rsid w:val="00485174"/>
    <w:rsid w:val="00485517"/>
    <w:rsid w:val="00485879"/>
    <w:rsid w:val="00486861"/>
    <w:rsid w:val="0048699D"/>
    <w:rsid w:val="00486DF3"/>
    <w:rsid w:val="0049005E"/>
    <w:rsid w:val="00490248"/>
    <w:rsid w:val="004910F0"/>
    <w:rsid w:val="0049156B"/>
    <w:rsid w:val="004915CE"/>
    <w:rsid w:val="00491A7B"/>
    <w:rsid w:val="00491E5D"/>
    <w:rsid w:val="0049206F"/>
    <w:rsid w:val="004921D6"/>
    <w:rsid w:val="00493CCF"/>
    <w:rsid w:val="004940AD"/>
    <w:rsid w:val="00494991"/>
    <w:rsid w:val="0049586B"/>
    <w:rsid w:val="00496FAE"/>
    <w:rsid w:val="004A14DD"/>
    <w:rsid w:val="004A2285"/>
    <w:rsid w:val="004A477C"/>
    <w:rsid w:val="004A47FC"/>
    <w:rsid w:val="004A7D75"/>
    <w:rsid w:val="004B1727"/>
    <w:rsid w:val="004B237D"/>
    <w:rsid w:val="004B3081"/>
    <w:rsid w:val="004B3293"/>
    <w:rsid w:val="004B3752"/>
    <w:rsid w:val="004B3DF5"/>
    <w:rsid w:val="004B48F7"/>
    <w:rsid w:val="004B537C"/>
    <w:rsid w:val="004B5684"/>
    <w:rsid w:val="004B5BA7"/>
    <w:rsid w:val="004C0071"/>
    <w:rsid w:val="004C00F7"/>
    <w:rsid w:val="004C11B5"/>
    <w:rsid w:val="004C1D81"/>
    <w:rsid w:val="004C28BF"/>
    <w:rsid w:val="004C2D17"/>
    <w:rsid w:val="004C30F1"/>
    <w:rsid w:val="004C331B"/>
    <w:rsid w:val="004C36B8"/>
    <w:rsid w:val="004C4C3A"/>
    <w:rsid w:val="004D0D3F"/>
    <w:rsid w:val="004D0F24"/>
    <w:rsid w:val="004D13EA"/>
    <w:rsid w:val="004D1EB8"/>
    <w:rsid w:val="004D2893"/>
    <w:rsid w:val="004D38A3"/>
    <w:rsid w:val="004D44BC"/>
    <w:rsid w:val="004D4AE1"/>
    <w:rsid w:val="004D5D8A"/>
    <w:rsid w:val="004D7400"/>
    <w:rsid w:val="004D7521"/>
    <w:rsid w:val="004D7B16"/>
    <w:rsid w:val="004D7B30"/>
    <w:rsid w:val="004E1D08"/>
    <w:rsid w:val="004E29B3"/>
    <w:rsid w:val="004E2D58"/>
    <w:rsid w:val="004E2E1A"/>
    <w:rsid w:val="004E312F"/>
    <w:rsid w:val="004E4117"/>
    <w:rsid w:val="004E467E"/>
    <w:rsid w:val="004E4685"/>
    <w:rsid w:val="004E5115"/>
    <w:rsid w:val="004E578F"/>
    <w:rsid w:val="004E6B1C"/>
    <w:rsid w:val="004E6FFF"/>
    <w:rsid w:val="004E7A80"/>
    <w:rsid w:val="004F08CD"/>
    <w:rsid w:val="004F0DF9"/>
    <w:rsid w:val="004F1DC1"/>
    <w:rsid w:val="004F2596"/>
    <w:rsid w:val="004F2756"/>
    <w:rsid w:val="004F3D87"/>
    <w:rsid w:val="004F4894"/>
    <w:rsid w:val="004F489F"/>
    <w:rsid w:val="004F4B46"/>
    <w:rsid w:val="004F61BD"/>
    <w:rsid w:val="004F61C5"/>
    <w:rsid w:val="004F6F8D"/>
    <w:rsid w:val="0050017D"/>
    <w:rsid w:val="005007E6"/>
    <w:rsid w:val="00500890"/>
    <w:rsid w:val="00502524"/>
    <w:rsid w:val="00502648"/>
    <w:rsid w:val="00502FAF"/>
    <w:rsid w:val="0050384E"/>
    <w:rsid w:val="00503D20"/>
    <w:rsid w:val="005042D0"/>
    <w:rsid w:val="0050465B"/>
    <w:rsid w:val="005048A3"/>
    <w:rsid w:val="00505F87"/>
    <w:rsid w:val="0050654E"/>
    <w:rsid w:val="00506573"/>
    <w:rsid w:val="00506692"/>
    <w:rsid w:val="00506F78"/>
    <w:rsid w:val="00513A76"/>
    <w:rsid w:val="00513AF7"/>
    <w:rsid w:val="005143E0"/>
    <w:rsid w:val="0051498F"/>
    <w:rsid w:val="00514C5C"/>
    <w:rsid w:val="005157B1"/>
    <w:rsid w:val="00515DC1"/>
    <w:rsid w:val="00516EAF"/>
    <w:rsid w:val="00516F90"/>
    <w:rsid w:val="0051711C"/>
    <w:rsid w:val="005171EA"/>
    <w:rsid w:val="005201A5"/>
    <w:rsid w:val="00520289"/>
    <w:rsid w:val="00520D38"/>
    <w:rsid w:val="005215DC"/>
    <w:rsid w:val="005216AD"/>
    <w:rsid w:val="00522466"/>
    <w:rsid w:val="00524295"/>
    <w:rsid w:val="00524DDF"/>
    <w:rsid w:val="00524E25"/>
    <w:rsid w:val="00526608"/>
    <w:rsid w:val="005267E6"/>
    <w:rsid w:val="00526A7C"/>
    <w:rsid w:val="00527DAB"/>
    <w:rsid w:val="00531FB3"/>
    <w:rsid w:val="00531FF2"/>
    <w:rsid w:val="00532A81"/>
    <w:rsid w:val="00532F79"/>
    <w:rsid w:val="0053496F"/>
    <w:rsid w:val="00534FEC"/>
    <w:rsid w:val="005350C1"/>
    <w:rsid w:val="0053552E"/>
    <w:rsid w:val="005358D9"/>
    <w:rsid w:val="005367B4"/>
    <w:rsid w:val="00537B9C"/>
    <w:rsid w:val="00540260"/>
    <w:rsid w:val="00543DA2"/>
    <w:rsid w:val="005446B2"/>
    <w:rsid w:val="00544C0F"/>
    <w:rsid w:val="0054528F"/>
    <w:rsid w:val="005454DD"/>
    <w:rsid w:val="00547291"/>
    <w:rsid w:val="00547693"/>
    <w:rsid w:val="00547C58"/>
    <w:rsid w:val="0055026D"/>
    <w:rsid w:val="00550A5A"/>
    <w:rsid w:val="00550B78"/>
    <w:rsid w:val="0055258A"/>
    <w:rsid w:val="005527B5"/>
    <w:rsid w:val="00552D77"/>
    <w:rsid w:val="005547C0"/>
    <w:rsid w:val="005571AB"/>
    <w:rsid w:val="00557805"/>
    <w:rsid w:val="0056013D"/>
    <w:rsid w:val="0056017E"/>
    <w:rsid w:val="00560AF9"/>
    <w:rsid w:val="00561A45"/>
    <w:rsid w:val="00561FC0"/>
    <w:rsid w:val="005635C7"/>
    <w:rsid w:val="005637B6"/>
    <w:rsid w:val="00563A70"/>
    <w:rsid w:val="0056429B"/>
    <w:rsid w:val="005649C9"/>
    <w:rsid w:val="00565039"/>
    <w:rsid w:val="0056568D"/>
    <w:rsid w:val="00565EFE"/>
    <w:rsid w:val="00565F05"/>
    <w:rsid w:val="0056633D"/>
    <w:rsid w:val="00566C29"/>
    <w:rsid w:val="00570BEE"/>
    <w:rsid w:val="005732D5"/>
    <w:rsid w:val="00573ACA"/>
    <w:rsid w:val="005746E0"/>
    <w:rsid w:val="0057611C"/>
    <w:rsid w:val="00576C2F"/>
    <w:rsid w:val="0057720E"/>
    <w:rsid w:val="0058069B"/>
    <w:rsid w:val="00580CBB"/>
    <w:rsid w:val="00580D25"/>
    <w:rsid w:val="00581125"/>
    <w:rsid w:val="00581450"/>
    <w:rsid w:val="00581496"/>
    <w:rsid w:val="00582362"/>
    <w:rsid w:val="00582CFA"/>
    <w:rsid w:val="00583EAA"/>
    <w:rsid w:val="005845A2"/>
    <w:rsid w:val="00585277"/>
    <w:rsid w:val="00585F8F"/>
    <w:rsid w:val="0058659A"/>
    <w:rsid w:val="0058677B"/>
    <w:rsid w:val="005876BE"/>
    <w:rsid w:val="00590D07"/>
    <w:rsid w:val="00591456"/>
    <w:rsid w:val="00592452"/>
    <w:rsid w:val="0059394E"/>
    <w:rsid w:val="0059446D"/>
    <w:rsid w:val="005950B9"/>
    <w:rsid w:val="005956CA"/>
    <w:rsid w:val="00595B0A"/>
    <w:rsid w:val="00595C4E"/>
    <w:rsid w:val="0059637F"/>
    <w:rsid w:val="00596AC4"/>
    <w:rsid w:val="005A1AF0"/>
    <w:rsid w:val="005A1B4C"/>
    <w:rsid w:val="005A23E9"/>
    <w:rsid w:val="005A3FC0"/>
    <w:rsid w:val="005A4616"/>
    <w:rsid w:val="005A4E2A"/>
    <w:rsid w:val="005A5407"/>
    <w:rsid w:val="005A5913"/>
    <w:rsid w:val="005A6B10"/>
    <w:rsid w:val="005A71D2"/>
    <w:rsid w:val="005A7B39"/>
    <w:rsid w:val="005B0BD6"/>
    <w:rsid w:val="005B0DBE"/>
    <w:rsid w:val="005B127F"/>
    <w:rsid w:val="005B1454"/>
    <w:rsid w:val="005B15A2"/>
    <w:rsid w:val="005B1C53"/>
    <w:rsid w:val="005B22E7"/>
    <w:rsid w:val="005B332E"/>
    <w:rsid w:val="005B39FE"/>
    <w:rsid w:val="005B4261"/>
    <w:rsid w:val="005B53CF"/>
    <w:rsid w:val="005B56E1"/>
    <w:rsid w:val="005B572A"/>
    <w:rsid w:val="005B5B14"/>
    <w:rsid w:val="005B5F80"/>
    <w:rsid w:val="005B5F97"/>
    <w:rsid w:val="005B6901"/>
    <w:rsid w:val="005B76B1"/>
    <w:rsid w:val="005C0E41"/>
    <w:rsid w:val="005C122F"/>
    <w:rsid w:val="005C192F"/>
    <w:rsid w:val="005C1FC1"/>
    <w:rsid w:val="005C24B1"/>
    <w:rsid w:val="005C2645"/>
    <w:rsid w:val="005C2A1A"/>
    <w:rsid w:val="005C5C96"/>
    <w:rsid w:val="005C5EBF"/>
    <w:rsid w:val="005C63D0"/>
    <w:rsid w:val="005C752F"/>
    <w:rsid w:val="005C7537"/>
    <w:rsid w:val="005D0A2D"/>
    <w:rsid w:val="005D0D23"/>
    <w:rsid w:val="005D1374"/>
    <w:rsid w:val="005D1597"/>
    <w:rsid w:val="005D24D5"/>
    <w:rsid w:val="005D307E"/>
    <w:rsid w:val="005D31A4"/>
    <w:rsid w:val="005D33A7"/>
    <w:rsid w:val="005D3EDD"/>
    <w:rsid w:val="005D4530"/>
    <w:rsid w:val="005D59E8"/>
    <w:rsid w:val="005D74C8"/>
    <w:rsid w:val="005E135C"/>
    <w:rsid w:val="005E15C9"/>
    <w:rsid w:val="005E19A4"/>
    <w:rsid w:val="005E220D"/>
    <w:rsid w:val="005E31B9"/>
    <w:rsid w:val="005E331E"/>
    <w:rsid w:val="005E5F02"/>
    <w:rsid w:val="005E7BB2"/>
    <w:rsid w:val="005F03CE"/>
    <w:rsid w:val="005F0D12"/>
    <w:rsid w:val="005F0FFB"/>
    <w:rsid w:val="005F18B9"/>
    <w:rsid w:val="005F1917"/>
    <w:rsid w:val="005F2B2F"/>
    <w:rsid w:val="005F4573"/>
    <w:rsid w:val="005F49E0"/>
    <w:rsid w:val="005F569C"/>
    <w:rsid w:val="005F573D"/>
    <w:rsid w:val="005F5881"/>
    <w:rsid w:val="005F60AF"/>
    <w:rsid w:val="005F60C1"/>
    <w:rsid w:val="005F60E0"/>
    <w:rsid w:val="005F79BD"/>
    <w:rsid w:val="005F7AE4"/>
    <w:rsid w:val="005F7C7C"/>
    <w:rsid w:val="005F7E3B"/>
    <w:rsid w:val="00600AF1"/>
    <w:rsid w:val="00601362"/>
    <w:rsid w:val="006026B4"/>
    <w:rsid w:val="00602D3B"/>
    <w:rsid w:val="00603141"/>
    <w:rsid w:val="00604263"/>
    <w:rsid w:val="00604415"/>
    <w:rsid w:val="00604A35"/>
    <w:rsid w:val="00605427"/>
    <w:rsid w:val="006056E9"/>
    <w:rsid w:val="00605F37"/>
    <w:rsid w:val="0060601F"/>
    <w:rsid w:val="006067C1"/>
    <w:rsid w:val="006067F9"/>
    <w:rsid w:val="0061190A"/>
    <w:rsid w:val="006121BD"/>
    <w:rsid w:val="006125FF"/>
    <w:rsid w:val="006139A3"/>
    <w:rsid w:val="0061501B"/>
    <w:rsid w:val="00616091"/>
    <w:rsid w:val="0061648E"/>
    <w:rsid w:val="00617352"/>
    <w:rsid w:val="006175A1"/>
    <w:rsid w:val="006208D8"/>
    <w:rsid w:val="00620ABE"/>
    <w:rsid w:val="00621603"/>
    <w:rsid w:val="00623216"/>
    <w:rsid w:val="006236CD"/>
    <w:rsid w:val="006255A4"/>
    <w:rsid w:val="006265CD"/>
    <w:rsid w:val="00627260"/>
    <w:rsid w:val="006277B7"/>
    <w:rsid w:val="0062793F"/>
    <w:rsid w:val="006310C0"/>
    <w:rsid w:val="00632570"/>
    <w:rsid w:val="00632A02"/>
    <w:rsid w:val="00633C2F"/>
    <w:rsid w:val="00634215"/>
    <w:rsid w:val="00634D1A"/>
    <w:rsid w:val="00635209"/>
    <w:rsid w:val="00635CA7"/>
    <w:rsid w:val="00636AF1"/>
    <w:rsid w:val="006373C4"/>
    <w:rsid w:val="006373D0"/>
    <w:rsid w:val="0063745C"/>
    <w:rsid w:val="00637653"/>
    <w:rsid w:val="006401C7"/>
    <w:rsid w:val="006435FF"/>
    <w:rsid w:val="00643806"/>
    <w:rsid w:val="00643D7A"/>
    <w:rsid w:val="00644312"/>
    <w:rsid w:val="006449A9"/>
    <w:rsid w:val="00644D4A"/>
    <w:rsid w:val="00644FE7"/>
    <w:rsid w:val="0064618C"/>
    <w:rsid w:val="006462CD"/>
    <w:rsid w:val="006465E8"/>
    <w:rsid w:val="0064680F"/>
    <w:rsid w:val="0064694B"/>
    <w:rsid w:val="00647348"/>
    <w:rsid w:val="00647F5C"/>
    <w:rsid w:val="006507B4"/>
    <w:rsid w:val="00651221"/>
    <w:rsid w:val="00651FD9"/>
    <w:rsid w:val="0065333D"/>
    <w:rsid w:val="00653474"/>
    <w:rsid w:val="00653D19"/>
    <w:rsid w:val="00653FBE"/>
    <w:rsid w:val="00654462"/>
    <w:rsid w:val="0065466A"/>
    <w:rsid w:val="00654B1A"/>
    <w:rsid w:val="00654E88"/>
    <w:rsid w:val="00655EE2"/>
    <w:rsid w:val="00656C66"/>
    <w:rsid w:val="00657049"/>
    <w:rsid w:val="00657249"/>
    <w:rsid w:val="00661886"/>
    <w:rsid w:val="00662457"/>
    <w:rsid w:val="006629BD"/>
    <w:rsid w:val="00662DD9"/>
    <w:rsid w:val="00663220"/>
    <w:rsid w:val="00663CF3"/>
    <w:rsid w:val="00663F53"/>
    <w:rsid w:val="00664EED"/>
    <w:rsid w:val="006659E4"/>
    <w:rsid w:val="006665D2"/>
    <w:rsid w:val="00666CA5"/>
    <w:rsid w:val="0066712E"/>
    <w:rsid w:val="00667CCB"/>
    <w:rsid w:val="006703E1"/>
    <w:rsid w:val="00670FB5"/>
    <w:rsid w:val="00671F3F"/>
    <w:rsid w:val="00672824"/>
    <w:rsid w:val="00672ABA"/>
    <w:rsid w:val="00672FF7"/>
    <w:rsid w:val="006736F2"/>
    <w:rsid w:val="00673EF9"/>
    <w:rsid w:val="0067407E"/>
    <w:rsid w:val="00675990"/>
    <w:rsid w:val="006774CD"/>
    <w:rsid w:val="0068066D"/>
    <w:rsid w:val="00681E6F"/>
    <w:rsid w:val="006828BB"/>
    <w:rsid w:val="00682F51"/>
    <w:rsid w:val="00684A84"/>
    <w:rsid w:val="00684D2A"/>
    <w:rsid w:val="00684EA1"/>
    <w:rsid w:val="0068531A"/>
    <w:rsid w:val="00686309"/>
    <w:rsid w:val="00686E1D"/>
    <w:rsid w:val="00687CE7"/>
    <w:rsid w:val="00690196"/>
    <w:rsid w:val="0069122B"/>
    <w:rsid w:val="00691C37"/>
    <w:rsid w:val="00692368"/>
    <w:rsid w:val="006931CC"/>
    <w:rsid w:val="006947E1"/>
    <w:rsid w:val="00694A54"/>
    <w:rsid w:val="00694B43"/>
    <w:rsid w:val="00695A6F"/>
    <w:rsid w:val="00696853"/>
    <w:rsid w:val="0069711B"/>
    <w:rsid w:val="006A01E0"/>
    <w:rsid w:val="006A1291"/>
    <w:rsid w:val="006A1997"/>
    <w:rsid w:val="006A1E17"/>
    <w:rsid w:val="006A1EF2"/>
    <w:rsid w:val="006A200F"/>
    <w:rsid w:val="006A239A"/>
    <w:rsid w:val="006A24B1"/>
    <w:rsid w:val="006A2EDF"/>
    <w:rsid w:val="006A3665"/>
    <w:rsid w:val="006A426A"/>
    <w:rsid w:val="006A42CA"/>
    <w:rsid w:val="006A4603"/>
    <w:rsid w:val="006A4B08"/>
    <w:rsid w:val="006A55D2"/>
    <w:rsid w:val="006A5D5E"/>
    <w:rsid w:val="006A6124"/>
    <w:rsid w:val="006A68DF"/>
    <w:rsid w:val="006A6996"/>
    <w:rsid w:val="006A7BB2"/>
    <w:rsid w:val="006B0D68"/>
    <w:rsid w:val="006B0E2E"/>
    <w:rsid w:val="006B19D7"/>
    <w:rsid w:val="006B19E5"/>
    <w:rsid w:val="006B2D93"/>
    <w:rsid w:val="006B31F2"/>
    <w:rsid w:val="006B3905"/>
    <w:rsid w:val="006B3D28"/>
    <w:rsid w:val="006B415F"/>
    <w:rsid w:val="006B6620"/>
    <w:rsid w:val="006B6A2E"/>
    <w:rsid w:val="006B6D35"/>
    <w:rsid w:val="006B6D5E"/>
    <w:rsid w:val="006B7030"/>
    <w:rsid w:val="006B7A26"/>
    <w:rsid w:val="006C0C2B"/>
    <w:rsid w:val="006C0DC8"/>
    <w:rsid w:val="006C14A4"/>
    <w:rsid w:val="006C15F8"/>
    <w:rsid w:val="006C19C9"/>
    <w:rsid w:val="006C20C8"/>
    <w:rsid w:val="006C2C54"/>
    <w:rsid w:val="006C3004"/>
    <w:rsid w:val="006C43C4"/>
    <w:rsid w:val="006C43DF"/>
    <w:rsid w:val="006C490E"/>
    <w:rsid w:val="006C4B60"/>
    <w:rsid w:val="006C5027"/>
    <w:rsid w:val="006C529A"/>
    <w:rsid w:val="006C58CE"/>
    <w:rsid w:val="006C5F13"/>
    <w:rsid w:val="006C6014"/>
    <w:rsid w:val="006C6B1A"/>
    <w:rsid w:val="006C6B55"/>
    <w:rsid w:val="006C75AD"/>
    <w:rsid w:val="006D13EF"/>
    <w:rsid w:val="006D183D"/>
    <w:rsid w:val="006D26CB"/>
    <w:rsid w:val="006D35C5"/>
    <w:rsid w:val="006D373C"/>
    <w:rsid w:val="006D3EF8"/>
    <w:rsid w:val="006D40D6"/>
    <w:rsid w:val="006D46FC"/>
    <w:rsid w:val="006D54C8"/>
    <w:rsid w:val="006D58C7"/>
    <w:rsid w:val="006D6946"/>
    <w:rsid w:val="006D6A5A"/>
    <w:rsid w:val="006D6FEA"/>
    <w:rsid w:val="006D7237"/>
    <w:rsid w:val="006D73B6"/>
    <w:rsid w:val="006E039C"/>
    <w:rsid w:val="006E24EC"/>
    <w:rsid w:val="006E35D4"/>
    <w:rsid w:val="006E4549"/>
    <w:rsid w:val="006E62E9"/>
    <w:rsid w:val="006E6649"/>
    <w:rsid w:val="006F043C"/>
    <w:rsid w:val="006F0BA2"/>
    <w:rsid w:val="006F1CA8"/>
    <w:rsid w:val="006F2A3A"/>
    <w:rsid w:val="006F2AD8"/>
    <w:rsid w:val="006F2B0F"/>
    <w:rsid w:val="006F3164"/>
    <w:rsid w:val="006F3485"/>
    <w:rsid w:val="006F3914"/>
    <w:rsid w:val="006F39AD"/>
    <w:rsid w:val="006F3A86"/>
    <w:rsid w:val="006F4CB8"/>
    <w:rsid w:val="006F5855"/>
    <w:rsid w:val="006F5A52"/>
    <w:rsid w:val="007002B0"/>
    <w:rsid w:val="00700408"/>
    <w:rsid w:val="00700450"/>
    <w:rsid w:val="007024E5"/>
    <w:rsid w:val="007025E6"/>
    <w:rsid w:val="00702951"/>
    <w:rsid w:val="00702F14"/>
    <w:rsid w:val="00704287"/>
    <w:rsid w:val="00705011"/>
    <w:rsid w:val="007051DF"/>
    <w:rsid w:val="00705608"/>
    <w:rsid w:val="00705B23"/>
    <w:rsid w:val="00706C97"/>
    <w:rsid w:val="00706CF1"/>
    <w:rsid w:val="00706E64"/>
    <w:rsid w:val="0071024E"/>
    <w:rsid w:val="00711950"/>
    <w:rsid w:val="00711CBD"/>
    <w:rsid w:val="00711D48"/>
    <w:rsid w:val="00711D8E"/>
    <w:rsid w:val="00711ED4"/>
    <w:rsid w:val="00712A1B"/>
    <w:rsid w:val="00712B89"/>
    <w:rsid w:val="0071300C"/>
    <w:rsid w:val="00713645"/>
    <w:rsid w:val="00713882"/>
    <w:rsid w:val="007139B9"/>
    <w:rsid w:val="00714211"/>
    <w:rsid w:val="007144CE"/>
    <w:rsid w:val="007149DA"/>
    <w:rsid w:val="00715DC3"/>
    <w:rsid w:val="00715F59"/>
    <w:rsid w:val="00716A94"/>
    <w:rsid w:val="00717D5B"/>
    <w:rsid w:val="007205AA"/>
    <w:rsid w:val="0072106C"/>
    <w:rsid w:val="00721A55"/>
    <w:rsid w:val="007233E4"/>
    <w:rsid w:val="00723D01"/>
    <w:rsid w:val="0072431B"/>
    <w:rsid w:val="0072433F"/>
    <w:rsid w:val="00725609"/>
    <w:rsid w:val="0072582D"/>
    <w:rsid w:val="0073036F"/>
    <w:rsid w:val="00730884"/>
    <w:rsid w:val="007308D3"/>
    <w:rsid w:val="00731381"/>
    <w:rsid w:val="0073171D"/>
    <w:rsid w:val="00732016"/>
    <w:rsid w:val="00732FE5"/>
    <w:rsid w:val="0073363C"/>
    <w:rsid w:val="0073580D"/>
    <w:rsid w:val="00736302"/>
    <w:rsid w:val="00736360"/>
    <w:rsid w:val="0073660C"/>
    <w:rsid w:val="00736F44"/>
    <w:rsid w:val="0073719B"/>
    <w:rsid w:val="00741F6E"/>
    <w:rsid w:val="0074274A"/>
    <w:rsid w:val="00743B78"/>
    <w:rsid w:val="00745B62"/>
    <w:rsid w:val="0074652D"/>
    <w:rsid w:val="00746C1C"/>
    <w:rsid w:val="00750477"/>
    <w:rsid w:val="00750943"/>
    <w:rsid w:val="007535ED"/>
    <w:rsid w:val="00753A5E"/>
    <w:rsid w:val="00754A29"/>
    <w:rsid w:val="00755A02"/>
    <w:rsid w:val="007562F5"/>
    <w:rsid w:val="0075644F"/>
    <w:rsid w:val="00757188"/>
    <w:rsid w:val="007608D6"/>
    <w:rsid w:val="00760A5C"/>
    <w:rsid w:val="007612C7"/>
    <w:rsid w:val="00762256"/>
    <w:rsid w:val="007628D8"/>
    <w:rsid w:val="007630F5"/>
    <w:rsid w:val="00763483"/>
    <w:rsid w:val="007639CA"/>
    <w:rsid w:val="00764066"/>
    <w:rsid w:val="0076433F"/>
    <w:rsid w:val="00764763"/>
    <w:rsid w:val="00764D10"/>
    <w:rsid w:val="00765D62"/>
    <w:rsid w:val="00765FAE"/>
    <w:rsid w:val="007660F8"/>
    <w:rsid w:val="00767B72"/>
    <w:rsid w:val="00767DB5"/>
    <w:rsid w:val="007704C7"/>
    <w:rsid w:val="00771DE5"/>
    <w:rsid w:val="00771E0F"/>
    <w:rsid w:val="00773D2C"/>
    <w:rsid w:val="007743CF"/>
    <w:rsid w:val="00774484"/>
    <w:rsid w:val="00774C5C"/>
    <w:rsid w:val="00774D41"/>
    <w:rsid w:val="007755AC"/>
    <w:rsid w:val="00775A42"/>
    <w:rsid w:val="00776B09"/>
    <w:rsid w:val="00776E99"/>
    <w:rsid w:val="00777C00"/>
    <w:rsid w:val="0078067F"/>
    <w:rsid w:val="007807E0"/>
    <w:rsid w:val="00780F37"/>
    <w:rsid w:val="00782030"/>
    <w:rsid w:val="00782E1B"/>
    <w:rsid w:val="007836C1"/>
    <w:rsid w:val="00784439"/>
    <w:rsid w:val="00784D58"/>
    <w:rsid w:val="00785438"/>
    <w:rsid w:val="00786594"/>
    <w:rsid w:val="0079178A"/>
    <w:rsid w:val="00793AD5"/>
    <w:rsid w:val="00793F46"/>
    <w:rsid w:val="0079402E"/>
    <w:rsid w:val="007948F4"/>
    <w:rsid w:val="00794AA0"/>
    <w:rsid w:val="007968A1"/>
    <w:rsid w:val="007974D6"/>
    <w:rsid w:val="00797E84"/>
    <w:rsid w:val="007A00E8"/>
    <w:rsid w:val="007A0841"/>
    <w:rsid w:val="007A1C58"/>
    <w:rsid w:val="007A1F3D"/>
    <w:rsid w:val="007A312E"/>
    <w:rsid w:val="007A3CF4"/>
    <w:rsid w:val="007A3F28"/>
    <w:rsid w:val="007A4238"/>
    <w:rsid w:val="007A4DF2"/>
    <w:rsid w:val="007A506C"/>
    <w:rsid w:val="007A5199"/>
    <w:rsid w:val="007A5378"/>
    <w:rsid w:val="007A5438"/>
    <w:rsid w:val="007A5A17"/>
    <w:rsid w:val="007A6D6D"/>
    <w:rsid w:val="007A7C1E"/>
    <w:rsid w:val="007B1591"/>
    <w:rsid w:val="007B1F3F"/>
    <w:rsid w:val="007B1FA8"/>
    <w:rsid w:val="007B46C9"/>
    <w:rsid w:val="007B565B"/>
    <w:rsid w:val="007B5DBC"/>
    <w:rsid w:val="007B738D"/>
    <w:rsid w:val="007B7725"/>
    <w:rsid w:val="007B77BA"/>
    <w:rsid w:val="007B7ACC"/>
    <w:rsid w:val="007C06EE"/>
    <w:rsid w:val="007C0E34"/>
    <w:rsid w:val="007C1274"/>
    <w:rsid w:val="007C16D2"/>
    <w:rsid w:val="007C1C6F"/>
    <w:rsid w:val="007C308D"/>
    <w:rsid w:val="007C3F0A"/>
    <w:rsid w:val="007C5406"/>
    <w:rsid w:val="007C5AFE"/>
    <w:rsid w:val="007C6DF4"/>
    <w:rsid w:val="007C706A"/>
    <w:rsid w:val="007C799F"/>
    <w:rsid w:val="007C79A1"/>
    <w:rsid w:val="007C7D4C"/>
    <w:rsid w:val="007D1813"/>
    <w:rsid w:val="007D1FB5"/>
    <w:rsid w:val="007D2936"/>
    <w:rsid w:val="007D4D6E"/>
    <w:rsid w:val="007D5F67"/>
    <w:rsid w:val="007D673C"/>
    <w:rsid w:val="007D6DC1"/>
    <w:rsid w:val="007D7372"/>
    <w:rsid w:val="007D7D37"/>
    <w:rsid w:val="007E2349"/>
    <w:rsid w:val="007E4A90"/>
    <w:rsid w:val="007E4A9C"/>
    <w:rsid w:val="007E55CB"/>
    <w:rsid w:val="007E6D61"/>
    <w:rsid w:val="007E72DA"/>
    <w:rsid w:val="007E78CD"/>
    <w:rsid w:val="007E7D27"/>
    <w:rsid w:val="007F0700"/>
    <w:rsid w:val="007F13C1"/>
    <w:rsid w:val="007F18F6"/>
    <w:rsid w:val="007F191C"/>
    <w:rsid w:val="007F1A0B"/>
    <w:rsid w:val="007F28D3"/>
    <w:rsid w:val="007F2F46"/>
    <w:rsid w:val="007F3445"/>
    <w:rsid w:val="007F3827"/>
    <w:rsid w:val="007F3925"/>
    <w:rsid w:val="007F4A6E"/>
    <w:rsid w:val="007F6D6D"/>
    <w:rsid w:val="007F71F9"/>
    <w:rsid w:val="00800BA0"/>
    <w:rsid w:val="00800FA8"/>
    <w:rsid w:val="00801801"/>
    <w:rsid w:val="00803F65"/>
    <w:rsid w:val="008041FB"/>
    <w:rsid w:val="00804B4C"/>
    <w:rsid w:val="00804F9D"/>
    <w:rsid w:val="00805200"/>
    <w:rsid w:val="008052DD"/>
    <w:rsid w:val="00805E39"/>
    <w:rsid w:val="0080611D"/>
    <w:rsid w:val="00807025"/>
    <w:rsid w:val="00807BE4"/>
    <w:rsid w:val="00807C54"/>
    <w:rsid w:val="00807D4D"/>
    <w:rsid w:val="00807DFE"/>
    <w:rsid w:val="0081010D"/>
    <w:rsid w:val="0081050E"/>
    <w:rsid w:val="00810D76"/>
    <w:rsid w:val="00810E40"/>
    <w:rsid w:val="00811D2B"/>
    <w:rsid w:val="00812978"/>
    <w:rsid w:val="00812AF1"/>
    <w:rsid w:val="008132D1"/>
    <w:rsid w:val="008132FA"/>
    <w:rsid w:val="008134BA"/>
    <w:rsid w:val="00814D9B"/>
    <w:rsid w:val="00815294"/>
    <w:rsid w:val="008153CF"/>
    <w:rsid w:val="0081543B"/>
    <w:rsid w:val="008156BB"/>
    <w:rsid w:val="00815C93"/>
    <w:rsid w:val="008161B5"/>
    <w:rsid w:val="00816786"/>
    <w:rsid w:val="00816F2B"/>
    <w:rsid w:val="00817192"/>
    <w:rsid w:val="008178AC"/>
    <w:rsid w:val="00821B34"/>
    <w:rsid w:val="00822318"/>
    <w:rsid w:val="00822DD5"/>
    <w:rsid w:val="00823164"/>
    <w:rsid w:val="00823FCD"/>
    <w:rsid w:val="00824219"/>
    <w:rsid w:val="008242A3"/>
    <w:rsid w:val="00824571"/>
    <w:rsid w:val="008259DB"/>
    <w:rsid w:val="00826383"/>
    <w:rsid w:val="008268EC"/>
    <w:rsid w:val="00826E16"/>
    <w:rsid w:val="00827247"/>
    <w:rsid w:val="00830A3B"/>
    <w:rsid w:val="008319AD"/>
    <w:rsid w:val="00832261"/>
    <w:rsid w:val="00832940"/>
    <w:rsid w:val="0083371B"/>
    <w:rsid w:val="008337E4"/>
    <w:rsid w:val="0083425C"/>
    <w:rsid w:val="0083497A"/>
    <w:rsid w:val="00834ED9"/>
    <w:rsid w:val="0083503C"/>
    <w:rsid w:val="008353FD"/>
    <w:rsid w:val="00835502"/>
    <w:rsid w:val="0083610B"/>
    <w:rsid w:val="008365BA"/>
    <w:rsid w:val="00836BCB"/>
    <w:rsid w:val="008374CE"/>
    <w:rsid w:val="00837D0B"/>
    <w:rsid w:val="00837E72"/>
    <w:rsid w:val="0084063D"/>
    <w:rsid w:val="00840830"/>
    <w:rsid w:val="00841086"/>
    <w:rsid w:val="00841B4F"/>
    <w:rsid w:val="00841EAF"/>
    <w:rsid w:val="00841F89"/>
    <w:rsid w:val="00842CA9"/>
    <w:rsid w:val="00842DF6"/>
    <w:rsid w:val="00843584"/>
    <w:rsid w:val="00844A5C"/>
    <w:rsid w:val="00844FEA"/>
    <w:rsid w:val="008457B7"/>
    <w:rsid w:val="008464D7"/>
    <w:rsid w:val="008466D1"/>
    <w:rsid w:val="00847682"/>
    <w:rsid w:val="00847E12"/>
    <w:rsid w:val="008509C8"/>
    <w:rsid w:val="00850EDB"/>
    <w:rsid w:val="008523B9"/>
    <w:rsid w:val="00852C0F"/>
    <w:rsid w:val="008533D7"/>
    <w:rsid w:val="008538A7"/>
    <w:rsid w:val="00854113"/>
    <w:rsid w:val="00854CF9"/>
    <w:rsid w:val="00855BED"/>
    <w:rsid w:val="00856155"/>
    <w:rsid w:val="008569B7"/>
    <w:rsid w:val="00857150"/>
    <w:rsid w:val="008610F3"/>
    <w:rsid w:val="008623AB"/>
    <w:rsid w:val="00863996"/>
    <w:rsid w:val="008649CF"/>
    <w:rsid w:val="00865292"/>
    <w:rsid w:val="00865944"/>
    <w:rsid w:val="00865E47"/>
    <w:rsid w:val="0086613F"/>
    <w:rsid w:val="00866587"/>
    <w:rsid w:val="0086734A"/>
    <w:rsid w:val="00867C7A"/>
    <w:rsid w:val="0087028D"/>
    <w:rsid w:val="0087034A"/>
    <w:rsid w:val="00870B87"/>
    <w:rsid w:val="00872425"/>
    <w:rsid w:val="00872438"/>
    <w:rsid w:val="00873881"/>
    <w:rsid w:val="00873A2C"/>
    <w:rsid w:val="00874A01"/>
    <w:rsid w:val="00874D62"/>
    <w:rsid w:val="008752EC"/>
    <w:rsid w:val="008764AF"/>
    <w:rsid w:val="00876F46"/>
    <w:rsid w:val="008777F6"/>
    <w:rsid w:val="00880670"/>
    <w:rsid w:val="00880A28"/>
    <w:rsid w:val="008811CD"/>
    <w:rsid w:val="008823B9"/>
    <w:rsid w:val="008841AF"/>
    <w:rsid w:val="00884304"/>
    <w:rsid w:val="00884827"/>
    <w:rsid w:val="00885AB7"/>
    <w:rsid w:val="00886BD9"/>
    <w:rsid w:val="00887059"/>
    <w:rsid w:val="00891FE6"/>
    <w:rsid w:val="00892B00"/>
    <w:rsid w:val="00892B5B"/>
    <w:rsid w:val="00893884"/>
    <w:rsid w:val="00893E00"/>
    <w:rsid w:val="00894979"/>
    <w:rsid w:val="0089544E"/>
    <w:rsid w:val="00895478"/>
    <w:rsid w:val="0089587B"/>
    <w:rsid w:val="00896206"/>
    <w:rsid w:val="00896B4A"/>
    <w:rsid w:val="008A08EA"/>
    <w:rsid w:val="008A13D8"/>
    <w:rsid w:val="008A19FB"/>
    <w:rsid w:val="008A38AD"/>
    <w:rsid w:val="008A4E97"/>
    <w:rsid w:val="008A5947"/>
    <w:rsid w:val="008A59B2"/>
    <w:rsid w:val="008A5AB4"/>
    <w:rsid w:val="008A60F3"/>
    <w:rsid w:val="008A6247"/>
    <w:rsid w:val="008A6286"/>
    <w:rsid w:val="008A6407"/>
    <w:rsid w:val="008A683E"/>
    <w:rsid w:val="008A68AA"/>
    <w:rsid w:val="008A6F1B"/>
    <w:rsid w:val="008A6F9A"/>
    <w:rsid w:val="008A7439"/>
    <w:rsid w:val="008B0471"/>
    <w:rsid w:val="008B06C2"/>
    <w:rsid w:val="008B0A90"/>
    <w:rsid w:val="008B0E3F"/>
    <w:rsid w:val="008B33E1"/>
    <w:rsid w:val="008B3F0E"/>
    <w:rsid w:val="008B4347"/>
    <w:rsid w:val="008B445A"/>
    <w:rsid w:val="008B4DBD"/>
    <w:rsid w:val="008B5685"/>
    <w:rsid w:val="008B62D1"/>
    <w:rsid w:val="008B688E"/>
    <w:rsid w:val="008B6F00"/>
    <w:rsid w:val="008C1315"/>
    <w:rsid w:val="008C1638"/>
    <w:rsid w:val="008C1C71"/>
    <w:rsid w:val="008C33E4"/>
    <w:rsid w:val="008C42F3"/>
    <w:rsid w:val="008C453E"/>
    <w:rsid w:val="008C51FD"/>
    <w:rsid w:val="008C61EA"/>
    <w:rsid w:val="008C67F4"/>
    <w:rsid w:val="008D03E5"/>
    <w:rsid w:val="008D0795"/>
    <w:rsid w:val="008D18B9"/>
    <w:rsid w:val="008D1C35"/>
    <w:rsid w:val="008D2DCA"/>
    <w:rsid w:val="008D30F0"/>
    <w:rsid w:val="008D333A"/>
    <w:rsid w:val="008D3C44"/>
    <w:rsid w:val="008D4E78"/>
    <w:rsid w:val="008D52DD"/>
    <w:rsid w:val="008D58D0"/>
    <w:rsid w:val="008D6863"/>
    <w:rsid w:val="008D71B2"/>
    <w:rsid w:val="008D71CC"/>
    <w:rsid w:val="008D7235"/>
    <w:rsid w:val="008D7B9E"/>
    <w:rsid w:val="008E0DFC"/>
    <w:rsid w:val="008E0FD5"/>
    <w:rsid w:val="008E1634"/>
    <w:rsid w:val="008E1988"/>
    <w:rsid w:val="008E1A65"/>
    <w:rsid w:val="008E22CF"/>
    <w:rsid w:val="008E24CB"/>
    <w:rsid w:val="008E3062"/>
    <w:rsid w:val="008E3382"/>
    <w:rsid w:val="008E45A8"/>
    <w:rsid w:val="008E4B9F"/>
    <w:rsid w:val="008E5474"/>
    <w:rsid w:val="008E5EF2"/>
    <w:rsid w:val="008E63A0"/>
    <w:rsid w:val="008E671D"/>
    <w:rsid w:val="008E6F1C"/>
    <w:rsid w:val="008E779F"/>
    <w:rsid w:val="008E7CC7"/>
    <w:rsid w:val="008E7F6F"/>
    <w:rsid w:val="008F0921"/>
    <w:rsid w:val="008F0AB7"/>
    <w:rsid w:val="008F1E4D"/>
    <w:rsid w:val="008F228D"/>
    <w:rsid w:val="008F2AFD"/>
    <w:rsid w:val="008F386A"/>
    <w:rsid w:val="008F400E"/>
    <w:rsid w:val="008F4F5B"/>
    <w:rsid w:val="008F6104"/>
    <w:rsid w:val="008F6F3A"/>
    <w:rsid w:val="008F78EE"/>
    <w:rsid w:val="008F7DDB"/>
    <w:rsid w:val="00900453"/>
    <w:rsid w:val="00900B79"/>
    <w:rsid w:val="0090106E"/>
    <w:rsid w:val="009017E2"/>
    <w:rsid w:val="00901D65"/>
    <w:rsid w:val="009027B2"/>
    <w:rsid w:val="0090296A"/>
    <w:rsid w:val="00902AF1"/>
    <w:rsid w:val="0090330E"/>
    <w:rsid w:val="00904B0D"/>
    <w:rsid w:val="009056F5"/>
    <w:rsid w:val="00906BEB"/>
    <w:rsid w:val="00910BDE"/>
    <w:rsid w:val="009119A3"/>
    <w:rsid w:val="00911C55"/>
    <w:rsid w:val="009130B4"/>
    <w:rsid w:val="0091420C"/>
    <w:rsid w:val="0091522C"/>
    <w:rsid w:val="009159B1"/>
    <w:rsid w:val="00915CD7"/>
    <w:rsid w:val="00916B93"/>
    <w:rsid w:val="0092191B"/>
    <w:rsid w:val="00922120"/>
    <w:rsid w:val="009239A6"/>
    <w:rsid w:val="00923DF4"/>
    <w:rsid w:val="0092446E"/>
    <w:rsid w:val="00925CA0"/>
    <w:rsid w:val="00925DAC"/>
    <w:rsid w:val="009266B9"/>
    <w:rsid w:val="00930D80"/>
    <w:rsid w:val="0093209B"/>
    <w:rsid w:val="00932EF4"/>
    <w:rsid w:val="00933CCA"/>
    <w:rsid w:val="00934B42"/>
    <w:rsid w:val="00936231"/>
    <w:rsid w:val="00936825"/>
    <w:rsid w:val="00936C52"/>
    <w:rsid w:val="00937AAF"/>
    <w:rsid w:val="009408BD"/>
    <w:rsid w:val="00940FE7"/>
    <w:rsid w:val="009422D5"/>
    <w:rsid w:val="0094242D"/>
    <w:rsid w:val="009442D4"/>
    <w:rsid w:val="00945168"/>
    <w:rsid w:val="009452BE"/>
    <w:rsid w:val="009457D7"/>
    <w:rsid w:val="00945B71"/>
    <w:rsid w:val="00945BC5"/>
    <w:rsid w:val="009460AD"/>
    <w:rsid w:val="009462C5"/>
    <w:rsid w:val="00946957"/>
    <w:rsid w:val="009475D4"/>
    <w:rsid w:val="009501F7"/>
    <w:rsid w:val="00950491"/>
    <w:rsid w:val="009507CA"/>
    <w:rsid w:val="009509A8"/>
    <w:rsid w:val="00950B88"/>
    <w:rsid w:val="00952B63"/>
    <w:rsid w:val="0095435C"/>
    <w:rsid w:val="009547CD"/>
    <w:rsid w:val="009555F6"/>
    <w:rsid w:val="0095570E"/>
    <w:rsid w:val="0095597A"/>
    <w:rsid w:val="00957784"/>
    <w:rsid w:val="00960457"/>
    <w:rsid w:val="0096204F"/>
    <w:rsid w:val="00962F28"/>
    <w:rsid w:val="00963268"/>
    <w:rsid w:val="00964A63"/>
    <w:rsid w:val="00964F94"/>
    <w:rsid w:val="00966E9E"/>
    <w:rsid w:val="009674D3"/>
    <w:rsid w:val="0096757D"/>
    <w:rsid w:val="00970650"/>
    <w:rsid w:val="00970E27"/>
    <w:rsid w:val="00970F2D"/>
    <w:rsid w:val="009715DD"/>
    <w:rsid w:val="0097174D"/>
    <w:rsid w:val="009735F1"/>
    <w:rsid w:val="00974041"/>
    <w:rsid w:val="00976198"/>
    <w:rsid w:val="0097673D"/>
    <w:rsid w:val="00976E43"/>
    <w:rsid w:val="00976EA7"/>
    <w:rsid w:val="00976F6A"/>
    <w:rsid w:val="00977291"/>
    <w:rsid w:val="00977493"/>
    <w:rsid w:val="00977607"/>
    <w:rsid w:val="0098075C"/>
    <w:rsid w:val="00980EDB"/>
    <w:rsid w:val="00981480"/>
    <w:rsid w:val="00982A0A"/>
    <w:rsid w:val="00983D13"/>
    <w:rsid w:val="00983EA9"/>
    <w:rsid w:val="0098402A"/>
    <w:rsid w:val="0098402B"/>
    <w:rsid w:val="009841C7"/>
    <w:rsid w:val="00986D63"/>
    <w:rsid w:val="00987906"/>
    <w:rsid w:val="009910D8"/>
    <w:rsid w:val="0099210D"/>
    <w:rsid w:val="009925AC"/>
    <w:rsid w:val="00993AFD"/>
    <w:rsid w:val="00994922"/>
    <w:rsid w:val="00994956"/>
    <w:rsid w:val="009956E5"/>
    <w:rsid w:val="009959BB"/>
    <w:rsid w:val="00996056"/>
    <w:rsid w:val="00996A41"/>
    <w:rsid w:val="00996B78"/>
    <w:rsid w:val="00996D75"/>
    <w:rsid w:val="009A03FC"/>
    <w:rsid w:val="009A0F54"/>
    <w:rsid w:val="009A1044"/>
    <w:rsid w:val="009A1BD4"/>
    <w:rsid w:val="009A20D3"/>
    <w:rsid w:val="009A2AB2"/>
    <w:rsid w:val="009A4CBF"/>
    <w:rsid w:val="009A4D83"/>
    <w:rsid w:val="009A576E"/>
    <w:rsid w:val="009A5C22"/>
    <w:rsid w:val="009A5C6C"/>
    <w:rsid w:val="009A6789"/>
    <w:rsid w:val="009A6ABA"/>
    <w:rsid w:val="009A709A"/>
    <w:rsid w:val="009A757D"/>
    <w:rsid w:val="009B06B4"/>
    <w:rsid w:val="009B0A3A"/>
    <w:rsid w:val="009B180C"/>
    <w:rsid w:val="009B2347"/>
    <w:rsid w:val="009B4280"/>
    <w:rsid w:val="009B50FC"/>
    <w:rsid w:val="009B5F2E"/>
    <w:rsid w:val="009B6D40"/>
    <w:rsid w:val="009B7312"/>
    <w:rsid w:val="009B77AC"/>
    <w:rsid w:val="009B7831"/>
    <w:rsid w:val="009C0238"/>
    <w:rsid w:val="009C04F7"/>
    <w:rsid w:val="009C10BD"/>
    <w:rsid w:val="009C2537"/>
    <w:rsid w:val="009C2E6A"/>
    <w:rsid w:val="009C2F09"/>
    <w:rsid w:val="009C356A"/>
    <w:rsid w:val="009C5008"/>
    <w:rsid w:val="009C6AA0"/>
    <w:rsid w:val="009C6DAC"/>
    <w:rsid w:val="009D0DC8"/>
    <w:rsid w:val="009D1A46"/>
    <w:rsid w:val="009D1AEA"/>
    <w:rsid w:val="009D1CA2"/>
    <w:rsid w:val="009D235A"/>
    <w:rsid w:val="009D35D4"/>
    <w:rsid w:val="009D3658"/>
    <w:rsid w:val="009D474B"/>
    <w:rsid w:val="009D487C"/>
    <w:rsid w:val="009D48B4"/>
    <w:rsid w:val="009D5041"/>
    <w:rsid w:val="009D5154"/>
    <w:rsid w:val="009D54AF"/>
    <w:rsid w:val="009D5CBF"/>
    <w:rsid w:val="009D5FB2"/>
    <w:rsid w:val="009D66CF"/>
    <w:rsid w:val="009D6CE1"/>
    <w:rsid w:val="009D6DDE"/>
    <w:rsid w:val="009D7AE2"/>
    <w:rsid w:val="009E0429"/>
    <w:rsid w:val="009E057E"/>
    <w:rsid w:val="009E08EE"/>
    <w:rsid w:val="009E1020"/>
    <w:rsid w:val="009E11F1"/>
    <w:rsid w:val="009E23C7"/>
    <w:rsid w:val="009E3C9B"/>
    <w:rsid w:val="009E3D20"/>
    <w:rsid w:val="009E59E0"/>
    <w:rsid w:val="009E61A8"/>
    <w:rsid w:val="009E7E9B"/>
    <w:rsid w:val="009E7F28"/>
    <w:rsid w:val="009E7FD2"/>
    <w:rsid w:val="009F0932"/>
    <w:rsid w:val="009F13E9"/>
    <w:rsid w:val="009F192B"/>
    <w:rsid w:val="009F3EA3"/>
    <w:rsid w:val="009F4954"/>
    <w:rsid w:val="009F54C5"/>
    <w:rsid w:val="009F58B5"/>
    <w:rsid w:val="009F5919"/>
    <w:rsid w:val="009F6305"/>
    <w:rsid w:val="009F6E75"/>
    <w:rsid w:val="009F704C"/>
    <w:rsid w:val="00A006BE"/>
    <w:rsid w:val="00A017D8"/>
    <w:rsid w:val="00A020E5"/>
    <w:rsid w:val="00A02E1B"/>
    <w:rsid w:val="00A03452"/>
    <w:rsid w:val="00A04DC4"/>
    <w:rsid w:val="00A04ED0"/>
    <w:rsid w:val="00A06811"/>
    <w:rsid w:val="00A07350"/>
    <w:rsid w:val="00A074C0"/>
    <w:rsid w:val="00A07CF5"/>
    <w:rsid w:val="00A11142"/>
    <w:rsid w:val="00A114AC"/>
    <w:rsid w:val="00A1288D"/>
    <w:rsid w:val="00A12BF7"/>
    <w:rsid w:val="00A13B07"/>
    <w:rsid w:val="00A14134"/>
    <w:rsid w:val="00A14C7F"/>
    <w:rsid w:val="00A15FD6"/>
    <w:rsid w:val="00A17592"/>
    <w:rsid w:val="00A179C9"/>
    <w:rsid w:val="00A17D3D"/>
    <w:rsid w:val="00A2083E"/>
    <w:rsid w:val="00A2203D"/>
    <w:rsid w:val="00A22281"/>
    <w:rsid w:val="00A22AD0"/>
    <w:rsid w:val="00A23494"/>
    <w:rsid w:val="00A234EE"/>
    <w:rsid w:val="00A24C46"/>
    <w:rsid w:val="00A267C9"/>
    <w:rsid w:val="00A26F2E"/>
    <w:rsid w:val="00A27C14"/>
    <w:rsid w:val="00A307A2"/>
    <w:rsid w:val="00A30A5A"/>
    <w:rsid w:val="00A310FE"/>
    <w:rsid w:val="00A31266"/>
    <w:rsid w:val="00A322B0"/>
    <w:rsid w:val="00A327A1"/>
    <w:rsid w:val="00A33677"/>
    <w:rsid w:val="00A33E4F"/>
    <w:rsid w:val="00A342A8"/>
    <w:rsid w:val="00A345C1"/>
    <w:rsid w:val="00A3472A"/>
    <w:rsid w:val="00A34738"/>
    <w:rsid w:val="00A353A2"/>
    <w:rsid w:val="00A35716"/>
    <w:rsid w:val="00A3580F"/>
    <w:rsid w:val="00A3596D"/>
    <w:rsid w:val="00A3644C"/>
    <w:rsid w:val="00A375D1"/>
    <w:rsid w:val="00A42254"/>
    <w:rsid w:val="00A42E27"/>
    <w:rsid w:val="00A44CE3"/>
    <w:rsid w:val="00A44F62"/>
    <w:rsid w:val="00A450A8"/>
    <w:rsid w:val="00A45444"/>
    <w:rsid w:val="00A45BBE"/>
    <w:rsid w:val="00A46153"/>
    <w:rsid w:val="00A46338"/>
    <w:rsid w:val="00A465FD"/>
    <w:rsid w:val="00A46A8E"/>
    <w:rsid w:val="00A46B1F"/>
    <w:rsid w:val="00A46D13"/>
    <w:rsid w:val="00A46DC3"/>
    <w:rsid w:val="00A510EB"/>
    <w:rsid w:val="00A523A6"/>
    <w:rsid w:val="00A5242F"/>
    <w:rsid w:val="00A52520"/>
    <w:rsid w:val="00A526C4"/>
    <w:rsid w:val="00A526D9"/>
    <w:rsid w:val="00A52CA1"/>
    <w:rsid w:val="00A53E92"/>
    <w:rsid w:val="00A541D4"/>
    <w:rsid w:val="00A54292"/>
    <w:rsid w:val="00A54BA1"/>
    <w:rsid w:val="00A54D05"/>
    <w:rsid w:val="00A5557E"/>
    <w:rsid w:val="00A560DF"/>
    <w:rsid w:val="00A56EBA"/>
    <w:rsid w:val="00A57067"/>
    <w:rsid w:val="00A5794E"/>
    <w:rsid w:val="00A57B2B"/>
    <w:rsid w:val="00A60D1B"/>
    <w:rsid w:val="00A61581"/>
    <w:rsid w:val="00A6199A"/>
    <w:rsid w:val="00A646E1"/>
    <w:rsid w:val="00A64D0C"/>
    <w:rsid w:val="00A64EBD"/>
    <w:rsid w:val="00A65D58"/>
    <w:rsid w:val="00A67894"/>
    <w:rsid w:val="00A716D1"/>
    <w:rsid w:val="00A7173D"/>
    <w:rsid w:val="00A71D7E"/>
    <w:rsid w:val="00A72024"/>
    <w:rsid w:val="00A74BCA"/>
    <w:rsid w:val="00A75F43"/>
    <w:rsid w:val="00A76010"/>
    <w:rsid w:val="00A76FDF"/>
    <w:rsid w:val="00A77872"/>
    <w:rsid w:val="00A778BB"/>
    <w:rsid w:val="00A8087D"/>
    <w:rsid w:val="00A82266"/>
    <w:rsid w:val="00A828D7"/>
    <w:rsid w:val="00A82B4F"/>
    <w:rsid w:val="00A82E78"/>
    <w:rsid w:val="00A8363E"/>
    <w:rsid w:val="00A85228"/>
    <w:rsid w:val="00A87D09"/>
    <w:rsid w:val="00A90499"/>
    <w:rsid w:val="00A90873"/>
    <w:rsid w:val="00A91799"/>
    <w:rsid w:val="00A921F9"/>
    <w:rsid w:val="00A940C8"/>
    <w:rsid w:val="00A9441F"/>
    <w:rsid w:val="00A95D88"/>
    <w:rsid w:val="00A968BF"/>
    <w:rsid w:val="00A9751F"/>
    <w:rsid w:val="00AA114B"/>
    <w:rsid w:val="00AA17FE"/>
    <w:rsid w:val="00AA210A"/>
    <w:rsid w:val="00AA2965"/>
    <w:rsid w:val="00AA3361"/>
    <w:rsid w:val="00AA39FA"/>
    <w:rsid w:val="00AA453A"/>
    <w:rsid w:val="00AA47CD"/>
    <w:rsid w:val="00AA5418"/>
    <w:rsid w:val="00AA5785"/>
    <w:rsid w:val="00AA6DF4"/>
    <w:rsid w:val="00AA7A8B"/>
    <w:rsid w:val="00AB0A34"/>
    <w:rsid w:val="00AB0E53"/>
    <w:rsid w:val="00AB1D5C"/>
    <w:rsid w:val="00AB2058"/>
    <w:rsid w:val="00AB21A1"/>
    <w:rsid w:val="00AB2456"/>
    <w:rsid w:val="00AB36BF"/>
    <w:rsid w:val="00AB5AE8"/>
    <w:rsid w:val="00AB6383"/>
    <w:rsid w:val="00AB7C3A"/>
    <w:rsid w:val="00AC205D"/>
    <w:rsid w:val="00AC2235"/>
    <w:rsid w:val="00AC2D9C"/>
    <w:rsid w:val="00AC6269"/>
    <w:rsid w:val="00AC7DD5"/>
    <w:rsid w:val="00AC7ECB"/>
    <w:rsid w:val="00AC7FAB"/>
    <w:rsid w:val="00AD032E"/>
    <w:rsid w:val="00AD1230"/>
    <w:rsid w:val="00AD171B"/>
    <w:rsid w:val="00AD2575"/>
    <w:rsid w:val="00AD2B72"/>
    <w:rsid w:val="00AD3B38"/>
    <w:rsid w:val="00AD4DCC"/>
    <w:rsid w:val="00AD58CE"/>
    <w:rsid w:val="00AD644F"/>
    <w:rsid w:val="00AD6510"/>
    <w:rsid w:val="00AD6B4B"/>
    <w:rsid w:val="00AD7177"/>
    <w:rsid w:val="00AD7292"/>
    <w:rsid w:val="00AE0330"/>
    <w:rsid w:val="00AE08A9"/>
    <w:rsid w:val="00AE08F6"/>
    <w:rsid w:val="00AE09BC"/>
    <w:rsid w:val="00AE1842"/>
    <w:rsid w:val="00AE1C95"/>
    <w:rsid w:val="00AE3336"/>
    <w:rsid w:val="00AE41B8"/>
    <w:rsid w:val="00AE5077"/>
    <w:rsid w:val="00AE51EB"/>
    <w:rsid w:val="00AE6022"/>
    <w:rsid w:val="00AE78C9"/>
    <w:rsid w:val="00AE7946"/>
    <w:rsid w:val="00AF00CB"/>
    <w:rsid w:val="00AF0CD0"/>
    <w:rsid w:val="00AF0EB0"/>
    <w:rsid w:val="00AF0ECA"/>
    <w:rsid w:val="00AF1477"/>
    <w:rsid w:val="00AF21A3"/>
    <w:rsid w:val="00AF264A"/>
    <w:rsid w:val="00AF28E4"/>
    <w:rsid w:val="00AF3227"/>
    <w:rsid w:val="00AF37A6"/>
    <w:rsid w:val="00AF3C81"/>
    <w:rsid w:val="00AF3EA1"/>
    <w:rsid w:val="00AF40D3"/>
    <w:rsid w:val="00AF4189"/>
    <w:rsid w:val="00AF45E8"/>
    <w:rsid w:val="00AF591A"/>
    <w:rsid w:val="00AF63C1"/>
    <w:rsid w:val="00AF6673"/>
    <w:rsid w:val="00AF672D"/>
    <w:rsid w:val="00AF6FD1"/>
    <w:rsid w:val="00AF7AFF"/>
    <w:rsid w:val="00B0036C"/>
    <w:rsid w:val="00B009D1"/>
    <w:rsid w:val="00B00A94"/>
    <w:rsid w:val="00B01E6A"/>
    <w:rsid w:val="00B02A29"/>
    <w:rsid w:val="00B02DD4"/>
    <w:rsid w:val="00B02E73"/>
    <w:rsid w:val="00B0394F"/>
    <w:rsid w:val="00B0446E"/>
    <w:rsid w:val="00B053CB"/>
    <w:rsid w:val="00B067E6"/>
    <w:rsid w:val="00B07EC3"/>
    <w:rsid w:val="00B11BD2"/>
    <w:rsid w:val="00B12052"/>
    <w:rsid w:val="00B12AFB"/>
    <w:rsid w:val="00B12B6D"/>
    <w:rsid w:val="00B1341B"/>
    <w:rsid w:val="00B137C0"/>
    <w:rsid w:val="00B1381E"/>
    <w:rsid w:val="00B13B38"/>
    <w:rsid w:val="00B13C22"/>
    <w:rsid w:val="00B14A5F"/>
    <w:rsid w:val="00B152CB"/>
    <w:rsid w:val="00B157C3"/>
    <w:rsid w:val="00B16ABC"/>
    <w:rsid w:val="00B20019"/>
    <w:rsid w:val="00B20610"/>
    <w:rsid w:val="00B21955"/>
    <w:rsid w:val="00B21CEC"/>
    <w:rsid w:val="00B2312C"/>
    <w:rsid w:val="00B23EEE"/>
    <w:rsid w:val="00B240EF"/>
    <w:rsid w:val="00B242C7"/>
    <w:rsid w:val="00B24543"/>
    <w:rsid w:val="00B26384"/>
    <w:rsid w:val="00B264E3"/>
    <w:rsid w:val="00B26F99"/>
    <w:rsid w:val="00B27916"/>
    <w:rsid w:val="00B31850"/>
    <w:rsid w:val="00B31A36"/>
    <w:rsid w:val="00B331CD"/>
    <w:rsid w:val="00B33235"/>
    <w:rsid w:val="00B332AF"/>
    <w:rsid w:val="00B33426"/>
    <w:rsid w:val="00B33FA9"/>
    <w:rsid w:val="00B34B13"/>
    <w:rsid w:val="00B35722"/>
    <w:rsid w:val="00B357CB"/>
    <w:rsid w:val="00B35FF5"/>
    <w:rsid w:val="00B36D68"/>
    <w:rsid w:val="00B4044B"/>
    <w:rsid w:val="00B41324"/>
    <w:rsid w:val="00B419FD"/>
    <w:rsid w:val="00B41D09"/>
    <w:rsid w:val="00B44249"/>
    <w:rsid w:val="00B4526C"/>
    <w:rsid w:val="00B45B12"/>
    <w:rsid w:val="00B461C6"/>
    <w:rsid w:val="00B46208"/>
    <w:rsid w:val="00B464FA"/>
    <w:rsid w:val="00B47A8A"/>
    <w:rsid w:val="00B47F47"/>
    <w:rsid w:val="00B502B0"/>
    <w:rsid w:val="00B5154A"/>
    <w:rsid w:val="00B51A66"/>
    <w:rsid w:val="00B51F76"/>
    <w:rsid w:val="00B53C15"/>
    <w:rsid w:val="00B53F36"/>
    <w:rsid w:val="00B54850"/>
    <w:rsid w:val="00B559CB"/>
    <w:rsid w:val="00B55EEC"/>
    <w:rsid w:val="00B5670A"/>
    <w:rsid w:val="00B56820"/>
    <w:rsid w:val="00B602F7"/>
    <w:rsid w:val="00B6082F"/>
    <w:rsid w:val="00B609B1"/>
    <w:rsid w:val="00B609ED"/>
    <w:rsid w:val="00B60E07"/>
    <w:rsid w:val="00B639EE"/>
    <w:rsid w:val="00B64138"/>
    <w:rsid w:val="00B6436E"/>
    <w:rsid w:val="00B645EA"/>
    <w:rsid w:val="00B64F53"/>
    <w:rsid w:val="00B6526E"/>
    <w:rsid w:val="00B67ACF"/>
    <w:rsid w:val="00B67B46"/>
    <w:rsid w:val="00B67D80"/>
    <w:rsid w:val="00B7025C"/>
    <w:rsid w:val="00B70AC8"/>
    <w:rsid w:val="00B718C1"/>
    <w:rsid w:val="00B71D27"/>
    <w:rsid w:val="00B72F5A"/>
    <w:rsid w:val="00B730A8"/>
    <w:rsid w:val="00B73333"/>
    <w:rsid w:val="00B73B0B"/>
    <w:rsid w:val="00B73D31"/>
    <w:rsid w:val="00B756DA"/>
    <w:rsid w:val="00B75ACD"/>
    <w:rsid w:val="00B76C17"/>
    <w:rsid w:val="00B76D68"/>
    <w:rsid w:val="00B77487"/>
    <w:rsid w:val="00B8053A"/>
    <w:rsid w:val="00B80707"/>
    <w:rsid w:val="00B80A22"/>
    <w:rsid w:val="00B80C23"/>
    <w:rsid w:val="00B81069"/>
    <w:rsid w:val="00B81AC7"/>
    <w:rsid w:val="00B8268E"/>
    <w:rsid w:val="00B826BC"/>
    <w:rsid w:val="00B82C12"/>
    <w:rsid w:val="00B843C7"/>
    <w:rsid w:val="00B8447D"/>
    <w:rsid w:val="00B84596"/>
    <w:rsid w:val="00B847F4"/>
    <w:rsid w:val="00B8503A"/>
    <w:rsid w:val="00B853C4"/>
    <w:rsid w:val="00B86B75"/>
    <w:rsid w:val="00B86F31"/>
    <w:rsid w:val="00B876DB"/>
    <w:rsid w:val="00B87B57"/>
    <w:rsid w:val="00B90487"/>
    <w:rsid w:val="00B91619"/>
    <w:rsid w:val="00B918A8"/>
    <w:rsid w:val="00B91EB3"/>
    <w:rsid w:val="00B9270C"/>
    <w:rsid w:val="00B92C82"/>
    <w:rsid w:val="00B930DF"/>
    <w:rsid w:val="00B9362B"/>
    <w:rsid w:val="00B94618"/>
    <w:rsid w:val="00B9531E"/>
    <w:rsid w:val="00B959A6"/>
    <w:rsid w:val="00B96198"/>
    <w:rsid w:val="00B96FA0"/>
    <w:rsid w:val="00B96FB8"/>
    <w:rsid w:val="00B9721C"/>
    <w:rsid w:val="00B97570"/>
    <w:rsid w:val="00BA0095"/>
    <w:rsid w:val="00BA0C44"/>
    <w:rsid w:val="00BA18A0"/>
    <w:rsid w:val="00BA1DE4"/>
    <w:rsid w:val="00BA2B8D"/>
    <w:rsid w:val="00BA3932"/>
    <w:rsid w:val="00BA47F0"/>
    <w:rsid w:val="00BA4AE5"/>
    <w:rsid w:val="00BA4AF3"/>
    <w:rsid w:val="00BA567B"/>
    <w:rsid w:val="00BA5D8B"/>
    <w:rsid w:val="00BA7A39"/>
    <w:rsid w:val="00BB096B"/>
    <w:rsid w:val="00BB0E66"/>
    <w:rsid w:val="00BB18A4"/>
    <w:rsid w:val="00BB1BCE"/>
    <w:rsid w:val="00BB20AD"/>
    <w:rsid w:val="00BB2557"/>
    <w:rsid w:val="00BB2964"/>
    <w:rsid w:val="00BB2E13"/>
    <w:rsid w:val="00BB3048"/>
    <w:rsid w:val="00BB3071"/>
    <w:rsid w:val="00BB3353"/>
    <w:rsid w:val="00BB3791"/>
    <w:rsid w:val="00BB55C1"/>
    <w:rsid w:val="00BB5EDE"/>
    <w:rsid w:val="00BB6BE6"/>
    <w:rsid w:val="00BB7BC5"/>
    <w:rsid w:val="00BC0FCF"/>
    <w:rsid w:val="00BC1B90"/>
    <w:rsid w:val="00BC24BC"/>
    <w:rsid w:val="00BC2908"/>
    <w:rsid w:val="00BC31F1"/>
    <w:rsid w:val="00BC333A"/>
    <w:rsid w:val="00BC3391"/>
    <w:rsid w:val="00BC3667"/>
    <w:rsid w:val="00BC37CB"/>
    <w:rsid w:val="00BC38A4"/>
    <w:rsid w:val="00BC456F"/>
    <w:rsid w:val="00BC48D5"/>
    <w:rsid w:val="00BC50FA"/>
    <w:rsid w:val="00BC5725"/>
    <w:rsid w:val="00BC5EDB"/>
    <w:rsid w:val="00BC6AE7"/>
    <w:rsid w:val="00BC744A"/>
    <w:rsid w:val="00BD24C1"/>
    <w:rsid w:val="00BD4895"/>
    <w:rsid w:val="00BD4B4C"/>
    <w:rsid w:val="00BD5C4F"/>
    <w:rsid w:val="00BD5EE2"/>
    <w:rsid w:val="00BD6E12"/>
    <w:rsid w:val="00BD72CC"/>
    <w:rsid w:val="00BD7A0C"/>
    <w:rsid w:val="00BD7BCB"/>
    <w:rsid w:val="00BE042E"/>
    <w:rsid w:val="00BE0660"/>
    <w:rsid w:val="00BE18DF"/>
    <w:rsid w:val="00BE1C44"/>
    <w:rsid w:val="00BE2326"/>
    <w:rsid w:val="00BE374A"/>
    <w:rsid w:val="00BE3A41"/>
    <w:rsid w:val="00BE42FC"/>
    <w:rsid w:val="00BE5001"/>
    <w:rsid w:val="00BE7107"/>
    <w:rsid w:val="00BE72F2"/>
    <w:rsid w:val="00BE79AD"/>
    <w:rsid w:val="00BE7B31"/>
    <w:rsid w:val="00BE7B44"/>
    <w:rsid w:val="00BE7C13"/>
    <w:rsid w:val="00BE7DDB"/>
    <w:rsid w:val="00BF0B3F"/>
    <w:rsid w:val="00BF297C"/>
    <w:rsid w:val="00BF37B7"/>
    <w:rsid w:val="00BF4E98"/>
    <w:rsid w:val="00BF546E"/>
    <w:rsid w:val="00BF54E8"/>
    <w:rsid w:val="00BF6C46"/>
    <w:rsid w:val="00BF7EB4"/>
    <w:rsid w:val="00C0105A"/>
    <w:rsid w:val="00C01215"/>
    <w:rsid w:val="00C02BF1"/>
    <w:rsid w:val="00C036E3"/>
    <w:rsid w:val="00C03AFA"/>
    <w:rsid w:val="00C04B22"/>
    <w:rsid w:val="00C04D03"/>
    <w:rsid w:val="00C064A9"/>
    <w:rsid w:val="00C06955"/>
    <w:rsid w:val="00C06E13"/>
    <w:rsid w:val="00C072BC"/>
    <w:rsid w:val="00C07B05"/>
    <w:rsid w:val="00C10BD2"/>
    <w:rsid w:val="00C116AB"/>
    <w:rsid w:val="00C11B97"/>
    <w:rsid w:val="00C1212C"/>
    <w:rsid w:val="00C12BA4"/>
    <w:rsid w:val="00C1416C"/>
    <w:rsid w:val="00C1730E"/>
    <w:rsid w:val="00C225E6"/>
    <w:rsid w:val="00C250BB"/>
    <w:rsid w:val="00C26903"/>
    <w:rsid w:val="00C2694A"/>
    <w:rsid w:val="00C2751C"/>
    <w:rsid w:val="00C27DBB"/>
    <w:rsid w:val="00C3047A"/>
    <w:rsid w:val="00C30EFE"/>
    <w:rsid w:val="00C32B1C"/>
    <w:rsid w:val="00C32B62"/>
    <w:rsid w:val="00C35419"/>
    <w:rsid w:val="00C360F0"/>
    <w:rsid w:val="00C36279"/>
    <w:rsid w:val="00C3715D"/>
    <w:rsid w:val="00C4040C"/>
    <w:rsid w:val="00C40608"/>
    <w:rsid w:val="00C408A8"/>
    <w:rsid w:val="00C415F8"/>
    <w:rsid w:val="00C41696"/>
    <w:rsid w:val="00C41A61"/>
    <w:rsid w:val="00C4272D"/>
    <w:rsid w:val="00C42B96"/>
    <w:rsid w:val="00C4302C"/>
    <w:rsid w:val="00C43F93"/>
    <w:rsid w:val="00C44637"/>
    <w:rsid w:val="00C44DFF"/>
    <w:rsid w:val="00C45000"/>
    <w:rsid w:val="00C45889"/>
    <w:rsid w:val="00C47FAF"/>
    <w:rsid w:val="00C50CE8"/>
    <w:rsid w:val="00C5195B"/>
    <w:rsid w:val="00C51AA0"/>
    <w:rsid w:val="00C5204E"/>
    <w:rsid w:val="00C52934"/>
    <w:rsid w:val="00C52ADA"/>
    <w:rsid w:val="00C533EE"/>
    <w:rsid w:val="00C53D2C"/>
    <w:rsid w:val="00C5501E"/>
    <w:rsid w:val="00C55DCA"/>
    <w:rsid w:val="00C5660B"/>
    <w:rsid w:val="00C57A2E"/>
    <w:rsid w:val="00C57F5D"/>
    <w:rsid w:val="00C60C70"/>
    <w:rsid w:val="00C6184E"/>
    <w:rsid w:val="00C62519"/>
    <w:rsid w:val="00C6280B"/>
    <w:rsid w:val="00C630F3"/>
    <w:rsid w:val="00C63BD9"/>
    <w:rsid w:val="00C64450"/>
    <w:rsid w:val="00C64E7E"/>
    <w:rsid w:val="00C65593"/>
    <w:rsid w:val="00C67A1C"/>
    <w:rsid w:val="00C70A73"/>
    <w:rsid w:val="00C7143F"/>
    <w:rsid w:val="00C71A0C"/>
    <w:rsid w:val="00C72741"/>
    <w:rsid w:val="00C72C4D"/>
    <w:rsid w:val="00C72E7A"/>
    <w:rsid w:val="00C730EC"/>
    <w:rsid w:val="00C744F8"/>
    <w:rsid w:val="00C75415"/>
    <w:rsid w:val="00C75D02"/>
    <w:rsid w:val="00C76435"/>
    <w:rsid w:val="00C767AE"/>
    <w:rsid w:val="00C77223"/>
    <w:rsid w:val="00C77445"/>
    <w:rsid w:val="00C77A61"/>
    <w:rsid w:val="00C80AE1"/>
    <w:rsid w:val="00C8158D"/>
    <w:rsid w:val="00C81CF0"/>
    <w:rsid w:val="00C82125"/>
    <w:rsid w:val="00C82EE4"/>
    <w:rsid w:val="00C82F98"/>
    <w:rsid w:val="00C8341E"/>
    <w:rsid w:val="00C83A82"/>
    <w:rsid w:val="00C85460"/>
    <w:rsid w:val="00C85C59"/>
    <w:rsid w:val="00C8707C"/>
    <w:rsid w:val="00C87747"/>
    <w:rsid w:val="00C877D5"/>
    <w:rsid w:val="00C9106C"/>
    <w:rsid w:val="00C92104"/>
    <w:rsid w:val="00C935E4"/>
    <w:rsid w:val="00C93FEA"/>
    <w:rsid w:val="00C945C4"/>
    <w:rsid w:val="00C95B1E"/>
    <w:rsid w:val="00C964C6"/>
    <w:rsid w:val="00C96F57"/>
    <w:rsid w:val="00C971F1"/>
    <w:rsid w:val="00C97C12"/>
    <w:rsid w:val="00CA03AC"/>
    <w:rsid w:val="00CA0D48"/>
    <w:rsid w:val="00CA0ECD"/>
    <w:rsid w:val="00CA131C"/>
    <w:rsid w:val="00CA2A08"/>
    <w:rsid w:val="00CA3AC0"/>
    <w:rsid w:val="00CA485B"/>
    <w:rsid w:val="00CA4E84"/>
    <w:rsid w:val="00CA5BE6"/>
    <w:rsid w:val="00CA688A"/>
    <w:rsid w:val="00CA7709"/>
    <w:rsid w:val="00CB0067"/>
    <w:rsid w:val="00CB06B0"/>
    <w:rsid w:val="00CB28CA"/>
    <w:rsid w:val="00CB2EE3"/>
    <w:rsid w:val="00CB3833"/>
    <w:rsid w:val="00CB6BFA"/>
    <w:rsid w:val="00CB7719"/>
    <w:rsid w:val="00CC00F5"/>
    <w:rsid w:val="00CC0323"/>
    <w:rsid w:val="00CC1042"/>
    <w:rsid w:val="00CC1818"/>
    <w:rsid w:val="00CC1848"/>
    <w:rsid w:val="00CC1A42"/>
    <w:rsid w:val="00CC2706"/>
    <w:rsid w:val="00CC3BF9"/>
    <w:rsid w:val="00CC4049"/>
    <w:rsid w:val="00CC43D5"/>
    <w:rsid w:val="00CC44C1"/>
    <w:rsid w:val="00CC4536"/>
    <w:rsid w:val="00CC531D"/>
    <w:rsid w:val="00CC5DCB"/>
    <w:rsid w:val="00CC6B4A"/>
    <w:rsid w:val="00CD04A6"/>
    <w:rsid w:val="00CD22B0"/>
    <w:rsid w:val="00CD262A"/>
    <w:rsid w:val="00CD3B73"/>
    <w:rsid w:val="00CD4818"/>
    <w:rsid w:val="00CD50FE"/>
    <w:rsid w:val="00CD5330"/>
    <w:rsid w:val="00CD615B"/>
    <w:rsid w:val="00CD6D66"/>
    <w:rsid w:val="00CD7A9B"/>
    <w:rsid w:val="00CD7E3E"/>
    <w:rsid w:val="00CE0489"/>
    <w:rsid w:val="00CE0B41"/>
    <w:rsid w:val="00CE0E4F"/>
    <w:rsid w:val="00CE1746"/>
    <w:rsid w:val="00CE1A8E"/>
    <w:rsid w:val="00CE1B25"/>
    <w:rsid w:val="00CE206A"/>
    <w:rsid w:val="00CE21A6"/>
    <w:rsid w:val="00CE335D"/>
    <w:rsid w:val="00CE6847"/>
    <w:rsid w:val="00CE6B86"/>
    <w:rsid w:val="00CF00DE"/>
    <w:rsid w:val="00CF1356"/>
    <w:rsid w:val="00CF189F"/>
    <w:rsid w:val="00CF1908"/>
    <w:rsid w:val="00CF20C9"/>
    <w:rsid w:val="00CF30BA"/>
    <w:rsid w:val="00CF3E76"/>
    <w:rsid w:val="00CF4218"/>
    <w:rsid w:val="00CF50C3"/>
    <w:rsid w:val="00CF5615"/>
    <w:rsid w:val="00CF68A0"/>
    <w:rsid w:val="00CF6AF3"/>
    <w:rsid w:val="00CF6CA1"/>
    <w:rsid w:val="00D000A4"/>
    <w:rsid w:val="00D0020C"/>
    <w:rsid w:val="00D00BA8"/>
    <w:rsid w:val="00D01E0F"/>
    <w:rsid w:val="00D02C8F"/>
    <w:rsid w:val="00D031FB"/>
    <w:rsid w:val="00D03561"/>
    <w:rsid w:val="00D035E6"/>
    <w:rsid w:val="00D037B7"/>
    <w:rsid w:val="00D04776"/>
    <w:rsid w:val="00D05776"/>
    <w:rsid w:val="00D05C06"/>
    <w:rsid w:val="00D063E4"/>
    <w:rsid w:val="00D06B5A"/>
    <w:rsid w:val="00D06BF4"/>
    <w:rsid w:val="00D06C06"/>
    <w:rsid w:val="00D0764A"/>
    <w:rsid w:val="00D10637"/>
    <w:rsid w:val="00D1137D"/>
    <w:rsid w:val="00D117B3"/>
    <w:rsid w:val="00D11ACC"/>
    <w:rsid w:val="00D12783"/>
    <w:rsid w:val="00D12E55"/>
    <w:rsid w:val="00D13862"/>
    <w:rsid w:val="00D13B49"/>
    <w:rsid w:val="00D13C71"/>
    <w:rsid w:val="00D14040"/>
    <w:rsid w:val="00D14828"/>
    <w:rsid w:val="00D1503D"/>
    <w:rsid w:val="00D15B52"/>
    <w:rsid w:val="00D15E8C"/>
    <w:rsid w:val="00D164D4"/>
    <w:rsid w:val="00D16AFF"/>
    <w:rsid w:val="00D16E1A"/>
    <w:rsid w:val="00D173C1"/>
    <w:rsid w:val="00D1761D"/>
    <w:rsid w:val="00D17FCB"/>
    <w:rsid w:val="00D2022F"/>
    <w:rsid w:val="00D216E9"/>
    <w:rsid w:val="00D22196"/>
    <w:rsid w:val="00D22285"/>
    <w:rsid w:val="00D22297"/>
    <w:rsid w:val="00D23656"/>
    <w:rsid w:val="00D23BC6"/>
    <w:rsid w:val="00D2425F"/>
    <w:rsid w:val="00D24377"/>
    <w:rsid w:val="00D26D35"/>
    <w:rsid w:val="00D2755D"/>
    <w:rsid w:val="00D279AB"/>
    <w:rsid w:val="00D27DCB"/>
    <w:rsid w:val="00D305E0"/>
    <w:rsid w:val="00D3162A"/>
    <w:rsid w:val="00D31E68"/>
    <w:rsid w:val="00D34024"/>
    <w:rsid w:val="00D345A9"/>
    <w:rsid w:val="00D34705"/>
    <w:rsid w:val="00D35C08"/>
    <w:rsid w:val="00D366C1"/>
    <w:rsid w:val="00D371B8"/>
    <w:rsid w:val="00D40106"/>
    <w:rsid w:val="00D40708"/>
    <w:rsid w:val="00D4084A"/>
    <w:rsid w:val="00D43E24"/>
    <w:rsid w:val="00D43F6A"/>
    <w:rsid w:val="00D44AB5"/>
    <w:rsid w:val="00D44B1E"/>
    <w:rsid w:val="00D44BB7"/>
    <w:rsid w:val="00D44C27"/>
    <w:rsid w:val="00D44DFC"/>
    <w:rsid w:val="00D46CCB"/>
    <w:rsid w:val="00D50517"/>
    <w:rsid w:val="00D51B17"/>
    <w:rsid w:val="00D51E2F"/>
    <w:rsid w:val="00D51F0E"/>
    <w:rsid w:val="00D51F88"/>
    <w:rsid w:val="00D52ADA"/>
    <w:rsid w:val="00D52E5F"/>
    <w:rsid w:val="00D52FCA"/>
    <w:rsid w:val="00D530A1"/>
    <w:rsid w:val="00D5350F"/>
    <w:rsid w:val="00D55EED"/>
    <w:rsid w:val="00D561C5"/>
    <w:rsid w:val="00D56403"/>
    <w:rsid w:val="00D566C2"/>
    <w:rsid w:val="00D6081B"/>
    <w:rsid w:val="00D609FB"/>
    <w:rsid w:val="00D6118F"/>
    <w:rsid w:val="00D61D4D"/>
    <w:rsid w:val="00D62239"/>
    <w:rsid w:val="00D637B0"/>
    <w:rsid w:val="00D639A3"/>
    <w:rsid w:val="00D6426B"/>
    <w:rsid w:val="00D65AB1"/>
    <w:rsid w:val="00D65C79"/>
    <w:rsid w:val="00D67CEB"/>
    <w:rsid w:val="00D70233"/>
    <w:rsid w:val="00D70A12"/>
    <w:rsid w:val="00D7233A"/>
    <w:rsid w:val="00D72F4D"/>
    <w:rsid w:val="00D72FFC"/>
    <w:rsid w:val="00D735C3"/>
    <w:rsid w:val="00D7395A"/>
    <w:rsid w:val="00D73C52"/>
    <w:rsid w:val="00D76A9A"/>
    <w:rsid w:val="00D77DB7"/>
    <w:rsid w:val="00D81A2B"/>
    <w:rsid w:val="00D828AF"/>
    <w:rsid w:val="00D839BD"/>
    <w:rsid w:val="00D84959"/>
    <w:rsid w:val="00D84CB6"/>
    <w:rsid w:val="00D854A0"/>
    <w:rsid w:val="00D87329"/>
    <w:rsid w:val="00D874F0"/>
    <w:rsid w:val="00D87EED"/>
    <w:rsid w:val="00D90939"/>
    <w:rsid w:val="00D91165"/>
    <w:rsid w:val="00D9131F"/>
    <w:rsid w:val="00D91644"/>
    <w:rsid w:val="00D9172D"/>
    <w:rsid w:val="00D924AA"/>
    <w:rsid w:val="00D9295F"/>
    <w:rsid w:val="00D946BB"/>
    <w:rsid w:val="00D96013"/>
    <w:rsid w:val="00D96D52"/>
    <w:rsid w:val="00D96E40"/>
    <w:rsid w:val="00D96E88"/>
    <w:rsid w:val="00DA0F54"/>
    <w:rsid w:val="00DA4B03"/>
    <w:rsid w:val="00DA4CA8"/>
    <w:rsid w:val="00DA5533"/>
    <w:rsid w:val="00DA5915"/>
    <w:rsid w:val="00DA5F4B"/>
    <w:rsid w:val="00DA6161"/>
    <w:rsid w:val="00DA63E6"/>
    <w:rsid w:val="00DA6C74"/>
    <w:rsid w:val="00DA7104"/>
    <w:rsid w:val="00DA765C"/>
    <w:rsid w:val="00DA79C7"/>
    <w:rsid w:val="00DB163B"/>
    <w:rsid w:val="00DB23A2"/>
    <w:rsid w:val="00DB342B"/>
    <w:rsid w:val="00DB3FDF"/>
    <w:rsid w:val="00DB42AF"/>
    <w:rsid w:val="00DB4E25"/>
    <w:rsid w:val="00DB5CEC"/>
    <w:rsid w:val="00DB7E22"/>
    <w:rsid w:val="00DC051C"/>
    <w:rsid w:val="00DC05ED"/>
    <w:rsid w:val="00DC0A04"/>
    <w:rsid w:val="00DC0AFC"/>
    <w:rsid w:val="00DC1038"/>
    <w:rsid w:val="00DC17CC"/>
    <w:rsid w:val="00DC181B"/>
    <w:rsid w:val="00DC3399"/>
    <w:rsid w:val="00DC37FC"/>
    <w:rsid w:val="00DC385A"/>
    <w:rsid w:val="00DC49DA"/>
    <w:rsid w:val="00DC4B68"/>
    <w:rsid w:val="00DC51DE"/>
    <w:rsid w:val="00DC5DF8"/>
    <w:rsid w:val="00DC6978"/>
    <w:rsid w:val="00DC7F3D"/>
    <w:rsid w:val="00DD0559"/>
    <w:rsid w:val="00DD0DE4"/>
    <w:rsid w:val="00DD12B0"/>
    <w:rsid w:val="00DD2348"/>
    <w:rsid w:val="00DD3BC6"/>
    <w:rsid w:val="00DD3BEB"/>
    <w:rsid w:val="00DD467D"/>
    <w:rsid w:val="00DD4716"/>
    <w:rsid w:val="00DD50DA"/>
    <w:rsid w:val="00DD57EC"/>
    <w:rsid w:val="00DD5CB7"/>
    <w:rsid w:val="00DD6143"/>
    <w:rsid w:val="00DD62FC"/>
    <w:rsid w:val="00DD67B3"/>
    <w:rsid w:val="00DD7030"/>
    <w:rsid w:val="00DD70C7"/>
    <w:rsid w:val="00DD7307"/>
    <w:rsid w:val="00DD7CD4"/>
    <w:rsid w:val="00DE02E0"/>
    <w:rsid w:val="00DE0FC4"/>
    <w:rsid w:val="00DE18FD"/>
    <w:rsid w:val="00DE1BF5"/>
    <w:rsid w:val="00DE2066"/>
    <w:rsid w:val="00DE2D6F"/>
    <w:rsid w:val="00DE3D40"/>
    <w:rsid w:val="00DE487A"/>
    <w:rsid w:val="00DE4AEB"/>
    <w:rsid w:val="00DE4BFD"/>
    <w:rsid w:val="00DE5F9A"/>
    <w:rsid w:val="00DE5FA7"/>
    <w:rsid w:val="00DE6697"/>
    <w:rsid w:val="00DE66AC"/>
    <w:rsid w:val="00DE68BB"/>
    <w:rsid w:val="00DE6B05"/>
    <w:rsid w:val="00DE7007"/>
    <w:rsid w:val="00DF0226"/>
    <w:rsid w:val="00DF0EE1"/>
    <w:rsid w:val="00DF1F56"/>
    <w:rsid w:val="00DF2439"/>
    <w:rsid w:val="00DF36D0"/>
    <w:rsid w:val="00DF3A9D"/>
    <w:rsid w:val="00DF3B47"/>
    <w:rsid w:val="00DF3C94"/>
    <w:rsid w:val="00DF4D79"/>
    <w:rsid w:val="00DF5A70"/>
    <w:rsid w:val="00DF6007"/>
    <w:rsid w:val="00DF742C"/>
    <w:rsid w:val="00DF7C36"/>
    <w:rsid w:val="00E00A67"/>
    <w:rsid w:val="00E0137F"/>
    <w:rsid w:val="00E013BB"/>
    <w:rsid w:val="00E0149B"/>
    <w:rsid w:val="00E01AE6"/>
    <w:rsid w:val="00E027D7"/>
    <w:rsid w:val="00E0320F"/>
    <w:rsid w:val="00E04EBE"/>
    <w:rsid w:val="00E07D97"/>
    <w:rsid w:val="00E07FF6"/>
    <w:rsid w:val="00E103F8"/>
    <w:rsid w:val="00E10680"/>
    <w:rsid w:val="00E10AA8"/>
    <w:rsid w:val="00E1186D"/>
    <w:rsid w:val="00E125D6"/>
    <w:rsid w:val="00E129BB"/>
    <w:rsid w:val="00E12A1A"/>
    <w:rsid w:val="00E1361B"/>
    <w:rsid w:val="00E13F42"/>
    <w:rsid w:val="00E14302"/>
    <w:rsid w:val="00E16405"/>
    <w:rsid w:val="00E170D5"/>
    <w:rsid w:val="00E17461"/>
    <w:rsid w:val="00E178D8"/>
    <w:rsid w:val="00E17D52"/>
    <w:rsid w:val="00E20A49"/>
    <w:rsid w:val="00E2127D"/>
    <w:rsid w:val="00E2160D"/>
    <w:rsid w:val="00E2196B"/>
    <w:rsid w:val="00E21AF4"/>
    <w:rsid w:val="00E22781"/>
    <w:rsid w:val="00E229B9"/>
    <w:rsid w:val="00E25251"/>
    <w:rsid w:val="00E268A5"/>
    <w:rsid w:val="00E26931"/>
    <w:rsid w:val="00E26DDB"/>
    <w:rsid w:val="00E303A4"/>
    <w:rsid w:val="00E30530"/>
    <w:rsid w:val="00E3070E"/>
    <w:rsid w:val="00E315A3"/>
    <w:rsid w:val="00E327A3"/>
    <w:rsid w:val="00E32EE7"/>
    <w:rsid w:val="00E34369"/>
    <w:rsid w:val="00E34B52"/>
    <w:rsid w:val="00E3522B"/>
    <w:rsid w:val="00E36422"/>
    <w:rsid w:val="00E37201"/>
    <w:rsid w:val="00E37A4F"/>
    <w:rsid w:val="00E40561"/>
    <w:rsid w:val="00E40A5A"/>
    <w:rsid w:val="00E41E17"/>
    <w:rsid w:val="00E41E45"/>
    <w:rsid w:val="00E423C5"/>
    <w:rsid w:val="00E42645"/>
    <w:rsid w:val="00E42B45"/>
    <w:rsid w:val="00E43CF5"/>
    <w:rsid w:val="00E44024"/>
    <w:rsid w:val="00E454E4"/>
    <w:rsid w:val="00E4577F"/>
    <w:rsid w:val="00E4661A"/>
    <w:rsid w:val="00E46771"/>
    <w:rsid w:val="00E469BA"/>
    <w:rsid w:val="00E46B3C"/>
    <w:rsid w:val="00E50D5D"/>
    <w:rsid w:val="00E510E6"/>
    <w:rsid w:val="00E51AA6"/>
    <w:rsid w:val="00E51DB7"/>
    <w:rsid w:val="00E5206D"/>
    <w:rsid w:val="00E525BC"/>
    <w:rsid w:val="00E528EA"/>
    <w:rsid w:val="00E52A66"/>
    <w:rsid w:val="00E545A9"/>
    <w:rsid w:val="00E54DEB"/>
    <w:rsid w:val="00E55419"/>
    <w:rsid w:val="00E55440"/>
    <w:rsid w:val="00E561E1"/>
    <w:rsid w:val="00E566FE"/>
    <w:rsid w:val="00E56794"/>
    <w:rsid w:val="00E570EB"/>
    <w:rsid w:val="00E57967"/>
    <w:rsid w:val="00E6005D"/>
    <w:rsid w:val="00E604FC"/>
    <w:rsid w:val="00E63877"/>
    <w:rsid w:val="00E63AAF"/>
    <w:rsid w:val="00E640C8"/>
    <w:rsid w:val="00E64B6B"/>
    <w:rsid w:val="00E650BB"/>
    <w:rsid w:val="00E664E2"/>
    <w:rsid w:val="00E66E17"/>
    <w:rsid w:val="00E67167"/>
    <w:rsid w:val="00E67451"/>
    <w:rsid w:val="00E677A2"/>
    <w:rsid w:val="00E67A7C"/>
    <w:rsid w:val="00E7085B"/>
    <w:rsid w:val="00E71232"/>
    <w:rsid w:val="00E715C9"/>
    <w:rsid w:val="00E7325B"/>
    <w:rsid w:val="00E73589"/>
    <w:rsid w:val="00E73841"/>
    <w:rsid w:val="00E73884"/>
    <w:rsid w:val="00E7429C"/>
    <w:rsid w:val="00E74506"/>
    <w:rsid w:val="00E751A7"/>
    <w:rsid w:val="00E75D74"/>
    <w:rsid w:val="00E806A3"/>
    <w:rsid w:val="00E81245"/>
    <w:rsid w:val="00E81BC9"/>
    <w:rsid w:val="00E81D5D"/>
    <w:rsid w:val="00E823D6"/>
    <w:rsid w:val="00E82A9E"/>
    <w:rsid w:val="00E82F93"/>
    <w:rsid w:val="00E837D3"/>
    <w:rsid w:val="00E83B6C"/>
    <w:rsid w:val="00E83DF8"/>
    <w:rsid w:val="00E842A2"/>
    <w:rsid w:val="00E8744B"/>
    <w:rsid w:val="00E87AB4"/>
    <w:rsid w:val="00E87C83"/>
    <w:rsid w:val="00E908E7"/>
    <w:rsid w:val="00E90FAD"/>
    <w:rsid w:val="00E91498"/>
    <w:rsid w:val="00E929F6"/>
    <w:rsid w:val="00E93541"/>
    <w:rsid w:val="00E959AF"/>
    <w:rsid w:val="00E95E7D"/>
    <w:rsid w:val="00E96D62"/>
    <w:rsid w:val="00E97186"/>
    <w:rsid w:val="00E97920"/>
    <w:rsid w:val="00E97CBA"/>
    <w:rsid w:val="00EA1251"/>
    <w:rsid w:val="00EA15AD"/>
    <w:rsid w:val="00EA214A"/>
    <w:rsid w:val="00EA268B"/>
    <w:rsid w:val="00EA4453"/>
    <w:rsid w:val="00EA475C"/>
    <w:rsid w:val="00EA50C0"/>
    <w:rsid w:val="00EA53AC"/>
    <w:rsid w:val="00EA590C"/>
    <w:rsid w:val="00EA59B7"/>
    <w:rsid w:val="00EA69C8"/>
    <w:rsid w:val="00EA7B54"/>
    <w:rsid w:val="00EB0AC0"/>
    <w:rsid w:val="00EB0CE5"/>
    <w:rsid w:val="00EB1A1E"/>
    <w:rsid w:val="00EB21F0"/>
    <w:rsid w:val="00EB2BE1"/>
    <w:rsid w:val="00EB34AB"/>
    <w:rsid w:val="00EB3F26"/>
    <w:rsid w:val="00EB4C5B"/>
    <w:rsid w:val="00EB4EA5"/>
    <w:rsid w:val="00EB52C0"/>
    <w:rsid w:val="00EB7331"/>
    <w:rsid w:val="00EB755A"/>
    <w:rsid w:val="00EC0576"/>
    <w:rsid w:val="00EC1A8F"/>
    <w:rsid w:val="00EC29F2"/>
    <w:rsid w:val="00EC2AB9"/>
    <w:rsid w:val="00EC2B93"/>
    <w:rsid w:val="00EC2EF3"/>
    <w:rsid w:val="00EC3B98"/>
    <w:rsid w:val="00EC3BCE"/>
    <w:rsid w:val="00EC400E"/>
    <w:rsid w:val="00EC4132"/>
    <w:rsid w:val="00EC572B"/>
    <w:rsid w:val="00EC5B19"/>
    <w:rsid w:val="00EC77A9"/>
    <w:rsid w:val="00ED0427"/>
    <w:rsid w:val="00ED24C6"/>
    <w:rsid w:val="00ED3257"/>
    <w:rsid w:val="00ED4D30"/>
    <w:rsid w:val="00ED655C"/>
    <w:rsid w:val="00ED672F"/>
    <w:rsid w:val="00ED7F50"/>
    <w:rsid w:val="00EE0D7A"/>
    <w:rsid w:val="00EE1196"/>
    <w:rsid w:val="00EE125C"/>
    <w:rsid w:val="00EE18BF"/>
    <w:rsid w:val="00EE2E2F"/>
    <w:rsid w:val="00EE33AA"/>
    <w:rsid w:val="00EE4268"/>
    <w:rsid w:val="00EE45CF"/>
    <w:rsid w:val="00EE4DE7"/>
    <w:rsid w:val="00EE62EB"/>
    <w:rsid w:val="00EE7838"/>
    <w:rsid w:val="00EE7F70"/>
    <w:rsid w:val="00EF067C"/>
    <w:rsid w:val="00EF0EC1"/>
    <w:rsid w:val="00EF18FE"/>
    <w:rsid w:val="00EF33BB"/>
    <w:rsid w:val="00EF3B9C"/>
    <w:rsid w:val="00EF41C1"/>
    <w:rsid w:val="00EF443E"/>
    <w:rsid w:val="00EF53EC"/>
    <w:rsid w:val="00EF640B"/>
    <w:rsid w:val="00EF6737"/>
    <w:rsid w:val="00EF6C4B"/>
    <w:rsid w:val="00F0101F"/>
    <w:rsid w:val="00F0138B"/>
    <w:rsid w:val="00F0148A"/>
    <w:rsid w:val="00F01ADD"/>
    <w:rsid w:val="00F0240E"/>
    <w:rsid w:val="00F0279E"/>
    <w:rsid w:val="00F0372B"/>
    <w:rsid w:val="00F03FC3"/>
    <w:rsid w:val="00F04C64"/>
    <w:rsid w:val="00F04CFE"/>
    <w:rsid w:val="00F055C7"/>
    <w:rsid w:val="00F057A2"/>
    <w:rsid w:val="00F06213"/>
    <w:rsid w:val="00F0667D"/>
    <w:rsid w:val="00F067B5"/>
    <w:rsid w:val="00F06A8D"/>
    <w:rsid w:val="00F06E93"/>
    <w:rsid w:val="00F07BEC"/>
    <w:rsid w:val="00F10AF1"/>
    <w:rsid w:val="00F11B78"/>
    <w:rsid w:val="00F1205D"/>
    <w:rsid w:val="00F12350"/>
    <w:rsid w:val="00F12728"/>
    <w:rsid w:val="00F13219"/>
    <w:rsid w:val="00F1488F"/>
    <w:rsid w:val="00F14EA3"/>
    <w:rsid w:val="00F159C2"/>
    <w:rsid w:val="00F16319"/>
    <w:rsid w:val="00F1656B"/>
    <w:rsid w:val="00F16FBC"/>
    <w:rsid w:val="00F177A5"/>
    <w:rsid w:val="00F1788A"/>
    <w:rsid w:val="00F17DEF"/>
    <w:rsid w:val="00F20055"/>
    <w:rsid w:val="00F20395"/>
    <w:rsid w:val="00F20A95"/>
    <w:rsid w:val="00F216EA"/>
    <w:rsid w:val="00F22BD5"/>
    <w:rsid w:val="00F23C2C"/>
    <w:rsid w:val="00F23EA1"/>
    <w:rsid w:val="00F24158"/>
    <w:rsid w:val="00F2441A"/>
    <w:rsid w:val="00F24CDB"/>
    <w:rsid w:val="00F26338"/>
    <w:rsid w:val="00F26EFD"/>
    <w:rsid w:val="00F27281"/>
    <w:rsid w:val="00F275CA"/>
    <w:rsid w:val="00F31256"/>
    <w:rsid w:val="00F312CC"/>
    <w:rsid w:val="00F31699"/>
    <w:rsid w:val="00F31AF3"/>
    <w:rsid w:val="00F3256A"/>
    <w:rsid w:val="00F32D40"/>
    <w:rsid w:val="00F330A8"/>
    <w:rsid w:val="00F33CEC"/>
    <w:rsid w:val="00F34083"/>
    <w:rsid w:val="00F34371"/>
    <w:rsid w:val="00F3440B"/>
    <w:rsid w:val="00F34781"/>
    <w:rsid w:val="00F358D2"/>
    <w:rsid w:val="00F35C29"/>
    <w:rsid w:val="00F3637F"/>
    <w:rsid w:val="00F37596"/>
    <w:rsid w:val="00F42EEB"/>
    <w:rsid w:val="00F44B54"/>
    <w:rsid w:val="00F45440"/>
    <w:rsid w:val="00F4584C"/>
    <w:rsid w:val="00F46202"/>
    <w:rsid w:val="00F4622D"/>
    <w:rsid w:val="00F475A1"/>
    <w:rsid w:val="00F47774"/>
    <w:rsid w:val="00F478C4"/>
    <w:rsid w:val="00F47E8C"/>
    <w:rsid w:val="00F512F3"/>
    <w:rsid w:val="00F5280A"/>
    <w:rsid w:val="00F52CF2"/>
    <w:rsid w:val="00F52E25"/>
    <w:rsid w:val="00F53C09"/>
    <w:rsid w:val="00F53D6B"/>
    <w:rsid w:val="00F53DA1"/>
    <w:rsid w:val="00F554DF"/>
    <w:rsid w:val="00F576EE"/>
    <w:rsid w:val="00F57D4A"/>
    <w:rsid w:val="00F57DF5"/>
    <w:rsid w:val="00F600D2"/>
    <w:rsid w:val="00F60455"/>
    <w:rsid w:val="00F6046E"/>
    <w:rsid w:val="00F614B4"/>
    <w:rsid w:val="00F615E7"/>
    <w:rsid w:val="00F61C02"/>
    <w:rsid w:val="00F625C0"/>
    <w:rsid w:val="00F62C1A"/>
    <w:rsid w:val="00F646A9"/>
    <w:rsid w:val="00F66C2F"/>
    <w:rsid w:val="00F66EDE"/>
    <w:rsid w:val="00F672F7"/>
    <w:rsid w:val="00F674A6"/>
    <w:rsid w:val="00F703AD"/>
    <w:rsid w:val="00F70B73"/>
    <w:rsid w:val="00F70EA3"/>
    <w:rsid w:val="00F71AA1"/>
    <w:rsid w:val="00F7254D"/>
    <w:rsid w:val="00F72828"/>
    <w:rsid w:val="00F73120"/>
    <w:rsid w:val="00F73528"/>
    <w:rsid w:val="00F73BC7"/>
    <w:rsid w:val="00F74F8A"/>
    <w:rsid w:val="00F75284"/>
    <w:rsid w:val="00F76134"/>
    <w:rsid w:val="00F762CC"/>
    <w:rsid w:val="00F76581"/>
    <w:rsid w:val="00F76AE8"/>
    <w:rsid w:val="00F77185"/>
    <w:rsid w:val="00F7740A"/>
    <w:rsid w:val="00F77943"/>
    <w:rsid w:val="00F80567"/>
    <w:rsid w:val="00F80A42"/>
    <w:rsid w:val="00F80AE8"/>
    <w:rsid w:val="00F816D3"/>
    <w:rsid w:val="00F81E82"/>
    <w:rsid w:val="00F83A4F"/>
    <w:rsid w:val="00F8403E"/>
    <w:rsid w:val="00F84C1A"/>
    <w:rsid w:val="00F85498"/>
    <w:rsid w:val="00F8593E"/>
    <w:rsid w:val="00F85B67"/>
    <w:rsid w:val="00F8740B"/>
    <w:rsid w:val="00F9010D"/>
    <w:rsid w:val="00F92E75"/>
    <w:rsid w:val="00F93BC4"/>
    <w:rsid w:val="00F94881"/>
    <w:rsid w:val="00F9526F"/>
    <w:rsid w:val="00F9631E"/>
    <w:rsid w:val="00FA00D1"/>
    <w:rsid w:val="00FA10B3"/>
    <w:rsid w:val="00FA12E2"/>
    <w:rsid w:val="00FA1EF4"/>
    <w:rsid w:val="00FA3C08"/>
    <w:rsid w:val="00FA3D03"/>
    <w:rsid w:val="00FA58C5"/>
    <w:rsid w:val="00FA5DB3"/>
    <w:rsid w:val="00FA6E2B"/>
    <w:rsid w:val="00FA753D"/>
    <w:rsid w:val="00FA7716"/>
    <w:rsid w:val="00FA78DF"/>
    <w:rsid w:val="00FB108C"/>
    <w:rsid w:val="00FB16E1"/>
    <w:rsid w:val="00FB1888"/>
    <w:rsid w:val="00FB1930"/>
    <w:rsid w:val="00FB2344"/>
    <w:rsid w:val="00FB2CE3"/>
    <w:rsid w:val="00FB449F"/>
    <w:rsid w:val="00FB4658"/>
    <w:rsid w:val="00FB4A38"/>
    <w:rsid w:val="00FB508F"/>
    <w:rsid w:val="00FB5212"/>
    <w:rsid w:val="00FB5E8F"/>
    <w:rsid w:val="00FB6377"/>
    <w:rsid w:val="00FB66AE"/>
    <w:rsid w:val="00FB7B57"/>
    <w:rsid w:val="00FC18FE"/>
    <w:rsid w:val="00FC1C62"/>
    <w:rsid w:val="00FC2429"/>
    <w:rsid w:val="00FC259F"/>
    <w:rsid w:val="00FC2A30"/>
    <w:rsid w:val="00FC3AFE"/>
    <w:rsid w:val="00FC46A2"/>
    <w:rsid w:val="00FC4F1F"/>
    <w:rsid w:val="00FC548E"/>
    <w:rsid w:val="00FC55F5"/>
    <w:rsid w:val="00FC5D3A"/>
    <w:rsid w:val="00FC5FCB"/>
    <w:rsid w:val="00FC6DF6"/>
    <w:rsid w:val="00FC7DE5"/>
    <w:rsid w:val="00FD032B"/>
    <w:rsid w:val="00FD18C0"/>
    <w:rsid w:val="00FD1C6D"/>
    <w:rsid w:val="00FD2D4B"/>
    <w:rsid w:val="00FD350F"/>
    <w:rsid w:val="00FD38DE"/>
    <w:rsid w:val="00FD3C3A"/>
    <w:rsid w:val="00FD3F06"/>
    <w:rsid w:val="00FD46B0"/>
    <w:rsid w:val="00FD5A93"/>
    <w:rsid w:val="00FD5A99"/>
    <w:rsid w:val="00FD603C"/>
    <w:rsid w:val="00FD6269"/>
    <w:rsid w:val="00FD66B9"/>
    <w:rsid w:val="00FD6E90"/>
    <w:rsid w:val="00FD6F90"/>
    <w:rsid w:val="00FD7934"/>
    <w:rsid w:val="00FE0731"/>
    <w:rsid w:val="00FE217D"/>
    <w:rsid w:val="00FE2F3D"/>
    <w:rsid w:val="00FE3E67"/>
    <w:rsid w:val="00FE40B3"/>
    <w:rsid w:val="00FE4160"/>
    <w:rsid w:val="00FE4E23"/>
    <w:rsid w:val="00FE5B7A"/>
    <w:rsid w:val="00FE5D62"/>
    <w:rsid w:val="00FE61A5"/>
    <w:rsid w:val="00FE713B"/>
    <w:rsid w:val="00FE718A"/>
    <w:rsid w:val="00FF0F3A"/>
    <w:rsid w:val="00FF2D9A"/>
    <w:rsid w:val="00FF3CE7"/>
    <w:rsid w:val="00FF4785"/>
    <w:rsid w:val="00FF5125"/>
    <w:rsid w:val="00FF52A5"/>
    <w:rsid w:val="00FF6DA3"/>
    <w:rsid w:val="00FF6EDB"/>
    <w:rsid w:val="00FF729E"/>
    <w:rsid w:val="00FF7E6D"/>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9227F0"/>
  <w15:docId w15:val="{DD57A6D0-8D5D-4B09-A732-E6898FD54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333C9"/>
    <w:rPr>
      <w:rFonts w:ascii="Times New Roman"/>
    </w:rPr>
  </w:style>
  <w:style w:type="paragraph" w:styleId="Heading1">
    <w:name w:val="heading 1"/>
    <w:basedOn w:val="Normal"/>
    <w:next w:val="BodyText"/>
    <w:uiPriority w:val="9"/>
    <w:qFormat/>
    <w:rsid w:val="00110450"/>
    <w:pPr>
      <w:keepNext/>
      <w:keepLines/>
      <w:spacing w:before="480" w:after="0" w:line="360" w:lineRule="auto"/>
      <w:outlineLvl w:val="0"/>
    </w:pPr>
    <w:rPr>
      <w:rFonts w:asciiTheme="majorBidi" w:eastAsiaTheme="majorEastAsia" w:hAnsiTheme="majorBidi" w:cstheme="majorBidi"/>
      <w:b/>
      <w:bCs/>
      <w:color w:val="000000" w:themeColor="text1"/>
      <w:sz w:val="32"/>
      <w:szCs w:val="32"/>
    </w:rPr>
  </w:style>
  <w:style w:type="paragraph" w:styleId="Heading2">
    <w:name w:val="heading 2"/>
    <w:basedOn w:val="Normal"/>
    <w:next w:val="BodyText"/>
    <w:uiPriority w:val="9"/>
    <w:unhideWhenUsed/>
    <w:qFormat/>
    <w:rsid w:val="008A1903"/>
    <w:pPr>
      <w:keepNext/>
      <w:keepLines/>
      <w:spacing w:before="200" w:after="0" w:line="360" w:lineRule="auto"/>
      <w:outlineLvl w:val="1"/>
    </w:pPr>
    <w:rPr>
      <w:rFonts w:asciiTheme="majorBidi" w:eastAsiaTheme="majorEastAsia" w:hAnsiTheme="majorBidi" w:cstheme="majorBidi"/>
      <w:b/>
      <w:bCs/>
      <w:color w:val="000000" w:themeColor="text1"/>
      <w:sz w:val="28"/>
      <w:szCs w:val="32"/>
    </w:rPr>
  </w:style>
  <w:style w:type="paragraph" w:styleId="Heading3">
    <w:name w:val="heading 3"/>
    <w:basedOn w:val="Normal"/>
    <w:next w:val="BodyText"/>
    <w:uiPriority w:val="9"/>
    <w:unhideWhenUsed/>
    <w:qFormat/>
    <w:rsid w:val="008A1903"/>
    <w:pPr>
      <w:keepNext/>
      <w:keepLines/>
      <w:spacing w:before="200" w:after="0" w:line="360" w:lineRule="auto"/>
      <w:outlineLvl w:val="2"/>
    </w:pPr>
    <w:rPr>
      <w:rFonts w:asciiTheme="majorBidi" w:eastAsiaTheme="majorEastAsia" w:hAnsiTheme="majorBidi" w:cstheme="majorBidi"/>
      <w:b/>
      <w:bCs/>
      <w:color w:val="000000" w:themeColor="text1"/>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F60AF"/>
    <w:pPr>
      <w:spacing w:before="180" w:after="180"/>
    </w:pPr>
    <w:rPr>
      <w:rFonts w:asciiTheme="majorBidi" w:hAnsiTheme="majorBidi"/>
    </w:rPr>
  </w:style>
  <w:style w:type="paragraph" w:customStyle="1" w:styleId="FirstParagraph">
    <w:name w:val="First Paragraph"/>
    <w:basedOn w:val="BodyText"/>
    <w:next w:val="BodyText"/>
    <w:qFormat/>
    <w:rsid w:val="00110450"/>
  </w:style>
  <w:style w:type="paragraph" w:customStyle="1" w:styleId="Compact">
    <w:name w:val="Compact"/>
    <w:basedOn w:val="BodyText"/>
    <w:qFormat/>
    <w:rsid w:val="00E01613"/>
    <w:pPr>
      <w:spacing w:before="36" w:after="36"/>
    </w:pPr>
  </w:style>
  <w:style w:type="paragraph" w:styleId="Title">
    <w:name w:val="Title"/>
    <w:basedOn w:val="Normal"/>
    <w:next w:val="BodyText"/>
    <w:qFormat/>
    <w:rsid w:val="00110450"/>
    <w:pPr>
      <w:keepNext/>
      <w:keepLines/>
      <w:spacing w:before="480" w:after="240" w:line="360" w:lineRule="auto"/>
    </w:pPr>
    <w:rPr>
      <w:rFonts w:asciiTheme="majorBidi" w:eastAsiaTheme="majorEastAsia" w:hAnsiTheme="majorBidi" w:cstheme="majorBidi"/>
      <w:b/>
      <w:bCs/>
      <w:color w:val="000000" w:themeColor="text1"/>
      <w:sz w:val="36"/>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110450"/>
    <w:pPr>
      <w:keepNext/>
      <w:keepLines/>
      <w:spacing w:line="360" w:lineRule="auto"/>
    </w:pPr>
    <w:rPr>
      <w:rFonts w:ascii="Times New Roman" w:hAnsi="Times New Roman"/>
    </w:rPr>
  </w:style>
  <w:style w:type="paragraph" w:styleId="Date">
    <w:name w:val="Date"/>
    <w:next w:val="BodyText"/>
    <w:qFormat/>
    <w:rsid w:val="00110450"/>
    <w:pPr>
      <w:keepNext/>
      <w:keepLines/>
      <w:spacing w:line="360" w:lineRule="auto"/>
    </w:pPr>
    <w:rPr>
      <w:rFonts w:asciiTheme="majorBidi" w:hAnsiTheme="majorBidi"/>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110450"/>
    <w:pPr>
      <w:spacing w:line="360" w:lineRule="auto"/>
    </w:pPr>
    <w:rPr>
      <w:rFonts w:asciiTheme="majorBidi" w:hAnsiTheme="majorBidi"/>
    </w:r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E01613"/>
    <w:pPr>
      <w:keepNext/>
      <w:spacing w:line="360" w:lineRule="auto"/>
    </w:pPr>
    <w:rPr>
      <w:rFonts w:asciiTheme="majorBidi" w:hAnsiTheme="majorBidi"/>
      <w:i w:val="0"/>
    </w:rPr>
  </w:style>
  <w:style w:type="paragraph" w:customStyle="1" w:styleId="ImageCaption">
    <w:name w:val="Image Caption"/>
    <w:basedOn w:val="Caption"/>
    <w:rsid w:val="00110450"/>
    <w:pPr>
      <w:spacing w:line="360" w:lineRule="auto"/>
    </w:pPr>
    <w:rPr>
      <w:rFonts w:asciiTheme="majorBidi" w:hAnsiTheme="majorBidi"/>
      <w:i w:val="0"/>
    </w:rPr>
  </w:style>
  <w:style w:type="paragraph" w:customStyle="1" w:styleId="Figure">
    <w:name w:val="Figure"/>
    <w:basedOn w:val="Normal"/>
  </w:style>
  <w:style w:type="paragraph" w:customStyle="1" w:styleId="CaptionedFigure">
    <w:name w:val="Captioned Figure"/>
    <w:basedOn w:val="Figure"/>
    <w:rsid w:val="00110450"/>
    <w:pPr>
      <w:keepNext/>
      <w:spacing w:line="360" w:lineRule="auto"/>
    </w:pPr>
    <w:rPr>
      <w:rFonts w:asciiTheme="majorBidi" w:hAnsiTheme="majorBidi"/>
    </w:r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387049"/>
    <w:pPr>
      <w:spacing w:after="0"/>
    </w:pPr>
    <w:rPr>
      <w:rFonts w:hAnsi="Times New Roman" w:cs="Times New Roman"/>
      <w:sz w:val="18"/>
      <w:szCs w:val="18"/>
    </w:rPr>
  </w:style>
  <w:style w:type="character" w:customStyle="1" w:styleId="BalloonTextChar">
    <w:name w:val="Balloon Text Char"/>
    <w:basedOn w:val="DefaultParagraphFont"/>
    <w:link w:val="BalloonText"/>
    <w:semiHidden/>
    <w:rsid w:val="00387049"/>
    <w:rPr>
      <w:rFonts w:ascii="Times New Roman" w:hAnsi="Times New Roman" w:cs="Times New Roman"/>
      <w:sz w:val="18"/>
      <w:szCs w:val="18"/>
    </w:rPr>
  </w:style>
  <w:style w:type="character" w:styleId="FollowedHyperlink">
    <w:name w:val="FollowedHyperlink"/>
    <w:basedOn w:val="DefaultParagraphFont"/>
    <w:semiHidden/>
    <w:unhideWhenUsed/>
    <w:rsid w:val="001A017C"/>
    <w:rPr>
      <w:color w:val="800080" w:themeColor="followedHyperlink"/>
      <w:u w:val="single"/>
    </w:rPr>
  </w:style>
  <w:style w:type="character" w:customStyle="1" w:styleId="BodyTextChar">
    <w:name w:val="Body Text Char"/>
    <w:basedOn w:val="DefaultParagraphFont"/>
    <w:link w:val="BodyText"/>
    <w:rsid w:val="005F60AF"/>
    <w:rPr>
      <w:rFonts w:asciiTheme="majorBidi" w:hAnsiTheme="majorBidi"/>
    </w:rPr>
  </w:style>
  <w:style w:type="character" w:styleId="LineNumber">
    <w:name w:val="line number"/>
    <w:basedOn w:val="DefaultParagraphFont"/>
    <w:semiHidden/>
    <w:unhideWhenUsed/>
    <w:rsid w:val="000265CD"/>
  </w:style>
  <w:style w:type="character" w:styleId="CommentReference">
    <w:name w:val="annotation reference"/>
    <w:basedOn w:val="DefaultParagraphFont"/>
    <w:semiHidden/>
    <w:unhideWhenUsed/>
    <w:rsid w:val="00DE0FC4"/>
    <w:rPr>
      <w:sz w:val="16"/>
      <w:szCs w:val="16"/>
    </w:rPr>
  </w:style>
  <w:style w:type="paragraph" w:styleId="CommentText">
    <w:name w:val="annotation text"/>
    <w:basedOn w:val="Normal"/>
    <w:link w:val="CommentTextChar"/>
    <w:unhideWhenUsed/>
    <w:rsid w:val="00DE0FC4"/>
    <w:rPr>
      <w:sz w:val="20"/>
      <w:szCs w:val="20"/>
    </w:rPr>
  </w:style>
  <w:style w:type="character" w:customStyle="1" w:styleId="CommentTextChar">
    <w:name w:val="Comment Text Char"/>
    <w:basedOn w:val="DefaultParagraphFont"/>
    <w:link w:val="CommentText"/>
    <w:rsid w:val="00DE0FC4"/>
    <w:rPr>
      <w:rFonts w:ascii="Times New Roman"/>
      <w:sz w:val="20"/>
      <w:szCs w:val="20"/>
    </w:rPr>
  </w:style>
  <w:style w:type="paragraph" w:styleId="CommentSubject">
    <w:name w:val="annotation subject"/>
    <w:basedOn w:val="CommentText"/>
    <w:next w:val="CommentText"/>
    <w:link w:val="CommentSubjectChar"/>
    <w:semiHidden/>
    <w:unhideWhenUsed/>
    <w:rsid w:val="00DE0FC4"/>
    <w:rPr>
      <w:b/>
      <w:bCs/>
    </w:rPr>
  </w:style>
  <w:style w:type="character" w:customStyle="1" w:styleId="CommentSubjectChar">
    <w:name w:val="Comment Subject Char"/>
    <w:basedOn w:val="CommentTextChar"/>
    <w:link w:val="CommentSubject"/>
    <w:semiHidden/>
    <w:rsid w:val="00DE0FC4"/>
    <w:rPr>
      <w:rFonts w:ascii="Times New Roman"/>
      <w:b/>
      <w:bCs/>
      <w:sz w:val="20"/>
      <w:szCs w:val="20"/>
    </w:rPr>
  </w:style>
  <w:style w:type="paragraph" w:styleId="Revision">
    <w:name w:val="Revision"/>
    <w:hidden/>
    <w:semiHidden/>
    <w:rsid w:val="00D305E0"/>
    <w:pPr>
      <w:spacing w:after="0"/>
    </w:pPr>
    <w:rPr>
      <w:rFonts w:ascii="Times New Roman"/>
    </w:rPr>
  </w:style>
  <w:style w:type="character" w:styleId="PlaceholderText">
    <w:name w:val="Placeholder Text"/>
    <w:basedOn w:val="DefaultParagraphFont"/>
    <w:semiHidden/>
    <w:rsid w:val="00C67A1C"/>
    <w:rPr>
      <w:color w:val="808080"/>
    </w:rPr>
  </w:style>
  <w:style w:type="paragraph" w:styleId="Header">
    <w:name w:val="header"/>
    <w:basedOn w:val="Normal"/>
    <w:link w:val="HeaderChar"/>
    <w:unhideWhenUsed/>
    <w:rsid w:val="00D44C27"/>
    <w:pPr>
      <w:tabs>
        <w:tab w:val="center" w:pos="4513"/>
        <w:tab w:val="right" w:pos="9026"/>
      </w:tabs>
      <w:spacing w:after="0"/>
    </w:pPr>
  </w:style>
  <w:style w:type="character" w:customStyle="1" w:styleId="HeaderChar">
    <w:name w:val="Header Char"/>
    <w:basedOn w:val="DefaultParagraphFont"/>
    <w:link w:val="Header"/>
    <w:rsid w:val="00D44C27"/>
    <w:rPr>
      <w:rFonts w:ascii="Times New Roman"/>
    </w:rPr>
  </w:style>
  <w:style w:type="paragraph" w:styleId="Footer">
    <w:name w:val="footer"/>
    <w:basedOn w:val="Normal"/>
    <w:link w:val="FooterChar"/>
    <w:uiPriority w:val="99"/>
    <w:unhideWhenUsed/>
    <w:rsid w:val="00D44C27"/>
    <w:pPr>
      <w:tabs>
        <w:tab w:val="center" w:pos="4513"/>
        <w:tab w:val="right" w:pos="9026"/>
      </w:tabs>
      <w:spacing w:after="0"/>
    </w:pPr>
  </w:style>
  <w:style w:type="character" w:customStyle="1" w:styleId="FooterChar">
    <w:name w:val="Footer Char"/>
    <w:basedOn w:val="DefaultParagraphFont"/>
    <w:link w:val="Footer"/>
    <w:uiPriority w:val="99"/>
    <w:rsid w:val="00D44C27"/>
    <w:rPr>
      <w:rFonts w:ascii="Times New Roman"/>
    </w:rPr>
  </w:style>
  <w:style w:type="character" w:customStyle="1" w:styleId="UnresolvedMention1">
    <w:name w:val="Unresolved Mention1"/>
    <w:basedOn w:val="DefaultParagraphFont"/>
    <w:uiPriority w:val="99"/>
    <w:semiHidden/>
    <w:unhideWhenUsed/>
    <w:rsid w:val="006E039C"/>
    <w:rPr>
      <w:color w:val="605E5C"/>
      <w:shd w:val="clear" w:color="auto" w:fill="E1DFDD"/>
    </w:rPr>
  </w:style>
  <w:style w:type="table" w:styleId="TableGrid">
    <w:name w:val="Table Grid"/>
    <w:basedOn w:val="TableNormal"/>
    <w:rsid w:val="00874A01"/>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14B76"/>
    <w:rPr>
      <w:color w:val="605E5C"/>
      <w:shd w:val="clear" w:color="auto" w:fill="E1DFDD"/>
    </w:rPr>
  </w:style>
  <w:style w:type="paragraph" w:styleId="ListParagraph">
    <w:name w:val="List Paragraph"/>
    <w:basedOn w:val="Normal"/>
    <w:rsid w:val="007D1FB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2022571">
      <w:bodyDiv w:val="1"/>
      <w:marLeft w:val="0"/>
      <w:marRight w:val="0"/>
      <w:marTop w:val="0"/>
      <w:marBottom w:val="0"/>
      <w:divBdr>
        <w:top w:val="none" w:sz="0" w:space="0" w:color="auto"/>
        <w:left w:val="none" w:sz="0" w:space="0" w:color="auto"/>
        <w:bottom w:val="none" w:sz="0" w:space="0" w:color="auto"/>
        <w:right w:val="none" w:sz="0" w:space="0" w:color="auto"/>
      </w:divBdr>
    </w:div>
    <w:div w:id="1013343635">
      <w:bodyDiv w:val="1"/>
      <w:marLeft w:val="0"/>
      <w:marRight w:val="0"/>
      <w:marTop w:val="0"/>
      <w:marBottom w:val="0"/>
      <w:divBdr>
        <w:top w:val="none" w:sz="0" w:space="0" w:color="auto"/>
        <w:left w:val="none" w:sz="0" w:space="0" w:color="auto"/>
        <w:bottom w:val="none" w:sz="0" w:space="0" w:color="auto"/>
        <w:right w:val="none" w:sz="0" w:space="0" w:color="auto"/>
      </w:divBdr>
      <w:divsChild>
        <w:div w:id="1439252399">
          <w:marLeft w:val="0"/>
          <w:marRight w:val="0"/>
          <w:marTop w:val="0"/>
          <w:marBottom w:val="0"/>
          <w:divBdr>
            <w:top w:val="none" w:sz="0" w:space="0" w:color="auto"/>
            <w:left w:val="none" w:sz="0" w:space="0" w:color="auto"/>
            <w:bottom w:val="none" w:sz="0" w:space="0" w:color="auto"/>
            <w:right w:val="none" w:sz="0" w:space="0" w:color="auto"/>
          </w:divBdr>
          <w:divsChild>
            <w:div w:id="1414358475">
              <w:marLeft w:val="0"/>
              <w:marRight w:val="0"/>
              <w:marTop w:val="0"/>
              <w:marBottom w:val="0"/>
              <w:divBdr>
                <w:top w:val="none" w:sz="0" w:space="0" w:color="auto"/>
                <w:left w:val="none" w:sz="0" w:space="0" w:color="auto"/>
                <w:bottom w:val="none" w:sz="0" w:space="0" w:color="auto"/>
                <w:right w:val="none" w:sz="0" w:space="0" w:color="auto"/>
              </w:divBdr>
              <w:divsChild>
                <w:div w:id="888809800">
                  <w:marLeft w:val="0"/>
                  <w:marRight w:val="0"/>
                  <w:marTop w:val="0"/>
                  <w:marBottom w:val="0"/>
                  <w:divBdr>
                    <w:top w:val="none" w:sz="0" w:space="0" w:color="auto"/>
                    <w:left w:val="none" w:sz="0" w:space="0" w:color="auto"/>
                    <w:bottom w:val="none" w:sz="0" w:space="0" w:color="auto"/>
                    <w:right w:val="none" w:sz="0" w:space="0" w:color="auto"/>
                  </w:divBdr>
                  <w:divsChild>
                    <w:div w:id="14301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7972106">
      <w:bodyDiv w:val="1"/>
      <w:marLeft w:val="0"/>
      <w:marRight w:val="0"/>
      <w:marTop w:val="0"/>
      <w:marBottom w:val="0"/>
      <w:divBdr>
        <w:top w:val="none" w:sz="0" w:space="0" w:color="auto"/>
        <w:left w:val="none" w:sz="0" w:space="0" w:color="auto"/>
        <w:bottom w:val="none" w:sz="0" w:space="0" w:color="auto"/>
        <w:right w:val="none" w:sz="0" w:space="0" w:color="auto"/>
      </w:divBdr>
    </w:div>
    <w:div w:id="1044793150">
      <w:bodyDiv w:val="1"/>
      <w:marLeft w:val="0"/>
      <w:marRight w:val="0"/>
      <w:marTop w:val="0"/>
      <w:marBottom w:val="0"/>
      <w:divBdr>
        <w:top w:val="none" w:sz="0" w:space="0" w:color="auto"/>
        <w:left w:val="none" w:sz="0" w:space="0" w:color="auto"/>
        <w:bottom w:val="none" w:sz="0" w:space="0" w:color="auto"/>
        <w:right w:val="none" w:sz="0" w:space="0" w:color="auto"/>
      </w:divBdr>
      <w:divsChild>
        <w:div w:id="766850889">
          <w:marLeft w:val="0"/>
          <w:marRight w:val="0"/>
          <w:marTop w:val="0"/>
          <w:marBottom w:val="0"/>
          <w:divBdr>
            <w:top w:val="single" w:sz="2" w:space="1" w:color="auto"/>
            <w:left w:val="single" w:sz="2" w:space="1" w:color="auto"/>
            <w:bottom w:val="single" w:sz="2" w:space="1" w:color="auto"/>
            <w:right w:val="single" w:sz="2" w:space="1" w:color="auto"/>
          </w:divBdr>
        </w:div>
      </w:divsChild>
    </w:div>
    <w:div w:id="1252541730">
      <w:bodyDiv w:val="1"/>
      <w:marLeft w:val="0"/>
      <w:marRight w:val="0"/>
      <w:marTop w:val="0"/>
      <w:marBottom w:val="0"/>
      <w:divBdr>
        <w:top w:val="none" w:sz="0" w:space="0" w:color="auto"/>
        <w:left w:val="none" w:sz="0" w:space="0" w:color="auto"/>
        <w:bottom w:val="none" w:sz="0" w:space="0" w:color="auto"/>
        <w:right w:val="none" w:sz="0" w:space="0" w:color="auto"/>
      </w:divBdr>
    </w:div>
    <w:div w:id="1256667807">
      <w:bodyDiv w:val="1"/>
      <w:marLeft w:val="0"/>
      <w:marRight w:val="0"/>
      <w:marTop w:val="0"/>
      <w:marBottom w:val="0"/>
      <w:divBdr>
        <w:top w:val="none" w:sz="0" w:space="0" w:color="auto"/>
        <w:left w:val="none" w:sz="0" w:space="0" w:color="auto"/>
        <w:bottom w:val="none" w:sz="0" w:space="0" w:color="auto"/>
        <w:right w:val="none" w:sz="0" w:space="0" w:color="auto"/>
      </w:divBdr>
    </w:div>
    <w:div w:id="20014699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ruanvmazijk@gmail.com" TargetMode="External"/><Relationship Id="rId13" Type="http://schemas.openxmlformats.org/officeDocument/2006/relationships/image" Target="media/image5.png"/><Relationship Id="rId18" Type="http://schemas.openxmlformats.org/officeDocument/2006/relationships/hyperlink" Target="https://orcid.org/0000-0003-0989-3266"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orcid.org/0000-0003-2659-6909" TargetMode="External"/><Relationship Id="rId2" Type="http://schemas.openxmlformats.org/officeDocument/2006/relationships/numbering" Target="numbering.xml"/><Relationship Id="rId16" Type="http://schemas.openxmlformats.org/officeDocument/2006/relationships/hyperlink" Target="https://github.com/rvanmazijk/Cape-vs-SWA/"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doi.org/10.15468/dl.46okua" TargetMode="External"/><Relationship Id="rId10" Type="http://schemas.openxmlformats.org/officeDocument/2006/relationships/image" Target="media/image2.png"/><Relationship Id="rId19" Type="http://schemas.openxmlformats.org/officeDocument/2006/relationships/hyperlink" Target="https://orcid.org/0000-0002-1363-9781"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doi.org/10.15468/dl.n6u6n0"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533CDE-127D-1743-89F0-FF88BA4AAD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1117</TotalTime>
  <Pages>22</Pages>
  <Words>25916</Words>
  <Characters>147723</Characters>
  <Application>Microsoft Office Word</Application>
  <DocSecurity>0</DocSecurity>
  <Lines>1231</Lines>
  <Paragraphs>346</Paragraphs>
  <ScaleCrop>false</ScaleCrop>
  <HeadingPairs>
    <vt:vector size="2" baseType="variant">
      <vt:variant>
        <vt:lpstr>Title</vt:lpstr>
      </vt:variant>
      <vt:variant>
        <vt:i4>1</vt:i4>
      </vt:variant>
    </vt:vector>
  </HeadingPairs>
  <TitlesOfParts>
    <vt:vector size="1" baseType="lpstr">
      <vt:lpstr>Environmental heterogeneity and plant species richness</vt:lpstr>
    </vt:vector>
  </TitlesOfParts>
  <Company/>
  <LinksUpToDate>false</LinksUpToDate>
  <CharactersWithSpaces>173293</CharactersWithSpaces>
  <SharedDoc>false</SharedDoc>
  <HLinks>
    <vt:vector size="36" baseType="variant">
      <vt:variant>
        <vt:i4>3211310</vt:i4>
      </vt:variant>
      <vt:variant>
        <vt:i4>60</vt:i4>
      </vt:variant>
      <vt:variant>
        <vt:i4>0</vt:i4>
      </vt:variant>
      <vt:variant>
        <vt:i4>5</vt:i4>
      </vt:variant>
      <vt:variant>
        <vt:lpwstr>https://github.com/ropensci/taxize</vt:lpwstr>
      </vt:variant>
      <vt:variant>
        <vt:lpwstr/>
      </vt:variant>
      <vt:variant>
        <vt:i4>4915290</vt:i4>
      </vt:variant>
      <vt:variant>
        <vt:i4>57</vt:i4>
      </vt:variant>
      <vt:variant>
        <vt:i4>0</vt:i4>
      </vt:variant>
      <vt:variant>
        <vt:i4>5</vt:i4>
      </vt:variant>
      <vt:variant>
        <vt:lpwstr>http://www.iucngisd.org/gisd/</vt:lpwstr>
      </vt:variant>
      <vt:variant>
        <vt:lpwstr/>
      </vt:variant>
      <vt:variant>
        <vt:i4>5570578</vt:i4>
      </vt:variant>
      <vt:variant>
        <vt:i4>48</vt:i4>
      </vt:variant>
      <vt:variant>
        <vt:i4>0</vt:i4>
      </vt:variant>
      <vt:variant>
        <vt:i4>5</vt:i4>
      </vt:variant>
      <vt:variant>
        <vt:lpwstr>https://orcid.org/0000-0002-1363-9781</vt:lpwstr>
      </vt:variant>
      <vt:variant>
        <vt:lpwstr/>
      </vt:variant>
      <vt:variant>
        <vt:i4>5308441</vt:i4>
      </vt:variant>
      <vt:variant>
        <vt:i4>45</vt:i4>
      </vt:variant>
      <vt:variant>
        <vt:i4>0</vt:i4>
      </vt:variant>
      <vt:variant>
        <vt:i4>5</vt:i4>
      </vt:variant>
      <vt:variant>
        <vt:lpwstr>https://orcid.org/0000-0003-0989-3266</vt:lpwstr>
      </vt:variant>
      <vt:variant>
        <vt:lpwstr/>
      </vt:variant>
      <vt:variant>
        <vt:i4>6094877</vt:i4>
      </vt:variant>
      <vt:variant>
        <vt:i4>42</vt:i4>
      </vt:variant>
      <vt:variant>
        <vt:i4>0</vt:i4>
      </vt:variant>
      <vt:variant>
        <vt:i4>5</vt:i4>
      </vt:variant>
      <vt:variant>
        <vt:lpwstr>https://orcid.org/0000-0003-2659-6909</vt:lpwstr>
      </vt:variant>
      <vt:variant>
        <vt:lpwstr/>
      </vt:variant>
      <vt:variant>
        <vt:i4>41</vt:i4>
      </vt:variant>
      <vt:variant>
        <vt:i4>0</vt:i4>
      </vt:variant>
      <vt:variant>
        <vt:i4>0</vt:i4>
      </vt:variant>
      <vt:variant>
        <vt:i4>5</vt:i4>
      </vt:variant>
      <vt:variant>
        <vt:lpwstr>mailto:ruanvmazijk@gmail.com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Environmental heterogeneity and plant species richness</dc:title>
  <dc:subject/>
  <dc:creator>Ruan Van Mazijk</dc:creator>
  <cp:keywords/>
  <cp:lastModifiedBy>Ruan Van Mazijk</cp:lastModifiedBy>
  <cp:revision>519</cp:revision>
  <cp:lastPrinted>2020-01-06T10:27:00Z</cp:lastPrinted>
  <dcterms:created xsi:type="dcterms:W3CDTF">2019-12-03T09:32:00Z</dcterms:created>
  <dcterms:modified xsi:type="dcterms:W3CDTF">2020-01-10T11:42:00Z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http://www.zotero.org/styles/harvard-university-of-cape-town</vt:lpwstr>
  </property>
  <property fmtid="{D5CDD505-2E9C-101B-9397-08002B2CF9AE}" pid="13" name="Mendeley Recent Style Name 5_1">
    <vt:lpwstr>Harvard - University of Cape Town</vt:lpwstr>
  </property>
  <property fmtid="{D5CDD505-2E9C-101B-9397-08002B2CF9AE}" pid="14" name="Mendeley Recent Style Id 6_1">
    <vt:lpwstr>http://www.zotero.org/styles/harvard1</vt:lpwstr>
  </property>
  <property fmtid="{D5CDD505-2E9C-101B-9397-08002B2CF9AE}" pid="15" name="Mendeley Recent Style Name 6_1">
    <vt:lpwstr>Harvard reference format 1 (deprecated)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http://www.zotero.org/styles/journal-of-biogeography</vt:lpwstr>
  </property>
  <property fmtid="{D5CDD505-2E9C-101B-9397-08002B2CF9AE}" pid="19" name="Mendeley Recent Style Name 8_1">
    <vt:lpwstr>Journal of Biogeography</vt:lpwstr>
  </property>
  <property fmtid="{D5CDD505-2E9C-101B-9397-08002B2CF9AE}" pid="20" name="Mendeley Recent Style Id 9_1">
    <vt:lpwstr>http://csl.mendeley.com/styles/styles/harvard-university-of-cape-town-rvm</vt:lpwstr>
  </property>
  <property fmtid="{D5CDD505-2E9C-101B-9397-08002B2CF9AE}" pid="21" name="Mendeley Recent Style Name 9_1">
    <vt:lpwstr>University of Cape Town - Harvard - RvM</vt:lpwstr>
  </property>
  <property fmtid="{D5CDD505-2E9C-101B-9397-08002B2CF9AE}" pid="22" name="Mendeley Document_1">
    <vt:lpwstr>True</vt:lpwstr>
  </property>
  <property fmtid="{D5CDD505-2E9C-101B-9397-08002B2CF9AE}" pid="23" name="Mendeley Unique User Id_1">
    <vt:lpwstr>4da6a1df-5e96-396a-8435-2fd8ebed9d22</vt:lpwstr>
  </property>
  <property fmtid="{D5CDD505-2E9C-101B-9397-08002B2CF9AE}" pid="24" name="Mendeley Citation Style_1">
    <vt:lpwstr>http://www.zotero.org/styles/journal-of-biogeography</vt:lpwstr>
  </property>
</Properties>
</file>