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748E44D9"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 xml:space="preserve">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49EE1BB5"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 xml:space="preserve">t of </w:t>
      </w:r>
      <w:proofErr w:type="gramStart"/>
      <w:r w:rsidR="00977607" w:rsidRPr="00E71232">
        <w:t>spatial-scale</w:t>
      </w:r>
      <w:proofErr w:type="gramEnd"/>
      <w:r w:rsidR="00977607" w:rsidRPr="00E71232">
        <w:t>.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29A1DAE"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3"/>
      <w:r w:rsidR="007351F8">
        <w:fldChar w:fldCharType="begin" w:fldLock="1"/>
      </w:r>
      <w:r w:rsidR="003040D9">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Zemunik, &amp; Turner, 2014; Levin, Sibuet, Gooday, Smith, &amp; Vanreusel, 2010; Mouchet et al., 2015; Thuiller et al., 2006; van Rensburg, Chown, &amp; Gaston, 2002)","plainTextFormattedCitation":"(Cramer &amp; Verboom, 2016; Kreft &amp; Jetz, 2007; Laliberte, Zemunik, &amp; Turner, 2014; Levin, Sibuet, Gooday, Smith, &amp; Vanreusel, 2010; Mouchet et al., 2015; Thuiller et al., 2006; van Rensburg, Chown, &amp; Gaston, 2002)","previouslyFormattedCitation":"(Cramer &amp; Verboom, 2016; Kreft &amp; Jetz, 2007; Laliberte, Zemunik, &amp; Turner, 2014; Levin, Sibuet, Gooday, Smith, &amp; Vanreusel, 2010; Mouchet et al., 2015; Thuiller et al., 2006; van Rensburg, Chown, &amp; Gaston, 2002)"},"properties":{"noteIndex":0},"schema":"https://github.com/citation-style-language/schema/raw/master/csl-citation.json"}</w:instrText>
      </w:r>
      <w:r w:rsidR="007351F8">
        <w:fldChar w:fldCharType="separate"/>
      </w:r>
      <w:r w:rsidR="005A4388" w:rsidRPr="005A4388">
        <w:rPr>
          <w:noProof/>
        </w:rPr>
        <w:t>(Cramer &amp; Verboom, 2016; Kreft &amp; Jetz, 2007; Laliberte, Zemunik, &amp; Turner, 2014; Levin, Sibuet, Gooday, Smith, &amp; Vanreusel, 2010; Mouchet et al., 2015; Thuiller et al., 2006; van Rensburg, Chown, &amp; Gaston, 2002)</w:t>
      </w:r>
      <w:r w:rsidR="007351F8">
        <w:fldChar w:fldCharType="end"/>
      </w:r>
      <w:commentRangeEnd w:id="3"/>
      <w:r w:rsidR="00BC6386">
        <w:rPr>
          <w:rStyle w:val="CommentReference"/>
          <w:rFonts w:ascii="Times New Roman" w:hAnsiTheme="minorHAnsi"/>
        </w:rPr>
        <w:commentReference w:id="3"/>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1E12DB">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Chen, Watt, &amp; Schemske, 2010; Wiens, 2004b, 2004a)","manualFormatting":"(Sobel, Chen, Watt, &amp; Schemske, 2010; Wiens, 2004a,b)","plainTextFormattedCitation":"(Sobel, Chen, Watt, &amp; Schemske, 2010; Wiens, 2004b, 2004a)","previouslyFormattedCitation":"(Sobel, Chen, Watt, &amp; Schemske,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74B3E">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Usinowicz, &amp; Levine, 2017)","plainTextFormattedCitation":"(Hart, Usinowicz, &amp; Levine, 2017)","previouslyFormattedCitation":"(Hart, Usinowicz, &amp; Levine, 2017)"},"properties":{"noteIndex":0},"schema":"https://github.com/citation-style-language/schema/raw/master/csl-citation.json"}</w:instrText>
      </w:r>
      <w:r w:rsidR="00137475">
        <w:fldChar w:fldCharType="separate"/>
      </w:r>
      <w:r w:rsidR="00137475" w:rsidRPr="00137475">
        <w:rPr>
          <w:noProof/>
        </w:rPr>
        <w:t>(Hart, Usinowicz, &amp; Levine,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7C14FED3"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E74506">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Linder, &amp; Desmet, 2007)","manualFormatting":"Born, Linder, &amp; Desmet, 2007)","plainTextFormattedCitation":"(J. Born, Linder, &amp; Desmet, 2007)","previouslyFormattedCitation":"(J. 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020F4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Witkowski, Milewski, &amp; Newbey, 1994)","manualFormatting":"(Cowling, Witkowski, Milewski, &amp; Newbey, 1994)","plainTextFormattedCitation":"(R. M. Cowling, Witkowski, Milewski, &amp; Newbey, 1994)","previouslyFormattedCitation":"(R. M. Cowling, Witkowski, Milewski, &amp; Newbey,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E5115">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Chapman, &amp; Gioia, 2000; Milewski, 1981)","plainTextFormattedCitation":"(Beard, Chapman, &amp; Gioia, 2000; Milewski, 1981)","previouslyFormattedCitation":"(Beard, Chapman, &amp; Gioia, 2000; Milewski, 1981)"},"properties":{"noteIndex":0},"schema":"https://github.com/citation-style-language/schema/raw/master/csl-citation.json"}</w:instrText>
      </w:r>
      <w:r w:rsidR="00E16405">
        <w:fldChar w:fldCharType="separate"/>
      </w:r>
      <w:r w:rsidR="00E16405" w:rsidRPr="00E16405">
        <w:rPr>
          <w:noProof/>
        </w:rPr>
        <w:t>(Beard, Chapman, &amp; Gioia,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w:t>
      </w:r>
      <w:r>
        <w:lastRenderedPageBreak/>
        <w:t xml:space="preserve">strong taxonomic affinities and that both are species-rich with high levels of regional endemism </w:t>
      </w:r>
      <w:r w:rsidR="00582449">
        <w:fldChar w:fldCharType="begin" w:fldLock="1"/>
      </w:r>
      <w:r w:rsidR="005B4495">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Rundel, Lamont, Arroyo, &amp; Arianoutsou, 1996; Gioia &amp; Hopper, 2017)","manualFormatting":"(Ackerly, 2009; Beard et al., 2000; Cowling, Rundel, Lamont, Arroyo, &amp; Arianoutsou, 1996; Gioia &amp; Hopper, 2017)","plainTextFormattedCitation":"(Ackerly, 2009; Beard et al., 2000; Richard M. Cowling, Rundel, Lamont, Arroyo, &amp; Arianoutsou, 1996; Gioia &amp; Hopper, 2017)","previouslyFormattedCitation":"(Ackerly, 2009; Beard et al., 2000; Richard M. Cowling, Rundel, Lamont, Arroyo, &amp; Arianoutsou,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7A7AD2B6" w:rsidR="00D04776" w:rsidRPr="002C20EB" w:rsidRDefault="00D04776" w:rsidP="002C20EB">
      <w:pPr>
        <w:pStyle w:val="BodyText"/>
        <w:rPr>
          <w:lang w:val="en-ZA"/>
        </w:rPr>
      </w:pPr>
      <w:commentRangeStart w:id="4"/>
      <w:r>
        <w:t xml:space="preserve">Notwithstanding </w:t>
      </w:r>
      <w:commentRangeEnd w:id="4"/>
      <w:r w:rsidR="00BC6386">
        <w:rPr>
          <w:rStyle w:val="CommentReference"/>
          <w:rFonts w:ascii="Times New Roman" w:hAnsiTheme="minorHAnsi"/>
        </w:rPr>
        <w:commentReference w:id="4"/>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11C29">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235F3">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Region","type":"chapter"},"uris":["http://www.mendeley.com/documents/?uuid=67e1310b-bf35-43be-927c-6e8b938a7373"]},{"id":"ITEM-2","itemData":{"DOI":"10.1111/geb.12181","ISBN":"1466-8238","ISSN":"1466822X","abstract":"Aim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Biogeography","id":"ITEM-2","issue":"9","issued":{"date-parts":[["2014","9"]]},"page":"988-999","title":"Diversity anomalies and spatial climate heterogeneity","type":"article-journal","volume":"23"},"uris":["http://www.mendeley.com/documents/?uuid=adbda198-36ce-3345-83b3-33d9da6084b4"]}],"mendeley":{"formattedCitation":"(Bradshaw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E048A3D"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6774CD">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2004a)","plainTextFormattedCitation":"(Gioia &amp; Hopper, 2017; Hopper &amp; Gioia, 2004a)","previouslyFormattedCitation":"(Gioia &amp; Hopper, 2017; Hopper &amp; Gioia, 2004a)"},"properties":{"noteIndex":0},"schema":"https://github.com/citation-style-language/schema/raw/master/csl-citation.json"}</w:instrText>
      </w:r>
      <w:r w:rsidR="00184015">
        <w:fldChar w:fldCharType="separate"/>
      </w:r>
      <w:r w:rsidR="00E74506" w:rsidRPr="00E74506">
        <w:rPr>
          <w:noProof/>
        </w:rPr>
        <w:t>(Gioia &amp; Hopper, 2017; Hopper &amp; Gioia, 2004a)</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 xml:space="preserve">e excluded occurrence data (and indeed </w:t>
      </w:r>
      <w:r w:rsidR="00841086">
        <w:lastRenderedPageBreak/>
        <w:t>environmental data, below) originating from coastal pixels at the 0.05</w:t>
      </w:r>
      <w:r w:rsidR="00841086">
        <w:rPr>
          <w:rFonts w:cstheme="majorBidi"/>
        </w:rPr>
        <w:t>° resolution</w:t>
      </w:r>
      <w:r w:rsidR="00D52E5F">
        <w:rPr>
          <w:rFonts w:cstheme="majorBidi"/>
        </w:rPr>
        <w:t xml:space="preserve">. </w:t>
      </w:r>
      <w:commentRangeStart w:id="7"/>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41086">
        <w:rPr>
          <w:rFonts w:cstheme="majorBidi"/>
        </w:rPr>
        <w:t>.</w:t>
      </w:r>
      <w:commentRangeEnd w:id="7"/>
      <w:r w:rsidR="00BC6386">
        <w:rPr>
          <w:rStyle w:val="CommentReference"/>
          <w:rFonts w:ascii="Times New Roman" w:hAnsiTheme="minorHAnsi"/>
        </w:rPr>
        <w:commentReference w:id="7"/>
      </w:r>
    </w:p>
    <w:p w14:paraId="26664BCB" w14:textId="103B8C9C"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r w:rsidR="00E0178F">
        <w:t>(</w:t>
      </w:r>
      <w:proofErr w:type="spellStart"/>
      <w:r w:rsidR="00E0178F">
        <w:t>sensu</w:t>
      </w:r>
      <w:proofErr w:type="spellEnd"/>
      <w:r w:rsidR="00E0178F">
        <w:t xml:space="preserve"> </w:t>
      </w:r>
      <w:r w:rsidR="00E0178F">
        <w:fldChar w:fldCharType="begin" w:fldLock="1"/>
      </w:r>
      <w:r w:rsidR="00E0178F">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w:t>
        </w:r>
        <w:r w:rsidR="00E0178F" w:rsidRPr="00457946">
          <w:rPr>
            <w:rStyle w:val="Hyperlink"/>
          </w:rPr>
          <w:t>mindland.com/wp/projects/quarter-degree-grid-cells/download-qdgc</w:t>
        </w:r>
        <w:r w:rsidR="00E0178F" w:rsidRPr="00457946">
          <w:rPr>
            <w:rStyle w:val="Hyperlink"/>
          </w:rPr>
          <w:t>/</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AC3CEC">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Summerville, Crist, &amp; Gering, 2002)","plainTextFormattedCitation":"(Veech, Summerville, Crist, &amp; Gering, 2002)","previouslyFormattedCitation":"(Veech, Summerville, Crist, &amp; Gering, 2002)"},"properties":{"noteIndex":0},"schema":"https://github.com/citation-style-language/schema/raw/master/csl-citation.json"}</w:instrText>
      </w:r>
      <w:r w:rsidR="00E86968">
        <w:fldChar w:fldCharType="separate"/>
      </w:r>
      <w:r w:rsidR="00E86968" w:rsidRPr="00E86968">
        <w:rPr>
          <w:noProof/>
        </w:rPr>
        <w:t>(Veech, Summerville, Crist, &amp; Gering,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65782"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65782"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027BB961"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EF14C9">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Trewartha","type":"article-journal","volume":"59"},"uris":["http://www.mendeley.com/documents/?uuid=da8a6dfa-f238-4b9d-b3f7-a002f40c23ad"]}],"mendeley":{"formattedCitation":"(Belda, Holtanová, Halenka, &amp; Kalvová, 2014)","plainTextFormattedCitation":"(Belda, Holtanová, Halenka, &amp; Kalvová, 2014)","previouslyFormattedCitation":"(Belda, Holtanová, Halenka, &amp; Kalvová, 2014)"},"properties":{"noteIndex":0},"schema":"https://github.com/citation-style-language/schema/raw/master/csl-citation.json"}</w:instrText>
      </w:r>
      <w:r w:rsidR="005A134B">
        <w:fldChar w:fldCharType="separate"/>
      </w:r>
      <w:r w:rsidR="005A134B" w:rsidRPr="005A134B">
        <w:rPr>
          <w:noProof/>
        </w:rPr>
        <w:t>(Belda, Holtanová, Halenka, &amp; Kalvová,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D42D7E">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Brundrett, Raven, &amp; Hopper, 2010; Lambers, Shane, Cramer, Pearse, &amp; Veneklaas, 2006; Shane, Cramer, &amp; Lambers, 2008)","plainTextFormattedCitation":"(Lambers, Brundrett, Raven, &amp; Hopper, 2010; Lambers, Shane, Cramer, Pearse, &amp; Veneklaas, 2006; Shane, Cramer, &amp; Lambers, 2008)","previouslyFormattedCitation":"(Lambers, Brundrett, Raven, &amp; Hopper, 2010; Lambers, Shane, Cramer, Pearse, &amp; Veneklaas, 2006; Shane, Cramer, &amp; Lambers, 2008)"},"properties":{"noteIndex":0},"schema":"https://github.com/citation-style-language/schema/raw/master/csl-citation.json"}</w:instrText>
      </w:r>
      <w:r w:rsidR="00EF14C9">
        <w:fldChar w:fldCharType="separate"/>
      </w:r>
      <w:r w:rsidR="000235F3" w:rsidRPr="000235F3">
        <w:rPr>
          <w:noProof/>
        </w:rPr>
        <w:t>(Lambers, Brundrett, Raven, &amp; Hopper, 2010; Lambers, Shane, Cramer, Pearse, &amp; Veneklaas, 2006; Shane, Cramer, &amp; Lambers,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6A04D318"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w:t>
      </w:r>
      <w:r w:rsidR="005F0FFB" w:rsidRPr="00A3580F">
        <w:lastRenderedPageBreak/>
        <w:t xml:space="preserve">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r w:rsidR="0014092A">
        <w:t>(</w:t>
      </w:r>
      <w:proofErr w:type="spellStart"/>
      <w:r w:rsidR="0014092A">
        <w:t>sensu</w:t>
      </w:r>
      <w:proofErr w:type="spellEnd"/>
      <w:r w:rsidR="0014092A">
        <w:t xml:space="preserve"> </w:t>
      </w:r>
      <w:r w:rsidR="0014092A">
        <w:fldChar w:fldCharType="begin" w:fldLock="1"/>
      </w:r>
      <w:r w:rsidR="0014092A">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8"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8"/>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9" w:name="environmental-heterogeneity-as-an-explan"/>
      <w:r>
        <w:t>2.3</w:t>
      </w:r>
      <w:r w:rsidR="0009179A">
        <w:t>:</w:t>
      </w:r>
      <w:r>
        <w:t xml:space="preserve"> </w:t>
      </w:r>
      <w:r w:rsidR="005F0FFB">
        <w:t>Environmental heterogeneity as an explanation of species richness</w:t>
      </w:r>
      <w:bookmarkEnd w:id="9"/>
    </w:p>
    <w:p w14:paraId="23BA1837" w14:textId="4481451F"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 xml:space="preserve">across the two </w:t>
      </w:r>
      <w:commentRangeStart w:id="10"/>
      <w:r w:rsidR="00793F46">
        <w:t>regions</w:t>
      </w:r>
      <w:commentRangeEnd w:id="10"/>
      <w:r w:rsidR="00F5444D">
        <w:rPr>
          <w:rStyle w:val="CommentReference"/>
          <w:rFonts w:ascii="Times New Roman" w:hAnsiTheme="minorHAnsi"/>
        </w:rPr>
        <w:commentReference w:id="10"/>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lastRenderedPageBreak/>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DD72200"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4AD924F"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2"/>
      <w:r w:rsidRPr="006B3905">
        <w:t>(</w:t>
      </w:r>
      <w:r w:rsidR="00304EA1" w:rsidRPr="006B3905">
        <w:t xml:space="preserve">Figure </w:t>
      </w:r>
      <w:r w:rsidR="00FC2A30" w:rsidRPr="006B3905">
        <w:t>1</w:t>
      </w:r>
      <w:r w:rsidRPr="006B3905">
        <w:t xml:space="preserve">a,b). </w:t>
      </w:r>
      <w:commentRangeEnd w:id="12"/>
      <w:r w:rsidR="00F5444D">
        <w:rPr>
          <w:rStyle w:val="CommentReference"/>
          <w:rFonts w:ascii="Times New Roman" w:hAnsiTheme="minorHAnsi"/>
        </w:rPr>
        <w:commentReference w:id="12"/>
      </w:r>
      <w:r w:rsidRPr="006B3905">
        <w:t xml:space="preserve">Comparisons of species richness between the regions using two-sided </w:t>
      </w:r>
      <w:commentRangeStart w:id="13"/>
      <w:r w:rsidRPr="006B3905">
        <w:t xml:space="preserve">Mann-Whitney </w:t>
      </w:r>
      <w:r w:rsidRPr="006B3905">
        <w:rPr>
          <w:i/>
        </w:rPr>
        <w:t>U</w:t>
      </w:r>
      <w:r w:rsidR="005A1608">
        <w:t>-</w:t>
      </w:r>
      <w:r w:rsidRPr="006B3905">
        <w:t xml:space="preserve">tests </w:t>
      </w:r>
      <w:commentRangeEnd w:id="13"/>
      <w:r w:rsidR="00BC6386">
        <w:rPr>
          <w:rStyle w:val="CommentReference"/>
          <w:rFonts w:ascii="Times New Roman" w:hAnsiTheme="minorHAnsi"/>
        </w:rPr>
        <w:commentReference w:id="13"/>
      </w:r>
      <w:r w:rsidRPr="006B3905">
        <w:t>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HDS-scales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11053763"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commentRangeStart w:id="15"/>
      <w:r>
        <w:lastRenderedPageBreak/>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w:t>
      </w:r>
      <w:commentRangeEnd w:id="15"/>
      <w:r w:rsidR="00BB1C13">
        <w:rPr>
          <w:rStyle w:val="CommentReference"/>
          <w:rFonts w:ascii="Times New Roman" w:hAnsiTheme="minorHAnsi"/>
        </w:rPr>
        <w:commentReference w:id="15"/>
      </w:r>
      <w:r w:rsidR="005171EA">
        <w:t>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7E2F9F9" w:rsidR="009B180C" w:rsidRPr="00C47FAF" w:rsidRDefault="006B7A26">
      <w:pPr>
        <w:pStyle w:val="FirstParagraph"/>
        <w:rPr>
          <w:rFonts w:eastAsiaTheme="minorEastAsia" w:cstheme="majorBidi"/>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heterogeneity in each of the nine environmental 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52574B">
        <w:rPr>
          <w:rFonts w:eastAsiaTheme="minorEastAsia"/>
          <w:highlight w:val="red"/>
        </w:rPr>
        <w:t xml:space="preserve">in a consistently positive manner across the two study regions. In addition, </w:t>
      </w:r>
      <w:r w:rsidR="002C7612" w:rsidRPr="0052574B">
        <w:rPr>
          <w:rFonts w:eastAsiaTheme="minorEastAsia"/>
          <w:highlight w:val="red"/>
        </w:rPr>
        <w:t>they</w:t>
      </w:r>
      <w:r w:rsidR="00F554DF" w:rsidRPr="0052574B">
        <w:rPr>
          <w:rFonts w:eastAsiaTheme="minorEastAsia"/>
          <w:highlight w:val="red"/>
        </w:rPr>
        <w:t xml:space="preserve"> show</w:t>
      </w:r>
      <w:r w:rsidR="002C7612" w:rsidRPr="0052574B">
        <w:rPr>
          <w:rFonts w:eastAsiaTheme="minorEastAsia"/>
          <w:highlight w:val="red"/>
        </w:rPr>
        <w:t xml:space="preserve"> that,</w:t>
      </w:r>
      <w:r w:rsidR="003E7233" w:rsidRPr="0052574B">
        <w:rPr>
          <w:highlight w:val="red"/>
        </w:rPr>
        <w:t xml:space="preserve"> at the HDS- and DS-scales</w:t>
      </w:r>
      <w:r w:rsidR="00983D13" w:rsidRPr="0052574B">
        <w:rPr>
          <w:highlight w:val="red"/>
        </w:rPr>
        <w:t>,</w:t>
      </w:r>
      <w:r w:rsidR="003E7233" w:rsidRPr="0052574B">
        <w:rPr>
          <w:highlight w:val="red"/>
        </w:rPr>
        <w:t xml:space="preserve"> </w:t>
      </w:r>
      <w:r w:rsidR="002C7612" w:rsidRPr="0052574B">
        <w:rPr>
          <w:rFonts w:eastAsiaTheme="minorEastAsia"/>
          <w:highlight w:val="red"/>
        </w:rPr>
        <w:t>the effect of</w:t>
      </w:r>
      <w:r w:rsidR="003E7233" w:rsidRPr="0052574B">
        <w:rPr>
          <w:rFonts w:eastAsiaTheme="minorEastAsia"/>
          <w:highlight w:val="red"/>
        </w:rPr>
        <w:t xml:space="preserve"> </w:t>
      </w:r>
      <w:r w:rsidR="002C7612" w:rsidRPr="0052574B">
        <w:rPr>
          <w:rFonts w:eastAsiaTheme="minorEastAsia"/>
          <w:highlight w:val="red"/>
        </w:rPr>
        <w:t xml:space="preserve">heterogeneity in each environmental variable, and of PC1, on </w:t>
      </w:r>
      <w:r w:rsidR="003E7233" w:rsidRPr="0052574B">
        <w:rPr>
          <w:rFonts w:eastAsiaTheme="minorEastAsia"/>
          <w:highlight w:val="red"/>
        </w:rPr>
        <w:t xml:space="preserve">species richness </w:t>
      </w:r>
      <w:r w:rsidR="002C7612" w:rsidRPr="0052574B">
        <w:rPr>
          <w:rFonts w:eastAsiaTheme="minorEastAsia"/>
          <w:highlight w:val="red"/>
        </w:rPr>
        <w:t>is uniform</w:t>
      </w:r>
      <w:r w:rsidR="00E64B6B" w:rsidRPr="0052574B">
        <w:rPr>
          <w:rFonts w:eastAsiaTheme="minorEastAsia"/>
          <w:highlight w:val="red"/>
        </w:rPr>
        <w:t xml:space="preserve"> </w:t>
      </w:r>
      <w:r w:rsidR="003E7233" w:rsidRPr="0052574B">
        <w:rPr>
          <w:rFonts w:eastAsiaTheme="minorEastAsia"/>
          <w:highlight w:val="red"/>
        </w:rPr>
        <w:t>across the two regions</w:t>
      </w:r>
      <w:r w:rsidR="00983D13" w:rsidRPr="0052574B">
        <w:rPr>
          <w:rFonts w:eastAsiaTheme="minorEastAsia"/>
          <w:highlight w:val="red"/>
        </w:rPr>
        <w:t xml:space="preserve"> (</w:t>
      </w:r>
      <w:r w:rsidR="00A23494" w:rsidRPr="0052574B">
        <w:rPr>
          <w:rFonts w:eastAsiaTheme="minorEastAsia"/>
          <w:highlight w:val="red"/>
        </w:rPr>
        <w:t>i.e. “main effect</w:t>
      </w:r>
      <w:r w:rsidR="00EC5B19" w:rsidRPr="0052574B">
        <w:rPr>
          <w:rFonts w:eastAsiaTheme="minorEastAsia"/>
          <w:highlight w:val="red"/>
        </w:rPr>
        <w:t xml:space="preserve"> only</w:t>
      </w:r>
      <w:r w:rsidR="00A23494" w:rsidRPr="0052574B">
        <w:rPr>
          <w:rFonts w:eastAsiaTheme="minorEastAsia"/>
          <w:highlight w:val="red"/>
        </w:rPr>
        <w:t xml:space="preserve">” model favoured: </w:t>
      </w:r>
      <w:r w:rsidR="00983D13" w:rsidRPr="0052574B">
        <w:rPr>
          <w:rFonts w:eastAsiaTheme="minorEastAsia"/>
          <w:highlight w:val="red"/>
        </w:rPr>
        <w:t xml:space="preserve">Table </w:t>
      </w:r>
      <w:r w:rsidR="008B0E3F" w:rsidRPr="0052574B">
        <w:rPr>
          <w:rFonts w:eastAsiaTheme="minorEastAsia"/>
          <w:highlight w:val="red"/>
        </w:rPr>
        <w:t>1</w:t>
      </w:r>
      <w:r w:rsidR="00983D13" w:rsidRPr="0052574B">
        <w:rPr>
          <w:rFonts w:eastAsiaTheme="minorEastAsia"/>
          <w:highlight w:val="red"/>
        </w:rPr>
        <w:t xml:space="preserve">b,c; </w:t>
      </w:r>
      <w:r w:rsidR="00B02E73" w:rsidRPr="0052574B">
        <w:rPr>
          <w:rFonts w:eastAsiaTheme="minorEastAsia"/>
          <w:highlight w:val="red"/>
        </w:rPr>
        <w:t xml:space="preserve">Figure </w:t>
      </w:r>
      <w:r w:rsidR="00FF0F3A" w:rsidRPr="0052574B">
        <w:rPr>
          <w:rFonts w:eastAsiaTheme="minorEastAsia"/>
          <w:highlight w:val="red"/>
        </w:rPr>
        <w:t>4</w:t>
      </w:r>
      <w:r w:rsidR="00983D13" w:rsidRPr="0052574B">
        <w:rPr>
          <w:rFonts w:eastAsiaTheme="minorEastAsia"/>
          <w:highlight w:val="red"/>
        </w:rPr>
        <w:t>b, c)</w:t>
      </w:r>
      <w:r w:rsidR="003E7233" w:rsidRPr="0052574B">
        <w:rPr>
          <w:rFonts w:eastAsiaTheme="minorEastAsia"/>
          <w:highlight w:val="red"/>
        </w:rPr>
        <w:t xml:space="preserve">. </w:t>
      </w:r>
      <w:r w:rsidR="006C19C9" w:rsidRPr="0052574B">
        <w:rPr>
          <w:rFonts w:eastAsiaTheme="minorEastAsia"/>
          <w:highlight w:val="red"/>
        </w:rPr>
        <w:t>By contrast, t</w:t>
      </w:r>
      <w:r w:rsidR="00B9531E" w:rsidRPr="0052574B">
        <w:rPr>
          <w:highlight w:val="red"/>
        </w:rPr>
        <w:t>he</w:t>
      </w:r>
      <w:r w:rsidR="00D874F0" w:rsidRPr="0052574B">
        <w:rPr>
          <w:highlight w:val="red"/>
        </w:rPr>
        <w:t xml:space="preserve"> relationship of species richness to heterogeneity</w:t>
      </w:r>
      <w:r w:rsidR="00A23494" w:rsidRPr="0052574B">
        <w:rPr>
          <w:highlight w:val="red"/>
        </w:rPr>
        <w:t xml:space="preserve"> </w:t>
      </w:r>
      <w:r w:rsidR="001A7D58" w:rsidRPr="0052574B">
        <w:rPr>
          <w:rFonts w:eastAsiaTheme="minorEastAsia"/>
          <w:highlight w:val="red"/>
        </w:rPr>
        <w:t xml:space="preserve">at the </w:t>
      </w:r>
      <w:r w:rsidR="001A7D58" w:rsidRPr="0052574B">
        <w:rPr>
          <w:highlight w:val="red"/>
        </w:rPr>
        <w:t xml:space="preserve">QDS-scale </w:t>
      </w:r>
      <w:r w:rsidR="007D1813" w:rsidRPr="0052574B">
        <w:rPr>
          <w:highlight w:val="red"/>
        </w:rPr>
        <w:t>is</w:t>
      </w:r>
      <w:r w:rsidR="007F71F9" w:rsidRPr="0052574B">
        <w:rPr>
          <w:highlight w:val="red"/>
        </w:rPr>
        <w:t xml:space="preserve"> </w:t>
      </w:r>
      <w:r w:rsidR="006C19C9" w:rsidRPr="0052574B">
        <w:rPr>
          <w:highlight w:val="red"/>
        </w:rPr>
        <w:t>generall</w:t>
      </w:r>
      <w:r w:rsidR="002C7612" w:rsidRPr="0052574B">
        <w:rPr>
          <w:highlight w:val="red"/>
        </w:rPr>
        <w:t>y</w:t>
      </w:r>
      <w:r w:rsidR="007D1813" w:rsidRPr="0052574B">
        <w:rPr>
          <w:highlight w:val="red"/>
        </w:rPr>
        <w:t xml:space="preserve"> region-dependent</w:t>
      </w:r>
      <w:r w:rsidR="00D874F0" w:rsidRPr="0052574B">
        <w:rPr>
          <w:highlight w:val="red"/>
        </w:rPr>
        <w:t xml:space="preserve">, the “main effect </w:t>
      </w:r>
      <w:r w:rsidR="00D874F0" w:rsidRPr="0052574B">
        <w:rPr>
          <w:rFonts w:eastAsiaTheme="minorEastAsia" w:cstheme="majorBidi"/>
          <w:highlight w:val="red"/>
        </w:rPr>
        <w:t xml:space="preserve">× region” model being favoured for three </w:t>
      </w:r>
      <w:r w:rsidR="006C19C9" w:rsidRPr="0052574B">
        <w:rPr>
          <w:rFonts w:eastAsiaTheme="minorEastAsia" w:cstheme="majorBidi"/>
          <w:highlight w:val="red"/>
        </w:rPr>
        <w:t xml:space="preserve">environmental </w:t>
      </w:r>
      <w:r w:rsidR="007D1813" w:rsidRPr="0052574B">
        <w:rPr>
          <w:rFonts w:eastAsiaTheme="minorEastAsia" w:cstheme="majorBidi"/>
          <w:highlight w:val="red"/>
        </w:rPr>
        <w:t>variables</w:t>
      </w:r>
      <w:r w:rsidR="00D874F0" w:rsidRPr="0052574B">
        <w:rPr>
          <w:rFonts w:eastAsiaTheme="minorEastAsia" w:cstheme="majorBidi"/>
          <w:highlight w:val="red"/>
        </w:rPr>
        <w:t xml:space="preserve"> </w:t>
      </w:r>
      <w:r w:rsidR="006C19C9" w:rsidRPr="0052574B">
        <w:rPr>
          <w:rFonts w:eastAsiaTheme="minorEastAsia" w:cstheme="majorBidi"/>
          <w:highlight w:val="red"/>
        </w:rPr>
        <w:t>and</w:t>
      </w:r>
      <w:r w:rsidR="001A7D58" w:rsidRPr="0052574B">
        <w:rPr>
          <w:rFonts w:eastAsiaTheme="minorEastAsia" w:cstheme="majorBidi"/>
          <w:highlight w:val="red"/>
        </w:rPr>
        <w:t xml:space="preserve"> PC1</w:t>
      </w:r>
      <w:r w:rsidR="002644D2" w:rsidRPr="0052574B">
        <w:rPr>
          <w:rFonts w:eastAsiaTheme="minorEastAsia" w:cstheme="majorBidi"/>
          <w:highlight w:val="red"/>
        </w:rPr>
        <w:t>,</w:t>
      </w:r>
      <w:r w:rsidR="001A7D58" w:rsidRPr="0052574B">
        <w:rPr>
          <w:rFonts w:eastAsiaTheme="minorEastAsia" w:cstheme="majorBidi"/>
          <w:highlight w:val="red"/>
        </w:rPr>
        <w:t xml:space="preserve"> </w:t>
      </w:r>
      <w:r w:rsidR="00D874F0" w:rsidRPr="0052574B">
        <w:rPr>
          <w:rFonts w:eastAsiaTheme="minorEastAsia" w:cstheme="majorBidi"/>
          <w:highlight w:val="red"/>
        </w:rPr>
        <w:t xml:space="preserve">and </w:t>
      </w:r>
      <w:r w:rsidR="00D874F0" w:rsidRPr="0052574B">
        <w:rPr>
          <w:highlight w:val="red"/>
        </w:rPr>
        <w:t xml:space="preserve">the “main effect </w:t>
      </w:r>
      <w:r w:rsidR="00502524" w:rsidRPr="0052574B">
        <w:rPr>
          <w:rFonts w:eastAsiaTheme="minorEastAsia" w:cstheme="majorBidi"/>
          <w:highlight w:val="red"/>
        </w:rPr>
        <w:t>+</w:t>
      </w:r>
      <w:r w:rsidR="00D874F0" w:rsidRPr="0052574B">
        <w:rPr>
          <w:rFonts w:eastAsiaTheme="minorEastAsia" w:cstheme="majorBidi"/>
          <w:highlight w:val="red"/>
        </w:rPr>
        <w:t xml:space="preserve"> region” model </w:t>
      </w:r>
      <w:r w:rsidR="001A7D58" w:rsidRPr="0052574B">
        <w:rPr>
          <w:rFonts w:eastAsiaTheme="minorEastAsia" w:cstheme="majorBidi"/>
          <w:highlight w:val="red"/>
        </w:rPr>
        <w:t>for four</w:t>
      </w:r>
      <w:r w:rsidR="002644D2" w:rsidRPr="0052574B">
        <w:rPr>
          <w:rFonts w:eastAsiaTheme="minorEastAsia" w:cstheme="majorBidi"/>
          <w:highlight w:val="red"/>
        </w:rPr>
        <w:t xml:space="preserve"> variables</w:t>
      </w:r>
      <w:r w:rsidR="001A7D58" w:rsidRPr="0052574B">
        <w:rPr>
          <w:rFonts w:eastAsiaTheme="minorEastAsia" w:cstheme="majorBidi"/>
          <w:highlight w:val="red"/>
        </w:rPr>
        <w:t xml:space="preserve"> (Table </w:t>
      </w:r>
      <w:r w:rsidR="008B0E3F" w:rsidRPr="0052574B">
        <w:rPr>
          <w:rFonts w:eastAsiaTheme="minorEastAsia" w:cstheme="majorBidi"/>
          <w:highlight w:val="red"/>
        </w:rPr>
        <w:t>1</w:t>
      </w:r>
      <w:r w:rsidR="001A7D58" w:rsidRPr="0052574B">
        <w:rPr>
          <w:rFonts w:eastAsiaTheme="minorEastAsia" w:cstheme="majorBidi"/>
          <w:highlight w:val="red"/>
        </w:rPr>
        <w:t>a)</w:t>
      </w:r>
      <w:r w:rsidR="00827247" w:rsidRPr="0052574B">
        <w:rPr>
          <w:rFonts w:eastAsiaTheme="minorEastAsia" w:cstheme="majorBidi"/>
          <w:highlight w:val="red"/>
        </w:rPr>
        <w:t>. However</w:t>
      </w:r>
      <w:r w:rsidR="001A7D58" w:rsidRPr="0052574B">
        <w:rPr>
          <w:rFonts w:eastAsiaTheme="minorEastAsia" w:cstheme="majorBidi"/>
          <w:highlight w:val="red"/>
        </w:rPr>
        <w:t xml:space="preserve">, the </w:t>
      </w:r>
      <w:r w:rsidR="009F192B" w:rsidRPr="0052574B">
        <w:rPr>
          <w:rFonts w:eastAsiaTheme="minorEastAsia" w:cstheme="majorBidi"/>
          <w:highlight w:val="red"/>
        </w:rPr>
        <w:t>coefficient</w:t>
      </w:r>
      <w:r w:rsidR="006C19C9" w:rsidRPr="0052574B">
        <w:rPr>
          <w:rFonts w:eastAsiaTheme="minorEastAsia" w:cstheme="majorBidi"/>
          <w:highlight w:val="red"/>
        </w:rPr>
        <w:t xml:space="preserve">s </w:t>
      </w:r>
      <w:r w:rsidR="009F192B" w:rsidRPr="0052574B">
        <w:rPr>
          <w:rFonts w:eastAsiaTheme="minorEastAsia" w:cstheme="majorBidi"/>
          <w:highlight w:val="red"/>
        </w:rPr>
        <w:t xml:space="preserve">of </w:t>
      </w:r>
      <w:r w:rsidR="001A7D58" w:rsidRPr="0052574B">
        <w:rPr>
          <w:rFonts w:eastAsiaTheme="minorEastAsia" w:cstheme="majorBidi"/>
          <w:highlight w:val="red"/>
        </w:rPr>
        <w:t xml:space="preserve">the significant interaction </w:t>
      </w:r>
      <w:r w:rsidR="006C19C9" w:rsidRPr="0052574B">
        <w:rPr>
          <w:rFonts w:eastAsiaTheme="minorEastAsia" w:cstheme="majorBidi"/>
          <w:highlight w:val="red"/>
        </w:rPr>
        <w:t xml:space="preserve">(24.6 to 89.4) </w:t>
      </w:r>
      <w:r w:rsidR="001A7D58" w:rsidRPr="0052574B">
        <w:rPr>
          <w:rFonts w:eastAsiaTheme="minorEastAsia" w:cstheme="majorBidi"/>
          <w:highlight w:val="red"/>
        </w:rPr>
        <w:t xml:space="preserve">and region </w:t>
      </w:r>
      <w:r w:rsidR="006C19C9" w:rsidRPr="0052574B">
        <w:rPr>
          <w:rFonts w:eastAsiaTheme="minorEastAsia" w:cstheme="majorBidi"/>
          <w:highlight w:val="red"/>
        </w:rPr>
        <w:t xml:space="preserve">(50.5 to 72.6) </w:t>
      </w:r>
      <w:r w:rsidR="009F192B" w:rsidRPr="0052574B">
        <w:rPr>
          <w:rFonts w:eastAsiaTheme="minorEastAsia" w:cstheme="majorBidi"/>
          <w:highlight w:val="red"/>
        </w:rPr>
        <w:t>terms</w:t>
      </w:r>
      <w:r w:rsidR="001A7D58" w:rsidRPr="0052574B">
        <w:rPr>
          <w:rFonts w:eastAsiaTheme="minorEastAsia" w:cstheme="majorBidi"/>
          <w:highlight w:val="red"/>
        </w:rPr>
        <w:t xml:space="preserve"> are small</w:t>
      </w:r>
      <w:r w:rsidR="003E77D9" w:rsidRPr="0052574B">
        <w:rPr>
          <w:rFonts w:eastAsiaTheme="minorEastAsia" w:cstheme="majorBidi"/>
          <w:highlight w:val="red"/>
        </w:rPr>
        <w:t xml:space="preserve"> in magnitude</w:t>
      </w:r>
      <w:r w:rsidR="001A7D58" w:rsidRPr="0052574B">
        <w:rPr>
          <w:rFonts w:eastAsiaTheme="minorEastAsia" w:cstheme="majorBidi"/>
          <w:highlight w:val="red"/>
        </w:rPr>
        <w:t xml:space="preserve"> relative to the </w:t>
      </w:r>
      <w:r w:rsidR="00827247" w:rsidRPr="0052574B">
        <w:rPr>
          <w:rFonts w:eastAsiaTheme="minorEastAsia" w:cstheme="majorBidi"/>
          <w:highlight w:val="red"/>
        </w:rPr>
        <w:t xml:space="preserve">spread of residual </w:t>
      </w:r>
      <w:r w:rsidR="001A7D58" w:rsidRPr="0052574B">
        <w:rPr>
          <w:rFonts w:eastAsiaTheme="minorEastAsia" w:cstheme="majorBidi"/>
          <w:highlight w:val="red"/>
        </w:rPr>
        <w:t xml:space="preserve">species richness </w:t>
      </w:r>
      <w:r w:rsidR="009E0429" w:rsidRPr="0052574B">
        <w:rPr>
          <w:rFonts w:eastAsiaTheme="minorEastAsia" w:cstheme="majorBidi"/>
          <w:highlight w:val="red"/>
        </w:rPr>
        <w:t xml:space="preserve">at the </w:t>
      </w:r>
      <w:r w:rsidR="001A7D58" w:rsidRPr="0052574B">
        <w:rPr>
          <w:rFonts w:eastAsiaTheme="minorEastAsia" w:cstheme="majorBidi"/>
          <w:highlight w:val="red"/>
        </w:rPr>
        <w:t>QDS</w:t>
      </w:r>
      <w:r w:rsidR="009E0429" w:rsidRPr="0052574B">
        <w:rPr>
          <w:rFonts w:eastAsiaTheme="minorEastAsia" w:cstheme="majorBidi"/>
          <w:highlight w:val="red"/>
        </w:rPr>
        <w:t>-scale within</w:t>
      </w:r>
      <w:r w:rsidR="001A7D58" w:rsidRPr="0052574B">
        <w:rPr>
          <w:rFonts w:eastAsiaTheme="minorEastAsia" w:cstheme="majorBidi"/>
          <w:highlight w:val="red"/>
        </w:rPr>
        <w:t xml:space="preserve"> </w:t>
      </w:r>
      <w:r w:rsidR="009E0429" w:rsidRPr="0052574B">
        <w:rPr>
          <w:rFonts w:eastAsiaTheme="minorEastAsia" w:cstheme="majorBidi"/>
          <w:highlight w:val="red"/>
        </w:rPr>
        <w:t xml:space="preserve">each region </w:t>
      </w:r>
      <w:r w:rsidR="001A7D58" w:rsidRPr="0052574B">
        <w:rPr>
          <w:highlight w:val="red"/>
        </w:rPr>
        <w:t>(</w:t>
      </w:r>
      <w:r w:rsidR="001A7D58" w:rsidRPr="0052574B">
        <w:rPr>
          <w:i/>
          <w:iCs/>
          <w:highlight w:val="red"/>
        </w:rPr>
        <w:t>SD</w:t>
      </w:r>
      <w:r w:rsidR="00827247" w:rsidRPr="0052574B">
        <w:rPr>
          <w:iCs/>
          <w:highlight w:val="red"/>
          <w:vertAlign w:val="subscript"/>
        </w:rPr>
        <w:t>GCFR</w:t>
      </w:r>
      <w:r w:rsidR="001A7D58" w:rsidRPr="0052574B">
        <w:rPr>
          <w:highlight w:val="red"/>
        </w:rPr>
        <w:t xml:space="preserve"> = </w:t>
      </w:r>
      <w:r w:rsidR="00827247" w:rsidRPr="0052574B">
        <w:rPr>
          <w:highlight w:val="red"/>
        </w:rPr>
        <w:t>335</w:t>
      </w:r>
      <w:r w:rsidR="001A7D58" w:rsidRPr="0052574B">
        <w:rPr>
          <w:highlight w:val="red"/>
        </w:rPr>
        <w:t>.</w:t>
      </w:r>
      <w:r w:rsidR="00827247" w:rsidRPr="0052574B">
        <w:rPr>
          <w:highlight w:val="red"/>
        </w:rPr>
        <w:t xml:space="preserve">2; </w:t>
      </w:r>
      <w:r w:rsidR="00827247" w:rsidRPr="0052574B">
        <w:rPr>
          <w:i/>
          <w:iCs/>
          <w:highlight w:val="red"/>
        </w:rPr>
        <w:t>SD</w:t>
      </w:r>
      <w:r w:rsidR="00827247" w:rsidRPr="0052574B">
        <w:rPr>
          <w:iCs/>
          <w:highlight w:val="red"/>
          <w:vertAlign w:val="subscript"/>
        </w:rPr>
        <w:t>SWAFR</w:t>
      </w:r>
      <w:r w:rsidR="00827247" w:rsidRPr="0052574B">
        <w:rPr>
          <w:highlight w:val="red"/>
        </w:rPr>
        <w:t xml:space="preserve"> = 247.4</w:t>
      </w:r>
      <w:r w:rsidR="00496FAE" w:rsidRPr="0052574B">
        <w:rPr>
          <w:highlight w:val="red"/>
        </w:rPr>
        <w:t>; Table S</w:t>
      </w:r>
      <w:r w:rsidR="00AF3227" w:rsidRPr="0052574B">
        <w:rPr>
          <w:highlight w:val="red"/>
        </w:rPr>
        <w:t>3</w:t>
      </w:r>
      <w:r w:rsidR="00496FAE" w:rsidRPr="0052574B">
        <w:rPr>
          <w:highlight w:val="red"/>
        </w:rPr>
        <w:t>a</w:t>
      </w:r>
      <w:r w:rsidR="001A7D58" w:rsidRPr="0052574B">
        <w:rPr>
          <w:highlight w:val="red"/>
        </w:rPr>
        <w:t>).</w:t>
      </w:r>
      <w:r w:rsidR="007F71F9" w:rsidRPr="0052574B">
        <w:rPr>
          <w:rFonts w:eastAsiaTheme="minorEastAsia" w:cstheme="majorBidi"/>
          <w:highlight w:val="red"/>
        </w:rPr>
        <w:t xml:space="preserve"> </w:t>
      </w:r>
      <w:r w:rsidR="001A7D58" w:rsidRPr="0052574B">
        <w:rPr>
          <w:rFonts w:eastAsiaTheme="minorEastAsia" w:cstheme="majorBidi"/>
          <w:highlight w:val="red"/>
        </w:rPr>
        <w:t xml:space="preserve">This </w:t>
      </w:r>
      <w:r w:rsidR="00A46153" w:rsidRPr="0052574B">
        <w:rPr>
          <w:rFonts w:eastAsiaTheme="minorEastAsia" w:cstheme="majorBidi"/>
          <w:highlight w:val="red"/>
        </w:rPr>
        <w:t>indicates</w:t>
      </w:r>
      <w:r w:rsidR="001A7D58" w:rsidRPr="0052574B">
        <w:rPr>
          <w:rFonts w:eastAsiaTheme="minorEastAsia" w:cstheme="majorBidi"/>
          <w:highlight w:val="red"/>
        </w:rPr>
        <w:t xml:space="preserve"> that </w:t>
      </w:r>
      <w:r w:rsidR="002644D2" w:rsidRPr="0052574B">
        <w:rPr>
          <w:rFonts w:eastAsiaTheme="minorEastAsia" w:cstheme="majorBidi"/>
          <w:highlight w:val="red"/>
        </w:rPr>
        <w:t xml:space="preserve">regional differences in the form of the </w:t>
      </w:r>
      <w:r w:rsidR="009E0429" w:rsidRPr="0052574B">
        <w:rPr>
          <w:rFonts w:eastAsiaTheme="minorEastAsia" w:cstheme="majorBidi"/>
          <w:highlight w:val="red"/>
        </w:rPr>
        <w:t xml:space="preserve">QDS-scale </w:t>
      </w:r>
      <w:r w:rsidR="002644D2" w:rsidRPr="0052574B">
        <w:rPr>
          <w:rFonts w:eastAsiaTheme="minorEastAsia" w:cstheme="majorBidi"/>
          <w:highlight w:val="red"/>
        </w:rPr>
        <w:t>species richness-heterogeneity relationship</w:t>
      </w:r>
      <w:r w:rsidR="00EB3F26" w:rsidRPr="0052574B">
        <w:rPr>
          <w:highlight w:val="red"/>
        </w:rPr>
        <w:t>, while statistically significant,</w:t>
      </w:r>
      <w:r w:rsidR="001A7D58" w:rsidRPr="0052574B">
        <w:rPr>
          <w:rFonts w:eastAsiaTheme="minorEastAsia" w:cstheme="majorBidi"/>
          <w:highlight w:val="red"/>
        </w:rPr>
        <w:t xml:space="preserve"> are </w:t>
      </w:r>
      <w:r w:rsidR="009B4280" w:rsidRPr="0052574B">
        <w:rPr>
          <w:rFonts w:eastAsiaTheme="minorEastAsia" w:cstheme="majorBidi"/>
          <w:highlight w:val="red"/>
        </w:rPr>
        <w:t>subtle</w:t>
      </w:r>
      <w:r w:rsidR="00B2312C" w:rsidRPr="0052574B">
        <w:rPr>
          <w:rFonts w:eastAsiaTheme="minorEastAsia" w:cstheme="majorBidi"/>
          <w:highlight w:val="red"/>
        </w:rPr>
        <w:t xml:space="preserve"> (see also </w:t>
      </w:r>
      <w:r w:rsidR="00B02E73" w:rsidRPr="0052574B">
        <w:rPr>
          <w:rFonts w:eastAsiaTheme="minorEastAsia" w:cstheme="majorBidi"/>
          <w:highlight w:val="red"/>
        </w:rPr>
        <w:t xml:space="preserve">Figure </w:t>
      </w:r>
      <w:r w:rsidR="00FF0F3A" w:rsidRPr="0052574B">
        <w:rPr>
          <w:rFonts w:eastAsiaTheme="minorEastAsia" w:cstheme="majorBidi"/>
          <w:highlight w:val="red"/>
        </w:rPr>
        <w:t>4</w:t>
      </w:r>
      <w:r w:rsidR="00CE206A" w:rsidRPr="0052574B">
        <w:rPr>
          <w:rFonts w:eastAsiaTheme="minorEastAsia" w:cstheme="majorBidi"/>
          <w:highlight w:val="red"/>
        </w:rPr>
        <w:t>a</w:t>
      </w:r>
      <w:r w:rsidR="00B2312C" w:rsidRPr="0052574B">
        <w:rPr>
          <w:rFonts w:eastAsiaTheme="minorEastAsia" w:cstheme="majorBidi"/>
          <w:highlight w:val="red"/>
        </w:rPr>
        <w:t>)</w:t>
      </w:r>
      <w:r w:rsidR="001A7D58" w:rsidRPr="0052574B">
        <w:rPr>
          <w:rFonts w:eastAsiaTheme="minorEastAsia" w:cstheme="majorBidi"/>
          <w:highlight w:val="red"/>
        </w:rPr>
        <w:t>.</w:t>
      </w:r>
    </w:p>
    <w:p w14:paraId="6B93ECCA" w14:textId="6D35081E" w:rsidR="00FC1C62" w:rsidRDefault="00B930DF">
      <w:pPr>
        <w:pStyle w:val="FirstParagraph"/>
      </w:pPr>
      <w:r w:rsidRPr="00866807">
        <w:t>With the exception of</w:t>
      </w:r>
      <w:r w:rsidR="00924C2A">
        <w:t xml:space="preserve"> heterogeneity in</w:t>
      </w:r>
      <w:r w:rsidRPr="00866807">
        <w:t xml:space="preserve"> pH at all spatial scales and </w:t>
      </w:r>
      <w:r w:rsidR="00924C2A">
        <w:t xml:space="preserve">heterogeneity in </w:t>
      </w:r>
      <w:r w:rsidRPr="00866807">
        <w:t xml:space="preserve">elevation at the DS-scale, effects of all heterogeneity predictors retained in the optimal multiple regression models </w:t>
      </w:r>
      <w:r w:rsidR="00FC0F34">
        <w:t xml:space="preserve">(Figure 5) </w:t>
      </w:r>
      <w:r w:rsidR="00350FE5" w:rsidRPr="00866807">
        <w:t>a</w:t>
      </w:r>
      <w:r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64694B">
        <w:t>corrobora</w:t>
      </w:r>
      <w:r w:rsidR="00866807">
        <w:t>te</w:t>
      </w:r>
      <w:r w:rsidR="00F5404A">
        <w:t>s</w:t>
      </w:r>
      <w:r w:rsidR="0064694B">
        <w:t xml:space="preserve"> the</w:t>
      </w:r>
      <w:r w:rsidR="00350FE5">
        <w:t xml:space="preserve"> </w:t>
      </w:r>
      <w:commentRangeStart w:id="16"/>
      <w:r w:rsidR="00350FE5">
        <w:t xml:space="preserve">generally </w:t>
      </w:r>
      <w:commentRangeEnd w:id="16"/>
      <w:r w:rsidR="00372978">
        <w:rPr>
          <w:rStyle w:val="CommentReference"/>
          <w:rFonts w:ascii="Times New Roman" w:hAnsiTheme="minorHAnsi"/>
        </w:rPr>
        <w:commentReference w:id="16"/>
      </w:r>
      <w:r w:rsidR="0090296A">
        <w:t>positive</w:t>
      </w:r>
      <w:r w:rsidR="00350FE5">
        <w:t xml:space="preserve"> influence of heterogeneity on species richness</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rsidR="00350FE5">
        <w:t xml:space="preserve"> </w:t>
      </w:r>
      <w:r w:rsidR="0028338C" w:rsidRPr="0052574B">
        <w:rPr>
          <w:highlight w:val="red"/>
        </w:rPr>
        <w:t xml:space="preserve">In contrast to </w:t>
      </w:r>
      <w:r w:rsidR="00237525" w:rsidRPr="0052574B">
        <w:rPr>
          <w:highlight w:val="red"/>
        </w:rPr>
        <w:t xml:space="preserve">the </w:t>
      </w:r>
      <w:r w:rsidR="006B7A26" w:rsidRPr="0052574B">
        <w:rPr>
          <w:highlight w:val="red"/>
        </w:rPr>
        <w:t xml:space="preserve">optimal </w:t>
      </w:r>
      <w:r w:rsidRPr="0052574B">
        <w:rPr>
          <w:highlight w:val="red"/>
        </w:rPr>
        <w:t>ANCOVA</w:t>
      </w:r>
      <w:r w:rsidR="006B7A26" w:rsidRPr="0052574B">
        <w:rPr>
          <w:highlight w:val="red"/>
        </w:rPr>
        <w:t xml:space="preserve"> models, multiple</w:t>
      </w:r>
      <w:r w:rsidR="00350FE5" w:rsidRPr="0052574B">
        <w:rPr>
          <w:highlight w:val="red"/>
        </w:rPr>
        <w:t xml:space="preserve"> </w:t>
      </w:r>
      <w:r w:rsidR="00983D13" w:rsidRPr="0052574B">
        <w:rPr>
          <w:highlight w:val="red"/>
        </w:rPr>
        <w:t>regression</w:t>
      </w:r>
      <w:r w:rsidR="00350FE5" w:rsidRPr="0052574B">
        <w:rPr>
          <w:highlight w:val="red"/>
        </w:rPr>
        <w:t xml:space="preserve"> model</w:t>
      </w:r>
      <w:r w:rsidR="009F3EA3" w:rsidRPr="0052574B">
        <w:rPr>
          <w:highlight w:val="red"/>
        </w:rPr>
        <w:t xml:space="preserve">s </w:t>
      </w:r>
      <w:r w:rsidR="00473F34" w:rsidRPr="0052574B">
        <w:rPr>
          <w:highlight w:val="red"/>
        </w:rPr>
        <w:t>suggest</w:t>
      </w:r>
      <w:r w:rsidR="00D06C06" w:rsidRPr="0052574B">
        <w:rPr>
          <w:highlight w:val="red"/>
        </w:rPr>
        <w:t xml:space="preserve"> region-dependence </w:t>
      </w:r>
      <w:r w:rsidR="00262F02" w:rsidRPr="0052574B">
        <w:rPr>
          <w:highlight w:val="red"/>
        </w:rPr>
        <w:t xml:space="preserve">in the relationships of species dependence to environmental heterogeneity </w:t>
      </w:r>
      <w:r w:rsidR="00D06C06" w:rsidRPr="0052574B">
        <w:rPr>
          <w:highlight w:val="red"/>
        </w:rPr>
        <w:t>at all three spatial scales</w:t>
      </w:r>
      <w:r w:rsidR="003115F6" w:rsidRPr="0052574B">
        <w:rPr>
          <w:highlight w:val="red"/>
        </w:rPr>
        <w:t xml:space="preserve"> (</w:t>
      </w:r>
      <w:r w:rsidR="008538A7" w:rsidRPr="0052574B">
        <w:rPr>
          <w:highlight w:val="red"/>
        </w:rPr>
        <w:t xml:space="preserve">Figure </w:t>
      </w:r>
      <w:r w:rsidR="00977291" w:rsidRPr="0052574B">
        <w:rPr>
          <w:highlight w:val="red"/>
        </w:rPr>
        <w:t>5</w:t>
      </w:r>
      <w:r w:rsidR="00CA688A" w:rsidRPr="00405B29">
        <w:rPr>
          <w:highlight w:val="red"/>
        </w:rPr>
        <w:t>)</w:t>
      </w:r>
      <w:r w:rsidR="00473F34" w:rsidRPr="00405B29">
        <w:rPr>
          <w:highlight w:val="red"/>
        </w:rPr>
        <w:t>. However</w:t>
      </w:r>
      <w:r w:rsidR="00473F34" w:rsidRPr="004502F4">
        <w:rPr>
          <w:highlight w:val="red"/>
        </w:rPr>
        <w:t>,</w:t>
      </w:r>
      <w:r w:rsidR="003E77D9" w:rsidRPr="004502F4">
        <w:rPr>
          <w:highlight w:val="red"/>
        </w:rPr>
        <w:t xml:space="preserve"> the coefficients associated with the significant interaction terms</w:t>
      </w:r>
      <w:r w:rsidR="005A7E8B" w:rsidRPr="004502F4">
        <w:rPr>
          <w:highlight w:val="red"/>
        </w:rPr>
        <w:t xml:space="preserve"> (i.e. the effect in the SWAFR</w:t>
      </w:r>
      <w:r w:rsidR="003E77D9" w:rsidRPr="004502F4">
        <w:rPr>
          <w:highlight w:val="red"/>
        </w:rPr>
        <w:t xml:space="preserve"> </w:t>
      </w:r>
      <w:r w:rsidR="005A7E8B" w:rsidRPr="004502F4">
        <w:rPr>
          <w:highlight w:val="red"/>
        </w:rPr>
        <w:t xml:space="preserve">relative to the GCFR) </w:t>
      </w:r>
      <w:r w:rsidR="003E77D9" w:rsidRPr="004502F4">
        <w:rPr>
          <w:highlight w:val="red"/>
        </w:rPr>
        <w:t xml:space="preserve">are small in </w:t>
      </w:r>
      <w:r w:rsidR="00473F34" w:rsidRPr="004502F4">
        <w:rPr>
          <w:highlight w:val="red"/>
        </w:rPr>
        <w:t>magnitude</w:t>
      </w:r>
      <w:r w:rsidR="003E77D9" w:rsidRPr="004502F4">
        <w:rPr>
          <w:highlight w:val="red"/>
        </w:rPr>
        <w:t xml:space="preserve"> at </w:t>
      </w:r>
      <w:r w:rsidR="00473F34" w:rsidRPr="004502F4">
        <w:rPr>
          <w:highlight w:val="red"/>
        </w:rPr>
        <w:t xml:space="preserve">both </w:t>
      </w:r>
      <w:r w:rsidR="003E77D9" w:rsidRPr="004502F4">
        <w:rPr>
          <w:highlight w:val="red"/>
        </w:rPr>
        <w:t>the QDS- (54.2 to 65.8</w:t>
      </w:r>
      <w:r w:rsidR="00924C2A" w:rsidRPr="004502F4">
        <w:rPr>
          <w:highlight w:val="red"/>
        </w:rPr>
        <w:t>; Figure 5a</w:t>
      </w:r>
      <w:r w:rsidR="003E77D9" w:rsidRPr="004502F4">
        <w:rPr>
          <w:highlight w:val="red"/>
        </w:rPr>
        <w:t>) and HDS-scale</w:t>
      </w:r>
      <w:r w:rsidR="0032574D" w:rsidRPr="004502F4">
        <w:rPr>
          <w:highlight w:val="red"/>
        </w:rPr>
        <w:t>s</w:t>
      </w:r>
      <w:r w:rsidR="003E77D9" w:rsidRPr="004502F4">
        <w:rPr>
          <w:highlight w:val="red"/>
        </w:rPr>
        <w:t xml:space="preserve"> (200.8</w:t>
      </w:r>
      <w:r w:rsidR="00924C2A" w:rsidRPr="004502F4">
        <w:rPr>
          <w:highlight w:val="red"/>
        </w:rPr>
        <w:t xml:space="preserve"> to</w:t>
      </w:r>
      <w:r w:rsidR="003E77D9" w:rsidRPr="004502F4">
        <w:rPr>
          <w:highlight w:val="red"/>
        </w:rPr>
        <w:t xml:space="preserve"> 210.8</w:t>
      </w:r>
      <w:r w:rsidR="00924C2A" w:rsidRPr="004502F4">
        <w:rPr>
          <w:highlight w:val="red"/>
        </w:rPr>
        <w:t>; Figure 5b</w:t>
      </w:r>
      <w:r w:rsidR="003E77D9" w:rsidRPr="004502F4">
        <w:rPr>
          <w:highlight w:val="red"/>
        </w:rPr>
        <w:t>)</w:t>
      </w:r>
      <w:r w:rsidR="00EB3F26" w:rsidRPr="004502F4">
        <w:rPr>
          <w:highlight w:val="red"/>
        </w:rPr>
        <w:t>,</w:t>
      </w:r>
      <w:r w:rsidR="003E77D9" w:rsidRPr="004502F4">
        <w:rPr>
          <w:highlight w:val="red"/>
        </w:rPr>
        <w:t xml:space="preserve"> relative to the spread of residual species richness within each region (QDS: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315.5;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230.1; HDS: </w:t>
      </w:r>
      <w:r w:rsidR="003E77D9" w:rsidRPr="004502F4">
        <w:rPr>
          <w:i/>
          <w:iCs/>
          <w:highlight w:val="red"/>
        </w:rPr>
        <w:t>SD</w:t>
      </w:r>
      <w:r w:rsidR="003E77D9" w:rsidRPr="004502F4">
        <w:rPr>
          <w:iCs/>
          <w:highlight w:val="red"/>
          <w:vertAlign w:val="subscript"/>
        </w:rPr>
        <w:t>GCFR</w:t>
      </w:r>
      <w:r w:rsidR="003E77D9" w:rsidRPr="004502F4">
        <w:rPr>
          <w:highlight w:val="red"/>
        </w:rPr>
        <w:t xml:space="preserve"> = </w:t>
      </w:r>
      <w:r w:rsidR="00473F34" w:rsidRPr="004502F4">
        <w:rPr>
          <w:highlight w:val="red"/>
        </w:rPr>
        <w:t>540.2</w:t>
      </w:r>
      <w:r w:rsidR="003E77D9" w:rsidRPr="004502F4">
        <w:rPr>
          <w:highlight w:val="red"/>
        </w:rPr>
        <w:t xml:space="preserve">; </w:t>
      </w:r>
      <w:r w:rsidR="003E77D9" w:rsidRPr="004502F4">
        <w:rPr>
          <w:i/>
          <w:iCs/>
          <w:highlight w:val="red"/>
        </w:rPr>
        <w:t>SD</w:t>
      </w:r>
      <w:r w:rsidR="003E77D9" w:rsidRPr="004502F4">
        <w:rPr>
          <w:iCs/>
          <w:highlight w:val="red"/>
          <w:vertAlign w:val="subscript"/>
        </w:rPr>
        <w:t>SWAFR</w:t>
      </w:r>
      <w:r w:rsidR="003E77D9" w:rsidRPr="004502F4">
        <w:rPr>
          <w:highlight w:val="red"/>
        </w:rPr>
        <w:t xml:space="preserve"> = </w:t>
      </w:r>
      <w:r w:rsidR="00473F34" w:rsidRPr="004502F4">
        <w:rPr>
          <w:highlight w:val="red"/>
        </w:rPr>
        <w:t>337.3</w:t>
      </w:r>
      <w:r w:rsidR="00DF3A9D" w:rsidRPr="004502F4">
        <w:rPr>
          <w:highlight w:val="red"/>
        </w:rPr>
        <w:t>; Table S</w:t>
      </w:r>
      <w:r w:rsidR="00F16FBC" w:rsidRPr="004502F4">
        <w:rPr>
          <w:highlight w:val="red"/>
        </w:rPr>
        <w:t>3</w:t>
      </w:r>
      <w:r w:rsidR="007D6DC1" w:rsidRPr="004502F4">
        <w:rPr>
          <w:highlight w:val="red"/>
        </w:rPr>
        <w:t>a,b</w:t>
      </w:r>
      <w:r w:rsidR="003E77D9" w:rsidRPr="004502F4">
        <w:rPr>
          <w:highlight w:val="red"/>
        </w:rPr>
        <w:t>)</w:t>
      </w:r>
      <w:r w:rsidR="00473F34" w:rsidRPr="004502F4">
        <w:rPr>
          <w:highlight w:val="red"/>
        </w:rPr>
        <w:t>. As before, this suggests that regional differences in the relationship of species richness to heterogeneity</w:t>
      </w:r>
      <w:r w:rsidR="000B2398" w:rsidRPr="004502F4">
        <w:rPr>
          <w:highlight w:val="red"/>
        </w:rPr>
        <w:t xml:space="preserve"> at these scales</w:t>
      </w:r>
      <w:r w:rsidR="00473F34" w:rsidRPr="004502F4">
        <w:rPr>
          <w:highlight w:val="red"/>
        </w:rPr>
        <w:t xml:space="preserve">, while statistically significant, are subtle. At the DS-scale, however, the </w:t>
      </w:r>
      <w:r w:rsidR="00C96F57" w:rsidRPr="004502F4">
        <w:rPr>
          <w:highlight w:val="red"/>
        </w:rPr>
        <w:t xml:space="preserve">significant </w:t>
      </w:r>
      <w:r w:rsidR="005A7E8B" w:rsidRPr="004502F4">
        <w:rPr>
          <w:highlight w:val="red"/>
        </w:rPr>
        <w:t>SWAFR-</w:t>
      </w:r>
      <w:r w:rsidR="00473F34" w:rsidRPr="004502F4">
        <w:rPr>
          <w:highlight w:val="red"/>
        </w:rPr>
        <w:t>coefficients are</w:t>
      </w:r>
      <w:r w:rsidR="0032574D" w:rsidRPr="004502F4">
        <w:rPr>
          <w:highlight w:val="red"/>
        </w:rPr>
        <w:t xml:space="preserve"> </w:t>
      </w:r>
      <w:r w:rsidR="00C96F57" w:rsidRPr="004502F4">
        <w:rPr>
          <w:highlight w:val="red"/>
        </w:rPr>
        <w:t>large (500.0 to 1622.9</w:t>
      </w:r>
      <w:r w:rsidR="005A7E8B" w:rsidRPr="004502F4">
        <w:rPr>
          <w:highlight w:val="red"/>
        </w:rPr>
        <w:t>; Figure 5c</w:t>
      </w:r>
      <w:r w:rsidR="00C96F57" w:rsidRPr="004502F4">
        <w:rPr>
          <w:highlight w:val="red"/>
        </w:rPr>
        <w:t>) relative to the spread of residual species richness within each region (</w:t>
      </w:r>
      <w:r w:rsidR="00C96F57" w:rsidRPr="004502F4">
        <w:rPr>
          <w:i/>
          <w:iCs/>
          <w:highlight w:val="red"/>
        </w:rPr>
        <w:t>SD</w:t>
      </w:r>
      <w:r w:rsidR="00C96F57" w:rsidRPr="004502F4">
        <w:rPr>
          <w:iCs/>
          <w:highlight w:val="red"/>
          <w:vertAlign w:val="subscript"/>
        </w:rPr>
        <w:t>GCFR</w:t>
      </w:r>
      <w:r w:rsidR="00C96F57" w:rsidRPr="004502F4">
        <w:rPr>
          <w:highlight w:val="red"/>
        </w:rPr>
        <w:t xml:space="preserve"> = 638.4; </w:t>
      </w:r>
      <w:r w:rsidR="00C96F57" w:rsidRPr="004502F4">
        <w:rPr>
          <w:i/>
          <w:iCs/>
          <w:highlight w:val="red"/>
        </w:rPr>
        <w:t>SD</w:t>
      </w:r>
      <w:r w:rsidR="00C96F57" w:rsidRPr="004502F4">
        <w:rPr>
          <w:iCs/>
          <w:highlight w:val="red"/>
          <w:vertAlign w:val="subscript"/>
        </w:rPr>
        <w:t>SWAFR</w:t>
      </w:r>
      <w:r w:rsidR="00C96F57" w:rsidRPr="004502F4">
        <w:rPr>
          <w:highlight w:val="red"/>
        </w:rPr>
        <w:t xml:space="preserve"> = 353.9</w:t>
      </w:r>
      <w:r w:rsidR="007144CE" w:rsidRPr="004502F4">
        <w:rPr>
          <w:highlight w:val="red"/>
        </w:rPr>
        <w:t>; Table S</w:t>
      </w:r>
      <w:r w:rsidR="00290F74" w:rsidRPr="004502F4">
        <w:rPr>
          <w:highlight w:val="red"/>
        </w:rPr>
        <w:t>3</w:t>
      </w:r>
      <w:r w:rsidR="007144CE" w:rsidRPr="004502F4">
        <w:rPr>
          <w:highlight w:val="red"/>
        </w:rPr>
        <w:t>c</w:t>
      </w:r>
      <w:r w:rsidR="00C96F57" w:rsidRPr="004502F4">
        <w:rPr>
          <w:highlight w:val="red"/>
        </w:rPr>
        <w:t>)</w:t>
      </w:r>
      <w:r w:rsidR="0032574D" w:rsidRPr="004502F4">
        <w:rPr>
          <w:highlight w:val="red"/>
        </w:rPr>
        <w:t xml:space="preserve">. </w:t>
      </w:r>
      <w:r w:rsidR="00C96F57" w:rsidRPr="004502F4">
        <w:rPr>
          <w:highlight w:val="red"/>
        </w:rPr>
        <w:t xml:space="preserve">Where the </w:t>
      </w:r>
      <w:r w:rsidR="00230147" w:rsidRPr="004502F4">
        <w:rPr>
          <w:highlight w:val="red"/>
        </w:rPr>
        <w:t xml:space="preserve">significant </w:t>
      </w:r>
      <w:r w:rsidR="00C96F57" w:rsidRPr="004502F4">
        <w:rPr>
          <w:highlight w:val="red"/>
        </w:rPr>
        <w:t>negative coefficients</w:t>
      </w:r>
      <w:r w:rsidR="00230147" w:rsidRPr="004502F4">
        <w:rPr>
          <w:highlight w:val="red"/>
        </w:rPr>
        <w:t xml:space="preserve"> associated with</w:t>
      </w:r>
      <w:r w:rsidR="00C96F57" w:rsidRPr="004502F4">
        <w:rPr>
          <w:highlight w:val="red"/>
        </w:rPr>
        <w:t xml:space="preserve"> surface T and clay heterogeneity </w:t>
      </w:r>
      <w:r w:rsidR="00230147" w:rsidRPr="004502F4">
        <w:rPr>
          <w:highlight w:val="red"/>
        </w:rPr>
        <w:t xml:space="preserve">imply that these variables </w:t>
      </w:r>
      <w:r w:rsidR="00C96F57" w:rsidRPr="004502F4">
        <w:rPr>
          <w:highlight w:val="red"/>
        </w:rPr>
        <w:t xml:space="preserve">exert a greater positive influence on species richness in the GCFR </w:t>
      </w:r>
      <w:r w:rsidR="00230147" w:rsidRPr="004502F4">
        <w:rPr>
          <w:highlight w:val="red"/>
        </w:rPr>
        <w:t>than</w:t>
      </w:r>
      <w:r w:rsidR="00C96F57" w:rsidRPr="004502F4">
        <w:rPr>
          <w:highlight w:val="red"/>
        </w:rPr>
        <w:t xml:space="preserve"> in the SWAFR, the positive coefficients </w:t>
      </w:r>
      <w:r w:rsidR="00230147" w:rsidRPr="004502F4">
        <w:rPr>
          <w:highlight w:val="red"/>
        </w:rPr>
        <w:t xml:space="preserve">associated with </w:t>
      </w:r>
      <w:r w:rsidR="00C84650" w:rsidRPr="004502F4">
        <w:rPr>
          <w:highlight w:val="red"/>
        </w:rPr>
        <w:t xml:space="preserve">the partial effects of heterogeneity in </w:t>
      </w:r>
      <w:r w:rsidR="00230147" w:rsidRPr="004502F4">
        <w:rPr>
          <w:highlight w:val="red"/>
        </w:rPr>
        <w:t>elevation and pH</w:t>
      </w:r>
      <w:r w:rsidR="00FC1C62" w:rsidRPr="004502F4">
        <w:rPr>
          <w:highlight w:val="red"/>
        </w:rPr>
        <w:t xml:space="preserve"> </w:t>
      </w:r>
      <w:r w:rsidR="00230147" w:rsidRPr="004502F4">
        <w:rPr>
          <w:highlight w:val="red"/>
        </w:rPr>
        <w:t>cancel</w:t>
      </w:r>
      <w:r w:rsidR="00C84650" w:rsidRPr="004502F4">
        <w:rPr>
          <w:highlight w:val="red"/>
        </w:rPr>
        <w:t>-out</w:t>
      </w:r>
      <w:r w:rsidR="00230147" w:rsidRPr="004502F4">
        <w:rPr>
          <w:highlight w:val="red"/>
        </w:rPr>
        <w:t xml:space="preserve"> (in the SWAFR) the effects of these variables</w:t>
      </w:r>
      <w:r w:rsidR="00EE7F70" w:rsidRPr="004502F4">
        <w:rPr>
          <w:highlight w:val="red"/>
        </w:rPr>
        <w:t xml:space="preserve"> estimated in the GCFR</w:t>
      </w:r>
      <w:r w:rsidR="00230147" w:rsidRPr="004502F4">
        <w:rPr>
          <w:highlight w:val="red"/>
        </w:rPr>
        <w:t>.</w:t>
      </w:r>
    </w:p>
    <w:p w14:paraId="2C47BF37" w14:textId="2C0C6735" w:rsidR="00350FE5" w:rsidRDefault="00396132">
      <w:pPr>
        <w:pStyle w:val="FirstParagraph"/>
      </w:pPr>
      <w:r>
        <w:t>T</w:t>
      </w:r>
      <w:commentRangeStart w:id="17"/>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commentRangeEnd w:id="17"/>
      <w:r w:rsidR="006A44FA">
        <w:rPr>
          <w:rStyle w:val="CommentReference"/>
          <w:rFonts w:ascii="Times New Roman" w:hAnsiTheme="minorHAnsi"/>
        </w:rPr>
        <w:commentReference w:id="17"/>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5A05FDF5"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commentRangeStart w:id="18"/>
      <w:r w:rsidR="00C64450">
        <w:t>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commentRangeEnd w:id="18"/>
      <w:r w:rsidR="006A44FA">
        <w:rPr>
          <w:rStyle w:val="CommentReference"/>
          <w:rFonts w:ascii="Times New Roman" w:hAnsiTheme="minorHAnsi"/>
        </w:rPr>
        <w:commentReference w:id="18"/>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w:t>
      </w:r>
      <w:r w:rsidR="00EC5B19">
        <w:t>improved coefficients of determination</w:t>
      </w:r>
      <w:r w:rsidR="0081543B">
        <w:t>.</w:t>
      </w:r>
      <w:r w:rsidR="008369E4">
        <w:t xml:space="preserve"> </w:t>
      </w:r>
      <w:commentRangeStart w:id="19"/>
      <w:r w:rsidR="00807EFC">
        <w:t>Only a</w:t>
      </w:r>
      <w:r w:rsidR="00C502FE">
        <w:t>t DS-scales</w:t>
      </w:r>
      <w:r w:rsidR="00807EFC">
        <w:t xml:space="preserve"> do</w:t>
      </w:r>
      <w:r w:rsidR="00C502FE">
        <w:t xml:space="preserve"> the GCFR and SWAFR </w:t>
      </w:r>
      <w:r w:rsidR="00807EFC">
        <w:t>not have</w:t>
      </w:r>
      <w:r w:rsidR="00C502FE">
        <w:t xml:space="preserve"> significantly </w:t>
      </w:r>
      <w:r w:rsidR="00807EFC">
        <w:t>different</w:t>
      </w:r>
      <w:r w:rsidR="00C502FE">
        <w:t xml:space="preserve"> residual</w:t>
      </w:r>
      <w:r w:rsidR="00A70597">
        <w:t xml:space="preserve"> standard deviations</w:t>
      </w:r>
      <w:r w:rsidR="00807EFC">
        <w:t xml:space="preserve"> (following both the PC1-based ANCOVA and multiple regressions) (Table S3c). </w:t>
      </w:r>
      <w:commentRangeStart w:id="20"/>
      <w:r w:rsidR="00807EFC">
        <w:t xml:space="preserve">This </w:t>
      </w:r>
      <w:r w:rsidR="00DC180F">
        <w:t xml:space="preserve">highlights </w:t>
      </w:r>
      <w:r w:rsidR="000E7F00">
        <w:t xml:space="preserve">that </w:t>
      </w:r>
      <w:r w:rsidR="00DC180F">
        <w:t>the commonal</w:t>
      </w:r>
      <w:r w:rsidR="00B85431">
        <w:t>i</w:t>
      </w:r>
      <w:r w:rsidR="00DC180F">
        <w:t xml:space="preserve">ty of the richness-heterogeneity relationship </w:t>
      </w:r>
      <w:r w:rsidR="000E7F00">
        <w:t xml:space="preserve">is recovered </w:t>
      </w:r>
      <w:r w:rsidR="00E4420C">
        <w:t xml:space="preserve">more accurately </w:t>
      </w:r>
      <w:r w:rsidR="000E7F00">
        <w:t>after</w:t>
      </w:r>
      <w:r w:rsidR="00DC180F">
        <w:t xml:space="preserve"> the omission of </w:t>
      </w:r>
      <w:r w:rsidR="00A70597">
        <w:t>hotspots</w:t>
      </w:r>
      <w:r w:rsidR="00E4420C">
        <w:t xml:space="preserve"> </w:t>
      </w:r>
      <w:r w:rsidR="00E4420C">
        <w:t>at broader spatial scales</w:t>
      </w:r>
      <w:r w:rsidR="00DC180F">
        <w:t>.</w:t>
      </w:r>
      <w:commentRangeEnd w:id="20"/>
      <w:r w:rsidR="006A44FA">
        <w:rPr>
          <w:rStyle w:val="CommentReference"/>
          <w:rFonts w:ascii="Times New Roman" w:hAnsiTheme="minorHAnsi"/>
        </w:rPr>
        <w:commentReference w:id="20"/>
      </w:r>
      <w:commentRangeEnd w:id="19"/>
      <w:r w:rsidR="009172F8">
        <w:rPr>
          <w:rStyle w:val="CommentReference"/>
          <w:rFonts w:ascii="Times New Roman" w:hAnsiTheme="minorHAnsi"/>
        </w:rPr>
        <w:commentReference w:id="19"/>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4DDF28D4" w:rsidR="001E1442" w:rsidRDefault="006A4B08" w:rsidP="002C20EB">
      <w:pPr>
        <w:pStyle w:val="BodyText"/>
        <w:tabs>
          <w:tab w:val="left" w:pos="6189"/>
        </w:tabs>
      </w:pPr>
      <w:bookmarkStart w:id="21" w:name="tables"/>
      <w:r>
        <w:t>Consistent with a recent meta-analysis identifying environmental heterogeneity as a universal driver of species richness</w:t>
      </w:r>
      <w:r w:rsidR="00DD5CB7">
        <w:t xml:space="preserve"> </w:t>
      </w:r>
      <w:r w:rsidR="00DD5CB7">
        <w:fldChar w:fldCharType="begin" w:fldLock="1"/>
      </w:r>
      <w:r w:rsidR="002A7F3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Gerstner, &amp; Kreft, 2014)","plainTextFormattedCitation":"(Stein, Gerstner, &amp; Kreft, 2014)","previouslyFormattedCitation":"(Stein, Gerstner, &amp; Kreft, 2014)"},"properties":{"noteIndex":0},"schema":"https://github.com/citation-style-language/schema/raw/master/csl-citation.json"}</w:instrText>
      </w:r>
      <w:r w:rsidR="00DD5CB7">
        <w:fldChar w:fldCharType="separate"/>
      </w:r>
      <w:r w:rsidR="00DD5CB7" w:rsidRPr="00DD5CB7">
        <w:rPr>
          <w:noProof/>
        </w:rPr>
        <w:t>(Stein, Gerstner, &amp; Kreft,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DB42AF">
        <w:t>a</w:t>
      </w:r>
      <w:r w:rsidR="006435FF">
        <w:t>re positive</w:t>
      </w:r>
      <w:r w:rsidR="00333F46">
        <w:t>, and the overall effect of environmental heterogeneity in our ANCOVA results are always positive</w:t>
      </w:r>
      <w:r w:rsidR="006435FF">
        <w:t xml:space="preserve">. </w:t>
      </w:r>
      <w:commentRangeStart w:id="22"/>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22"/>
      <w:r w:rsidR="007F39BA">
        <w:rPr>
          <w:rStyle w:val="CommentReference"/>
          <w:rFonts w:ascii="Times New Roman" w:hAnsiTheme="minorHAnsi"/>
        </w:rPr>
        <w:commentReference w:id="22"/>
      </w:r>
      <w:r w:rsidR="003E2166">
        <w:fldChar w:fldCharType="begin" w:fldLock="1"/>
      </w:r>
      <w:r w:rsidR="003103A8">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Kalyuzhny, Moreno-Rueda, Pizarro, &amp; Kadmon, 2012; Carnicer, Brotons, Herrando, &amp; Sol, 2013)","plainTextFormattedCitation":"(Allouche, Kalyuzhny, Moreno-Rueda, Pizarro, &amp; Kadmon, 2012; Carnicer, Brotons, Herrando, &amp; Sol, 2013)","previouslyFormattedCitation":"(Allouche, Kalyuzhny, Moreno-Rueda, Pizarro, &amp; Kadmon, 2012; Carnicer, Brotons, Herrando, &amp; Sol, 2013)"},"properties":{"noteIndex":0},"schema":"https://github.com/citation-style-language/schema/raw/master/csl-citation.json"}</w:instrText>
      </w:r>
      <w:r w:rsidR="003E2166">
        <w:fldChar w:fldCharType="separate"/>
      </w:r>
      <w:r w:rsidR="003E2166" w:rsidRPr="003E2166">
        <w:rPr>
          <w:noProof/>
        </w:rPr>
        <w:t>(Allouche, Kalyuzhny, Moreno-Rueda, Pizarro, &amp; Kadmon, 2012; Carnicer, Brotons, Herrando, &amp; Sol,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3"/>
      <w:r w:rsidR="002A7F32">
        <w:fldChar w:fldCharType="begin" w:fldLock="1"/>
      </w:r>
      <w:r w:rsidR="00DB4E25">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Boucher, Bouchenak-Khelladi, Karger, &amp; Linder, 2019)","plainTextFormattedCitation":"(Wüest, Boucher, Bouchenak-Khelladi, Karger, &amp; Linder, 2019)","previouslyFormattedCitation":"(Wüest, Boucher, Bouchenak-Khelladi, Karger, &amp; Linder, 2019)"},"properties":{"noteIndex":0},"schema":"https://github.com/citation-style-language/schema/raw/master/csl-citation.json"}</w:instrText>
      </w:r>
      <w:r w:rsidR="002A7F32">
        <w:fldChar w:fldCharType="separate"/>
      </w:r>
      <w:r w:rsidR="002A7F32" w:rsidRPr="002A7F32">
        <w:rPr>
          <w:noProof/>
        </w:rPr>
        <w:t>(Wüest, Boucher, Bouchenak-Khelladi, Karger, &amp; Linder, 2019)</w:t>
      </w:r>
      <w:r w:rsidR="002A7F32">
        <w:fldChar w:fldCharType="end"/>
      </w:r>
      <w:commentRangeEnd w:id="23"/>
      <w:r w:rsidR="007F39BA">
        <w:rPr>
          <w:rStyle w:val="CommentReference"/>
          <w:rFonts w:ascii="Times New Roman" w:hAnsiTheme="minorHAnsi"/>
        </w:rPr>
        <w:commentReference w:id="23"/>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4"/>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4"/>
      <w:r w:rsidR="007F39BA">
        <w:rPr>
          <w:rStyle w:val="CommentReference"/>
          <w:rFonts w:ascii="Times New Roman" w:hAnsiTheme="minorHAnsi"/>
        </w:rPr>
        <w:commentReference w:id="24"/>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73A83261"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5"/>
      <w:r w:rsidR="00FD1780">
        <w:fldChar w:fldCharType="begin" w:fldLock="1"/>
      </w:r>
      <w:r w:rsidR="005774DE">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West, Power, Skelton, &amp; Stock, 2014; Hart et al., 2017)","plainTextFormattedCitation":"(Cramer, West, Power, Skelton, &amp; Stock, 2014; Hart et al., 2017)","previouslyFormattedCitation":"(Cramer, West, Power, Skelton, &amp; Stock, 2014; Hart et al., 2017)"},"properties":{"noteIndex":0},"schema":"https://github.com/citation-style-language/schema/raw/master/csl-citation.json"}</w:instrText>
      </w:r>
      <w:r w:rsidR="00FD1780">
        <w:fldChar w:fldCharType="separate"/>
      </w:r>
      <w:r w:rsidR="00FD1780" w:rsidRPr="00FD1780">
        <w:rPr>
          <w:noProof/>
        </w:rPr>
        <w:t xml:space="preserve">(Cramer, West, Power, Skelton, &amp; Stock, 2014; Hart et al., </w:t>
      </w:r>
      <w:r w:rsidR="00FD1780" w:rsidRPr="00FD1780">
        <w:rPr>
          <w:noProof/>
        </w:rPr>
        <w:lastRenderedPageBreak/>
        <w:t>2017)</w:t>
      </w:r>
      <w:r w:rsidR="00FD1780">
        <w:fldChar w:fldCharType="end"/>
      </w:r>
      <w:commentRangeEnd w:id="25"/>
      <w:r w:rsidR="00F72B17">
        <w:rPr>
          <w:rStyle w:val="CommentReference"/>
          <w:rFonts w:ascii="Times New Roman" w:hAnsiTheme="minorHAnsi"/>
        </w:rPr>
        <w:commentReference w:id="25"/>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6"/>
      <w:r w:rsidR="0072106C">
        <w:t xml:space="preserve">single-site </w:t>
      </w:r>
      <w:commentRangeEnd w:id="26"/>
      <w:r w:rsidR="00952699">
        <w:rPr>
          <w:rStyle w:val="CommentReference"/>
          <w:rFonts w:ascii="Times New Roman" w:hAnsiTheme="minorHAnsi"/>
        </w:rPr>
        <w:commentReference w:id="26"/>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72106C">
        <w:t>.</w:t>
      </w:r>
    </w:p>
    <w:p w14:paraId="2B259CB7" w14:textId="3E1B8041"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8A6247">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Wootton, van Mazijk, &amp; Verboom, 2019)","manualFormatting":"Cramer, Wootton, van Mazijk, &amp; Verboom (2019)","plainTextFormattedCitation":"(Cramer, Wootton, van Mazijk, &amp; Verboom, 2019)","previouslyFormattedCitation":"(Cramer, Wootton, van Mazijk, &amp; Verboom,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D38A3">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294D940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8E7D51">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Bradshaw, Colville, &amp; Forest, 2017)","manualFormatting":"Cowling, Bradshaw, Colville, &amp; Forest, (2017)","plainTextFormattedCitation":"(Richard M Cowling, Bradshaw, Colville, &amp; Forest, 2017)","previouslyFormattedCitation":"(Richard M Cowling, Bradshaw, Colville, &amp; Forest,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3272019E"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7"/>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7"/>
      <w:r w:rsidR="00246D04">
        <w:rPr>
          <w:rStyle w:val="CommentReference"/>
          <w:rFonts w:ascii="Times New Roman" w:hAnsiTheme="minorHAnsi"/>
        </w:rPr>
        <w:commentReference w:id="27"/>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A76010">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Smith, &amp; Silander, 2013)","plainTextFormattedCitation":"(Merow, Smith, &amp; Silander, 2013)","previouslyFormattedCitation":"(Merow, Smith, &amp; Silander, 2013)"},"properties":{"noteIndex":0},"schema":"https://github.com/citation-style-language/schema/raw/master/csl-citation.json"}</w:instrText>
      </w:r>
      <w:r w:rsidR="001A41BA">
        <w:rPr>
          <w:rFonts w:ascii="Times New Roman" w:hAnsi="Times New Roman" w:cs="Times New Roman"/>
          <w:lang w:val="en-GB"/>
        </w:rPr>
        <w:fldChar w:fldCharType="separate"/>
      </w:r>
      <w:r w:rsidR="00C03AFA" w:rsidRPr="00C03AFA">
        <w:rPr>
          <w:rFonts w:ascii="Times New Roman" w:hAnsi="Times New Roman" w:cs="Times New Roman"/>
          <w:noProof/>
          <w:lang w:val="en-GB"/>
        </w:rPr>
        <w:t>(Merow, Smith, &amp; Silander,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66215FC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 xml:space="preserve">e </w:t>
      </w:r>
      <w:commentRangeStart w:id="28"/>
      <w:r w:rsidR="002B4C08">
        <w:t>suspect</w:t>
      </w:r>
      <w:commentRangeEnd w:id="28"/>
      <w:r w:rsidR="00B753DF">
        <w:rPr>
          <w:rStyle w:val="CommentReference"/>
          <w:rFonts w:ascii="Times New Roman" w:hAnsiTheme="minorHAnsi"/>
        </w:rPr>
        <w:commentReference w:id="28"/>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33486D">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Linder, &amp; Rourke, 1983)","manualFormatting":"(cf. Gioia &amp; Hopper, 2017; Oliver, Linder, &amp; Rourke, 1983)","plainTextFormattedCitation":"(Gioia &amp; Hopper, 2017; Oliver, Linder, &amp; Rourke, 1983)","previouslyFormattedCitation":"(Gioia &amp; Hopper, 2017; Oliver, Linder, &amp; Rourke,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D536CD">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Chase, &amp; Seliane, 2010; M E Meadows &amp; Sugden, 1991; Michael E Meadows &amp; Sugden, 1993)","manualFormatting":"(Meadows, Chase, &amp; Seliane, 2010; Meadows &amp; Sugden, 1991, 1993)","plainTextFormattedCitation":"(M E Meadows, Chase, &amp; Seliane, 2010; M E Meadows &amp; Sugden, 1991; Michael E Meadows &amp; Sugden, 1993)","previouslyFormattedCitation":"(M E Meadows, Chase, &amp; Seliane,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865292">
        <w:t xml:space="preserve">, the </w:t>
      </w:r>
      <w:r w:rsidR="0084063D">
        <w:t>exact posi</w:t>
      </w:r>
      <w:r w:rsidR="005143E0">
        <w:t xml:space="preserve">tion of </w:t>
      </w:r>
      <w:commentRangeStart w:id="29"/>
      <w:r w:rsidR="005143E0">
        <w:t xml:space="preserve">putative refugia </w:t>
      </w:r>
      <w:r w:rsidR="00A44F62">
        <w:t xml:space="preserve">in the SWAFR </w:t>
      </w:r>
      <w:r w:rsidR="005143E0">
        <w:t>is somewhat un</w:t>
      </w:r>
      <w:r w:rsidR="0084063D">
        <w:t>clear</w:t>
      </w:r>
      <w:commentRangeEnd w:id="29"/>
      <w:r w:rsidR="00B753DF">
        <w:rPr>
          <w:rStyle w:val="CommentReference"/>
          <w:rFonts w:ascii="Times New Roman" w:hAnsiTheme="minorHAnsi"/>
        </w:rPr>
        <w:commentReference w:id="29"/>
      </w:r>
      <w:r w:rsidR="0084063D">
        <w:t xml:space="preserve">. </w:t>
      </w:r>
      <w:r w:rsidR="0005522C">
        <w:t>Maps in Byrne (2008; Fig</w:t>
      </w:r>
      <w:r w:rsidR="00D05FCB">
        <w:t>ure</w:t>
      </w:r>
      <w:r w:rsidR="0005522C">
        <w:t xml:space="preserve"> 2), however, </w:t>
      </w:r>
      <w:r w:rsidR="00A44F62">
        <w:t>identify</w:t>
      </w:r>
      <w:r w:rsidR="0005522C">
        <w:t xml:space="preserve"> one </w:t>
      </w:r>
      <w:r w:rsidR="00AA210A">
        <w:t>refugium in the vicinity of Perth and a second in the vicinity of Fitzgerald River.</w:t>
      </w:r>
    </w:p>
    <w:p w14:paraId="1CF39377" w14:textId="1E893861"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9501F7">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February, &amp; Rebelo, 2018)","plainTextFormattedCitation":"(Slingsby, February, &amp; Rebelo, 2018)","previouslyFormattedCitation":"(Slingsby, February, &amp; Rebelo, 2018)"},"properties":{"noteIndex":0},"schema":"https://github.com/citation-style-language/schema/raw/master/csl-citation.json"}</w:instrText>
      </w:r>
      <w:r w:rsidR="00023612">
        <w:fldChar w:fldCharType="separate"/>
      </w:r>
      <w:r w:rsidR="00023612" w:rsidRPr="00023612">
        <w:rPr>
          <w:noProof/>
        </w:rPr>
        <w:t>(Slingsby, February, &amp; Rebelo,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73EE69CB" w14:textId="71F718D2" w:rsidR="004B3DF5" w:rsidRPr="008D3C44" w:rsidRDefault="002448E4" w:rsidP="007A506C">
      <w:pPr>
        <w:pStyle w:val="CommentText"/>
        <w:spacing w:before="180" w:after="180"/>
        <w:rPr>
          <w:sz w:val="24"/>
        </w:rPr>
      </w:pPr>
      <w:r>
        <w:rPr>
          <w:sz w:val="24"/>
          <w:szCs w:val="24"/>
        </w:rPr>
        <w:lastRenderedPageBreak/>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r w:rsidR="004B3DF5">
        <w:br w:type="page"/>
      </w:r>
    </w:p>
    <w:p w14:paraId="18D025C9" w14:textId="772E4B60" w:rsidR="00DD7CD4" w:rsidRDefault="00D04776">
      <w:pPr>
        <w:pStyle w:val="Heading1"/>
      </w:pPr>
      <w:r w:rsidRPr="008A4E97">
        <w:lastRenderedPageBreak/>
        <w:t>Tables</w:t>
      </w:r>
      <w:bookmarkEnd w:id="21"/>
    </w:p>
    <w:p w14:paraId="71033F34" w14:textId="4F28BAEC"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522C7C">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522C7C">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522C7C">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522C7C">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522C7C">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522C7C">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522C7C">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522C7C">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522C7C">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522C7C">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522C7C">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522C7C">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522C7C">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522C7C">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522C7C">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522C7C">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522C7C">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522C7C">
            <w:pPr>
              <w:pStyle w:val="PlainText"/>
              <w:rPr>
                <w:rFonts w:ascii="Times New Roman" w:hAnsi="Times New Roman" w:cs="Times New Roman"/>
                <w:sz w:val="24"/>
                <w:szCs w:val="24"/>
              </w:rPr>
            </w:pPr>
          </w:p>
        </w:tc>
      </w:tr>
    </w:tbl>
    <w:p w14:paraId="11591A9A" w14:textId="67D72FA4"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191C4BE3" w:rsidR="00874A01" w:rsidRPr="0069122B" w:rsidRDefault="00874A01" w:rsidP="00FA753D">
      <w:pPr>
        <w:pStyle w:val="BodyText"/>
        <w:spacing w:before="0"/>
      </w:pPr>
      <w:bookmarkStart w:id="30"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522C7C">
        <w:trPr>
          <w:trHeight w:val="227"/>
        </w:trPr>
        <w:tc>
          <w:tcPr>
            <w:tcW w:w="1543" w:type="dxa"/>
          </w:tcPr>
          <w:p w14:paraId="1D2F9BE0" w14:textId="77777777" w:rsidR="00B35743" w:rsidRPr="00B35743" w:rsidRDefault="00B35743" w:rsidP="00522C7C">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522C7C">
            <w:pPr>
              <w:jc w:val="center"/>
              <w:rPr>
                <w:rFonts w:hAnsi="Times New Roman" w:cs="Times New Roman"/>
              </w:rPr>
            </w:pPr>
            <w:r w:rsidRPr="00B35743">
              <w:rPr>
                <w:rFonts w:hAnsi="Times New Roman" w:cs="Times New Roman"/>
              </w:rPr>
              <w:t>Correlation</w:t>
            </w:r>
          </w:p>
        </w:tc>
      </w:tr>
      <w:tr w:rsidR="00B35743" w:rsidRPr="00B35743" w14:paraId="3BC173BD" w14:textId="77777777" w:rsidTr="00522C7C">
        <w:trPr>
          <w:trHeight w:val="227"/>
        </w:trPr>
        <w:tc>
          <w:tcPr>
            <w:tcW w:w="1543" w:type="dxa"/>
            <w:tcBorders>
              <w:bottom w:val="single" w:sz="4" w:space="0" w:color="auto"/>
            </w:tcBorders>
          </w:tcPr>
          <w:p w14:paraId="1DA315B9" w14:textId="77777777" w:rsidR="00B35743" w:rsidRPr="00B35743" w:rsidRDefault="00B35743" w:rsidP="00522C7C">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522C7C">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522C7C">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522C7C">
        <w:trPr>
          <w:trHeight w:val="227"/>
        </w:trPr>
        <w:tc>
          <w:tcPr>
            <w:tcW w:w="1543" w:type="dxa"/>
            <w:tcBorders>
              <w:top w:val="single" w:sz="4" w:space="0" w:color="auto"/>
            </w:tcBorders>
          </w:tcPr>
          <w:p w14:paraId="0781FCF2" w14:textId="77777777" w:rsidR="00B35743" w:rsidRPr="00B35743" w:rsidRDefault="00B35743" w:rsidP="00522C7C">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522C7C">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522C7C">
            <w:pPr>
              <w:jc w:val="center"/>
              <w:rPr>
                <w:rFonts w:hAnsi="Times New Roman" w:cs="Times New Roman"/>
              </w:rPr>
            </w:pPr>
            <w:r w:rsidRPr="00B35743">
              <w:rPr>
                <w:rFonts w:hAnsi="Times New Roman" w:cs="Times New Roman"/>
              </w:rPr>
              <w:t>0.908</w:t>
            </w:r>
          </w:p>
        </w:tc>
      </w:tr>
      <w:tr w:rsidR="00B35743" w:rsidRPr="00B35743" w14:paraId="4374C338" w14:textId="77777777" w:rsidTr="00522C7C">
        <w:trPr>
          <w:trHeight w:val="227"/>
        </w:trPr>
        <w:tc>
          <w:tcPr>
            <w:tcW w:w="1543" w:type="dxa"/>
          </w:tcPr>
          <w:p w14:paraId="7D8E9AB0" w14:textId="77777777" w:rsidR="00B35743" w:rsidRPr="00B35743" w:rsidRDefault="00B35743" w:rsidP="00522C7C">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522C7C">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522C7C">
            <w:pPr>
              <w:jc w:val="center"/>
              <w:rPr>
                <w:rFonts w:hAnsi="Times New Roman" w:cs="Times New Roman"/>
              </w:rPr>
            </w:pPr>
            <w:r w:rsidRPr="00B35743">
              <w:rPr>
                <w:rFonts w:hAnsi="Times New Roman" w:cs="Times New Roman"/>
              </w:rPr>
              <w:t>0.834</w:t>
            </w:r>
          </w:p>
        </w:tc>
      </w:tr>
      <w:tr w:rsidR="00B35743" w:rsidRPr="00B35743" w14:paraId="1F2B0AD4" w14:textId="77777777" w:rsidTr="00522C7C">
        <w:trPr>
          <w:trHeight w:val="227"/>
        </w:trPr>
        <w:tc>
          <w:tcPr>
            <w:tcW w:w="1543" w:type="dxa"/>
          </w:tcPr>
          <w:p w14:paraId="71720273" w14:textId="77777777" w:rsidR="00B35743" w:rsidRPr="00B35743" w:rsidRDefault="00B35743" w:rsidP="00522C7C">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522C7C">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522C7C">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30"/>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commentRangeStart w:id="31"/>
      <w:r w:rsidRPr="00242181">
        <w:rPr>
          <w:b/>
        </w:rPr>
        <w:lastRenderedPageBreak/>
        <w:t xml:space="preserve">Figure </w:t>
      </w:r>
      <w:r>
        <w:rPr>
          <w:b/>
        </w:rPr>
        <w:t>1</w:t>
      </w:r>
      <w:commentRangeEnd w:id="31"/>
      <w:r w:rsidR="0090014E">
        <w:rPr>
          <w:rStyle w:val="CommentReference"/>
          <w:rFonts w:ascii="Times New Roman" w:hAnsiTheme="minorHAnsi"/>
        </w:rPr>
        <w:commentReference w:id="31"/>
      </w:r>
      <w:r>
        <w:rPr>
          <w:b/>
        </w:rPr>
        <w:t xml:space="preserve">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commentRangeStart w:id="32"/>
      <w:r w:rsidRPr="00A805E3">
        <w:rPr>
          <w:rFonts w:ascii="Times New Roman" w:hAnsi="Times New Roman" w:cs="Times New Roman"/>
          <w:noProof/>
          <w:sz w:val="22"/>
          <w:szCs w:val="22"/>
        </w:rPr>
        <w:lastRenderedPageBreak/>
        <w:drawing>
          <wp:inline distT="0" distB="0" distL="0" distR="0" wp14:anchorId="3A85EA17" wp14:editId="66631DFC">
            <wp:extent cx="6840000" cy="5985171"/>
            <wp:effectExtent l="0" t="0" r="0" b="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5171"/>
                    </a:xfrm>
                    <a:prstGeom prst="rect">
                      <a:avLst/>
                    </a:prstGeom>
                  </pic:spPr>
                </pic:pic>
              </a:graphicData>
            </a:graphic>
          </wp:inline>
        </w:drawing>
      </w:r>
      <w:commentRangeEnd w:id="32"/>
      <w:r w:rsidR="00D84A21">
        <w:rPr>
          <w:rStyle w:val="CommentReference"/>
          <w:rFonts w:ascii="Times New Roman" w:hAnsiTheme="minorHAnsi"/>
        </w:rPr>
        <w:commentReference w:id="32"/>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r w:rsidR="007138B7">
        <w:t>c,g,i</w:t>
      </w:r>
      <w:proofErr w:type="spellEnd"/>
      <w:r w:rsidR="007138B7">
        <w:t xml:space="preserve">) and marginally </w:t>
      </w:r>
      <w:r w:rsidR="007138B7">
        <w:t>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r w:rsidR="007138B7">
        <w:t>b,h</w:t>
      </w:r>
      <w:proofErr w:type="spell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567C326F" w14:textId="1173BC34" w:rsidR="00492D72" w:rsidRDefault="00B02E73" w:rsidP="008B688E">
      <w:pPr>
        <w:pStyle w:val="ImageCaption"/>
        <w:spacing w:line="240" w:lineRule="auto"/>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p>
    <w:p w14:paraId="7180F251" w14:textId="51C039F4" w:rsidR="00D04776" w:rsidRDefault="00D04776" w:rsidP="008B688E">
      <w:pPr>
        <w:pStyle w:val="ImageCaption"/>
        <w:spacing w:line="240" w:lineRule="auto"/>
      </w:pPr>
      <w:r>
        <w:br w:type="page"/>
      </w:r>
    </w:p>
    <w:p w14:paraId="7ADCF32D" w14:textId="4AC15145" w:rsidR="00D04776" w:rsidRDefault="00557276" w:rsidP="0018462C">
      <w:pPr>
        <w:pStyle w:val="CaptionedFigure"/>
        <w:spacing w:line="240" w:lineRule="auto"/>
      </w:pPr>
      <w:commentRangeStart w:id="33"/>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33"/>
      <w:r w:rsidR="001E2381">
        <w:rPr>
          <w:rStyle w:val="CommentReference"/>
          <w:rFonts w:ascii="Times New Roman" w:hAnsiTheme="minorHAnsi"/>
        </w:rPr>
        <w:commentReference w:id="33"/>
      </w:r>
    </w:p>
    <w:p w14:paraId="529D9686" w14:textId="77777777" w:rsidR="00557276" w:rsidRDefault="008538A7" w:rsidP="00A9751F">
      <w:pPr>
        <w:pStyle w:val="ImageCaption"/>
        <w:spacing w:line="240" w:lineRule="auto"/>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w:t>
      </w:r>
      <w:bookmarkStart w:id="34" w:name="_GoBack"/>
      <w:bookmarkEnd w:id="34"/>
      <w:r w:rsidR="00E959AF">
        <w:t>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p>
    <w:p w14:paraId="784FFE15" w14:textId="1989B2D0" w:rsidR="00762256" w:rsidRDefault="00F614B4" w:rsidP="00A9751F">
      <w:pPr>
        <w:pStyle w:val="ImageCaption"/>
        <w:spacing w:line="240" w:lineRule="auto"/>
      </w:pPr>
      <w:r>
        <w:br w:type="page"/>
      </w:r>
      <w:bookmarkStart w:id="35" w:name="references"/>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35"/>
    </w:p>
    <w:p w14:paraId="501AEAFE" w14:textId="348179F9" w:rsidR="00070A7B" w:rsidRPr="00070A7B" w:rsidRDefault="008E0DFC" w:rsidP="00070A7B">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070A7B" w:rsidRPr="00070A7B">
        <w:rPr>
          <w:rFonts w:hAnsi="Times New Roman" w:cs="Times New Roman"/>
          <w:noProof/>
        </w:rPr>
        <w:t xml:space="preserve">Ackerly, D. D. (2009). Evolution, origin and age of lineages in the Californian and Mediterranean floras. </w:t>
      </w:r>
      <w:r w:rsidR="00070A7B" w:rsidRPr="00070A7B">
        <w:rPr>
          <w:rFonts w:hAnsi="Times New Roman" w:cs="Times New Roman"/>
          <w:i/>
          <w:iCs/>
          <w:noProof/>
        </w:rPr>
        <w:t>Journal of Biogeography</w:t>
      </w:r>
      <w:r w:rsidR="00070A7B" w:rsidRPr="00070A7B">
        <w:rPr>
          <w:rFonts w:hAnsi="Times New Roman" w:cs="Times New Roman"/>
          <w:noProof/>
        </w:rPr>
        <w:t xml:space="preserve">, </w:t>
      </w:r>
      <w:r w:rsidR="00070A7B" w:rsidRPr="00070A7B">
        <w:rPr>
          <w:rFonts w:hAnsi="Times New Roman" w:cs="Times New Roman"/>
          <w:i/>
          <w:iCs/>
          <w:noProof/>
        </w:rPr>
        <w:t>36</w:t>
      </w:r>
      <w:r w:rsidR="00070A7B" w:rsidRPr="00070A7B">
        <w:rPr>
          <w:rFonts w:hAnsi="Times New Roman" w:cs="Times New Roman"/>
          <w:noProof/>
        </w:rPr>
        <w:t>(7), 1221–1233. https://doi.org/10.1111/j.1365-2699.2009.02097.x</w:t>
      </w:r>
    </w:p>
    <w:p w14:paraId="33B5EC6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Allouche, O., Kalyuzhny, M., Moreno-Rueda, G., Pizarro, M., &amp; Kadmon, R. (2012). Area-heterogeneity tradeoff and the diversity of ecological communities.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109</w:t>
      </w:r>
      <w:r w:rsidRPr="00070A7B">
        <w:rPr>
          <w:rFonts w:hAnsi="Times New Roman" w:cs="Times New Roman"/>
          <w:noProof/>
        </w:rPr>
        <w:t>(43), 17495–17500.</w:t>
      </w:r>
    </w:p>
    <w:p w14:paraId="653B65B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Barron, O., Froend, R., Hodgson, G., Ali, R., Dawes, W., Davies, P., &amp; McFarlane, D. (2014). Projected risks to groundwater-dependent terrestrial vegetation caused by changing climate and groundwater abstraction in the Central Perth Basin, Western Australia. </w:t>
      </w:r>
      <w:r w:rsidRPr="00070A7B">
        <w:rPr>
          <w:rFonts w:hAnsi="Times New Roman" w:cs="Times New Roman"/>
          <w:i/>
          <w:iCs/>
          <w:noProof/>
        </w:rPr>
        <w:t>Hydrological Processes</w:t>
      </w:r>
      <w:r w:rsidRPr="00070A7B">
        <w:rPr>
          <w:rFonts w:hAnsi="Times New Roman" w:cs="Times New Roman"/>
          <w:noProof/>
        </w:rPr>
        <w:t xml:space="preserve">, </w:t>
      </w:r>
      <w:r w:rsidRPr="00070A7B">
        <w:rPr>
          <w:rFonts w:hAnsi="Times New Roman" w:cs="Times New Roman"/>
          <w:i/>
          <w:iCs/>
          <w:noProof/>
        </w:rPr>
        <w:t>28</w:t>
      </w:r>
      <w:r w:rsidRPr="00070A7B">
        <w:rPr>
          <w:rFonts w:hAnsi="Times New Roman" w:cs="Times New Roman"/>
          <w:noProof/>
        </w:rPr>
        <w:t>(22), 5513–5529.</w:t>
      </w:r>
    </w:p>
    <w:p w14:paraId="32B900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Beard, J. S., Chapman, A. R., &amp; Gioia, P. (2000). Species richness and endemism in the Western Australian flora.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(6), 1257–1268. https://doi.org/10.1046/j.1365-2699.2000.00509.x</w:t>
      </w:r>
    </w:p>
    <w:p w14:paraId="7E49C0F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Belda, M., Holtanová, E., Halenka, T., &amp; Kalvová, J. (2014). Climate classification revisited: from Köppen to Trewartha. </w:t>
      </w:r>
      <w:r w:rsidRPr="00070A7B">
        <w:rPr>
          <w:rFonts w:hAnsi="Times New Roman" w:cs="Times New Roman"/>
          <w:i/>
          <w:iCs/>
          <w:noProof/>
        </w:rPr>
        <w:t>Climate Research</w:t>
      </w:r>
      <w:r w:rsidRPr="00070A7B">
        <w:rPr>
          <w:rFonts w:hAnsi="Times New Roman" w:cs="Times New Roman"/>
          <w:noProof/>
        </w:rPr>
        <w:t xml:space="preserve">, </w:t>
      </w:r>
      <w:r w:rsidRPr="00070A7B">
        <w:rPr>
          <w:rFonts w:hAnsi="Times New Roman" w:cs="Times New Roman"/>
          <w:i/>
          <w:iCs/>
          <w:noProof/>
        </w:rPr>
        <w:t>59</w:t>
      </w:r>
      <w:r w:rsidRPr="00070A7B">
        <w:rPr>
          <w:rFonts w:hAnsi="Times New Roman" w:cs="Times New Roman"/>
          <w:noProof/>
        </w:rPr>
        <w:t>(1), 1–13.</w:t>
      </w:r>
    </w:p>
    <w:p w14:paraId="6E7D1AD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Bergh, N. G., &amp; Linder, H. P. (2009). Cape diversification and repeated out-of-southern-Africa dispersal in paper daisies (Asteraceae--Gnaphalieae). </w:t>
      </w:r>
      <w:r w:rsidRPr="00070A7B">
        <w:rPr>
          <w:rFonts w:hAnsi="Times New Roman" w:cs="Times New Roman"/>
          <w:i/>
          <w:iCs/>
          <w:noProof/>
        </w:rPr>
        <w:t>Molecular Phylogenetics and Evolution</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 5–18.</w:t>
      </w:r>
    </w:p>
    <w:p w14:paraId="507BE38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Bivand, R., Keitt, T., &amp; Rowlingson, B. (2017). rgdal: Bindings for the Geospatial Data Abstraction Library. R package version 1.2-7. Retrieved from https://cran.r-project.org/package=rgdal</w:t>
      </w:r>
    </w:p>
    <w:p w14:paraId="3BD587A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Bøhn, T., &amp; Amundsen, P.-A. (2004). Ecological interactions and evolution: forgotten parts of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54</w:t>
      </w:r>
      <w:r w:rsidRPr="00070A7B">
        <w:rPr>
          <w:rFonts w:hAnsi="Times New Roman" w:cs="Times New Roman"/>
          <w:noProof/>
        </w:rPr>
        <w:t>(9), 804–805.</w:t>
      </w:r>
    </w:p>
    <w:p w14:paraId="09C17C3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 Linder, H. P., &amp; Desmet, P. (2007). The Greater Cape Floristic Region.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34</w:t>
      </w:r>
      <w:r w:rsidRPr="00070A7B">
        <w:rPr>
          <w:rFonts w:hAnsi="Times New Roman" w:cs="Times New Roman"/>
          <w:noProof/>
        </w:rPr>
        <w:t>(1), 147–162. https://doi.org/10.1111/j.1365-2699.2006.01595.x</w:t>
      </w:r>
    </w:p>
    <w:p w14:paraId="5EC80BF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Born, Julia, &amp; Linder, H. P. (2018). Water availability, fundamental niches and realized niches: A case study from the Cape flora. </w:t>
      </w:r>
      <w:r w:rsidRPr="00070A7B">
        <w:rPr>
          <w:rFonts w:hAnsi="Times New Roman" w:cs="Times New Roman"/>
          <w:i/>
          <w:iCs/>
          <w:noProof/>
        </w:rPr>
        <w:t>Austral Ecology</w:t>
      </w:r>
      <w:r w:rsidRPr="00070A7B">
        <w:rPr>
          <w:rFonts w:hAnsi="Times New Roman" w:cs="Times New Roman"/>
          <w:noProof/>
        </w:rPr>
        <w:t xml:space="preserve">, </w:t>
      </w:r>
      <w:r w:rsidRPr="00070A7B">
        <w:rPr>
          <w:rFonts w:hAnsi="Times New Roman" w:cs="Times New Roman"/>
          <w:i/>
          <w:iCs/>
          <w:noProof/>
        </w:rPr>
        <w:t>43</w:t>
      </w:r>
      <w:r w:rsidRPr="00070A7B">
        <w:rPr>
          <w:rFonts w:hAnsi="Times New Roman" w:cs="Times New Roman"/>
          <w:noProof/>
        </w:rPr>
        <w:t>(6), 696–705. https://doi.org/10.1111/aec.12616</w:t>
      </w:r>
    </w:p>
    <w:p w14:paraId="3B7F304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Bradshaw, P. L., &amp; Cowling, R. M. (2014). Landscapes, rock types, and climate of the Greater Cape Floristic Region.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26–46). Oxford: </w:t>
      </w:r>
      <w:r w:rsidRPr="00070A7B">
        <w:rPr>
          <w:rFonts w:hAnsi="Times New Roman" w:cs="Times New Roman"/>
          <w:noProof/>
        </w:rPr>
        <w:lastRenderedPageBreak/>
        <w:t>Oxford University Press. https://doi.org/oso/9780199679584.003.0002</w:t>
      </w:r>
    </w:p>
    <w:p w14:paraId="196D280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(2008). Evidence for multiple refugia at different time scales during Pleistocene climatic oscillations in southern Australia inferred from phylogeography. </w:t>
      </w:r>
      <w:r w:rsidRPr="00070A7B">
        <w:rPr>
          <w:rFonts w:hAnsi="Times New Roman" w:cs="Times New Roman"/>
          <w:i/>
          <w:iCs/>
          <w:noProof/>
        </w:rPr>
        <w:t>Quaternary Science Reviews</w:t>
      </w:r>
      <w:r w:rsidRPr="00070A7B">
        <w:rPr>
          <w:rFonts w:hAnsi="Times New Roman" w:cs="Times New Roman"/>
          <w:noProof/>
        </w:rPr>
        <w:t xml:space="preserve">, </w:t>
      </w:r>
      <w:r w:rsidRPr="00070A7B">
        <w:rPr>
          <w:rFonts w:hAnsi="Times New Roman" w:cs="Times New Roman"/>
          <w:i/>
          <w:iCs/>
          <w:noProof/>
        </w:rPr>
        <w:t>27</w:t>
      </w:r>
      <w:r w:rsidRPr="00070A7B">
        <w:rPr>
          <w:rFonts w:hAnsi="Times New Roman" w:cs="Times New Roman"/>
          <w:noProof/>
        </w:rPr>
        <w:t>(27–28), 2576–2585. https://doi.org/10.1016/j.quascirev.2008.08.032</w:t>
      </w:r>
    </w:p>
    <w:p w14:paraId="0BA592E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Byrne, M., &amp; Hines, B. (2004). Phylogeographical analysis of cpDNA variation in Eucalyptus loxophleba (Myrtaceae). </w:t>
      </w:r>
      <w:r w:rsidRPr="00070A7B">
        <w:rPr>
          <w:rFonts w:hAnsi="Times New Roman" w:cs="Times New Roman"/>
          <w:i/>
          <w:iCs/>
          <w:noProof/>
        </w:rPr>
        <w:t>Australian Journal of Botany</w:t>
      </w:r>
      <w:r w:rsidRPr="00070A7B">
        <w:rPr>
          <w:rFonts w:hAnsi="Times New Roman" w:cs="Times New Roman"/>
          <w:noProof/>
        </w:rPr>
        <w:t xml:space="preserve">, </w:t>
      </w:r>
      <w:r w:rsidRPr="00070A7B">
        <w:rPr>
          <w:rFonts w:hAnsi="Times New Roman" w:cs="Times New Roman"/>
          <w:i/>
          <w:iCs/>
          <w:noProof/>
        </w:rPr>
        <w:t>52</w:t>
      </w:r>
      <w:r w:rsidRPr="00070A7B">
        <w:rPr>
          <w:rFonts w:hAnsi="Times New Roman" w:cs="Times New Roman"/>
          <w:noProof/>
        </w:rPr>
        <w:t>(4), 459–470.</w:t>
      </w:r>
    </w:p>
    <w:p w14:paraId="6A0058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Carnicer, J., Brotons, L., Herrando, S., &amp; Sol, D. (2013). Improved empirical tests of area-heterogeneity tradeoffs.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110</w:t>
      </w:r>
      <w:r w:rsidRPr="00070A7B">
        <w:rPr>
          <w:rFonts w:hAnsi="Times New Roman" w:cs="Times New Roman"/>
          <w:noProof/>
        </w:rPr>
        <w:t>(31), E2858--E2860.</w:t>
      </w:r>
    </w:p>
    <w:p w14:paraId="2A4802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2797864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Chao, A., &amp; Jost, L. (2012). Coverage-based rarefaction and extrapolation: standardizing samples by completeness rather than size.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93</w:t>
      </w:r>
      <w:r w:rsidRPr="00070A7B">
        <w:rPr>
          <w:rFonts w:hAnsi="Times New Roman" w:cs="Times New Roman"/>
          <w:noProof/>
        </w:rPr>
        <w:t>(12), 2533–2547.</w:t>
      </w:r>
    </w:p>
    <w:p w14:paraId="7B068F6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&amp; Lombard, A. T. (2002). Heterogeneity, speciation/extinction history and climate: explaining regional plant diversity patterns in the Cape Floristic Region.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(3), 163–179.</w:t>
      </w:r>
    </w:p>
    <w:p w14:paraId="45B8652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 M., Witkowski, E. T. F., Milewski, A. V., &amp; Newbey, K. R. (1994). Taxonomic, Edaphic and Biological Aspects of Narrow Plant Endemism on Matched Sites in Mediterranean South Africa and Australia.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(6), 651. https://doi.org/10.2307/2846038</w:t>
      </w:r>
    </w:p>
    <w:p w14:paraId="4E0DFB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Potts, A. J., Bradshaw, P. L., Colville, J., Arianoutsou, M., Ferrier, S., … Zutta, B. R. (2015). Variation in plant diversity in mediterranean-climate ecosystems: The role of climatic and topographical stability.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42</w:t>
      </w:r>
      <w:r w:rsidRPr="00070A7B">
        <w:rPr>
          <w:rFonts w:hAnsi="Times New Roman" w:cs="Times New Roman"/>
          <w:noProof/>
        </w:rPr>
        <w:t>(3), 552–564. https://doi.org/10.1111/jbi.12429</w:t>
      </w:r>
    </w:p>
    <w:p w14:paraId="09674ED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Rundel, P. W., Lamont, B. B., Arroyo, M. K., &amp; Arianoutsou, M. (1996). Plant diversity in mediterranean-climate regions. </w:t>
      </w:r>
      <w:r w:rsidRPr="00070A7B">
        <w:rPr>
          <w:rFonts w:hAnsi="Times New Roman" w:cs="Times New Roman"/>
          <w:i/>
          <w:iCs/>
          <w:noProof/>
        </w:rPr>
        <w:t>Trends in Ecology and Evolution</w:t>
      </w:r>
      <w:r w:rsidRPr="00070A7B">
        <w:rPr>
          <w:rFonts w:hAnsi="Times New Roman" w:cs="Times New Roman"/>
          <w:noProof/>
        </w:rPr>
        <w:t xml:space="preserve">, </w:t>
      </w:r>
      <w:r w:rsidRPr="00070A7B">
        <w:rPr>
          <w:rFonts w:hAnsi="Times New Roman" w:cs="Times New Roman"/>
          <w:i/>
          <w:iCs/>
          <w:noProof/>
        </w:rPr>
        <w:t>11</w:t>
      </w:r>
      <w:r w:rsidRPr="00070A7B">
        <w:rPr>
          <w:rFonts w:hAnsi="Times New Roman" w:cs="Times New Roman"/>
          <w:noProof/>
        </w:rPr>
        <w:t>(9), 362–366. https://doi.org/10.1016/0169-5347(96)10044-6</w:t>
      </w:r>
    </w:p>
    <w:p w14:paraId="5B49717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Cowling, Richard M, Bradshaw, P. L., Colville, J. F., &amp; Forest, F. (2017). Levyns’ Law: explaining the evolution of a remarkable longitudinal gradient in Cape plant diversity. </w:t>
      </w:r>
      <w:r w:rsidRPr="00070A7B">
        <w:rPr>
          <w:rFonts w:hAnsi="Times New Roman" w:cs="Times New Roman"/>
          <w:i/>
          <w:iCs/>
          <w:noProof/>
        </w:rPr>
        <w:t>Transactions of the Royal Society of South Africa</w:t>
      </w:r>
      <w:r w:rsidRPr="00070A7B">
        <w:rPr>
          <w:rFonts w:hAnsi="Times New Roman" w:cs="Times New Roman"/>
          <w:noProof/>
        </w:rPr>
        <w:t xml:space="preserve">, </w:t>
      </w:r>
      <w:r w:rsidRPr="00070A7B">
        <w:rPr>
          <w:rFonts w:hAnsi="Times New Roman" w:cs="Times New Roman"/>
          <w:i/>
          <w:iCs/>
          <w:noProof/>
        </w:rPr>
        <w:t>72</w:t>
      </w:r>
      <w:r w:rsidRPr="00070A7B">
        <w:rPr>
          <w:rFonts w:hAnsi="Times New Roman" w:cs="Times New Roman"/>
          <w:noProof/>
        </w:rPr>
        <w:t>(2), 184–201.</w:t>
      </w:r>
    </w:p>
    <w:p w14:paraId="2B93B64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&amp; Verboom, G. A. (2016). Measures of biologically relevant environmental heterogeneity improve prediction of regional plant species richness.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44</w:t>
      </w:r>
      <w:r w:rsidRPr="00070A7B">
        <w:rPr>
          <w:rFonts w:hAnsi="Times New Roman" w:cs="Times New Roman"/>
          <w:noProof/>
        </w:rPr>
        <w:t>(3), 1–13. https://doi.org/10.1111/jbi.12911</w:t>
      </w:r>
    </w:p>
    <w:p w14:paraId="5CC3C06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West, A. G., Power, S. C., Skelton, R., &amp; Stock, W. D. (2014). Plant ecophysiological diversity. In </w:t>
      </w:r>
      <w:r w:rsidRPr="00070A7B">
        <w:rPr>
          <w:rFonts w:hAnsi="Times New Roman" w:cs="Times New Roman"/>
          <w:i/>
          <w:iCs/>
          <w:noProof/>
        </w:rPr>
        <w:t>Fynbos: Ecology, Evolution and Conservation of a Megadiverse Region</w:t>
      </w:r>
      <w:r w:rsidRPr="00070A7B">
        <w:rPr>
          <w:rFonts w:hAnsi="Times New Roman" w:cs="Times New Roman"/>
          <w:noProof/>
        </w:rPr>
        <w:t xml:space="preserve"> (pp. 248–272). Oxford: Oxford University Press. https://doi.org/oso/9780199679584.003.0011</w:t>
      </w:r>
    </w:p>
    <w:p w14:paraId="5CB8A1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Cramer, M. D., Wootton, L. M., van Mazijk, R., &amp; Verboom, G. A. (2019). New regionally modelled soil layers improve prediction of vegetation type relative to that based on global soil models. </w:t>
      </w:r>
      <w:r w:rsidRPr="00070A7B">
        <w:rPr>
          <w:rFonts w:hAnsi="Times New Roman" w:cs="Times New Roman"/>
          <w:i/>
          <w:iCs/>
          <w:noProof/>
        </w:rPr>
        <w:t>Diversity and Distributions</w:t>
      </w:r>
      <w:r w:rsidRPr="00070A7B">
        <w:rPr>
          <w:rFonts w:hAnsi="Times New Roman" w:cs="Times New Roman"/>
          <w:noProof/>
        </w:rPr>
        <w:t xml:space="preserve">, </w:t>
      </w:r>
      <w:r w:rsidRPr="00070A7B">
        <w:rPr>
          <w:rFonts w:hAnsi="Times New Roman" w:cs="Times New Roman"/>
          <w:i/>
          <w:iCs/>
          <w:noProof/>
        </w:rPr>
        <w:t>25</w:t>
      </w:r>
      <w:r w:rsidRPr="00070A7B">
        <w:rPr>
          <w:rFonts w:hAnsi="Times New Roman" w:cs="Times New Roman"/>
          <w:noProof/>
        </w:rPr>
        <w:t>(11), 1736–1750.</w:t>
      </w:r>
    </w:p>
    <w:p w14:paraId="32290CF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lastRenderedPageBreak/>
        <w:t xml:space="preserve">Crisp, M. D., Arroyo, M. T. K., Cook, L. G., Gandolfo, M. A., Jordan, G. J., McGlone, M. S., … Linder, H. P. (2009). Phylogenetic biome conservatism on a global scale. </w:t>
      </w:r>
      <w:r w:rsidRPr="00070A7B">
        <w:rPr>
          <w:rFonts w:hAnsi="Times New Roman" w:cs="Times New Roman"/>
          <w:i/>
          <w:iCs/>
          <w:noProof/>
        </w:rPr>
        <w:t>Nature</w:t>
      </w:r>
      <w:r w:rsidRPr="00070A7B">
        <w:rPr>
          <w:rFonts w:hAnsi="Times New Roman" w:cs="Times New Roman"/>
          <w:noProof/>
        </w:rPr>
        <w:t xml:space="preserve">, </w:t>
      </w:r>
      <w:r w:rsidRPr="00070A7B">
        <w:rPr>
          <w:rFonts w:hAnsi="Times New Roman" w:cs="Times New Roman"/>
          <w:i/>
          <w:iCs/>
          <w:noProof/>
        </w:rPr>
        <w:t>458</w:t>
      </w:r>
      <w:r w:rsidRPr="00070A7B">
        <w:rPr>
          <w:rFonts w:hAnsi="Times New Roman" w:cs="Times New Roman"/>
          <w:noProof/>
        </w:rPr>
        <w:t>(7239), 754–756. https://doi.org/10.1038/nature07764</w:t>
      </w:r>
    </w:p>
    <w:p w14:paraId="6BE4247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Currie, D. J. (1991). Energy and large-scale patterns of animal-and plant-species richness.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137</w:t>
      </w:r>
      <w:r w:rsidRPr="00070A7B">
        <w:rPr>
          <w:rFonts w:hAnsi="Times New Roman" w:cs="Times New Roman"/>
          <w:noProof/>
        </w:rPr>
        <w:t>(1), 27–49.</w:t>
      </w:r>
    </w:p>
    <w:p w14:paraId="2A57F24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Dick, J. M. (2017). Chemical composition and the potential for proteomic transformation in cancer, hypoxia, and hyperosmotic stress. </w:t>
      </w:r>
      <w:r w:rsidRPr="00070A7B">
        <w:rPr>
          <w:rFonts w:hAnsi="Times New Roman" w:cs="Times New Roman"/>
          <w:i/>
          <w:iCs/>
          <w:noProof/>
        </w:rPr>
        <w:t>PeerJ</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(e3421). https://doi.org/10.7717/peerj.3421</w:t>
      </w:r>
    </w:p>
    <w:p w14:paraId="0AF649D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Donoghue, M. J. (2008). A phylogenetic perspective on the distribution of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105</w:t>
      </w:r>
      <w:r w:rsidRPr="00070A7B">
        <w:rPr>
          <w:rFonts w:hAnsi="Times New Roman" w:cs="Times New Roman"/>
          <w:noProof/>
        </w:rPr>
        <w:t>(Supplement 1), 11549–11555. https://doi.org/10.1073/pnas.0801962105</w:t>
      </w:r>
    </w:p>
    <w:p w14:paraId="257A76F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Engemann, K., Enquist, B. J., Sandel, B., Boyle, B., Jørgensen, P. M., Morueta-Holme, N., … Svenning, J.-C. (2015). Limited sampling hampers “big data” estimation of species richness in a tropical biodiversity hotspot. </w:t>
      </w:r>
      <w:r w:rsidRPr="00070A7B">
        <w:rPr>
          <w:rFonts w:hAnsi="Times New Roman" w:cs="Times New Roman"/>
          <w:i/>
          <w:iCs/>
          <w:noProof/>
        </w:rPr>
        <w:t>Ecology and Evolution</w:t>
      </w:r>
      <w:r w:rsidRPr="00070A7B">
        <w:rPr>
          <w:rFonts w:hAnsi="Times New Roman" w:cs="Times New Roman"/>
          <w:noProof/>
        </w:rPr>
        <w:t xml:space="preserve">, </w:t>
      </w:r>
      <w:r w:rsidRPr="00070A7B">
        <w:rPr>
          <w:rFonts w:hAnsi="Times New Roman" w:cs="Times New Roman"/>
          <w:i/>
          <w:iCs/>
          <w:noProof/>
        </w:rPr>
        <w:t>5</w:t>
      </w:r>
      <w:r w:rsidRPr="00070A7B">
        <w:rPr>
          <w:rFonts w:hAnsi="Times New Roman" w:cs="Times New Roman"/>
          <w:noProof/>
        </w:rPr>
        <w:t>(3), 807–820.</w:t>
      </w:r>
    </w:p>
    <w:p w14:paraId="6633E49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Figueiredo, F. O. G., Zuquim, G., Tuomisto, H., Moulatlet, G. M., Balslev, H., &amp; Costa, F. R. C. (2018). Beyond climate control on species range: The importance of soil data to predict distribution of Amazonian plant species.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45</w:t>
      </w:r>
      <w:r w:rsidRPr="00070A7B">
        <w:rPr>
          <w:rFonts w:hAnsi="Times New Roman" w:cs="Times New Roman"/>
          <w:noProof/>
        </w:rPr>
        <w:t>(1), 190–200. https://doi.org/10.1111/jbi.13104</w:t>
      </w:r>
    </w:p>
    <w:p w14:paraId="6FD5211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Froend, R., &amp; Sommer, B. (2010). Phreatophytic vegetation response to climatic and abstraction-induced groundwater drawdown: examples of long-term spatial and temporal variability in community response. </w:t>
      </w:r>
      <w:r w:rsidRPr="00070A7B">
        <w:rPr>
          <w:rFonts w:hAnsi="Times New Roman" w:cs="Times New Roman"/>
          <w:i/>
          <w:iCs/>
          <w:noProof/>
        </w:rPr>
        <w:t>Ecological Engineering</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(9), 1191–1200.</w:t>
      </w:r>
    </w:p>
    <w:p w14:paraId="5E62431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Gioia, P., &amp; Hopper, S. D. (2017). A new phytogeographic map for the Southwest Australian Floristic Region after an exceptional decade of collection and discovery. </w:t>
      </w:r>
      <w:r w:rsidRPr="00070A7B">
        <w:rPr>
          <w:rFonts w:hAnsi="Times New Roman" w:cs="Times New Roman"/>
          <w:i/>
          <w:iCs/>
          <w:noProof/>
        </w:rPr>
        <w:t>Botanical Journal of the Linnean Society</w:t>
      </w:r>
      <w:r w:rsidRPr="00070A7B">
        <w:rPr>
          <w:rFonts w:hAnsi="Times New Roman" w:cs="Times New Roman"/>
          <w:noProof/>
        </w:rPr>
        <w:t xml:space="preserve">, </w:t>
      </w:r>
      <w:r w:rsidRPr="00070A7B">
        <w:rPr>
          <w:rFonts w:hAnsi="Times New Roman" w:cs="Times New Roman"/>
          <w:i/>
          <w:iCs/>
          <w:noProof/>
        </w:rPr>
        <w:t>184</w:t>
      </w:r>
      <w:r w:rsidRPr="00070A7B">
        <w:rPr>
          <w:rFonts w:hAnsi="Times New Roman" w:cs="Times New Roman"/>
          <w:noProof/>
        </w:rPr>
        <w:t>(1), 1–15. https://doi.org/10.1093/botlinnean/box010</w:t>
      </w:r>
    </w:p>
    <w:p w14:paraId="7AB4D94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Goldblatt, P. (1978). An analysis of the flora of Southern Africa: its characteristics, relationships abd origins. </w:t>
      </w:r>
      <w:r w:rsidRPr="00070A7B">
        <w:rPr>
          <w:rFonts w:hAnsi="Times New Roman" w:cs="Times New Roman"/>
          <w:i/>
          <w:iCs/>
          <w:noProof/>
        </w:rPr>
        <w:t>Annals of the Missouri Botanical Garden</w:t>
      </w:r>
      <w:r w:rsidRPr="00070A7B">
        <w:rPr>
          <w:rFonts w:hAnsi="Times New Roman" w:cs="Times New Roman"/>
          <w:noProof/>
        </w:rPr>
        <w:t xml:space="preserve">, </w:t>
      </w:r>
      <w:r w:rsidRPr="00070A7B">
        <w:rPr>
          <w:rFonts w:hAnsi="Times New Roman" w:cs="Times New Roman"/>
          <w:i/>
          <w:iCs/>
          <w:noProof/>
        </w:rPr>
        <w:t>65</w:t>
      </w:r>
      <w:r w:rsidRPr="00070A7B">
        <w:rPr>
          <w:rFonts w:hAnsi="Times New Roman" w:cs="Times New Roman"/>
          <w:noProof/>
        </w:rPr>
        <w:t>, 369–436.</w:t>
      </w:r>
    </w:p>
    <w:p w14:paraId="0700E97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Gotelli, N. J., &amp; Colwell, R. K. (2001). Quantifying biodiversity: procedures and pitfalls in the measurement and comparison of species richness.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4</w:t>
      </w:r>
      <w:r w:rsidRPr="00070A7B">
        <w:rPr>
          <w:rFonts w:hAnsi="Times New Roman" w:cs="Times New Roman"/>
          <w:noProof/>
        </w:rPr>
        <w:t>(4), 379–391. https://doi.org/10.1046/j.1461-0248.2001.00230.x</w:t>
      </w:r>
    </w:p>
    <w:p w14:paraId="49093E3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Hart, S. P., Usinowicz, J., &amp; Levine, J. M. (2017). The spatial scales of species coexistence. </w:t>
      </w:r>
      <w:r w:rsidRPr="00070A7B">
        <w:rPr>
          <w:rFonts w:hAnsi="Times New Roman" w:cs="Times New Roman"/>
          <w:i/>
          <w:iCs/>
          <w:noProof/>
        </w:rPr>
        <w:t>Nature Ecology &amp; Evolution</w:t>
      </w:r>
      <w:r w:rsidRPr="00070A7B">
        <w:rPr>
          <w:rFonts w:hAnsi="Times New Roman" w:cs="Times New Roman"/>
          <w:noProof/>
        </w:rPr>
        <w:t xml:space="preserve">, </w:t>
      </w:r>
      <w:r w:rsidRPr="00070A7B">
        <w:rPr>
          <w:rFonts w:hAnsi="Times New Roman" w:cs="Times New Roman"/>
          <w:i/>
          <w:iCs/>
          <w:noProof/>
        </w:rPr>
        <w:t>1</w:t>
      </w:r>
      <w:r w:rsidRPr="00070A7B">
        <w:rPr>
          <w:rFonts w:hAnsi="Times New Roman" w:cs="Times New Roman"/>
          <w:noProof/>
        </w:rPr>
        <w:t>(8), 1066–1073. https://doi.org/10.1038/s41559-017-0230-7</w:t>
      </w:r>
    </w:p>
    <w:p w14:paraId="02A3ADFA"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Hawkins, B. A., Field, R., Cornell, H. V, Currie, D. J., Guégan, J.-F., Kaufman, D. M., … others. (2003). Energy, water, and broad-scale geographic patterns of species richness. </w:t>
      </w:r>
      <w:r w:rsidRPr="00070A7B">
        <w:rPr>
          <w:rFonts w:hAnsi="Times New Roman" w:cs="Times New Roman"/>
          <w:i/>
          <w:iCs/>
          <w:noProof/>
        </w:rPr>
        <w:t>Ecology</w:t>
      </w:r>
      <w:r w:rsidRPr="00070A7B">
        <w:rPr>
          <w:rFonts w:hAnsi="Times New Roman" w:cs="Times New Roman"/>
          <w:noProof/>
        </w:rPr>
        <w:t xml:space="preserve">, </w:t>
      </w:r>
      <w:r w:rsidRPr="00070A7B">
        <w:rPr>
          <w:rFonts w:hAnsi="Times New Roman" w:cs="Times New Roman"/>
          <w:i/>
          <w:iCs/>
          <w:noProof/>
        </w:rPr>
        <w:t>84</w:t>
      </w:r>
      <w:r w:rsidRPr="00070A7B">
        <w:rPr>
          <w:rFonts w:hAnsi="Times New Roman" w:cs="Times New Roman"/>
          <w:noProof/>
        </w:rPr>
        <w:t>(12), 3105–3117.</w:t>
      </w:r>
    </w:p>
    <w:p w14:paraId="5C5610E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Hijmans, R. J. (2016). raster: Geographic Data Analysis and Modeling. R package version 2.5-8. Retrieved from https://cran.r-project.org/package=raster</w:t>
      </w:r>
    </w:p>
    <w:p w14:paraId="6CD474B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(1979). Biogeographical Aspects of Speciation in the Southwest Australian Flora. </w:t>
      </w:r>
      <w:r w:rsidRPr="00070A7B">
        <w:rPr>
          <w:rFonts w:hAnsi="Times New Roman" w:cs="Times New Roman"/>
          <w:i/>
          <w:iCs/>
          <w:noProof/>
        </w:rPr>
        <w:t>Annual Review of Ecology and Systematics</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 399–422. Retrieved from http://www.jstor.org/stable/2096798</w:t>
      </w:r>
    </w:p>
    <w:p w14:paraId="2D8F9EA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(2009). OCBIL theory: Towards an integrated understanding of the evolution, </w:t>
      </w:r>
      <w:r w:rsidRPr="00070A7B">
        <w:rPr>
          <w:rFonts w:hAnsi="Times New Roman" w:cs="Times New Roman"/>
          <w:noProof/>
        </w:rPr>
        <w:lastRenderedPageBreak/>
        <w:t xml:space="preserve">ecology and conservation of biodiversity on old, climatically buffered, infertile landscapes.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322</w:t>
      </w:r>
      <w:r w:rsidRPr="00070A7B">
        <w:rPr>
          <w:rFonts w:hAnsi="Times New Roman" w:cs="Times New Roman"/>
          <w:noProof/>
        </w:rPr>
        <w:t>(1), 49–86. https://doi.org/10.1007/s11104-009-0068-0</w:t>
      </w:r>
    </w:p>
    <w:p w14:paraId="79C629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(2004a). The Southwest Australian Floristic Region :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(1), 623–650. https://doi.org/10.1146/annurev.ecolsys.35.112202.130201</w:t>
      </w:r>
    </w:p>
    <w:p w14:paraId="42306D1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Hopper, S. D., &amp; Gioia, P. (2004b). The Southwest Australian floristic region: Evolution and conservation of a global hot spot of biodiversity. </w:t>
      </w:r>
      <w:r w:rsidRPr="00070A7B">
        <w:rPr>
          <w:rFonts w:hAnsi="Times New Roman" w:cs="Times New Roman"/>
          <w:i/>
          <w:iCs/>
          <w:noProof/>
        </w:rPr>
        <w:t>Annual Review of Ecology, Evolution, and Systematics</w:t>
      </w:r>
      <w:r w:rsidRPr="00070A7B">
        <w:rPr>
          <w:rFonts w:hAnsi="Times New Roman" w:cs="Times New Roman"/>
          <w:noProof/>
        </w:rPr>
        <w:t xml:space="preserve">, </w:t>
      </w:r>
      <w:r w:rsidRPr="00070A7B">
        <w:rPr>
          <w:rFonts w:hAnsi="Times New Roman" w:cs="Times New Roman"/>
          <w:i/>
          <w:iCs/>
          <w:noProof/>
        </w:rPr>
        <w:t>35</w:t>
      </w:r>
      <w:r w:rsidRPr="00070A7B">
        <w:rPr>
          <w:rFonts w:hAnsi="Times New Roman" w:cs="Times New Roman"/>
          <w:noProof/>
        </w:rPr>
        <w:t>, 623–650. https://doi.org/10.1146/annurev.ecolsys.35.112202.130201</w:t>
      </w:r>
    </w:p>
    <w:p w14:paraId="56D5658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Jiménez, I., &amp; Ricklefs, R. E. (2014). Diversity anomalies and spatial climate heterogeneity.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(9), 988–999. https://doi.org/10.1111/geb.12181</w:t>
      </w:r>
    </w:p>
    <w:p w14:paraId="53A45D3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Kreft, H., &amp; Jetz, W. (2007). Global patterns and determinants of vascular plant diversity. </w:t>
      </w:r>
      <w:r w:rsidRPr="00070A7B">
        <w:rPr>
          <w:rFonts w:hAnsi="Times New Roman" w:cs="Times New Roman"/>
          <w:i/>
          <w:iCs/>
          <w:noProof/>
        </w:rPr>
        <w:t>Proceedings of the National Academy of Sciences</w:t>
      </w:r>
      <w:r w:rsidRPr="00070A7B">
        <w:rPr>
          <w:rFonts w:hAnsi="Times New Roman" w:cs="Times New Roman"/>
          <w:noProof/>
        </w:rPr>
        <w:t xml:space="preserve">, </w:t>
      </w:r>
      <w:r w:rsidRPr="00070A7B">
        <w:rPr>
          <w:rFonts w:hAnsi="Times New Roman" w:cs="Times New Roman"/>
          <w:i/>
          <w:iCs/>
          <w:noProof/>
        </w:rPr>
        <w:t>104</w:t>
      </w:r>
      <w:r w:rsidRPr="00070A7B">
        <w:rPr>
          <w:rFonts w:hAnsi="Times New Roman" w:cs="Times New Roman"/>
          <w:noProof/>
        </w:rPr>
        <w:t>(14), 5925–5930. https://doi.org/10.1073/pnas.0608361104</w:t>
      </w:r>
    </w:p>
    <w:p w14:paraId="63989571"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Laliberte, E., Zemunik, G., &amp; Turner, B. L. (2014). Environmental filtering explains variation in plant diversity along resource gradients. </w:t>
      </w:r>
      <w:r w:rsidRPr="00070A7B">
        <w:rPr>
          <w:rFonts w:hAnsi="Times New Roman" w:cs="Times New Roman"/>
          <w:i/>
          <w:iCs/>
          <w:noProof/>
        </w:rPr>
        <w:t>Science</w:t>
      </w:r>
      <w:r w:rsidRPr="00070A7B">
        <w:rPr>
          <w:rFonts w:hAnsi="Times New Roman" w:cs="Times New Roman"/>
          <w:noProof/>
        </w:rPr>
        <w:t xml:space="preserve">, </w:t>
      </w:r>
      <w:r w:rsidRPr="00070A7B">
        <w:rPr>
          <w:rFonts w:hAnsi="Times New Roman" w:cs="Times New Roman"/>
          <w:i/>
          <w:iCs/>
          <w:noProof/>
        </w:rPr>
        <w:t>345</w:t>
      </w:r>
      <w:r w:rsidRPr="00070A7B">
        <w:rPr>
          <w:rFonts w:hAnsi="Times New Roman" w:cs="Times New Roman"/>
          <w:noProof/>
        </w:rPr>
        <w:t>(6204), 1602–1605. https://doi.org/Doi 10.1126/Science.1256330</w:t>
      </w:r>
    </w:p>
    <w:p w14:paraId="6FA9EC0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Brundrett, M. C., Raven, J. A., &amp; Hopper, S. D. (2010). Plant mineral nutrition in ancient landscapes: high plant species diversity on infertile soils is linked to functional diversity for nutritional strategies. </w:t>
      </w:r>
      <w:r w:rsidRPr="00070A7B">
        <w:rPr>
          <w:rFonts w:hAnsi="Times New Roman" w:cs="Times New Roman"/>
          <w:i/>
          <w:iCs/>
          <w:noProof/>
        </w:rPr>
        <w:t>Plant and Soil</w:t>
      </w:r>
      <w:r w:rsidRPr="00070A7B">
        <w:rPr>
          <w:rFonts w:hAnsi="Times New Roman" w:cs="Times New Roman"/>
          <w:noProof/>
        </w:rPr>
        <w:t xml:space="preserve">, </w:t>
      </w:r>
      <w:r w:rsidRPr="00070A7B">
        <w:rPr>
          <w:rFonts w:hAnsi="Times New Roman" w:cs="Times New Roman"/>
          <w:i/>
          <w:iCs/>
          <w:noProof/>
        </w:rPr>
        <w:t>334</w:t>
      </w:r>
      <w:r w:rsidRPr="00070A7B">
        <w:rPr>
          <w:rFonts w:hAnsi="Times New Roman" w:cs="Times New Roman"/>
          <w:noProof/>
        </w:rPr>
        <w:t>(1–2), 11–31. https://doi.org/10.1007/s11104-010-0444-9</w:t>
      </w:r>
    </w:p>
    <w:p w14:paraId="64D1FDB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Lambers, H., Shane, M. W., Cramer, M. D., Pearse, S. J., &amp; Veneklaas, E. J. (2006). Root structure and functioning for efficient acquisition of phosphorus: Matching morphological and physiological traits. </w:t>
      </w:r>
      <w:r w:rsidRPr="00070A7B">
        <w:rPr>
          <w:rFonts w:hAnsi="Times New Roman" w:cs="Times New Roman"/>
          <w:i/>
          <w:iCs/>
          <w:noProof/>
        </w:rPr>
        <w:t>Annals of Botany</w:t>
      </w:r>
      <w:r w:rsidRPr="00070A7B">
        <w:rPr>
          <w:rFonts w:hAnsi="Times New Roman" w:cs="Times New Roman"/>
          <w:noProof/>
        </w:rPr>
        <w:t xml:space="preserve">, </w:t>
      </w:r>
      <w:r w:rsidRPr="00070A7B">
        <w:rPr>
          <w:rFonts w:hAnsi="Times New Roman" w:cs="Times New Roman"/>
          <w:i/>
          <w:iCs/>
          <w:noProof/>
        </w:rPr>
        <w:t>98</w:t>
      </w:r>
      <w:r w:rsidRPr="00070A7B">
        <w:rPr>
          <w:rFonts w:hAnsi="Times New Roman" w:cs="Times New Roman"/>
          <w:noProof/>
        </w:rPr>
        <w:t>(4), 693–713. https://doi.org/10.1093/aob/mcl114</w:t>
      </w:r>
    </w:p>
    <w:p w14:paraId="670083C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Lamont, B. B., &amp; He, T. (2017). When did a Mediterranean-type climate originate in southwestern Australia? </w:t>
      </w:r>
      <w:r w:rsidRPr="00070A7B">
        <w:rPr>
          <w:rFonts w:hAnsi="Times New Roman" w:cs="Times New Roman"/>
          <w:i/>
          <w:iCs/>
          <w:noProof/>
        </w:rPr>
        <w:t>Global and Planetary Change</w:t>
      </w:r>
      <w:r w:rsidRPr="00070A7B">
        <w:rPr>
          <w:rFonts w:hAnsi="Times New Roman" w:cs="Times New Roman"/>
          <w:noProof/>
        </w:rPr>
        <w:t xml:space="preserve">, </w:t>
      </w:r>
      <w:r w:rsidRPr="00070A7B">
        <w:rPr>
          <w:rFonts w:hAnsi="Times New Roman" w:cs="Times New Roman"/>
          <w:i/>
          <w:iCs/>
          <w:noProof/>
        </w:rPr>
        <w:t>156</w:t>
      </w:r>
      <w:r w:rsidRPr="00070A7B">
        <w:rPr>
          <w:rFonts w:hAnsi="Times New Roman" w:cs="Times New Roman"/>
          <w:noProof/>
        </w:rPr>
        <w:t>, 46–58. https://doi.org/10.1016/j.gloplacha.2017.08.004</w:t>
      </w:r>
    </w:p>
    <w:p w14:paraId="19CCE2C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Larsen, R., Holmern, T., Prager, S. D., Maliti, H., &amp; Røskaft, E. (2009). Using the extended quarter degree grid cell system to unify mapping and sharing of biodiversity data. </w:t>
      </w:r>
      <w:r w:rsidRPr="00070A7B">
        <w:rPr>
          <w:rFonts w:hAnsi="Times New Roman" w:cs="Times New Roman"/>
          <w:i/>
          <w:iCs/>
          <w:noProof/>
        </w:rPr>
        <w:t>African Journal of Ecology</w:t>
      </w:r>
      <w:r w:rsidRPr="00070A7B">
        <w:rPr>
          <w:rFonts w:hAnsi="Times New Roman" w:cs="Times New Roman"/>
          <w:noProof/>
        </w:rPr>
        <w:t xml:space="preserve">, </w:t>
      </w:r>
      <w:r w:rsidRPr="00070A7B">
        <w:rPr>
          <w:rFonts w:hAnsi="Times New Roman" w:cs="Times New Roman"/>
          <w:i/>
          <w:iCs/>
          <w:noProof/>
        </w:rPr>
        <w:t>47</w:t>
      </w:r>
      <w:r w:rsidRPr="00070A7B">
        <w:rPr>
          <w:rFonts w:hAnsi="Times New Roman" w:cs="Times New Roman"/>
          <w:noProof/>
        </w:rPr>
        <w:t>(3), 382–392. https://doi.org/10.1111/j.1365-2028.2008.00997.x</w:t>
      </w:r>
    </w:p>
    <w:p w14:paraId="6425CD6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Levin, L. A., Sibuet, M., Gooday, A. J., Smith, C. R., &amp; Vanreusel, A. (2010). The roles of habitat heterogeneity in generating and maintaining biodiversity on continental margins: an introduction. </w:t>
      </w:r>
      <w:r w:rsidRPr="00070A7B">
        <w:rPr>
          <w:rFonts w:hAnsi="Times New Roman" w:cs="Times New Roman"/>
          <w:i/>
          <w:iCs/>
          <w:noProof/>
        </w:rPr>
        <w:t>Marine Ecology</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 1–5. https://doi.org/10.1111/j.1439-0485.2009.00358.x</w:t>
      </w:r>
    </w:p>
    <w:p w14:paraId="1946D193"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Linder, H. P. (2019). Rare species, Restionaceae, and the Cape flora. </w:t>
      </w:r>
      <w:r w:rsidRPr="00070A7B">
        <w:rPr>
          <w:rFonts w:hAnsi="Times New Roman" w:cs="Times New Roman"/>
          <w:i/>
          <w:iCs/>
          <w:noProof/>
        </w:rPr>
        <w:t>Journal of Biogeography</w:t>
      </w:r>
      <w:r w:rsidRPr="00070A7B">
        <w:rPr>
          <w:rFonts w:hAnsi="Times New Roman" w:cs="Times New Roman"/>
          <w:noProof/>
        </w:rPr>
        <w:t>, 1–14. https://doi.org/10.1111/jbi.13709</w:t>
      </w:r>
    </w:p>
    <w:p w14:paraId="4CE2BB5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McLaughlin, B. C., Ackerly, D. D., Klos, P. Z., Natali, J., Dawson, T. E., &amp; Thompson, S. E. (2017). Hydrologic refugia, plants, and climate change. </w:t>
      </w:r>
      <w:r w:rsidRPr="00070A7B">
        <w:rPr>
          <w:rFonts w:hAnsi="Times New Roman" w:cs="Times New Roman"/>
          <w:i/>
          <w:iCs/>
          <w:noProof/>
        </w:rPr>
        <w:t>Global Change Biology</w:t>
      </w:r>
      <w:r w:rsidRPr="00070A7B">
        <w:rPr>
          <w:rFonts w:hAnsi="Times New Roman" w:cs="Times New Roman"/>
          <w:noProof/>
        </w:rPr>
        <w:t xml:space="preserve">, </w:t>
      </w:r>
      <w:r w:rsidRPr="00070A7B">
        <w:rPr>
          <w:rFonts w:hAnsi="Times New Roman" w:cs="Times New Roman"/>
          <w:i/>
          <w:iCs/>
          <w:noProof/>
        </w:rPr>
        <w:t>23</w:t>
      </w:r>
      <w:r w:rsidRPr="00070A7B">
        <w:rPr>
          <w:rFonts w:hAnsi="Times New Roman" w:cs="Times New Roman"/>
          <w:noProof/>
        </w:rPr>
        <w:t>(8), 2941–2961.</w:t>
      </w:r>
    </w:p>
    <w:p w14:paraId="313A92C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Chase, B. M., &amp; Seliane, M. (2010). Holocene palaeoenvironments of the Cederberg and Swartruggens mountains, Western Cape, South Africa: pollen and stable </w:t>
      </w:r>
      <w:r w:rsidRPr="00070A7B">
        <w:rPr>
          <w:rFonts w:hAnsi="Times New Roman" w:cs="Times New Roman"/>
          <w:noProof/>
        </w:rPr>
        <w:lastRenderedPageBreak/>
        <w:t xml:space="preserve">isotope evidence from hyrax dung middens. </w:t>
      </w:r>
      <w:r w:rsidRPr="00070A7B">
        <w:rPr>
          <w:rFonts w:hAnsi="Times New Roman" w:cs="Times New Roman"/>
          <w:i/>
          <w:iCs/>
          <w:noProof/>
        </w:rPr>
        <w:t>Journal of Arid Environments</w:t>
      </w:r>
      <w:r w:rsidRPr="00070A7B">
        <w:rPr>
          <w:rFonts w:hAnsi="Times New Roman" w:cs="Times New Roman"/>
          <w:noProof/>
        </w:rPr>
        <w:t xml:space="preserve">, </w:t>
      </w:r>
      <w:r w:rsidRPr="00070A7B">
        <w:rPr>
          <w:rFonts w:hAnsi="Times New Roman" w:cs="Times New Roman"/>
          <w:i/>
          <w:iCs/>
          <w:noProof/>
        </w:rPr>
        <w:t>74</w:t>
      </w:r>
      <w:r w:rsidRPr="00070A7B">
        <w:rPr>
          <w:rFonts w:hAnsi="Times New Roman" w:cs="Times New Roman"/>
          <w:noProof/>
        </w:rPr>
        <w:t>(7), 786–793.</w:t>
      </w:r>
    </w:p>
    <w:p w14:paraId="2F1E05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 E, &amp; Sugden, J. M. (1991). A vegetation history of the last 14,500 years on the Cederberg, SW Cape, South Africa. </w:t>
      </w:r>
      <w:r w:rsidRPr="00070A7B">
        <w:rPr>
          <w:rFonts w:hAnsi="Times New Roman" w:cs="Times New Roman"/>
          <w:i/>
          <w:iCs/>
          <w:noProof/>
        </w:rPr>
        <w:t>South African Journal of Science</w:t>
      </w:r>
      <w:r w:rsidRPr="00070A7B">
        <w:rPr>
          <w:rFonts w:hAnsi="Times New Roman" w:cs="Times New Roman"/>
          <w:noProof/>
        </w:rPr>
        <w:t xml:space="preserve">, </w:t>
      </w:r>
      <w:r w:rsidRPr="00070A7B">
        <w:rPr>
          <w:rFonts w:hAnsi="Times New Roman" w:cs="Times New Roman"/>
          <w:i/>
          <w:iCs/>
          <w:noProof/>
        </w:rPr>
        <w:t>87</w:t>
      </w:r>
      <w:r w:rsidRPr="00070A7B">
        <w:rPr>
          <w:rFonts w:hAnsi="Times New Roman" w:cs="Times New Roman"/>
          <w:noProof/>
        </w:rPr>
        <w:t>(3).</w:t>
      </w:r>
    </w:p>
    <w:p w14:paraId="2DB6BFB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Meadows, Michael E, &amp; Sugden, J. M. (1993). The late Quaternary palaeoecology of a floristic kingdom: the southwestern Cape South Africa. </w:t>
      </w:r>
      <w:r w:rsidRPr="00070A7B">
        <w:rPr>
          <w:rFonts w:hAnsi="Times New Roman" w:cs="Times New Roman"/>
          <w:i/>
          <w:iCs/>
          <w:noProof/>
        </w:rPr>
        <w:t>Palaeogeography, Palaeoclimatology, Palaeoecology</w:t>
      </w:r>
      <w:r w:rsidRPr="00070A7B">
        <w:rPr>
          <w:rFonts w:hAnsi="Times New Roman" w:cs="Times New Roman"/>
          <w:noProof/>
        </w:rPr>
        <w:t xml:space="preserve">, </w:t>
      </w:r>
      <w:r w:rsidRPr="00070A7B">
        <w:rPr>
          <w:rFonts w:hAnsi="Times New Roman" w:cs="Times New Roman"/>
          <w:i/>
          <w:iCs/>
          <w:noProof/>
        </w:rPr>
        <w:t>101</w:t>
      </w:r>
      <w:r w:rsidRPr="00070A7B">
        <w:rPr>
          <w:rFonts w:hAnsi="Times New Roman" w:cs="Times New Roman"/>
          <w:noProof/>
        </w:rPr>
        <w:t>(3–4), 271–281.</w:t>
      </w:r>
    </w:p>
    <w:p w14:paraId="56E5A05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Merow, C., Smith, M. J., &amp; Silander, J. A. (2013). A practical guide to MaxEnt for modeling species’ distributions: what it does, and why inputs and settings matter.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36</w:t>
      </w:r>
      <w:r w:rsidRPr="00070A7B">
        <w:rPr>
          <w:rFonts w:hAnsi="Times New Roman" w:cs="Times New Roman"/>
          <w:noProof/>
        </w:rPr>
        <w:t>(10), 1058–1069.</w:t>
      </w:r>
    </w:p>
    <w:p w14:paraId="42448FFB"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Milewski, A. V. (1981). A comparison of vegetation height in relation to the effectiveness of rainfall in the mediterranean and adjacent arid parts of Australia and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8</w:t>
      </w:r>
      <w:r w:rsidRPr="00070A7B">
        <w:rPr>
          <w:rFonts w:hAnsi="Times New Roman" w:cs="Times New Roman"/>
          <w:noProof/>
        </w:rPr>
        <w:t>(2), 107. https://doi.org/10.2307/2844553</w:t>
      </w:r>
    </w:p>
    <w:p w14:paraId="5B54656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Mouchet, M., Levers, C., Zupan, L., Kuemmerle, T., Plutzar, C., Erb, K., … Haberl, H. (2015). Testing the effectiveness of environmental variables to explain European terrestrial vertebrate species richness across biogeographical scales. </w:t>
      </w:r>
      <w:r w:rsidRPr="00070A7B">
        <w:rPr>
          <w:rFonts w:hAnsi="Times New Roman" w:cs="Times New Roman"/>
          <w:i/>
          <w:iCs/>
          <w:noProof/>
        </w:rPr>
        <w:t>PLoS ONE</w:t>
      </w:r>
      <w:r w:rsidRPr="00070A7B">
        <w:rPr>
          <w:rFonts w:hAnsi="Times New Roman" w:cs="Times New Roman"/>
          <w:noProof/>
        </w:rPr>
        <w:t xml:space="preserve">, </w:t>
      </w:r>
      <w:r w:rsidRPr="00070A7B">
        <w:rPr>
          <w:rFonts w:hAnsi="Times New Roman" w:cs="Times New Roman"/>
          <w:i/>
          <w:iCs/>
          <w:noProof/>
        </w:rPr>
        <w:t>10</w:t>
      </w:r>
      <w:r w:rsidRPr="00070A7B">
        <w:rPr>
          <w:rFonts w:hAnsi="Times New Roman" w:cs="Times New Roman"/>
          <w:noProof/>
        </w:rPr>
        <w:t>(7), 1–16. https://doi.org/10.1371/journal.pone.0131924</w:t>
      </w:r>
    </w:p>
    <w:p w14:paraId="4FC201D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Mucina, L., &amp; Rutherford, M. C. (2006). </w:t>
      </w:r>
      <w:r w:rsidRPr="00070A7B">
        <w:rPr>
          <w:rFonts w:hAnsi="Times New Roman" w:cs="Times New Roman"/>
          <w:i/>
          <w:iCs/>
          <w:noProof/>
        </w:rPr>
        <w:t>The vegetation of South Africa, Lesotho and Swaziland.</w:t>
      </w:r>
      <w:r w:rsidRPr="00070A7B">
        <w:rPr>
          <w:rFonts w:hAnsi="Times New Roman" w:cs="Times New Roman"/>
          <w:noProof/>
        </w:rPr>
        <w:t xml:space="preserve"> South African National Biodiversity Institute.</w:t>
      </w:r>
    </w:p>
    <w:p w14:paraId="60CE945D"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Oliver, E. G. H., Linder, H. P., &amp; Rourke, J. P. (1983). Geographical distribution of present-day Cape taxa and their phytogeographical significance. </w:t>
      </w:r>
      <w:r w:rsidRPr="00070A7B">
        <w:rPr>
          <w:rFonts w:hAnsi="Times New Roman" w:cs="Times New Roman"/>
          <w:i/>
          <w:iCs/>
          <w:noProof/>
        </w:rPr>
        <w:t>Bothalia</w:t>
      </w:r>
      <w:r w:rsidRPr="00070A7B">
        <w:rPr>
          <w:rFonts w:hAnsi="Times New Roman" w:cs="Times New Roman"/>
          <w:noProof/>
        </w:rPr>
        <w:t xml:space="preserve">, </w:t>
      </w:r>
      <w:r w:rsidRPr="00070A7B">
        <w:rPr>
          <w:rFonts w:hAnsi="Times New Roman" w:cs="Times New Roman"/>
          <w:i/>
          <w:iCs/>
          <w:noProof/>
        </w:rPr>
        <w:t>14</w:t>
      </w:r>
      <w:r w:rsidRPr="00070A7B">
        <w:rPr>
          <w:rFonts w:hAnsi="Times New Roman" w:cs="Times New Roman"/>
          <w:noProof/>
        </w:rPr>
        <w:t>(3/4), 427–440.</w:t>
      </w:r>
    </w:p>
    <w:p w14:paraId="701E912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Olson, D. M., Dinerstein, E., Wikramanayake, E. D., Burgess, N. D., Powell, G. V. N., Underwood, E. C., … others. (2001). Terrestrial Ecoregions of the World: A New Map of Life on Earth: A new global map of terrestrial ecoregions provides an innovative tool for conserving biodiversity. </w:t>
      </w:r>
      <w:r w:rsidRPr="00070A7B">
        <w:rPr>
          <w:rFonts w:hAnsi="Times New Roman" w:cs="Times New Roman"/>
          <w:i/>
          <w:iCs/>
          <w:noProof/>
        </w:rPr>
        <w:t>BioScience</w:t>
      </w:r>
      <w:r w:rsidRPr="00070A7B">
        <w:rPr>
          <w:rFonts w:hAnsi="Times New Roman" w:cs="Times New Roman"/>
          <w:noProof/>
        </w:rPr>
        <w:t xml:space="preserve">, </w:t>
      </w:r>
      <w:r w:rsidRPr="00070A7B">
        <w:rPr>
          <w:rFonts w:hAnsi="Times New Roman" w:cs="Times New Roman"/>
          <w:i/>
          <w:iCs/>
          <w:noProof/>
        </w:rPr>
        <w:t>51</w:t>
      </w:r>
      <w:r w:rsidRPr="00070A7B">
        <w:rPr>
          <w:rFonts w:hAnsi="Times New Roman" w:cs="Times New Roman"/>
          <w:noProof/>
        </w:rPr>
        <w:t>(11), 933–938.</w:t>
      </w:r>
    </w:p>
    <w:p w14:paraId="5FB31EB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R Core Team. (2019). R: A Language and Environment for Statistical Computing. Vienna, Austria. Retrieved from https://www.r-project.org/</w:t>
      </w:r>
    </w:p>
    <w:p w14:paraId="75AE506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Rebelo, T. G. (2001). </w:t>
      </w:r>
      <w:r w:rsidRPr="00070A7B">
        <w:rPr>
          <w:rFonts w:hAnsi="Times New Roman" w:cs="Times New Roman"/>
          <w:i/>
          <w:iCs/>
          <w:noProof/>
        </w:rPr>
        <w:t>A field guide to the proteas of South Africa</w:t>
      </w:r>
      <w:r w:rsidRPr="00070A7B">
        <w:rPr>
          <w:rFonts w:hAnsi="Times New Roman" w:cs="Times New Roman"/>
          <w:noProof/>
        </w:rPr>
        <w:t>. Vlaeberg: Fernwood.</w:t>
      </w:r>
    </w:p>
    <w:p w14:paraId="3B50992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(1987). Community diversity: relative roles of local and regional processes. </w:t>
      </w:r>
      <w:r w:rsidRPr="00070A7B">
        <w:rPr>
          <w:rFonts w:hAnsi="Times New Roman" w:cs="Times New Roman"/>
          <w:i/>
          <w:iCs/>
          <w:noProof/>
        </w:rPr>
        <w:t>Science, New Series</w:t>
      </w:r>
      <w:r w:rsidRPr="00070A7B">
        <w:rPr>
          <w:rFonts w:hAnsi="Times New Roman" w:cs="Times New Roman"/>
          <w:noProof/>
        </w:rPr>
        <w:t xml:space="preserve">, </w:t>
      </w:r>
      <w:r w:rsidRPr="00070A7B">
        <w:rPr>
          <w:rFonts w:hAnsi="Times New Roman" w:cs="Times New Roman"/>
          <w:i/>
          <w:iCs/>
          <w:noProof/>
        </w:rPr>
        <w:t>235</w:t>
      </w:r>
      <w:r w:rsidRPr="00070A7B">
        <w:rPr>
          <w:rFonts w:hAnsi="Times New Roman" w:cs="Times New Roman"/>
          <w:noProof/>
        </w:rPr>
        <w:t>(4785), 167–171.</w:t>
      </w:r>
    </w:p>
    <w:p w14:paraId="1E0F428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Ricklefs, R. E. (2004). A comprehensive framework for global patterns in biodiversity.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7</w:t>
      </w:r>
      <w:r w:rsidRPr="00070A7B">
        <w:rPr>
          <w:rFonts w:hAnsi="Times New Roman" w:cs="Times New Roman"/>
          <w:noProof/>
        </w:rPr>
        <w:t>(1), 1–15.</w:t>
      </w:r>
    </w:p>
    <w:p w14:paraId="4A792AEF"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Shane, M. W., Cramer, M. D., &amp; Lambers, H. (2008). Root of edaphically controlled Proteaceae turnover on the Agulhas Plain, South Africa: phosphate uptake regulation and growth. </w:t>
      </w:r>
      <w:r w:rsidRPr="00070A7B">
        <w:rPr>
          <w:rFonts w:hAnsi="Times New Roman" w:cs="Times New Roman"/>
          <w:i/>
          <w:iCs/>
          <w:noProof/>
        </w:rPr>
        <w:t>Plant, Cell &amp; Environment</w:t>
      </w:r>
      <w:r w:rsidRPr="00070A7B">
        <w:rPr>
          <w:rFonts w:hAnsi="Times New Roman" w:cs="Times New Roman"/>
          <w:noProof/>
        </w:rPr>
        <w:t xml:space="preserve">, </w:t>
      </w:r>
      <w:r w:rsidRPr="00070A7B">
        <w:rPr>
          <w:rFonts w:hAnsi="Times New Roman" w:cs="Times New Roman"/>
          <w:i/>
          <w:iCs/>
          <w:noProof/>
        </w:rPr>
        <w:t>31</w:t>
      </w:r>
      <w:r w:rsidRPr="00070A7B">
        <w:rPr>
          <w:rFonts w:hAnsi="Times New Roman" w:cs="Times New Roman"/>
          <w:noProof/>
        </w:rPr>
        <w:t>(12), 1825–1833.</w:t>
      </w:r>
    </w:p>
    <w:p w14:paraId="2570FB8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Slingsby, J. A., February, E. C., &amp; Rebelo, T. G. (2018). Water: at what cost to our unique flora? </w:t>
      </w:r>
      <w:r w:rsidRPr="00070A7B">
        <w:rPr>
          <w:rFonts w:hAnsi="Times New Roman" w:cs="Times New Roman"/>
          <w:i/>
          <w:iCs/>
          <w:noProof/>
        </w:rPr>
        <w:t>Veld &amp; Flora</w:t>
      </w:r>
      <w:r w:rsidRPr="00070A7B">
        <w:rPr>
          <w:rFonts w:hAnsi="Times New Roman" w:cs="Times New Roman"/>
          <w:noProof/>
        </w:rPr>
        <w:t xml:space="preserve">, </w:t>
      </w:r>
      <w:r w:rsidRPr="00070A7B">
        <w:rPr>
          <w:rFonts w:hAnsi="Times New Roman" w:cs="Times New Roman"/>
          <w:i/>
          <w:iCs/>
          <w:noProof/>
        </w:rPr>
        <w:t>June</w:t>
      </w:r>
      <w:r w:rsidRPr="00070A7B">
        <w:rPr>
          <w:rFonts w:hAnsi="Times New Roman" w:cs="Times New Roman"/>
          <w:noProof/>
        </w:rPr>
        <w:t>, 72–75.</w:t>
      </w:r>
    </w:p>
    <w:p w14:paraId="7A6D2DD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Snijman, D. A. (2013). </w:t>
      </w:r>
      <w:r w:rsidRPr="00070A7B">
        <w:rPr>
          <w:rFonts w:hAnsi="Times New Roman" w:cs="Times New Roman"/>
          <w:i/>
          <w:iCs/>
          <w:noProof/>
        </w:rPr>
        <w:t>Plants of the Greater Cape Floristic Region. 2: The Extra Cape flora</w:t>
      </w:r>
      <w:r w:rsidRPr="00070A7B">
        <w:rPr>
          <w:rFonts w:hAnsi="Times New Roman" w:cs="Times New Roman"/>
          <w:noProof/>
        </w:rPr>
        <w:t>. South African National Biodiversity Institute.</w:t>
      </w:r>
    </w:p>
    <w:p w14:paraId="4983C6B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Sobel, J. M., Chen, G. F., Watt, L. R., &amp; Schemske, D. W. (2010). The biology of speciation. </w:t>
      </w:r>
      <w:r w:rsidRPr="00070A7B">
        <w:rPr>
          <w:rFonts w:hAnsi="Times New Roman" w:cs="Times New Roman"/>
          <w:i/>
          <w:iCs/>
          <w:noProof/>
        </w:rPr>
        <w:lastRenderedPageBreak/>
        <w:t>Evolution</w:t>
      </w:r>
      <w:r w:rsidRPr="00070A7B">
        <w:rPr>
          <w:rFonts w:hAnsi="Times New Roman" w:cs="Times New Roman"/>
          <w:noProof/>
        </w:rPr>
        <w:t xml:space="preserve">, </w:t>
      </w:r>
      <w:r w:rsidRPr="00070A7B">
        <w:rPr>
          <w:rFonts w:hAnsi="Times New Roman" w:cs="Times New Roman"/>
          <w:i/>
          <w:iCs/>
          <w:noProof/>
        </w:rPr>
        <w:t>64</w:t>
      </w:r>
      <w:r w:rsidRPr="00070A7B">
        <w:rPr>
          <w:rFonts w:hAnsi="Times New Roman" w:cs="Times New Roman"/>
          <w:noProof/>
        </w:rPr>
        <w:t>(2), 295–315. https://doi.org/10.1111/j.1558-5646.2009.00877.x</w:t>
      </w:r>
    </w:p>
    <w:p w14:paraId="5F6AB324"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Stein, A., Gerstner, K., &amp; Kreft, H. (2014). Environmental heterogeneity as a universal driver of species richness across taxa, biomes and spatial scales. </w:t>
      </w:r>
      <w:r w:rsidRPr="00070A7B">
        <w:rPr>
          <w:rFonts w:hAnsi="Times New Roman" w:cs="Times New Roman"/>
          <w:i/>
          <w:iCs/>
          <w:noProof/>
        </w:rPr>
        <w:t>Ecology Letters</w:t>
      </w:r>
      <w:r w:rsidRPr="00070A7B">
        <w:rPr>
          <w:rFonts w:hAnsi="Times New Roman" w:cs="Times New Roman"/>
          <w:noProof/>
        </w:rPr>
        <w:t xml:space="preserve">, </w:t>
      </w:r>
      <w:r w:rsidRPr="00070A7B">
        <w:rPr>
          <w:rFonts w:hAnsi="Times New Roman" w:cs="Times New Roman"/>
          <w:i/>
          <w:iCs/>
          <w:noProof/>
        </w:rPr>
        <w:t>17</w:t>
      </w:r>
      <w:r w:rsidRPr="00070A7B">
        <w:rPr>
          <w:rFonts w:hAnsi="Times New Roman" w:cs="Times New Roman"/>
          <w:noProof/>
        </w:rPr>
        <w:t>(7), 866–880. https://doi.org/10.1111/ele.12277</w:t>
      </w:r>
    </w:p>
    <w:p w14:paraId="1B675E6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Stock, W. D., &amp; Verboom, G. A. (2012). Phylogenetic ecology of foliar N and P concentrations and N: P ratios across mediterranean-type ecosystems. </w:t>
      </w:r>
      <w:r w:rsidRPr="00070A7B">
        <w:rPr>
          <w:rFonts w:hAnsi="Times New Roman" w:cs="Times New Roman"/>
          <w:i/>
          <w:iCs/>
          <w:noProof/>
        </w:rPr>
        <w:t>Global Ecology and Biogeography</w:t>
      </w:r>
      <w:r w:rsidRPr="00070A7B">
        <w:rPr>
          <w:rFonts w:hAnsi="Times New Roman" w:cs="Times New Roman"/>
          <w:noProof/>
        </w:rPr>
        <w:t xml:space="preserve">, </w:t>
      </w:r>
      <w:r w:rsidRPr="00070A7B">
        <w:rPr>
          <w:rFonts w:hAnsi="Times New Roman" w:cs="Times New Roman"/>
          <w:i/>
          <w:iCs/>
          <w:noProof/>
        </w:rPr>
        <w:t>21</w:t>
      </w:r>
      <w:r w:rsidRPr="00070A7B">
        <w:rPr>
          <w:rFonts w:hAnsi="Times New Roman" w:cs="Times New Roman"/>
          <w:noProof/>
        </w:rPr>
        <w:t>(12), 1147–1156.</w:t>
      </w:r>
    </w:p>
    <w:p w14:paraId="679E0FC0"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Thuiller, W., Midgley, G. F., Rouget, M., Cowling, R. M., F. Midgley, G., Rougeti, M., &amp; M. Cowling, R. (2006). Predicting patterns of plant species richness in megadiverse South Africa. </w:t>
      </w:r>
      <w:r w:rsidRPr="00070A7B">
        <w:rPr>
          <w:rFonts w:hAnsi="Times New Roman" w:cs="Times New Roman"/>
          <w:i/>
          <w:iCs/>
          <w:noProof/>
        </w:rPr>
        <w:t>Ecography</w:t>
      </w:r>
      <w:r w:rsidRPr="00070A7B">
        <w:rPr>
          <w:rFonts w:hAnsi="Times New Roman" w:cs="Times New Roman"/>
          <w:noProof/>
        </w:rPr>
        <w:t xml:space="preserve">, </w:t>
      </w:r>
      <w:r w:rsidRPr="00070A7B">
        <w:rPr>
          <w:rFonts w:hAnsi="Times New Roman" w:cs="Times New Roman"/>
          <w:i/>
          <w:iCs/>
          <w:noProof/>
        </w:rPr>
        <w:t>29</w:t>
      </w:r>
      <w:r w:rsidRPr="00070A7B">
        <w:rPr>
          <w:rFonts w:hAnsi="Times New Roman" w:cs="Times New Roman"/>
          <w:noProof/>
        </w:rPr>
        <w:t>(5), 733–744. https://doi.org/10.1111/j.0906-7590.2006.04674.x</w:t>
      </w:r>
    </w:p>
    <w:p w14:paraId="35CF33A2"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van Rensburg, B. J., Chown, S. L., &amp; Gaston, K. J. (2002). Species richness, environmental correlates, and spatial scale: a test esing South African birds.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159</w:t>
      </w:r>
      <w:r w:rsidRPr="00070A7B">
        <w:rPr>
          <w:rFonts w:hAnsi="Times New Roman" w:cs="Times New Roman"/>
          <w:noProof/>
        </w:rPr>
        <w:t>(5), 566–577. https://doi.org/10.1086/339464</w:t>
      </w:r>
    </w:p>
    <w:p w14:paraId="68FCA37E"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Veech, J. A., Summerville, K. S., Crist, T. O., &amp; Gering, J. C. (2002). The additive partitioning of species diversity: recent revival of an old idea. </w:t>
      </w:r>
      <w:r w:rsidRPr="00070A7B">
        <w:rPr>
          <w:rFonts w:hAnsi="Times New Roman" w:cs="Times New Roman"/>
          <w:i/>
          <w:iCs/>
          <w:noProof/>
        </w:rPr>
        <w:t>Oikos</w:t>
      </w:r>
      <w:r w:rsidRPr="00070A7B">
        <w:rPr>
          <w:rFonts w:hAnsi="Times New Roman" w:cs="Times New Roman"/>
          <w:noProof/>
        </w:rPr>
        <w:t xml:space="preserve">, </w:t>
      </w:r>
      <w:r w:rsidRPr="00070A7B">
        <w:rPr>
          <w:rFonts w:hAnsi="Times New Roman" w:cs="Times New Roman"/>
          <w:i/>
          <w:iCs/>
          <w:noProof/>
        </w:rPr>
        <w:t>99</w:t>
      </w:r>
      <w:r w:rsidRPr="00070A7B">
        <w:rPr>
          <w:rFonts w:hAnsi="Times New Roman" w:cs="Times New Roman"/>
          <w:noProof/>
        </w:rPr>
        <w:t>(1), 3–9.</w:t>
      </w:r>
    </w:p>
    <w:p w14:paraId="3F190A37"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Verboom, G. A., Linder, H. P., Forest, F., Hoffmann, V., Bergh, N. G., &amp; Cowling, R. M. (2014). Cenozoic assembly of the Greater Cape flora. In N. Allsopp, J. F. Colville, &amp; G. A. Verboom (Eds.), </w:t>
      </w:r>
      <w:r w:rsidRPr="00070A7B">
        <w:rPr>
          <w:rFonts w:hAnsi="Times New Roman" w:cs="Times New Roman"/>
          <w:i/>
          <w:iCs/>
          <w:noProof/>
        </w:rPr>
        <w:t>Fynbos: Ecology, Evolution and Conservation of a Megadiverse Region</w:t>
      </w:r>
      <w:r w:rsidRPr="00070A7B">
        <w:rPr>
          <w:rFonts w:hAnsi="Times New Roman" w:cs="Times New Roman"/>
          <w:noProof/>
        </w:rPr>
        <w:t>. Oxford: Oxford University Press. Retrieved from http://www.oxfordscholarship.com/view/10.1093/acprof:oso/9780199679584.001.0001/acprof-9780199679584</w:t>
      </w:r>
    </w:p>
    <w:p w14:paraId="3EA9B9F8"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Whittaker, R. H. (1960). Vegetation of the Siskiyou mountains, Oregon and California. </w:t>
      </w:r>
      <w:r w:rsidRPr="00070A7B">
        <w:rPr>
          <w:rFonts w:hAnsi="Times New Roman" w:cs="Times New Roman"/>
          <w:i/>
          <w:iCs/>
          <w:noProof/>
        </w:rPr>
        <w:t>Ecological Monographs</w:t>
      </w:r>
      <w:r w:rsidRPr="00070A7B">
        <w:rPr>
          <w:rFonts w:hAnsi="Times New Roman" w:cs="Times New Roman"/>
          <w:noProof/>
        </w:rPr>
        <w:t xml:space="preserve">, </w:t>
      </w:r>
      <w:r w:rsidRPr="00070A7B">
        <w:rPr>
          <w:rFonts w:hAnsi="Times New Roman" w:cs="Times New Roman"/>
          <w:i/>
          <w:iCs/>
          <w:noProof/>
        </w:rPr>
        <w:t>30</w:t>
      </w:r>
      <w:r w:rsidRPr="00070A7B">
        <w:rPr>
          <w:rFonts w:hAnsi="Times New Roman" w:cs="Times New Roman"/>
          <w:noProof/>
        </w:rPr>
        <w:t>(3), 279–338.</w:t>
      </w:r>
    </w:p>
    <w:p w14:paraId="10503EB5"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(2004a). Speciation and ecology revisited: phylogenetic niche conservatism and the origin of species. </w:t>
      </w:r>
      <w:r w:rsidRPr="00070A7B">
        <w:rPr>
          <w:rFonts w:hAnsi="Times New Roman" w:cs="Times New Roman"/>
          <w:i/>
          <w:iCs/>
          <w:noProof/>
        </w:rPr>
        <w:t>Evolution</w:t>
      </w:r>
      <w:r w:rsidRPr="00070A7B">
        <w:rPr>
          <w:rFonts w:hAnsi="Times New Roman" w:cs="Times New Roman"/>
          <w:noProof/>
        </w:rPr>
        <w:t xml:space="preserve">, </w:t>
      </w:r>
      <w:r w:rsidRPr="00070A7B">
        <w:rPr>
          <w:rFonts w:hAnsi="Times New Roman" w:cs="Times New Roman"/>
          <w:i/>
          <w:iCs/>
          <w:noProof/>
        </w:rPr>
        <w:t>58</w:t>
      </w:r>
      <w:r w:rsidRPr="00070A7B">
        <w:rPr>
          <w:rFonts w:hAnsi="Times New Roman" w:cs="Times New Roman"/>
          <w:noProof/>
        </w:rPr>
        <w:t>(1), 193–197.</w:t>
      </w:r>
    </w:p>
    <w:p w14:paraId="71825089"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Wiens, J. J. (2004b). What is speciation and how should we study it? </w:t>
      </w:r>
      <w:r w:rsidRPr="00070A7B">
        <w:rPr>
          <w:rFonts w:hAnsi="Times New Roman" w:cs="Times New Roman"/>
          <w:i/>
          <w:iCs/>
          <w:noProof/>
        </w:rPr>
        <w:t>The American Naturalist</w:t>
      </w:r>
      <w:r w:rsidRPr="00070A7B">
        <w:rPr>
          <w:rFonts w:hAnsi="Times New Roman" w:cs="Times New Roman"/>
          <w:noProof/>
        </w:rPr>
        <w:t xml:space="preserve">, </w:t>
      </w:r>
      <w:r w:rsidRPr="00070A7B">
        <w:rPr>
          <w:rFonts w:hAnsi="Times New Roman" w:cs="Times New Roman"/>
          <w:i/>
          <w:iCs/>
          <w:noProof/>
        </w:rPr>
        <w:t>163</w:t>
      </w:r>
      <w:r w:rsidRPr="00070A7B">
        <w:rPr>
          <w:rFonts w:hAnsi="Times New Roman" w:cs="Times New Roman"/>
          <w:noProof/>
        </w:rPr>
        <w:t>(6), 914–923.</w:t>
      </w:r>
    </w:p>
    <w:p w14:paraId="2F588D1C" w14:textId="77777777" w:rsidR="00070A7B" w:rsidRPr="00070A7B" w:rsidRDefault="00070A7B" w:rsidP="00070A7B">
      <w:pPr>
        <w:widowControl w:val="0"/>
        <w:autoSpaceDE w:val="0"/>
        <w:autoSpaceDN w:val="0"/>
        <w:adjustRightInd w:val="0"/>
        <w:spacing w:after="180"/>
        <w:ind w:left="480" w:hanging="480"/>
        <w:rPr>
          <w:rFonts w:hAnsi="Times New Roman" w:cs="Times New Roman"/>
          <w:noProof/>
        </w:rPr>
      </w:pPr>
      <w:r w:rsidRPr="00070A7B">
        <w:rPr>
          <w:rFonts w:hAnsi="Times New Roman" w:cs="Times New Roman"/>
          <w:noProof/>
        </w:rPr>
        <w:t xml:space="preserve">Wüest, R. O., Boucher, F. C., Bouchenak-Khelladi, Y., Karger, D. N., &amp; Linder, H. P. (2019). Dissecting biodiversity in a global hotspot: Uneven dynamics of immigration and diversification within the Cape Floristic Region of South Africa. </w:t>
      </w:r>
      <w:r w:rsidRPr="00070A7B">
        <w:rPr>
          <w:rFonts w:hAnsi="Times New Roman" w:cs="Times New Roman"/>
          <w:i/>
          <w:iCs/>
          <w:noProof/>
        </w:rPr>
        <w:t>Journal of Biogeography</w:t>
      </w:r>
      <w:r w:rsidRPr="00070A7B">
        <w:rPr>
          <w:rFonts w:hAnsi="Times New Roman" w:cs="Times New Roman"/>
          <w:noProof/>
        </w:rPr>
        <w:t xml:space="preserve">, </w:t>
      </w:r>
      <w:r w:rsidRPr="00070A7B">
        <w:rPr>
          <w:rFonts w:hAnsi="Times New Roman" w:cs="Times New Roman"/>
          <w:i/>
          <w:iCs/>
          <w:noProof/>
        </w:rPr>
        <w:t>46</w:t>
      </w:r>
      <w:r w:rsidRPr="00070A7B">
        <w:rPr>
          <w:rFonts w:hAnsi="Times New Roman" w:cs="Times New Roman"/>
          <w:noProof/>
        </w:rPr>
        <w:t>(9), 1936–1947. https://doi.org/10.1111/jbi.13625</w:t>
      </w:r>
    </w:p>
    <w:p w14:paraId="79A91F4D" w14:textId="732A3007" w:rsidR="00112BB0" w:rsidRDefault="008E0DFC" w:rsidP="00070A7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20-01-29T14:55:00Z" w:initials="MC">
    <w:p w14:paraId="7D6E1E8C" w14:textId="72377C6B" w:rsidR="00BC6386" w:rsidRDefault="00BC6386">
      <w:pPr>
        <w:pStyle w:val="CommentText"/>
      </w:pPr>
      <w:r>
        <w:rPr>
          <w:rStyle w:val="CommentReference"/>
        </w:rPr>
        <w:annotationRef/>
      </w:r>
      <w:r>
        <w:t xml:space="preserve">Students and I have previously commented on multiple referencing. Please confine to circumstances where necessary. </w:t>
      </w:r>
    </w:p>
  </w:comment>
  <w:comment w:id="4" w:author="Michael Cramer" w:date="2020-01-29T14:56:00Z" w:initials="MC">
    <w:p w14:paraId="3364B9C9" w14:textId="2C64ACE9" w:rsidR="00BC6386" w:rsidRDefault="00BC6386">
      <w:pPr>
        <w:pStyle w:val="CommentText"/>
      </w:pPr>
      <w:r>
        <w:rPr>
          <w:rStyle w:val="CommentReference"/>
        </w:rPr>
        <w:annotationRef/>
      </w:r>
      <w:r>
        <w:t>The students suggested that the importance of scale was not that clear from the introduction. I think this could be made more explicit</w:t>
      </w:r>
    </w:p>
  </w:comment>
  <w:comment w:id="6" w:author="Michael Cramer" w:date="2020-01-21T16:03:00Z" w:initials="MC">
    <w:p w14:paraId="40C7EE35" w14:textId="77D72B2E" w:rsidR="00BC6386" w:rsidRDefault="00BC6386">
      <w:pPr>
        <w:pStyle w:val="CommentText"/>
      </w:pPr>
      <w:r>
        <w:rPr>
          <w:rStyle w:val="CommentReference"/>
        </w:rPr>
        <w:annotationRef/>
      </w:r>
      <w:r>
        <w:t>I would argue that Hooper</w:t>
      </w:r>
      <w:r>
        <w:t>’</w:t>
      </w:r>
      <w:r>
        <w:t xml:space="preserve">s application of this to SWAFR similarly distorts patterns there. </w:t>
      </w:r>
    </w:p>
  </w:comment>
  <w:comment w:id="7" w:author="Michael Cramer" w:date="2020-01-29T14:59:00Z" w:initials="MC">
    <w:p w14:paraId="510359C4" w14:textId="77777777" w:rsidR="00BC6386" w:rsidRDefault="00BC6386">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BC6386" w:rsidRDefault="00BC6386">
      <w:pPr>
        <w:pStyle w:val="CommentText"/>
      </w:pPr>
    </w:p>
    <w:p w14:paraId="3ACBD6E4" w14:textId="2BBBAC21" w:rsidR="00BC6386" w:rsidRDefault="00BC6386">
      <w:pPr>
        <w:pStyle w:val="CommentText"/>
      </w:pPr>
      <w:r>
        <w:t>They also asked about how much area was actually sampled in the end. You give the area of the SWAFR and GCFR but not of the QDSs that were included</w:t>
      </w:r>
      <w:r>
        <w:t>…</w:t>
      </w:r>
      <w:r>
        <w:t>.</w:t>
      </w:r>
    </w:p>
  </w:comment>
  <w:comment w:id="10" w:author="Michael Cramer" w:date="2020-01-21T16:40:00Z" w:initials="MC">
    <w:p w14:paraId="0C6AF99E" w14:textId="0CF1CB05" w:rsidR="00BC6386" w:rsidRDefault="00BC6386">
      <w:pPr>
        <w:pStyle w:val="CommentText"/>
      </w:pPr>
      <w:r>
        <w:rPr>
          <w:rStyle w:val="CommentReference"/>
        </w:rPr>
        <w:annotationRef/>
      </w:r>
      <w:r>
        <w:t>One of the big problems for these models is spatial autocorrelation. This is usually measured with Moran</w:t>
      </w:r>
      <w:r>
        <w:t>’</w:t>
      </w:r>
      <w:r>
        <w:t>s I. There is not even a mention of this issue here</w:t>
      </w:r>
      <w:r>
        <w:t>…</w:t>
      </w:r>
      <w:r>
        <w:t>.</w:t>
      </w:r>
    </w:p>
  </w:comment>
  <w:comment w:id="12" w:author="Michael Cramer" w:date="2020-01-21T16:36:00Z" w:initials="MC">
    <w:p w14:paraId="6590F930" w14:textId="1D0C42F5" w:rsidR="00BC6386" w:rsidRDefault="00BC6386">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BC6386" w:rsidRDefault="00BC6386">
      <w:pPr>
        <w:pStyle w:val="CommentText"/>
      </w:pPr>
    </w:p>
  </w:comment>
  <w:comment w:id="13" w:author="Michael Cramer" w:date="2020-01-29T15:03:00Z" w:initials="MC">
    <w:p w14:paraId="2BB8BE16" w14:textId="5AE53DA0" w:rsidR="00BC6386" w:rsidRDefault="00BC6386">
      <w:pPr>
        <w:pStyle w:val="CommentText"/>
      </w:pPr>
      <w:r>
        <w:rPr>
          <w:rStyle w:val="CommentReference"/>
        </w:rPr>
        <w:annotationRef/>
      </w:r>
      <w:r>
        <w:t xml:space="preserve">I checked into the use of the Mann-Whitney U and was not sure why it was chosen. </w:t>
      </w:r>
    </w:p>
  </w:comment>
  <w:comment w:id="14" w:author="Michael Cramer" w:date="2020-01-21T16:49:00Z" w:initials="MC">
    <w:p w14:paraId="20DE24DD" w14:textId="4372F8D1" w:rsidR="00BC6386" w:rsidRDefault="00BC6386">
      <w:pPr>
        <w:pStyle w:val="CommentText"/>
      </w:pPr>
      <w:r>
        <w:rPr>
          <w:rStyle w:val="CommentReference"/>
        </w:rPr>
        <w:annotationRef/>
      </w:r>
      <w:r>
        <w:t>Again, my feeling is that the data has not been properly dealt with. There is quite a bit to comment on I think.</w:t>
      </w:r>
    </w:p>
  </w:comment>
  <w:comment w:id="15" w:author="Michael Cramer" w:date="2020-01-21T16:59:00Z" w:initials="MC">
    <w:p w14:paraId="7A995306" w14:textId="385F6672" w:rsidR="00BC6386" w:rsidRDefault="00BC6386">
      <w:pPr>
        <w:pStyle w:val="CommentText"/>
      </w:pPr>
      <w:r>
        <w:rPr>
          <w:rStyle w:val="CommentReference"/>
        </w:rPr>
        <w:annotationRef/>
      </w:r>
      <w:r>
        <w:t xml:space="preserve">This is great, but maybe it could be linked to topographic </w:t>
      </w:r>
      <w:proofErr w:type="spellStart"/>
      <w:r>
        <w:t>heterogenity</w:t>
      </w:r>
      <w:proofErr w:type="spellEnd"/>
      <w:r>
        <w:t xml:space="preserve"> here? Just a statement to that effect?</w:t>
      </w:r>
    </w:p>
  </w:comment>
  <w:comment w:id="16" w:author="Michael Cramer" w:date="2020-01-21T17:52:00Z" w:initials="MC">
    <w:p w14:paraId="26A749F2" w14:textId="3F4F2286" w:rsidR="00BC6386" w:rsidRDefault="00BC6386">
      <w:pPr>
        <w:pStyle w:val="CommentText"/>
      </w:pPr>
      <w:r>
        <w:rPr>
          <w:rStyle w:val="CommentReference"/>
        </w:rPr>
        <w:annotationRef/>
      </w:r>
      <w:r>
        <w:t>From inspecting the graph this does not look so general! Besides, many are complex with different effects in SAFR and GCFR</w:t>
      </w:r>
      <w:r>
        <w:t>…</w:t>
      </w:r>
      <w:r>
        <w:t>.</w:t>
      </w:r>
    </w:p>
  </w:comment>
  <w:comment w:id="17" w:author="Michael Cramer" w:date="2020-01-21T18:21:00Z" w:initials="MC">
    <w:p w14:paraId="15DAAED6" w14:textId="487C74D0" w:rsidR="00BC6386" w:rsidRDefault="00BC6386">
      <w:pPr>
        <w:pStyle w:val="CommentText"/>
      </w:pPr>
      <w:r>
        <w:rPr>
          <w:rStyle w:val="CommentReference"/>
        </w:rPr>
        <w:annotationRef/>
      </w:r>
      <w:r>
        <w:t>Horrible sentence!</w:t>
      </w:r>
    </w:p>
  </w:comment>
  <w:comment w:id="18" w:author="Michael Cramer" w:date="2020-01-21T18:23:00Z" w:initials="MC">
    <w:p w14:paraId="6493917C" w14:textId="4F3552CA" w:rsidR="00BC6386" w:rsidRDefault="00BC6386">
      <w:pPr>
        <w:pStyle w:val="CommentText"/>
      </w:pPr>
      <w:r>
        <w:rPr>
          <w:rStyle w:val="CommentReference"/>
        </w:rPr>
        <w:annotationRef/>
      </w:r>
      <w:r>
        <w:t>Very hard to see this from the maps presented. Need a higher resolution map to make this point effectively.</w:t>
      </w:r>
    </w:p>
  </w:comment>
  <w:comment w:id="20" w:author="Michael Cramer" w:date="2020-01-21T18:25:00Z" w:initials="MC">
    <w:p w14:paraId="3216D7C2" w14:textId="2D9BD5C3" w:rsidR="00BC6386" w:rsidRDefault="00BC6386">
      <w:pPr>
        <w:pStyle w:val="CommentText"/>
      </w:pPr>
      <w:r>
        <w:rPr>
          <w:rStyle w:val="CommentReference"/>
        </w:rPr>
        <w:annotationRef/>
      </w:r>
      <w:r>
        <w:t>Wording</w:t>
      </w:r>
      <w:r>
        <w:t>…</w:t>
      </w:r>
    </w:p>
  </w:comment>
  <w:comment w:id="19" w:author="Ruan Van Mazijk" w:date="2020-02-27T16:15:00Z" w:initials="RVM">
    <w:p w14:paraId="4B02A409" w14:textId="5D217374" w:rsidR="009172F8" w:rsidRDefault="009172F8">
      <w:pPr>
        <w:pStyle w:val="CommentText"/>
      </w:pPr>
      <w:r>
        <w:rPr>
          <w:rStyle w:val="CommentReference"/>
        </w:rPr>
        <w:annotationRef/>
      </w:r>
      <w:r w:rsidR="008D04EA">
        <w:t>Still relevant?</w:t>
      </w:r>
    </w:p>
  </w:comment>
  <w:comment w:id="22" w:author="Michael Cramer" w:date="2020-01-21T18:32:00Z" w:initials="MC">
    <w:p w14:paraId="08FD9056" w14:textId="634F5059" w:rsidR="00BC6386" w:rsidRDefault="00BC6386">
      <w:pPr>
        <w:pStyle w:val="CommentText"/>
      </w:pPr>
      <w:r>
        <w:rPr>
          <w:rStyle w:val="CommentReference"/>
        </w:rPr>
        <w:annotationRef/>
      </w:r>
      <w:r>
        <w:t>On the basis of?</w:t>
      </w:r>
    </w:p>
  </w:comment>
  <w:comment w:id="23" w:author="Michael Cramer" w:date="2020-01-21T18:33:00Z" w:initials="MC">
    <w:p w14:paraId="6630E98D" w14:textId="63ADB3E1" w:rsidR="00BC6386" w:rsidRDefault="00BC6386">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4" w:author="Michael Cramer" w:date="2020-01-21T18:42:00Z" w:initials="MC">
    <w:p w14:paraId="1AF6D68F" w14:textId="4F8ED442" w:rsidR="00BC6386" w:rsidRDefault="00BC6386">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5" w:author="Michael Cramer" w:date="2020-01-21T18:44:00Z" w:initials="MC">
    <w:p w14:paraId="1EF10457" w14:textId="06919D9E" w:rsidR="00BC6386" w:rsidRDefault="00BC6386">
      <w:pPr>
        <w:pStyle w:val="CommentText"/>
      </w:pPr>
      <w:r>
        <w:rPr>
          <w:rStyle w:val="CommentReference"/>
        </w:rPr>
        <w:annotationRef/>
      </w:r>
      <w:r>
        <w:t>This was a review? Best source?</w:t>
      </w:r>
    </w:p>
  </w:comment>
  <w:comment w:id="26" w:author="Michael Cramer" w:date="2020-01-21T18:48:00Z" w:initials="MC">
    <w:p w14:paraId="31079DFF" w14:textId="10824F33" w:rsidR="00BC6386" w:rsidRDefault="00BC6386">
      <w:pPr>
        <w:pStyle w:val="CommentText"/>
      </w:pPr>
      <w:r>
        <w:rPr>
          <w:rStyle w:val="CommentReference"/>
        </w:rPr>
        <w:annotationRef/>
      </w:r>
      <w:r>
        <w:t xml:space="preserve">What is the definition of a </w:t>
      </w:r>
      <w:proofErr w:type="gramStart"/>
      <w:r>
        <w:t>single-site</w:t>
      </w:r>
      <w:proofErr w:type="gramEnd"/>
      <w:r>
        <w:t>?</w:t>
      </w:r>
    </w:p>
  </w:comment>
  <w:comment w:id="27" w:author="Michael Cramer" w:date="2020-01-21T18:58:00Z" w:initials="MC">
    <w:p w14:paraId="7FA66952" w14:textId="2EE07ABC" w:rsidR="00BC6386" w:rsidRDefault="00BC6386">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8" w:author="Michael Cramer" w:date="2020-01-21T18:59:00Z" w:initials="MC">
    <w:p w14:paraId="6AF0ADCE" w14:textId="79C99A68" w:rsidR="00BC6386" w:rsidRDefault="00BC6386">
      <w:pPr>
        <w:pStyle w:val="CommentText"/>
      </w:pPr>
      <w:r>
        <w:rPr>
          <w:rStyle w:val="CommentReference"/>
        </w:rPr>
        <w:annotationRef/>
      </w:r>
      <w:r>
        <w:t>Can you do better than that? Must be possible to get some evidence of this from your data?</w:t>
      </w:r>
    </w:p>
  </w:comment>
  <w:comment w:id="29" w:author="Michael Cramer" w:date="2020-01-21T19:02:00Z" w:initials="MC">
    <w:p w14:paraId="33809609" w14:textId="17BC86DE" w:rsidR="00BC6386" w:rsidRDefault="00BC6386">
      <w:pPr>
        <w:pStyle w:val="CommentText"/>
      </w:pPr>
      <w:r>
        <w:rPr>
          <w:rStyle w:val="CommentReference"/>
        </w:rPr>
        <w:annotationRef/>
      </w:r>
      <w:r>
        <w:t>Why?</w:t>
      </w:r>
    </w:p>
  </w:comment>
  <w:comment w:id="31" w:author="Ruan Van Mazijk" w:date="2020-01-30T15:24:00Z" w:initials="RVM">
    <w:p w14:paraId="3B2F63F5" w14:textId="156D115E" w:rsidR="0090014E" w:rsidRDefault="0090014E">
      <w:pPr>
        <w:pStyle w:val="CommentText"/>
      </w:pPr>
      <w:r>
        <w:rPr>
          <w:rStyle w:val="CommentReference"/>
        </w:rPr>
        <w:annotationRef/>
      </w:r>
      <w:r w:rsidRPr="0090014E">
        <w:t>Double check that maps line up w/ "only 4 sub-pixels" idea</w:t>
      </w:r>
    </w:p>
  </w:comment>
  <w:comment w:id="32" w:author="Ruan Van Mazijk" w:date="2020-02-27T16:18:00Z" w:initials="RVM">
    <w:p w14:paraId="217ACE92" w14:textId="37F5D616" w:rsidR="00D84A21" w:rsidRDefault="00D84A21">
      <w:pPr>
        <w:pStyle w:val="CommentText"/>
      </w:pPr>
      <w:r>
        <w:rPr>
          <w:rStyle w:val="CommentReference"/>
        </w:rPr>
        <w:annotationRef/>
      </w:r>
      <w:r>
        <w:t xml:space="preserve">Tighten </w:t>
      </w:r>
      <w:proofErr w:type="spellStart"/>
      <w:r>
        <w:t>xlims</w:t>
      </w:r>
      <w:proofErr w:type="spellEnd"/>
      <w:r>
        <w:t xml:space="preserve"> on </w:t>
      </w:r>
      <w:proofErr w:type="spellStart"/>
      <w:r>
        <w:t>d,e</w:t>
      </w:r>
      <w:proofErr w:type="spellEnd"/>
    </w:p>
  </w:comment>
  <w:comment w:id="33" w:author="Ruan Van Mazijk" w:date="2020-02-27T17:27:00Z" w:initials="RVM">
    <w:p w14:paraId="030E1ECF" w14:textId="44923FD3" w:rsidR="001E2381" w:rsidRDefault="001E2381">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D6E1E8C" w15:done="0"/>
  <w15:commentEx w15:paraId="3364B9C9" w15:done="0"/>
  <w15:commentEx w15:paraId="40C7EE35" w15:done="0"/>
  <w15:commentEx w15:paraId="3ACBD6E4" w15:done="0"/>
  <w15:commentEx w15:paraId="0C6AF99E" w15:done="0"/>
  <w15:commentEx w15:paraId="16711E5A" w15:done="0"/>
  <w15:commentEx w15:paraId="2BB8BE16" w15:done="1"/>
  <w15:commentEx w15:paraId="20DE24DD" w15:done="0"/>
  <w15:commentEx w15:paraId="7A995306" w15:done="0"/>
  <w15:commentEx w15:paraId="26A749F2" w15:done="0"/>
  <w15:commentEx w15:paraId="15DAAED6" w15:done="1"/>
  <w15:commentEx w15:paraId="6493917C" w15:done="1"/>
  <w15:commentEx w15:paraId="3216D7C2" w15:done="1"/>
  <w15:commentEx w15:paraId="4B02A409" w15:done="0"/>
  <w15:commentEx w15:paraId="08FD9056" w15:done="0"/>
  <w15:commentEx w15:paraId="6630E98D" w15:done="0"/>
  <w15:commentEx w15:paraId="1AF6D68F" w15:done="0"/>
  <w15:commentEx w15:paraId="1EF10457" w15:done="0"/>
  <w15:commentEx w15:paraId="31079DFF" w15:done="0"/>
  <w15:commentEx w15:paraId="7FA66952" w15:done="0"/>
  <w15:commentEx w15:paraId="6AF0ADCE" w15:done="0"/>
  <w15:commentEx w15:paraId="33809609" w15:done="0"/>
  <w15:commentEx w15:paraId="3B2F63F5" w15:done="1"/>
  <w15:commentEx w15:paraId="217ACE9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D6E1E8C" w16cid:durableId="21DC1B5A"/>
  <w16cid:commentId w16cid:paraId="3364B9C9" w16cid:durableId="21DC1B8E"/>
  <w16cid:commentId w16cid:paraId="40C7EE35" w16cid:durableId="21D19F5E"/>
  <w16cid:commentId w16cid:paraId="3ACBD6E4" w16cid:durableId="21DC1C49"/>
  <w16cid:commentId w16cid:paraId="0C6AF99E" w16cid:durableId="21D1A7E3"/>
  <w16cid:commentId w16cid:paraId="16711E5A" w16cid:durableId="21D1A72B"/>
  <w16cid:commentId w16cid:paraId="2BB8BE16" w16cid:durableId="21DC1D2B"/>
  <w16cid:commentId w16cid:paraId="7A995306" w16cid:durableId="21D1AC5A"/>
  <w16cid:commentId w16cid:paraId="26A749F2" w16cid:durableId="21D1B8C2"/>
  <w16cid:commentId w16cid:paraId="15DAAED6" w16cid:durableId="21D1BFBA"/>
  <w16cid:commentId w16cid:paraId="6493917C" w16cid:durableId="21D1C03F"/>
  <w16cid:commentId w16cid:paraId="3216D7C2" w16cid:durableId="21D1C095"/>
  <w16cid:commentId w16cid:paraId="4B02A409" w16cid:durableId="220269B8"/>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7FA66952" w16cid:durableId="21D1C83B"/>
  <w16cid:commentId w16cid:paraId="6AF0ADCE" w16cid:durableId="21D1C8A8"/>
  <w16cid:commentId w16cid:paraId="33809609" w16cid:durableId="21D1C945"/>
  <w16cid:commentId w16cid:paraId="3B2F63F5" w16cid:durableId="21DD73BD"/>
  <w16cid:commentId w16cid:paraId="217ACE92" w16cid:durableId="22026A52"/>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2C5DF0" w14:textId="77777777" w:rsidR="00A65782" w:rsidRDefault="00A65782">
      <w:pPr>
        <w:spacing w:after="0"/>
      </w:pPr>
      <w:r>
        <w:separator/>
      </w:r>
    </w:p>
  </w:endnote>
  <w:endnote w:type="continuationSeparator" w:id="0">
    <w:p w14:paraId="786D17C5" w14:textId="77777777" w:rsidR="00A65782" w:rsidRDefault="00A65782">
      <w:pPr>
        <w:spacing w:after="0"/>
      </w:pPr>
      <w:r>
        <w:continuationSeparator/>
      </w:r>
    </w:p>
  </w:endnote>
  <w:endnote w:type="continuationNotice" w:id="1">
    <w:p w14:paraId="082DEC37" w14:textId="77777777" w:rsidR="00A65782" w:rsidRDefault="00A65782">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BC6386" w:rsidRDefault="00BC6386">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BC6386" w:rsidRDefault="00BC6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6A396" w14:textId="77777777" w:rsidR="00A65782" w:rsidRDefault="00A65782">
      <w:r>
        <w:separator/>
      </w:r>
    </w:p>
  </w:footnote>
  <w:footnote w:type="continuationSeparator" w:id="0">
    <w:p w14:paraId="60A1A3FB" w14:textId="77777777" w:rsidR="00A65782" w:rsidRDefault="00A65782">
      <w:r>
        <w:continuationSeparator/>
      </w:r>
    </w:p>
  </w:footnote>
  <w:footnote w:type="continuationNotice" w:id="1">
    <w:p w14:paraId="4EA2A771" w14:textId="77777777" w:rsidR="00A65782" w:rsidRDefault="00A65782">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1ADE"/>
    <w:rsid w:val="000A2014"/>
    <w:rsid w:val="000A2EAE"/>
    <w:rsid w:val="000A3255"/>
    <w:rsid w:val="000A44BE"/>
    <w:rsid w:val="000A737C"/>
    <w:rsid w:val="000A7820"/>
    <w:rsid w:val="000A7C66"/>
    <w:rsid w:val="000B1C91"/>
    <w:rsid w:val="000B2398"/>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B7AF6"/>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D7DD1"/>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E50"/>
    <w:rsid w:val="00251ECF"/>
    <w:rsid w:val="00252DA8"/>
    <w:rsid w:val="002531F6"/>
    <w:rsid w:val="002536E4"/>
    <w:rsid w:val="00253F7E"/>
    <w:rsid w:val="00254120"/>
    <w:rsid w:val="00254BC0"/>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03F"/>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A4"/>
    <w:rsid w:val="0040528B"/>
    <w:rsid w:val="00405952"/>
    <w:rsid w:val="00405B29"/>
    <w:rsid w:val="004063C5"/>
    <w:rsid w:val="004064DB"/>
    <w:rsid w:val="004066C3"/>
    <w:rsid w:val="0040717E"/>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84E"/>
    <w:rsid w:val="00524295"/>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2BC"/>
    <w:rsid w:val="00604415"/>
    <w:rsid w:val="00604A35"/>
    <w:rsid w:val="00604DD9"/>
    <w:rsid w:val="00605427"/>
    <w:rsid w:val="006056E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E8"/>
    <w:rsid w:val="00623216"/>
    <w:rsid w:val="006236CD"/>
    <w:rsid w:val="006255A4"/>
    <w:rsid w:val="006265CD"/>
    <w:rsid w:val="00627260"/>
    <w:rsid w:val="006277B7"/>
    <w:rsid w:val="0062793F"/>
    <w:rsid w:val="006310C0"/>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A55"/>
    <w:rsid w:val="007233E4"/>
    <w:rsid w:val="00723D01"/>
    <w:rsid w:val="0072431B"/>
    <w:rsid w:val="0072433F"/>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D62"/>
    <w:rsid w:val="00765FAE"/>
    <w:rsid w:val="007660F8"/>
    <w:rsid w:val="00767B72"/>
    <w:rsid w:val="00767DB5"/>
    <w:rsid w:val="007704C7"/>
    <w:rsid w:val="00771113"/>
    <w:rsid w:val="00771DE5"/>
    <w:rsid w:val="00771E0F"/>
    <w:rsid w:val="007722C9"/>
    <w:rsid w:val="00773D2C"/>
    <w:rsid w:val="007743CF"/>
    <w:rsid w:val="00774484"/>
    <w:rsid w:val="0077499D"/>
    <w:rsid w:val="00774C5C"/>
    <w:rsid w:val="00774D41"/>
    <w:rsid w:val="007755AC"/>
    <w:rsid w:val="00775A42"/>
    <w:rsid w:val="00776B09"/>
    <w:rsid w:val="00776E99"/>
    <w:rsid w:val="00777C00"/>
    <w:rsid w:val="0078067F"/>
    <w:rsid w:val="007807E0"/>
    <w:rsid w:val="00780F37"/>
    <w:rsid w:val="00782030"/>
    <w:rsid w:val="007829E9"/>
    <w:rsid w:val="00782E1B"/>
    <w:rsid w:val="007836C1"/>
    <w:rsid w:val="00784439"/>
    <w:rsid w:val="00784D58"/>
    <w:rsid w:val="00785438"/>
    <w:rsid w:val="00786594"/>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308D"/>
    <w:rsid w:val="007C3F0A"/>
    <w:rsid w:val="007C5406"/>
    <w:rsid w:val="007C5AFE"/>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863"/>
    <w:rsid w:val="008D6A7F"/>
    <w:rsid w:val="008D71B2"/>
    <w:rsid w:val="008D71CC"/>
    <w:rsid w:val="008D7235"/>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9A3"/>
    <w:rsid w:val="00911C5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B2B"/>
    <w:rsid w:val="00A60D1B"/>
    <w:rsid w:val="00A61581"/>
    <w:rsid w:val="00A6199A"/>
    <w:rsid w:val="00A646E1"/>
    <w:rsid w:val="00A64D0C"/>
    <w:rsid w:val="00A64EBD"/>
    <w:rsid w:val="00A65782"/>
    <w:rsid w:val="00A65D58"/>
    <w:rsid w:val="00A67894"/>
    <w:rsid w:val="00A70597"/>
    <w:rsid w:val="00A7094C"/>
    <w:rsid w:val="00A716D1"/>
    <w:rsid w:val="00A7173D"/>
    <w:rsid w:val="00A71D7E"/>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109A3"/>
    <w:rsid w:val="00C10BD2"/>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DFF"/>
    <w:rsid w:val="00C45000"/>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262"/>
    <w:rsid w:val="00EC572B"/>
    <w:rsid w:val="00EC5B19"/>
    <w:rsid w:val="00EC77A9"/>
    <w:rsid w:val="00ED0427"/>
    <w:rsid w:val="00ED24C6"/>
    <w:rsid w:val="00ED3257"/>
    <w:rsid w:val="00ED4D30"/>
    <w:rsid w:val="00ED655C"/>
    <w:rsid w:val="00ED672F"/>
    <w:rsid w:val="00ED6805"/>
    <w:rsid w:val="00ED7F50"/>
    <w:rsid w:val="00EE0D7A"/>
    <w:rsid w:val="00EE1196"/>
    <w:rsid w:val="00EE125C"/>
    <w:rsid w:val="00EE18BF"/>
    <w:rsid w:val="00EE2E2F"/>
    <w:rsid w:val="00EE33AA"/>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404A"/>
    <w:rsid w:val="00F5444D"/>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DF6"/>
    <w:rsid w:val="00FC7DE5"/>
    <w:rsid w:val="00FD032B"/>
    <w:rsid w:val="00FD1780"/>
    <w:rsid w:val="00FD18C0"/>
    <w:rsid w:val="00FD1C6D"/>
    <w:rsid w:val="00FD2D4B"/>
    <w:rsid w:val="00FD350F"/>
    <w:rsid w:val="00FD38DE"/>
    <w:rsid w:val="00FD3C3A"/>
    <w:rsid w:val="00FD3F06"/>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DE3"/>
    <w:rsid w:val="00FE713B"/>
    <w:rsid w:val="00FE718A"/>
    <w:rsid w:val="00FF088B"/>
    <w:rsid w:val="00FF0F3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078F18-51DA-4A5E-AC63-24A996EC31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27</Pages>
  <Words>42021</Words>
  <Characters>239524</Characters>
  <Application>Microsoft Office Word</Application>
  <DocSecurity>0</DocSecurity>
  <Lines>1996</Lines>
  <Paragraphs>561</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280984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127</cp:revision>
  <cp:lastPrinted>2020-02-06T08:23:00Z</cp:lastPrinted>
  <dcterms:created xsi:type="dcterms:W3CDTF">2020-01-29T13:10:00Z</dcterms:created>
  <dcterms:modified xsi:type="dcterms:W3CDTF">2020-02-27T15:28:00Z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http://www.zotero.org/styles/journal-of-biogeography</vt:lpwstr>
  </property>
</Properties>
</file>