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Corresponding author: R</w:t>
      </w:r>
      <w:r w:rsidR="002A0204">
        <w:t>v</w:t>
      </w:r>
      <w:r>
        <w:t>M</w:t>
      </w:r>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F67297">
        <w:t xml:space="preserve">,  </w:t>
      </w:r>
      <w:r w:rsidR="00977607" w:rsidRPr="00E71232">
        <w:t>depen</w:t>
      </w:r>
      <w:r w:rsidR="00372023" w:rsidRPr="00E71232">
        <w:t>den</w:t>
      </w:r>
      <w:r w:rsidR="00977607" w:rsidRPr="00E71232">
        <w:t>t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r>
        <w:t xml:space="preserve">Palaeocene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5FD96E" w:rsidR="00D04776" w:rsidRPr="002C20EB" w:rsidRDefault="00D04776" w:rsidP="002C20EB">
      <w:pPr>
        <w:pStyle w:val="BodyText"/>
        <w:rPr>
          <w:lang w:val="en-ZA"/>
        </w:rPr>
      </w:pPr>
      <w:r>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rsidR="00510832">
        <w:t xml:space="preserve">Differences in the spatial scale or “grain” of environmental heterogeneity may also explain the differences in richness between these two floras, with SWAFR environments’ likely being “coarser” than those in the GCFR due to the former’s relative topographic uniformity.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5" w:name="comparing-regions-environmental-heteroge"/>
      <w:r>
        <w:t>2.1</w:t>
      </w:r>
      <w:r w:rsidR="00F31AF3">
        <w:t>:</w:t>
      </w:r>
      <w:r>
        <w:t xml:space="preserve"> </w:t>
      </w:r>
      <w:r w:rsidR="00D04776">
        <w:t>Comparing species richness</w:t>
      </w:r>
    </w:p>
    <w:p w14:paraId="52348C6B" w14:textId="13410DF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 xml:space="preserve">used raw species counts to estimate </w:t>
      </w:r>
      <w:r w:rsidR="004B5BA7">
        <w:lastRenderedPageBreak/>
        <w:t>QDS-scale species richness on the basis that the application of rarefaction techniques severely distorts known richness patterns</w:t>
      </w:r>
      <w:r w:rsidR="003563D1">
        <w:t xml:space="preserve"> </w:t>
      </w:r>
      <w:commentRangeStart w:id="6"/>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6"/>
      <w:r w:rsidR="00EF4036">
        <w:rPr>
          <w:rStyle w:val="CommentReference"/>
          <w:rFonts w:ascii="Times New Roman" w:hAnsiTheme="minorHAnsi"/>
        </w:rPr>
        <w:commentReference w:id="6"/>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This excluded coastal/dunal vegetation from our analyses</w:t>
      </w:r>
      <w:r w:rsidR="008D72BF">
        <w:rPr>
          <w:rFonts w:cstheme="majorBidi"/>
        </w:rPr>
        <w:t xml:space="preserve">, due to the floristic and environmental dissimilarity of these areas from the </w:t>
      </w:r>
      <w:r w:rsidR="00F81A7C">
        <w:rPr>
          <w:rFonts w:cstheme="majorBidi"/>
        </w:rPr>
        <w:t>“</w:t>
      </w:r>
      <w:r w:rsidR="008D72BF">
        <w:rPr>
          <w:rFonts w:cstheme="majorBidi"/>
        </w:rPr>
        <w:t>core</w:t>
      </w:r>
      <w:r w:rsidR="00F81A7C">
        <w:rPr>
          <w:rFonts w:cstheme="majorBidi"/>
        </w:rPr>
        <w:t>”</w:t>
      </w:r>
      <w:r w:rsidR="008D72BF">
        <w:rPr>
          <w:rFonts w:cstheme="majorBidi"/>
        </w:rPr>
        <w:t xml:space="preserve"> sclerophyllous flora under </w:t>
      </w:r>
      <w:r w:rsidR="00F81A7C">
        <w:rPr>
          <w:rFonts w:cstheme="majorBidi"/>
        </w:rPr>
        <w:t xml:space="preserve">our </w:t>
      </w:r>
      <w:r w:rsidR="008D72BF">
        <w:rPr>
          <w:rFonts w:cstheme="majorBidi"/>
        </w:rPr>
        <w:t>consideration</w:t>
      </w:r>
      <w:r w:rsidR="00841086">
        <w:rPr>
          <w:rFonts w:cstheme="majorBidi"/>
        </w:rPr>
        <w:t>.</w:t>
      </w:r>
      <w:r w:rsidR="00007FFD" w:rsidRPr="00007FFD">
        <w:t xml:space="preserve"> </w:t>
      </w:r>
      <w:r w:rsidR="00007FFD">
        <w:t>To compare species richness across equally sized areas, we only made comparisons between squares consisting of all four sub-squares (e.g. four QDS in an HDS).</w:t>
      </w:r>
      <w:r w:rsidR="0070389E">
        <w:t xml:space="preserve"> Thus, we retained </w:t>
      </w:r>
      <w:r w:rsidR="0070389E" w:rsidRPr="0070389E">
        <w:t>362</w:t>
      </w:r>
      <w:r w:rsidR="0070389E">
        <w:t xml:space="preserve"> of ca. </w:t>
      </w:r>
      <w:r w:rsidR="0070389E" w:rsidRPr="0070389E">
        <w:t>449</w:t>
      </w:r>
      <w:r w:rsidR="0070389E">
        <w:t xml:space="preserve"> QDS in the GCFR and </w:t>
      </w:r>
      <w:r w:rsidR="0070389E" w:rsidRPr="0070389E">
        <w:t>624</w:t>
      </w:r>
      <w:r w:rsidR="0070389E">
        <w:t xml:space="preserve"> of ca. </w:t>
      </w:r>
      <w:r w:rsidR="0070389E" w:rsidRPr="0070389E">
        <w:t>737</w:t>
      </w:r>
      <w:r w:rsidR="0070389E">
        <w:t xml:space="preserve"> in the SWAFR (ca. 81% and 85% sampling, respectively).</w:t>
      </w:r>
    </w:p>
    <w:p w14:paraId="26664BCB" w14:textId="547BD870"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(sensu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A72B14"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A72B14"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xml:space="preserve">) using the R package “canprot”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5"/>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 xml:space="preserve">mediterranean-type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 xml:space="preserve">projected to </w:t>
      </w:r>
      <w:r w:rsidR="005F0FFB">
        <w:lastRenderedPageBreak/>
        <w:t>a common coordinate reference system (WGS84) using the “rgdal”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 xml:space="preserve">(i)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“tidyverse” packages (</w:t>
      </w:r>
      <w:r w:rsidR="0014092A" w:rsidRPr="0014092A">
        <w:rPr>
          <w:highlight w:val="yellow"/>
        </w:rPr>
        <w:t>ref</w:t>
      </w:r>
      <w:r w:rsidR="0014092A">
        <w:t xml:space="preserve">). Regarding the latter, data at the QDS-, HDS- and DS-scales was analysed in data-frames with rows labelled with grid-cell codes (sensu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7"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7"/>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8" w:name="environmental-heterogeneity-as-an-explan"/>
      <w:r>
        <w:t>2.3</w:t>
      </w:r>
      <w:r w:rsidR="0009179A">
        <w:t>:</w:t>
      </w:r>
      <w:r>
        <w:t xml:space="preserve"> </w:t>
      </w:r>
      <w:r w:rsidR="005F0FFB">
        <w:t>Environmental heterogeneity as an explanation of species richness</w:t>
      </w:r>
      <w:bookmarkEnd w:id="8"/>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w:t>
      </w:r>
      <w:r w:rsidR="00A13B07" w:rsidRPr="00ED6805">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w:t>
      </w:r>
      <w:r w:rsidR="009D235A">
        <w:rPr>
          <w:rFonts w:eastAsiaTheme="minorEastAsia"/>
        </w:rPr>
        <w:lastRenderedPageBreak/>
        <w:t xml:space="preserve">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9" w:name="results"/>
      <w:r>
        <w:t>3</w:t>
      </w:r>
      <w:r w:rsidR="00E4661A">
        <w:t>:</w:t>
      </w:r>
      <w:r>
        <w:t xml:space="preserve"> </w:t>
      </w:r>
      <w:r w:rsidR="00D04776">
        <w:t>Results</w:t>
      </w:r>
      <w:bookmarkEnd w:id="9"/>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Kogelberg Centre in the GCFR; Greater Perth in the SWAFR) and declining species richness towards its interior margin </w:t>
      </w:r>
      <w:commentRangeStart w:id="10"/>
      <w:commentRangeStart w:id="11"/>
      <w:r w:rsidRPr="006B3905">
        <w:t>(</w:t>
      </w:r>
      <w:r w:rsidR="00304EA1" w:rsidRPr="006B3905">
        <w:t xml:space="preserve">Figure </w:t>
      </w:r>
      <w:r w:rsidR="00FC2A30" w:rsidRPr="006B3905">
        <w:t>1</w:t>
      </w:r>
      <w:r w:rsidRPr="006B3905">
        <w:t xml:space="preserve">a,b). </w:t>
      </w:r>
      <w:commentRangeEnd w:id="10"/>
      <w:r w:rsidR="00F5444D">
        <w:rPr>
          <w:rStyle w:val="CommentReference"/>
          <w:rFonts w:ascii="Times New Roman" w:hAnsiTheme="minorHAnsi"/>
        </w:rPr>
        <w:commentReference w:id="10"/>
      </w:r>
      <w:commentRangeEnd w:id="11"/>
      <w:r w:rsidR="00EE37AF">
        <w:rPr>
          <w:rStyle w:val="CommentReference"/>
          <w:rFonts w:ascii="Times New Roman" w:hAnsiTheme="minorHAnsi"/>
        </w:rPr>
        <w:commentReference w:id="11"/>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2"/>
      <w:commentRangeEnd w:id="12"/>
      <w:r w:rsidR="00C512E9">
        <w:rPr>
          <w:rStyle w:val="CommentReference"/>
          <w:rFonts w:ascii="Times New Roman" w:hAnsiTheme="minorHAnsi"/>
        </w:rPr>
        <w:commentReference w:id="12"/>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 xml:space="preserve">ith a few </w:t>
      </w:r>
      <w:r w:rsidR="00AD1230">
        <w:lastRenderedPageBreak/>
        <w:t>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r w:rsidR="00AF1477">
        <w:t>c,d)</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r w:rsidR="000962CB">
        <w:t>i</w:t>
      </w:r>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r w:rsidR="0012073A">
        <w:t>b</w:t>
      </w:r>
      <w:r w:rsidR="00030A46">
        <w:t>,h</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1b,c)</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(i)</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favoured: </w:t>
      </w:r>
      <w:r w:rsidR="00983D13" w:rsidRPr="00CF397B">
        <w:rPr>
          <w:rFonts w:eastAsiaTheme="minorEastAsia"/>
        </w:rPr>
        <w:t xml:space="preserve">Table </w:t>
      </w:r>
      <w:r w:rsidR="008B0E3F" w:rsidRPr="00CF397B">
        <w:rPr>
          <w:rFonts w:eastAsiaTheme="minorEastAsia"/>
        </w:rPr>
        <w:t>1</w:t>
      </w:r>
      <w:r w:rsidR="00983D13" w:rsidRPr="00CF397B">
        <w:rPr>
          <w:rFonts w:eastAsiaTheme="minorEastAsia"/>
        </w:rPr>
        <w:t xml:space="preserve">b,c;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model was favoured,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3"/>
      <w:r w:rsidR="00496FAE" w:rsidRPr="003D0E54">
        <w:rPr>
          <w:color w:val="FF0000"/>
        </w:rPr>
        <w:t>; Table S</w:t>
      </w:r>
      <w:r w:rsidR="00AF3227" w:rsidRPr="003D0E54">
        <w:rPr>
          <w:color w:val="FF0000"/>
        </w:rPr>
        <w:t>3</w:t>
      </w:r>
      <w:r w:rsidR="00496FAE" w:rsidRPr="003D0E54">
        <w:rPr>
          <w:color w:val="FF0000"/>
        </w:rPr>
        <w:t>a</w:t>
      </w:r>
      <w:commentRangeEnd w:id="13"/>
      <w:r w:rsidR="003D0E54">
        <w:rPr>
          <w:rStyle w:val="CommentReference"/>
          <w:rFonts w:ascii="Times New Roman" w:hAnsiTheme="minorHAnsi"/>
        </w:rPr>
        <w:commentReference w:id="13"/>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r w:rsidR="00574970">
        <w:t>a,b</w:t>
      </w:r>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lastRenderedPageBreak/>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AC3DE8">
        <w:t xml:space="preserve"> (Figure S5a,b;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S5c,d;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4"/>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4"/>
      <w:r w:rsidR="009172F8">
        <w:rPr>
          <w:rStyle w:val="CommentReference"/>
          <w:rFonts w:ascii="Times New Roman" w:hAnsiTheme="minorHAnsi"/>
        </w:rPr>
        <w:commentReference w:id="14"/>
      </w:r>
    </w:p>
    <w:p w14:paraId="573F5A1A" w14:textId="04268AD5" w:rsidR="00F8593E" w:rsidRDefault="00DD7307">
      <w:pPr>
        <w:pStyle w:val="Heading1"/>
        <w:spacing w:line="240" w:lineRule="auto"/>
      </w:pPr>
      <w:commentRangeStart w:id="15"/>
      <w:r>
        <w:t>4</w:t>
      </w:r>
      <w:r w:rsidR="00765FAE">
        <w:t>:</w:t>
      </w:r>
      <w:r>
        <w:t xml:space="preserve"> </w:t>
      </w:r>
      <w:r w:rsidR="00F8593E" w:rsidRPr="00891FE6">
        <w:t>Discussion</w:t>
      </w:r>
      <w:commentRangeEnd w:id="15"/>
      <w:r w:rsidR="0060559B">
        <w:rPr>
          <w:rStyle w:val="CommentReference"/>
          <w:rFonts w:ascii="Times New Roman" w:eastAsiaTheme="minorHAnsi" w:hAnsiTheme="minorHAnsi" w:cstheme="minorBidi"/>
          <w:b w:val="0"/>
          <w:bCs w:val="0"/>
          <w:color w:val="auto"/>
        </w:rPr>
        <w:commentReference w:id="15"/>
      </w:r>
    </w:p>
    <w:p w14:paraId="6DC64564" w14:textId="5FF477CC" w:rsidR="001E1442" w:rsidRDefault="006A4B08" w:rsidP="002C20EB">
      <w:pPr>
        <w:pStyle w:val="BodyText"/>
        <w:tabs>
          <w:tab w:val="left" w:pos="6189"/>
        </w:tabs>
      </w:pPr>
      <w:bookmarkStart w:id="16"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17"/>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17"/>
      <w:r w:rsidR="007F39BA">
        <w:rPr>
          <w:rStyle w:val="CommentReference"/>
          <w:rFonts w:ascii="Times New Roman" w:hAnsiTheme="minorHAnsi"/>
        </w:rPr>
        <w:commentReference w:id="17"/>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18"/>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18"/>
      <w:r w:rsidR="007F39BA">
        <w:rPr>
          <w:rStyle w:val="CommentReference"/>
          <w:rFonts w:ascii="Times New Roman" w:hAnsiTheme="minorHAnsi"/>
        </w:rPr>
        <w:commentReference w:id="18"/>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19"/>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19"/>
      <w:r w:rsidR="007F39BA">
        <w:rPr>
          <w:rStyle w:val="CommentReference"/>
          <w:rFonts w:ascii="Times New Roman" w:hAnsiTheme="minorHAnsi"/>
        </w:rPr>
        <w:commentReference w:id="19"/>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 xml:space="preserve">the lower </w:t>
      </w:r>
      <w:r w:rsidR="00B26384">
        <w:lastRenderedPageBreak/>
        <w:t>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0"/>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0"/>
      <w:r w:rsidR="00F72B17">
        <w:rPr>
          <w:rStyle w:val="CommentReference"/>
          <w:rFonts w:ascii="Times New Roman" w:hAnsiTheme="minorHAnsi"/>
        </w:rPr>
        <w:commentReference w:id="20"/>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1"/>
      <w:commentRangeStart w:id="22"/>
      <w:r w:rsidR="0072106C">
        <w:t xml:space="preserve">single-site </w:t>
      </w:r>
      <w:commentRangeEnd w:id="21"/>
      <w:r w:rsidR="00952699">
        <w:rPr>
          <w:rStyle w:val="CommentReference"/>
          <w:rFonts w:ascii="Times New Roman" w:hAnsiTheme="minorHAnsi"/>
        </w:rPr>
        <w:commentReference w:id="21"/>
      </w:r>
      <w:commentRangeEnd w:id="22"/>
      <w:r w:rsidR="0060559B">
        <w:rPr>
          <w:rStyle w:val="CommentReference"/>
          <w:rFonts w:ascii="Times New Roman" w:hAnsiTheme="minorHAnsi"/>
        </w:rPr>
        <w:commentReference w:id="22"/>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phylogenetically-relictual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1506537"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 xml:space="preserve">These techniques assume that the relationship between true species richness and sampling effort is weak. In contrast, herbarium collectors commonly focus their efforts on rare species, and many herbaria do not accept material indiscriminately, being </w:t>
      </w:r>
      <w:r w:rsidR="00375621" w:rsidRPr="003C5ACF">
        <w:rPr>
          <w:rFonts w:ascii="Times New Roman" w:hAnsi="Times New Roman" w:cs="Times New Roman"/>
          <w:noProof/>
          <w:lang w:val="en-GB"/>
        </w:rPr>
        <w:lastRenderedPageBreak/>
        <w:t>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w:t>
      </w:r>
      <w:commentRangeStart w:id="23"/>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3"/>
      <w:r w:rsidR="00246D04">
        <w:rPr>
          <w:rStyle w:val="CommentReference"/>
          <w:rFonts w:ascii="Times New Roman" w:hAnsiTheme="minorHAnsi"/>
        </w:rPr>
        <w:commentReference w:id="23"/>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sidRPr="008D71B2">
        <w:rPr>
          <w:iCs/>
        </w:rPr>
        <w:t>sensu</w:t>
      </w:r>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Porungurup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Kogelberg-</w:t>
      </w:r>
      <w:r w:rsidR="003C7229">
        <w:lastRenderedPageBreak/>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of these two mediterranean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6"/>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4"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4"/>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(a,b) vascular plant species richness</w:t>
      </w:r>
      <w:r w:rsidR="009863F5">
        <w:t xml:space="preserve"> (</w:t>
      </w:r>
      <w:r w:rsidR="009863F5" w:rsidRPr="00ED6805">
        <w:rPr>
          <w:i/>
          <w:iCs/>
        </w:rPr>
        <w:t>S</w:t>
      </w:r>
      <w:r w:rsidR="009863F5">
        <w:rPr>
          <w:vertAlign w:val="subscript"/>
        </w:rPr>
        <w:t>HDS</w:t>
      </w:r>
      <w:r w:rsidR="009863F5">
        <w:t>)</w:t>
      </w:r>
      <w:r>
        <w:t>, (c,d) the major axis of environmental heterogeneity (PC1) from the PCA of nine forms of environmental heterogeneity (log</w:t>
      </w:r>
      <w:r w:rsidRPr="00C9106C">
        <w:rPr>
          <w:vertAlign w:val="subscript"/>
        </w:rPr>
        <w:t>10</w:t>
      </w:r>
      <w:r>
        <w:t>-transformed), residuals from regressions of species richness against (e,f) PC1 (Figure 4b) and (g,h) the multivariate (MV) model (Figure 5b). Map projection used: WGS84. Colour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(a–i)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r w:rsidR="007138B7">
        <w:t>c,g,i) and marginally significant</w:t>
      </w:r>
      <w:r w:rsidR="007138B7" w:rsidRPr="007138B7">
        <w:t xml:space="preserve"> </w:t>
      </w:r>
      <w:r w:rsidR="007138B7">
        <w:t>(</w:t>
      </w:r>
      <w:r w:rsidR="007138B7">
        <w:rPr>
          <w:i/>
          <w:iCs/>
        </w:rPr>
        <w:t>P</w:t>
      </w:r>
      <w:r w:rsidR="007138B7">
        <w:t xml:space="preserve"> &lt; 0.1; d,e,h) have been plotted, the latter for illustration. Note, only two forms of heterogeneity were found to be negatively scale-dependent (b,h)</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5"/>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5"/>
      <w:r w:rsidR="001E2381">
        <w:rPr>
          <w:rStyle w:val="CommentReference"/>
          <w:rFonts w:ascii="Times New Roman" w:hAnsiTheme="minorHAnsi"/>
        </w:rPr>
        <w:commentReference w:id="25"/>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6"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26"/>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r w:rsidRPr="004D4AE1">
        <w:lastRenderedPageBreak/>
        <w:t>Biosketch</w:t>
      </w:r>
      <w:r>
        <w:t>es</w:t>
      </w:r>
    </w:p>
    <w:p w14:paraId="540FBFB2" w14:textId="5430565A" w:rsidR="00EF41C1" w:rsidRDefault="00F3256A" w:rsidP="002C20EB">
      <w:pPr>
        <w:pStyle w:val="BodyText"/>
        <w:spacing w:before="0"/>
      </w:pPr>
      <w:r>
        <w:rPr>
          <w:b/>
        </w:rPr>
        <w:t>Ruan v</w:t>
      </w:r>
      <w:r w:rsidR="00EF41C1" w:rsidRPr="00F3256A">
        <w:rPr>
          <w:b/>
        </w:rPr>
        <w:t>an Mazijk</w:t>
      </w:r>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uan Van Mazijk" w:date="2020-02-28T09:45:00Z" w:initials="RVM">
    <w:p w14:paraId="7FC83B5D" w14:textId="61CC4C85" w:rsidR="00157A68" w:rsidRPr="00FF78F9" w:rsidRDefault="00157A68">
      <w:pPr>
        <w:pStyle w:val="CommentText"/>
      </w:pPr>
      <w:r>
        <w:rPr>
          <w:rStyle w:val="CommentReference"/>
        </w:rPr>
        <w:annotationRef/>
      </w:r>
      <w:r>
        <w:t xml:space="preserve">cf. </w:t>
      </w:r>
      <w:r>
        <w:t>“</w:t>
      </w:r>
      <w:r>
        <w:t>associate</w:t>
      </w:r>
      <w:r>
        <w:t>”</w:t>
      </w:r>
      <w:r>
        <w:t xml:space="preserve"> (</w:t>
      </w:r>
      <w:r w:rsidR="00776894" w:rsidRPr="00776894">
        <w:t>verb</w:t>
      </w:r>
      <w:r>
        <w:t>)?</w:t>
      </w:r>
    </w:p>
  </w:comment>
  <w:comment w:id="4"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6"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10"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1"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2" w:author="Michael Cramer" w:date="2020-01-21T16:49:00Z" w:initials="MC">
    <w:p w14:paraId="20DE24DD" w14:textId="4372F8D1" w:rsidR="00157A68" w:rsidRDefault="00157A68">
      <w:pPr>
        <w:pStyle w:val="CommentText"/>
      </w:pPr>
      <w:r>
        <w:rPr>
          <w:rStyle w:val="CommentReference"/>
        </w:rPr>
        <w:annotationRef/>
      </w:r>
      <w:r>
        <w:t>Again, my feeling is that the data has not been properly dealt with. There is quite a bit to comment on I think.</w:t>
      </w:r>
    </w:p>
  </w:comment>
  <w:comment w:id="13" w:author="Ruan Van Mazijk" w:date="2020-02-28T14:10:00Z" w:initials="RVM">
    <w:p w14:paraId="3F4DA4D2" w14:textId="2DD7C931" w:rsidR="00157A68" w:rsidRDefault="00157A68">
      <w:pPr>
        <w:pStyle w:val="CommentText"/>
      </w:pPr>
      <w:r>
        <w:rPr>
          <w:rStyle w:val="CommentReference"/>
        </w:rPr>
        <w:annotationRef/>
      </w:r>
      <w:r>
        <w:t>Still needed?</w:t>
      </w:r>
    </w:p>
  </w:comment>
  <w:comment w:id="14" w:author="Ruan Van Mazijk" w:date="2020-02-27T16:15:00Z" w:initials="RVM">
    <w:p w14:paraId="4B02A409" w14:textId="5D217374" w:rsidR="00157A68" w:rsidRDefault="00157A68">
      <w:pPr>
        <w:pStyle w:val="CommentText"/>
      </w:pPr>
      <w:r>
        <w:rPr>
          <w:rStyle w:val="CommentReference"/>
        </w:rPr>
        <w:annotationRef/>
      </w:r>
      <w:r>
        <w:t>Still relevant?</w:t>
      </w:r>
    </w:p>
  </w:comment>
  <w:comment w:id="15" w:author="Ruan Van Mazijk" w:date="2020-02-27T18:23:00Z" w:initials="RVM">
    <w:p w14:paraId="5CBACEA6" w14:textId="0FD1865A" w:rsidR="00157A68" w:rsidRDefault="00157A68">
      <w:pPr>
        <w:pStyle w:val="CommentText"/>
      </w:pPr>
      <w:r>
        <w:rPr>
          <w:rStyle w:val="CommentReference"/>
        </w:rPr>
        <w:annotationRef/>
      </w:r>
      <w:r>
        <w:t>Reference W</w:t>
      </w:r>
      <w:r>
        <w:t>ü</w:t>
      </w:r>
      <w:r>
        <w:t xml:space="preserve">est et al. (2018. </w:t>
      </w:r>
      <w:r>
        <w:rPr>
          <w:i/>
          <w:iCs/>
        </w:rPr>
        <w:t>J. Biogeog.</w:t>
      </w:r>
      <w:r>
        <w:t>)</w:t>
      </w:r>
    </w:p>
  </w:comment>
  <w:comment w:id="17" w:author="Michael Cramer" w:date="2020-01-21T18:32:00Z" w:initials="MC">
    <w:p w14:paraId="08FD9056" w14:textId="634F5059" w:rsidR="00157A68" w:rsidRDefault="00157A68">
      <w:pPr>
        <w:pStyle w:val="CommentText"/>
      </w:pPr>
      <w:r>
        <w:rPr>
          <w:rStyle w:val="CommentReference"/>
        </w:rPr>
        <w:annotationRef/>
      </w:r>
      <w:r>
        <w:t>On the basis of?</w:t>
      </w:r>
    </w:p>
  </w:comment>
  <w:comment w:id="18" w:author="Michael Cramer" w:date="2020-01-21T18:33:00Z" w:initials="MC">
    <w:p w14:paraId="6630E98D" w14:textId="63ADB3E1" w:rsidR="00157A68" w:rsidRDefault="00157A68">
      <w:pPr>
        <w:pStyle w:val="CommentText"/>
      </w:pPr>
      <w:r>
        <w:rPr>
          <w:rStyle w:val="CommentReference"/>
        </w:rPr>
        <w:annotationRef/>
      </w:r>
      <w:r>
        <w:t>I think this is such a well known phenomenon that the original citation must predate this considerably!</w:t>
      </w:r>
    </w:p>
  </w:comment>
  <w:comment w:id="19"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0"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1" w:author="Michael Cramer" w:date="2020-01-21T18:48:00Z" w:initials="MC">
    <w:p w14:paraId="31079DFF" w14:textId="10824F33" w:rsidR="00157A68" w:rsidRDefault="00157A68">
      <w:pPr>
        <w:pStyle w:val="CommentText"/>
      </w:pPr>
      <w:r>
        <w:rPr>
          <w:rStyle w:val="CommentReference"/>
        </w:rPr>
        <w:annotationRef/>
      </w:r>
      <w:r>
        <w:t>What is the definition of a single-site?</w:t>
      </w:r>
    </w:p>
  </w:comment>
  <w:comment w:id="22" w:author="Ruan Van Mazijk" w:date="2020-02-27T18:24:00Z" w:initials="RVM">
    <w:p w14:paraId="5FBB7D79" w14:textId="1902FE42" w:rsidR="00157A68" w:rsidRDefault="00157A68">
      <w:pPr>
        <w:pStyle w:val="CommentText"/>
      </w:pPr>
      <w:r>
        <w:rPr>
          <w:rStyle w:val="CommentReference"/>
        </w:rPr>
        <w:annotationRef/>
      </w:r>
      <w:r>
        <w:t>Range-size figure? Using species occurence matrix (QDS-scale, both regions together)</w:t>
      </w:r>
    </w:p>
  </w:comment>
  <w:comment w:id="23"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richness..</w:t>
      </w:r>
    </w:p>
  </w:comment>
  <w:comment w:id="25" w:author="Ruan Van Mazijk" w:date="2020-02-27T17:27:00Z" w:initials="RVM">
    <w:p w14:paraId="030E1ECF" w14:textId="44923FD3" w:rsidR="00157A68" w:rsidRDefault="00157A68">
      <w:pPr>
        <w:pStyle w:val="CommentText"/>
      </w:pPr>
      <w:r>
        <w:rPr>
          <w:rStyle w:val="CommentReference"/>
        </w:rPr>
        <w:annotationRef/>
      </w:r>
      <w:r>
        <w:t>Add manual part of P_Effect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7D6E1E8C" w15:done="0"/>
  <w15:commentEx w15:paraId="40C7EE35"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7D6E1E8C" w16cid:durableId="21DC1B5A"/>
  <w16cid:commentId w16cid:paraId="40C7EE35" w16cid:durableId="21D19F5E"/>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944543" w14:textId="77777777" w:rsidR="00A72B14" w:rsidRDefault="00A72B14">
      <w:pPr>
        <w:spacing w:after="0"/>
      </w:pPr>
      <w:r>
        <w:separator/>
      </w:r>
    </w:p>
  </w:endnote>
  <w:endnote w:type="continuationSeparator" w:id="0">
    <w:p w14:paraId="22183817" w14:textId="77777777" w:rsidR="00A72B14" w:rsidRDefault="00A72B14">
      <w:pPr>
        <w:spacing w:after="0"/>
      </w:pPr>
      <w:r>
        <w:continuationSeparator/>
      </w:r>
    </w:p>
  </w:endnote>
  <w:endnote w:type="continuationNotice" w:id="1">
    <w:p w14:paraId="46F4E2BF" w14:textId="77777777" w:rsidR="00A72B14" w:rsidRDefault="00A72B14">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0B2407" w14:textId="77777777" w:rsidR="00A72B14" w:rsidRDefault="00A72B14">
      <w:r>
        <w:separator/>
      </w:r>
    </w:p>
  </w:footnote>
  <w:footnote w:type="continuationSeparator" w:id="0">
    <w:p w14:paraId="0264FC50" w14:textId="77777777" w:rsidR="00A72B14" w:rsidRDefault="00A72B14">
      <w:r>
        <w:continuationSeparator/>
      </w:r>
    </w:p>
  </w:footnote>
  <w:footnote w:type="continuationNotice" w:id="1">
    <w:p w14:paraId="127AD5B2" w14:textId="77777777" w:rsidR="00A72B14" w:rsidRDefault="00A72B14">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07FFD"/>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1AE3"/>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0832"/>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389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574"/>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2B1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69E8"/>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A7C"/>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2496</TotalTime>
  <Pages>27</Pages>
  <Words>42841</Words>
  <Characters>244195</Characters>
  <Application>Microsoft Office Word</Application>
  <DocSecurity>0</DocSecurity>
  <Lines>2034</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286464</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242</cp:revision>
  <cp:lastPrinted>2020-02-28T12:27:00Z</cp:lastPrinted>
  <dcterms:created xsi:type="dcterms:W3CDTF">2020-01-29T13:10:00Z</dcterms:created>
  <dcterms:modified xsi:type="dcterms:W3CDTF">2020-04-21T13:55:00Z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