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9E3BE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9E3BE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11053763"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5"/>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7E2F9F9"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52574B">
        <w:rPr>
          <w:rFonts w:eastAsiaTheme="minorEastAsia"/>
          <w:highlight w:val="red"/>
        </w:rPr>
        <w:t xml:space="preserve">in a consistently positive manner across the two study regions. In addition, </w:t>
      </w:r>
      <w:r w:rsidR="002C7612" w:rsidRPr="0052574B">
        <w:rPr>
          <w:rFonts w:eastAsiaTheme="minorEastAsia"/>
          <w:highlight w:val="red"/>
        </w:rPr>
        <w:t>they</w:t>
      </w:r>
      <w:r w:rsidR="00F554DF" w:rsidRPr="0052574B">
        <w:rPr>
          <w:rFonts w:eastAsiaTheme="minorEastAsia"/>
          <w:highlight w:val="red"/>
        </w:rPr>
        <w:t xml:space="preserve"> show</w:t>
      </w:r>
      <w:r w:rsidR="002C7612" w:rsidRPr="0052574B">
        <w:rPr>
          <w:rFonts w:eastAsiaTheme="minorEastAsia"/>
          <w:highlight w:val="red"/>
        </w:rPr>
        <w:t xml:space="preserve"> that,</w:t>
      </w:r>
      <w:r w:rsidR="003E7233" w:rsidRPr="0052574B">
        <w:rPr>
          <w:highlight w:val="red"/>
        </w:rPr>
        <w:t xml:space="preserve"> at the HDS- and DS-scales</w:t>
      </w:r>
      <w:r w:rsidR="00983D13" w:rsidRPr="0052574B">
        <w:rPr>
          <w:highlight w:val="red"/>
        </w:rPr>
        <w:t>,</w:t>
      </w:r>
      <w:r w:rsidR="003E7233" w:rsidRPr="0052574B">
        <w:rPr>
          <w:highlight w:val="red"/>
        </w:rPr>
        <w:t xml:space="preserve"> </w:t>
      </w:r>
      <w:r w:rsidR="002C7612" w:rsidRPr="0052574B">
        <w:rPr>
          <w:rFonts w:eastAsiaTheme="minorEastAsia"/>
          <w:highlight w:val="red"/>
        </w:rPr>
        <w:t>the effect of</w:t>
      </w:r>
      <w:r w:rsidR="003E7233" w:rsidRPr="0052574B">
        <w:rPr>
          <w:rFonts w:eastAsiaTheme="minorEastAsia"/>
          <w:highlight w:val="red"/>
        </w:rPr>
        <w:t xml:space="preserve"> </w:t>
      </w:r>
      <w:r w:rsidR="002C7612" w:rsidRPr="0052574B">
        <w:rPr>
          <w:rFonts w:eastAsiaTheme="minorEastAsia"/>
          <w:highlight w:val="red"/>
        </w:rPr>
        <w:t xml:space="preserve">heterogeneity in each environmental variable, and of PC1, on </w:t>
      </w:r>
      <w:r w:rsidR="003E7233" w:rsidRPr="0052574B">
        <w:rPr>
          <w:rFonts w:eastAsiaTheme="minorEastAsia"/>
          <w:highlight w:val="red"/>
        </w:rPr>
        <w:t xml:space="preserve">species richness </w:t>
      </w:r>
      <w:r w:rsidR="002C7612" w:rsidRPr="0052574B">
        <w:rPr>
          <w:rFonts w:eastAsiaTheme="minorEastAsia"/>
          <w:highlight w:val="red"/>
        </w:rPr>
        <w:t>is uniform</w:t>
      </w:r>
      <w:r w:rsidR="00E64B6B" w:rsidRPr="0052574B">
        <w:rPr>
          <w:rFonts w:eastAsiaTheme="minorEastAsia"/>
          <w:highlight w:val="red"/>
        </w:rPr>
        <w:t xml:space="preserve"> </w:t>
      </w:r>
      <w:r w:rsidR="003E7233" w:rsidRPr="0052574B">
        <w:rPr>
          <w:rFonts w:eastAsiaTheme="minorEastAsia"/>
          <w:highlight w:val="red"/>
        </w:rPr>
        <w:t>across the two regions</w:t>
      </w:r>
      <w:r w:rsidR="00983D13" w:rsidRPr="0052574B">
        <w:rPr>
          <w:rFonts w:eastAsiaTheme="minorEastAsia"/>
          <w:highlight w:val="red"/>
        </w:rPr>
        <w:t xml:space="preserve"> (</w:t>
      </w:r>
      <w:r w:rsidR="00A23494" w:rsidRPr="0052574B">
        <w:rPr>
          <w:rFonts w:eastAsiaTheme="minorEastAsia"/>
          <w:highlight w:val="red"/>
        </w:rPr>
        <w:t>i.e. “main effect</w:t>
      </w:r>
      <w:r w:rsidR="00EC5B19" w:rsidRPr="0052574B">
        <w:rPr>
          <w:rFonts w:eastAsiaTheme="minorEastAsia"/>
          <w:highlight w:val="red"/>
        </w:rPr>
        <w:t xml:space="preserve"> only</w:t>
      </w:r>
      <w:r w:rsidR="00A23494" w:rsidRPr="0052574B">
        <w:rPr>
          <w:rFonts w:eastAsiaTheme="minorEastAsia"/>
          <w:highlight w:val="red"/>
        </w:rPr>
        <w:t xml:space="preserve">” model favoured: </w:t>
      </w:r>
      <w:r w:rsidR="00983D13" w:rsidRPr="0052574B">
        <w:rPr>
          <w:rFonts w:eastAsiaTheme="minorEastAsia"/>
          <w:highlight w:val="red"/>
        </w:rPr>
        <w:t xml:space="preserve">Table </w:t>
      </w:r>
      <w:r w:rsidR="008B0E3F" w:rsidRPr="0052574B">
        <w:rPr>
          <w:rFonts w:eastAsiaTheme="minorEastAsia"/>
          <w:highlight w:val="red"/>
        </w:rPr>
        <w:t>1</w:t>
      </w:r>
      <w:r w:rsidR="00983D13" w:rsidRPr="0052574B">
        <w:rPr>
          <w:rFonts w:eastAsiaTheme="minorEastAsia"/>
          <w:highlight w:val="red"/>
        </w:rPr>
        <w:t xml:space="preserve">b,c; </w:t>
      </w:r>
      <w:r w:rsidR="00B02E73" w:rsidRPr="0052574B">
        <w:rPr>
          <w:rFonts w:eastAsiaTheme="minorEastAsia"/>
          <w:highlight w:val="red"/>
        </w:rPr>
        <w:t xml:space="preserve">Figure </w:t>
      </w:r>
      <w:r w:rsidR="00FF0F3A" w:rsidRPr="0052574B">
        <w:rPr>
          <w:rFonts w:eastAsiaTheme="minorEastAsia"/>
          <w:highlight w:val="red"/>
        </w:rPr>
        <w:t>4</w:t>
      </w:r>
      <w:r w:rsidR="00983D13" w:rsidRPr="0052574B">
        <w:rPr>
          <w:rFonts w:eastAsiaTheme="minorEastAsia"/>
          <w:highlight w:val="red"/>
        </w:rPr>
        <w:t>b, c)</w:t>
      </w:r>
      <w:r w:rsidR="003E7233" w:rsidRPr="0052574B">
        <w:rPr>
          <w:rFonts w:eastAsiaTheme="minorEastAsia"/>
          <w:highlight w:val="red"/>
        </w:rPr>
        <w:t xml:space="preserve">. </w:t>
      </w:r>
      <w:r w:rsidR="006C19C9" w:rsidRPr="0052574B">
        <w:rPr>
          <w:rFonts w:eastAsiaTheme="minorEastAsia"/>
          <w:highlight w:val="red"/>
        </w:rPr>
        <w:t>By contrast, t</w:t>
      </w:r>
      <w:r w:rsidR="00B9531E" w:rsidRPr="0052574B">
        <w:rPr>
          <w:highlight w:val="red"/>
        </w:rPr>
        <w:t>he</w:t>
      </w:r>
      <w:r w:rsidR="00D874F0" w:rsidRPr="0052574B">
        <w:rPr>
          <w:highlight w:val="red"/>
        </w:rPr>
        <w:t xml:space="preserve"> relationship of species richness to heterogeneity</w:t>
      </w:r>
      <w:r w:rsidR="00A23494" w:rsidRPr="0052574B">
        <w:rPr>
          <w:highlight w:val="red"/>
        </w:rPr>
        <w:t xml:space="preserve"> </w:t>
      </w:r>
      <w:r w:rsidR="001A7D58" w:rsidRPr="0052574B">
        <w:rPr>
          <w:rFonts w:eastAsiaTheme="minorEastAsia"/>
          <w:highlight w:val="red"/>
        </w:rPr>
        <w:t xml:space="preserve">at the </w:t>
      </w:r>
      <w:r w:rsidR="001A7D58" w:rsidRPr="0052574B">
        <w:rPr>
          <w:highlight w:val="red"/>
        </w:rPr>
        <w:t xml:space="preserve">QDS-scale </w:t>
      </w:r>
      <w:r w:rsidR="007D1813" w:rsidRPr="0052574B">
        <w:rPr>
          <w:highlight w:val="red"/>
        </w:rPr>
        <w:t>is</w:t>
      </w:r>
      <w:r w:rsidR="007F71F9" w:rsidRPr="0052574B">
        <w:rPr>
          <w:highlight w:val="red"/>
        </w:rPr>
        <w:t xml:space="preserve"> </w:t>
      </w:r>
      <w:r w:rsidR="006C19C9" w:rsidRPr="0052574B">
        <w:rPr>
          <w:highlight w:val="red"/>
        </w:rPr>
        <w:t>generall</w:t>
      </w:r>
      <w:r w:rsidR="002C7612" w:rsidRPr="0052574B">
        <w:rPr>
          <w:highlight w:val="red"/>
        </w:rPr>
        <w:t>y</w:t>
      </w:r>
      <w:r w:rsidR="007D1813" w:rsidRPr="0052574B">
        <w:rPr>
          <w:highlight w:val="red"/>
        </w:rPr>
        <w:t xml:space="preserve"> region-dependent</w:t>
      </w:r>
      <w:r w:rsidR="00D874F0" w:rsidRPr="0052574B">
        <w:rPr>
          <w:highlight w:val="red"/>
        </w:rPr>
        <w:t xml:space="preserve">, the “main effect </w:t>
      </w:r>
      <w:r w:rsidR="00D874F0" w:rsidRPr="0052574B">
        <w:rPr>
          <w:rFonts w:eastAsiaTheme="minorEastAsia" w:cstheme="majorBidi"/>
          <w:highlight w:val="red"/>
        </w:rPr>
        <w:t xml:space="preserve">× region” model being favoured for three </w:t>
      </w:r>
      <w:r w:rsidR="006C19C9" w:rsidRPr="0052574B">
        <w:rPr>
          <w:rFonts w:eastAsiaTheme="minorEastAsia" w:cstheme="majorBidi"/>
          <w:highlight w:val="red"/>
        </w:rPr>
        <w:t xml:space="preserve">environmental </w:t>
      </w:r>
      <w:r w:rsidR="007D1813" w:rsidRPr="0052574B">
        <w:rPr>
          <w:rFonts w:eastAsiaTheme="minorEastAsia" w:cstheme="majorBidi"/>
          <w:highlight w:val="red"/>
        </w:rPr>
        <w:t>variables</w:t>
      </w:r>
      <w:r w:rsidR="00D874F0" w:rsidRPr="0052574B">
        <w:rPr>
          <w:rFonts w:eastAsiaTheme="minorEastAsia" w:cstheme="majorBidi"/>
          <w:highlight w:val="red"/>
        </w:rPr>
        <w:t xml:space="preserve"> </w:t>
      </w:r>
      <w:r w:rsidR="006C19C9" w:rsidRPr="0052574B">
        <w:rPr>
          <w:rFonts w:eastAsiaTheme="minorEastAsia" w:cstheme="majorBidi"/>
          <w:highlight w:val="red"/>
        </w:rPr>
        <w:t>and</w:t>
      </w:r>
      <w:r w:rsidR="001A7D58" w:rsidRPr="0052574B">
        <w:rPr>
          <w:rFonts w:eastAsiaTheme="minorEastAsia" w:cstheme="majorBidi"/>
          <w:highlight w:val="red"/>
        </w:rPr>
        <w:t xml:space="preserve"> PC1</w:t>
      </w:r>
      <w:r w:rsidR="002644D2" w:rsidRPr="0052574B">
        <w:rPr>
          <w:rFonts w:eastAsiaTheme="minorEastAsia" w:cstheme="majorBidi"/>
          <w:highlight w:val="red"/>
        </w:rPr>
        <w:t>,</w:t>
      </w:r>
      <w:r w:rsidR="001A7D58" w:rsidRPr="0052574B">
        <w:rPr>
          <w:rFonts w:eastAsiaTheme="minorEastAsia" w:cstheme="majorBidi"/>
          <w:highlight w:val="red"/>
        </w:rPr>
        <w:t xml:space="preserve"> </w:t>
      </w:r>
      <w:r w:rsidR="00D874F0" w:rsidRPr="0052574B">
        <w:rPr>
          <w:rFonts w:eastAsiaTheme="minorEastAsia" w:cstheme="majorBidi"/>
          <w:highlight w:val="red"/>
        </w:rPr>
        <w:t xml:space="preserve">and </w:t>
      </w:r>
      <w:r w:rsidR="00D874F0" w:rsidRPr="0052574B">
        <w:rPr>
          <w:highlight w:val="red"/>
        </w:rPr>
        <w:t xml:space="preserve">the “main effect </w:t>
      </w:r>
      <w:r w:rsidR="00502524" w:rsidRPr="0052574B">
        <w:rPr>
          <w:rFonts w:eastAsiaTheme="minorEastAsia" w:cstheme="majorBidi"/>
          <w:highlight w:val="red"/>
        </w:rPr>
        <w:t>+</w:t>
      </w:r>
      <w:r w:rsidR="00D874F0" w:rsidRPr="0052574B">
        <w:rPr>
          <w:rFonts w:eastAsiaTheme="minorEastAsia" w:cstheme="majorBidi"/>
          <w:highlight w:val="red"/>
        </w:rPr>
        <w:t xml:space="preserve"> region” model </w:t>
      </w:r>
      <w:r w:rsidR="001A7D58" w:rsidRPr="0052574B">
        <w:rPr>
          <w:rFonts w:eastAsiaTheme="minorEastAsia" w:cstheme="majorBidi"/>
          <w:highlight w:val="red"/>
        </w:rPr>
        <w:t>for four</w:t>
      </w:r>
      <w:r w:rsidR="002644D2" w:rsidRPr="0052574B">
        <w:rPr>
          <w:rFonts w:eastAsiaTheme="minorEastAsia" w:cstheme="majorBidi"/>
          <w:highlight w:val="red"/>
        </w:rPr>
        <w:t xml:space="preserve"> variables</w:t>
      </w:r>
      <w:r w:rsidR="001A7D58" w:rsidRPr="0052574B">
        <w:rPr>
          <w:rFonts w:eastAsiaTheme="minorEastAsia" w:cstheme="majorBidi"/>
          <w:highlight w:val="red"/>
        </w:rPr>
        <w:t xml:space="preserve"> (Table </w:t>
      </w:r>
      <w:r w:rsidR="008B0E3F" w:rsidRPr="0052574B">
        <w:rPr>
          <w:rFonts w:eastAsiaTheme="minorEastAsia" w:cstheme="majorBidi"/>
          <w:highlight w:val="red"/>
        </w:rPr>
        <w:t>1</w:t>
      </w:r>
      <w:r w:rsidR="001A7D58" w:rsidRPr="0052574B">
        <w:rPr>
          <w:rFonts w:eastAsiaTheme="minorEastAsia" w:cstheme="majorBidi"/>
          <w:highlight w:val="red"/>
        </w:rPr>
        <w:t>a)</w:t>
      </w:r>
      <w:r w:rsidR="00827247" w:rsidRPr="0052574B">
        <w:rPr>
          <w:rFonts w:eastAsiaTheme="minorEastAsia" w:cstheme="majorBidi"/>
          <w:highlight w:val="red"/>
        </w:rPr>
        <w:t>. However</w:t>
      </w:r>
      <w:r w:rsidR="001A7D58" w:rsidRPr="0052574B">
        <w:rPr>
          <w:rFonts w:eastAsiaTheme="minorEastAsia" w:cstheme="majorBidi"/>
          <w:highlight w:val="red"/>
        </w:rPr>
        <w:t xml:space="preserve">, the </w:t>
      </w:r>
      <w:r w:rsidR="009F192B" w:rsidRPr="0052574B">
        <w:rPr>
          <w:rFonts w:eastAsiaTheme="minorEastAsia" w:cstheme="majorBidi"/>
          <w:highlight w:val="red"/>
        </w:rPr>
        <w:t>coefficient</w:t>
      </w:r>
      <w:r w:rsidR="006C19C9" w:rsidRPr="0052574B">
        <w:rPr>
          <w:rFonts w:eastAsiaTheme="minorEastAsia" w:cstheme="majorBidi"/>
          <w:highlight w:val="red"/>
        </w:rPr>
        <w:t xml:space="preserve">s </w:t>
      </w:r>
      <w:r w:rsidR="009F192B" w:rsidRPr="0052574B">
        <w:rPr>
          <w:rFonts w:eastAsiaTheme="minorEastAsia" w:cstheme="majorBidi"/>
          <w:highlight w:val="red"/>
        </w:rPr>
        <w:t xml:space="preserve">of </w:t>
      </w:r>
      <w:r w:rsidR="001A7D58" w:rsidRPr="0052574B">
        <w:rPr>
          <w:rFonts w:eastAsiaTheme="minorEastAsia" w:cstheme="majorBidi"/>
          <w:highlight w:val="red"/>
        </w:rPr>
        <w:t xml:space="preserve">the significant interaction </w:t>
      </w:r>
      <w:r w:rsidR="006C19C9" w:rsidRPr="0052574B">
        <w:rPr>
          <w:rFonts w:eastAsiaTheme="minorEastAsia" w:cstheme="majorBidi"/>
          <w:highlight w:val="red"/>
        </w:rPr>
        <w:t xml:space="preserve">(24.6 to 89.4) </w:t>
      </w:r>
      <w:r w:rsidR="001A7D58" w:rsidRPr="0052574B">
        <w:rPr>
          <w:rFonts w:eastAsiaTheme="minorEastAsia" w:cstheme="majorBidi"/>
          <w:highlight w:val="red"/>
        </w:rPr>
        <w:t xml:space="preserve">and region </w:t>
      </w:r>
      <w:r w:rsidR="006C19C9" w:rsidRPr="0052574B">
        <w:rPr>
          <w:rFonts w:eastAsiaTheme="minorEastAsia" w:cstheme="majorBidi"/>
          <w:highlight w:val="red"/>
        </w:rPr>
        <w:t xml:space="preserve">(50.5 to 72.6) </w:t>
      </w:r>
      <w:r w:rsidR="009F192B" w:rsidRPr="0052574B">
        <w:rPr>
          <w:rFonts w:eastAsiaTheme="minorEastAsia" w:cstheme="majorBidi"/>
          <w:highlight w:val="red"/>
        </w:rPr>
        <w:t>terms</w:t>
      </w:r>
      <w:r w:rsidR="001A7D58" w:rsidRPr="0052574B">
        <w:rPr>
          <w:rFonts w:eastAsiaTheme="minorEastAsia" w:cstheme="majorBidi"/>
          <w:highlight w:val="red"/>
        </w:rPr>
        <w:t xml:space="preserve"> are small</w:t>
      </w:r>
      <w:r w:rsidR="003E77D9" w:rsidRPr="0052574B">
        <w:rPr>
          <w:rFonts w:eastAsiaTheme="minorEastAsia" w:cstheme="majorBidi"/>
          <w:highlight w:val="red"/>
        </w:rPr>
        <w:t xml:space="preserve"> in magnitude</w:t>
      </w:r>
      <w:r w:rsidR="001A7D58" w:rsidRPr="0052574B">
        <w:rPr>
          <w:rFonts w:eastAsiaTheme="minorEastAsia" w:cstheme="majorBidi"/>
          <w:highlight w:val="red"/>
        </w:rPr>
        <w:t xml:space="preserve"> relative to the </w:t>
      </w:r>
      <w:r w:rsidR="00827247" w:rsidRPr="0052574B">
        <w:rPr>
          <w:rFonts w:eastAsiaTheme="minorEastAsia" w:cstheme="majorBidi"/>
          <w:highlight w:val="red"/>
        </w:rPr>
        <w:t xml:space="preserve">spread of residual </w:t>
      </w:r>
      <w:r w:rsidR="001A7D58" w:rsidRPr="0052574B">
        <w:rPr>
          <w:rFonts w:eastAsiaTheme="minorEastAsia" w:cstheme="majorBidi"/>
          <w:highlight w:val="red"/>
        </w:rPr>
        <w:t xml:space="preserve">species richness </w:t>
      </w:r>
      <w:r w:rsidR="009E0429" w:rsidRPr="0052574B">
        <w:rPr>
          <w:rFonts w:eastAsiaTheme="minorEastAsia" w:cstheme="majorBidi"/>
          <w:highlight w:val="red"/>
        </w:rPr>
        <w:t xml:space="preserve">at the </w:t>
      </w:r>
      <w:r w:rsidR="001A7D58" w:rsidRPr="0052574B">
        <w:rPr>
          <w:rFonts w:eastAsiaTheme="minorEastAsia" w:cstheme="majorBidi"/>
          <w:highlight w:val="red"/>
        </w:rPr>
        <w:t>QDS</w:t>
      </w:r>
      <w:r w:rsidR="009E0429" w:rsidRPr="0052574B">
        <w:rPr>
          <w:rFonts w:eastAsiaTheme="minorEastAsia" w:cstheme="majorBidi"/>
          <w:highlight w:val="red"/>
        </w:rPr>
        <w:t>-scale within</w:t>
      </w:r>
      <w:r w:rsidR="001A7D58" w:rsidRPr="0052574B">
        <w:rPr>
          <w:rFonts w:eastAsiaTheme="minorEastAsia" w:cstheme="majorBidi"/>
          <w:highlight w:val="red"/>
        </w:rPr>
        <w:t xml:space="preserve"> </w:t>
      </w:r>
      <w:r w:rsidR="009E0429" w:rsidRPr="0052574B">
        <w:rPr>
          <w:rFonts w:eastAsiaTheme="minorEastAsia" w:cstheme="majorBidi"/>
          <w:highlight w:val="red"/>
        </w:rPr>
        <w:t xml:space="preserve">each region </w:t>
      </w:r>
      <w:r w:rsidR="001A7D58" w:rsidRPr="0052574B">
        <w:rPr>
          <w:highlight w:val="red"/>
        </w:rPr>
        <w:t>(</w:t>
      </w:r>
      <w:r w:rsidR="001A7D58" w:rsidRPr="0052574B">
        <w:rPr>
          <w:i/>
          <w:iCs/>
          <w:highlight w:val="red"/>
        </w:rPr>
        <w:t>SD</w:t>
      </w:r>
      <w:r w:rsidR="00827247" w:rsidRPr="0052574B">
        <w:rPr>
          <w:iCs/>
          <w:highlight w:val="red"/>
          <w:vertAlign w:val="subscript"/>
        </w:rPr>
        <w:t>GCFR</w:t>
      </w:r>
      <w:r w:rsidR="001A7D58" w:rsidRPr="0052574B">
        <w:rPr>
          <w:highlight w:val="red"/>
        </w:rPr>
        <w:t xml:space="preserve"> = </w:t>
      </w:r>
      <w:r w:rsidR="00827247" w:rsidRPr="0052574B">
        <w:rPr>
          <w:highlight w:val="red"/>
        </w:rPr>
        <w:t>335</w:t>
      </w:r>
      <w:r w:rsidR="001A7D58" w:rsidRPr="0052574B">
        <w:rPr>
          <w:highlight w:val="red"/>
        </w:rPr>
        <w:t>.</w:t>
      </w:r>
      <w:r w:rsidR="00827247" w:rsidRPr="0052574B">
        <w:rPr>
          <w:highlight w:val="red"/>
        </w:rPr>
        <w:t xml:space="preserve">2; </w:t>
      </w:r>
      <w:r w:rsidR="00827247" w:rsidRPr="0052574B">
        <w:rPr>
          <w:i/>
          <w:iCs/>
          <w:highlight w:val="red"/>
        </w:rPr>
        <w:t>SD</w:t>
      </w:r>
      <w:r w:rsidR="00827247" w:rsidRPr="0052574B">
        <w:rPr>
          <w:iCs/>
          <w:highlight w:val="red"/>
          <w:vertAlign w:val="subscript"/>
        </w:rPr>
        <w:t>SWAFR</w:t>
      </w:r>
      <w:r w:rsidR="00827247" w:rsidRPr="0052574B">
        <w:rPr>
          <w:highlight w:val="red"/>
        </w:rPr>
        <w:t xml:space="preserve"> = 247.4</w:t>
      </w:r>
      <w:r w:rsidR="00496FAE" w:rsidRPr="0052574B">
        <w:rPr>
          <w:highlight w:val="red"/>
        </w:rPr>
        <w:t>; Table S</w:t>
      </w:r>
      <w:r w:rsidR="00AF3227" w:rsidRPr="0052574B">
        <w:rPr>
          <w:highlight w:val="red"/>
        </w:rPr>
        <w:t>3</w:t>
      </w:r>
      <w:r w:rsidR="00496FAE" w:rsidRPr="0052574B">
        <w:rPr>
          <w:highlight w:val="red"/>
        </w:rPr>
        <w:t>a</w:t>
      </w:r>
      <w:r w:rsidR="001A7D58" w:rsidRPr="0052574B">
        <w:rPr>
          <w:highlight w:val="red"/>
        </w:rPr>
        <w:t>).</w:t>
      </w:r>
      <w:r w:rsidR="007F71F9" w:rsidRPr="0052574B">
        <w:rPr>
          <w:rFonts w:eastAsiaTheme="minorEastAsia" w:cstheme="majorBidi"/>
          <w:highlight w:val="red"/>
        </w:rPr>
        <w:t xml:space="preserve"> </w:t>
      </w:r>
      <w:r w:rsidR="001A7D58" w:rsidRPr="0052574B">
        <w:rPr>
          <w:rFonts w:eastAsiaTheme="minorEastAsia" w:cstheme="majorBidi"/>
          <w:highlight w:val="red"/>
        </w:rPr>
        <w:t xml:space="preserve">This </w:t>
      </w:r>
      <w:r w:rsidR="00A46153" w:rsidRPr="0052574B">
        <w:rPr>
          <w:rFonts w:eastAsiaTheme="minorEastAsia" w:cstheme="majorBidi"/>
          <w:highlight w:val="red"/>
        </w:rPr>
        <w:t>indicates</w:t>
      </w:r>
      <w:r w:rsidR="001A7D58" w:rsidRPr="0052574B">
        <w:rPr>
          <w:rFonts w:eastAsiaTheme="minorEastAsia" w:cstheme="majorBidi"/>
          <w:highlight w:val="red"/>
        </w:rPr>
        <w:t xml:space="preserve"> that </w:t>
      </w:r>
      <w:r w:rsidR="002644D2" w:rsidRPr="0052574B">
        <w:rPr>
          <w:rFonts w:eastAsiaTheme="minorEastAsia" w:cstheme="majorBidi"/>
          <w:highlight w:val="red"/>
        </w:rPr>
        <w:t xml:space="preserve">regional differences in the form of the </w:t>
      </w:r>
      <w:r w:rsidR="009E0429" w:rsidRPr="0052574B">
        <w:rPr>
          <w:rFonts w:eastAsiaTheme="minorEastAsia" w:cstheme="majorBidi"/>
          <w:highlight w:val="red"/>
        </w:rPr>
        <w:t xml:space="preserve">QDS-scale </w:t>
      </w:r>
      <w:r w:rsidR="002644D2" w:rsidRPr="0052574B">
        <w:rPr>
          <w:rFonts w:eastAsiaTheme="minorEastAsia" w:cstheme="majorBidi"/>
          <w:highlight w:val="red"/>
        </w:rPr>
        <w:t>species richness-heterogeneity relationship</w:t>
      </w:r>
      <w:r w:rsidR="00EB3F26" w:rsidRPr="0052574B">
        <w:rPr>
          <w:highlight w:val="red"/>
        </w:rPr>
        <w:t>, while statistically significant,</w:t>
      </w:r>
      <w:r w:rsidR="001A7D58" w:rsidRPr="0052574B">
        <w:rPr>
          <w:rFonts w:eastAsiaTheme="minorEastAsia" w:cstheme="majorBidi"/>
          <w:highlight w:val="red"/>
        </w:rPr>
        <w:t xml:space="preserve"> are </w:t>
      </w:r>
      <w:r w:rsidR="009B4280" w:rsidRPr="0052574B">
        <w:rPr>
          <w:rFonts w:eastAsiaTheme="minorEastAsia" w:cstheme="majorBidi"/>
          <w:highlight w:val="red"/>
        </w:rPr>
        <w:t>subtle</w:t>
      </w:r>
      <w:r w:rsidR="00B2312C" w:rsidRPr="0052574B">
        <w:rPr>
          <w:rFonts w:eastAsiaTheme="minorEastAsia" w:cstheme="majorBidi"/>
          <w:highlight w:val="red"/>
        </w:rPr>
        <w:t xml:space="preserve"> (see also </w:t>
      </w:r>
      <w:r w:rsidR="00B02E73" w:rsidRPr="0052574B">
        <w:rPr>
          <w:rFonts w:eastAsiaTheme="minorEastAsia" w:cstheme="majorBidi"/>
          <w:highlight w:val="red"/>
        </w:rPr>
        <w:t xml:space="preserve">Figure </w:t>
      </w:r>
      <w:r w:rsidR="00FF0F3A" w:rsidRPr="0052574B">
        <w:rPr>
          <w:rFonts w:eastAsiaTheme="minorEastAsia" w:cstheme="majorBidi"/>
          <w:highlight w:val="red"/>
        </w:rPr>
        <w:t>4</w:t>
      </w:r>
      <w:r w:rsidR="00CE206A" w:rsidRPr="0052574B">
        <w:rPr>
          <w:rFonts w:eastAsiaTheme="minorEastAsia" w:cstheme="majorBidi"/>
          <w:highlight w:val="red"/>
        </w:rPr>
        <w:t>a</w:t>
      </w:r>
      <w:r w:rsidR="00B2312C" w:rsidRPr="0052574B">
        <w:rPr>
          <w:rFonts w:eastAsiaTheme="minorEastAsia" w:cstheme="majorBidi"/>
          <w:highlight w:val="red"/>
        </w:rPr>
        <w:t>)</w:t>
      </w:r>
      <w:r w:rsidR="001A7D58" w:rsidRPr="0052574B">
        <w:rPr>
          <w:rFonts w:eastAsiaTheme="minorEastAsia" w:cstheme="majorBidi"/>
          <w:highlight w:val="red"/>
        </w:rPr>
        <w:t>.</w:t>
      </w:r>
    </w:p>
    <w:p w14:paraId="6B93ECCA" w14:textId="6D35081E"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6"/>
      <w:r w:rsidR="00350FE5">
        <w:t xml:space="preserve">generally </w:t>
      </w:r>
      <w:commentRangeEnd w:id="16"/>
      <w:r w:rsidR="00372978">
        <w:rPr>
          <w:rStyle w:val="CommentReference"/>
          <w:rFonts w:ascii="Times New Roman" w:hAnsiTheme="minorHAnsi"/>
        </w:rPr>
        <w:commentReference w:id="16"/>
      </w:r>
      <w:r w:rsidR="0090296A">
        <w:t>positive</w:t>
      </w:r>
      <w:r w:rsidR="00350FE5">
        <w:t xml:space="preserve"> influence of heterogeneity on species richness</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rsidR="00350FE5">
        <w:t xml:space="preserve"> </w:t>
      </w:r>
      <w:r w:rsidR="0028338C" w:rsidRPr="0052574B">
        <w:rPr>
          <w:highlight w:val="red"/>
        </w:rPr>
        <w:t xml:space="preserve">In contrast to </w:t>
      </w:r>
      <w:r w:rsidR="00237525" w:rsidRPr="0052574B">
        <w:rPr>
          <w:highlight w:val="red"/>
        </w:rPr>
        <w:t xml:space="preserve">the </w:t>
      </w:r>
      <w:r w:rsidR="006B7A26" w:rsidRPr="0052574B">
        <w:rPr>
          <w:highlight w:val="red"/>
        </w:rPr>
        <w:t xml:space="preserve">optimal </w:t>
      </w:r>
      <w:r w:rsidRPr="0052574B">
        <w:rPr>
          <w:highlight w:val="red"/>
        </w:rPr>
        <w:t>ANCOVA</w:t>
      </w:r>
      <w:r w:rsidR="006B7A26" w:rsidRPr="0052574B">
        <w:rPr>
          <w:highlight w:val="red"/>
        </w:rPr>
        <w:t xml:space="preserve"> models, multiple</w:t>
      </w:r>
      <w:r w:rsidR="00350FE5" w:rsidRPr="0052574B">
        <w:rPr>
          <w:highlight w:val="red"/>
        </w:rPr>
        <w:t xml:space="preserve"> </w:t>
      </w:r>
      <w:r w:rsidR="00983D13" w:rsidRPr="0052574B">
        <w:rPr>
          <w:highlight w:val="red"/>
        </w:rPr>
        <w:t>regression</w:t>
      </w:r>
      <w:r w:rsidR="00350FE5" w:rsidRPr="0052574B">
        <w:rPr>
          <w:highlight w:val="red"/>
        </w:rPr>
        <w:t xml:space="preserve"> model</w:t>
      </w:r>
      <w:r w:rsidR="009F3EA3" w:rsidRPr="0052574B">
        <w:rPr>
          <w:highlight w:val="red"/>
        </w:rPr>
        <w:t xml:space="preserve">s </w:t>
      </w:r>
      <w:r w:rsidR="00473F34" w:rsidRPr="0052574B">
        <w:rPr>
          <w:highlight w:val="red"/>
        </w:rPr>
        <w:t>suggest</w:t>
      </w:r>
      <w:r w:rsidR="00D06C06" w:rsidRPr="0052574B">
        <w:rPr>
          <w:highlight w:val="red"/>
        </w:rPr>
        <w:t xml:space="preserve"> region-dependence </w:t>
      </w:r>
      <w:r w:rsidR="00262F02" w:rsidRPr="0052574B">
        <w:rPr>
          <w:highlight w:val="red"/>
        </w:rPr>
        <w:t xml:space="preserve">in the relationships of species dependence to environmental heterogeneity </w:t>
      </w:r>
      <w:r w:rsidR="00D06C06" w:rsidRPr="0052574B">
        <w:rPr>
          <w:highlight w:val="red"/>
        </w:rPr>
        <w:t>at all three spatial scales</w:t>
      </w:r>
      <w:r w:rsidR="003115F6" w:rsidRPr="0052574B">
        <w:rPr>
          <w:highlight w:val="red"/>
        </w:rPr>
        <w:t xml:space="preserve"> (</w:t>
      </w:r>
      <w:r w:rsidR="008538A7" w:rsidRPr="0052574B">
        <w:rPr>
          <w:highlight w:val="red"/>
        </w:rPr>
        <w:t xml:space="preserve">Figure </w:t>
      </w:r>
      <w:r w:rsidR="00977291" w:rsidRPr="0052574B">
        <w:rPr>
          <w:highlight w:val="red"/>
        </w:rPr>
        <w:t>5</w:t>
      </w:r>
      <w:r w:rsidR="00CA688A" w:rsidRPr="00405B29">
        <w:rPr>
          <w:highlight w:val="red"/>
        </w:rPr>
        <w:t>)</w:t>
      </w:r>
      <w:r w:rsidR="00473F34" w:rsidRPr="00405B29">
        <w:rPr>
          <w:highlight w:val="red"/>
        </w:rPr>
        <w:t>. However</w:t>
      </w:r>
      <w:r w:rsidR="00473F34" w:rsidRPr="004502F4">
        <w:rPr>
          <w:highlight w:val="red"/>
        </w:rPr>
        <w:t>,</w:t>
      </w:r>
      <w:r w:rsidR="003E77D9" w:rsidRPr="004502F4">
        <w:rPr>
          <w:highlight w:val="red"/>
        </w:rPr>
        <w:t xml:space="preserve"> the coefficients associated with the significant interaction terms</w:t>
      </w:r>
      <w:r w:rsidR="005A7E8B" w:rsidRPr="004502F4">
        <w:rPr>
          <w:highlight w:val="red"/>
        </w:rPr>
        <w:t xml:space="preserve"> (i.e. the effect in the SWAFR</w:t>
      </w:r>
      <w:r w:rsidR="003E77D9" w:rsidRPr="004502F4">
        <w:rPr>
          <w:highlight w:val="red"/>
        </w:rPr>
        <w:t xml:space="preserve"> </w:t>
      </w:r>
      <w:r w:rsidR="005A7E8B" w:rsidRPr="004502F4">
        <w:rPr>
          <w:highlight w:val="red"/>
        </w:rPr>
        <w:t xml:space="preserve">relative to the GCFR) </w:t>
      </w:r>
      <w:r w:rsidR="003E77D9" w:rsidRPr="004502F4">
        <w:rPr>
          <w:highlight w:val="red"/>
        </w:rPr>
        <w:t xml:space="preserve">are small in </w:t>
      </w:r>
      <w:r w:rsidR="00473F34" w:rsidRPr="004502F4">
        <w:rPr>
          <w:highlight w:val="red"/>
        </w:rPr>
        <w:t>magnitude</w:t>
      </w:r>
      <w:r w:rsidR="003E77D9" w:rsidRPr="004502F4">
        <w:rPr>
          <w:highlight w:val="red"/>
        </w:rPr>
        <w:t xml:space="preserve"> at </w:t>
      </w:r>
      <w:r w:rsidR="00473F34" w:rsidRPr="004502F4">
        <w:rPr>
          <w:highlight w:val="red"/>
        </w:rPr>
        <w:t xml:space="preserve">both </w:t>
      </w:r>
      <w:r w:rsidR="003E77D9" w:rsidRPr="004502F4">
        <w:rPr>
          <w:highlight w:val="red"/>
        </w:rPr>
        <w:t>the QDS- (54.2 to 65.8</w:t>
      </w:r>
      <w:r w:rsidR="00924C2A" w:rsidRPr="004502F4">
        <w:rPr>
          <w:highlight w:val="red"/>
        </w:rPr>
        <w:t>; Figure 5a</w:t>
      </w:r>
      <w:r w:rsidR="003E77D9" w:rsidRPr="004502F4">
        <w:rPr>
          <w:highlight w:val="red"/>
        </w:rPr>
        <w:t>) and HDS-scale</w:t>
      </w:r>
      <w:r w:rsidR="0032574D" w:rsidRPr="004502F4">
        <w:rPr>
          <w:highlight w:val="red"/>
        </w:rPr>
        <w:t>s</w:t>
      </w:r>
      <w:r w:rsidR="003E77D9" w:rsidRPr="004502F4">
        <w:rPr>
          <w:highlight w:val="red"/>
        </w:rPr>
        <w:t xml:space="preserve"> (200.8</w:t>
      </w:r>
      <w:r w:rsidR="00924C2A" w:rsidRPr="004502F4">
        <w:rPr>
          <w:highlight w:val="red"/>
        </w:rPr>
        <w:t xml:space="preserve"> to</w:t>
      </w:r>
      <w:r w:rsidR="003E77D9" w:rsidRPr="004502F4">
        <w:rPr>
          <w:highlight w:val="red"/>
        </w:rPr>
        <w:t xml:space="preserve"> 210.8</w:t>
      </w:r>
      <w:r w:rsidR="00924C2A" w:rsidRPr="004502F4">
        <w:rPr>
          <w:highlight w:val="red"/>
        </w:rPr>
        <w:t>; Figure 5b</w:t>
      </w:r>
      <w:r w:rsidR="003E77D9" w:rsidRPr="004502F4">
        <w:rPr>
          <w:highlight w:val="red"/>
        </w:rPr>
        <w:t>)</w:t>
      </w:r>
      <w:r w:rsidR="00EB3F26" w:rsidRPr="004502F4">
        <w:rPr>
          <w:highlight w:val="red"/>
        </w:rPr>
        <w:t>,</w:t>
      </w:r>
      <w:r w:rsidR="003E77D9" w:rsidRPr="004502F4">
        <w:rPr>
          <w:highlight w:val="red"/>
        </w:rPr>
        <w:t xml:space="preserve"> relative to the spread of residual species richness within each region (QDS: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315.5;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230.1; HDS: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w:t>
      </w:r>
      <w:r w:rsidR="00473F34" w:rsidRPr="004502F4">
        <w:rPr>
          <w:highlight w:val="red"/>
        </w:rPr>
        <w:t>540.2</w:t>
      </w:r>
      <w:r w:rsidR="003E77D9" w:rsidRPr="004502F4">
        <w:rPr>
          <w:highlight w:val="red"/>
        </w:rPr>
        <w:t xml:space="preserve">;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w:t>
      </w:r>
      <w:r w:rsidR="00473F34" w:rsidRPr="004502F4">
        <w:rPr>
          <w:highlight w:val="red"/>
        </w:rPr>
        <w:t>337.3</w:t>
      </w:r>
      <w:r w:rsidR="00DF3A9D" w:rsidRPr="004502F4">
        <w:rPr>
          <w:highlight w:val="red"/>
        </w:rPr>
        <w:t>; Table S</w:t>
      </w:r>
      <w:r w:rsidR="00F16FBC" w:rsidRPr="004502F4">
        <w:rPr>
          <w:highlight w:val="red"/>
        </w:rPr>
        <w:t>3</w:t>
      </w:r>
      <w:r w:rsidR="007D6DC1" w:rsidRPr="004502F4">
        <w:rPr>
          <w:highlight w:val="red"/>
        </w:rPr>
        <w:t>a,b</w:t>
      </w:r>
      <w:r w:rsidR="003E77D9" w:rsidRPr="004502F4">
        <w:rPr>
          <w:highlight w:val="red"/>
        </w:rPr>
        <w:t>)</w:t>
      </w:r>
      <w:r w:rsidR="00473F34" w:rsidRPr="004502F4">
        <w:rPr>
          <w:highlight w:val="red"/>
        </w:rPr>
        <w:t>. As before, this suggests that regional differences in the relationship of species richness to heterogeneity</w:t>
      </w:r>
      <w:r w:rsidR="000B2398" w:rsidRPr="004502F4">
        <w:rPr>
          <w:highlight w:val="red"/>
        </w:rPr>
        <w:t xml:space="preserve"> at these scales</w:t>
      </w:r>
      <w:r w:rsidR="00473F34" w:rsidRPr="004502F4">
        <w:rPr>
          <w:highlight w:val="red"/>
        </w:rPr>
        <w:t xml:space="preserve">, while statistically significant, are subtle. At the DS-scale, however, the </w:t>
      </w:r>
      <w:r w:rsidR="00C96F57" w:rsidRPr="004502F4">
        <w:rPr>
          <w:highlight w:val="red"/>
        </w:rPr>
        <w:t xml:space="preserve">significant </w:t>
      </w:r>
      <w:r w:rsidR="005A7E8B" w:rsidRPr="004502F4">
        <w:rPr>
          <w:highlight w:val="red"/>
        </w:rPr>
        <w:t>SWAFR-</w:t>
      </w:r>
      <w:r w:rsidR="00473F34" w:rsidRPr="004502F4">
        <w:rPr>
          <w:highlight w:val="red"/>
        </w:rPr>
        <w:t>coefficients are</w:t>
      </w:r>
      <w:r w:rsidR="0032574D" w:rsidRPr="004502F4">
        <w:rPr>
          <w:highlight w:val="red"/>
        </w:rPr>
        <w:t xml:space="preserve"> </w:t>
      </w:r>
      <w:r w:rsidR="00C96F57" w:rsidRPr="004502F4">
        <w:rPr>
          <w:highlight w:val="red"/>
        </w:rPr>
        <w:t>large (500.0 to 1622.9</w:t>
      </w:r>
      <w:r w:rsidR="005A7E8B" w:rsidRPr="004502F4">
        <w:rPr>
          <w:highlight w:val="red"/>
        </w:rPr>
        <w:t>; Figure 5c</w:t>
      </w:r>
      <w:r w:rsidR="00C96F57" w:rsidRPr="004502F4">
        <w:rPr>
          <w:highlight w:val="red"/>
        </w:rPr>
        <w:t>) relative to the spread of residual species richness within each region (</w:t>
      </w:r>
      <w:r w:rsidR="00C96F57" w:rsidRPr="004502F4">
        <w:rPr>
          <w:i/>
          <w:iCs/>
          <w:highlight w:val="red"/>
        </w:rPr>
        <w:t>SD</w:t>
      </w:r>
      <w:r w:rsidR="00C96F57" w:rsidRPr="004502F4">
        <w:rPr>
          <w:iCs/>
          <w:highlight w:val="red"/>
          <w:vertAlign w:val="subscript"/>
        </w:rPr>
        <w:t>GCFR</w:t>
      </w:r>
      <w:r w:rsidR="00C96F57" w:rsidRPr="004502F4">
        <w:rPr>
          <w:highlight w:val="red"/>
        </w:rPr>
        <w:t xml:space="preserve"> = 638.4; </w:t>
      </w:r>
      <w:r w:rsidR="00C96F57" w:rsidRPr="004502F4">
        <w:rPr>
          <w:i/>
          <w:iCs/>
          <w:highlight w:val="red"/>
        </w:rPr>
        <w:t>SD</w:t>
      </w:r>
      <w:r w:rsidR="00C96F57" w:rsidRPr="004502F4">
        <w:rPr>
          <w:iCs/>
          <w:highlight w:val="red"/>
          <w:vertAlign w:val="subscript"/>
        </w:rPr>
        <w:t>SWAFR</w:t>
      </w:r>
      <w:r w:rsidR="00C96F57" w:rsidRPr="004502F4">
        <w:rPr>
          <w:highlight w:val="red"/>
        </w:rPr>
        <w:t xml:space="preserve"> = 353.9</w:t>
      </w:r>
      <w:r w:rsidR="007144CE" w:rsidRPr="004502F4">
        <w:rPr>
          <w:highlight w:val="red"/>
        </w:rPr>
        <w:t>; Table S</w:t>
      </w:r>
      <w:r w:rsidR="00290F74" w:rsidRPr="004502F4">
        <w:rPr>
          <w:highlight w:val="red"/>
        </w:rPr>
        <w:t>3</w:t>
      </w:r>
      <w:r w:rsidR="007144CE" w:rsidRPr="004502F4">
        <w:rPr>
          <w:highlight w:val="red"/>
        </w:rPr>
        <w:t>c</w:t>
      </w:r>
      <w:r w:rsidR="00C96F57" w:rsidRPr="004502F4">
        <w:rPr>
          <w:highlight w:val="red"/>
        </w:rPr>
        <w:t>)</w:t>
      </w:r>
      <w:r w:rsidR="0032574D" w:rsidRPr="004502F4">
        <w:rPr>
          <w:highlight w:val="red"/>
        </w:rPr>
        <w:t xml:space="preserve">. </w:t>
      </w:r>
      <w:r w:rsidR="00C96F57" w:rsidRPr="004502F4">
        <w:rPr>
          <w:highlight w:val="red"/>
        </w:rPr>
        <w:t xml:space="preserve">Where the </w:t>
      </w:r>
      <w:r w:rsidR="00230147" w:rsidRPr="004502F4">
        <w:rPr>
          <w:highlight w:val="red"/>
        </w:rPr>
        <w:t xml:space="preserve">significant </w:t>
      </w:r>
      <w:r w:rsidR="00C96F57" w:rsidRPr="004502F4">
        <w:rPr>
          <w:highlight w:val="red"/>
        </w:rPr>
        <w:t>negative coefficients</w:t>
      </w:r>
      <w:r w:rsidR="00230147" w:rsidRPr="004502F4">
        <w:rPr>
          <w:highlight w:val="red"/>
        </w:rPr>
        <w:t xml:space="preserve"> associated with</w:t>
      </w:r>
      <w:r w:rsidR="00C96F57" w:rsidRPr="004502F4">
        <w:rPr>
          <w:highlight w:val="red"/>
        </w:rPr>
        <w:t xml:space="preserve"> surface T and clay heterogeneity </w:t>
      </w:r>
      <w:r w:rsidR="00230147" w:rsidRPr="004502F4">
        <w:rPr>
          <w:highlight w:val="red"/>
        </w:rPr>
        <w:t xml:space="preserve">imply that these variables </w:t>
      </w:r>
      <w:r w:rsidR="00C96F57" w:rsidRPr="004502F4">
        <w:rPr>
          <w:highlight w:val="red"/>
        </w:rPr>
        <w:t xml:space="preserve">exert a greater positive influence on species richness in the GCFR </w:t>
      </w:r>
      <w:r w:rsidR="00230147" w:rsidRPr="004502F4">
        <w:rPr>
          <w:highlight w:val="red"/>
        </w:rPr>
        <w:t>than</w:t>
      </w:r>
      <w:r w:rsidR="00C96F57" w:rsidRPr="004502F4">
        <w:rPr>
          <w:highlight w:val="red"/>
        </w:rPr>
        <w:t xml:space="preserve"> in the SWAFR, the positive coefficients </w:t>
      </w:r>
      <w:r w:rsidR="00230147" w:rsidRPr="004502F4">
        <w:rPr>
          <w:highlight w:val="red"/>
        </w:rPr>
        <w:t xml:space="preserve">associated with </w:t>
      </w:r>
      <w:r w:rsidR="00C84650" w:rsidRPr="004502F4">
        <w:rPr>
          <w:highlight w:val="red"/>
        </w:rPr>
        <w:t xml:space="preserve">the partial effects of heterogeneity in </w:t>
      </w:r>
      <w:r w:rsidR="00230147" w:rsidRPr="004502F4">
        <w:rPr>
          <w:highlight w:val="red"/>
        </w:rPr>
        <w:t>elevation and pH</w:t>
      </w:r>
      <w:r w:rsidR="00FC1C62" w:rsidRPr="004502F4">
        <w:rPr>
          <w:highlight w:val="red"/>
        </w:rPr>
        <w:t xml:space="preserve"> </w:t>
      </w:r>
      <w:r w:rsidR="00230147" w:rsidRPr="004502F4">
        <w:rPr>
          <w:highlight w:val="red"/>
        </w:rPr>
        <w:t>cancel</w:t>
      </w:r>
      <w:r w:rsidR="00C84650" w:rsidRPr="004502F4">
        <w:rPr>
          <w:highlight w:val="red"/>
        </w:rPr>
        <w:t>-out</w:t>
      </w:r>
      <w:r w:rsidR="00230147" w:rsidRPr="004502F4">
        <w:rPr>
          <w:highlight w:val="red"/>
        </w:rPr>
        <w:t xml:space="preserve"> (in the SWAFR) the effects of these variables</w:t>
      </w:r>
      <w:r w:rsidR="00EE7F70" w:rsidRPr="004502F4">
        <w:rPr>
          <w:highlight w:val="red"/>
        </w:rPr>
        <w:t xml:space="preserve"> estimated in the GCFR</w:t>
      </w:r>
      <w:r w:rsidR="00230147" w:rsidRPr="004502F4">
        <w:rPr>
          <w:highlight w:val="red"/>
        </w:rPr>
        <w:t>.</w:t>
      </w:r>
    </w:p>
    <w:p w14:paraId="2C47BF37" w14:textId="2C0C6735" w:rsidR="00350FE5" w:rsidRDefault="00396132">
      <w:pPr>
        <w:pStyle w:val="FirstParagraph"/>
      </w:pPr>
      <w:r>
        <w:t>T</w:t>
      </w:r>
      <w:commentRangeStart w:id="17"/>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7"/>
      <w:r w:rsidR="006A44FA">
        <w:rPr>
          <w:rStyle w:val="CommentReference"/>
          <w:rFonts w:ascii="Times New Roman" w:hAnsiTheme="minorHAnsi"/>
        </w:rPr>
        <w:commentReference w:id="17"/>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8"/>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18"/>
      <w:r w:rsidR="006A44FA">
        <w:rPr>
          <w:rStyle w:val="CommentReference"/>
          <w:rFonts w:ascii="Times New Roman" w:hAnsiTheme="minorHAnsi"/>
        </w:rPr>
        <w:commentReference w:id="18"/>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19"/>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0"/>
      <w:r w:rsidR="006A44FA">
        <w:rPr>
          <w:rStyle w:val="CommentReference"/>
          <w:rFonts w:ascii="Times New Roman" w:hAnsiTheme="minorHAnsi"/>
        </w:rPr>
        <w:commentReference w:id="20"/>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r w:rsidR="0072106C">
        <w:t xml:space="preserve">single-site </w:t>
      </w:r>
      <w:commentRangeEnd w:id="26"/>
      <w:r w:rsidR="00952699">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bookmarkStart w:id="30" w:name="_GoBack"/>
      <w:bookmarkEnd w:id="30"/>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2"/>
      <w:r w:rsidRPr="00242181">
        <w:rPr>
          <w:b/>
        </w:rPr>
        <w:lastRenderedPageBreak/>
        <w:t xml:space="preserve">Figure </w:t>
      </w:r>
      <w:r>
        <w:rPr>
          <w:b/>
        </w:rPr>
        <w:t>1</w:t>
      </w:r>
      <w:commentRangeEnd w:id="32"/>
      <w:r w:rsidR="0090014E">
        <w:rPr>
          <w:rStyle w:val="CommentReference"/>
          <w:rFonts w:ascii="Times New Roman" w:hAnsiTheme="minorHAnsi"/>
        </w:rPr>
        <w:commentReference w:id="32"/>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3"/>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3"/>
      <w:r w:rsidR="00D84A21">
        <w:rPr>
          <w:rStyle w:val="CommentReference"/>
          <w:rFonts w:ascii="Times New Roman" w:hAnsiTheme="minorHAnsi"/>
        </w:rPr>
        <w:commentReference w:id="33"/>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4"/>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4"/>
      <w:r w:rsidR="001E2381">
        <w:rPr>
          <w:rStyle w:val="CommentReference"/>
          <w:rFonts w:ascii="Times New Roman" w:hAnsiTheme="minorHAnsi"/>
        </w:rPr>
        <w:commentReference w:id="34"/>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1989B2D0" w:rsidR="00762256" w:rsidRDefault="00F614B4" w:rsidP="00A9751F">
      <w:pPr>
        <w:pStyle w:val="ImageCaption"/>
        <w:spacing w:line="240" w:lineRule="auto"/>
      </w:pPr>
      <w:r>
        <w:br w:type="page"/>
      </w:r>
      <w:bookmarkStart w:id="35"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5"/>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6"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7"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8"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19"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2" w:author="Michael Cramer" w:date="2020-01-21T18:32:00Z" w:initials="MC">
    <w:p w14:paraId="08FD9056" w14:textId="634F5059" w:rsidR="00BC6386" w:rsidRDefault="00BC6386">
      <w:pPr>
        <w:pStyle w:val="CommentText"/>
      </w:pPr>
      <w:r>
        <w:rPr>
          <w:rStyle w:val="CommentReference"/>
        </w:rPr>
        <w:annotationRef/>
      </w:r>
      <w:r>
        <w:t>On the basis of?</w:t>
      </w:r>
    </w:p>
  </w:comment>
  <w:comment w:id="23"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6"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7"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3"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4"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1"/>
  <w15:commentEx w15:paraId="6493917C" w15:done="1"/>
  <w15:commentEx w15:paraId="3216D7C2" w15:done="1"/>
  <w15:commentEx w15:paraId="4B02A409"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99D7C" w14:textId="77777777" w:rsidR="009E3BEC" w:rsidRDefault="009E3BEC">
      <w:pPr>
        <w:spacing w:after="0"/>
      </w:pPr>
      <w:r>
        <w:separator/>
      </w:r>
    </w:p>
  </w:endnote>
  <w:endnote w:type="continuationSeparator" w:id="0">
    <w:p w14:paraId="0D1159DD" w14:textId="77777777" w:rsidR="009E3BEC" w:rsidRDefault="009E3BEC">
      <w:pPr>
        <w:spacing w:after="0"/>
      </w:pPr>
      <w:r>
        <w:continuationSeparator/>
      </w:r>
    </w:p>
  </w:endnote>
  <w:endnote w:type="continuationNotice" w:id="1">
    <w:p w14:paraId="41456BB5" w14:textId="77777777" w:rsidR="009E3BEC" w:rsidRDefault="009E3BE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77854" w14:textId="77777777" w:rsidR="009E3BEC" w:rsidRDefault="009E3BEC">
      <w:r>
        <w:separator/>
      </w:r>
    </w:p>
  </w:footnote>
  <w:footnote w:type="continuationSeparator" w:id="0">
    <w:p w14:paraId="6DE280E2" w14:textId="77777777" w:rsidR="009E3BEC" w:rsidRDefault="009E3BEC">
      <w:r>
        <w:continuationSeparator/>
      </w:r>
    </w:p>
  </w:footnote>
  <w:footnote w:type="continuationNotice" w:id="1">
    <w:p w14:paraId="6D1C62AB" w14:textId="77777777" w:rsidR="009E3BEC" w:rsidRDefault="009E3BE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BEC"/>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5EB3"/>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8EBEE-D8D5-4D21-8E2C-FCC0DF648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27</Pages>
  <Words>42022</Words>
  <Characters>239526</Characters>
  <Application>Microsoft Office Word</Application>
  <DocSecurity>0</DocSecurity>
  <Lines>1996</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280987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131</cp:revision>
  <cp:lastPrinted>2020-02-06T08:23:00Z</cp:lastPrinted>
  <dcterms:created xsi:type="dcterms:W3CDTF">2020-01-29T13:10:00Z</dcterms:created>
  <dcterms:modified xsi:type="dcterms:W3CDTF">2020-02-27T16:06:00Z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