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6F31F8">
      <w:pPr>
        <w:pStyle w:val="BodyText"/>
        <w:spacing w:before="0"/>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bstract"/>
      <w:bookmarkStart w:id="2" w:name="acknowledgements"/>
      <w:r>
        <w:t>Acknowledgements</w:t>
      </w:r>
      <w:bookmarkEnd w:id="2"/>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1"/>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1019DBDE"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2CA4FFA2"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explained by the former’s generally greater environmental heterogeneity and is concordant with its greater levels of floristic turnover. </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4055A22F"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any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r w:rsidR="007351F8">
        <w:fldChar w:fldCharType="begin" w:fldLock="1"/>
      </w:r>
      <w:r w:rsidR="003040D9">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Zemunik, &amp; Turner, 2014; Levin, Sibuet, Gooday, Smith, &amp; Vanreusel, 2010; Mouchet et al., 2015; Thuiller et al., 2006; van Rensburg, Chown, &amp; Gaston, 2002)","plainTextFormattedCitation":"(Cramer &amp; Verboom, 2016; Kreft &amp; Jetz, 2007; Laliberte, Zemunik, &amp; Turner, 2014; Levin, Sibuet, Gooday, Smith, &amp; Vanreusel, 2010; Mouchet et al., 2015; Thuiller et al., 2006; van Rensburg, Chown, &amp; Gaston, 2002)","previouslyFormattedCitation":"(Cramer &amp; Verboom, 2016; Kreft &amp; Jetz, 2007; Laliberte, Zemunik, &amp; Turner, 2014; Levin, Sibuet, Gooday, Smith, &amp; Vanreusel, 2010; Mouchet et al., 2015; Thuiller et al., 2006; van Rensburg, Chown, &amp; Gaston, 2002)"},"properties":{"noteIndex":0},"schema":"https://github.com/citation-style-language/schema/raw/master/csl-citation.json"}</w:instrText>
      </w:r>
      <w:r w:rsidR="007351F8">
        <w:fldChar w:fldCharType="separate"/>
      </w:r>
      <w:r w:rsidR="005A4388" w:rsidRPr="005A4388">
        <w:rPr>
          <w:noProof/>
        </w:rPr>
        <w:t>(Cramer &amp; Verboom, 2016; Kreft &amp; Jetz, 2007; Laliberte, Zemunik, &amp; Turner, 2014; Levin, Sibuet, Gooday, Smith, &amp; Vanreusel, 2010; Mouchet et al., 2015; Thuiller et al., 2006; van Rensburg, Chown, &amp; Gaston, 2002)</w:t>
      </w:r>
      <w:r w:rsidR="007351F8">
        <w:fldChar w:fldCharType="end"/>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74B3E">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Usinowicz, &amp; Levine, 2017)","plainTextFormattedCitation":"(Hart, Usinowicz, &amp; Levine, 2017)","previouslyFormattedCitation":"(Hart, Usinowicz, &amp; Levine, 2017)"},"properties":{"noteIndex":0},"schema":"https://github.com/citation-style-language/schema/raw/master/csl-citation.json"}</w:instrText>
      </w:r>
      <w:r w:rsidR="00137475">
        <w:fldChar w:fldCharType="separate"/>
      </w:r>
      <w:r w:rsidR="00137475" w:rsidRPr="00137475">
        <w:rPr>
          <w:noProof/>
        </w:rPr>
        <w:t>(Hart, Usinowicz, &amp; Levine,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09123570"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proofErr w:type="spellStart"/>
      <w:r>
        <w:t>Palaeocene</w:t>
      </w:r>
      <w:proofErr w:type="spellEnd"/>
      <w:r>
        <w:t xml:space="preserv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t>, with 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w:t>
      </w:r>
      <w:r>
        <w:lastRenderedPageBreak/>
        <w:t xml:space="preserve">taxonomic affinities and that both are species-rich with high levels of regional endemism </w:t>
      </w:r>
      <w:r w:rsidR="00582449">
        <w:fldChar w:fldCharType="begin" w:fldLock="1"/>
      </w:r>
      <w:r w:rsidR="005B4495">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Rundel, Lamont, Arroyo, &amp; Arianoutsou, 1996; Gioia &amp; Hopper, 2017)","manualFormatting":"(Ackerly, 2009; Beard et al., 2000; Cowling, Rundel, Lamont, Arroyo, &amp; Arianoutsou, 1996; Gioia &amp; Hopper, 2017)","plainTextFormattedCitation":"(Ackerly, 2009; Beard et al., 2000; Richard M. Cowling, Rundel, Lamont, Arroyo, &amp; Arianoutsou, 1996; Gioia &amp; Hopper, 2017)","previouslyFormattedCitation":"(Ackerly, 2009; Beard et al., 2000; Richard M. Cowling, Rundel, Lamont, Arroyo, &amp; Arianoutsou,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7A7AD2B6"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235F3">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Region","type":"chapter"},"uris":["http://www.mendeley.com/documents/?uuid=67e1310b-bf35-43be-927c-6e8b938a7373"]},{"id":"ITEM-2","itemData":{"DOI":"10.1111/geb.12181","ISBN":"1466-8238","ISSN":"1466822X","abstract":"Aim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Biogeography","id":"ITEM-2","issue":"9","issued":{"date-parts":[["2014","9"]]},"page":"988-999","title":"Diversity anomalies and spatial climate heterogeneity","type":"article-journal","volume":"23"},"uris":["http://www.mendeley.com/documents/?uuid=adbda198-36ce-3345-83b3-33d9da6084b4"]}],"mendeley":{"formattedCitation":"(Bradshaw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14:paraId="52348C6B" w14:textId="42B33556"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bookmarkStart w:id="4" w:name="_GoBack"/>
      <w:bookmarkEnd w:id="4"/>
      <w:r>
        <w:t>.</w:t>
      </w:r>
      <w:r w:rsidR="00841086">
        <w:t xml:space="preserve"> Note, we excluded occurrence data (and indeed </w:t>
      </w:r>
      <w:r w:rsidR="00841086">
        <w:lastRenderedPageBreak/>
        <w:t>environmental data, 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841086">
        <w:rPr>
          <w:rFonts w:cstheme="majorBidi"/>
        </w:rPr>
        <w:t>.</w:t>
      </w:r>
    </w:p>
    <w:p w14:paraId="26664BCB" w14:textId="55BE4B5A"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AC3CEC">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Summerville, Crist, &amp; Gering, 2002)","plainTextFormattedCitation":"(Veech, Summerville, Crist, &amp; Gering, 2002)","previouslyFormattedCitation":"(Veech, Summerville, Crist, &amp; Gering, 2002)"},"properties":{"noteIndex":0},"schema":"https://github.com/citation-style-language/schema/raw/master/csl-citation.json"}</w:instrText>
      </w:r>
      <w:r w:rsidR="00E86968">
        <w:fldChar w:fldCharType="separate"/>
      </w:r>
      <w:r w:rsidR="00E86968" w:rsidRPr="00E86968">
        <w:rPr>
          <w:noProof/>
        </w:rPr>
        <w:t>(Veech, Summerville, Crist, &amp; Gering,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EF491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EF491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3"/>
    </w:p>
    <w:p w14:paraId="16702F9A" w14:textId="004B177E"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proofErr w:type="spellStart"/>
      <w:r w:rsidR="003B10FC">
        <w:t>mediterranean</w:t>
      </w:r>
      <w:proofErr w:type="spellEnd"/>
      <w:r w:rsidR="003B10FC">
        <w:t xml:space="preserve">-type climates </w:t>
      </w:r>
      <w:r w:rsidR="005A134B">
        <w:fldChar w:fldCharType="begin" w:fldLock="1"/>
      </w:r>
      <w:r w:rsidR="00EF14C9">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Trewartha","type":"article-journal","volume":"59"},"uris":["http://www.mendeley.com/documents/?uuid=da8a6dfa-f238-4b9d-b3f7-a002f40c23ad"]}],"mendeley":{"formattedCitation":"(Belda, Holtanová, Halenka, &amp; Kalvová, 2014)","plainTextFormattedCitation":"(Belda, Holtanová, Halenka, &amp; Kalvová, 2014)","previouslyFormattedCitation":"(Belda, Holtanová, Halenka, &amp; Kalvová, 2014)"},"properties":{"noteIndex":0},"schema":"https://github.com/citation-style-language/schema/raw/master/csl-citation.json"}</w:instrText>
      </w:r>
      <w:r w:rsidR="005A134B">
        <w:fldChar w:fldCharType="separate"/>
      </w:r>
      <w:r w:rsidR="005A134B" w:rsidRPr="005A134B">
        <w:rPr>
          <w:noProof/>
        </w:rPr>
        <w:t>(Belda, Holtanová, Halenka, &amp; Kalvová, 2014)</w:t>
      </w:r>
      <w:r w:rsidR="005A134B">
        <w:fldChar w:fldCharType="end"/>
      </w:r>
      <w:r w:rsidR="003B10FC">
        <w:t xml:space="preserve">. Variable selection was, however, constrained by the availability of suitable raster-layers. Thus, although soil [P] is probably an important determinant of plant distribution in both the GCFR and SWAFR </w:t>
      </w:r>
      <w:r w:rsidR="00EF14C9">
        <w:fldChar w:fldCharType="begin" w:fldLock="1"/>
      </w:r>
      <w:r w:rsidR="00D42D7E">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Brundrett, Raven, &amp; Hopper, 2010; Lambers, Shane, Cramer, Pearse, &amp; Veneklaas, 2006; Shane, Cramer, &amp; Lambers, 2008)","plainTextFormattedCitation":"(Lambers, Brundrett, Raven, &amp; Hopper, 2010; Lambers, Shane, Cramer, Pearse, &amp; Veneklaas, 2006; Shane, Cramer, &amp; Lambers, 2008)","previouslyFormattedCitation":"(Lambers, Brundrett, Raven, &amp; Hopper, 2010; Lambers, Shane, Cramer, Pearse, &amp; Veneklaas, 2006; Shane, Cramer, &amp; Lambers, 2008)"},"properties":{"noteIndex":0},"schema":"https://github.com/citation-style-language/schema/raw/master/csl-citation.json"}</w:instrText>
      </w:r>
      <w:r w:rsidR="00EF14C9">
        <w:fldChar w:fldCharType="separate"/>
      </w:r>
      <w:r w:rsidR="000235F3" w:rsidRPr="000235F3">
        <w:rPr>
          <w:noProof/>
        </w:rPr>
        <w:t>(Lambers, Brundrett, Raven, &amp; Hopper, 2010; Lambers, Shane, Cramer, Pearse, &amp; Veneklaas, 2006; Shane, Cramer, &amp; Lambers,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lastRenderedPageBreak/>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5446AD05"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w:t>
      </w:r>
      <w:proofErr w:type="spellStart"/>
      <w:r w:rsidR="000519A1">
        <w:t>canprot</w:t>
      </w:r>
      <w:proofErr w:type="spellEnd"/>
      <w:r w:rsidR="000519A1">
        <w:t xml:space="preserve">” </w:t>
      </w:r>
      <w:r w:rsidR="002679FF">
        <w:fldChar w:fldCharType="begin" w:fldLock="1"/>
      </w:r>
      <w:r w:rsidR="00500FC9">
        <w:instrText>ADDIN CSL_CITATION {"citationItems":[{"id":"ITEM-1","itemData":{"DOI":"10.7717/peerj.3421","author":[{"dropping-particle":"","family":"Dick","given":"Jeffrey M","non-dropping-particle":"","parse-names":false,"suffix":""}],"container-title":"PeerJ","id":"ITEM-1","issue":"e3421","issued":{"date-parts":[["2017"]]},"title":"Chemical composition and the potential for proteomic transformation in cancer, hypoxia, and hyperosmotic stress","type":"article-journal","volume":"5"},"uris":["http://www.mendeley.com/documents/?uuid=c4e8f6ec-8e69-4566-873e-6d336ff795bf"]}],"mendeley":{"formattedCitation":"(Dick, 2017)","plainTextFormattedCitation":"(Dick, 2017)","previouslyFormattedCitation":"(Dick, 2017)"},"properties":{"noteIndex":0},"schema":"https://github.com/citation-style-language/schema/raw/master/csl-citation.json"}</w:instrText>
      </w:r>
      <w:r w:rsidR="002679FF">
        <w:fldChar w:fldCharType="separate"/>
      </w:r>
      <w:r w:rsidR="002679FF" w:rsidRPr="002679FF">
        <w:rPr>
          <w:noProof/>
        </w:rPr>
        <w:t>(Dick, 2017)</w:t>
      </w:r>
      <w:r w:rsidR="002679FF">
        <w:fldChar w:fldCharType="end"/>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5" w:name="environmental-heterogeneity-as-an-explan"/>
      <w:r>
        <w:t>2.3</w:t>
      </w:r>
      <w:r w:rsidR="0009179A">
        <w:t>:</w:t>
      </w:r>
      <w:r>
        <w:t xml:space="preserve"> </w:t>
      </w:r>
      <w:r w:rsidR="005F0FFB">
        <w:t>Environmental heterogeneity as an explanation of species richness</w:t>
      </w:r>
      <w:bookmarkEnd w:id="5"/>
    </w:p>
    <w:p w14:paraId="23BA1837" w14:textId="4481451F"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1E609566"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lastRenderedPageBreak/>
        <w:t xml:space="preserve">2.4: </w:t>
      </w:r>
      <w:r w:rsidR="003D2B4F">
        <w:t>S</w:t>
      </w:r>
      <w:r w:rsidRPr="00502524">
        <w:t>pecies richness</w:t>
      </w:r>
      <w:r w:rsidR="003D2B4F">
        <w:t xml:space="preserve"> hotspots</w:t>
      </w:r>
    </w:p>
    <w:p w14:paraId="42F144AD" w14:textId="0B2D0F38"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6" w:name="results"/>
      <w:r>
        <w:t>3</w:t>
      </w:r>
      <w:r w:rsidR="00E4661A">
        <w:t>:</w:t>
      </w:r>
      <w:r>
        <w:t xml:space="preserve"> </w:t>
      </w:r>
      <w:r w:rsidR="00D04776">
        <w:t>Results</w:t>
      </w:r>
      <w:bookmarkEnd w:id="6"/>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252ADA7F" w:rsidR="002C32D6" w:rsidRPr="006B3905" w:rsidRDefault="002C32D6" w:rsidP="002C32D6">
      <w:pPr>
        <w:pStyle w:val="FirstParagraph"/>
        <w:rPr>
          <w:i/>
        </w:rPr>
      </w:pPr>
      <w:r w:rsidRPr="006B3905">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rsidRPr="006B3905">
        <w:t xml:space="preserve">Figure </w:t>
      </w:r>
      <w:r w:rsidR="00FC2A30" w:rsidRPr="006B3905">
        <w:t>1</w:t>
      </w:r>
      <w:r w:rsidRPr="006B3905">
        <w:t xml:space="preserve">a,b). Comparisons of species richness between the regions using two-sided Mann-Whitney </w:t>
      </w:r>
      <w:r w:rsidRPr="006B3905">
        <w:rPr>
          <w:i/>
        </w:rPr>
        <w:t>U</w:t>
      </w:r>
      <w:r w:rsidRPr="006B3905">
        <w:t xml:space="preserve"> tests reveal that species richness per unit area is similar at the QDS- (Figure 2</w:t>
      </w:r>
      <w:r w:rsidR="00604263" w:rsidRPr="006B3905">
        <w:t>c</w:t>
      </w:r>
      <w:r w:rsidRPr="006B3905">
        <w:t>;</w:t>
      </w:r>
      <w:r w:rsidRPr="006B3905">
        <w:rPr>
          <w:i/>
        </w:rPr>
        <w:t xml:space="preserve"> P</w:t>
      </w:r>
      <w:r w:rsidRPr="006B3905">
        <w:t xml:space="preserve"> = 0.402, </w:t>
      </w:r>
      <w:r w:rsidRPr="006B3905">
        <w:rPr>
          <w:i/>
          <w:iCs/>
        </w:rPr>
        <w:t>CLES</w:t>
      </w:r>
      <w:r w:rsidRPr="006B3905">
        <w:t xml:space="preserve"> = 0.516) and HDS-scales (Figure 2b;</w:t>
      </w:r>
      <w:r w:rsidRPr="006B3905">
        <w:rPr>
          <w:i/>
        </w:rPr>
        <w:t xml:space="preserve"> P</w:t>
      </w:r>
      <w:r w:rsidRPr="006B3905">
        <w:t xml:space="preserve"> = 0.275, </w:t>
      </w:r>
      <w:r w:rsidRPr="006B3905">
        <w:rPr>
          <w:i/>
          <w:iCs/>
        </w:rPr>
        <w:t>CLES</w:t>
      </w:r>
      <w:r w:rsidRPr="006B3905">
        <w:t xml:space="preserve"> = 0.542), but that the GCFR is significantly more species-rich than the SWAFR at the DS-scale (Figure </w:t>
      </w:r>
      <w:r w:rsidR="0057720E" w:rsidRPr="006B3905">
        <w:t>2</w:t>
      </w:r>
      <w:r w:rsidR="00604263" w:rsidRPr="006B3905">
        <w:t>a</w:t>
      </w:r>
      <w:r w:rsidRPr="006B3905">
        <w:t>;</w:t>
      </w:r>
      <w:r w:rsidRPr="006B3905">
        <w:rPr>
          <w:i/>
        </w:rPr>
        <w:t xml:space="preserve"> P</w:t>
      </w:r>
      <w:r w:rsidRPr="006B3905">
        <w:t xml:space="preserve"> = 0.038, </w:t>
      </w:r>
      <w:r w:rsidRPr="006B3905">
        <w:rPr>
          <w:i/>
        </w:rPr>
        <w:t>CLES</w:t>
      </w:r>
      <w:r w:rsidRPr="006B3905">
        <w:t xml:space="preserve"> = 0.658).</w:t>
      </w:r>
    </w:p>
    <w:p w14:paraId="3BE0333B" w14:textId="1B0A7FA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Pr="006B3905">
        <w:t xml:space="preserve"> test, </w:t>
      </w:r>
      <w:r w:rsidRPr="006B3905">
        <w:rPr>
          <w:i/>
        </w:rPr>
        <w:t>P</w:t>
      </w:r>
      <w:r w:rsidRPr="006B3905">
        <w:t xml:space="preserve"> &lt; 0.001; </w:t>
      </w:r>
      <w:r w:rsidRPr="006B3905">
        <w:rPr>
          <w:i/>
          <w:iCs/>
        </w:rPr>
        <w:t>CLES</w:t>
      </w:r>
      <w:r w:rsidRPr="006B3905">
        <w:t xml:space="preserve"> = 0.696). This is also the case at the DS-scale (Figure </w:t>
      </w:r>
      <w:r w:rsidR="003F2156" w:rsidRPr="006B3905">
        <w:t>2d</w:t>
      </w:r>
      <w:r w:rsidR="00FE217D" w:rsidRPr="006B3905">
        <w:t xml:space="preserve">; </w:t>
      </w:r>
      <w:r w:rsidR="00CA131C" w:rsidRPr="006B3905">
        <w:rPr>
          <w:i/>
        </w:rPr>
        <w:t>T</w:t>
      </w:r>
      <w:r w:rsidR="00CA131C" w:rsidRPr="006B3905">
        <w:rPr>
          <w:vertAlign w:val="subscript"/>
        </w:rPr>
        <w:t>QDS</w:t>
      </w:r>
      <w:r w:rsidR="00CA131C" w:rsidRPr="006B3905">
        <w:t>/</w:t>
      </w:r>
      <w:r w:rsidR="00CA131C" w:rsidRPr="006B3905">
        <w:rPr>
          <w:i/>
        </w:rPr>
        <w:t>S</w:t>
      </w:r>
      <w:r w:rsidR="00CA131C" w:rsidRPr="006B3905">
        <w:rPr>
          <w:vertAlign w:val="subscript"/>
        </w:rPr>
        <w:t>HDS</w:t>
      </w:r>
      <w:r w:rsidR="001A29B8" w:rsidRPr="006B3905">
        <w:t>,</w:t>
      </w:r>
      <w:r w:rsidR="00CA131C" w:rsidRPr="006B3905">
        <w:t xml:space="preserve"> </w:t>
      </w:r>
      <w:r w:rsidRPr="006B3905">
        <w:t>GCFR:</w:t>
      </w:r>
      <w:r w:rsidR="00CA131C" w:rsidRPr="006B3905">
        <w:rPr>
          <w:i/>
        </w:rPr>
        <w:t xml:space="preserve"> </w:t>
      </w:r>
      <w:r w:rsidRPr="006B3905">
        <w:t xml:space="preserve">0.55, SWAFR: 0.48; two-sided Mann-Whitney </w:t>
      </w:r>
      <w:r w:rsidRPr="006B3905">
        <w:rPr>
          <w:i/>
        </w:rPr>
        <w:t>U</w:t>
      </w:r>
      <w:r w:rsidRPr="006B3905">
        <w:t xml:space="preserve"> test, </w:t>
      </w:r>
      <w:r w:rsidRPr="006B3905">
        <w:rPr>
          <w:i/>
        </w:rPr>
        <w:t>P</w:t>
      </w:r>
      <w:r w:rsidRPr="006B3905">
        <w:t xml:space="preserve"> = 0.001, </w:t>
      </w:r>
      <w:r w:rsidRPr="006B3905">
        <w:rPr>
          <w:i/>
        </w:rPr>
        <w:t>CLES</w:t>
      </w:r>
      <w:r w:rsidRPr="006B3905">
        <w:t xml:space="preserve"> = 0.741).</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2A689BA" w:rsidR="00AD4DCC" w:rsidRDefault="00AD1230" w:rsidP="008A4E97">
      <w:pPr>
        <w:pStyle w:val="FirstParagraph"/>
      </w:pPr>
      <w:r>
        <w:t xml:space="preserve">With a few exceptions (MAP, NDVI and CEC at the DS-scale; </w:t>
      </w:r>
      <w:r w:rsidR="0031751D">
        <w:t>Figure</w:t>
      </w:r>
      <w:r w:rsidR="005C5EBF">
        <w:t xml:space="preserve"> 3</w:t>
      </w:r>
      <w:r>
        <w:t xml:space="preserve">b,e,f),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w:t>
      </w:r>
      <w:r w:rsidR="0031751D">
        <w:t>Figure</w:t>
      </w:r>
      <w:r w:rsidR="005C5EBF">
        <w:t xml:space="preserve"> 3</w:t>
      </w:r>
      <w:r w:rsidR="00826383" w:rsidRPr="00916B93">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FB4658">
        <w:t xml:space="preserve">, </w:t>
      </w:r>
      <w:r w:rsidR="00FC2A30">
        <w:t>1</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4603A043"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Figure</w:t>
      </w:r>
      <w:r w:rsidR="005C5EBF">
        <w:t xml:space="preserve"> 3</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Figure</w:t>
      </w:r>
      <w:r w:rsidR="005C5EBF">
        <w:t xml:space="preserve"> 3</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FB7B57" w:rsidRDefault="00DD7307" w:rsidP="008A4E97">
      <w:pPr>
        <w:pStyle w:val="Heading2"/>
        <w:spacing w:line="240" w:lineRule="auto"/>
      </w:pPr>
      <w:r>
        <w:lastRenderedPageBreak/>
        <w:t>3.3</w:t>
      </w:r>
      <w:r w:rsidR="00F055C7">
        <w:t>:</w:t>
      </w:r>
      <w:r>
        <w:t xml:space="preserve"> </w:t>
      </w:r>
      <w:r w:rsidR="00D04776">
        <w:t>Environme</w:t>
      </w:r>
      <w:r w:rsidR="00D04776" w:rsidRPr="00FB7B57">
        <w:t>ntal heterogeneity as an explanation of species richness</w:t>
      </w:r>
    </w:p>
    <w:p w14:paraId="13E7AA58" w14:textId="1972E1EA"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 xml:space="preserve">Table </w:t>
      </w:r>
      <w:r w:rsidR="008B0E3F">
        <w:rPr>
          <w:rFonts w:eastAsiaTheme="minorEastAsia"/>
        </w:rPr>
        <w:t>1</w:t>
      </w:r>
      <w:r w:rsidR="00983D13">
        <w:rPr>
          <w:rFonts w:eastAsiaTheme="minorEastAsia"/>
        </w:rPr>
        <w:t xml:space="preserve">b,c; </w:t>
      </w:r>
      <w:r w:rsidR="00B02E73">
        <w:rPr>
          <w:rFonts w:eastAsiaTheme="minorEastAsia"/>
        </w:rPr>
        <w:t xml:space="preserve">Figure </w:t>
      </w:r>
      <w:r w:rsidR="00FF0F3A">
        <w:rPr>
          <w:rFonts w:eastAsiaTheme="minorEastAsia"/>
        </w:rPr>
        <w:t>4</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 xml:space="preserve">Figure </w:t>
      </w:r>
      <w:r w:rsidR="00FF0F3A">
        <w:rPr>
          <w:rFonts w:eastAsiaTheme="minorEastAsia" w:cstheme="majorBidi"/>
        </w:rPr>
        <w:t>4</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50F94F35" w:rsidR="00FC1C62" w:rsidRDefault="00B930DF">
      <w:pPr>
        <w:pStyle w:val="FirstParagraph"/>
      </w:pPr>
      <w:r w:rsidRPr="00866807">
        <w:t>With the exception of</w:t>
      </w:r>
      <w:r w:rsidR="00924C2A">
        <w:t xml:space="preserve"> heterogeneity in</w:t>
      </w:r>
      <w:r w:rsidRPr="00866807">
        <w:t xml:space="preserve"> pH at all spatial scales and </w:t>
      </w:r>
      <w:r w:rsidR="00924C2A">
        <w:t xml:space="preserve">heterogeneity in </w:t>
      </w:r>
      <w:r w:rsidRPr="00866807">
        <w:t xml:space="preserve">elevation at the DS-scale, effects of all heterogeneity predictors retained in the optimal multiple regression models </w:t>
      </w:r>
      <w:r w:rsidR="00350FE5" w:rsidRPr="00866807">
        <w:t>a</w:t>
      </w:r>
      <w:r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64694B">
        <w:t>corrobora</w:t>
      </w:r>
      <w:r w:rsidR="00866807">
        <w:t>te</w:t>
      </w:r>
      <w:r w:rsidR="00F5404A">
        <w:t>s</w:t>
      </w:r>
      <w:r w:rsidR="0064694B">
        <w:t xml:space="preserve"> the</w:t>
      </w:r>
      <w:r w:rsidR="00350FE5">
        <w:t xml:space="preserve"> generally </w:t>
      </w:r>
      <w:r w:rsidR="0090296A">
        <w:t>positive</w:t>
      </w:r>
      <w:r w:rsidR="00350FE5">
        <w:t xml:space="preserve"> influence of heterogeneity on species richness</w:t>
      </w:r>
      <w:r w:rsidR="00684D2A">
        <w:t xml:space="preserve"> (</w:t>
      </w:r>
      <w:r w:rsidR="008538A7">
        <w:t xml:space="preserve">Figure </w:t>
      </w:r>
      <w:r w:rsidR="00977291" w:rsidRPr="00A12A8F">
        <w:t>5</w:t>
      </w:r>
      <w:r w:rsidR="00684D2A" w:rsidRPr="00A12A8F">
        <w:t>)</w:t>
      </w:r>
      <w:r w:rsidR="00350FE5" w:rsidRPr="00A12A8F">
        <w:t xml:space="preserve">. </w:t>
      </w:r>
      <w:r w:rsidR="00A12A8F" w:rsidRPr="00A12A8F">
        <w:t xml:space="preserve">Notably, heterogeneity in </w:t>
      </w:r>
      <w:r w:rsidR="0032574D" w:rsidRPr="00A12A8F">
        <w:t>MAP has the greatest explanatory power in all models (</w:t>
      </w:r>
      <w:r w:rsidR="00D17FCB" w:rsidRPr="00A12A8F">
        <w:t>Table S2</w:t>
      </w:r>
      <w:r w:rsidR="0032574D" w:rsidRPr="00A12A8F">
        <w:t>)</w:t>
      </w:r>
      <w:r w:rsidR="00350FE5" w:rsidRPr="00A12A8F">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w:t>
      </w:r>
      <w:r w:rsidR="008538A7">
        <w:t xml:space="preserve">Figure </w:t>
      </w:r>
      <w:r w:rsidR="00977291">
        <w:t>5</w:t>
      </w:r>
      <w:r w:rsidR="00CA688A">
        <w:t>)</w:t>
      </w:r>
      <w:r w:rsidR="00473F34">
        <w:t xml:space="preserve">. </w:t>
      </w:r>
      <w:r w:rsidR="00473F34" w:rsidRPr="00D92D3C">
        <w:t>However,</w:t>
      </w:r>
      <w:r w:rsidR="003E77D9" w:rsidRPr="00D92D3C">
        <w:t xml:space="preserve"> the coefficients associated with the significant interaction terms</w:t>
      </w:r>
      <w:r w:rsidR="005A7E8B" w:rsidRPr="00D92D3C">
        <w:t xml:space="preserve"> (i.e. the effect in the SWAFR</w:t>
      </w:r>
      <w:r w:rsidR="003E77D9" w:rsidRPr="00D92D3C">
        <w:t xml:space="preserve"> </w:t>
      </w:r>
      <w:r w:rsidR="005A7E8B" w:rsidRPr="00D92D3C">
        <w:t xml:space="preserve">relative to the GCFR) </w:t>
      </w:r>
      <w:r w:rsidR="003E77D9" w:rsidRPr="00D92D3C">
        <w:t xml:space="preserve">are small in </w:t>
      </w:r>
      <w:r w:rsidR="00473F34" w:rsidRPr="00D92D3C">
        <w:t>magnitude</w:t>
      </w:r>
      <w:r w:rsidR="003E77D9" w:rsidRPr="00D92D3C">
        <w:t xml:space="preserve"> at </w:t>
      </w:r>
      <w:r w:rsidR="00473F34" w:rsidRPr="00D92D3C">
        <w:t xml:space="preserve">both </w:t>
      </w:r>
      <w:r w:rsidR="003E77D9" w:rsidRPr="00D92D3C">
        <w:t>the QDS- (54.2 to 65.8</w:t>
      </w:r>
      <w:r w:rsidR="00924C2A" w:rsidRPr="00D92D3C">
        <w:t>; Figure 5a</w:t>
      </w:r>
      <w:r w:rsidR="003E77D9" w:rsidRPr="00D92D3C">
        <w:t>) and HDS-scale</w:t>
      </w:r>
      <w:r w:rsidR="0032574D" w:rsidRPr="00D92D3C">
        <w:t>s</w:t>
      </w:r>
      <w:r w:rsidR="003E77D9" w:rsidRPr="00D92D3C">
        <w:t xml:space="preserve"> (200.8</w:t>
      </w:r>
      <w:r w:rsidR="00924C2A" w:rsidRPr="00D92D3C">
        <w:t xml:space="preserve"> to</w:t>
      </w:r>
      <w:r w:rsidR="003E77D9" w:rsidRPr="00D92D3C">
        <w:t xml:space="preserve"> 210.8</w:t>
      </w:r>
      <w:r w:rsidR="00924C2A" w:rsidRPr="00D92D3C">
        <w:t>; Figure 5b</w:t>
      </w:r>
      <w:r w:rsidR="003E77D9" w:rsidRPr="00D92D3C">
        <w:t>)</w:t>
      </w:r>
      <w:r w:rsidR="00EB3F26" w:rsidRPr="00D92D3C">
        <w:t>,</w:t>
      </w:r>
      <w:r w:rsidR="003E77D9" w:rsidRPr="00D92D3C">
        <w:t xml:space="preserve"> relative</w:t>
      </w:r>
      <w:r w:rsidR="003E77D9">
        <w:t xml:space="preser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5A7E8B">
        <w:t>SWAFR-</w:t>
      </w:r>
      <w:r w:rsidR="00473F34">
        <w:t>coefficients are</w:t>
      </w:r>
      <w:r w:rsidR="0032574D">
        <w:t xml:space="preserve"> </w:t>
      </w:r>
      <w:r w:rsidR="00C96F57">
        <w:t>large (500.0 to 1622.9</w:t>
      </w:r>
      <w:r w:rsidR="005A7E8B">
        <w:t>; Figure 5c</w:t>
      </w:r>
      <w:r w:rsidR="00C96F57">
        <w:t>)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0B6E01">
        <w:t xml:space="preserve">Where the </w:t>
      </w:r>
      <w:r w:rsidR="00230147" w:rsidRPr="000B6E01">
        <w:t xml:space="preserve">significant </w:t>
      </w:r>
      <w:r w:rsidR="00C96F57" w:rsidRPr="000B6E01">
        <w:t>negative coefficients</w:t>
      </w:r>
      <w:r w:rsidR="00230147" w:rsidRPr="000B6E01">
        <w:t xml:space="preserve"> associated with</w:t>
      </w:r>
      <w:r w:rsidR="00C96F57" w:rsidRPr="000B6E01">
        <w:t xml:space="preserve"> surface T and clay heterogeneity </w:t>
      </w:r>
      <w:r w:rsidR="00230147" w:rsidRPr="000B6E01">
        <w:t xml:space="preserve">imply that these variables </w:t>
      </w:r>
      <w:r w:rsidR="00C96F57" w:rsidRPr="000B6E01">
        <w:t xml:space="preserve">exert a greater positive influence on species richness in the GCFR </w:t>
      </w:r>
      <w:r w:rsidR="00230147" w:rsidRPr="000B6E01">
        <w:t>than</w:t>
      </w:r>
      <w:r w:rsidR="00C96F57" w:rsidRPr="000B6E01">
        <w:t xml:space="preserve"> in the SWAFR, the positive coefficients </w:t>
      </w:r>
      <w:r w:rsidR="00230147" w:rsidRPr="000B6E01">
        <w:t xml:space="preserve">associated with </w:t>
      </w:r>
      <w:r w:rsidR="00C84650" w:rsidRPr="000B6E01">
        <w:t xml:space="preserve">the partial effects of heterogeneity in </w:t>
      </w:r>
      <w:r w:rsidR="00230147" w:rsidRPr="000B6E01">
        <w:t>elevation and pH</w:t>
      </w:r>
      <w:r w:rsidR="00FC1C62" w:rsidRPr="000B6E01">
        <w:t xml:space="preserve"> </w:t>
      </w:r>
      <w:r w:rsidR="00230147">
        <w:t>cancel</w:t>
      </w:r>
      <w:r w:rsidR="00C84650">
        <w:t>-out</w:t>
      </w:r>
      <w:r w:rsidR="00230147">
        <w:t xml:space="preserve"> (in the SWAFR) the effects of these variables</w:t>
      </w:r>
      <w:r w:rsidR="00EE7F70">
        <w:t xml:space="preserve"> estimated in the GCFR</w:t>
      </w:r>
      <w:r w:rsidR="00230147">
        <w:t>.</w:t>
      </w:r>
    </w:p>
    <w:p w14:paraId="2C47BF37" w14:textId="56E3044E" w:rsidR="00350FE5" w:rsidRDefault="00E81245">
      <w:pPr>
        <w:pStyle w:val="FirstParagraph"/>
      </w:pPr>
      <w:r>
        <w:t>That the coefficients of determi</w:t>
      </w:r>
      <w:r w:rsidR="006F4CB8">
        <w:t>nation associated with the opti</w:t>
      </w:r>
      <w:r>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21D201B8"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w:t>
      </w:r>
      <w:r w:rsidR="00123A7A">
        <w:lastRenderedPageBreak/>
        <w:t xml:space="preserve">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r w:rsidR="008369E4">
        <w:t xml:space="preserve"> </w:t>
      </w:r>
      <w:r w:rsidR="00807EFC">
        <w:t>Only a</w:t>
      </w:r>
      <w:r w:rsidR="00C502FE">
        <w:t>t DS-scales</w:t>
      </w:r>
      <w:r w:rsidR="00807EFC">
        <w:t xml:space="preserve"> do</w:t>
      </w:r>
      <w:r w:rsidR="00C502FE">
        <w:t xml:space="preserve"> the GCFR and SWAFR </w:t>
      </w:r>
      <w:r w:rsidR="00807EFC">
        <w:t>not have</w:t>
      </w:r>
      <w:r w:rsidR="00C502FE">
        <w:t xml:space="preserve"> significantly </w:t>
      </w:r>
      <w:r w:rsidR="00807EFC">
        <w:t>different</w:t>
      </w:r>
      <w:r w:rsidR="00C502FE">
        <w:t xml:space="preserve"> residual</w:t>
      </w:r>
      <w:r w:rsidR="00A70597">
        <w:t xml:space="preserve"> standard deviations</w:t>
      </w:r>
      <w:r w:rsidR="00807EFC">
        <w:t xml:space="preserve"> (following both the PC1-based ANCOVA and multiple regressions) (Table S3c). This </w:t>
      </w:r>
      <w:r w:rsidR="00DC180F">
        <w:t xml:space="preserve">highlights </w:t>
      </w:r>
      <w:r w:rsidR="000E7F00">
        <w:t xml:space="preserve">that </w:t>
      </w:r>
      <w:r w:rsidR="00DC180F">
        <w:t>the commonal</w:t>
      </w:r>
      <w:r w:rsidR="00B85431">
        <w:t>i</w:t>
      </w:r>
      <w:r w:rsidR="00DC180F">
        <w:t>ty of the richness-heterogeneity relationship</w:t>
      </w:r>
      <w:r w:rsidR="000E7F00">
        <w:t>,</w:t>
      </w:r>
      <w:r w:rsidR="00DC180F">
        <w:t xml:space="preserve"> at broad</w:t>
      </w:r>
      <w:r w:rsidR="000E7F00">
        <w:t>er</w:t>
      </w:r>
      <w:r w:rsidR="00DC180F">
        <w:t xml:space="preserve"> spatial scales</w:t>
      </w:r>
      <w:r w:rsidR="000E7F00">
        <w:t>,</w:t>
      </w:r>
      <w:r w:rsidR="00DC180F">
        <w:t xml:space="preserve"> </w:t>
      </w:r>
      <w:r w:rsidR="000E7F00">
        <w:t>is better recovered after</w:t>
      </w:r>
      <w:r w:rsidR="00DC180F">
        <w:t xml:space="preserve"> the omission of </w:t>
      </w:r>
      <w:r w:rsidR="00A70597">
        <w:t>hotspots</w:t>
      </w:r>
      <w:r w:rsidR="00DC180F">
        <w:t xml:space="preserve">. </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4DDF28D4" w:rsidR="001E1442" w:rsidRDefault="006A4B08" w:rsidP="002C20EB">
      <w:pPr>
        <w:pStyle w:val="BodyText"/>
        <w:tabs>
          <w:tab w:val="left" w:pos="6189"/>
        </w:tabs>
      </w:pPr>
      <w:bookmarkStart w:id="7"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DB42AF">
        <w:t>a</w:t>
      </w:r>
      <w:r w:rsidR="006435FF">
        <w:t>re positive</w:t>
      </w:r>
      <w:r w:rsidR="00333F46">
        <w:t>, and the overall effect of environmental heterogeneity in our ANCOVA results are always positive</w:t>
      </w:r>
      <w:r w:rsidR="006435FF">
        <w:t>.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73A83261"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r w:rsidR="00FD1780">
        <w:fldChar w:fldCharType="begin" w:fldLock="1"/>
      </w:r>
      <w:r w:rsidR="005774DE">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West, Power, Skelton, &amp; Stock, 2014; Hart et al., 2017)","plainTextFormattedCitation":"(Cramer, West, Power, Skelton, &amp; Stock, 2014; Hart et al., 2017)","previouslyFormattedCitation":"(Cramer, West, Power, Skelton, &amp; Stock, 2014; Hart et al., 2017)"},"properties":{"noteIndex":0},"schema":"https://github.com/citation-style-language/schema/raw/master/csl-citation.json"}</w:instrText>
      </w:r>
      <w:r w:rsidR="00FD1780">
        <w:fldChar w:fldCharType="separate"/>
      </w:r>
      <w:r w:rsidR="00FD1780" w:rsidRPr="00FD1780">
        <w:rPr>
          <w:noProof/>
        </w:rPr>
        <w:t>(Cramer, West, Power, Skelton, &amp; Stock, 2014; Hart et al., 2017)</w:t>
      </w:r>
      <w:r w:rsidR="00FD1780">
        <w:fldChar w:fldCharType="end"/>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00414463" w:rsidR="00DE487A" w:rsidRDefault="005F5881" w:rsidP="00E3070E">
      <w:pPr>
        <w:pStyle w:val="BodyText"/>
        <w:tabs>
          <w:tab w:val="left" w:pos="6189"/>
        </w:tabs>
      </w:pPr>
      <w:r>
        <w:lastRenderedPageBreak/>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7051AE84"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3272019E"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61F9A6C9" w:rsidR="005C0E41" w:rsidRDefault="007535ED">
      <w:pPr>
        <w:pStyle w:val="BodyText"/>
        <w:tabs>
          <w:tab w:val="left" w:pos="6189"/>
        </w:tabs>
      </w:pPr>
      <w:r>
        <w:lastRenderedPageBreak/>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14B78C2E"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73EE69CB" w14:textId="00A40044"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w:t>
      </w:r>
      <w:r w:rsidR="00FC3AFE">
        <w:rPr>
          <w:sz w:val="24"/>
          <w:szCs w:val="24"/>
        </w:rPr>
        <w:lastRenderedPageBreak/>
        <w:t xml:space="preserve">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2E4B60" w:rsidR="00DD7CD4" w:rsidRDefault="00D04776">
      <w:pPr>
        <w:pStyle w:val="Heading1"/>
      </w:pPr>
      <w:r w:rsidRPr="008A4E97">
        <w:lastRenderedPageBreak/>
        <w:t>Tables</w:t>
      </w:r>
      <w:bookmarkEnd w:id="7"/>
    </w:p>
    <w:p w14:paraId="71033F34" w14:textId="2371106F"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191C4BE3" w:rsidR="00874A01" w:rsidRPr="0069122B" w:rsidRDefault="00874A01" w:rsidP="00FA753D">
      <w:pPr>
        <w:pStyle w:val="BodyText"/>
        <w:spacing w:before="0"/>
      </w:pPr>
      <w:bookmarkStart w:id="8"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6C199DC2" w14:textId="77777777" w:rsidR="00A15319" w:rsidRDefault="00874A01" w:rsidP="009871CA">
      <w:pPr>
        <w:pStyle w:val="Heading1"/>
      </w:pPr>
      <w:r>
        <w:br w:type="page"/>
      </w:r>
      <w:bookmarkEnd w:id="8"/>
      <w:r w:rsidR="00BE18DF">
        <w:lastRenderedPageBreak/>
        <w:t>Figures</w:t>
      </w:r>
    </w:p>
    <w:p w14:paraId="48AA619F" w14:textId="411DEA62" w:rsidR="009871CA" w:rsidRDefault="00A15319" w:rsidP="00A15319">
      <w:pPr>
        <w:pStyle w:val="BodyText"/>
      </w:pPr>
      <w:r w:rsidRPr="00242181">
        <w:rPr>
          <w:b/>
        </w:rPr>
        <w:t xml:space="preserve">Figure </w:t>
      </w:r>
      <w:r>
        <w:rPr>
          <w:b/>
        </w:rPr>
        <w:t>1 (next  page)</w:t>
      </w:r>
      <w:r w:rsidRPr="00242181">
        <w:rPr>
          <w:b/>
        </w:rPr>
        <w:t>:</w:t>
      </w:r>
      <w:r w:rsidRPr="00EB7331">
        <w:t xml:space="preserve"> </w:t>
      </w:r>
      <w:r>
        <w:t>HDS-scale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the multivariate (MV) model (Figure 5b). Map projection used: WGS84. Colour versions of these maps, and the QDS- and DS-scale equivalents (Figure S9, S10 respectively) are available in the online version.</w:t>
      </w:r>
      <w:r w:rsidR="009871CA" w:rsidRPr="009871CA">
        <w:br w:type="page"/>
      </w:r>
    </w:p>
    <w:p w14:paraId="20434957" w14:textId="0CACB858" w:rsidR="009871CA" w:rsidRDefault="009871CA" w:rsidP="009871CA">
      <w:pPr>
        <w:pStyle w:val="BodyText"/>
      </w:pPr>
      <w:r>
        <w:rPr>
          <w:noProof/>
          <w:lang w:val="en-ZA" w:eastAsia="en-ZA"/>
        </w:rPr>
        <w:lastRenderedPageBreak/>
        <w:drawing>
          <wp:inline distT="0" distB="0" distL="0" distR="0" wp14:anchorId="5C57E124" wp14:editId="32650A74">
            <wp:extent cx="5145000" cy="8819999"/>
            <wp:effectExtent l="0" t="0" r="0" b="63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br w:type="page"/>
      </w:r>
    </w:p>
    <w:p w14:paraId="50615E54" w14:textId="15A62486" w:rsidR="009871CA" w:rsidRPr="002C20EB" w:rsidRDefault="009871CA" w:rsidP="009871CA">
      <w:pPr>
        <w:pStyle w:val="BodyText"/>
      </w:pPr>
    </w:p>
    <w:p w14:paraId="6D0ABDE1" w14:textId="77777777" w:rsidR="00D04776" w:rsidRDefault="00D04776" w:rsidP="0018462C">
      <w:pPr>
        <w:pStyle w:val="CaptionedFigure"/>
        <w:spacing w:line="240" w:lineRule="auto"/>
      </w:pPr>
      <w:r>
        <w:rPr>
          <w:noProof/>
          <w:lang w:val="en-ZA" w:eastAsia="en-ZA"/>
        </w:rPr>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466562C1" w14:textId="77777777" w:rsidR="009871CA"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r w:rsidR="009871CA">
        <w:rPr>
          <w:noProof/>
          <w:lang w:val="en-ZA" w:eastAsia="en-ZA"/>
        </w:rPr>
        <w:lastRenderedPageBreak/>
        <w:drawing>
          <wp:inline distT="0" distB="0" distL="0" distR="0" wp14:anchorId="6A871A30" wp14:editId="6869EA32">
            <wp:extent cx="6840000" cy="3908571"/>
            <wp:effectExtent l="0" t="0" r="0" b="0"/>
            <wp:docPr id="1" name="Picture"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0EEFCC4" w14:textId="6E3EE585" w:rsidR="009871CA"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Following simple linear regressions of </w:t>
      </w:r>
      <w:r w:rsidRPr="00EC572B">
        <w:rPr>
          <w:i/>
        </w:rPr>
        <w:t>CLES</w:t>
      </w:r>
      <w:r w:rsidRPr="006A6996">
        <w:t xml:space="preserve"> against scale, </w:t>
      </w:r>
      <w:r w:rsidRPr="00503D20">
        <w:t>we found some evidence for</w:t>
      </w:r>
      <w:r>
        <w:t xml:space="preserve"> </w:t>
      </w:r>
      <w:r w:rsidRPr="00503D20">
        <w:t xml:space="preserve">relationships (depicted by lines) for MAP (slope = –0.157; </w:t>
      </w:r>
      <w:r w:rsidRPr="00503D20">
        <w:rPr>
          <w:i/>
        </w:rPr>
        <w:t>P</w:t>
      </w:r>
      <w:r w:rsidRPr="00503D20">
        <w:t xml:space="preserve"> = 0.098), NDVI (slope = 0.116; </w:t>
      </w:r>
      <w:r w:rsidRPr="00503D20">
        <w:rPr>
          <w:i/>
        </w:rPr>
        <w:t>P</w:t>
      </w:r>
      <w:r w:rsidRPr="00503D20">
        <w:t xml:space="preserve"> &lt; 0.001)</w:t>
      </w:r>
      <w:r>
        <w:t xml:space="preserve"> and </w:t>
      </w:r>
      <w:r w:rsidRPr="00AF21A3">
        <w:t>Clay</w:t>
      </w:r>
      <w:r>
        <w:t xml:space="preserve"> (slope = </w:t>
      </w:r>
      <w:r w:rsidRPr="00AF21A3">
        <w:t>0.158</w:t>
      </w:r>
      <w:r>
        <w:t xml:space="preserve">, </w:t>
      </w:r>
      <w:r w:rsidRPr="00AF21A3">
        <w:rPr>
          <w:i/>
        </w:rPr>
        <w:t>P</w:t>
      </w:r>
      <w:r>
        <w:t xml:space="preserve"> = </w:t>
      </w:r>
      <w:r w:rsidRPr="00AF21A3">
        <w:t>0.037</w:t>
      </w:r>
      <w:r>
        <w:t>)</w:t>
      </w:r>
      <w:r w:rsidRPr="006A6996">
        <w:t>. Abbreviations are as in Table</w:t>
      </w:r>
      <w:r>
        <w:t xml:space="preserve"> 1</w:t>
      </w:r>
      <w:r w:rsidRPr="006A6996">
        <w:t>.</w:t>
      </w:r>
      <w:r>
        <w:br w:type="page"/>
      </w:r>
    </w:p>
    <w:p w14:paraId="75739017" w14:textId="7B63BB26" w:rsidR="00D04776" w:rsidRDefault="00D04776" w:rsidP="009871CA">
      <w:pPr>
        <w:pStyle w:val="ImageCaption"/>
        <w:spacing w:line="240" w:lineRule="auto"/>
      </w:pPr>
    </w:p>
    <w:p w14:paraId="6D6BB07F" w14:textId="77777777" w:rsidR="00D04776" w:rsidRDefault="00D04776" w:rsidP="0018462C">
      <w:pPr>
        <w:pStyle w:val="CaptionedFigure"/>
        <w:spacing w:line="240" w:lineRule="auto"/>
      </w:pPr>
      <w:r>
        <w:rPr>
          <w:noProof/>
          <w:lang w:val="en-ZA" w:eastAsia="en-ZA"/>
        </w:rPr>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2C9B6603" w:rsidR="00D04776" w:rsidRDefault="00B02E73" w:rsidP="008B688E">
      <w:pPr>
        <w:pStyle w:val="ImageCaption"/>
        <w:spacing w:line="240" w:lineRule="auto"/>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8B0E3F">
        <w:t>1</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D04776">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21B79E9D" w:rsidR="00762256" w:rsidRDefault="008538A7" w:rsidP="00A9751F">
      <w:pPr>
        <w:pStyle w:val="ImageCaption"/>
        <w:spacing w:line="240" w:lineRule="auto"/>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 hotpots </w:t>
      </w:r>
      <w:r w:rsidR="00585277">
        <w:t>we</w:t>
      </w:r>
      <w:r w:rsidR="00E7325B">
        <w:t>re excluded is available in the online version (</w:t>
      </w:r>
      <w:r w:rsidR="00200FEE">
        <w:t xml:space="preserve">Figure </w:t>
      </w:r>
      <w:r w:rsidR="008C771A">
        <w:t>S8</w:t>
      </w:r>
      <w:r w:rsidR="00E7325B">
        <w:t>).</w:t>
      </w:r>
      <w:r w:rsidR="00F614B4">
        <w:br w:type="page"/>
      </w:r>
      <w:bookmarkStart w:id="9" w:name="references"/>
    </w:p>
    <w:p w14:paraId="779CFF39" w14:textId="77777777" w:rsidR="000878A3" w:rsidRDefault="009E59E0" w:rsidP="000878A3">
      <w:pPr>
        <w:pStyle w:val="Heading1"/>
        <w:spacing w:line="240" w:lineRule="auto"/>
      </w:pPr>
      <w:r w:rsidRPr="009E59E0">
        <w:lastRenderedPageBreak/>
        <w:t>Data availability statement</w:t>
      </w:r>
    </w:p>
    <w:p w14:paraId="6743CDCE" w14:textId="64879AD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C2037C">
        <w:t>are available in the DRYAD Digital Repository</w:t>
      </w:r>
      <w:r w:rsidR="00C2037C" w:rsidRPr="00C2037C">
        <w:t>:</w:t>
      </w:r>
      <w:r w:rsidRPr="00C2037C">
        <w:t xml:space="preserve"> </w:t>
      </w:r>
      <w:r w:rsidR="00C2037C" w:rsidRPr="00C2037C">
        <w:t>[</w:t>
      </w:r>
      <w:r w:rsidRPr="00C2037C">
        <w:rPr>
          <w:highlight w:val="yellow"/>
        </w:rPr>
        <w:t>UR</w:t>
      </w:r>
      <w:r w:rsidR="00C2037C" w:rsidRPr="00C2037C">
        <w:rPr>
          <w:highlight w:val="yellow"/>
        </w:rPr>
        <w:t>L</w:t>
      </w:r>
      <w:r w:rsidR="00C2037C">
        <w:t>]</w:t>
      </w:r>
      <w:r>
        <w:t xml:space="preserve">. The </w:t>
      </w:r>
      <w:r w:rsidR="00A56EBA">
        <w:t xml:space="preserve">raw </w:t>
      </w:r>
      <w:r>
        <w:t xml:space="preserve">plant occurrence records are available from GBIF (GCFR: </w:t>
      </w:r>
      <w:hyperlink r:id="rId14" w:history="1">
        <w:r w:rsidR="00A56EBA" w:rsidRPr="000F1325">
          <w:rPr>
            <w:rStyle w:val="Hyperlink"/>
          </w:rPr>
          <w:t>https://doi.org/10.15468/dl.n6u6n0</w:t>
        </w:r>
      </w:hyperlink>
      <w:r>
        <w:t xml:space="preserve">; SWAFR: </w:t>
      </w:r>
      <w:hyperlink r:id="rId15" w:history="1">
        <w:r w:rsidR="00930D80" w:rsidRPr="000F1325">
          <w:rPr>
            <w:rStyle w:val="Hyperlink"/>
          </w:rPr>
          <w:t>https://doi.org/10.15468/dl.46okua</w:t>
        </w:r>
      </w:hyperlink>
      <w:r>
        <w:t>).</w:t>
      </w:r>
    </w:p>
    <w:p w14:paraId="3FB275CB" w14:textId="782BA677" w:rsidR="00DD2348" w:rsidRDefault="005F0FFB" w:rsidP="0018462C">
      <w:pPr>
        <w:pStyle w:val="Heading1"/>
      </w:pPr>
      <w:r w:rsidRPr="002C20EB">
        <w:t>References</w:t>
      </w:r>
      <w:bookmarkEnd w:id="9"/>
    </w:p>
    <w:p w14:paraId="5B08D258" w14:textId="7F8EB39A" w:rsidR="00905356" w:rsidRPr="00905356" w:rsidRDefault="008E0DFC" w:rsidP="00905356">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905356" w:rsidRPr="00905356">
        <w:rPr>
          <w:rFonts w:hAnsi="Times New Roman" w:cs="Times New Roman"/>
          <w:noProof/>
        </w:rPr>
        <w:t xml:space="preserve">Ackerly, D. D. (2009). Evolution, origin and age of lineages in the Californian and Mediterranean floras. </w:t>
      </w:r>
      <w:r w:rsidR="00905356" w:rsidRPr="00905356">
        <w:rPr>
          <w:rFonts w:hAnsi="Times New Roman" w:cs="Times New Roman"/>
          <w:i/>
          <w:iCs/>
          <w:noProof/>
        </w:rPr>
        <w:t>Journal of Biogeography</w:t>
      </w:r>
      <w:r w:rsidR="00905356" w:rsidRPr="00905356">
        <w:rPr>
          <w:rFonts w:hAnsi="Times New Roman" w:cs="Times New Roman"/>
          <w:noProof/>
        </w:rPr>
        <w:t xml:space="preserve">, </w:t>
      </w:r>
      <w:r w:rsidR="00905356" w:rsidRPr="00905356">
        <w:rPr>
          <w:rFonts w:hAnsi="Times New Roman" w:cs="Times New Roman"/>
          <w:i/>
          <w:iCs/>
          <w:noProof/>
        </w:rPr>
        <w:t>36</w:t>
      </w:r>
      <w:r w:rsidR="00905356" w:rsidRPr="00905356">
        <w:rPr>
          <w:rFonts w:hAnsi="Times New Roman" w:cs="Times New Roman"/>
          <w:noProof/>
        </w:rPr>
        <w:t>(7), 1221–1233. https://doi.org/10.1111/j.1365-2699.2009.02097.x</w:t>
      </w:r>
    </w:p>
    <w:p w14:paraId="7C7A58D3"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Allouche, O., Kalyuzhny, M., Moreno-Rueda, G., Pizarro, M., &amp; Kadmon, R. (2012). Area-heterogeneity tradeoff and the diversity of ecological communities. </w:t>
      </w:r>
      <w:r w:rsidRPr="00905356">
        <w:rPr>
          <w:rFonts w:hAnsi="Times New Roman" w:cs="Times New Roman"/>
          <w:i/>
          <w:iCs/>
          <w:noProof/>
        </w:rPr>
        <w:t>Proceedings of the National Academy of Sciences</w:t>
      </w:r>
      <w:r w:rsidRPr="00905356">
        <w:rPr>
          <w:rFonts w:hAnsi="Times New Roman" w:cs="Times New Roman"/>
          <w:noProof/>
        </w:rPr>
        <w:t xml:space="preserve">, </w:t>
      </w:r>
      <w:r w:rsidRPr="00905356">
        <w:rPr>
          <w:rFonts w:hAnsi="Times New Roman" w:cs="Times New Roman"/>
          <w:i/>
          <w:iCs/>
          <w:noProof/>
        </w:rPr>
        <w:t>109</w:t>
      </w:r>
      <w:r w:rsidRPr="00905356">
        <w:rPr>
          <w:rFonts w:hAnsi="Times New Roman" w:cs="Times New Roman"/>
          <w:noProof/>
        </w:rPr>
        <w:t>(43), 17495–17500.</w:t>
      </w:r>
    </w:p>
    <w:p w14:paraId="7CAE9534"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905356">
        <w:rPr>
          <w:rFonts w:hAnsi="Times New Roman" w:cs="Times New Roman"/>
          <w:i/>
          <w:iCs/>
          <w:noProof/>
        </w:rPr>
        <w:t>Hydrological Processes</w:t>
      </w:r>
      <w:r w:rsidRPr="00905356">
        <w:rPr>
          <w:rFonts w:hAnsi="Times New Roman" w:cs="Times New Roman"/>
          <w:noProof/>
        </w:rPr>
        <w:t xml:space="preserve">, </w:t>
      </w:r>
      <w:r w:rsidRPr="00905356">
        <w:rPr>
          <w:rFonts w:hAnsi="Times New Roman" w:cs="Times New Roman"/>
          <w:i/>
          <w:iCs/>
          <w:noProof/>
        </w:rPr>
        <w:t>28</w:t>
      </w:r>
      <w:r w:rsidRPr="00905356">
        <w:rPr>
          <w:rFonts w:hAnsi="Times New Roman" w:cs="Times New Roman"/>
          <w:noProof/>
        </w:rPr>
        <w:t>(22), 5513–5529.</w:t>
      </w:r>
    </w:p>
    <w:p w14:paraId="509EE426"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Beard, J. S., Chapman, A. R., &amp; Gioia, P. (2000). Species richness and endemism in the Western Australian flora. </w:t>
      </w:r>
      <w:r w:rsidRPr="00905356">
        <w:rPr>
          <w:rFonts w:hAnsi="Times New Roman" w:cs="Times New Roman"/>
          <w:i/>
          <w:iCs/>
          <w:noProof/>
        </w:rPr>
        <w:t>Journal of Biogeography</w:t>
      </w:r>
      <w:r w:rsidRPr="00905356">
        <w:rPr>
          <w:rFonts w:hAnsi="Times New Roman" w:cs="Times New Roman"/>
          <w:noProof/>
        </w:rPr>
        <w:t xml:space="preserve">, </w:t>
      </w:r>
      <w:r w:rsidRPr="00905356">
        <w:rPr>
          <w:rFonts w:hAnsi="Times New Roman" w:cs="Times New Roman"/>
          <w:i/>
          <w:iCs/>
          <w:noProof/>
        </w:rPr>
        <w:t>27</w:t>
      </w:r>
      <w:r w:rsidRPr="00905356">
        <w:rPr>
          <w:rFonts w:hAnsi="Times New Roman" w:cs="Times New Roman"/>
          <w:noProof/>
        </w:rPr>
        <w:t>(6), 1257–1268. https://doi.org/10.1046/j.1365-2699.2000.00509.x</w:t>
      </w:r>
    </w:p>
    <w:p w14:paraId="7AA3742C"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Belda, M., Holtanová, E., Halenka, T., &amp; Kalvová, J. (2014). Climate classification revisited: from Köppen to Trewartha. </w:t>
      </w:r>
      <w:r w:rsidRPr="00905356">
        <w:rPr>
          <w:rFonts w:hAnsi="Times New Roman" w:cs="Times New Roman"/>
          <w:i/>
          <w:iCs/>
          <w:noProof/>
        </w:rPr>
        <w:t>Climate Research</w:t>
      </w:r>
      <w:r w:rsidRPr="00905356">
        <w:rPr>
          <w:rFonts w:hAnsi="Times New Roman" w:cs="Times New Roman"/>
          <w:noProof/>
        </w:rPr>
        <w:t xml:space="preserve">, </w:t>
      </w:r>
      <w:r w:rsidRPr="00905356">
        <w:rPr>
          <w:rFonts w:hAnsi="Times New Roman" w:cs="Times New Roman"/>
          <w:i/>
          <w:iCs/>
          <w:noProof/>
        </w:rPr>
        <w:t>59</w:t>
      </w:r>
      <w:r w:rsidRPr="00905356">
        <w:rPr>
          <w:rFonts w:hAnsi="Times New Roman" w:cs="Times New Roman"/>
          <w:noProof/>
        </w:rPr>
        <w:t>(1), 1–13.</w:t>
      </w:r>
    </w:p>
    <w:p w14:paraId="6BACAB2D"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Bergh, N. G., &amp; Linder, H. P. (2009). Cape diversification and repeated out-of-southern-Africa dispersal in paper daisies (Asteraceae--Gnaphalieae). </w:t>
      </w:r>
      <w:r w:rsidRPr="00905356">
        <w:rPr>
          <w:rFonts w:hAnsi="Times New Roman" w:cs="Times New Roman"/>
          <w:i/>
          <w:iCs/>
          <w:noProof/>
        </w:rPr>
        <w:t>Molecular Phylogenetics and Evolution</w:t>
      </w:r>
      <w:r w:rsidRPr="00905356">
        <w:rPr>
          <w:rFonts w:hAnsi="Times New Roman" w:cs="Times New Roman"/>
          <w:noProof/>
        </w:rPr>
        <w:t xml:space="preserve">, </w:t>
      </w:r>
      <w:r w:rsidRPr="00905356">
        <w:rPr>
          <w:rFonts w:hAnsi="Times New Roman" w:cs="Times New Roman"/>
          <w:i/>
          <w:iCs/>
          <w:noProof/>
        </w:rPr>
        <w:t>51</w:t>
      </w:r>
      <w:r w:rsidRPr="00905356">
        <w:rPr>
          <w:rFonts w:hAnsi="Times New Roman" w:cs="Times New Roman"/>
          <w:noProof/>
        </w:rPr>
        <w:t>(1), 5–18.</w:t>
      </w:r>
    </w:p>
    <w:p w14:paraId="5A2FCC77"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Bivand, R., Keitt, T., &amp; Rowlingson, B. (2017). rgdal: Bindings for the Geospatial Data Abstraction Library. R package version 1.2-7. Retrieved from https://cran.r-project.org/package=rgdal</w:t>
      </w:r>
    </w:p>
    <w:p w14:paraId="76C3D974"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Bøhn, T., &amp; Amundsen, P.-A. (2004). Ecological interactions and evolution: forgotten parts of biodiversity? </w:t>
      </w:r>
      <w:r w:rsidRPr="00905356">
        <w:rPr>
          <w:rFonts w:hAnsi="Times New Roman" w:cs="Times New Roman"/>
          <w:i/>
          <w:iCs/>
          <w:noProof/>
        </w:rPr>
        <w:t>BioScience</w:t>
      </w:r>
      <w:r w:rsidRPr="00905356">
        <w:rPr>
          <w:rFonts w:hAnsi="Times New Roman" w:cs="Times New Roman"/>
          <w:noProof/>
        </w:rPr>
        <w:t xml:space="preserve">, </w:t>
      </w:r>
      <w:r w:rsidRPr="00905356">
        <w:rPr>
          <w:rFonts w:hAnsi="Times New Roman" w:cs="Times New Roman"/>
          <w:i/>
          <w:iCs/>
          <w:noProof/>
        </w:rPr>
        <w:t>54</w:t>
      </w:r>
      <w:r w:rsidRPr="00905356">
        <w:rPr>
          <w:rFonts w:hAnsi="Times New Roman" w:cs="Times New Roman"/>
          <w:noProof/>
        </w:rPr>
        <w:t>(9), 804–805.</w:t>
      </w:r>
    </w:p>
    <w:p w14:paraId="527A2A61"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Born, J., Linder, H. P., &amp; Desmet, P. (2007). The Greater Cape Floristic Region. </w:t>
      </w:r>
      <w:r w:rsidRPr="00905356">
        <w:rPr>
          <w:rFonts w:hAnsi="Times New Roman" w:cs="Times New Roman"/>
          <w:i/>
          <w:iCs/>
          <w:noProof/>
        </w:rPr>
        <w:t>Journal of Biogeography</w:t>
      </w:r>
      <w:r w:rsidRPr="00905356">
        <w:rPr>
          <w:rFonts w:hAnsi="Times New Roman" w:cs="Times New Roman"/>
          <w:noProof/>
        </w:rPr>
        <w:t xml:space="preserve">, </w:t>
      </w:r>
      <w:r w:rsidRPr="00905356">
        <w:rPr>
          <w:rFonts w:hAnsi="Times New Roman" w:cs="Times New Roman"/>
          <w:i/>
          <w:iCs/>
          <w:noProof/>
        </w:rPr>
        <w:t>34</w:t>
      </w:r>
      <w:r w:rsidRPr="00905356">
        <w:rPr>
          <w:rFonts w:hAnsi="Times New Roman" w:cs="Times New Roman"/>
          <w:noProof/>
        </w:rPr>
        <w:t>(1), 147–162. https://doi.org/10.1111/j.1365-2699.2006.01595.x</w:t>
      </w:r>
    </w:p>
    <w:p w14:paraId="33B8B32A"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Born, Julia, &amp; Linder, H. P. (2018). Water availability, fundamental niches and realized niches: A case study from the Cape flora. </w:t>
      </w:r>
      <w:r w:rsidRPr="00905356">
        <w:rPr>
          <w:rFonts w:hAnsi="Times New Roman" w:cs="Times New Roman"/>
          <w:i/>
          <w:iCs/>
          <w:noProof/>
        </w:rPr>
        <w:t>Austral Ecology</w:t>
      </w:r>
      <w:r w:rsidRPr="00905356">
        <w:rPr>
          <w:rFonts w:hAnsi="Times New Roman" w:cs="Times New Roman"/>
          <w:noProof/>
        </w:rPr>
        <w:t xml:space="preserve">, </w:t>
      </w:r>
      <w:r w:rsidRPr="00905356">
        <w:rPr>
          <w:rFonts w:hAnsi="Times New Roman" w:cs="Times New Roman"/>
          <w:i/>
          <w:iCs/>
          <w:noProof/>
        </w:rPr>
        <w:t>43</w:t>
      </w:r>
      <w:r w:rsidRPr="00905356">
        <w:rPr>
          <w:rFonts w:hAnsi="Times New Roman" w:cs="Times New Roman"/>
          <w:noProof/>
        </w:rPr>
        <w:t>(6), 696–705. https://doi.org/10.1111/aec.12616</w:t>
      </w:r>
    </w:p>
    <w:p w14:paraId="4FBE29A0"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Bradshaw, P. L., &amp; Cowling, R. M. (2014). Landscapes, rock types, and climate of the Greater Cape Floristic Region. In N. Allsopp, J. F. Colville, &amp; G. A. Verboom (Eds.), </w:t>
      </w:r>
      <w:r w:rsidRPr="00905356">
        <w:rPr>
          <w:rFonts w:hAnsi="Times New Roman" w:cs="Times New Roman"/>
          <w:i/>
          <w:iCs/>
          <w:noProof/>
        </w:rPr>
        <w:t>Fynbos: Ecology, Evolution and Conservation of a Megadiverse Region</w:t>
      </w:r>
      <w:r w:rsidRPr="00905356">
        <w:rPr>
          <w:rFonts w:hAnsi="Times New Roman" w:cs="Times New Roman"/>
          <w:noProof/>
        </w:rPr>
        <w:t xml:space="preserve"> (pp. 26–46). Oxford: Oxford University Press. https://doi.org/oso/9780199679584.003.0002</w:t>
      </w:r>
    </w:p>
    <w:p w14:paraId="4D4FB105"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lastRenderedPageBreak/>
        <w:t xml:space="preserve">Byrne, M. (2008). Evidence for multiple refugia at different time scales during Pleistocene climatic oscillations in southern Australia inferred from phylogeography. </w:t>
      </w:r>
      <w:r w:rsidRPr="00905356">
        <w:rPr>
          <w:rFonts w:hAnsi="Times New Roman" w:cs="Times New Roman"/>
          <w:i/>
          <w:iCs/>
          <w:noProof/>
        </w:rPr>
        <w:t>Quaternary Science Reviews</w:t>
      </w:r>
      <w:r w:rsidRPr="00905356">
        <w:rPr>
          <w:rFonts w:hAnsi="Times New Roman" w:cs="Times New Roman"/>
          <w:noProof/>
        </w:rPr>
        <w:t xml:space="preserve">, </w:t>
      </w:r>
      <w:r w:rsidRPr="00905356">
        <w:rPr>
          <w:rFonts w:hAnsi="Times New Roman" w:cs="Times New Roman"/>
          <w:i/>
          <w:iCs/>
          <w:noProof/>
        </w:rPr>
        <w:t>27</w:t>
      </w:r>
      <w:r w:rsidRPr="00905356">
        <w:rPr>
          <w:rFonts w:hAnsi="Times New Roman" w:cs="Times New Roman"/>
          <w:noProof/>
        </w:rPr>
        <w:t>(27–28), 2576–2585. https://doi.org/10.1016/j.quascirev.2008.08.032</w:t>
      </w:r>
    </w:p>
    <w:p w14:paraId="0546FB1D"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Byrne, M., &amp; Hines, B. (2004). Phylogeographical analysis of cpDNA variation in Eucalyptus loxophleba (Myrtaceae). </w:t>
      </w:r>
      <w:r w:rsidRPr="00905356">
        <w:rPr>
          <w:rFonts w:hAnsi="Times New Roman" w:cs="Times New Roman"/>
          <w:i/>
          <w:iCs/>
          <w:noProof/>
        </w:rPr>
        <w:t>Australian Journal of Botany</w:t>
      </w:r>
      <w:r w:rsidRPr="00905356">
        <w:rPr>
          <w:rFonts w:hAnsi="Times New Roman" w:cs="Times New Roman"/>
          <w:noProof/>
        </w:rPr>
        <w:t xml:space="preserve">, </w:t>
      </w:r>
      <w:r w:rsidRPr="00905356">
        <w:rPr>
          <w:rFonts w:hAnsi="Times New Roman" w:cs="Times New Roman"/>
          <w:i/>
          <w:iCs/>
          <w:noProof/>
        </w:rPr>
        <w:t>52</w:t>
      </w:r>
      <w:r w:rsidRPr="00905356">
        <w:rPr>
          <w:rFonts w:hAnsi="Times New Roman" w:cs="Times New Roman"/>
          <w:noProof/>
        </w:rPr>
        <w:t>(4), 459–470.</w:t>
      </w:r>
    </w:p>
    <w:p w14:paraId="0F1C4967"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Carnicer, J., Brotons, L., Herrando, S., &amp; Sol, D. (2013). Improved empirical tests of area-heterogeneity tradeoffs. </w:t>
      </w:r>
      <w:r w:rsidRPr="00905356">
        <w:rPr>
          <w:rFonts w:hAnsi="Times New Roman" w:cs="Times New Roman"/>
          <w:i/>
          <w:iCs/>
          <w:noProof/>
        </w:rPr>
        <w:t>Proceedings of the National Academy of Sciences</w:t>
      </w:r>
      <w:r w:rsidRPr="00905356">
        <w:rPr>
          <w:rFonts w:hAnsi="Times New Roman" w:cs="Times New Roman"/>
          <w:noProof/>
        </w:rPr>
        <w:t xml:space="preserve">, </w:t>
      </w:r>
      <w:r w:rsidRPr="00905356">
        <w:rPr>
          <w:rFonts w:hAnsi="Times New Roman" w:cs="Times New Roman"/>
          <w:i/>
          <w:iCs/>
          <w:noProof/>
        </w:rPr>
        <w:t>110</w:t>
      </w:r>
      <w:r w:rsidRPr="00905356">
        <w:rPr>
          <w:rFonts w:hAnsi="Times New Roman" w:cs="Times New Roman"/>
          <w:noProof/>
        </w:rPr>
        <w:t>(31), E2858--E2860.</w:t>
      </w:r>
    </w:p>
    <w:p w14:paraId="4B389AEE"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559C843C"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Chao, A., &amp; Jost, L. (2012). Coverage-based rarefaction and extrapolation: standardizing samples by completeness rather than size. </w:t>
      </w:r>
      <w:r w:rsidRPr="00905356">
        <w:rPr>
          <w:rFonts w:hAnsi="Times New Roman" w:cs="Times New Roman"/>
          <w:i/>
          <w:iCs/>
          <w:noProof/>
        </w:rPr>
        <w:t>Ecology</w:t>
      </w:r>
      <w:r w:rsidRPr="00905356">
        <w:rPr>
          <w:rFonts w:hAnsi="Times New Roman" w:cs="Times New Roman"/>
          <w:noProof/>
        </w:rPr>
        <w:t xml:space="preserve">, </w:t>
      </w:r>
      <w:r w:rsidRPr="00905356">
        <w:rPr>
          <w:rFonts w:hAnsi="Times New Roman" w:cs="Times New Roman"/>
          <w:i/>
          <w:iCs/>
          <w:noProof/>
        </w:rPr>
        <w:t>93</w:t>
      </w:r>
      <w:r w:rsidRPr="00905356">
        <w:rPr>
          <w:rFonts w:hAnsi="Times New Roman" w:cs="Times New Roman"/>
          <w:noProof/>
        </w:rPr>
        <w:t>(12), 2533–2547.</w:t>
      </w:r>
    </w:p>
    <w:p w14:paraId="7089E196"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Cowling, R. M., &amp; Lombard, A. T. (2002). Heterogeneity, speciation/extinction history and climate: explaining regional plant diversity patterns in the Cape Floristic Region. </w:t>
      </w:r>
      <w:r w:rsidRPr="00905356">
        <w:rPr>
          <w:rFonts w:hAnsi="Times New Roman" w:cs="Times New Roman"/>
          <w:i/>
          <w:iCs/>
          <w:noProof/>
        </w:rPr>
        <w:t>Diversity and Distributions</w:t>
      </w:r>
      <w:r w:rsidRPr="00905356">
        <w:rPr>
          <w:rFonts w:hAnsi="Times New Roman" w:cs="Times New Roman"/>
          <w:noProof/>
        </w:rPr>
        <w:t xml:space="preserve">, </w:t>
      </w:r>
      <w:r w:rsidRPr="00905356">
        <w:rPr>
          <w:rFonts w:hAnsi="Times New Roman" w:cs="Times New Roman"/>
          <w:i/>
          <w:iCs/>
          <w:noProof/>
        </w:rPr>
        <w:t>8</w:t>
      </w:r>
      <w:r w:rsidRPr="00905356">
        <w:rPr>
          <w:rFonts w:hAnsi="Times New Roman" w:cs="Times New Roman"/>
          <w:noProof/>
        </w:rPr>
        <w:t>(3), 163–179.</w:t>
      </w:r>
    </w:p>
    <w:p w14:paraId="74A037FE"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905356">
        <w:rPr>
          <w:rFonts w:hAnsi="Times New Roman" w:cs="Times New Roman"/>
          <w:i/>
          <w:iCs/>
          <w:noProof/>
        </w:rPr>
        <w:t>Journal of Biogeography</w:t>
      </w:r>
      <w:r w:rsidRPr="00905356">
        <w:rPr>
          <w:rFonts w:hAnsi="Times New Roman" w:cs="Times New Roman"/>
          <w:noProof/>
        </w:rPr>
        <w:t xml:space="preserve">, </w:t>
      </w:r>
      <w:r w:rsidRPr="00905356">
        <w:rPr>
          <w:rFonts w:hAnsi="Times New Roman" w:cs="Times New Roman"/>
          <w:i/>
          <w:iCs/>
          <w:noProof/>
        </w:rPr>
        <w:t>21</w:t>
      </w:r>
      <w:r w:rsidRPr="00905356">
        <w:rPr>
          <w:rFonts w:hAnsi="Times New Roman" w:cs="Times New Roman"/>
          <w:noProof/>
        </w:rPr>
        <w:t>(6), 651. https://doi.org/10.2307/2846038</w:t>
      </w:r>
    </w:p>
    <w:p w14:paraId="4190F8E5"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905356">
        <w:rPr>
          <w:rFonts w:hAnsi="Times New Roman" w:cs="Times New Roman"/>
          <w:i/>
          <w:iCs/>
          <w:noProof/>
        </w:rPr>
        <w:t>Journal of Biogeography</w:t>
      </w:r>
      <w:r w:rsidRPr="00905356">
        <w:rPr>
          <w:rFonts w:hAnsi="Times New Roman" w:cs="Times New Roman"/>
          <w:noProof/>
        </w:rPr>
        <w:t xml:space="preserve">, </w:t>
      </w:r>
      <w:r w:rsidRPr="00905356">
        <w:rPr>
          <w:rFonts w:hAnsi="Times New Roman" w:cs="Times New Roman"/>
          <w:i/>
          <w:iCs/>
          <w:noProof/>
        </w:rPr>
        <w:t>42</w:t>
      </w:r>
      <w:r w:rsidRPr="00905356">
        <w:rPr>
          <w:rFonts w:hAnsi="Times New Roman" w:cs="Times New Roman"/>
          <w:noProof/>
        </w:rPr>
        <w:t>(3), 552–564. https://doi.org/10.1111/jbi.12429</w:t>
      </w:r>
    </w:p>
    <w:p w14:paraId="71A93923"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Cowling, Richard M., Rundel, P. W., Lamont, B. B., Arroyo, M. K., &amp; Arianoutsou, M. (1996). Plant diversity in mediterranean-climate regions. </w:t>
      </w:r>
      <w:r w:rsidRPr="00905356">
        <w:rPr>
          <w:rFonts w:hAnsi="Times New Roman" w:cs="Times New Roman"/>
          <w:i/>
          <w:iCs/>
          <w:noProof/>
        </w:rPr>
        <w:t>Trends in Ecology and Evolution</w:t>
      </w:r>
      <w:r w:rsidRPr="00905356">
        <w:rPr>
          <w:rFonts w:hAnsi="Times New Roman" w:cs="Times New Roman"/>
          <w:noProof/>
        </w:rPr>
        <w:t xml:space="preserve">, </w:t>
      </w:r>
      <w:r w:rsidRPr="00905356">
        <w:rPr>
          <w:rFonts w:hAnsi="Times New Roman" w:cs="Times New Roman"/>
          <w:i/>
          <w:iCs/>
          <w:noProof/>
        </w:rPr>
        <w:t>11</w:t>
      </w:r>
      <w:r w:rsidRPr="00905356">
        <w:rPr>
          <w:rFonts w:hAnsi="Times New Roman" w:cs="Times New Roman"/>
          <w:noProof/>
        </w:rPr>
        <w:t>(9), 362–366. https://doi.org/10.1016/0169-5347(96)10044-6</w:t>
      </w:r>
    </w:p>
    <w:p w14:paraId="0401ECA7"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Cowling, Richard M, Bradshaw, P. L., Colville, J. F., &amp; Forest, F. (2017). Levyns’ Law: explaining the evolution of a remarkable longitudinal gradient in Cape plant diversity. </w:t>
      </w:r>
      <w:r w:rsidRPr="00905356">
        <w:rPr>
          <w:rFonts w:hAnsi="Times New Roman" w:cs="Times New Roman"/>
          <w:i/>
          <w:iCs/>
          <w:noProof/>
        </w:rPr>
        <w:t>Transactions of the Royal Society of South Africa</w:t>
      </w:r>
      <w:r w:rsidRPr="00905356">
        <w:rPr>
          <w:rFonts w:hAnsi="Times New Roman" w:cs="Times New Roman"/>
          <w:noProof/>
        </w:rPr>
        <w:t xml:space="preserve">, </w:t>
      </w:r>
      <w:r w:rsidRPr="00905356">
        <w:rPr>
          <w:rFonts w:hAnsi="Times New Roman" w:cs="Times New Roman"/>
          <w:i/>
          <w:iCs/>
          <w:noProof/>
        </w:rPr>
        <w:t>72</w:t>
      </w:r>
      <w:r w:rsidRPr="00905356">
        <w:rPr>
          <w:rFonts w:hAnsi="Times New Roman" w:cs="Times New Roman"/>
          <w:noProof/>
        </w:rPr>
        <w:t>(2), 184–201.</w:t>
      </w:r>
    </w:p>
    <w:p w14:paraId="58E07CBC"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Cramer, M. D., &amp; Verboom, G. A. (2016). Measures of biologically relevant environmental heterogeneity improve prediction of regional plant species richness. </w:t>
      </w:r>
      <w:r w:rsidRPr="00905356">
        <w:rPr>
          <w:rFonts w:hAnsi="Times New Roman" w:cs="Times New Roman"/>
          <w:i/>
          <w:iCs/>
          <w:noProof/>
        </w:rPr>
        <w:t>Journal of Biogeography</w:t>
      </w:r>
      <w:r w:rsidRPr="00905356">
        <w:rPr>
          <w:rFonts w:hAnsi="Times New Roman" w:cs="Times New Roman"/>
          <w:noProof/>
        </w:rPr>
        <w:t xml:space="preserve">, </w:t>
      </w:r>
      <w:r w:rsidRPr="00905356">
        <w:rPr>
          <w:rFonts w:hAnsi="Times New Roman" w:cs="Times New Roman"/>
          <w:i/>
          <w:iCs/>
          <w:noProof/>
        </w:rPr>
        <w:t>44</w:t>
      </w:r>
      <w:r w:rsidRPr="00905356">
        <w:rPr>
          <w:rFonts w:hAnsi="Times New Roman" w:cs="Times New Roman"/>
          <w:noProof/>
        </w:rPr>
        <w:t>(3), 1–13. https://doi.org/10.1111/jbi.12911</w:t>
      </w:r>
    </w:p>
    <w:p w14:paraId="371E2FBC"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Cramer, M. D., West, A. G., Power, S. C., Skelton, R., &amp; Stock, W. D. (2014). Plant ecophysiological diversity. In </w:t>
      </w:r>
      <w:r w:rsidRPr="00905356">
        <w:rPr>
          <w:rFonts w:hAnsi="Times New Roman" w:cs="Times New Roman"/>
          <w:i/>
          <w:iCs/>
          <w:noProof/>
        </w:rPr>
        <w:t>Fynbos: Ecology, Evolution and Conservation of a Megadiverse Region</w:t>
      </w:r>
      <w:r w:rsidRPr="00905356">
        <w:rPr>
          <w:rFonts w:hAnsi="Times New Roman" w:cs="Times New Roman"/>
          <w:noProof/>
        </w:rPr>
        <w:t xml:space="preserve"> (pp. 248–272). Oxford: Oxford University Press. https://doi.org/oso/9780199679584.003.0011</w:t>
      </w:r>
    </w:p>
    <w:p w14:paraId="1C1A074E"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905356">
        <w:rPr>
          <w:rFonts w:hAnsi="Times New Roman" w:cs="Times New Roman"/>
          <w:i/>
          <w:iCs/>
          <w:noProof/>
        </w:rPr>
        <w:t>Diversity and Distributions</w:t>
      </w:r>
      <w:r w:rsidRPr="00905356">
        <w:rPr>
          <w:rFonts w:hAnsi="Times New Roman" w:cs="Times New Roman"/>
          <w:noProof/>
        </w:rPr>
        <w:t xml:space="preserve">, </w:t>
      </w:r>
      <w:r w:rsidRPr="00905356">
        <w:rPr>
          <w:rFonts w:hAnsi="Times New Roman" w:cs="Times New Roman"/>
          <w:i/>
          <w:iCs/>
          <w:noProof/>
        </w:rPr>
        <w:t>25</w:t>
      </w:r>
      <w:r w:rsidRPr="00905356">
        <w:rPr>
          <w:rFonts w:hAnsi="Times New Roman" w:cs="Times New Roman"/>
          <w:noProof/>
        </w:rPr>
        <w:t>(11), 1736–1750.</w:t>
      </w:r>
    </w:p>
    <w:p w14:paraId="2D97042B"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Crisp, M. D., Arroyo, M. T. K., Cook, L. G., Gandolfo, M. A., Jordan, G. J., McGlone, M. S., … </w:t>
      </w:r>
      <w:r w:rsidRPr="00905356">
        <w:rPr>
          <w:rFonts w:hAnsi="Times New Roman" w:cs="Times New Roman"/>
          <w:noProof/>
        </w:rPr>
        <w:lastRenderedPageBreak/>
        <w:t xml:space="preserve">Linder, H. P. (2009). Phylogenetic biome conservatism on a global scale. </w:t>
      </w:r>
      <w:r w:rsidRPr="00905356">
        <w:rPr>
          <w:rFonts w:hAnsi="Times New Roman" w:cs="Times New Roman"/>
          <w:i/>
          <w:iCs/>
          <w:noProof/>
        </w:rPr>
        <w:t>Nature</w:t>
      </w:r>
      <w:r w:rsidRPr="00905356">
        <w:rPr>
          <w:rFonts w:hAnsi="Times New Roman" w:cs="Times New Roman"/>
          <w:noProof/>
        </w:rPr>
        <w:t xml:space="preserve">, </w:t>
      </w:r>
      <w:r w:rsidRPr="00905356">
        <w:rPr>
          <w:rFonts w:hAnsi="Times New Roman" w:cs="Times New Roman"/>
          <w:i/>
          <w:iCs/>
          <w:noProof/>
        </w:rPr>
        <w:t>458</w:t>
      </w:r>
      <w:r w:rsidRPr="00905356">
        <w:rPr>
          <w:rFonts w:hAnsi="Times New Roman" w:cs="Times New Roman"/>
          <w:noProof/>
        </w:rPr>
        <w:t>(7239), 754–756. https://doi.org/10.1038/nature07764</w:t>
      </w:r>
    </w:p>
    <w:p w14:paraId="1587AE61"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Currie, D. J. (1991). Energy and large-scale patterns of animal-and plant-species richness. </w:t>
      </w:r>
      <w:r w:rsidRPr="00905356">
        <w:rPr>
          <w:rFonts w:hAnsi="Times New Roman" w:cs="Times New Roman"/>
          <w:i/>
          <w:iCs/>
          <w:noProof/>
        </w:rPr>
        <w:t>The American Naturalist</w:t>
      </w:r>
      <w:r w:rsidRPr="00905356">
        <w:rPr>
          <w:rFonts w:hAnsi="Times New Roman" w:cs="Times New Roman"/>
          <w:noProof/>
        </w:rPr>
        <w:t xml:space="preserve">, </w:t>
      </w:r>
      <w:r w:rsidRPr="00905356">
        <w:rPr>
          <w:rFonts w:hAnsi="Times New Roman" w:cs="Times New Roman"/>
          <w:i/>
          <w:iCs/>
          <w:noProof/>
        </w:rPr>
        <w:t>137</w:t>
      </w:r>
      <w:r w:rsidRPr="00905356">
        <w:rPr>
          <w:rFonts w:hAnsi="Times New Roman" w:cs="Times New Roman"/>
          <w:noProof/>
        </w:rPr>
        <w:t>(1), 27–49.</w:t>
      </w:r>
    </w:p>
    <w:p w14:paraId="11398107"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Dick, J. M. (2017). Chemical composition and the potential for proteomic transformation in cancer, hypoxia, and hyperosmotic stress. </w:t>
      </w:r>
      <w:r w:rsidRPr="00905356">
        <w:rPr>
          <w:rFonts w:hAnsi="Times New Roman" w:cs="Times New Roman"/>
          <w:i/>
          <w:iCs/>
          <w:noProof/>
        </w:rPr>
        <w:t>PeerJ</w:t>
      </w:r>
      <w:r w:rsidRPr="00905356">
        <w:rPr>
          <w:rFonts w:hAnsi="Times New Roman" w:cs="Times New Roman"/>
          <w:noProof/>
        </w:rPr>
        <w:t xml:space="preserve">, </w:t>
      </w:r>
      <w:r w:rsidRPr="00905356">
        <w:rPr>
          <w:rFonts w:hAnsi="Times New Roman" w:cs="Times New Roman"/>
          <w:i/>
          <w:iCs/>
          <w:noProof/>
        </w:rPr>
        <w:t>5</w:t>
      </w:r>
      <w:r w:rsidRPr="00905356">
        <w:rPr>
          <w:rFonts w:hAnsi="Times New Roman" w:cs="Times New Roman"/>
          <w:noProof/>
        </w:rPr>
        <w:t>(e3421). https://doi.org/10.7717/peerj.3421</w:t>
      </w:r>
    </w:p>
    <w:p w14:paraId="6617AF73"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Donoghue, M. J. (2008). A phylogenetic perspective on the distribution of plant diversity. </w:t>
      </w:r>
      <w:r w:rsidRPr="00905356">
        <w:rPr>
          <w:rFonts w:hAnsi="Times New Roman" w:cs="Times New Roman"/>
          <w:i/>
          <w:iCs/>
          <w:noProof/>
        </w:rPr>
        <w:t>Proceedings of the National Academy of Sciences</w:t>
      </w:r>
      <w:r w:rsidRPr="00905356">
        <w:rPr>
          <w:rFonts w:hAnsi="Times New Roman" w:cs="Times New Roman"/>
          <w:noProof/>
        </w:rPr>
        <w:t xml:space="preserve">, </w:t>
      </w:r>
      <w:r w:rsidRPr="00905356">
        <w:rPr>
          <w:rFonts w:hAnsi="Times New Roman" w:cs="Times New Roman"/>
          <w:i/>
          <w:iCs/>
          <w:noProof/>
        </w:rPr>
        <w:t>105</w:t>
      </w:r>
      <w:r w:rsidRPr="00905356">
        <w:rPr>
          <w:rFonts w:hAnsi="Times New Roman" w:cs="Times New Roman"/>
          <w:noProof/>
        </w:rPr>
        <w:t>(Supplement 1), 11549–11555. https://doi.org/10.1073/pnas.0801962105</w:t>
      </w:r>
    </w:p>
    <w:p w14:paraId="35B2BAAD"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905356">
        <w:rPr>
          <w:rFonts w:hAnsi="Times New Roman" w:cs="Times New Roman"/>
          <w:i/>
          <w:iCs/>
          <w:noProof/>
        </w:rPr>
        <w:t>Ecology and Evolution</w:t>
      </w:r>
      <w:r w:rsidRPr="00905356">
        <w:rPr>
          <w:rFonts w:hAnsi="Times New Roman" w:cs="Times New Roman"/>
          <w:noProof/>
        </w:rPr>
        <w:t xml:space="preserve">, </w:t>
      </w:r>
      <w:r w:rsidRPr="00905356">
        <w:rPr>
          <w:rFonts w:hAnsi="Times New Roman" w:cs="Times New Roman"/>
          <w:i/>
          <w:iCs/>
          <w:noProof/>
        </w:rPr>
        <w:t>5</w:t>
      </w:r>
      <w:r w:rsidRPr="00905356">
        <w:rPr>
          <w:rFonts w:hAnsi="Times New Roman" w:cs="Times New Roman"/>
          <w:noProof/>
        </w:rPr>
        <w:t>(3), 807–820.</w:t>
      </w:r>
    </w:p>
    <w:p w14:paraId="24B047E8"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905356">
        <w:rPr>
          <w:rFonts w:hAnsi="Times New Roman" w:cs="Times New Roman"/>
          <w:i/>
          <w:iCs/>
          <w:noProof/>
        </w:rPr>
        <w:t>Journal of Biogeography</w:t>
      </w:r>
      <w:r w:rsidRPr="00905356">
        <w:rPr>
          <w:rFonts w:hAnsi="Times New Roman" w:cs="Times New Roman"/>
          <w:noProof/>
        </w:rPr>
        <w:t xml:space="preserve">, </w:t>
      </w:r>
      <w:r w:rsidRPr="00905356">
        <w:rPr>
          <w:rFonts w:hAnsi="Times New Roman" w:cs="Times New Roman"/>
          <w:i/>
          <w:iCs/>
          <w:noProof/>
        </w:rPr>
        <w:t>45</w:t>
      </w:r>
      <w:r w:rsidRPr="00905356">
        <w:rPr>
          <w:rFonts w:hAnsi="Times New Roman" w:cs="Times New Roman"/>
          <w:noProof/>
        </w:rPr>
        <w:t>(1), 190–200. https://doi.org/10.1111/jbi.13104</w:t>
      </w:r>
    </w:p>
    <w:p w14:paraId="19C34695"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905356">
        <w:rPr>
          <w:rFonts w:hAnsi="Times New Roman" w:cs="Times New Roman"/>
          <w:i/>
          <w:iCs/>
          <w:noProof/>
        </w:rPr>
        <w:t>Ecological Engineering</w:t>
      </w:r>
      <w:r w:rsidRPr="00905356">
        <w:rPr>
          <w:rFonts w:hAnsi="Times New Roman" w:cs="Times New Roman"/>
          <w:noProof/>
        </w:rPr>
        <w:t xml:space="preserve">, </w:t>
      </w:r>
      <w:r w:rsidRPr="00905356">
        <w:rPr>
          <w:rFonts w:hAnsi="Times New Roman" w:cs="Times New Roman"/>
          <w:i/>
          <w:iCs/>
          <w:noProof/>
        </w:rPr>
        <w:t>36</w:t>
      </w:r>
      <w:r w:rsidRPr="00905356">
        <w:rPr>
          <w:rFonts w:hAnsi="Times New Roman" w:cs="Times New Roman"/>
          <w:noProof/>
        </w:rPr>
        <w:t>(9), 1191–1200.</w:t>
      </w:r>
    </w:p>
    <w:p w14:paraId="7377778D"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Gioia, P., &amp; Hopper, S. D. (2017). A new phytogeographic map for the Southwest Australian Floristic Region after an exceptional decade of collection and discovery. </w:t>
      </w:r>
      <w:r w:rsidRPr="00905356">
        <w:rPr>
          <w:rFonts w:hAnsi="Times New Roman" w:cs="Times New Roman"/>
          <w:i/>
          <w:iCs/>
          <w:noProof/>
        </w:rPr>
        <w:t>Botanical Journal of the Linnean Society</w:t>
      </w:r>
      <w:r w:rsidRPr="00905356">
        <w:rPr>
          <w:rFonts w:hAnsi="Times New Roman" w:cs="Times New Roman"/>
          <w:noProof/>
        </w:rPr>
        <w:t xml:space="preserve">, </w:t>
      </w:r>
      <w:r w:rsidRPr="00905356">
        <w:rPr>
          <w:rFonts w:hAnsi="Times New Roman" w:cs="Times New Roman"/>
          <w:i/>
          <w:iCs/>
          <w:noProof/>
        </w:rPr>
        <w:t>184</w:t>
      </w:r>
      <w:r w:rsidRPr="00905356">
        <w:rPr>
          <w:rFonts w:hAnsi="Times New Roman" w:cs="Times New Roman"/>
          <w:noProof/>
        </w:rPr>
        <w:t>(1), 1–15. https://doi.org/10.1093/botlinnean/box010</w:t>
      </w:r>
    </w:p>
    <w:p w14:paraId="4932499E"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Goldblatt, P. (1978). An analysis of the flora of Southern Africa: its characteristics, relationships abd origins. </w:t>
      </w:r>
      <w:r w:rsidRPr="00905356">
        <w:rPr>
          <w:rFonts w:hAnsi="Times New Roman" w:cs="Times New Roman"/>
          <w:i/>
          <w:iCs/>
          <w:noProof/>
        </w:rPr>
        <w:t>Annals of the Missouri Botanical Garden</w:t>
      </w:r>
      <w:r w:rsidRPr="00905356">
        <w:rPr>
          <w:rFonts w:hAnsi="Times New Roman" w:cs="Times New Roman"/>
          <w:noProof/>
        </w:rPr>
        <w:t xml:space="preserve">, </w:t>
      </w:r>
      <w:r w:rsidRPr="00905356">
        <w:rPr>
          <w:rFonts w:hAnsi="Times New Roman" w:cs="Times New Roman"/>
          <w:i/>
          <w:iCs/>
          <w:noProof/>
        </w:rPr>
        <w:t>65</w:t>
      </w:r>
      <w:r w:rsidRPr="00905356">
        <w:rPr>
          <w:rFonts w:hAnsi="Times New Roman" w:cs="Times New Roman"/>
          <w:noProof/>
        </w:rPr>
        <w:t>, 369–436.</w:t>
      </w:r>
    </w:p>
    <w:p w14:paraId="293F13BB"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Gotelli, N. J., &amp; Colwell, R. K. (2001). Quantifying biodiversity: procedures and pitfalls in the measurement and comparison of species richness. </w:t>
      </w:r>
      <w:r w:rsidRPr="00905356">
        <w:rPr>
          <w:rFonts w:hAnsi="Times New Roman" w:cs="Times New Roman"/>
          <w:i/>
          <w:iCs/>
          <w:noProof/>
        </w:rPr>
        <w:t>Ecology Letters</w:t>
      </w:r>
      <w:r w:rsidRPr="00905356">
        <w:rPr>
          <w:rFonts w:hAnsi="Times New Roman" w:cs="Times New Roman"/>
          <w:noProof/>
        </w:rPr>
        <w:t xml:space="preserve">, </w:t>
      </w:r>
      <w:r w:rsidRPr="00905356">
        <w:rPr>
          <w:rFonts w:hAnsi="Times New Roman" w:cs="Times New Roman"/>
          <w:i/>
          <w:iCs/>
          <w:noProof/>
        </w:rPr>
        <w:t>4</w:t>
      </w:r>
      <w:r w:rsidRPr="00905356">
        <w:rPr>
          <w:rFonts w:hAnsi="Times New Roman" w:cs="Times New Roman"/>
          <w:noProof/>
        </w:rPr>
        <w:t>(4), 379–391. https://doi.org/10.1046/j.1461-0248.2001.00230.x</w:t>
      </w:r>
    </w:p>
    <w:p w14:paraId="73E4C4E6"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Hart, S. P., Usinowicz, J., &amp; Levine, J. M. (2017). The spatial scales of species coexistence. </w:t>
      </w:r>
      <w:r w:rsidRPr="00905356">
        <w:rPr>
          <w:rFonts w:hAnsi="Times New Roman" w:cs="Times New Roman"/>
          <w:i/>
          <w:iCs/>
          <w:noProof/>
        </w:rPr>
        <w:t>Nature Ecology &amp; Evolution</w:t>
      </w:r>
      <w:r w:rsidRPr="00905356">
        <w:rPr>
          <w:rFonts w:hAnsi="Times New Roman" w:cs="Times New Roman"/>
          <w:noProof/>
        </w:rPr>
        <w:t xml:space="preserve">, </w:t>
      </w:r>
      <w:r w:rsidRPr="00905356">
        <w:rPr>
          <w:rFonts w:hAnsi="Times New Roman" w:cs="Times New Roman"/>
          <w:i/>
          <w:iCs/>
          <w:noProof/>
        </w:rPr>
        <w:t>1</w:t>
      </w:r>
      <w:r w:rsidRPr="00905356">
        <w:rPr>
          <w:rFonts w:hAnsi="Times New Roman" w:cs="Times New Roman"/>
          <w:noProof/>
        </w:rPr>
        <w:t>(8), 1066–1073. https://doi.org/10.1038/s41559-017-0230-7</w:t>
      </w:r>
    </w:p>
    <w:p w14:paraId="2A628ED6"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Hawkins, B. A., Field, R., Cornell, H. V, Currie, D. J., Guégan, J.-F., Kaufman, D. M., … others. (2003). Energy, water, and broad-scale geographic patterns of species richness. </w:t>
      </w:r>
      <w:r w:rsidRPr="00905356">
        <w:rPr>
          <w:rFonts w:hAnsi="Times New Roman" w:cs="Times New Roman"/>
          <w:i/>
          <w:iCs/>
          <w:noProof/>
        </w:rPr>
        <w:t>Ecology</w:t>
      </w:r>
      <w:r w:rsidRPr="00905356">
        <w:rPr>
          <w:rFonts w:hAnsi="Times New Roman" w:cs="Times New Roman"/>
          <w:noProof/>
        </w:rPr>
        <w:t xml:space="preserve">, </w:t>
      </w:r>
      <w:r w:rsidRPr="00905356">
        <w:rPr>
          <w:rFonts w:hAnsi="Times New Roman" w:cs="Times New Roman"/>
          <w:i/>
          <w:iCs/>
          <w:noProof/>
        </w:rPr>
        <w:t>84</w:t>
      </w:r>
      <w:r w:rsidRPr="00905356">
        <w:rPr>
          <w:rFonts w:hAnsi="Times New Roman" w:cs="Times New Roman"/>
          <w:noProof/>
        </w:rPr>
        <w:t>(12), 3105–3117.</w:t>
      </w:r>
    </w:p>
    <w:p w14:paraId="220E7525"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Hijmans, R. J. (2016). raster: Geographic Data Analysis and Modeling. R package version 2.5-8. Retrieved from https://cran.r-project.org/package=raster</w:t>
      </w:r>
    </w:p>
    <w:p w14:paraId="1FB0D845"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Hopper, S. D. (1979). Biogeographical Aspects of Speciation in the Southwest Australian Flora. </w:t>
      </w:r>
      <w:r w:rsidRPr="00905356">
        <w:rPr>
          <w:rFonts w:hAnsi="Times New Roman" w:cs="Times New Roman"/>
          <w:i/>
          <w:iCs/>
          <w:noProof/>
        </w:rPr>
        <w:t>Annual Review of Ecology and Systematics</w:t>
      </w:r>
      <w:r w:rsidRPr="00905356">
        <w:rPr>
          <w:rFonts w:hAnsi="Times New Roman" w:cs="Times New Roman"/>
          <w:noProof/>
        </w:rPr>
        <w:t xml:space="preserve">, </w:t>
      </w:r>
      <w:r w:rsidRPr="00905356">
        <w:rPr>
          <w:rFonts w:hAnsi="Times New Roman" w:cs="Times New Roman"/>
          <w:i/>
          <w:iCs/>
          <w:noProof/>
        </w:rPr>
        <w:t>10</w:t>
      </w:r>
      <w:r w:rsidRPr="00905356">
        <w:rPr>
          <w:rFonts w:hAnsi="Times New Roman" w:cs="Times New Roman"/>
          <w:noProof/>
        </w:rPr>
        <w:t>, 399–422. Retrieved from http://www.jstor.org/stable/2096798</w:t>
      </w:r>
    </w:p>
    <w:p w14:paraId="5E65A203"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905356">
        <w:rPr>
          <w:rFonts w:hAnsi="Times New Roman" w:cs="Times New Roman"/>
          <w:i/>
          <w:iCs/>
          <w:noProof/>
        </w:rPr>
        <w:lastRenderedPageBreak/>
        <w:t>Plant and Soil</w:t>
      </w:r>
      <w:r w:rsidRPr="00905356">
        <w:rPr>
          <w:rFonts w:hAnsi="Times New Roman" w:cs="Times New Roman"/>
          <w:noProof/>
        </w:rPr>
        <w:t xml:space="preserve">, </w:t>
      </w:r>
      <w:r w:rsidRPr="00905356">
        <w:rPr>
          <w:rFonts w:hAnsi="Times New Roman" w:cs="Times New Roman"/>
          <w:i/>
          <w:iCs/>
          <w:noProof/>
        </w:rPr>
        <w:t>322</w:t>
      </w:r>
      <w:r w:rsidRPr="00905356">
        <w:rPr>
          <w:rFonts w:hAnsi="Times New Roman" w:cs="Times New Roman"/>
          <w:noProof/>
        </w:rPr>
        <w:t>(1), 49–86. https://doi.org/10.1007/s11104-009-0068-0</w:t>
      </w:r>
    </w:p>
    <w:p w14:paraId="7C0529D9"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Hopper, S. D., &amp; Gioia, P. (2004a). The Southwest Australian Floristic Region : Evolution and Conservation of a Global Hot Spot of Biodiversity. </w:t>
      </w:r>
      <w:r w:rsidRPr="00905356">
        <w:rPr>
          <w:rFonts w:hAnsi="Times New Roman" w:cs="Times New Roman"/>
          <w:i/>
          <w:iCs/>
          <w:noProof/>
        </w:rPr>
        <w:t>Annual Review of Ecology, Evolution, and Systematics</w:t>
      </w:r>
      <w:r w:rsidRPr="00905356">
        <w:rPr>
          <w:rFonts w:hAnsi="Times New Roman" w:cs="Times New Roman"/>
          <w:noProof/>
        </w:rPr>
        <w:t xml:space="preserve">, </w:t>
      </w:r>
      <w:r w:rsidRPr="00905356">
        <w:rPr>
          <w:rFonts w:hAnsi="Times New Roman" w:cs="Times New Roman"/>
          <w:i/>
          <w:iCs/>
          <w:noProof/>
        </w:rPr>
        <w:t>35</w:t>
      </w:r>
      <w:r w:rsidRPr="00905356">
        <w:rPr>
          <w:rFonts w:hAnsi="Times New Roman" w:cs="Times New Roman"/>
          <w:noProof/>
        </w:rPr>
        <w:t>(1), 623–650. https://doi.org/10.1146/annurev.ecolsys.35.112202.130201</w:t>
      </w:r>
    </w:p>
    <w:p w14:paraId="6D236516"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Hopper, S. D., &amp; Gioia, P. (2004b). The Southwest Australian floristic region: Evolution and conservation of a global hot spot of biodiversity. </w:t>
      </w:r>
      <w:r w:rsidRPr="00905356">
        <w:rPr>
          <w:rFonts w:hAnsi="Times New Roman" w:cs="Times New Roman"/>
          <w:i/>
          <w:iCs/>
          <w:noProof/>
        </w:rPr>
        <w:t>Annual Review of Ecology, Evolution, and Systematics</w:t>
      </w:r>
      <w:r w:rsidRPr="00905356">
        <w:rPr>
          <w:rFonts w:hAnsi="Times New Roman" w:cs="Times New Roman"/>
          <w:noProof/>
        </w:rPr>
        <w:t xml:space="preserve">, </w:t>
      </w:r>
      <w:r w:rsidRPr="00905356">
        <w:rPr>
          <w:rFonts w:hAnsi="Times New Roman" w:cs="Times New Roman"/>
          <w:i/>
          <w:iCs/>
          <w:noProof/>
        </w:rPr>
        <w:t>35</w:t>
      </w:r>
      <w:r w:rsidRPr="00905356">
        <w:rPr>
          <w:rFonts w:hAnsi="Times New Roman" w:cs="Times New Roman"/>
          <w:noProof/>
        </w:rPr>
        <w:t>, 623–650. https://doi.org/10.1146/annurev.ecolsys.35.112202.130201</w:t>
      </w:r>
    </w:p>
    <w:p w14:paraId="01E9F58E"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Jiménez, I., &amp; Ricklefs, R. E. (2014). Diversity anomalies and spatial climate heterogeneity. </w:t>
      </w:r>
      <w:r w:rsidRPr="00905356">
        <w:rPr>
          <w:rFonts w:hAnsi="Times New Roman" w:cs="Times New Roman"/>
          <w:i/>
          <w:iCs/>
          <w:noProof/>
        </w:rPr>
        <w:t>Global Ecology and Biogeography</w:t>
      </w:r>
      <w:r w:rsidRPr="00905356">
        <w:rPr>
          <w:rFonts w:hAnsi="Times New Roman" w:cs="Times New Roman"/>
          <w:noProof/>
        </w:rPr>
        <w:t xml:space="preserve">, </w:t>
      </w:r>
      <w:r w:rsidRPr="00905356">
        <w:rPr>
          <w:rFonts w:hAnsi="Times New Roman" w:cs="Times New Roman"/>
          <w:i/>
          <w:iCs/>
          <w:noProof/>
        </w:rPr>
        <w:t>23</w:t>
      </w:r>
      <w:r w:rsidRPr="00905356">
        <w:rPr>
          <w:rFonts w:hAnsi="Times New Roman" w:cs="Times New Roman"/>
          <w:noProof/>
        </w:rPr>
        <w:t>(9), 988–999. https://doi.org/10.1111/geb.12181</w:t>
      </w:r>
    </w:p>
    <w:p w14:paraId="077E061B"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Kreft, H., &amp; Jetz, W. (2007). Global patterns and determinants of vascular plant diversity. </w:t>
      </w:r>
      <w:r w:rsidRPr="00905356">
        <w:rPr>
          <w:rFonts w:hAnsi="Times New Roman" w:cs="Times New Roman"/>
          <w:i/>
          <w:iCs/>
          <w:noProof/>
        </w:rPr>
        <w:t>Proceedings of the National Academy of Sciences</w:t>
      </w:r>
      <w:r w:rsidRPr="00905356">
        <w:rPr>
          <w:rFonts w:hAnsi="Times New Roman" w:cs="Times New Roman"/>
          <w:noProof/>
        </w:rPr>
        <w:t xml:space="preserve">, </w:t>
      </w:r>
      <w:r w:rsidRPr="00905356">
        <w:rPr>
          <w:rFonts w:hAnsi="Times New Roman" w:cs="Times New Roman"/>
          <w:i/>
          <w:iCs/>
          <w:noProof/>
        </w:rPr>
        <w:t>104</w:t>
      </w:r>
      <w:r w:rsidRPr="00905356">
        <w:rPr>
          <w:rFonts w:hAnsi="Times New Roman" w:cs="Times New Roman"/>
          <w:noProof/>
        </w:rPr>
        <w:t>(14), 5925–5930. https://doi.org/10.1073/pnas.0608361104</w:t>
      </w:r>
    </w:p>
    <w:p w14:paraId="08BCF229"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Laliberte, E., Zemunik, G., &amp; Turner, B. L. (2014). Environmental filtering explains variation in plant diversity along resource gradients. </w:t>
      </w:r>
      <w:r w:rsidRPr="00905356">
        <w:rPr>
          <w:rFonts w:hAnsi="Times New Roman" w:cs="Times New Roman"/>
          <w:i/>
          <w:iCs/>
          <w:noProof/>
        </w:rPr>
        <w:t>Science</w:t>
      </w:r>
      <w:r w:rsidRPr="00905356">
        <w:rPr>
          <w:rFonts w:hAnsi="Times New Roman" w:cs="Times New Roman"/>
          <w:noProof/>
        </w:rPr>
        <w:t xml:space="preserve">, </w:t>
      </w:r>
      <w:r w:rsidRPr="00905356">
        <w:rPr>
          <w:rFonts w:hAnsi="Times New Roman" w:cs="Times New Roman"/>
          <w:i/>
          <w:iCs/>
          <w:noProof/>
        </w:rPr>
        <w:t>345</w:t>
      </w:r>
      <w:r w:rsidRPr="00905356">
        <w:rPr>
          <w:rFonts w:hAnsi="Times New Roman" w:cs="Times New Roman"/>
          <w:noProof/>
        </w:rPr>
        <w:t>(6204), 1602–1605. https://doi.org/Doi 10.1126/Science.1256330</w:t>
      </w:r>
    </w:p>
    <w:p w14:paraId="53A2C9C7"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Lambers, H., Brundrett, M. C., Raven, J. A., &amp; Hopper, S. D. (2010). Plant mineral nutrition in ancient landscapes: high plant species diversity on infertile soils is linked to functional diversity for nutritional strategies. </w:t>
      </w:r>
      <w:r w:rsidRPr="00905356">
        <w:rPr>
          <w:rFonts w:hAnsi="Times New Roman" w:cs="Times New Roman"/>
          <w:i/>
          <w:iCs/>
          <w:noProof/>
        </w:rPr>
        <w:t>Plant and Soil</w:t>
      </w:r>
      <w:r w:rsidRPr="00905356">
        <w:rPr>
          <w:rFonts w:hAnsi="Times New Roman" w:cs="Times New Roman"/>
          <w:noProof/>
        </w:rPr>
        <w:t xml:space="preserve">, </w:t>
      </w:r>
      <w:r w:rsidRPr="00905356">
        <w:rPr>
          <w:rFonts w:hAnsi="Times New Roman" w:cs="Times New Roman"/>
          <w:i/>
          <w:iCs/>
          <w:noProof/>
        </w:rPr>
        <w:t>334</w:t>
      </w:r>
      <w:r w:rsidRPr="00905356">
        <w:rPr>
          <w:rFonts w:hAnsi="Times New Roman" w:cs="Times New Roman"/>
          <w:noProof/>
        </w:rPr>
        <w:t>(1–2), 11–31. https://doi.org/10.1007/s11104-010-0444-9</w:t>
      </w:r>
    </w:p>
    <w:p w14:paraId="2723BF66"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Lambers, H., Shane, M. W., Cramer, M. D., Pearse, S. J., &amp; Veneklaas, E. J. (2006). Root structure and functioning for efficient acquisition of phosphorus: Matching morphological and physiological traits. </w:t>
      </w:r>
      <w:r w:rsidRPr="00905356">
        <w:rPr>
          <w:rFonts w:hAnsi="Times New Roman" w:cs="Times New Roman"/>
          <w:i/>
          <w:iCs/>
          <w:noProof/>
        </w:rPr>
        <w:t>Annals of Botany</w:t>
      </w:r>
      <w:r w:rsidRPr="00905356">
        <w:rPr>
          <w:rFonts w:hAnsi="Times New Roman" w:cs="Times New Roman"/>
          <w:noProof/>
        </w:rPr>
        <w:t xml:space="preserve">, </w:t>
      </w:r>
      <w:r w:rsidRPr="00905356">
        <w:rPr>
          <w:rFonts w:hAnsi="Times New Roman" w:cs="Times New Roman"/>
          <w:i/>
          <w:iCs/>
          <w:noProof/>
        </w:rPr>
        <w:t>98</w:t>
      </w:r>
      <w:r w:rsidRPr="00905356">
        <w:rPr>
          <w:rFonts w:hAnsi="Times New Roman" w:cs="Times New Roman"/>
          <w:noProof/>
        </w:rPr>
        <w:t>(4), 693–713. https://doi.org/10.1093/aob/mcl114</w:t>
      </w:r>
    </w:p>
    <w:p w14:paraId="2172726A"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Lamont, B. B., &amp; He, T. (2017). When did a Mediterranean-type climate originate in southwestern Australia? </w:t>
      </w:r>
      <w:r w:rsidRPr="00905356">
        <w:rPr>
          <w:rFonts w:hAnsi="Times New Roman" w:cs="Times New Roman"/>
          <w:i/>
          <w:iCs/>
          <w:noProof/>
        </w:rPr>
        <w:t>Global and Planetary Change</w:t>
      </w:r>
      <w:r w:rsidRPr="00905356">
        <w:rPr>
          <w:rFonts w:hAnsi="Times New Roman" w:cs="Times New Roman"/>
          <w:noProof/>
        </w:rPr>
        <w:t xml:space="preserve">, </w:t>
      </w:r>
      <w:r w:rsidRPr="00905356">
        <w:rPr>
          <w:rFonts w:hAnsi="Times New Roman" w:cs="Times New Roman"/>
          <w:i/>
          <w:iCs/>
          <w:noProof/>
        </w:rPr>
        <w:t>156</w:t>
      </w:r>
      <w:r w:rsidRPr="00905356">
        <w:rPr>
          <w:rFonts w:hAnsi="Times New Roman" w:cs="Times New Roman"/>
          <w:noProof/>
        </w:rPr>
        <w:t>, 46–58. https://doi.org/10.1016/j.gloplacha.2017.08.004</w:t>
      </w:r>
    </w:p>
    <w:p w14:paraId="3E9C157D"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Larsen, R., Holmern, T., Prager, S. D., Maliti, H., &amp; Røskaft, E. (2009). Using the extended quarter degree grid cell system to unify mapping and sharing of biodiversity data. </w:t>
      </w:r>
      <w:r w:rsidRPr="00905356">
        <w:rPr>
          <w:rFonts w:hAnsi="Times New Roman" w:cs="Times New Roman"/>
          <w:i/>
          <w:iCs/>
          <w:noProof/>
        </w:rPr>
        <w:t>African Journal of Ecology</w:t>
      </w:r>
      <w:r w:rsidRPr="00905356">
        <w:rPr>
          <w:rFonts w:hAnsi="Times New Roman" w:cs="Times New Roman"/>
          <w:noProof/>
        </w:rPr>
        <w:t xml:space="preserve">, </w:t>
      </w:r>
      <w:r w:rsidRPr="00905356">
        <w:rPr>
          <w:rFonts w:hAnsi="Times New Roman" w:cs="Times New Roman"/>
          <w:i/>
          <w:iCs/>
          <w:noProof/>
        </w:rPr>
        <w:t>47</w:t>
      </w:r>
      <w:r w:rsidRPr="00905356">
        <w:rPr>
          <w:rFonts w:hAnsi="Times New Roman" w:cs="Times New Roman"/>
          <w:noProof/>
        </w:rPr>
        <w:t>(3), 382–392. https://doi.org/10.1111/j.1365-2028.2008.00997.x</w:t>
      </w:r>
    </w:p>
    <w:p w14:paraId="04F1331B"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Levin, L. A., Sibuet, M., Gooday, A. J., Smith, C. R., &amp; Vanreusel, A. (2010). The roles of habitat heterogeneity in generating and maintaining biodiversity on continental margins: an introduction. </w:t>
      </w:r>
      <w:r w:rsidRPr="00905356">
        <w:rPr>
          <w:rFonts w:hAnsi="Times New Roman" w:cs="Times New Roman"/>
          <w:i/>
          <w:iCs/>
          <w:noProof/>
        </w:rPr>
        <w:t>Marine Ecology</w:t>
      </w:r>
      <w:r w:rsidRPr="00905356">
        <w:rPr>
          <w:rFonts w:hAnsi="Times New Roman" w:cs="Times New Roman"/>
          <w:noProof/>
        </w:rPr>
        <w:t xml:space="preserve">, </w:t>
      </w:r>
      <w:r w:rsidRPr="00905356">
        <w:rPr>
          <w:rFonts w:hAnsi="Times New Roman" w:cs="Times New Roman"/>
          <w:i/>
          <w:iCs/>
          <w:noProof/>
        </w:rPr>
        <w:t>31</w:t>
      </w:r>
      <w:r w:rsidRPr="00905356">
        <w:rPr>
          <w:rFonts w:hAnsi="Times New Roman" w:cs="Times New Roman"/>
          <w:noProof/>
        </w:rPr>
        <w:t>, 1–5. https://doi.org/10.1111/j.1439-0485.2009.00358.x</w:t>
      </w:r>
    </w:p>
    <w:p w14:paraId="34424C5B"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Linder, H. P. (2019). Rare species, Restionaceae, and the Cape flora. </w:t>
      </w:r>
      <w:r w:rsidRPr="00905356">
        <w:rPr>
          <w:rFonts w:hAnsi="Times New Roman" w:cs="Times New Roman"/>
          <w:i/>
          <w:iCs/>
          <w:noProof/>
        </w:rPr>
        <w:t>Journal of Biogeography</w:t>
      </w:r>
      <w:r w:rsidRPr="00905356">
        <w:rPr>
          <w:rFonts w:hAnsi="Times New Roman" w:cs="Times New Roman"/>
          <w:noProof/>
        </w:rPr>
        <w:t>, 1–14. https://doi.org/10.1111/jbi.13709</w:t>
      </w:r>
    </w:p>
    <w:p w14:paraId="6E7805B7"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McLaughlin, B. C., Ackerly, D. D., Klos, P. Z., Natali, J., Dawson, T. E., &amp; Thompson, S. E. (2017). Hydrologic refugia, plants, and climate change. </w:t>
      </w:r>
      <w:r w:rsidRPr="00905356">
        <w:rPr>
          <w:rFonts w:hAnsi="Times New Roman" w:cs="Times New Roman"/>
          <w:i/>
          <w:iCs/>
          <w:noProof/>
        </w:rPr>
        <w:t>Global Change Biology</w:t>
      </w:r>
      <w:r w:rsidRPr="00905356">
        <w:rPr>
          <w:rFonts w:hAnsi="Times New Roman" w:cs="Times New Roman"/>
          <w:noProof/>
        </w:rPr>
        <w:t xml:space="preserve">, </w:t>
      </w:r>
      <w:r w:rsidRPr="00905356">
        <w:rPr>
          <w:rFonts w:hAnsi="Times New Roman" w:cs="Times New Roman"/>
          <w:i/>
          <w:iCs/>
          <w:noProof/>
        </w:rPr>
        <w:t>23</w:t>
      </w:r>
      <w:r w:rsidRPr="00905356">
        <w:rPr>
          <w:rFonts w:hAnsi="Times New Roman" w:cs="Times New Roman"/>
          <w:noProof/>
        </w:rPr>
        <w:t>(8), 2941–2961.</w:t>
      </w:r>
    </w:p>
    <w:p w14:paraId="0D802256"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Meadows, M E, Chase, B. M., &amp; Seliane, M. (2010). Holocene palaeoenvironments of the Cederberg and Swartruggens mountains, Western Cape, South Africa: pollen and stable isotope evidence from hyrax dung middens. </w:t>
      </w:r>
      <w:r w:rsidRPr="00905356">
        <w:rPr>
          <w:rFonts w:hAnsi="Times New Roman" w:cs="Times New Roman"/>
          <w:i/>
          <w:iCs/>
          <w:noProof/>
        </w:rPr>
        <w:t>Journal of Arid Environments</w:t>
      </w:r>
      <w:r w:rsidRPr="00905356">
        <w:rPr>
          <w:rFonts w:hAnsi="Times New Roman" w:cs="Times New Roman"/>
          <w:noProof/>
        </w:rPr>
        <w:t xml:space="preserve">, </w:t>
      </w:r>
      <w:r w:rsidRPr="00905356">
        <w:rPr>
          <w:rFonts w:hAnsi="Times New Roman" w:cs="Times New Roman"/>
          <w:i/>
          <w:iCs/>
          <w:noProof/>
        </w:rPr>
        <w:t>74</w:t>
      </w:r>
      <w:r w:rsidRPr="00905356">
        <w:rPr>
          <w:rFonts w:hAnsi="Times New Roman" w:cs="Times New Roman"/>
          <w:noProof/>
        </w:rPr>
        <w:t>(7), 786–793.</w:t>
      </w:r>
    </w:p>
    <w:p w14:paraId="07B2039B"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lastRenderedPageBreak/>
        <w:t xml:space="preserve">Meadows, M E, &amp; Sugden, J. M. (1991). A vegetation history of the last 14,500 years on the Cederberg, SW Cape, South Africa. </w:t>
      </w:r>
      <w:r w:rsidRPr="00905356">
        <w:rPr>
          <w:rFonts w:hAnsi="Times New Roman" w:cs="Times New Roman"/>
          <w:i/>
          <w:iCs/>
          <w:noProof/>
        </w:rPr>
        <w:t>South African Journal of Science</w:t>
      </w:r>
      <w:r w:rsidRPr="00905356">
        <w:rPr>
          <w:rFonts w:hAnsi="Times New Roman" w:cs="Times New Roman"/>
          <w:noProof/>
        </w:rPr>
        <w:t xml:space="preserve">, </w:t>
      </w:r>
      <w:r w:rsidRPr="00905356">
        <w:rPr>
          <w:rFonts w:hAnsi="Times New Roman" w:cs="Times New Roman"/>
          <w:i/>
          <w:iCs/>
          <w:noProof/>
        </w:rPr>
        <w:t>87</w:t>
      </w:r>
      <w:r w:rsidRPr="00905356">
        <w:rPr>
          <w:rFonts w:hAnsi="Times New Roman" w:cs="Times New Roman"/>
          <w:noProof/>
        </w:rPr>
        <w:t>(3).</w:t>
      </w:r>
    </w:p>
    <w:p w14:paraId="5340F3ED"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Meadows, Michael E, &amp; Sugden, J. M. (1993). The late Quaternary palaeoecology of a floristic kingdom: the southwestern Cape South Africa. </w:t>
      </w:r>
      <w:r w:rsidRPr="00905356">
        <w:rPr>
          <w:rFonts w:hAnsi="Times New Roman" w:cs="Times New Roman"/>
          <w:i/>
          <w:iCs/>
          <w:noProof/>
        </w:rPr>
        <w:t>Palaeogeography, Palaeoclimatology, Palaeoecology</w:t>
      </w:r>
      <w:r w:rsidRPr="00905356">
        <w:rPr>
          <w:rFonts w:hAnsi="Times New Roman" w:cs="Times New Roman"/>
          <w:noProof/>
        </w:rPr>
        <w:t xml:space="preserve">, </w:t>
      </w:r>
      <w:r w:rsidRPr="00905356">
        <w:rPr>
          <w:rFonts w:hAnsi="Times New Roman" w:cs="Times New Roman"/>
          <w:i/>
          <w:iCs/>
          <w:noProof/>
        </w:rPr>
        <w:t>101</w:t>
      </w:r>
      <w:r w:rsidRPr="00905356">
        <w:rPr>
          <w:rFonts w:hAnsi="Times New Roman" w:cs="Times New Roman"/>
          <w:noProof/>
        </w:rPr>
        <w:t>(3–4), 271–281.</w:t>
      </w:r>
    </w:p>
    <w:p w14:paraId="7DDAA1C9"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Merow, C., Smith, M. J., &amp; Silander, J. A. (2013). A practical guide to MaxEnt for modeling species’ distributions: what it does, and why inputs and settings matter. </w:t>
      </w:r>
      <w:r w:rsidRPr="00905356">
        <w:rPr>
          <w:rFonts w:hAnsi="Times New Roman" w:cs="Times New Roman"/>
          <w:i/>
          <w:iCs/>
          <w:noProof/>
        </w:rPr>
        <w:t>Ecography</w:t>
      </w:r>
      <w:r w:rsidRPr="00905356">
        <w:rPr>
          <w:rFonts w:hAnsi="Times New Roman" w:cs="Times New Roman"/>
          <w:noProof/>
        </w:rPr>
        <w:t xml:space="preserve">, </w:t>
      </w:r>
      <w:r w:rsidRPr="00905356">
        <w:rPr>
          <w:rFonts w:hAnsi="Times New Roman" w:cs="Times New Roman"/>
          <w:i/>
          <w:iCs/>
          <w:noProof/>
        </w:rPr>
        <w:t>36</w:t>
      </w:r>
      <w:r w:rsidRPr="00905356">
        <w:rPr>
          <w:rFonts w:hAnsi="Times New Roman" w:cs="Times New Roman"/>
          <w:noProof/>
        </w:rPr>
        <w:t>(10), 1058–1069.</w:t>
      </w:r>
    </w:p>
    <w:p w14:paraId="477DA24A"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Milewski, A. V. (1981). A comparison of vegetation height in relation to the effectiveness of rainfall in the mediterranean and adjacent arid parts of Australia and South Africa. </w:t>
      </w:r>
      <w:r w:rsidRPr="00905356">
        <w:rPr>
          <w:rFonts w:hAnsi="Times New Roman" w:cs="Times New Roman"/>
          <w:i/>
          <w:iCs/>
          <w:noProof/>
        </w:rPr>
        <w:t>Journal of Biogeography</w:t>
      </w:r>
      <w:r w:rsidRPr="00905356">
        <w:rPr>
          <w:rFonts w:hAnsi="Times New Roman" w:cs="Times New Roman"/>
          <w:noProof/>
        </w:rPr>
        <w:t xml:space="preserve">, </w:t>
      </w:r>
      <w:r w:rsidRPr="00905356">
        <w:rPr>
          <w:rFonts w:hAnsi="Times New Roman" w:cs="Times New Roman"/>
          <w:i/>
          <w:iCs/>
          <w:noProof/>
        </w:rPr>
        <w:t>8</w:t>
      </w:r>
      <w:r w:rsidRPr="00905356">
        <w:rPr>
          <w:rFonts w:hAnsi="Times New Roman" w:cs="Times New Roman"/>
          <w:noProof/>
        </w:rPr>
        <w:t>(2), 107. https://doi.org/10.2307/2844553</w:t>
      </w:r>
    </w:p>
    <w:p w14:paraId="39C7DDE7"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Mouchet, M., Levers, C., Zupan, L., Kuemmerle, T., Plutzar, C., Erb, K., … Haberl, H. (2015). Testing the effectiveness of environmental variables to explain European terrestrial vertebrate species richness across biogeographical scales. </w:t>
      </w:r>
      <w:r w:rsidRPr="00905356">
        <w:rPr>
          <w:rFonts w:hAnsi="Times New Roman" w:cs="Times New Roman"/>
          <w:i/>
          <w:iCs/>
          <w:noProof/>
        </w:rPr>
        <w:t>PLoS ONE</w:t>
      </w:r>
      <w:r w:rsidRPr="00905356">
        <w:rPr>
          <w:rFonts w:hAnsi="Times New Roman" w:cs="Times New Roman"/>
          <w:noProof/>
        </w:rPr>
        <w:t xml:space="preserve">, </w:t>
      </w:r>
      <w:r w:rsidRPr="00905356">
        <w:rPr>
          <w:rFonts w:hAnsi="Times New Roman" w:cs="Times New Roman"/>
          <w:i/>
          <w:iCs/>
          <w:noProof/>
        </w:rPr>
        <w:t>10</w:t>
      </w:r>
      <w:r w:rsidRPr="00905356">
        <w:rPr>
          <w:rFonts w:hAnsi="Times New Roman" w:cs="Times New Roman"/>
          <w:noProof/>
        </w:rPr>
        <w:t>(7), 1–16. https://doi.org/10.1371/journal.pone.0131924</w:t>
      </w:r>
    </w:p>
    <w:p w14:paraId="4398CBC6"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Mucina, L., &amp; Rutherford, M. C. (2006). </w:t>
      </w:r>
      <w:r w:rsidRPr="00905356">
        <w:rPr>
          <w:rFonts w:hAnsi="Times New Roman" w:cs="Times New Roman"/>
          <w:i/>
          <w:iCs/>
          <w:noProof/>
        </w:rPr>
        <w:t>The vegetation of South Africa, Lesotho and Swaziland.</w:t>
      </w:r>
      <w:r w:rsidRPr="00905356">
        <w:rPr>
          <w:rFonts w:hAnsi="Times New Roman" w:cs="Times New Roman"/>
          <w:noProof/>
        </w:rPr>
        <w:t xml:space="preserve"> South African National Biodiversity Institute.</w:t>
      </w:r>
    </w:p>
    <w:p w14:paraId="57CE3123"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Oliver, E. G. H., Linder, H. P., &amp; Rourke, J. P. (1983). Geographical distribution of present-day Cape taxa and their phytogeographical significance. </w:t>
      </w:r>
      <w:r w:rsidRPr="00905356">
        <w:rPr>
          <w:rFonts w:hAnsi="Times New Roman" w:cs="Times New Roman"/>
          <w:i/>
          <w:iCs/>
          <w:noProof/>
        </w:rPr>
        <w:t>Bothalia</w:t>
      </w:r>
      <w:r w:rsidRPr="00905356">
        <w:rPr>
          <w:rFonts w:hAnsi="Times New Roman" w:cs="Times New Roman"/>
          <w:noProof/>
        </w:rPr>
        <w:t xml:space="preserve">, </w:t>
      </w:r>
      <w:r w:rsidRPr="00905356">
        <w:rPr>
          <w:rFonts w:hAnsi="Times New Roman" w:cs="Times New Roman"/>
          <w:i/>
          <w:iCs/>
          <w:noProof/>
        </w:rPr>
        <w:t>14</w:t>
      </w:r>
      <w:r w:rsidRPr="00905356">
        <w:rPr>
          <w:rFonts w:hAnsi="Times New Roman" w:cs="Times New Roman"/>
          <w:noProof/>
        </w:rPr>
        <w:t>(3/4), 427–440.</w:t>
      </w:r>
    </w:p>
    <w:p w14:paraId="1C3FED20"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905356">
        <w:rPr>
          <w:rFonts w:hAnsi="Times New Roman" w:cs="Times New Roman"/>
          <w:i/>
          <w:iCs/>
          <w:noProof/>
        </w:rPr>
        <w:t>BioScience</w:t>
      </w:r>
      <w:r w:rsidRPr="00905356">
        <w:rPr>
          <w:rFonts w:hAnsi="Times New Roman" w:cs="Times New Roman"/>
          <w:noProof/>
        </w:rPr>
        <w:t xml:space="preserve">, </w:t>
      </w:r>
      <w:r w:rsidRPr="00905356">
        <w:rPr>
          <w:rFonts w:hAnsi="Times New Roman" w:cs="Times New Roman"/>
          <w:i/>
          <w:iCs/>
          <w:noProof/>
        </w:rPr>
        <w:t>51</w:t>
      </w:r>
      <w:r w:rsidRPr="00905356">
        <w:rPr>
          <w:rFonts w:hAnsi="Times New Roman" w:cs="Times New Roman"/>
          <w:noProof/>
        </w:rPr>
        <w:t>(11), 933–938.</w:t>
      </w:r>
    </w:p>
    <w:p w14:paraId="5B789D32"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R Core Team. (2019). R: A Language and Environment for Statistical Computing. Vienna, Austria. Retrieved from https://www.r-project.org/</w:t>
      </w:r>
    </w:p>
    <w:p w14:paraId="3D336653"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Rebelo, T. G. (2001). </w:t>
      </w:r>
      <w:r w:rsidRPr="00905356">
        <w:rPr>
          <w:rFonts w:hAnsi="Times New Roman" w:cs="Times New Roman"/>
          <w:i/>
          <w:iCs/>
          <w:noProof/>
        </w:rPr>
        <w:t>A field guide to the proteas of South Africa</w:t>
      </w:r>
      <w:r w:rsidRPr="00905356">
        <w:rPr>
          <w:rFonts w:hAnsi="Times New Roman" w:cs="Times New Roman"/>
          <w:noProof/>
        </w:rPr>
        <w:t>. Vlaeberg: Fernwood.</w:t>
      </w:r>
    </w:p>
    <w:p w14:paraId="77E94BDA"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Ricklefs, R. E. (1987). Community diversity: relative roles of local and regional processes. </w:t>
      </w:r>
      <w:r w:rsidRPr="00905356">
        <w:rPr>
          <w:rFonts w:hAnsi="Times New Roman" w:cs="Times New Roman"/>
          <w:i/>
          <w:iCs/>
          <w:noProof/>
        </w:rPr>
        <w:t>Science, New Series</w:t>
      </w:r>
      <w:r w:rsidRPr="00905356">
        <w:rPr>
          <w:rFonts w:hAnsi="Times New Roman" w:cs="Times New Roman"/>
          <w:noProof/>
        </w:rPr>
        <w:t xml:space="preserve">, </w:t>
      </w:r>
      <w:r w:rsidRPr="00905356">
        <w:rPr>
          <w:rFonts w:hAnsi="Times New Roman" w:cs="Times New Roman"/>
          <w:i/>
          <w:iCs/>
          <w:noProof/>
        </w:rPr>
        <w:t>235</w:t>
      </w:r>
      <w:r w:rsidRPr="00905356">
        <w:rPr>
          <w:rFonts w:hAnsi="Times New Roman" w:cs="Times New Roman"/>
          <w:noProof/>
        </w:rPr>
        <w:t>(4785), 167–171.</w:t>
      </w:r>
    </w:p>
    <w:p w14:paraId="4C0FD1E5"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Ricklefs, R. E. (2004). A comprehensive framework for global patterns in biodiversity. </w:t>
      </w:r>
      <w:r w:rsidRPr="00905356">
        <w:rPr>
          <w:rFonts w:hAnsi="Times New Roman" w:cs="Times New Roman"/>
          <w:i/>
          <w:iCs/>
          <w:noProof/>
        </w:rPr>
        <w:t>Ecology Letters</w:t>
      </w:r>
      <w:r w:rsidRPr="00905356">
        <w:rPr>
          <w:rFonts w:hAnsi="Times New Roman" w:cs="Times New Roman"/>
          <w:noProof/>
        </w:rPr>
        <w:t xml:space="preserve">, </w:t>
      </w:r>
      <w:r w:rsidRPr="00905356">
        <w:rPr>
          <w:rFonts w:hAnsi="Times New Roman" w:cs="Times New Roman"/>
          <w:i/>
          <w:iCs/>
          <w:noProof/>
        </w:rPr>
        <w:t>7</w:t>
      </w:r>
      <w:r w:rsidRPr="00905356">
        <w:rPr>
          <w:rFonts w:hAnsi="Times New Roman" w:cs="Times New Roman"/>
          <w:noProof/>
        </w:rPr>
        <w:t>(1), 1–15.</w:t>
      </w:r>
    </w:p>
    <w:p w14:paraId="15F42705"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Shane, M. W., Cramer, M. D., &amp; Lambers, H. (2008). Root of edaphically controlled Proteaceae turnover on the Agulhas Plain, South Africa: phosphate uptake regulation and growth. </w:t>
      </w:r>
      <w:r w:rsidRPr="00905356">
        <w:rPr>
          <w:rFonts w:hAnsi="Times New Roman" w:cs="Times New Roman"/>
          <w:i/>
          <w:iCs/>
          <w:noProof/>
        </w:rPr>
        <w:t>Plant, Cell &amp; Environment</w:t>
      </w:r>
      <w:r w:rsidRPr="00905356">
        <w:rPr>
          <w:rFonts w:hAnsi="Times New Roman" w:cs="Times New Roman"/>
          <w:noProof/>
        </w:rPr>
        <w:t xml:space="preserve">, </w:t>
      </w:r>
      <w:r w:rsidRPr="00905356">
        <w:rPr>
          <w:rFonts w:hAnsi="Times New Roman" w:cs="Times New Roman"/>
          <w:i/>
          <w:iCs/>
          <w:noProof/>
        </w:rPr>
        <w:t>31</w:t>
      </w:r>
      <w:r w:rsidRPr="00905356">
        <w:rPr>
          <w:rFonts w:hAnsi="Times New Roman" w:cs="Times New Roman"/>
          <w:noProof/>
        </w:rPr>
        <w:t>(12), 1825–1833.</w:t>
      </w:r>
    </w:p>
    <w:p w14:paraId="5289A2B6"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Slingsby, J. A., February, E. C., &amp; Rebelo, T. G. (2018). Water: at what cost to our unique flora? </w:t>
      </w:r>
      <w:r w:rsidRPr="00905356">
        <w:rPr>
          <w:rFonts w:hAnsi="Times New Roman" w:cs="Times New Roman"/>
          <w:i/>
          <w:iCs/>
          <w:noProof/>
        </w:rPr>
        <w:t>Veld &amp; Flora</w:t>
      </w:r>
      <w:r w:rsidRPr="00905356">
        <w:rPr>
          <w:rFonts w:hAnsi="Times New Roman" w:cs="Times New Roman"/>
          <w:noProof/>
        </w:rPr>
        <w:t xml:space="preserve">, </w:t>
      </w:r>
      <w:r w:rsidRPr="00905356">
        <w:rPr>
          <w:rFonts w:hAnsi="Times New Roman" w:cs="Times New Roman"/>
          <w:i/>
          <w:iCs/>
          <w:noProof/>
        </w:rPr>
        <w:t>June</w:t>
      </w:r>
      <w:r w:rsidRPr="00905356">
        <w:rPr>
          <w:rFonts w:hAnsi="Times New Roman" w:cs="Times New Roman"/>
          <w:noProof/>
        </w:rPr>
        <w:t>, 72–75.</w:t>
      </w:r>
    </w:p>
    <w:p w14:paraId="05340D4B"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Snijman, D. A. (2013). </w:t>
      </w:r>
      <w:r w:rsidRPr="00905356">
        <w:rPr>
          <w:rFonts w:hAnsi="Times New Roman" w:cs="Times New Roman"/>
          <w:i/>
          <w:iCs/>
          <w:noProof/>
        </w:rPr>
        <w:t>Plants of the Greater Cape Floristic Region. 2: The Extra Cape flora</w:t>
      </w:r>
      <w:r w:rsidRPr="00905356">
        <w:rPr>
          <w:rFonts w:hAnsi="Times New Roman" w:cs="Times New Roman"/>
          <w:noProof/>
        </w:rPr>
        <w:t>. South African National Biodiversity Institute.</w:t>
      </w:r>
    </w:p>
    <w:p w14:paraId="38EE9C4F"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Sobel, J. M., Chen, G. F., Watt, L. R., &amp; Schemske, D. W. (2010). The biology of speciation. </w:t>
      </w:r>
      <w:r w:rsidRPr="00905356">
        <w:rPr>
          <w:rFonts w:hAnsi="Times New Roman" w:cs="Times New Roman"/>
          <w:i/>
          <w:iCs/>
          <w:noProof/>
        </w:rPr>
        <w:t>Evolution</w:t>
      </w:r>
      <w:r w:rsidRPr="00905356">
        <w:rPr>
          <w:rFonts w:hAnsi="Times New Roman" w:cs="Times New Roman"/>
          <w:noProof/>
        </w:rPr>
        <w:t xml:space="preserve">, </w:t>
      </w:r>
      <w:r w:rsidRPr="00905356">
        <w:rPr>
          <w:rFonts w:hAnsi="Times New Roman" w:cs="Times New Roman"/>
          <w:i/>
          <w:iCs/>
          <w:noProof/>
        </w:rPr>
        <w:t>64</w:t>
      </w:r>
      <w:r w:rsidRPr="00905356">
        <w:rPr>
          <w:rFonts w:hAnsi="Times New Roman" w:cs="Times New Roman"/>
          <w:noProof/>
        </w:rPr>
        <w:t>(2), 295–315. https://doi.org/10.1111/j.1558-5646.2009.00877.x</w:t>
      </w:r>
    </w:p>
    <w:p w14:paraId="34EF6707"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lastRenderedPageBreak/>
        <w:t xml:space="preserve">Stein, A., Gerstner, K., &amp; Kreft, H. (2014). Environmental heterogeneity as a universal driver of species richness across taxa, biomes and spatial scales. </w:t>
      </w:r>
      <w:r w:rsidRPr="00905356">
        <w:rPr>
          <w:rFonts w:hAnsi="Times New Roman" w:cs="Times New Roman"/>
          <w:i/>
          <w:iCs/>
          <w:noProof/>
        </w:rPr>
        <w:t>Ecology Letters</w:t>
      </w:r>
      <w:r w:rsidRPr="00905356">
        <w:rPr>
          <w:rFonts w:hAnsi="Times New Roman" w:cs="Times New Roman"/>
          <w:noProof/>
        </w:rPr>
        <w:t xml:space="preserve">, </w:t>
      </w:r>
      <w:r w:rsidRPr="00905356">
        <w:rPr>
          <w:rFonts w:hAnsi="Times New Roman" w:cs="Times New Roman"/>
          <w:i/>
          <w:iCs/>
          <w:noProof/>
        </w:rPr>
        <w:t>17</w:t>
      </w:r>
      <w:r w:rsidRPr="00905356">
        <w:rPr>
          <w:rFonts w:hAnsi="Times New Roman" w:cs="Times New Roman"/>
          <w:noProof/>
        </w:rPr>
        <w:t>(7), 866–880. https://doi.org/10.1111/ele.12277</w:t>
      </w:r>
    </w:p>
    <w:p w14:paraId="5F5059B3"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Stock, W. D., &amp; Verboom, G. A. (2012). Phylogenetic ecology of foliar N and P concentrations and N: P ratios across mediterranean-type ecosystems. </w:t>
      </w:r>
      <w:r w:rsidRPr="00905356">
        <w:rPr>
          <w:rFonts w:hAnsi="Times New Roman" w:cs="Times New Roman"/>
          <w:i/>
          <w:iCs/>
          <w:noProof/>
        </w:rPr>
        <w:t>Global Ecology and Biogeography</w:t>
      </w:r>
      <w:r w:rsidRPr="00905356">
        <w:rPr>
          <w:rFonts w:hAnsi="Times New Roman" w:cs="Times New Roman"/>
          <w:noProof/>
        </w:rPr>
        <w:t xml:space="preserve">, </w:t>
      </w:r>
      <w:r w:rsidRPr="00905356">
        <w:rPr>
          <w:rFonts w:hAnsi="Times New Roman" w:cs="Times New Roman"/>
          <w:i/>
          <w:iCs/>
          <w:noProof/>
        </w:rPr>
        <w:t>21</w:t>
      </w:r>
      <w:r w:rsidRPr="00905356">
        <w:rPr>
          <w:rFonts w:hAnsi="Times New Roman" w:cs="Times New Roman"/>
          <w:noProof/>
        </w:rPr>
        <w:t>(12), 1147–1156.</w:t>
      </w:r>
    </w:p>
    <w:p w14:paraId="288DFFEC"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Thuiller, W., Midgley, G. F., Rouget, M., Cowling, R. M., F. Midgley, G., Rougeti, M., &amp; M. Cowling, R. (2006). Predicting patterns of plant species richness in megadiverse South Africa. </w:t>
      </w:r>
      <w:r w:rsidRPr="00905356">
        <w:rPr>
          <w:rFonts w:hAnsi="Times New Roman" w:cs="Times New Roman"/>
          <w:i/>
          <w:iCs/>
          <w:noProof/>
        </w:rPr>
        <w:t>Ecography</w:t>
      </w:r>
      <w:r w:rsidRPr="00905356">
        <w:rPr>
          <w:rFonts w:hAnsi="Times New Roman" w:cs="Times New Roman"/>
          <w:noProof/>
        </w:rPr>
        <w:t xml:space="preserve">, </w:t>
      </w:r>
      <w:r w:rsidRPr="00905356">
        <w:rPr>
          <w:rFonts w:hAnsi="Times New Roman" w:cs="Times New Roman"/>
          <w:i/>
          <w:iCs/>
          <w:noProof/>
        </w:rPr>
        <w:t>29</w:t>
      </w:r>
      <w:r w:rsidRPr="00905356">
        <w:rPr>
          <w:rFonts w:hAnsi="Times New Roman" w:cs="Times New Roman"/>
          <w:noProof/>
        </w:rPr>
        <w:t>(5), 733–744. https://doi.org/10.1111/j.0906-7590.2006.04674.x</w:t>
      </w:r>
    </w:p>
    <w:p w14:paraId="6A9FB6AE"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van Rensburg, B. J., Chown, S. L., &amp; Gaston, K. J. (2002). Species richness, environmental correlates, and spatial scale: a test esing South African birds. </w:t>
      </w:r>
      <w:r w:rsidRPr="00905356">
        <w:rPr>
          <w:rFonts w:hAnsi="Times New Roman" w:cs="Times New Roman"/>
          <w:i/>
          <w:iCs/>
          <w:noProof/>
        </w:rPr>
        <w:t>The American Naturalist</w:t>
      </w:r>
      <w:r w:rsidRPr="00905356">
        <w:rPr>
          <w:rFonts w:hAnsi="Times New Roman" w:cs="Times New Roman"/>
          <w:noProof/>
        </w:rPr>
        <w:t xml:space="preserve">, </w:t>
      </w:r>
      <w:r w:rsidRPr="00905356">
        <w:rPr>
          <w:rFonts w:hAnsi="Times New Roman" w:cs="Times New Roman"/>
          <w:i/>
          <w:iCs/>
          <w:noProof/>
        </w:rPr>
        <w:t>159</w:t>
      </w:r>
      <w:r w:rsidRPr="00905356">
        <w:rPr>
          <w:rFonts w:hAnsi="Times New Roman" w:cs="Times New Roman"/>
          <w:noProof/>
        </w:rPr>
        <w:t>(5), 566–577. https://doi.org/10.1086/339464</w:t>
      </w:r>
    </w:p>
    <w:p w14:paraId="0C302906"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Veech, J. A., Summerville, K. S., Crist, T. O., &amp; Gering, J. C. (2002). The additive partitioning of species diversity: recent revival of an old idea. </w:t>
      </w:r>
      <w:r w:rsidRPr="00905356">
        <w:rPr>
          <w:rFonts w:hAnsi="Times New Roman" w:cs="Times New Roman"/>
          <w:i/>
          <w:iCs/>
          <w:noProof/>
        </w:rPr>
        <w:t>Oikos</w:t>
      </w:r>
      <w:r w:rsidRPr="00905356">
        <w:rPr>
          <w:rFonts w:hAnsi="Times New Roman" w:cs="Times New Roman"/>
          <w:noProof/>
        </w:rPr>
        <w:t xml:space="preserve">, </w:t>
      </w:r>
      <w:r w:rsidRPr="00905356">
        <w:rPr>
          <w:rFonts w:hAnsi="Times New Roman" w:cs="Times New Roman"/>
          <w:i/>
          <w:iCs/>
          <w:noProof/>
        </w:rPr>
        <w:t>99</w:t>
      </w:r>
      <w:r w:rsidRPr="00905356">
        <w:rPr>
          <w:rFonts w:hAnsi="Times New Roman" w:cs="Times New Roman"/>
          <w:noProof/>
        </w:rPr>
        <w:t>(1), 3–9.</w:t>
      </w:r>
    </w:p>
    <w:p w14:paraId="2EA28FAA"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Verboom, G. A., Linder, H. P., Forest, F., Hoffmann, V., Bergh, N. G., &amp; Cowling, R. M. (2014). Cenozoic assembly of the Greater Cape flora. In N. Allsopp, J. F. Colville, &amp; G. A. Verboom (Eds.), </w:t>
      </w:r>
      <w:r w:rsidRPr="00905356">
        <w:rPr>
          <w:rFonts w:hAnsi="Times New Roman" w:cs="Times New Roman"/>
          <w:i/>
          <w:iCs/>
          <w:noProof/>
        </w:rPr>
        <w:t>Fynbos: Ecology, Evolution and Conservation of a Megadiverse Region</w:t>
      </w:r>
      <w:r w:rsidRPr="00905356">
        <w:rPr>
          <w:rFonts w:hAnsi="Times New Roman" w:cs="Times New Roman"/>
          <w:noProof/>
        </w:rPr>
        <w:t>. Oxford: Oxford University Press. Retrieved from http://www.oxfordscholarship.com/view/10.1093/acprof:oso/9780199679584.001.0001/acprof-9780199679584</w:t>
      </w:r>
    </w:p>
    <w:p w14:paraId="2D6E4759"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Whittaker, R. H. (1960). Vegetation of the Siskiyou mountains, Oregon and California. </w:t>
      </w:r>
      <w:r w:rsidRPr="00905356">
        <w:rPr>
          <w:rFonts w:hAnsi="Times New Roman" w:cs="Times New Roman"/>
          <w:i/>
          <w:iCs/>
          <w:noProof/>
        </w:rPr>
        <w:t>Ecological Monographs</w:t>
      </w:r>
      <w:r w:rsidRPr="00905356">
        <w:rPr>
          <w:rFonts w:hAnsi="Times New Roman" w:cs="Times New Roman"/>
          <w:noProof/>
        </w:rPr>
        <w:t xml:space="preserve">, </w:t>
      </w:r>
      <w:r w:rsidRPr="00905356">
        <w:rPr>
          <w:rFonts w:hAnsi="Times New Roman" w:cs="Times New Roman"/>
          <w:i/>
          <w:iCs/>
          <w:noProof/>
        </w:rPr>
        <w:t>30</w:t>
      </w:r>
      <w:r w:rsidRPr="00905356">
        <w:rPr>
          <w:rFonts w:hAnsi="Times New Roman" w:cs="Times New Roman"/>
          <w:noProof/>
        </w:rPr>
        <w:t>(3), 279–338.</w:t>
      </w:r>
    </w:p>
    <w:p w14:paraId="7AB3EBF5"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Wiens, J. J. (2004a). Speciation and ecology revisited: phylogenetic niche conservatism and the origin of species. </w:t>
      </w:r>
      <w:r w:rsidRPr="00905356">
        <w:rPr>
          <w:rFonts w:hAnsi="Times New Roman" w:cs="Times New Roman"/>
          <w:i/>
          <w:iCs/>
          <w:noProof/>
        </w:rPr>
        <w:t>Evolution</w:t>
      </w:r>
      <w:r w:rsidRPr="00905356">
        <w:rPr>
          <w:rFonts w:hAnsi="Times New Roman" w:cs="Times New Roman"/>
          <w:noProof/>
        </w:rPr>
        <w:t xml:space="preserve">, </w:t>
      </w:r>
      <w:r w:rsidRPr="00905356">
        <w:rPr>
          <w:rFonts w:hAnsi="Times New Roman" w:cs="Times New Roman"/>
          <w:i/>
          <w:iCs/>
          <w:noProof/>
        </w:rPr>
        <w:t>58</w:t>
      </w:r>
      <w:r w:rsidRPr="00905356">
        <w:rPr>
          <w:rFonts w:hAnsi="Times New Roman" w:cs="Times New Roman"/>
          <w:noProof/>
        </w:rPr>
        <w:t>(1), 193–197.</w:t>
      </w:r>
    </w:p>
    <w:p w14:paraId="637012E8"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Wiens, J. J. (2004b). What is speciation and how should we study it? </w:t>
      </w:r>
      <w:r w:rsidRPr="00905356">
        <w:rPr>
          <w:rFonts w:hAnsi="Times New Roman" w:cs="Times New Roman"/>
          <w:i/>
          <w:iCs/>
          <w:noProof/>
        </w:rPr>
        <w:t>The American Naturalist</w:t>
      </w:r>
      <w:r w:rsidRPr="00905356">
        <w:rPr>
          <w:rFonts w:hAnsi="Times New Roman" w:cs="Times New Roman"/>
          <w:noProof/>
        </w:rPr>
        <w:t xml:space="preserve">, </w:t>
      </w:r>
      <w:r w:rsidRPr="00905356">
        <w:rPr>
          <w:rFonts w:hAnsi="Times New Roman" w:cs="Times New Roman"/>
          <w:i/>
          <w:iCs/>
          <w:noProof/>
        </w:rPr>
        <w:t>163</w:t>
      </w:r>
      <w:r w:rsidRPr="00905356">
        <w:rPr>
          <w:rFonts w:hAnsi="Times New Roman" w:cs="Times New Roman"/>
          <w:noProof/>
        </w:rPr>
        <w:t>(6), 914–923.</w:t>
      </w:r>
    </w:p>
    <w:p w14:paraId="5D9246B1" w14:textId="77777777" w:rsidR="00905356" w:rsidRPr="00905356" w:rsidRDefault="00905356" w:rsidP="00905356">
      <w:pPr>
        <w:widowControl w:val="0"/>
        <w:autoSpaceDE w:val="0"/>
        <w:autoSpaceDN w:val="0"/>
        <w:adjustRightInd w:val="0"/>
        <w:spacing w:after="180"/>
        <w:ind w:left="480" w:hanging="480"/>
        <w:rPr>
          <w:rFonts w:hAnsi="Times New Roman" w:cs="Times New Roman"/>
          <w:noProof/>
        </w:rPr>
      </w:pPr>
      <w:r w:rsidRPr="00905356">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905356">
        <w:rPr>
          <w:rFonts w:hAnsi="Times New Roman" w:cs="Times New Roman"/>
          <w:i/>
          <w:iCs/>
          <w:noProof/>
        </w:rPr>
        <w:t>Journal of Biogeography</w:t>
      </w:r>
      <w:r w:rsidRPr="00905356">
        <w:rPr>
          <w:rFonts w:hAnsi="Times New Roman" w:cs="Times New Roman"/>
          <w:noProof/>
        </w:rPr>
        <w:t xml:space="preserve">, </w:t>
      </w:r>
      <w:r w:rsidRPr="00905356">
        <w:rPr>
          <w:rFonts w:hAnsi="Times New Roman" w:cs="Times New Roman"/>
          <w:i/>
          <w:iCs/>
          <w:noProof/>
        </w:rPr>
        <w:t>46</w:t>
      </w:r>
      <w:r w:rsidRPr="00905356">
        <w:rPr>
          <w:rFonts w:hAnsi="Times New Roman" w:cs="Times New Roman"/>
          <w:noProof/>
        </w:rPr>
        <w:t>(9), 1936–1947. https://doi.org/10.1111/jbi.13625</w:t>
      </w:r>
    </w:p>
    <w:p w14:paraId="79A91F4D" w14:textId="4FAECA2B" w:rsidR="00112BB0" w:rsidRDefault="008E0DFC" w:rsidP="00905356">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6"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17"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18" w:history="1">
        <w:r w:rsidRPr="002C20EB">
          <w:rPr>
            <w:rStyle w:val="Hyperlink"/>
          </w:rPr>
          <w:t>https://orcid.org/0000-0002-1363-9781</w:t>
        </w:r>
      </w:hyperlink>
    </w:p>
    <w:sectPr w:rsidR="00B46208" w:rsidRPr="00B46208" w:rsidSect="009C2F09">
      <w:footerReference w:type="default" r:id="rId19"/>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952C42" w14:textId="77777777" w:rsidR="00F24741" w:rsidRDefault="00F24741">
      <w:pPr>
        <w:spacing w:after="0"/>
      </w:pPr>
      <w:r>
        <w:separator/>
      </w:r>
    </w:p>
  </w:endnote>
  <w:endnote w:type="continuationSeparator" w:id="0">
    <w:p w14:paraId="304961E9" w14:textId="77777777" w:rsidR="00F24741" w:rsidRDefault="00F24741">
      <w:pPr>
        <w:spacing w:after="0"/>
      </w:pPr>
      <w:r>
        <w:continuationSeparator/>
      </w:r>
    </w:p>
  </w:endnote>
  <w:endnote w:type="continuationNotice" w:id="1">
    <w:p w14:paraId="063955D4" w14:textId="77777777" w:rsidR="00F24741" w:rsidRDefault="00F2474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7C04DE" w:rsidRDefault="007C04DE">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7C04DE" w:rsidRDefault="007C04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92EC2A" w14:textId="77777777" w:rsidR="00F24741" w:rsidRDefault="00F24741">
      <w:r>
        <w:separator/>
      </w:r>
    </w:p>
  </w:footnote>
  <w:footnote w:type="continuationSeparator" w:id="0">
    <w:p w14:paraId="74CF659A" w14:textId="77777777" w:rsidR="00F24741" w:rsidRDefault="00F24741">
      <w:r>
        <w:continuationSeparator/>
      </w:r>
    </w:p>
  </w:footnote>
  <w:footnote w:type="continuationNotice" w:id="1">
    <w:p w14:paraId="02D1E5DE" w14:textId="77777777" w:rsidR="00F24741" w:rsidRDefault="00F24741">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DF9"/>
    <w:rsid w:val="00006E29"/>
    <w:rsid w:val="00007536"/>
    <w:rsid w:val="000075FC"/>
    <w:rsid w:val="00010D0D"/>
    <w:rsid w:val="00011C8B"/>
    <w:rsid w:val="00012F66"/>
    <w:rsid w:val="000134E5"/>
    <w:rsid w:val="00015987"/>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6A23"/>
    <w:rsid w:val="00030FA3"/>
    <w:rsid w:val="00031229"/>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D03"/>
    <w:rsid w:val="000714AC"/>
    <w:rsid w:val="000717D3"/>
    <w:rsid w:val="00072164"/>
    <w:rsid w:val="00072A60"/>
    <w:rsid w:val="00073C4B"/>
    <w:rsid w:val="00074006"/>
    <w:rsid w:val="000740CB"/>
    <w:rsid w:val="000742FC"/>
    <w:rsid w:val="000747BD"/>
    <w:rsid w:val="000764C7"/>
    <w:rsid w:val="00076E7A"/>
    <w:rsid w:val="00077059"/>
    <w:rsid w:val="00077320"/>
    <w:rsid w:val="00077FB5"/>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E01"/>
    <w:rsid w:val="000B6F4D"/>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2DB"/>
    <w:rsid w:val="001E1442"/>
    <w:rsid w:val="001E2A3C"/>
    <w:rsid w:val="001E414D"/>
    <w:rsid w:val="001E4787"/>
    <w:rsid w:val="001E723F"/>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291"/>
    <w:rsid w:val="00202A32"/>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163"/>
    <w:rsid w:val="0028496B"/>
    <w:rsid w:val="00285784"/>
    <w:rsid w:val="00286EA7"/>
    <w:rsid w:val="002870DB"/>
    <w:rsid w:val="00290F74"/>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C0152"/>
    <w:rsid w:val="002C016E"/>
    <w:rsid w:val="002C037D"/>
    <w:rsid w:val="002C08A1"/>
    <w:rsid w:val="002C1A2E"/>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4287"/>
    <w:rsid w:val="0037447E"/>
    <w:rsid w:val="003745E1"/>
    <w:rsid w:val="00375621"/>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3FF"/>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0248"/>
    <w:rsid w:val="004910F0"/>
    <w:rsid w:val="0049156B"/>
    <w:rsid w:val="004915CE"/>
    <w:rsid w:val="00491A7B"/>
    <w:rsid w:val="00491E5D"/>
    <w:rsid w:val="0049206F"/>
    <w:rsid w:val="004921D6"/>
    <w:rsid w:val="00493CCF"/>
    <w:rsid w:val="004940AD"/>
    <w:rsid w:val="00494396"/>
    <w:rsid w:val="00494991"/>
    <w:rsid w:val="0049586B"/>
    <w:rsid w:val="00496FAE"/>
    <w:rsid w:val="004A14DD"/>
    <w:rsid w:val="004A2285"/>
    <w:rsid w:val="004A477C"/>
    <w:rsid w:val="004A47FC"/>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805"/>
    <w:rsid w:val="00557906"/>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AF0"/>
    <w:rsid w:val="005A1B4C"/>
    <w:rsid w:val="005A23E9"/>
    <w:rsid w:val="005A3FC0"/>
    <w:rsid w:val="005A4388"/>
    <w:rsid w:val="005A4616"/>
    <w:rsid w:val="005A4E2A"/>
    <w:rsid w:val="005A5407"/>
    <w:rsid w:val="005A5913"/>
    <w:rsid w:val="005A6B10"/>
    <w:rsid w:val="005A71D2"/>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5EBF"/>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01D"/>
    <w:rsid w:val="005E5F02"/>
    <w:rsid w:val="005E64E1"/>
    <w:rsid w:val="005E7BB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2BC"/>
    <w:rsid w:val="00604415"/>
    <w:rsid w:val="00604A35"/>
    <w:rsid w:val="00605427"/>
    <w:rsid w:val="006056E9"/>
    <w:rsid w:val="00605F37"/>
    <w:rsid w:val="0060601F"/>
    <w:rsid w:val="006067C1"/>
    <w:rsid w:val="006067F9"/>
    <w:rsid w:val="0061190A"/>
    <w:rsid w:val="006121BD"/>
    <w:rsid w:val="006125FF"/>
    <w:rsid w:val="0061314F"/>
    <w:rsid w:val="006139A3"/>
    <w:rsid w:val="0061501B"/>
    <w:rsid w:val="00616091"/>
    <w:rsid w:val="0061648E"/>
    <w:rsid w:val="00617352"/>
    <w:rsid w:val="0061742F"/>
    <w:rsid w:val="006175A1"/>
    <w:rsid w:val="006208D8"/>
    <w:rsid w:val="00620ABE"/>
    <w:rsid w:val="00621603"/>
    <w:rsid w:val="00622773"/>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1F8"/>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24F4"/>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E1B"/>
    <w:rsid w:val="007836C1"/>
    <w:rsid w:val="00784439"/>
    <w:rsid w:val="00784D58"/>
    <w:rsid w:val="00785438"/>
    <w:rsid w:val="00786594"/>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9E2"/>
    <w:rsid w:val="007B1F3F"/>
    <w:rsid w:val="007B1FA8"/>
    <w:rsid w:val="007B46C9"/>
    <w:rsid w:val="007B565B"/>
    <w:rsid w:val="007B5C69"/>
    <w:rsid w:val="007B5DBC"/>
    <w:rsid w:val="007B738D"/>
    <w:rsid w:val="007B7725"/>
    <w:rsid w:val="007B77BA"/>
    <w:rsid w:val="007B7ACC"/>
    <w:rsid w:val="007C04DE"/>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4A90"/>
    <w:rsid w:val="007E4A9C"/>
    <w:rsid w:val="007E55CB"/>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07EFC"/>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795"/>
    <w:rsid w:val="008D18B9"/>
    <w:rsid w:val="008D1C35"/>
    <w:rsid w:val="008D2DCA"/>
    <w:rsid w:val="008D30F0"/>
    <w:rsid w:val="008D333A"/>
    <w:rsid w:val="008D3C44"/>
    <w:rsid w:val="008D4E78"/>
    <w:rsid w:val="008D52DD"/>
    <w:rsid w:val="008D58D0"/>
    <w:rsid w:val="008D6863"/>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5A"/>
    <w:rsid w:val="00900B79"/>
    <w:rsid w:val="0090106E"/>
    <w:rsid w:val="0090147B"/>
    <w:rsid w:val="009017E2"/>
    <w:rsid w:val="00901D65"/>
    <w:rsid w:val="009027B2"/>
    <w:rsid w:val="0090296A"/>
    <w:rsid w:val="00902AF1"/>
    <w:rsid w:val="0090330E"/>
    <w:rsid w:val="00904B0D"/>
    <w:rsid w:val="00905356"/>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4C2A"/>
    <w:rsid w:val="00925CA0"/>
    <w:rsid w:val="00925DAC"/>
    <w:rsid w:val="009266B9"/>
    <w:rsid w:val="009267F6"/>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7CA"/>
    <w:rsid w:val="009509A8"/>
    <w:rsid w:val="00950B88"/>
    <w:rsid w:val="00952B63"/>
    <w:rsid w:val="00952FAF"/>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A8F"/>
    <w:rsid w:val="00A12BF7"/>
    <w:rsid w:val="00A13B07"/>
    <w:rsid w:val="00A14134"/>
    <w:rsid w:val="00A14C7F"/>
    <w:rsid w:val="00A15319"/>
    <w:rsid w:val="00A15FD6"/>
    <w:rsid w:val="00A17592"/>
    <w:rsid w:val="00A179C9"/>
    <w:rsid w:val="00A17D3D"/>
    <w:rsid w:val="00A2083E"/>
    <w:rsid w:val="00A2203D"/>
    <w:rsid w:val="00A22281"/>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3C3"/>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0D1B"/>
    <w:rsid w:val="00A61581"/>
    <w:rsid w:val="00A6199A"/>
    <w:rsid w:val="00A646E1"/>
    <w:rsid w:val="00A64D0C"/>
    <w:rsid w:val="00A64EBD"/>
    <w:rsid w:val="00A65D58"/>
    <w:rsid w:val="00A67894"/>
    <w:rsid w:val="00A70597"/>
    <w:rsid w:val="00A716D1"/>
    <w:rsid w:val="00A7173D"/>
    <w:rsid w:val="00A71D7E"/>
    <w:rsid w:val="00A72024"/>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14B"/>
    <w:rsid w:val="00AA17FE"/>
    <w:rsid w:val="00AA210A"/>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456"/>
    <w:rsid w:val="00AB31DD"/>
    <w:rsid w:val="00AB36BF"/>
    <w:rsid w:val="00AB5AE8"/>
    <w:rsid w:val="00AB6383"/>
    <w:rsid w:val="00AB7C3A"/>
    <w:rsid w:val="00AC205D"/>
    <w:rsid w:val="00AC2235"/>
    <w:rsid w:val="00AC2D9C"/>
    <w:rsid w:val="00AC3CEC"/>
    <w:rsid w:val="00AC6269"/>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964"/>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97C"/>
    <w:rsid w:val="00BF37B7"/>
    <w:rsid w:val="00BF4E98"/>
    <w:rsid w:val="00BF546E"/>
    <w:rsid w:val="00BF54E8"/>
    <w:rsid w:val="00BF6C46"/>
    <w:rsid w:val="00BF7EB4"/>
    <w:rsid w:val="00C00919"/>
    <w:rsid w:val="00C0105A"/>
    <w:rsid w:val="00C01215"/>
    <w:rsid w:val="00C02BF1"/>
    <w:rsid w:val="00C036E3"/>
    <w:rsid w:val="00C03AFA"/>
    <w:rsid w:val="00C04B22"/>
    <w:rsid w:val="00C04D03"/>
    <w:rsid w:val="00C064A9"/>
    <w:rsid w:val="00C06955"/>
    <w:rsid w:val="00C06E13"/>
    <w:rsid w:val="00C072BC"/>
    <w:rsid w:val="00C07B05"/>
    <w:rsid w:val="00C10BD2"/>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2FE"/>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BF4"/>
    <w:rsid w:val="00D06C06"/>
    <w:rsid w:val="00D0764A"/>
    <w:rsid w:val="00D10637"/>
    <w:rsid w:val="00D1137D"/>
    <w:rsid w:val="00D117B3"/>
    <w:rsid w:val="00D11ACC"/>
    <w:rsid w:val="00D12783"/>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2D7E"/>
    <w:rsid w:val="00D43E24"/>
    <w:rsid w:val="00D43F6A"/>
    <w:rsid w:val="00D44AB5"/>
    <w:rsid w:val="00D44B1E"/>
    <w:rsid w:val="00D44BB7"/>
    <w:rsid w:val="00D44C27"/>
    <w:rsid w:val="00D44DFC"/>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28A"/>
    <w:rsid w:val="00D854A0"/>
    <w:rsid w:val="00D87329"/>
    <w:rsid w:val="00D874F0"/>
    <w:rsid w:val="00D87EED"/>
    <w:rsid w:val="00D90939"/>
    <w:rsid w:val="00D91165"/>
    <w:rsid w:val="00D9131F"/>
    <w:rsid w:val="00D91644"/>
    <w:rsid w:val="00D9172D"/>
    <w:rsid w:val="00D924AA"/>
    <w:rsid w:val="00D9295F"/>
    <w:rsid w:val="00D92D3C"/>
    <w:rsid w:val="00D946BB"/>
    <w:rsid w:val="00D96013"/>
    <w:rsid w:val="00D96D52"/>
    <w:rsid w:val="00D96E40"/>
    <w:rsid w:val="00D96E88"/>
    <w:rsid w:val="00DA0F54"/>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0CE5"/>
    <w:rsid w:val="00EB1A1E"/>
    <w:rsid w:val="00EB1E78"/>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4D30"/>
    <w:rsid w:val="00ED655C"/>
    <w:rsid w:val="00ED672F"/>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4C9"/>
    <w:rsid w:val="00EF18FE"/>
    <w:rsid w:val="00EF33BB"/>
    <w:rsid w:val="00EF3B9C"/>
    <w:rsid w:val="00EF41C1"/>
    <w:rsid w:val="00EF443E"/>
    <w:rsid w:val="00EF4918"/>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741"/>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404A"/>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429"/>
    <w:rsid w:val="00FC259F"/>
    <w:rsid w:val="00FC2A30"/>
    <w:rsid w:val="00FC3AFE"/>
    <w:rsid w:val="00FC46A2"/>
    <w:rsid w:val="00FC4F1F"/>
    <w:rsid w:val="00FC548E"/>
    <w:rsid w:val="00FC55F5"/>
    <w:rsid w:val="00FC5D3A"/>
    <w:rsid w:val="00FC5FCB"/>
    <w:rsid w:val="00FC6DF6"/>
    <w:rsid w:val="00FC7DE5"/>
    <w:rsid w:val="00FD032B"/>
    <w:rsid w:val="00FD1780"/>
    <w:rsid w:val="00FD18C0"/>
    <w:rsid w:val="00FD1C6D"/>
    <w:rsid w:val="00FD2D4B"/>
    <w:rsid w:val="00FD350F"/>
    <w:rsid w:val="00FD38DE"/>
    <w:rsid w:val="00FD3C3A"/>
    <w:rsid w:val="00FD3F06"/>
    <w:rsid w:val="00FD46B0"/>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713B"/>
    <w:rsid w:val="00FE718A"/>
    <w:rsid w:val="00FF088B"/>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5.png"/><Relationship Id="rId18" Type="http://schemas.openxmlformats.org/officeDocument/2006/relationships/hyperlink" Target="https://orcid.org/0000-0002-1363-9781"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rcid.org/0000-0003-0989-3266" TargetMode="External"/><Relationship Id="rId2" Type="http://schemas.openxmlformats.org/officeDocument/2006/relationships/numbering" Target="numbering.xml"/><Relationship Id="rId16" Type="http://schemas.openxmlformats.org/officeDocument/2006/relationships/hyperlink" Target="https://orcid.org/0000-0003-2659-6909"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i.org/10.15468/dl.46okua"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5468/dl.n6u6n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E398A2-5DFC-B441-BE2E-10486E258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1260</TotalTime>
  <Pages>26</Pages>
  <Words>40675</Words>
  <Characters>231852</Characters>
  <Application>Microsoft Office Word</Application>
  <DocSecurity>0</DocSecurity>
  <Lines>1932</Lines>
  <Paragraphs>543</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271984</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662</cp:revision>
  <cp:lastPrinted>2020-01-06T10:27:00Z</cp:lastPrinted>
  <dcterms:created xsi:type="dcterms:W3CDTF">2019-12-03T09:32:00Z</dcterms:created>
  <dcterms:modified xsi:type="dcterms:W3CDTF">2020-01-13T15:10:00Z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