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w:t>
      </w:r>
      <w:r w:rsidR="00B9118E">
        <w:t>-</w:t>
      </w:r>
      <w:r w:rsidR="00844A5C">
        <w:t>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 xml:space="preserve">per unit area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w:t>
      </w:r>
      <w:r w:rsidR="007E1523">
        <w:t>,</w:t>
      </w:r>
      <w:r w:rsidR="00273E3C">
        <w:t xml:space="preserve"> richness </w:t>
      </w:r>
      <w:r w:rsidR="00900B79">
        <w:t xml:space="preserve">was also regressed </w:t>
      </w:r>
      <w:r w:rsidR="00273E3C">
        <w:t>against</w:t>
      </w:r>
      <w:r w:rsidR="004059BB">
        <w:t xml:space="preserve"> these individual axes and</w:t>
      </w:r>
      <w:r w:rsidR="00273E3C">
        <w:t xml:space="preserve"> </w:t>
      </w:r>
      <w:r w:rsidR="00900B79">
        <w:t>a major axis of</w:t>
      </w:r>
      <w:r w:rsidR="00D639A3">
        <w:t xml:space="preserve">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118DA">
        <w:t>-</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w:t>
      </w:r>
      <w:r w:rsidR="00862C2B">
        <w:t xml:space="preserve"> and plant species richness hold across the two flora. The generally greater richness per unit area of the GCFR compared to the SWAFR is </w:t>
      </w:r>
      <w:r w:rsidR="00486E0D">
        <w:t xml:space="preserve">thus </w:t>
      </w:r>
      <w:r w:rsidR="00862C2B">
        <w:t xml:space="preserve">explained </w:t>
      </w:r>
      <w:r w:rsidR="00862C2B">
        <w:lastRenderedPageBreak/>
        <w:t>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0C0A63" w:rsidRPr="000C0A63">
        <w:rPr>
          <w:noProof/>
        </w:rPr>
        <w:t>(Bøhn &amp; Amundsen, 2004; Ricklefs, 1987, 2004)</w:t>
      </w:r>
      <w:r w:rsidRPr="002F0553">
        <w:t xml:space="preserve">. </w:t>
      </w:r>
      <w:r w:rsidR="00C20A27">
        <w:t>P</w:t>
      </w:r>
      <w:r w:rsidR="00C20A27" w:rsidRPr="002F0553">
        <w:t>otentially influenc</w:t>
      </w:r>
      <w:r w:rsidR="00C20A27">
        <w:t xml:space="preserve">ing </w:t>
      </w:r>
      <w:r w:rsidRPr="002F0553">
        <w:t>all three effects</w:t>
      </w:r>
      <w:r w:rsidR="00C20A27">
        <w:t>,</w:t>
      </w:r>
      <w:r w:rsidRPr="002F0553">
        <w:t xml:space="preserve"> environmental heterogeneity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w:t>
      </w:r>
      <w:r w:rsidR="002338CF">
        <w:t>ir</w:t>
      </w:r>
      <w:r w:rsidRPr="002F0553">
        <w:t xml:space="preserve"> pre-adaptations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rsidR="007635F3">
        <w:t>A</w:t>
      </w:r>
      <w:r>
        <w:t>ddition</w:t>
      </w:r>
      <w:r w:rsidR="007635F3">
        <w:t>ally</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climatically-buffered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lastRenderedPageBreak/>
        <w:t>(Bergh &amp; Linder, 2009)</w:t>
      </w:r>
      <w:r>
        <w:t xml:space="preserve">. In this context, it is unsurprising that the two floras show strong taxonomic affinities and are </w:t>
      </w:r>
      <w:r w:rsidR="007C6C90">
        <w:t xml:space="preserve">both </w:t>
      </w:r>
      <w:r>
        <w:t xml:space="preserve">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Differences in the spatial scale or “grain” of environmental heterogeneity may also explain the differences in richness between these two floras, with SWAFR environments</w:t>
      </w:r>
      <w:r w:rsidR="000C5407">
        <w:t>’</w:t>
      </w:r>
      <w:r w:rsidR="00510832">
        <w:t xml:space="preserve">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B1341B" w:rsidRPr="00B1341B">
        <w:rPr>
          <w:noProof/>
        </w:rPr>
        <w:t>(Mucina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rsidRPr="00F72828">
        <w:rPr>
          <w:noProof/>
        </w:rPr>
        <w:t>(Olson et al., 2001)</w:t>
      </w:r>
      <w:r w:rsidR="001C5D8A">
        <w:t xml:space="preserve"> in order to match the current deli</w:t>
      </w:r>
      <w:r w:rsidR="006F0BA2">
        <w:t>mitation of the</w:t>
      </w:r>
      <w:r w:rsidR="001C5D8A">
        <w:t xml:space="preserve"> SWAFR </w:t>
      </w:r>
      <w:r w:rsidR="00404D92" w:rsidRPr="00404D92">
        <w:rPr>
          <w:noProof/>
        </w:rPr>
        <w:t>(Gioia &amp; Hopper, 2017; Hopper &amp; Gioia, 2004b)</w:t>
      </w:r>
      <w:r w:rsidR="001C5D8A">
        <w:t>.</w:t>
      </w:r>
      <w:r w:rsidR="006F0BA2">
        <w:t xml:space="preserve"> </w:t>
      </w:r>
      <w:r w:rsidR="00F569DD">
        <w:t>O</w:t>
      </w:r>
      <w:r w:rsidR="00C87747">
        <w:t xml:space="preserve">ccurrence data </w:t>
      </w:r>
      <w:r w:rsidR="00DC7F3D">
        <w:t>were</w:t>
      </w:r>
      <w:r w:rsidR="00996B78">
        <w:t xml:space="preserve"> </w:t>
      </w:r>
      <w:r w:rsidR="00DC7F3D">
        <w:t xml:space="preserve">cleaned </w:t>
      </w:r>
      <w:r w:rsidR="001D58D6">
        <w:t xml:space="preserve">using </w:t>
      </w:r>
      <w:r w:rsidR="00166053">
        <w:t xml:space="preserve">the “taxize” package </w:t>
      </w:r>
      <w:r w:rsidR="00166053" w:rsidRPr="00B1341B">
        <w:rPr>
          <w:noProof/>
        </w:rPr>
        <w:t xml:space="preserve">(Chamberlain et al., </w:t>
      </w:r>
      <w:r w:rsidR="00166053" w:rsidRPr="00B1341B">
        <w:rPr>
          <w:noProof/>
        </w:rPr>
        <w:lastRenderedPageBreak/>
        <w:t>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rsidRPr="005B6901">
        <w:rPr>
          <w:noProof/>
        </w:rPr>
        <w:t>Larsen</w:t>
      </w:r>
      <w:r w:rsidR="00232556">
        <w:rPr>
          <w:noProof/>
        </w:rPr>
        <w:t xml:space="preserve"> et al.</w:t>
      </w:r>
      <w:r w:rsidR="00E0178F" w:rsidRPr="005B6901">
        <w:rPr>
          <w:noProof/>
        </w:rPr>
        <w: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F7150F"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F7150F"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-tests</w:t>
      </w:r>
      <w:r w:rsidR="006B1A15">
        <w:rPr>
          <w:rFonts w:eastAsiaTheme="minorEastAsia"/>
        </w:rPr>
        <w:t xml:space="preserve"> </w:t>
      </w:r>
      <w:r w:rsidRPr="00C76FCB">
        <w:rPr>
          <w:rFonts w:eastAsiaTheme="minorEastAsia"/>
        </w:rPr>
        <w:t xml:space="preserve">in R, </w:t>
      </w:r>
      <w:r w:rsidR="001A2A48">
        <w:rPr>
          <w:rFonts w:eastAsiaTheme="minorEastAsia"/>
        </w:rPr>
        <w:t>as these data were</w:t>
      </w:r>
      <w:r w:rsidRPr="00C76FCB">
        <w:rPr>
          <w:rFonts w:eastAsiaTheme="minorEastAsia"/>
        </w:rPr>
        <w:t xml:space="preserve"> non-normally distribute</w:t>
      </w:r>
      <w:r w:rsidR="001A2A48">
        <w:rPr>
          <w:rFonts w:eastAsiaTheme="minorEastAsia"/>
        </w:rPr>
        <w:t>d</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 (</w:t>
      </w:r>
      <w:r w:rsidR="003B10FC">
        <w:t>[P]</w:t>
      </w:r>
      <w:r w:rsidR="002930EF">
        <w:rPr>
          <w:vertAlign w:val="subscript"/>
        </w:rPr>
        <w:t>soil</w:t>
      </w:r>
      <w:r w:rsidR="002930EF">
        <w:t>)</w:t>
      </w:r>
      <w:r w:rsidR="003B10FC">
        <w:t xml:space="preserve"> is probably an important determinant of plant distribution in both the 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 xml:space="preserve">ed </w:t>
      </w:r>
      <w:r w:rsidR="007612C7">
        <w:lastRenderedPageBreak/>
        <w:t>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w:t>
      </w:r>
      <w:r w:rsidR="00473602">
        <w:t xml:space="preserve">bilinearly </w:t>
      </w:r>
      <w:r w:rsidR="005F0FFB">
        <w:t xml:space="preserve">to 0.05º resolution </w:t>
      </w:r>
      <w:r w:rsidR="00473602">
        <w:t xml:space="preserve">using </w:t>
      </w:r>
      <w:r w:rsidR="005F0FFB">
        <w:t>“raster”.</w:t>
      </w:r>
    </w:p>
    <w:p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365B9E">
        <w:t>its</w:t>
      </w:r>
      <w:r w:rsidR="002810B1">
        <w:t xml:space="preserv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using the</w:t>
      </w:r>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B1341B" w:rsidRPr="00B1341B">
        <w:rPr>
          <w:noProof/>
        </w:rPr>
        <w:t>(Hijmans, 2016)</w:t>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8C499E">
        <w:t>,</w:t>
      </w:r>
      <w:r w:rsidR="0014092A">
        <w:t xml:space="preserve"> and “tidyverse” packages </w:t>
      </w:r>
      <w:r w:rsidR="006A50EF" w:rsidRPr="006A50EF">
        <w:rPr>
          <w:noProof/>
        </w:rPr>
        <w:t>(Wickham et al., 2019)</w:t>
      </w:r>
      <w:r w:rsidR="0014092A">
        <w:t xml:space="preserve">. Regarding the latter, data at the QDS-, HDS- and DS-scales </w:t>
      </w:r>
      <w:r w:rsidR="00F3104C">
        <w:t>were</w:t>
      </w:r>
      <w:r w:rsidR="0014092A">
        <w:t xml:space="preserve"> analysed in data-frames labelled with grid-cell codes (sensu </w:t>
      </w:r>
      <w:r w:rsidR="0014092A" w:rsidRPr="005B6901">
        <w:rPr>
          <w:noProof/>
        </w:rPr>
        <w:t>Larsen</w:t>
      </w:r>
      <w:r w:rsidR="00333B59">
        <w:rPr>
          <w:noProof/>
        </w:rPr>
        <w:t xml:space="preserve"> et al.</w:t>
      </w:r>
      <w:r w:rsidR="0014092A" w:rsidRPr="005B6901">
        <w:rPr>
          <w:noProof/>
        </w:rPr>
        <w:t>, 2009)</w:t>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w:t>
      </w:r>
      <w:r w:rsidR="00AB3A7D">
        <w:t>the four</w:t>
      </w:r>
      <w:r w:rsidR="005F0FFB">
        <w:t xml:space="preserve"> </w:t>
      </w:r>
      <w:r w:rsidR="00FD3C3A">
        <w:t>spatial scale</w:t>
      </w:r>
      <w:r w:rsidR="00AB3A7D">
        <w:t>s</w:t>
      </w:r>
      <w:r w:rsidR="00F358D2">
        <w:t xml:space="preserve">. </w:t>
      </w:r>
      <w:r w:rsidR="005F0FFB">
        <w:t xml:space="preserve">The first </w:t>
      </w:r>
      <w:r w:rsidR="00E52A66">
        <w:t>axis</w:t>
      </w:r>
      <w:r w:rsidR="005F0FFB">
        <w:t xml:space="preserve"> </w:t>
      </w:r>
      <w:r w:rsidR="002B0F5B">
        <w:t xml:space="preserve">(PC1) </w:t>
      </w:r>
      <w:r w:rsidR="005F0FFB">
        <w:t xml:space="preserve">from each represents </w:t>
      </w:r>
      <w:r w:rsidR="003B5289">
        <w:t>a</w:t>
      </w:r>
      <w:r w:rsidR="005F0FFB">
        <w:t xml:space="preserv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xml:space="preserve">, </w:t>
      </w:r>
      <w:r w:rsidR="00771543">
        <w:t>as</w:t>
      </w:r>
      <w:r w:rsidR="000B7C42">
        <w:t xml:space="preserve"> some </w:t>
      </w:r>
      <w:r w:rsidR="00306DE0">
        <w:t>forms of heterogeneity</w:t>
      </w:r>
      <w:r w:rsidR="00306DE0">
        <w:t xml:space="preserve"> </w:t>
      </w:r>
      <w:r w:rsidR="00771543">
        <w:t xml:space="preserve">were </w:t>
      </w:r>
      <w:r w:rsidR="000B7C42">
        <w:t>non-normally distributed</w:t>
      </w:r>
      <w:r w:rsidR="005C752F">
        <w:t>.</w:t>
      </w:r>
      <w:bookmarkEnd w:id="4"/>
      <w:r w:rsidR="00DE7007">
        <w:t xml:space="preserve"> </w:t>
      </w:r>
      <w:r w:rsidR="00F1656B">
        <w:t xml:space="preserve">Both analyses were </w:t>
      </w:r>
      <w:r w:rsidR="00F179E0">
        <w:t>repeated</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axis</w:t>
      </w:r>
      <w:r w:rsidR="00B5568E">
        <w:t xml:space="preserve">, </w:t>
      </w:r>
      <w:r w:rsidR="00793F46">
        <w:t>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each</w:t>
      </w:r>
      <w:r w:rsidRPr="007031A0">
        <w:rPr>
          <w:rFonts w:eastAsia="MS Mincho"/>
        </w:rPr>
        <w:t xml:space="preserve"> environmental </w:t>
      </w:r>
      <w:r w:rsidR="006F5DAE" w:rsidRPr="007031A0">
        <w:rPr>
          <w:rFonts w:eastAsia="MS Mincho"/>
        </w:rPr>
        <w:t xml:space="preserve">heterogeneity </w:t>
      </w:r>
      <w:r w:rsidRPr="007031A0">
        <w:rPr>
          <w:rFonts w:eastAsia="MS Mincho"/>
        </w:rPr>
        <w:t>variable</w:t>
      </w:r>
      <w:r w:rsidR="0020430D">
        <w:rPr>
          <w:rFonts w:eastAsia="MS Mincho"/>
        </w:rPr>
        <w:t xml:space="preserve"> (including</w:t>
      </w:r>
      <w:r w:rsidR="00A13B07" w:rsidRPr="007031A0">
        <w:rPr>
          <w:rFonts w:eastAsia="MS Mincho"/>
        </w:rPr>
        <w:t xml:space="preserve"> </w:t>
      </w:r>
      <w:r w:rsidRPr="007031A0">
        <w:rPr>
          <w:rFonts w:eastAsia="MS Mincho"/>
        </w:rPr>
        <w:t>the major axis</w:t>
      </w:r>
      <w:r w:rsidR="00794787">
        <w:rPr>
          <w:rFonts w:eastAsia="MS Mincho"/>
        </w:rPr>
        <w:t>)</w:t>
      </w:r>
      <w:r w:rsidRPr="007031A0">
        <w:rPr>
          <w:rFonts w:eastAsia="MS Mincho"/>
        </w:rPr>
        <w:t xml:space="preserve">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model</w:t>
      </w:r>
      <w:r w:rsidR="000862D3">
        <w:rPr>
          <w:rFonts w:eastAsia="MS Mincho"/>
        </w:rPr>
        <w:t>,</w:t>
      </w:r>
      <w:r w:rsidR="004511B3" w:rsidRPr="007031A0">
        <w:rPr>
          <w:rFonts w:eastAsia="MS Mincho"/>
        </w:rPr>
        <w:t xml:space="preserve">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w:t>
      </w:r>
      <w:r w:rsidR="00397AF6">
        <w:rPr>
          <w:rFonts w:eastAsia="MS Mincho"/>
        </w:rPr>
        <w:t>se</w:t>
      </w:r>
      <w:r w:rsidR="00547291" w:rsidRPr="007031A0">
        <w:rPr>
          <w:rFonts w:eastAsia="MS Mincho"/>
        </w:rPr>
        <w:t xml:space="preserve"> ten </w:t>
      </w:r>
      <w:r w:rsidR="00547291" w:rsidRPr="007031A0">
        <w:rPr>
          <w:rFonts w:eastAsia="MS Mincho"/>
        </w:rPr>
        <w:lastRenderedPageBreak/>
        <w:t>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w:t>
      </w:r>
    </w:p>
    <w:p w:rsidR="00E01AE6" w:rsidRDefault="00A465FD">
      <w:pPr>
        <w:pStyle w:val="FirstParagraph"/>
      </w:pPr>
      <w:r w:rsidRPr="007031A0">
        <w:rPr>
          <w:rFonts w:eastAsia="MS Mincho"/>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BC6A85">
        <w:t>, we infer</w:t>
      </w:r>
      <w:r w:rsidR="009D474B">
        <w:t xml:space="preserve"> the dependence of species richness on heterogeneity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w:t>
      </w:r>
      <w:r w:rsidR="006E5854">
        <w:t>given</w:t>
      </w:r>
      <w:r w:rsidR="00DC385A">
        <w:t xml:space="preserve">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w:t>
      </w:r>
      <w:r w:rsidR="001C4553">
        <w:t>having</w:t>
      </w:r>
      <w:r w:rsidR="0072431B">
        <w:t xml:space="preserve"> residual species richness</w:t>
      </w:r>
      <w:r w:rsidR="00887059">
        <w:t xml:space="preserve"> more than two standard deviations from the mean</w:t>
      </w:r>
      <w:r w:rsidR="006D6946">
        <w:t xml:space="preserve"> predicted species richness at a given level of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w:t>
      </w:r>
      <w:r w:rsidR="00223E51">
        <w:t>s</w:t>
      </w:r>
      <w:r w:rsidR="003D2B4F">
        <w:t xml:space="preserve">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(two-sided 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xml:space="preserve">, </w:t>
      </w:r>
      <w:r w:rsidR="002C32D6" w:rsidRPr="006B3905">
        <w:lastRenderedPageBreak/>
        <w:t>SWAFR: 0.4</w:t>
      </w:r>
      <w:r w:rsidR="002C1C6A">
        <w:t>9</w:t>
      </w:r>
      <w:r w:rsidR="002C32D6" w:rsidRPr="006B3905">
        <w:t xml:space="preserve">; two-sided 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a form of heterogeneity as having a positive effect on richness in both regions</w:t>
      </w:r>
      <w:r w:rsidR="00A64381" w:rsidRPr="007031A0">
        <w:rPr>
          <w:rFonts w:eastAsia="MS Mincho"/>
        </w:rPr>
        <w:t xml:space="preserve"> or </w:t>
      </w:r>
      <w:r w:rsidR="00C86D71" w:rsidRPr="007031A0">
        <w:rPr>
          <w:rFonts w:eastAsia="MS Mincho"/>
        </w:rPr>
        <w:t xml:space="preserve">as </w:t>
      </w:r>
      <w:r w:rsidR="00A64381" w:rsidRPr="007031A0">
        <w:rPr>
          <w:rFonts w:eastAsia="MS Mincho"/>
        </w:rPr>
        <w:t>having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species 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w:t>
      </w:r>
      <w:r w:rsidR="00E22B64" w:rsidRPr="00E22B64">
        <w:lastRenderedPageBreak/>
        <w:t>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at least at the scales 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w:t>
      </w:r>
      <w:r w:rsidR="0090296A">
        <w:lastRenderedPageBreak/>
        <w:t xml:space="preserve">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heterogeneity-species 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w:t>
      </w:r>
      <w:r w:rsidR="00C55DCA">
        <w:lastRenderedPageBreak/>
        <w:t>broad scales</w:t>
      </w:r>
      <w:r w:rsidR="0065333D">
        <w:t xml:space="preserve"> </w:t>
      </w:r>
      <w:r w:rsidR="003103A8" w:rsidRPr="003103A8">
        <w:rPr>
          <w:noProof/>
        </w:rPr>
        <w:t>(Currie, 1991; Hawkins et al., 2003; Kreft &amp; Jetz, 2007)</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in sampling that arise from targetted collection efforts (e.g. </w:t>
      </w:r>
      <w:r w:rsidR="0019553F">
        <w:rPr>
          <w:rFonts w:cs="Times New Roman"/>
          <w:noProof/>
          <w:lang w:val="en-GB"/>
        </w:rPr>
        <w:t>collection trips targetting a specific taxon and disregarding others in a given locality</w:t>
      </w:r>
      <w:r w:rsidR="001F13D1">
        <w:rPr>
          <w:rFonts w:cs="Times New Roman"/>
          <w:noProof/>
          <w:lang w:val="en-GB"/>
        </w:rPr>
        <w:t xml:space="preserve">). </w:t>
      </w:r>
      <w:r w:rsidR="00375621">
        <w:rPr>
          <w:rFonts w:cs="Times New Roman"/>
          <w:noProof/>
          <w:lang w:val="en-GB"/>
        </w:rPr>
        <w:t>W</w:t>
      </w:r>
      <w:r w:rsidR="00E823D6">
        <w:t xml:space="preserve">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lastRenderedPageBreak/>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rsidRPr="007722C9">
        <w:rPr>
          <w:noProof/>
        </w:rPr>
        <w:t>(Cowling &amp; Lombard, 2002; Cowling et al., 2017; Verboom et al., 2014)</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133F9A" w:rsidRDefault="00133F9A" w:rsidP="00133F9A">
      <w:pPr>
        <w:pStyle w:val="Heading1"/>
      </w:pPr>
      <w:r>
        <w:lastRenderedPageBreak/>
        <w:t>Figure captions</w:t>
      </w:r>
    </w:p>
    <w:p w:rsidR="00133F9A" w:rsidRPr="001675D2" w:rsidRDefault="00133F9A" w:rsidP="00133F9A">
      <w:pPr>
        <w:pStyle w:val="BodyText"/>
        <w:rPr>
          <w:b/>
        </w:rPr>
      </w:pPr>
      <w:r w:rsidRPr="00242181">
        <w:rPr>
          <w:b/>
        </w:rPr>
        <w:t xml:space="preserve">Figure </w:t>
      </w:r>
      <w:r>
        <w:rPr>
          <w:b/>
        </w:rPr>
        <w:t>1</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 (</w:t>
      </w:r>
      <w:r w:rsidRPr="00ED6805">
        <w:rPr>
          <w:i/>
          <w:iCs/>
        </w:rPr>
        <w:t>S</w:t>
      </w:r>
      <w:r>
        <w:rPr>
          <w:vertAlign w:val="subscript"/>
        </w:rPr>
        <w:t>HDS</w:t>
      </w:r>
      <w:r>
        <w:t xml:space="preserve">), </w:t>
      </w:r>
      <w:r w:rsidRPr="00805B10">
        <w:rPr>
          <w:b/>
          <w:bCs/>
        </w:rPr>
        <w:t>(c,d)</w:t>
      </w:r>
      <w:r>
        <w:t xml:space="preserve"> values of the major axis of environmental heterogeneity (PC1) from the PCA of nine forms of environmental heterogeneity (log</w:t>
      </w:r>
      <w:r w:rsidRPr="00C9106C">
        <w:rPr>
          <w:vertAlign w:val="subscript"/>
        </w:rPr>
        <w:t>10</w:t>
      </w:r>
      <w:r>
        <w:t xml:space="preserve">-transformed; Table S1) and residual species richness following regressions against </w:t>
      </w:r>
      <w:r w:rsidRPr="00805B10">
        <w:rPr>
          <w:b/>
          <w:bCs/>
        </w:rPr>
        <w:t>(e,f)</w:t>
      </w:r>
      <w:r>
        <w:t xml:space="preserve"> PC1 (see also Figure 4b) and </w:t>
      </w:r>
      <w:r w:rsidRPr="00805B10">
        <w:rPr>
          <w:b/>
          <w:bCs/>
        </w:rPr>
        <w:t>(g,h)</w:t>
      </w:r>
      <w:r>
        <w:t xml:space="preserve"> the multivariate (MV) regression model (see also Figure 5b). Map projection used: WGS84. Colour versions of these maps, and the QDS- and DS-scale equivalents (Figure S9, S10 respectively) are available in the online version.</w:t>
      </w:r>
    </w:p>
    <w:p w:rsidR="00133F9A" w:rsidRPr="001675D2" w:rsidRDefault="00133F9A" w:rsidP="00133F9A">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133F9A" w:rsidRDefault="00133F9A" w:rsidP="00133F9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t xml:space="preserve">positive </w:t>
      </w:r>
      <w:r w:rsidRPr="007138B7">
        <w:t xml:space="preserve">scale-dependence (depicted by lines) for </w:t>
      </w:r>
      <w:r>
        <w:t>most variables. Both strongly significant (</w:t>
      </w:r>
      <w:r w:rsidRPr="007138B7">
        <w:rPr>
          <w:i/>
          <w:iCs/>
        </w:rPr>
        <w:t>P</w:t>
      </w:r>
      <w:r>
        <w:t xml:space="preserve"> &lt; 0.05; a</w:t>
      </w:r>
      <w:r w:rsidRPr="006A6996">
        <w:t>–</w:t>
      </w:r>
      <w:r>
        <w:t>c,g,i) and marginally significant</w:t>
      </w:r>
      <w:r w:rsidRPr="007138B7">
        <w:t xml:space="preserve"> </w:t>
      </w:r>
      <w:r>
        <w:t>(</w:t>
      </w:r>
      <w:r>
        <w:rPr>
          <w:i/>
          <w:iCs/>
        </w:rPr>
        <w:t>P</w:t>
      </w:r>
      <w:r>
        <w:t xml:space="preserve"> &lt; 0.1; d,e,h) have been plotted, the latter for illustration. Note, only two forms of heterogeneity were found to be negatively scale-dependent </w:t>
      </w:r>
      <w:r w:rsidRPr="008E5837">
        <w:rPr>
          <w:b/>
          <w:bCs/>
        </w:rPr>
        <w:t>(b,h)</w:t>
      </w:r>
      <w:r w:rsidRPr="006A6996">
        <w:t>. Abbreviations are as in Table</w:t>
      </w:r>
      <w:r>
        <w:t xml:space="preserve"> 1</w:t>
      </w:r>
      <w:r w:rsidRPr="006A6996">
        <w:t>.</w:t>
      </w:r>
    </w:p>
    <w:p w:rsidR="00133F9A" w:rsidRDefault="00133F9A" w:rsidP="00133F9A">
      <w:pPr>
        <w:pStyle w:val="BodyText"/>
      </w:pPr>
      <w:r>
        <w:rPr>
          <w:b/>
        </w:rPr>
        <w:t>Figure 4</w:t>
      </w:r>
      <w:r w:rsidRPr="00242181">
        <w:rPr>
          <w:b/>
        </w:rPr>
        <w:t>:</w:t>
      </w:r>
      <w:r w:rsidRPr="000951C2">
        <w:t xml:space="preserve"> Simple linear regressions of vascular plant species richness as </w:t>
      </w:r>
      <w:r w:rsidRPr="00580240">
        <w:rPr>
          <w:b/>
          <w:bCs/>
        </w:rPr>
        <w:t>(a)</w:t>
      </w:r>
      <w:r w:rsidRPr="000951C2">
        <w:t xml:space="preserve"> </w:t>
      </w:r>
      <w:r w:rsidRPr="000951C2">
        <w:rPr>
          <w:i/>
        </w:rPr>
        <w:t>S</w:t>
      </w:r>
      <w:r>
        <w:rPr>
          <w:vertAlign w:val="subscript"/>
        </w:rPr>
        <w:t>Q</w:t>
      </w:r>
      <w:r w:rsidRPr="000951C2">
        <w:rPr>
          <w:vertAlign w:val="subscript"/>
        </w:rPr>
        <w:t>DS</w:t>
      </w:r>
      <w:r>
        <w:t xml:space="preserve">, </w:t>
      </w:r>
      <w:r w:rsidRPr="00580240">
        <w:rPr>
          <w:b/>
          <w:bCs/>
        </w:rPr>
        <w:t>(b)</w:t>
      </w:r>
      <w:r w:rsidRPr="000951C2">
        <w:t xml:space="preserve"> </w:t>
      </w:r>
      <w:r w:rsidRPr="000951C2">
        <w:rPr>
          <w:i/>
        </w:rPr>
        <w:t>S</w:t>
      </w:r>
      <w:r>
        <w:rPr>
          <w:vertAlign w:val="subscript"/>
        </w:rPr>
        <w:t>H</w:t>
      </w:r>
      <w:r w:rsidRPr="000951C2">
        <w:rPr>
          <w:vertAlign w:val="subscript"/>
        </w:rPr>
        <w:t>DS</w:t>
      </w:r>
      <w:r w:rsidRPr="000951C2">
        <w:t xml:space="preserve"> </w:t>
      </w:r>
      <w:r>
        <w:t xml:space="preserve">and </w:t>
      </w:r>
      <w:r w:rsidRPr="00580240">
        <w:rPr>
          <w:b/>
          <w:bCs/>
        </w:rPr>
        <w:t>(c)</w:t>
      </w:r>
      <w:r>
        <w:t xml:space="preserve"> </w:t>
      </w:r>
      <w:r w:rsidRPr="00603141">
        <w:rPr>
          <w:i/>
        </w:rPr>
        <w:t>S</w:t>
      </w:r>
      <w:r>
        <w:rPr>
          <w:vertAlign w:val="subscript"/>
        </w:rPr>
        <w:t>DS</w:t>
      </w:r>
      <w:r>
        <w:t xml:space="preserve"> </w:t>
      </w:r>
      <w:r w:rsidRPr="000951C2">
        <w:t xml:space="preserve">against each respective scale’s </w:t>
      </w:r>
      <w:r>
        <w:t xml:space="preserve">major axis </w:t>
      </w:r>
      <w:r w:rsidRPr="000951C2">
        <w:t xml:space="preserve">of environmental heterogeneity </w:t>
      </w:r>
      <w:r>
        <w:t>(PC1</w:t>
      </w:r>
      <w:r w:rsidRPr="000951C2">
        <w:t xml:space="preserve">) </w:t>
      </w:r>
      <w:r>
        <w:t>across</w:t>
      </w:r>
      <w:r w:rsidRPr="000951C2">
        <w:t xml:space="preserve"> the</w:t>
      </w:r>
      <w:r>
        <w:t xml:space="preserve"> </w:t>
      </w:r>
      <w:r w:rsidRPr="000951C2">
        <w:t>GCFR</w:t>
      </w:r>
      <w:r>
        <w:t xml:space="preserve"> and </w:t>
      </w:r>
      <w:r w:rsidRPr="000951C2">
        <w:t xml:space="preserve">SWAFR. </w:t>
      </w:r>
      <w:r>
        <w:t xml:space="preserve">Grid-cells representing </w:t>
      </w:r>
      <w:r w:rsidRPr="00D031FB">
        <w:t>hotspots</w:t>
      </w:r>
      <w:r>
        <w:t xml:space="preserve"> of species richness (identified as having residual </w:t>
      </w:r>
      <w:r>
        <w:rPr>
          <w:i/>
        </w:rPr>
        <w:t>S</w:t>
      </w:r>
      <w:r>
        <w:t xml:space="preserve"> greater than two standard deviations from the mean) are identified by triangles (black for the GCFR, white for SWAFR). These three linear models are presented in Table 1, all with highly significant slopes (</w:t>
      </w:r>
      <w:r w:rsidRPr="007C06EE">
        <w:rPr>
          <w:i/>
        </w:rPr>
        <w:t>P</w:t>
      </w:r>
      <w:r>
        <w:t xml:space="preserve"> &lt; 0.001) and were fitted including species richness hotspots. For </w:t>
      </w:r>
      <w:r w:rsidRPr="00B55EEC">
        <w:rPr>
          <w:i/>
          <w:iCs/>
        </w:rPr>
        <w:t>S</w:t>
      </w:r>
      <w:r w:rsidRPr="00B55EEC">
        <w:rPr>
          <w:vertAlign w:val="subscript"/>
        </w:rPr>
        <w:t>QDS</w:t>
      </w:r>
      <w:r>
        <w:t xml:space="preserve">, the separate fits for the GCFR (black) and SWAFR (grey) are presented </w:t>
      </w:r>
      <w:r w:rsidRPr="00C606F9">
        <w:t>following the best fitting model at th</w:t>
      </w:r>
      <w:r>
        <w:t>at</w:t>
      </w:r>
      <w:r w:rsidRPr="00C606F9">
        <w:t xml:space="preserve"> scale:</w:t>
      </w:r>
      <w:r>
        <w:t xml:space="preserve"> a</w:t>
      </w:r>
      <w:r w:rsidRPr="007031A0">
        <w:rPr>
          <w:rFonts w:eastAsia="MS Mincho"/>
        </w:rPr>
        <w:t xml:space="preserve"> “main effect + region” model (</w:t>
      </w:r>
      <w:r w:rsidRPr="007031A0">
        <w:rPr>
          <w:rFonts w:eastAsia="MS Mincho"/>
          <w:i/>
        </w:rPr>
        <w:t>S</w:t>
      </w:r>
      <w:r w:rsidRPr="007031A0">
        <w:rPr>
          <w:rFonts w:eastAsia="MS Mincho"/>
        </w:rPr>
        <w:t xml:space="preserve"> ~ </w:t>
      </w:r>
      <w:r w:rsidRPr="007031A0">
        <w:rPr>
          <w:rFonts w:cs="Times New Roman"/>
          <w:i/>
        </w:rPr>
        <w:t>β</w:t>
      </w:r>
      <w:r w:rsidRPr="007031A0">
        <w:rPr>
          <w:rFonts w:cs="Times New Roman"/>
          <w:vertAlign w:val="subscript"/>
        </w:rPr>
        <w:t>0</w:t>
      </w:r>
      <w:r w:rsidRPr="007031A0">
        <w:rPr>
          <w:rFonts w:cs="Times New Roman"/>
        </w:rPr>
        <w:t xml:space="preserve"> + </w:t>
      </w:r>
      <w:r w:rsidRPr="007031A0">
        <w:rPr>
          <w:rFonts w:cs="Times New Roman"/>
          <w:i/>
        </w:rPr>
        <w:t>β</w:t>
      </w:r>
      <w:r w:rsidRPr="007031A0">
        <w:rPr>
          <w:rFonts w:cs="Times New Roman"/>
          <w:vertAlign w:val="subscript"/>
        </w:rPr>
        <w:t>1</w:t>
      </w:r>
      <w:r w:rsidRPr="007031A0">
        <w:rPr>
          <w:rFonts w:cs="Times New Roman"/>
          <w:i/>
        </w:rPr>
        <w:t>X</w:t>
      </w:r>
      <w:r w:rsidRPr="007031A0">
        <w:rPr>
          <w:rFonts w:cs="Times New Roman"/>
        </w:rPr>
        <w:t xml:space="preserve"> + </w:t>
      </w:r>
      <w:r w:rsidRPr="007031A0">
        <w:rPr>
          <w:rFonts w:cs="Times New Roman"/>
          <w:i/>
        </w:rPr>
        <w:t>β</w:t>
      </w:r>
      <w:r w:rsidRPr="007031A0">
        <w:rPr>
          <w:rFonts w:cs="Times New Roman"/>
          <w:vertAlign w:val="subscript"/>
        </w:rPr>
        <w:t>2</w:t>
      </w:r>
      <w:r w:rsidRPr="007031A0">
        <w:rPr>
          <w:rFonts w:cs="Times New Roman"/>
          <w:i/>
        </w:rPr>
        <w:t>Region</w:t>
      </w:r>
      <w:r w:rsidRPr="007031A0">
        <w:rPr>
          <w:rFonts w:cs="Times New Roman"/>
          <w:iCs/>
        </w:rPr>
        <w:t xml:space="preserve">; </w:t>
      </w:r>
      <w:r>
        <w:t>Table 1a</w:t>
      </w:r>
      <w:r w:rsidRPr="007031A0">
        <w:rPr>
          <w:rFonts w:cs="Times New Roman"/>
        </w:rPr>
        <w:t>)</w:t>
      </w:r>
      <w:r>
        <w:t xml:space="preserve">. The </w:t>
      </w:r>
      <w:r>
        <w:rPr>
          <w:i/>
        </w:rPr>
        <w:t>R</w:t>
      </w:r>
      <w:r>
        <w:rPr>
          <w:vertAlign w:val="superscript"/>
        </w:rPr>
        <w:t>2</w:t>
      </w:r>
      <w:r>
        <w:t>-values of each model and the percentage variation in environmental heterogeneity explained by PC1 from each of the three PCAs are noted in parentheses in the panel and horizontal axis headings respectively. The equivalent results when hotpots were excluded is available in the online version (Figure S7).</w:t>
      </w:r>
    </w:p>
    <w:p w:rsidR="00133F9A" w:rsidRDefault="00133F9A" w:rsidP="00133F9A">
      <w:pPr>
        <w:pStyle w:val="BodyText"/>
      </w:pPr>
      <w:r>
        <w:br w:type="page"/>
      </w:r>
    </w:p>
    <w:p w:rsidR="00133F9A" w:rsidRDefault="00133F9A" w:rsidP="00133F9A">
      <w:pPr>
        <w:pStyle w:val="BodyText"/>
      </w:pPr>
      <w:r>
        <w:rPr>
          <w:b/>
        </w:rPr>
        <w:lastRenderedPageBreak/>
        <w:t>Figure 5</w:t>
      </w:r>
      <w:r w:rsidRPr="00242181">
        <w:rPr>
          <w:b/>
        </w:rPr>
        <w:t>:</w:t>
      </w:r>
      <w:r w:rsidRPr="00EB7331">
        <w:t xml:space="preserve"> </w:t>
      </w:r>
      <w:r>
        <w:t>Partial effect</w:t>
      </w:r>
      <w:r w:rsidRPr="00EB7331">
        <w:t xml:space="preserve"> estimates from multiple linear regressions of vascular plant species richness as </w:t>
      </w:r>
      <w:r w:rsidRPr="00474DB5">
        <w:rPr>
          <w:b/>
          <w:bCs/>
        </w:rPr>
        <w:t>(a)</w:t>
      </w:r>
      <w:r w:rsidRPr="00EB7331">
        <w:t xml:space="preserve"> </w:t>
      </w:r>
      <w:r w:rsidRPr="00EB7331">
        <w:rPr>
          <w:i/>
        </w:rPr>
        <w:t>S</w:t>
      </w:r>
      <w:r>
        <w:rPr>
          <w:vertAlign w:val="subscript"/>
        </w:rPr>
        <w:t>Q</w:t>
      </w:r>
      <w:r w:rsidRPr="00EB7331">
        <w:rPr>
          <w:vertAlign w:val="subscript"/>
        </w:rPr>
        <w:t>DS</w:t>
      </w:r>
      <w:r>
        <w:t>,</w:t>
      </w:r>
      <w:r w:rsidRPr="00EB7331">
        <w:t xml:space="preserve"> </w:t>
      </w:r>
      <w:r w:rsidRPr="00474DB5">
        <w:rPr>
          <w:b/>
          <w:bCs/>
        </w:rPr>
        <w:t>(b)</w:t>
      </w:r>
      <w:r w:rsidRPr="00EB7331">
        <w:t xml:space="preserve"> </w:t>
      </w:r>
      <w:r w:rsidRPr="00EB7331">
        <w:rPr>
          <w:i/>
        </w:rPr>
        <w:t>S</w:t>
      </w:r>
      <w:r>
        <w:rPr>
          <w:vertAlign w:val="subscript"/>
        </w:rPr>
        <w:t>H</w:t>
      </w:r>
      <w:r w:rsidRPr="00EB7331">
        <w:rPr>
          <w:vertAlign w:val="subscript"/>
        </w:rPr>
        <w:t>DS</w:t>
      </w:r>
      <w:r w:rsidRPr="00EB7331">
        <w:t xml:space="preserve"> </w:t>
      </w:r>
      <w:r>
        <w:t xml:space="preserve">and </w:t>
      </w:r>
      <w:r w:rsidRPr="00474DB5">
        <w:rPr>
          <w:b/>
          <w:bCs/>
        </w:rPr>
        <w:t>(c)</w:t>
      </w:r>
      <w:r w:rsidRPr="00EB7331">
        <w:t xml:space="preserve"> </w:t>
      </w:r>
      <w:r w:rsidRPr="00F53C09">
        <w:rPr>
          <w:i/>
        </w:rPr>
        <w:t>S</w:t>
      </w:r>
      <w:r>
        <w:rPr>
          <w:vertAlign w:val="subscript"/>
        </w:rPr>
        <w:t>DS</w:t>
      </w:r>
      <w:r>
        <w:t xml:space="preserve"> </w:t>
      </w:r>
      <w:r w:rsidRPr="00EB7331">
        <w:t xml:space="preserve">against the various forms of environmental heterogeneity </w:t>
      </w:r>
      <w:r>
        <w:t>(log</w:t>
      </w:r>
      <w:r>
        <w:rPr>
          <w:vertAlign w:val="subscript"/>
        </w:rPr>
        <w:t>10</w:t>
      </w:r>
      <w:r>
        <w:t xml:space="preserve">-transformed and re-scaled) </w:t>
      </w:r>
      <w:r w:rsidRPr="00EB7331">
        <w:t xml:space="preserve">across </w:t>
      </w:r>
      <w:r>
        <w:t xml:space="preserve">the </w:t>
      </w:r>
      <w:r w:rsidRPr="00EB7331">
        <w:t>GCFR</w:t>
      </w:r>
      <w:r>
        <w:t xml:space="preserve"> and </w:t>
      </w:r>
      <w:r w:rsidRPr="00EB7331">
        <w:t>SWAFR. Points with error bars denote</w:t>
      </w:r>
      <w:r>
        <w:t xml:space="preserve"> slopes</w:t>
      </w:r>
      <w:r w:rsidRPr="00EB7331">
        <w:t xml:space="preserve"> and their 95% confidence intervals. </w:t>
      </w:r>
      <w:r>
        <w:t xml:space="preserve">Filled and empty points represent effect estimates for the GCFR and the SWAFR relative to the GCFR, respectively (i.e. region-interaction terms were retained during </w:t>
      </w:r>
      <w:r w:rsidRPr="00EB7331">
        <w:t>stepwise model selection</w:t>
      </w:r>
      <w:r>
        <w:t xml:space="preserve">). Crosses represent main effects (i.e. no region-interaction term retained). </w:t>
      </w:r>
      <w:r w:rsidRPr="00EB7331">
        <w:t>Estimates illustrated in black were significant (</w:t>
      </w:r>
      <w:r w:rsidRPr="00EB7331">
        <w:rPr>
          <w:i/>
        </w:rPr>
        <w:t>P</w:t>
      </w:r>
      <w:r w:rsidRPr="00EB7331">
        <w:t xml:space="preserve"> &lt; 0.05), while those in grey were not, but still retained during stepwise model selection. </w:t>
      </w:r>
      <w:r>
        <w:t xml:space="preserve">The multiple adjusted </w:t>
      </w:r>
      <w:r>
        <w:rPr>
          <w:i/>
        </w:rPr>
        <w:t>R</w:t>
      </w:r>
      <w:r>
        <w:rPr>
          <w:vertAlign w:val="superscript"/>
        </w:rPr>
        <w:t>2</w:t>
      </w:r>
      <w:r>
        <w:t xml:space="preserve">-values of each model are noted in parentheses in the panel headings. </w:t>
      </w:r>
      <w:r w:rsidRPr="00EB7331">
        <w:t>Abbreviations of variables are as in Table</w:t>
      </w:r>
      <w:r>
        <w:t xml:space="preserve"> 1</w:t>
      </w:r>
      <w:r w:rsidRPr="00EB7331">
        <w:t xml:space="preserve"> and </w:t>
      </w:r>
      <w:r>
        <w:t>Figure 3</w:t>
      </w:r>
      <w:r w:rsidRPr="00EB7331">
        <w:t>.</w:t>
      </w:r>
      <w:r>
        <w:t xml:space="preserve"> The equivalent results when species richness hotpots were excluded is available in the online version (Figure S8).</w:t>
      </w:r>
    </w:p>
    <w:p w:rsidR="00133F9A" w:rsidRDefault="00133F9A" w:rsidP="00133F9A">
      <w:pPr>
        <w:pStyle w:val="BodyText"/>
      </w:pPr>
      <w:r>
        <w:br w:type="page"/>
      </w:r>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9871CA" w:rsidRPr="002C20EB" w:rsidRDefault="00DA25A6" w:rsidP="009871CA">
      <w:pPr>
        <w:pStyle w:val="BodyText"/>
      </w:pPr>
      <w:r w:rsidRPr="00242181">
        <w:rPr>
          <w:b/>
        </w:rPr>
        <w:t xml:space="preserve">Figure </w:t>
      </w:r>
      <w:r>
        <w:rPr>
          <w:b/>
        </w:rPr>
        <w:t>1</w:t>
      </w: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492D72" w:rsidRDefault="00AB4550" w:rsidP="009871CA">
      <w:pPr>
        <w:pStyle w:val="BodyText"/>
      </w:pPr>
      <w:r w:rsidRPr="006B3905">
        <w:rPr>
          <w:b/>
        </w:rPr>
        <w:t>Figure 2</w:t>
      </w:r>
      <w:r w:rsidR="00D04776">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9871CA" w:rsidRDefault="009871CA" w:rsidP="009871CA">
      <w:pPr>
        <w:pStyle w:val="BodyText"/>
      </w:pPr>
      <w:r>
        <w:rPr>
          <w:b/>
        </w:rPr>
        <w:t>Figure 3</w:t>
      </w: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D04776" w:rsidRDefault="00B02E73" w:rsidP="00133F9A">
      <w:pPr>
        <w:pStyle w:val="BodyText"/>
      </w:pPr>
      <w:r>
        <w:rPr>
          <w:b/>
        </w:rPr>
        <w:t xml:space="preserve">Figure </w:t>
      </w:r>
      <w:r w:rsidR="00FF0F3A">
        <w:rPr>
          <w:b/>
        </w:rPr>
        <w:t>4</w:t>
      </w:r>
      <w:r w:rsidR="00D04776">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570649" w:rsidRDefault="008538A7" w:rsidP="00133F9A">
      <w:pPr>
        <w:pStyle w:val="BodyText"/>
      </w:pPr>
      <w:r>
        <w:rPr>
          <w:b/>
        </w:rPr>
        <w:t xml:space="preserve">Figure </w:t>
      </w:r>
      <w:r w:rsidR="00977291">
        <w:rPr>
          <w:b/>
        </w:rPr>
        <w:t>5</w:t>
      </w:r>
      <w:bookmarkStart w:id="9" w:name="references"/>
      <w:r w:rsidR="00570649">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E502C9" w:rsidP="00363E65">
      <w:pPr>
        <w:widowControl w:val="0"/>
        <w:autoSpaceDE w:val="0"/>
        <w:autoSpaceDN w:val="0"/>
        <w:adjustRightInd w:val="0"/>
        <w:spacing w:after="180"/>
        <w:ind w:left="480" w:hanging="480"/>
        <w:rPr>
          <w:rFonts w:hAnsi="Times New Roman" w:cs="Times New Roman"/>
          <w:noProof/>
          <w:lang w:val="en-GB"/>
        </w:rPr>
      </w:pPr>
      <w:r>
        <w:rPr>
          <w:rFonts w:hAnsi="Times New Roman" w:cs="Times New Roman"/>
          <w:noProof/>
          <w:lang w:val="en-GB"/>
        </w:rPr>
        <w:t>V</w:t>
      </w:r>
      <w:r w:rsidR="00363E65" w:rsidRPr="00363E65">
        <w:rPr>
          <w:rFonts w:hAnsi="Times New Roman" w:cs="Times New Roman"/>
          <w:noProof/>
          <w:lang w:val="en-GB"/>
        </w:rPr>
        <w:t xml:space="preserve">an Rensburg, B. J., Chown, S. L., &amp; Gaston, K. J. (2002). Species richness, environmental correlates, and spatial scale: a test esing South African birds. </w:t>
      </w:r>
      <w:r w:rsidR="00363E65" w:rsidRPr="00363E65">
        <w:rPr>
          <w:rFonts w:hAnsi="Times New Roman" w:cs="Times New Roman"/>
          <w:i/>
          <w:iCs/>
          <w:noProof/>
          <w:lang w:val="en-GB"/>
        </w:rPr>
        <w:t>The American Naturalist</w:t>
      </w:r>
      <w:r w:rsidR="00363E65" w:rsidRPr="00363E65">
        <w:rPr>
          <w:rFonts w:hAnsi="Times New Roman" w:cs="Times New Roman"/>
          <w:noProof/>
          <w:lang w:val="en-GB"/>
        </w:rPr>
        <w:t xml:space="preserve">, </w:t>
      </w:r>
      <w:r w:rsidR="00363E65" w:rsidRPr="00363E65">
        <w:rPr>
          <w:rFonts w:hAnsi="Times New Roman" w:cs="Times New Roman"/>
          <w:i/>
          <w:iCs/>
          <w:noProof/>
          <w:lang w:val="en-GB"/>
        </w:rPr>
        <w:t>159</w:t>
      </w:r>
      <w:r w:rsidR="00363E65"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7150F" w:rsidRDefault="00F7150F">
      <w:pPr>
        <w:spacing w:after="0"/>
      </w:pPr>
      <w:r>
        <w:separator/>
      </w:r>
    </w:p>
  </w:endnote>
  <w:endnote w:type="continuationSeparator" w:id="0">
    <w:p w:rsidR="00F7150F" w:rsidRDefault="00F7150F">
      <w:pPr>
        <w:spacing w:after="0"/>
      </w:pPr>
      <w:r>
        <w:continuationSeparator/>
      </w:r>
    </w:p>
  </w:endnote>
  <w:endnote w:type="continuationNotice" w:id="1">
    <w:p w:rsidR="00F7150F" w:rsidRDefault="00F7150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7150F" w:rsidRDefault="00F7150F">
      <w:r>
        <w:separator/>
      </w:r>
    </w:p>
  </w:footnote>
  <w:footnote w:type="continuationSeparator" w:id="0">
    <w:p w:rsidR="00F7150F" w:rsidRDefault="00F7150F">
      <w:r>
        <w:continuationSeparator/>
      </w:r>
    </w:p>
  </w:footnote>
  <w:footnote w:type="continuationNotice" w:id="1">
    <w:p w:rsidR="00F7150F" w:rsidRDefault="00F7150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57650"/>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2D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E5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407"/>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24B3"/>
    <w:rsid w:val="000F2560"/>
    <w:rsid w:val="000F2FAD"/>
    <w:rsid w:val="000F3C79"/>
    <w:rsid w:val="000F419D"/>
    <w:rsid w:val="000F4A13"/>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8F6"/>
    <w:rsid w:val="00106E88"/>
    <w:rsid w:val="0010729C"/>
    <w:rsid w:val="0010737E"/>
    <w:rsid w:val="00111290"/>
    <w:rsid w:val="001114A8"/>
    <w:rsid w:val="00112BB0"/>
    <w:rsid w:val="00113AF9"/>
    <w:rsid w:val="00114867"/>
    <w:rsid w:val="001149F3"/>
    <w:rsid w:val="00114B76"/>
    <w:rsid w:val="001155C0"/>
    <w:rsid w:val="00115FA8"/>
    <w:rsid w:val="00116D81"/>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3F9A"/>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7D9"/>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A48"/>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553"/>
    <w:rsid w:val="001C4D68"/>
    <w:rsid w:val="001C5233"/>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30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3E51"/>
    <w:rsid w:val="00226569"/>
    <w:rsid w:val="00230147"/>
    <w:rsid w:val="00230ABA"/>
    <w:rsid w:val="00230ADA"/>
    <w:rsid w:val="00230AF5"/>
    <w:rsid w:val="00230C87"/>
    <w:rsid w:val="00230DBA"/>
    <w:rsid w:val="002314C2"/>
    <w:rsid w:val="00231B2B"/>
    <w:rsid w:val="00232556"/>
    <w:rsid w:val="002333AE"/>
    <w:rsid w:val="002338CF"/>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0D5"/>
    <w:rsid w:val="002448E4"/>
    <w:rsid w:val="00244E17"/>
    <w:rsid w:val="00245739"/>
    <w:rsid w:val="00246296"/>
    <w:rsid w:val="002465B9"/>
    <w:rsid w:val="00246D04"/>
    <w:rsid w:val="00246F28"/>
    <w:rsid w:val="0024759A"/>
    <w:rsid w:val="0024778C"/>
    <w:rsid w:val="00250011"/>
    <w:rsid w:val="0025032F"/>
    <w:rsid w:val="00250568"/>
    <w:rsid w:val="00251338"/>
    <w:rsid w:val="002513DB"/>
    <w:rsid w:val="0025173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6DE0"/>
    <w:rsid w:val="00307282"/>
    <w:rsid w:val="00307444"/>
    <w:rsid w:val="003103A8"/>
    <w:rsid w:val="00310608"/>
    <w:rsid w:val="00310871"/>
    <w:rsid w:val="003115F6"/>
    <w:rsid w:val="00311E35"/>
    <w:rsid w:val="0031277D"/>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B5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B9E"/>
    <w:rsid w:val="00365CC9"/>
    <w:rsid w:val="0036643B"/>
    <w:rsid w:val="0036753D"/>
    <w:rsid w:val="0036760E"/>
    <w:rsid w:val="00367CC6"/>
    <w:rsid w:val="00371EA1"/>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2B66"/>
    <w:rsid w:val="003939AA"/>
    <w:rsid w:val="00393AAD"/>
    <w:rsid w:val="00393E28"/>
    <w:rsid w:val="0039482B"/>
    <w:rsid w:val="00395282"/>
    <w:rsid w:val="00396132"/>
    <w:rsid w:val="00397AF6"/>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289"/>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18A"/>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9BB"/>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0F7F"/>
    <w:rsid w:val="00472407"/>
    <w:rsid w:val="00472798"/>
    <w:rsid w:val="00472BBD"/>
    <w:rsid w:val="00473510"/>
    <w:rsid w:val="00473602"/>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B9B"/>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D9E"/>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651"/>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3EC"/>
    <w:rsid w:val="00532A81"/>
    <w:rsid w:val="00532F79"/>
    <w:rsid w:val="005341EC"/>
    <w:rsid w:val="0053496F"/>
    <w:rsid w:val="00534FEC"/>
    <w:rsid w:val="005350C1"/>
    <w:rsid w:val="0053552E"/>
    <w:rsid w:val="0053565B"/>
    <w:rsid w:val="005358D9"/>
    <w:rsid w:val="005367B4"/>
    <w:rsid w:val="00537892"/>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6081"/>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4C"/>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8DA"/>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462"/>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0F2"/>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1A1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C7D3F"/>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5854"/>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AE"/>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1F8"/>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5F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54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787"/>
    <w:rsid w:val="007948F4"/>
    <w:rsid w:val="00794AA0"/>
    <w:rsid w:val="00796101"/>
    <w:rsid w:val="007968A1"/>
    <w:rsid w:val="007974D6"/>
    <w:rsid w:val="00797E84"/>
    <w:rsid w:val="007A00E8"/>
    <w:rsid w:val="007A0841"/>
    <w:rsid w:val="007A145C"/>
    <w:rsid w:val="007A1C58"/>
    <w:rsid w:val="007A1F3D"/>
    <w:rsid w:val="007A219E"/>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B7D37"/>
    <w:rsid w:val="007C04DE"/>
    <w:rsid w:val="007C06EE"/>
    <w:rsid w:val="007C0E34"/>
    <w:rsid w:val="007C1274"/>
    <w:rsid w:val="007C16D2"/>
    <w:rsid w:val="007C1BD8"/>
    <w:rsid w:val="007C1C6F"/>
    <w:rsid w:val="007C20A3"/>
    <w:rsid w:val="007C308D"/>
    <w:rsid w:val="007C3F0A"/>
    <w:rsid w:val="007C5406"/>
    <w:rsid w:val="007C5AFE"/>
    <w:rsid w:val="007C5FF7"/>
    <w:rsid w:val="007C6C90"/>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1523"/>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7C2"/>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59A4"/>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99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708"/>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190"/>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0F13"/>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1CC"/>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745"/>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97A"/>
    <w:rsid w:val="00AB0A34"/>
    <w:rsid w:val="00AB0E53"/>
    <w:rsid w:val="00AB1D5C"/>
    <w:rsid w:val="00AB2058"/>
    <w:rsid w:val="00AB21A1"/>
    <w:rsid w:val="00AB21ED"/>
    <w:rsid w:val="00AB2456"/>
    <w:rsid w:val="00AB31DD"/>
    <w:rsid w:val="00AB36BF"/>
    <w:rsid w:val="00AB3A7D"/>
    <w:rsid w:val="00AB4550"/>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27D4C"/>
    <w:rsid w:val="00B31850"/>
    <w:rsid w:val="00B31A36"/>
    <w:rsid w:val="00B32071"/>
    <w:rsid w:val="00B32A88"/>
    <w:rsid w:val="00B331CD"/>
    <w:rsid w:val="00B33235"/>
    <w:rsid w:val="00B332AF"/>
    <w:rsid w:val="00B33426"/>
    <w:rsid w:val="00B335D2"/>
    <w:rsid w:val="00B33FA9"/>
    <w:rsid w:val="00B3492D"/>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68E"/>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5FF"/>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9A"/>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85"/>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55D"/>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0A27"/>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69"/>
    <w:rsid w:val="00C45889"/>
    <w:rsid w:val="00C47FAF"/>
    <w:rsid w:val="00C502FE"/>
    <w:rsid w:val="00C50CE8"/>
    <w:rsid w:val="00C512E9"/>
    <w:rsid w:val="00C51441"/>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77A73"/>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4D4"/>
    <w:rsid w:val="00C945C4"/>
    <w:rsid w:val="00C95B1E"/>
    <w:rsid w:val="00C964C6"/>
    <w:rsid w:val="00C96F57"/>
    <w:rsid w:val="00C971F1"/>
    <w:rsid w:val="00C97C12"/>
    <w:rsid w:val="00CA03AC"/>
    <w:rsid w:val="00CA0D48"/>
    <w:rsid w:val="00CA0ECD"/>
    <w:rsid w:val="00CA131C"/>
    <w:rsid w:val="00CA2A08"/>
    <w:rsid w:val="00CA2E0E"/>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057"/>
    <w:rsid w:val="00CD22B0"/>
    <w:rsid w:val="00CD262A"/>
    <w:rsid w:val="00CD3B73"/>
    <w:rsid w:val="00CD408B"/>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1ACD"/>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2C9"/>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0A1"/>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05C0"/>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0F3F"/>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79D"/>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5D03"/>
    <w:rsid w:val="00F16319"/>
    <w:rsid w:val="00F1656B"/>
    <w:rsid w:val="00F16FBC"/>
    <w:rsid w:val="00F177A5"/>
    <w:rsid w:val="00F1788A"/>
    <w:rsid w:val="00F179E0"/>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04C"/>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69DD"/>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50F"/>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4FD"/>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link w:val="Heading1Char"/>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 w:type="character" w:customStyle="1" w:styleId="Heading1Char">
    <w:name w:val="Heading 1 Char"/>
    <w:basedOn w:val="DefaultParagraphFont"/>
    <w:link w:val="Heading1"/>
    <w:uiPriority w:val="9"/>
    <w:rsid w:val="00133F9A"/>
    <w:rPr>
      <w:rFonts w:ascii="Times New Roman" w:eastAsia="MS Gothic" w:hAnsi="Times New Roman" w:cs="Times New Roman"/>
      <w:b/>
      <w:bCs/>
      <w:color w:val="00000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28</Pages>
  <Words>9924</Words>
  <Characters>56569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66361</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111</cp:revision>
  <cp:lastPrinted>2020-02-28T12:27:00Z</cp:lastPrinted>
  <dcterms:created xsi:type="dcterms:W3CDTF">2020-07-21T13:38:00Z</dcterms:created>
  <dcterms:modified xsi:type="dcterms:W3CDTF">2020-07-23T13:48:00Z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