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03D2EF96"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1BD25366" w14:textId="23DEB722" w:rsidR="00381AA9" w:rsidRPr="00381AA9" w:rsidRDefault="00381AA9" w:rsidP="00F70B73">
      <w:pPr>
        <w:pStyle w:val="BodyText"/>
        <w:rPr>
          <w:i/>
          <w:iCs/>
        </w:rPr>
      </w:pPr>
      <w:r w:rsidRPr="00381AA9">
        <w:rPr>
          <w:i/>
          <w:iCs/>
          <w:highlight w:val="green"/>
        </w:rPr>
        <w:t>[ ]</w:t>
      </w:r>
      <w:r w:rsidRPr="00381AA9">
        <w:rPr>
          <w:i/>
          <w:iCs/>
        </w:rPr>
        <w:t xml:space="preserve"> = missing proper citation</w:t>
      </w:r>
    </w:p>
    <w:p w14:paraId="584B4C41" w14:textId="18A3B9D7" w:rsidR="00381AA9" w:rsidRPr="00381AA9" w:rsidRDefault="00381AA9" w:rsidP="00F70B73">
      <w:pPr>
        <w:pStyle w:val="BodyText"/>
        <w:rPr>
          <w:i/>
          <w:iCs/>
        </w:rPr>
      </w:pPr>
      <w:r w:rsidRPr="00381AA9">
        <w:rPr>
          <w:i/>
          <w:iCs/>
          <w:highlight w:val="yellow"/>
        </w:rPr>
        <w:t>[ ]</w:t>
      </w:r>
      <w:r w:rsidRPr="00381AA9">
        <w:rPr>
          <w:i/>
          <w:iCs/>
        </w:rPr>
        <w:t xml:space="preserve"> = TODO</w:t>
      </w:r>
    </w:p>
    <w:p w14:paraId="5C1D2FB7" w14:textId="4D6CF323" w:rsidR="00381AA9" w:rsidRPr="00381AA9" w:rsidRDefault="00381AA9" w:rsidP="00F70B73">
      <w:pPr>
        <w:pStyle w:val="BodyText"/>
        <w:rPr>
          <w:i/>
          <w:iCs/>
          <w:highlight w:val="yellow"/>
        </w:rPr>
      </w:pPr>
      <w:r w:rsidRPr="00381AA9">
        <w:rPr>
          <w:i/>
          <w:iCs/>
          <w:highlight w:val="red"/>
        </w:rPr>
        <w:t>[ ]</w:t>
      </w:r>
      <w:r w:rsidRPr="00381AA9">
        <w:rPr>
          <w:i/>
          <w:iCs/>
        </w:rPr>
        <w:t xml:space="preserve"> = correction needed</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43249104"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any locally-deterministic, environmental features (e.g. productivity, heterogeneity) that influence species persistence and coexistence </w:t>
      </w:r>
      <w:r w:rsidR="0056429B">
        <w:fldChar w:fldCharType="begin" w:fldLock="1"/>
      </w:r>
      <w:r w:rsidR="00CE1A8E">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biodiversity","type":"article-journal","volume":"7"},"uris":["http://www.mendeley.com/documents/?uuid=238af75a-b3ae-4919-aaf9-b0dc01f2abf3"]}],"mendeley":{"formattedCitation":"(Ricklefs, 1987, 2004)","plainTextFormattedCitation":"(Ricklefs, 1987, 2004)","previouslyFormattedCitation":"(Ricklefs, 1987, 2004)"},"properties":{"noteIndex":0},"schema":"https://github.com/citation-style-language/schema/raw/master/csl-citation.json"}</w:instrText>
      </w:r>
      <w:r w:rsidR="0056429B">
        <w:fldChar w:fldCharType="separate"/>
      </w:r>
      <w:r w:rsidR="0056429B" w:rsidRPr="0056429B">
        <w:rPr>
          <w:noProof/>
        </w:rPr>
        <w:t>(Ricklefs, 1987, 2004)</w:t>
      </w:r>
      <w:r w:rsidR="0056429B">
        <w:fldChar w:fldCharType="end"/>
      </w:r>
      <w:r w:rsidR="00870B87">
        <w:t xml:space="preserve">; </w:t>
      </w:r>
      <w:proofErr w:type="spellStart"/>
      <w:r w:rsidR="00870B87" w:rsidRPr="002C20EB">
        <w:rPr>
          <w:highlight w:val="green"/>
        </w:rPr>
        <w:t>Bøhn</w:t>
      </w:r>
      <w:proofErr w:type="spellEnd"/>
      <w:r w:rsidR="00870B87" w:rsidRPr="002C20EB">
        <w:rPr>
          <w:highlight w:val="green"/>
        </w:rPr>
        <w:t xml:space="preserve">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proofErr w:type="spellStart"/>
      <w:r w:rsidRPr="0027221A">
        <w:rPr>
          <w:highlight w:val="green"/>
        </w:rPr>
        <w:t>Ackerly</w:t>
      </w:r>
      <w:proofErr w:type="spellEnd"/>
      <w:r w:rsidRPr="0027221A">
        <w:rPr>
          <w:highlight w:val="green"/>
        </w:rPr>
        <w:t>, Donoghue</w:t>
      </w:r>
      <w:r w:rsidR="00235637" w:rsidRPr="0027221A">
        <w:rPr>
          <w:highlight w:val="green"/>
        </w:rPr>
        <w:t xml:space="preserve"> &amp; </w:t>
      </w:r>
      <w:r w:rsidRPr="0027221A">
        <w:rPr>
          <w:highlight w:val="green"/>
        </w:rPr>
        <w:t>Crisp</w:t>
      </w:r>
      <w:r w:rsidR="001F3AA2" w:rsidRPr="001F3AA2">
        <w:rPr>
          <w:highlight w:val="green"/>
        </w:rPr>
        <w:t>, XXXX</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627260">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speciation","type":"article-journal","volume":"64"},"uris":["http://www.mendeley.com/documents/?uuid=9e2e8540-0f90-36a3-84f1-cc363fcde52f"]}],"mendeley":{"formattedCitation":"(Sobel, Chen, Watt, &amp; Schemske, 2010)","plainTextFormattedCitation":"(Sobel, Chen, Watt, &amp; Schemske, 2010)","previouslyFormattedCitation":"(Sobel, Chen, Watt, &amp; Schemske, 2010)"},"properties":{"noteIndex":0},"schema":"https://github.com/citation-style-language/schema/raw/master/csl-citation.json"}</w:instrText>
      </w:r>
      <w:r w:rsidR="00CE1A8E">
        <w:fldChar w:fldCharType="separate"/>
      </w:r>
      <w:r w:rsidR="00CE1A8E" w:rsidRPr="00CE1A8E">
        <w:rPr>
          <w:noProof/>
        </w:rPr>
        <w:t>(Sobel, Chen, Watt, &amp; Schemske, 2010)</w:t>
      </w:r>
      <w:r w:rsidR="00CE1A8E">
        <w:fldChar w:fldCharType="end"/>
      </w:r>
      <w:r w:rsidR="00CE1A8E">
        <w:t xml:space="preserve">; </w:t>
      </w:r>
      <w:r w:rsidR="00CE1A8E" w:rsidRPr="001F3AA2">
        <w:rPr>
          <w:highlight w:val="green"/>
        </w:rPr>
        <w:t>Wiens, 2004a</w:t>
      </w:r>
      <w:r w:rsidR="00CE1A8E" w:rsidRPr="0036643B">
        <w:t>,</w:t>
      </w:r>
      <w:r w:rsidR="00CE1A8E" w:rsidRPr="001F3AA2">
        <w:rPr>
          <w:highlight w:val="green"/>
        </w:rPr>
        <w:t>b</w:t>
      </w:r>
      <w:r w:rsidR="00CE1A8E">
        <w:t>)</w:t>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05728CD2"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D7395A">
        <w:rPr>
          <w:highlight w:val="green"/>
        </w:rPr>
        <w:t xml:space="preserve">Stock </w:t>
      </w:r>
      <w:r w:rsidR="00B8268E" w:rsidRPr="00D7395A">
        <w:rPr>
          <w:highlight w:val="green"/>
        </w:rPr>
        <w:t>&amp;</w:t>
      </w:r>
      <w:r w:rsidRPr="00D7395A">
        <w:rPr>
          <w:highlight w:val="green"/>
        </w:rPr>
        <w:t xml:space="preserve"> Verboom</w:t>
      </w:r>
      <w:r w:rsidR="00B847F4" w:rsidRPr="00D7395A">
        <w:rPr>
          <w:highlight w:val="green"/>
        </w:rPr>
        <w:t>,</w:t>
      </w:r>
      <w:r w:rsidR="00C40608" w:rsidRPr="00D7395A">
        <w:rPr>
          <w:highlight w:val="green"/>
        </w:rPr>
        <w:t xml:space="preserve"> </w:t>
      </w:r>
      <w:r w:rsidR="00705608" w:rsidRPr="00D7395A">
        <w:rPr>
          <w:highlight w:val="green"/>
        </w:rPr>
        <w:t>2012</w:t>
      </w:r>
      <w:r w:rsidRPr="00A432DE">
        <w:t>)</w:t>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Palaeocene and possibly even </w:t>
      </w:r>
      <w:r>
        <w:lastRenderedPageBreak/>
        <w:t>earlier (</w:t>
      </w:r>
      <w:r w:rsidRPr="004D5D8A">
        <w:rPr>
          <w:highlight w:val="yellow"/>
        </w:rPr>
        <w:t>refs</w:t>
      </w:r>
      <w:r>
        <w:t>), with 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48CB06FB"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Pr="005A1AF0">
        <w:rPr>
          <w:highlight w:val="green"/>
        </w:rPr>
        <w:t>Snijman</w:t>
      </w:r>
      <w:r w:rsidR="00B847F4" w:rsidRPr="005A1AF0">
        <w:rPr>
          <w:highlight w:val="green"/>
        </w:rPr>
        <w:t>,</w:t>
      </w:r>
      <w:r w:rsidRPr="005A1AF0">
        <w:rPr>
          <w:highlight w:val="green"/>
        </w:rPr>
        <w:t xml:space="preserve"> 2013</w:t>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4302">
        <w:rPr>
          <w:highlight w:val="green"/>
        </w:rPr>
        <w:t>Goldblatt</w:t>
      </w:r>
      <w:r w:rsidR="00B847F4" w:rsidRPr="00E14302">
        <w:rPr>
          <w:highlight w:val="green"/>
        </w:rPr>
        <w:t>,</w:t>
      </w:r>
      <w:r w:rsidRPr="00E14302">
        <w:rPr>
          <w:highlight w:val="green"/>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14:paraId="52348C6B" w14:textId="647D8AC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Note, we excluded occurrence data (and indeed environmental data, </w:t>
      </w:r>
      <w:r w:rsidR="00841086">
        <w:lastRenderedPageBreak/>
        <w:t>below) originating from coastal pixels at the 0.05</w:t>
      </w:r>
      <w:r w:rsidR="00841086">
        <w:rPr>
          <w:rFonts w:cstheme="majorBidi"/>
        </w:rPr>
        <w:t>° resolution</w:t>
      </w:r>
      <w:r w:rsidR="00D52E5F">
        <w:rPr>
          <w:rFonts w:cstheme="majorBidi"/>
        </w:rPr>
        <w:t>. This excluded any relationships exhibited in coastal/dunal vegetation from our analyses</w:t>
      </w:r>
      <w:r w:rsidR="006B6D5E">
        <w:rPr>
          <w:rFonts w:cstheme="majorBidi"/>
        </w:rPr>
        <w:t xml:space="preserve"> [</w:t>
      </w:r>
      <w:r w:rsidR="006B6D5E" w:rsidRPr="006B6D5E">
        <w:rPr>
          <w:rFonts w:cstheme="majorBidi"/>
          <w:highlight w:val="yellow"/>
        </w:rPr>
        <w:t>…</w:t>
      </w:r>
      <w:r w:rsidR="006B6D5E">
        <w:rPr>
          <w:rFonts w:cstheme="majorBidi"/>
        </w:rPr>
        <w:t>]</w:t>
      </w:r>
      <w:r w:rsidR="00841086">
        <w:rPr>
          <w:rFonts w:cstheme="majorBidi"/>
        </w:rPr>
        <w:t>.</w:t>
      </w:r>
    </w:p>
    <w:p w14:paraId="26664BCB" w14:textId="6BC681F2"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0C8205FE" w:rsidR="00DD2348" w:rsidRDefault="00970650" w:rsidP="008A4E97">
      <w:pPr>
        <w:pStyle w:val="Heading2"/>
        <w:spacing w:line="240" w:lineRule="auto"/>
      </w:pPr>
      <w:r>
        <w:t>2.2</w:t>
      </w:r>
      <w:r w:rsidR="00305C02">
        <w:t>:</w:t>
      </w:r>
      <w:r>
        <w:t xml:space="preserve"> </w:t>
      </w:r>
      <w:r w:rsidR="005F0FFB">
        <w:t>Comparing environmental heterogeneity</w:t>
      </w:r>
      <w:bookmarkEnd w:id="3"/>
    </w:p>
    <w:p w14:paraId="16702F9A" w14:textId="4E77BF4A"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lastRenderedPageBreak/>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2EA7E361"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“canprot”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4" w:name="environmental-heterogeneity-as-an-explan"/>
      <w:r>
        <w:t>2.3</w:t>
      </w:r>
      <w:r w:rsidR="0009179A">
        <w:t>:</w:t>
      </w:r>
      <w:r>
        <w:t xml:space="preserve"> </w:t>
      </w:r>
      <w:r w:rsidR="005F0FFB">
        <w:t>Environmental heterogeneity as an explanation of species richness</w:t>
      </w:r>
      <w:bookmarkEnd w:id="4"/>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02774DA9"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reverse stepwise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B2D0F38"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 xml:space="preserve">with residual </w:t>
      </w:r>
      <w:r w:rsidR="0072431B">
        <w:lastRenderedPageBreak/>
        <w:t>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5" w:name="results"/>
      <w:r>
        <w:t>3</w:t>
      </w:r>
      <w:r w:rsidR="00E4661A">
        <w:t>:</w:t>
      </w:r>
      <w:r>
        <w:t xml:space="preserve"> </w:t>
      </w:r>
      <w:r w:rsidR="00D04776">
        <w:t>Results</w:t>
      </w:r>
      <w:bookmarkEnd w:id="5"/>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252ADA7F" w:rsidR="002C32D6" w:rsidRPr="006B3905" w:rsidRDefault="002C32D6" w:rsidP="002C32D6">
      <w:pPr>
        <w:pStyle w:val="FirstParagraph"/>
        <w:rPr>
          <w:i/>
        </w:rPr>
      </w:pPr>
      <w:r w:rsidRPr="006B3905">
        <w:t>Vascular plant species richness varies spatially in both the GCFR and SWAFR, with both regions possessing a hotspot of exceptional richness (the Kogelberg Centre in the GCFR; Greater Perth in the SWAFR) and declining species richness towards its interior margin (</w:t>
      </w:r>
      <w:r w:rsidR="00304EA1" w:rsidRPr="006B3905">
        <w:t xml:space="preserve">Figure </w:t>
      </w:r>
      <w:r w:rsidR="00FC2A30" w:rsidRPr="006B3905">
        <w:t>1</w:t>
      </w:r>
      <w:r w:rsidRPr="006B3905">
        <w:t xml:space="preserve">a,b). Comparisons of species richness between the regions using two-sided Mann-Whitney </w:t>
      </w:r>
      <w:r w:rsidRPr="006B3905">
        <w:rPr>
          <w:i/>
        </w:rPr>
        <w:t>U</w:t>
      </w:r>
      <w:r w:rsidRPr="006B3905">
        <w:t xml:space="preserve"> tests reveal that species richness per unit area is similar at the QDS- (Figure 2</w:t>
      </w:r>
      <w:r w:rsidR="00604263" w:rsidRPr="006B3905">
        <w:t>c</w:t>
      </w:r>
      <w:r w:rsidRPr="006B3905">
        <w:t>;</w:t>
      </w:r>
      <w:r w:rsidRPr="006B3905">
        <w:rPr>
          <w:i/>
        </w:rPr>
        <w:t xml:space="preserve"> P</w:t>
      </w:r>
      <w:r w:rsidRPr="006B3905">
        <w:t xml:space="preserve"> = 0.402, </w:t>
      </w:r>
      <w:r w:rsidRPr="006B3905">
        <w:rPr>
          <w:i/>
          <w:iCs/>
        </w:rPr>
        <w:t>CLES</w:t>
      </w:r>
      <w:r w:rsidRPr="006B3905">
        <w:t xml:space="preserve"> = 0.516) and HDS-scales (Figure 2b;</w:t>
      </w:r>
      <w:r w:rsidRPr="006B3905">
        <w:rPr>
          <w:i/>
        </w:rPr>
        <w:t xml:space="preserve"> P</w:t>
      </w:r>
      <w:r w:rsidRPr="006B3905">
        <w:t xml:space="preserve"> = 0.275, </w:t>
      </w:r>
      <w:r w:rsidRPr="006B3905">
        <w:rPr>
          <w:i/>
          <w:iCs/>
        </w:rPr>
        <w:t>CLES</w:t>
      </w:r>
      <w:r w:rsidRPr="006B3905">
        <w:t xml:space="preserve"> = 0.542), but that the GCFR is significantly more species-rich than the SWAFR at the DS-scale (Figure </w:t>
      </w:r>
      <w:r w:rsidR="0057720E" w:rsidRPr="006B3905">
        <w:t>2</w:t>
      </w:r>
      <w:r w:rsidR="00604263" w:rsidRPr="006B3905">
        <w:t>a</w:t>
      </w:r>
      <w:r w:rsidRPr="006B3905">
        <w:t>;</w:t>
      </w:r>
      <w:r w:rsidRPr="006B3905">
        <w:rPr>
          <w:i/>
        </w:rPr>
        <w:t xml:space="preserve"> P</w:t>
      </w:r>
      <w:r w:rsidRPr="006B3905">
        <w:t xml:space="preserve"> = 0.038, </w:t>
      </w:r>
      <w:r w:rsidRPr="006B3905">
        <w:rPr>
          <w:i/>
        </w:rPr>
        <w:t>CLES</w:t>
      </w:r>
      <w:r w:rsidRPr="006B3905">
        <w:t xml:space="preserve"> = 0.658).</w:t>
      </w:r>
    </w:p>
    <w:p w14:paraId="3BE0333B" w14:textId="1B0A7FA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Pr="006B3905">
        <w:t xml:space="preserve"> test, </w:t>
      </w:r>
      <w:r w:rsidRPr="006B3905">
        <w:rPr>
          <w:i/>
        </w:rPr>
        <w:t>P</w:t>
      </w:r>
      <w:r w:rsidRPr="006B3905">
        <w:t xml:space="preserve"> &lt; 0.001; </w:t>
      </w:r>
      <w:r w:rsidRPr="006B3905">
        <w:rPr>
          <w:i/>
          <w:iCs/>
        </w:rPr>
        <w:t>CLES</w:t>
      </w:r>
      <w:r w:rsidRPr="006B3905">
        <w:t xml:space="preserve"> = 0.696). This is also the case at the DS-scale (Figure </w:t>
      </w:r>
      <w:r w:rsidR="003F2156" w:rsidRPr="006B3905">
        <w:t>2d</w:t>
      </w:r>
      <w:r w:rsidR="00FE217D" w:rsidRPr="006B3905">
        <w:t xml:space="preserve">; </w:t>
      </w:r>
      <w:r w:rsidR="00CA131C" w:rsidRPr="006B3905">
        <w:rPr>
          <w:i/>
        </w:rPr>
        <w:t>T</w:t>
      </w:r>
      <w:r w:rsidR="00CA131C" w:rsidRPr="006B3905">
        <w:rPr>
          <w:vertAlign w:val="subscript"/>
        </w:rPr>
        <w:t>QDS</w:t>
      </w:r>
      <w:r w:rsidR="00CA131C" w:rsidRPr="006B3905">
        <w:t>/</w:t>
      </w:r>
      <w:r w:rsidR="00CA131C" w:rsidRPr="006B3905">
        <w:rPr>
          <w:i/>
        </w:rPr>
        <w:t>S</w:t>
      </w:r>
      <w:r w:rsidR="00CA131C" w:rsidRPr="006B3905">
        <w:rPr>
          <w:vertAlign w:val="subscript"/>
        </w:rPr>
        <w:t>HDS</w:t>
      </w:r>
      <w:r w:rsidR="001A29B8" w:rsidRPr="006B3905">
        <w:t>,</w:t>
      </w:r>
      <w:r w:rsidR="00CA131C" w:rsidRPr="006B3905">
        <w:t xml:space="preserve"> </w:t>
      </w:r>
      <w:r w:rsidRPr="006B3905">
        <w:t>GCFR:</w:t>
      </w:r>
      <w:r w:rsidR="00CA131C" w:rsidRPr="006B3905">
        <w:rPr>
          <w:i/>
        </w:rPr>
        <w:t xml:space="preserve"> </w:t>
      </w:r>
      <w:r w:rsidRPr="006B3905">
        <w:t xml:space="preserve">0.55, SWAFR: 0.48; two-sided Mann-Whitney </w:t>
      </w:r>
      <w:r w:rsidRPr="006B3905">
        <w:rPr>
          <w:i/>
        </w:rPr>
        <w:t>U</w:t>
      </w:r>
      <w:r w:rsidRPr="006B3905">
        <w:t xml:space="preserve"> test, </w:t>
      </w:r>
      <w:r w:rsidRPr="006B3905">
        <w:rPr>
          <w:i/>
        </w:rPr>
        <w:t>P</w:t>
      </w:r>
      <w:r w:rsidRPr="006B3905">
        <w:t xml:space="preserve"> = 0.001, </w:t>
      </w:r>
      <w:r w:rsidRPr="006B3905">
        <w:rPr>
          <w:i/>
        </w:rPr>
        <w:t>CLES</w:t>
      </w:r>
      <w:r w:rsidRPr="006B3905">
        <w:t xml:space="preserve"> = 0.741).</w:t>
      </w:r>
    </w:p>
    <w:p w14:paraId="7CCFB235" w14:textId="4A3ECB49" w:rsidR="008811CD" w:rsidRPr="003F5B2B" w:rsidRDefault="008811CD" w:rsidP="002C32D6">
      <w:pPr>
        <w:pStyle w:val="BodyText"/>
        <w:rPr>
          <w:i/>
        </w:rPr>
      </w:pPr>
      <w:r w:rsidRPr="00F14EA3">
        <w:rPr>
          <w:highlight w:val="yellow"/>
        </w:rPr>
        <w:t xml:space="preserve">[Reorder sentences to refer to Figure 2 as a </w:t>
      </w:r>
      <w:r w:rsidRPr="00F14EA3">
        <w:rPr>
          <w:highlight w:val="yellow"/>
        </w:rPr>
        <w:sym w:font="Wingdings" w:char="F0E0"/>
      </w:r>
      <w:r w:rsidRPr="00F14EA3">
        <w:rPr>
          <w:highlight w:val="yellow"/>
        </w:rPr>
        <w:t xml:space="preserve"> b </w:t>
      </w:r>
      <w:r w:rsidRPr="00F14EA3">
        <w:rPr>
          <w:highlight w:val="yellow"/>
        </w:rPr>
        <w:sym w:font="Wingdings" w:char="F0E0"/>
      </w:r>
      <w:r w:rsidRPr="00F14EA3">
        <w:rPr>
          <w:highlight w:val="yellow"/>
        </w:rPr>
        <w:t xml:space="preserve"> c?]</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2A689BA" w:rsidR="00AD4DCC" w:rsidRDefault="00AD1230" w:rsidP="008A4E97">
      <w:pPr>
        <w:pStyle w:val="FirstParagraph"/>
      </w:pPr>
      <w:r>
        <w:t xml:space="preserve">With a few exceptions (MAP, NDVI and CEC at the DS-scale; </w:t>
      </w:r>
      <w:r w:rsidR="0031751D">
        <w:t>Figure</w:t>
      </w:r>
      <w:r w:rsidR="005C5EBF">
        <w:t xml:space="preserve"> 3</w:t>
      </w:r>
      <w:r>
        <w:t xml:space="preserve">b,e,f),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w:t>
      </w:r>
      <w:r w:rsidR="0031751D">
        <w:t>Figure</w:t>
      </w:r>
      <w:r w:rsidR="005C5EBF">
        <w:t xml:space="preserve"> 3</w:t>
      </w:r>
      <w:r w:rsidR="00826383" w:rsidRPr="00916B93">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FB4658">
        <w:t xml:space="preserve">, </w:t>
      </w:r>
      <w:r w:rsidR="00FC2A30">
        <w:t>1</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4603A043"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w:t>
      </w:r>
      <w:r w:rsidR="0031751D">
        <w:t>Figure</w:t>
      </w:r>
      <w:r w:rsidR="005C5EBF">
        <w:t xml:space="preserve"> 3</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w:t>
      </w:r>
      <w:r w:rsidR="0031751D">
        <w:t>Figure</w:t>
      </w:r>
      <w:r w:rsidR="005C5EBF">
        <w:t xml:space="preserve"> 3</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FB7B57" w:rsidRDefault="00DD7307" w:rsidP="008A4E97">
      <w:pPr>
        <w:pStyle w:val="Heading2"/>
        <w:spacing w:line="240" w:lineRule="auto"/>
      </w:pPr>
      <w:r>
        <w:lastRenderedPageBreak/>
        <w:t>3.3</w:t>
      </w:r>
      <w:r w:rsidR="00F055C7">
        <w:t>:</w:t>
      </w:r>
      <w:r>
        <w:t xml:space="preserve"> </w:t>
      </w:r>
      <w:r w:rsidR="00D04776">
        <w:t>Environme</w:t>
      </w:r>
      <w:r w:rsidR="00D04776" w:rsidRPr="00FB7B57">
        <w:t>ntal heterogeneity as an explanation of species richness</w:t>
      </w:r>
    </w:p>
    <w:p w14:paraId="13E7AA58" w14:textId="1972E1EA"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 xml:space="preserve">Table </w:t>
      </w:r>
      <w:r w:rsidR="008B0E3F">
        <w:rPr>
          <w:rFonts w:eastAsiaTheme="minorEastAsia"/>
        </w:rPr>
        <w:t>1</w:t>
      </w:r>
      <w:r w:rsidR="00983D13">
        <w:rPr>
          <w:rFonts w:eastAsiaTheme="minorEastAsia"/>
        </w:rPr>
        <w:t xml:space="preserve">b,c; </w:t>
      </w:r>
      <w:r w:rsidR="00B02E73">
        <w:rPr>
          <w:rFonts w:eastAsiaTheme="minorEastAsia"/>
        </w:rPr>
        <w:t xml:space="preserve">Figure </w:t>
      </w:r>
      <w:r w:rsidR="00FF0F3A">
        <w:rPr>
          <w:rFonts w:eastAsiaTheme="minorEastAsia"/>
        </w:rPr>
        <w:t>4</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8B0E3F">
        <w:rPr>
          <w:rFonts w:eastAsiaTheme="minorEastAsia" w:cstheme="majorBidi"/>
        </w:rPr>
        <w:t>1</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w:t>
      </w:r>
      <w:r w:rsidR="00B02E73">
        <w:rPr>
          <w:rFonts w:eastAsiaTheme="minorEastAsia" w:cstheme="majorBidi"/>
        </w:rPr>
        <w:t xml:space="preserve">Figure </w:t>
      </w:r>
      <w:r w:rsidR="00FF0F3A">
        <w:rPr>
          <w:rFonts w:eastAsiaTheme="minorEastAsia" w:cstheme="majorBidi"/>
        </w:rPr>
        <w:t>4</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6AF0E603" w:rsidR="00FC1C62" w:rsidRDefault="00B930DF">
      <w:pPr>
        <w:pStyle w:val="FirstParagraph"/>
      </w:pPr>
      <w:r w:rsidRPr="00F76134">
        <w:rPr>
          <w:highlight w:val="red"/>
        </w:rPr>
        <w:t xml:space="preserve">With the exception of pH at all spatial scales and elevation at the DS-scale, the partial </w:t>
      </w:r>
      <w:r w:rsidR="0064694B" w:rsidRPr="00F76134">
        <w:rPr>
          <w:highlight w:val="red"/>
        </w:rPr>
        <w:t xml:space="preserve">main </w:t>
      </w:r>
      <w:r w:rsidRPr="00F76134">
        <w:rPr>
          <w:highlight w:val="red"/>
        </w:rPr>
        <w:t xml:space="preserve">effects of all heterogeneity predictors retained in the optimal multiple regression models </w:t>
      </w:r>
      <w:r w:rsidR="00350FE5" w:rsidRPr="00F76134">
        <w:rPr>
          <w:highlight w:val="red"/>
        </w:rPr>
        <w:t>a</w:t>
      </w:r>
      <w:r w:rsidRPr="00F76134">
        <w:rPr>
          <w:highlight w:val="red"/>
        </w:rP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w:t>
      </w:r>
      <w:r w:rsidR="008538A7">
        <w:t xml:space="preserve">Figure </w:t>
      </w:r>
      <w:r w:rsidR="00977291">
        <w:t>5</w:t>
      </w:r>
      <w:r w:rsidR="00684D2A">
        <w:t>)</w:t>
      </w:r>
      <w:r w:rsidR="00350FE5">
        <w:t xml:space="preserve">. </w:t>
      </w:r>
      <w:r w:rsidR="00273B1A" w:rsidRPr="00273B1A">
        <w:rPr>
          <w:highlight w:val="yellow"/>
        </w:rPr>
        <w:t xml:space="preserve">[…] </w:t>
      </w:r>
      <w:r w:rsidR="0032574D" w:rsidRPr="00273B1A">
        <w:rPr>
          <w:highlight w:val="yellow"/>
        </w:rPr>
        <w:t>MAP which has the greatest explanatory power in all models (</w:t>
      </w:r>
      <w:r w:rsidR="00D17FCB" w:rsidRPr="00273B1A">
        <w:rPr>
          <w:highlight w:val="yellow"/>
        </w:rPr>
        <w:t>Table S</w:t>
      </w:r>
      <w:r w:rsidR="00D17FCB" w:rsidRPr="005E7BB2">
        <w:rPr>
          <w:highlight w:val="yellow"/>
        </w:rPr>
        <w:t>2</w:t>
      </w:r>
      <w:r w:rsidR="0032574D" w:rsidRPr="00273B1A">
        <w:rPr>
          <w:highlight w:val="yellow"/>
        </w:rPr>
        <w:t>)</w:t>
      </w:r>
      <w:r w:rsidR="00350FE5" w:rsidRPr="00273B1A">
        <w:rPr>
          <w:highlight w:val="yellow"/>
        </w:rPr>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w:t>
      </w:r>
      <w:r w:rsidR="008538A7">
        <w:t xml:space="preserve">Figure </w:t>
      </w:r>
      <w:r w:rsidR="00977291">
        <w:t>5</w:t>
      </w:r>
      <w:r w:rsidR="00CA688A">
        <w:t>)</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49586B">
        <w:rPr>
          <w:highlight w:val="red"/>
        </w:rPr>
        <w:t xml:space="preserve">Where the </w:t>
      </w:r>
      <w:r w:rsidR="00230147" w:rsidRPr="0049586B">
        <w:rPr>
          <w:highlight w:val="red"/>
        </w:rPr>
        <w:t xml:space="preserve">significant </w:t>
      </w:r>
      <w:r w:rsidR="00C96F57" w:rsidRPr="0049586B">
        <w:rPr>
          <w:highlight w:val="red"/>
        </w:rPr>
        <w:t>negative coefficients</w:t>
      </w:r>
      <w:r w:rsidR="00230147" w:rsidRPr="0049586B">
        <w:rPr>
          <w:highlight w:val="red"/>
        </w:rPr>
        <w:t xml:space="preserve"> associated with</w:t>
      </w:r>
      <w:r w:rsidR="00C96F57" w:rsidRPr="0049586B">
        <w:rPr>
          <w:highlight w:val="red"/>
        </w:rPr>
        <w:t xml:space="preserve"> surface T and clay heterogeneity </w:t>
      </w:r>
      <w:r w:rsidR="00230147" w:rsidRPr="0049586B">
        <w:rPr>
          <w:highlight w:val="red"/>
        </w:rPr>
        <w:t xml:space="preserve">imply that these variables </w:t>
      </w:r>
      <w:r w:rsidR="00C96F57" w:rsidRPr="0049586B">
        <w:rPr>
          <w:highlight w:val="red"/>
        </w:rPr>
        <w:t xml:space="preserve">exert a greater positive influence on species richness in the GCFR </w:t>
      </w:r>
      <w:r w:rsidR="00230147" w:rsidRPr="0049586B">
        <w:rPr>
          <w:highlight w:val="red"/>
        </w:rPr>
        <w:t>than</w:t>
      </w:r>
      <w:r w:rsidR="00C96F57" w:rsidRPr="0049586B">
        <w:rPr>
          <w:highlight w:val="red"/>
        </w:rPr>
        <w:t xml:space="preserve"> in the SWAFR, the positive coefficients </w:t>
      </w:r>
      <w:r w:rsidR="00230147" w:rsidRPr="0049586B">
        <w:rPr>
          <w:highlight w:val="red"/>
        </w:rPr>
        <w:t>associated with elevation and pH</w:t>
      </w:r>
      <w:r w:rsidR="00FC1C62" w:rsidRPr="0049586B">
        <w:rPr>
          <w:highlight w:val="red"/>
        </w:rPr>
        <w:t xml:space="preserve"> heterogeneity</w:t>
      </w:r>
      <w:r w:rsidR="00230147">
        <w:t xml:space="preserve"> have the effect of cancelling (in the SWAFR) the effects of these variables</w:t>
      </w:r>
      <w:r w:rsidR="00EE7F70">
        <w:t xml:space="preserve"> estimated in the GCFR</w:t>
      </w:r>
      <w:r w:rsidR="00230147">
        <w:t xml:space="preserve">. </w:t>
      </w:r>
    </w:p>
    <w:p w14:paraId="2C47BF37" w14:textId="56E3044E" w:rsidR="00350FE5" w:rsidRDefault="00E81245">
      <w:pPr>
        <w:pStyle w:val="FirstParagraph"/>
      </w:pPr>
      <w:r>
        <w:t>That the coefficients of determi</w:t>
      </w:r>
      <w:r w:rsidR="006F4CB8">
        <w:t>nation associated with the opti</w:t>
      </w:r>
      <w:r>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67B0A8D0" w14:textId="5E1C70E1" w:rsidR="007628D8"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proofErr w:type="spellStart"/>
      <w:r w:rsidR="00796101">
        <w:t>QUZ</w:t>
      </w:r>
      <w:r w:rsidR="00514C5C" w:rsidRPr="00514C5C">
        <w:t>e</w:t>
      </w:r>
      <w:proofErr w:type="spellEnd"/>
      <w:r w:rsidR="00514C5C" w:rsidRPr="00514C5C">
        <w:t>–h</w:t>
      </w:r>
      <w:r w:rsidR="00E42B45">
        <w:t>,</w:t>
      </w:r>
      <w:r w:rsidR="00514C5C" w:rsidRPr="00514C5C">
        <w:t xml:space="preserve"> </w:t>
      </w:r>
      <w:proofErr w:type="spellStart"/>
      <w:r w:rsidR="00556DCB">
        <w:t>XYZ</w:t>
      </w:r>
      <w:r w:rsidR="00514C5C" w:rsidRPr="00514C5C">
        <w:t>e</w:t>
      </w:r>
      <w:proofErr w:type="spellEnd"/>
      <w:r w:rsidR="00514C5C" w:rsidRPr="00514C5C">
        <w:t>–h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w:t>
      </w:r>
      <w:r w:rsidR="006B0D68">
        <w:lastRenderedPageBreak/>
        <w:t xml:space="preserve">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p>
    <w:p w14:paraId="3B4BD914" w14:textId="7BED419D" w:rsidR="00D06C06" w:rsidRDefault="002531F6" w:rsidP="00C47FAF">
      <w:pPr>
        <w:pStyle w:val="BodyText"/>
      </w:pPr>
      <w:r w:rsidRPr="007628D8">
        <w:rPr>
          <w:highlight w:val="yellow"/>
        </w:rPr>
        <w:t>[</w:t>
      </w:r>
      <w:r w:rsidR="00F4584C" w:rsidRPr="007628D8">
        <w:rPr>
          <w:highlight w:val="yellow"/>
        </w:rPr>
        <w:t xml:space="preserve">Mention/describe: </w:t>
      </w:r>
      <w:r w:rsidRPr="007628D8">
        <w:rPr>
          <w:i/>
          <w:iCs/>
          <w:highlight w:val="yellow"/>
        </w:rPr>
        <w:t>F</w:t>
      </w:r>
      <w:r w:rsidRPr="007628D8">
        <w:rPr>
          <w:highlight w:val="yellow"/>
        </w:rPr>
        <w:t>-test results</w:t>
      </w:r>
      <w:r w:rsidR="008B06C2" w:rsidRPr="007628D8">
        <w:rPr>
          <w:highlight w:val="yellow"/>
        </w:rPr>
        <w:t xml:space="preserve"> for SD of residuals</w:t>
      </w:r>
      <w:r w:rsidR="00CF6CA1" w:rsidRPr="007628D8">
        <w:rPr>
          <w:highlight w:val="yellow"/>
        </w:rPr>
        <w:t xml:space="preserve"> (</w:t>
      </w:r>
      <w:r w:rsidR="00272EF5" w:rsidRPr="007628D8">
        <w:rPr>
          <w:highlight w:val="yellow"/>
        </w:rPr>
        <w:t xml:space="preserve">Table </w:t>
      </w:r>
      <w:r w:rsidR="00272EF5" w:rsidRPr="006208D8">
        <w:rPr>
          <w:highlight w:val="yellow"/>
        </w:rPr>
        <w:t>S</w:t>
      </w:r>
      <w:r w:rsidR="00776B09" w:rsidRPr="00776B09">
        <w:rPr>
          <w:highlight w:val="yellow"/>
        </w:rPr>
        <w:t>3</w:t>
      </w:r>
      <w:r w:rsidR="00CF6CA1" w:rsidRPr="007628D8">
        <w:rPr>
          <w:highlight w:val="yellow"/>
        </w:rPr>
        <w:t>)</w:t>
      </w:r>
      <w:r w:rsidRPr="007628D8">
        <w:rPr>
          <w:highlight w:val="yellow"/>
        </w:rPr>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6396E19A" w:rsidR="001E1442" w:rsidRDefault="006A4B08" w:rsidP="002C20EB">
      <w:pPr>
        <w:pStyle w:val="BodyText"/>
        <w:tabs>
          <w:tab w:val="left" w:pos="6189"/>
        </w:tabs>
      </w:pPr>
      <w:bookmarkStart w:id="6"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t>coefficient</w:t>
      </w:r>
      <w:r w:rsidR="006435FF">
        <w:t>s of pH and elevation</w:t>
      </w:r>
      <w:r w:rsidR="00D839BD" w:rsidRPr="00D839BD">
        <w:t xml:space="preserve"> </w:t>
      </w:r>
      <w:r w:rsidR="00D839BD">
        <w:t>in the multiple regressions</w:t>
      </w:r>
      <w:r w:rsidR="006435FF">
        <w:t xml:space="preserve">, </w:t>
      </w:r>
      <w:r w:rsidR="006435FF" w:rsidRPr="003264AF">
        <w:rPr>
          <w:highlight w:val="red"/>
        </w:rPr>
        <w:t xml:space="preserve">which </w:t>
      </w:r>
      <w:r w:rsidR="00DB42AF" w:rsidRPr="003264AF">
        <w:rPr>
          <w:highlight w:val="red"/>
        </w:rPr>
        <w:t>a</w:t>
      </w:r>
      <w:r w:rsidR="006435FF" w:rsidRPr="003264AF">
        <w:rPr>
          <w:highlight w:val="red"/>
        </w:rPr>
        <w:t>re negative on account of their collinearity with other variables</w:t>
      </w:r>
      <w:r w:rsidR="006435FF">
        <w:t xml:space="preserve">,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proofErr w:type="spellStart"/>
      <w:r w:rsidR="007A7C1E" w:rsidRPr="00DD5CB7">
        <w:rPr>
          <w:highlight w:val="green"/>
        </w:rPr>
        <w:t>Allouche</w:t>
      </w:r>
      <w:proofErr w:type="spellEnd"/>
      <w:r w:rsidR="007A7C1E" w:rsidRPr="00DD5CB7">
        <w:rPr>
          <w:highlight w:val="green"/>
        </w:rPr>
        <w:t xml:space="preserve"> et al.</w:t>
      </w:r>
      <w:r w:rsidR="00DD5CB7">
        <w:rPr>
          <w:highlight w:val="green"/>
        </w:rPr>
        <w:t>,</w:t>
      </w:r>
      <w:r w:rsidR="007A7C1E" w:rsidRPr="00DD5CB7">
        <w:rPr>
          <w:highlight w:val="green"/>
        </w:rPr>
        <w:t xml:space="preserve"> 2012</w:t>
      </w:r>
      <w:r w:rsidR="007A7C1E">
        <w:t xml:space="preserve">; </w:t>
      </w:r>
      <w:proofErr w:type="spellStart"/>
      <w:r w:rsidR="007A7C1E" w:rsidRPr="00DD5CB7">
        <w:rPr>
          <w:highlight w:val="green"/>
        </w:rPr>
        <w:t>Carnicer</w:t>
      </w:r>
      <w:proofErr w:type="spellEnd"/>
      <w:r w:rsidR="007A7C1E" w:rsidRPr="00DD5CB7">
        <w:rPr>
          <w:highlight w:val="green"/>
        </w:rPr>
        <w:t xml:space="preserve"> et al.</w:t>
      </w:r>
      <w:r w:rsidR="00DD5CB7">
        <w:rPr>
          <w:highlight w:val="green"/>
        </w:rPr>
        <w:t>,</w:t>
      </w:r>
      <w:r w:rsidR="007A7C1E" w:rsidRPr="00DD5CB7">
        <w:rPr>
          <w:highlight w:val="green"/>
        </w:rPr>
        <w:t xml:space="preserve"> 2013</w:t>
      </w:r>
      <w:r w:rsidR="007A7C1E">
        <w:t>)</w:t>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r w:rsidR="001F0A16">
        <w:t xml:space="preserve">, </w:t>
      </w:r>
      <w:r w:rsidR="00485517">
        <w:t xml:space="preserve">and so facilitate stronger heterogeneity-species richness relationships </w:t>
      </w:r>
      <w:r w:rsidR="0090330E">
        <w:fldChar w:fldCharType="begin" w:fldLock="1"/>
      </w:r>
      <w:r w:rsidR="009F4954">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Chown, &amp; Gaston, 2002)","manualFormatting":"(Van Rensburg, Chown, &amp; Gaston, 2002)","plainTextFormattedCitation":"(van Rensburg, Chown, &amp; Gaston, 2002)","previouslyFormattedCitation":"(van Rensburg, Chown, &amp; Gaston,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r w:rsidR="00FC5FCB">
        <w:t xml:space="preserve"> </w:t>
      </w:r>
      <w:r w:rsidR="00FC5FCB" w:rsidRPr="00FC5FCB">
        <w:rPr>
          <w:highlight w:val="yellow"/>
        </w:rPr>
        <w:t xml:space="preserve">[Mike: </w:t>
      </w:r>
      <w:r w:rsidR="00FC5FCB" w:rsidRPr="00FC5FCB">
        <w:rPr>
          <w:highlight w:val="yellow"/>
        </w:rPr>
        <w:t>I am not at all convinced by this argument. Isn’t this just a necessary consequence of data aggregation?</w:t>
      </w:r>
      <w:r w:rsidR="00FC5FCB" w:rsidRPr="00FC5FCB">
        <w:rPr>
          <w:highlight w:val="yellow"/>
        </w:rPr>
        <w:t>]</w:t>
      </w:r>
    </w:p>
    <w:p w14:paraId="3B792383" w14:textId="27C0FFE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 at a range of scales (</w:t>
      </w:r>
      <w:r w:rsidR="00E3070E" w:rsidRPr="00284163">
        <w:rPr>
          <w:highlight w:val="yellow"/>
        </w:rPr>
        <w:t>refs</w:t>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00414463"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lastRenderedPageBreak/>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0FEB892F"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446F26">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9F4954">
        <w:fldChar w:fldCharType="separate"/>
      </w:r>
      <w:r w:rsidR="009F4954" w:rsidRPr="009F4954">
        <w:rPr>
          <w:noProof/>
        </w:rPr>
        <w:t>(Kreft &amp; Jetz, 2007)</w:t>
      </w:r>
      <w:r w:rsidR="009F4954">
        <w:fldChar w:fldCharType="end"/>
      </w:r>
      <w:r w:rsidR="009F4954">
        <w:t xml:space="preserve">; </w:t>
      </w:r>
      <w:r w:rsidR="00873A2C" w:rsidRPr="006774CD">
        <w:rPr>
          <w:highlight w:val="green"/>
        </w:rPr>
        <w:t>Currie</w:t>
      </w:r>
      <w:r w:rsidR="006774CD">
        <w:rPr>
          <w:highlight w:val="green"/>
        </w:rPr>
        <w:t>,</w:t>
      </w:r>
      <w:r w:rsidR="00873A2C" w:rsidRPr="006774CD">
        <w:rPr>
          <w:highlight w:val="green"/>
        </w:rPr>
        <w:t xml:space="preserve"> 1991</w:t>
      </w:r>
      <w:r w:rsidR="00873A2C">
        <w:t xml:space="preserve">; </w:t>
      </w:r>
      <w:r w:rsidR="00873A2C" w:rsidRPr="006774CD">
        <w:rPr>
          <w:highlight w:val="green"/>
        </w:rPr>
        <w:t>Hawkins et al.</w:t>
      </w:r>
      <w:r w:rsidR="006774CD" w:rsidRPr="006774CD">
        <w:rPr>
          <w:highlight w:val="green"/>
        </w:rPr>
        <w:t>,</w:t>
      </w:r>
      <w:r w:rsidR="00873A2C" w:rsidRPr="006774CD">
        <w:rPr>
          <w:highlight w:val="green"/>
        </w:rPr>
        <w:t xml:space="preserve"> 2003</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rsidRPr="00D06BF4">
        <w:rPr>
          <w:highlight w:val="green"/>
        </w:rPr>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4F2596" w:rsidRPr="001B7AF6">
        <w:t>)</w:t>
      </w:r>
      <w:r w:rsidR="00CF6AF3" w:rsidRPr="001B7AF6">
        <w:t>.</w:t>
      </w:r>
    </w:p>
    <w:p w14:paraId="0610530F" w14:textId="52575938"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582362">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7888204"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(cf. </w:t>
      </w:r>
      <w:r w:rsidR="0092446E" w:rsidRPr="00580CBB">
        <w:rPr>
          <w:highlight w:val="green"/>
        </w:rPr>
        <w:lastRenderedPageBreak/>
        <w:t>Oliver et al.</w:t>
      </w:r>
      <w:r w:rsidR="00580CBB">
        <w:rPr>
          <w:highlight w:val="green"/>
        </w:rPr>
        <w:t>,</w:t>
      </w:r>
      <w:r w:rsidR="0092446E" w:rsidRPr="00580CBB">
        <w:rPr>
          <w:highlight w:val="green"/>
        </w:rPr>
        <w:t xml:space="preserve"> 1983</w:t>
      </w:r>
      <w:r w:rsidR="0092446E">
        <w:t xml:space="preserve">; </w:t>
      </w:r>
      <w:r w:rsidR="00580CBB">
        <w:fldChar w:fldCharType="begin" w:fldLock="1"/>
      </w:r>
      <w:r w:rsidR="00F10AF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580CBB">
        <w:fldChar w:fldCharType="separate"/>
      </w:r>
      <w:r w:rsidR="00580CBB" w:rsidRPr="00580CBB">
        <w:rPr>
          <w:noProof/>
        </w:rPr>
        <w:t>Gioia &amp; Hopper, 2017)</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422E7C" w:rsidRPr="008D71B2">
        <w:rPr>
          <w:highlight w:val="green"/>
        </w:rPr>
        <w:t>Goldblatt</w:t>
      </w:r>
      <w:r w:rsidR="008D71B2">
        <w:rPr>
          <w:highlight w:val="green"/>
        </w:rPr>
        <w:t>,</w:t>
      </w:r>
      <w:r w:rsidR="00422E7C" w:rsidRPr="008D71B2">
        <w:rPr>
          <w:highlight w:val="green"/>
        </w:rPr>
        <w:t xml:space="preserve"> 1978</w:t>
      </w:r>
      <w:r w:rsidR="00422E7C">
        <w:t>),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C5195B" w:rsidRPr="00FE5B7A">
        <w:rPr>
          <w:highlight w:val="green"/>
        </w:rPr>
        <w:t xml:space="preserve">Cowling </w:t>
      </w:r>
      <w:r w:rsidR="00FE5B7A" w:rsidRPr="00FE5B7A">
        <w:rPr>
          <w:highlight w:val="green"/>
        </w:rPr>
        <w:t>&amp;</w:t>
      </w:r>
      <w:r w:rsidR="00C5195B" w:rsidRPr="00FE5B7A">
        <w:rPr>
          <w:highlight w:val="green"/>
        </w:rPr>
        <w:t xml:space="preserve"> Lombard</w:t>
      </w:r>
      <w:r w:rsidR="00FE5B7A" w:rsidRPr="00FE5B7A">
        <w:rPr>
          <w:highlight w:val="green"/>
        </w:rPr>
        <w:t>,</w:t>
      </w:r>
      <w:r w:rsidR="00C5195B" w:rsidRPr="00FE5B7A">
        <w:rPr>
          <w:highlight w:val="green"/>
        </w:rPr>
        <w:t xml:space="preserve"> 2002</w:t>
      </w:r>
      <w:r w:rsidR="00C5195B">
        <w:t xml:space="preserve">; </w:t>
      </w:r>
      <w:r w:rsidR="00C5195B" w:rsidRPr="00A03452">
        <w:rPr>
          <w:highlight w:val="green"/>
        </w:rPr>
        <w:t>Cowling et al.</w:t>
      </w:r>
      <w:r w:rsidR="009D3658" w:rsidRPr="00A03452">
        <w:rPr>
          <w:highlight w:val="green"/>
        </w:rPr>
        <w:t>,</w:t>
      </w:r>
      <w:r w:rsidR="00C5195B" w:rsidRPr="00A03452">
        <w:rPr>
          <w:highlight w:val="green"/>
        </w:rPr>
        <w:t xml:space="preserve"> 2017</w:t>
      </w:r>
      <w:r w:rsidR="00C5195B">
        <w:t>)</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8E7CC7" w:rsidRPr="005950B9">
        <w:rPr>
          <w:highlight w:val="green"/>
        </w:rPr>
        <w:t xml:space="preserve">Meadows </w:t>
      </w:r>
      <w:r w:rsidR="005950B9" w:rsidRPr="005950B9">
        <w:rPr>
          <w:highlight w:val="green"/>
        </w:rPr>
        <w:t>&amp;</w:t>
      </w:r>
      <w:r w:rsidR="008E7CC7" w:rsidRPr="005950B9">
        <w:rPr>
          <w:highlight w:val="green"/>
        </w:rPr>
        <w:t xml:space="preserve"> </w:t>
      </w:r>
      <w:proofErr w:type="spellStart"/>
      <w:r w:rsidR="008E7CC7" w:rsidRPr="005950B9">
        <w:rPr>
          <w:highlight w:val="green"/>
        </w:rPr>
        <w:t>Sugden</w:t>
      </w:r>
      <w:proofErr w:type="spellEnd"/>
      <w:r w:rsidR="005950B9" w:rsidRPr="005950B9">
        <w:rPr>
          <w:highlight w:val="green"/>
        </w:rPr>
        <w:t>,</w:t>
      </w:r>
      <w:r w:rsidR="008E7CC7" w:rsidRPr="005950B9">
        <w:rPr>
          <w:highlight w:val="green"/>
        </w:rPr>
        <w:t xml:space="preserve"> 1991</w:t>
      </w:r>
      <w:r w:rsidR="008E7CC7" w:rsidRPr="005950B9">
        <w:t xml:space="preserve">, </w:t>
      </w:r>
      <w:r w:rsidR="008E7CC7" w:rsidRPr="005950B9">
        <w:rPr>
          <w:highlight w:val="green"/>
        </w:rPr>
        <w:t>1993</w:t>
      </w:r>
      <w:r w:rsidR="008E7CC7">
        <w:t xml:space="preserve">; </w:t>
      </w:r>
      <w:r w:rsidR="008E7CC7" w:rsidRPr="005950B9">
        <w:rPr>
          <w:highlight w:val="green"/>
        </w:rPr>
        <w:t>Meadows et al.</w:t>
      </w:r>
      <w:r w:rsidR="005950B9">
        <w:rPr>
          <w:highlight w:val="green"/>
        </w:rPr>
        <w:t>,</w:t>
      </w:r>
      <w:r w:rsidR="008E7CC7" w:rsidRPr="005950B9">
        <w:rPr>
          <w:highlight w:val="green"/>
        </w:rPr>
        <w:t xml:space="preserve"> 2010</w:t>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84063D" w:rsidRPr="00D13862">
        <w:rPr>
          <w:highlight w:val="green"/>
        </w:rPr>
        <w:t xml:space="preserve">Byrne </w:t>
      </w:r>
      <w:r w:rsidR="00D13862" w:rsidRPr="00D13862">
        <w:rPr>
          <w:highlight w:val="green"/>
        </w:rPr>
        <w:t>&amp;</w:t>
      </w:r>
      <w:r w:rsidR="0084063D" w:rsidRPr="00D13862">
        <w:rPr>
          <w:highlight w:val="green"/>
        </w:rPr>
        <w:t xml:space="preserve"> Hines</w:t>
      </w:r>
      <w:r w:rsidR="00D13862" w:rsidRPr="00D13862">
        <w:rPr>
          <w:highlight w:val="green"/>
        </w:rPr>
        <w:t>,</w:t>
      </w:r>
      <w:r w:rsidR="0084063D" w:rsidRPr="00D13862">
        <w:rPr>
          <w:highlight w:val="green"/>
        </w:rPr>
        <w:t xml:space="preserve"> 2004</w:t>
      </w:r>
      <w:r w:rsidR="0084063D">
        <w:t>;</w:t>
      </w:r>
      <w:r w:rsidR="00DC181B">
        <w:t xml:space="preserve"> </w:t>
      </w:r>
      <w:r w:rsidR="00DC181B">
        <w:fldChar w:fldCharType="begin" w:fldLock="1"/>
      </w:r>
      <w:r w:rsidR="00B152CB">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2008)","manualFormatting":"Byrne, 2008)","plainTextFormattedCitation":"(Byrne, 2008)","previouslyFormattedCitation":"(Byrne, 2008)"},"properties":{"noteIndex":0},"schema":"https://github.com/citation-style-language/schema/raw/master/csl-citation.json"}</w:instrText>
      </w:r>
      <w:r w:rsidR="00DC181B">
        <w:fldChar w:fldCharType="separate"/>
      </w:r>
      <w:r w:rsidR="00DC181B" w:rsidRPr="00DC181B">
        <w:rPr>
          <w:noProof/>
        </w:rPr>
        <w:t>Byrne, 2008)</w:t>
      </w:r>
      <w:r w:rsidR="00DC181B">
        <w:fldChar w:fldCharType="end"/>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7C36E498"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 xml:space="preserve">persistence </w:t>
      </w:r>
      <w:r w:rsidR="00901D65">
        <w:t>(</w:t>
      </w:r>
      <w:r w:rsidR="00901D65" w:rsidRPr="00EB0CE5">
        <w:rPr>
          <w:highlight w:val="green"/>
        </w:rPr>
        <w:t>McLaughlin et al.</w:t>
      </w:r>
      <w:r w:rsidR="00974041" w:rsidRPr="00EB0CE5">
        <w:rPr>
          <w:highlight w:val="green"/>
        </w:rPr>
        <w:t>,</w:t>
      </w:r>
      <w:r w:rsidR="00901D65" w:rsidRPr="00EB0CE5">
        <w:rPr>
          <w:highlight w:val="green"/>
        </w:rPr>
        <w:t xml:space="preserve"> 2017</w:t>
      </w:r>
      <w:r w:rsidR="00901D65">
        <w:t>)</w:t>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ed by some authors (</w:t>
      </w:r>
      <w:r w:rsidR="006A1997" w:rsidRPr="00B0394F">
        <w:rPr>
          <w:highlight w:val="green"/>
        </w:rPr>
        <w:t xml:space="preserve">Cowling </w:t>
      </w:r>
      <w:r w:rsidR="00B0394F" w:rsidRPr="00B0394F">
        <w:rPr>
          <w:highlight w:val="green"/>
        </w:rPr>
        <w:t>&amp;</w:t>
      </w:r>
      <w:r w:rsidR="006A1997" w:rsidRPr="00B0394F">
        <w:rPr>
          <w:highlight w:val="green"/>
        </w:rPr>
        <w:t xml:space="preserve"> Lombard</w:t>
      </w:r>
      <w:r w:rsidR="00B0394F" w:rsidRPr="00B0394F">
        <w:rPr>
          <w:highlight w:val="green"/>
        </w:rPr>
        <w:t>,</w:t>
      </w:r>
      <w:r w:rsidR="006A1997" w:rsidRPr="00B0394F">
        <w:rPr>
          <w:highlight w:val="green"/>
        </w:rPr>
        <w:t xml:space="preserve"> 2002</w:t>
      </w:r>
      <w:r w:rsidR="006A1997">
        <w:t xml:space="preserve">; </w:t>
      </w:r>
      <w:proofErr w:type="spellStart"/>
      <w:r w:rsidR="006A1997" w:rsidRPr="00EB0CE5">
        <w:rPr>
          <w:highlight w:val="green"/>
        </w:rPr>
        <w:t>Verboom</w:t>
      </w:r>
      <w:proofErr w:type="spellEnd"/>
      <w:r w:rsidR="006A1997" w:rsidRPr="00EB0CE5">
        <w:rPr>
          <w:highlight w:val="green"/>
        </w:rPr>
        <w:t xml:space="preserve"> et al.</w:t>
      </w:r>
      <w:r w:rsidR="00EB0CE5" w:rsidRPr="00EB0CE5">
        <w:rPr>
          <w:highlight w:val="green"/>
        </w:rPr>
        <w:t>,</w:t>
      </w:r>
      <w:r w:rsidR="006A1997" w:rsidRPr="00EB0CE5">
        <w:rPr>
          <w:highlight w:val="green"/>
        </w:rPr>
        <w:t xml:space="preserve"> 2014</w:t>
      </w:r>
      <w:r w:rsidR="006A1997">
        <w:t xml:space="preserve">; </w:t>
      </w:r>
      <w:r w:rsidR="006A1997" w:rsidRPr="00EB0CE5">
        <w:rPr>
          <w:highlight w:val="green"/>
        </w:rPr>
        <w:t>Cowling et al. 2017</w:t>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towards the second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groundwater abstraction in the Perth area of the SWAFR (</w:t>
      </w:r>
      <w:proofErr w:type="spellStart"/>
      <w:r w:rsidR="00D51B17" w:rsidRPr="009501F7">
        <w:rPr>
          <w:highlight w:val="green"/>
        </w:rPr>
        <w:t>Froend</w:t>
      </w:r>
      <w:proofErr w:type="spellEnd"/>
      <w:r w:rsidR="00D51B17" w:rsidRPr="009501F7">
        <w:rPr>
          <w:highlight w:val="green"/>
        </w:rPr>
        <w:t xml:space="preserve"> </w:t>
      </w:r>
      <w:r w:rsidR="009501F7" w:rsidRPr="009501F7">
        <w:rPr>
          <w:highlight w:val="green"/>
        </w:rPr>
        <w:t>&amp;</w:t>
      </w:r>
      <w:r w:rsidR="00D51B17" w:rsidRPr="009501F7">
        <w:rPr>
          <w:highlight w:val="green"/>
        </w:rPr>
        <w:t xml:space="preserve"> Sommer</w:t>
      </w:r>
      <w:r w:rsidR="009501F7" w:rsidRPr="009501F7">
        <w:rPr>
          <w:highlight w:val="green"/>
        </w:rPr>
        <w:t>,</w:t>
      </w:r>
      <w:r w:rsidR="00D51B17" w:rsidRPr="009501F7">
        <w:rPr>
          <w:highlight w:val="green"/>
        </w:rPr>
        <w:t xml:space="preserve"> 2010</w:t>
      </w:r>
      <w:r w:rsidR="00D51B17">
        <w:t xml:space="preserve">; </w:t>
      </w:r>
      <w:r w:rsidR="00D51B17" w:rsidRPr="009501F7">
        <w:rPr>
          <w:highlight w:val="green"/>
        </w:rPr>
        <w:t>Barron et al.</w:t>
      </w:r>
      <w:r w:rsidR="009501F7" w:rsidRPr="009501F7">
        <w:rPr>
          <w:highlight w:val="green"/>
        </w:rPr>
        <w:t>,</w:t>
      </w:r>
      <w:r w:rsidR="00D51B17" w:rsidRPr="009501F7">
        <w:rPr>
          <w:highlight w:val="green"/>
        </w:rPr>
        <w:t xml:space="preserve"> 2014</w:t>
      </w:r>
      <w:r w:rsidR="00D51B17">
        <w:t>).</w:t>
      </w:r>
    </w:p>
    <w:p w14:paraId="73EE69CB" w14:textId="00A40044"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6"/>
    </w:p>
    <w:p w14:paraId="71033F34" w14:textId="2371106F"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7C55DD5" w:rsidR="00874A01" w:rsidRPr="0069122B" w:rsidRDefault="00874A01" w:rsidP="00FA753D">
      <w:pPr>
        <w:pStyle w:val="BodyText"/>
        <w:spacing w:before="0"/>
      </w:pPr>
      <w:bookmarkStart w:id="7"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 xml:space="preserve">against the major axis of environmental heterogeneity (PC1; 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29EF0B66" w14:textId="73D665E6" w:rsidR="00F23EA1" w:rsidRPr="002B2755" w:rsidRDefault="00874A01" w:rsidP="002C20EB">
      <w:pPr>
        <w:pStyle w:val="Heading1"/>
      </w:pPr>
      <w:r>
        <w:br w:type="page"/>
      </w:r>
      <w:bookmarkEnd w:id="7"/>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3902878C">
            <wp:extent cx="6840000" cy="3908571"/>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CEC371A" w14:textId="4C2C98D8" w:rsidR="00D04776" w:rsidRDefault="0031751D" w:rsidP="0018462C">
      <w:pPr>
        <w:pStyle w:val="BodyText"/>
      </w:pPr>
      <w:r>
        <w:rPr>
          <w:b/>
        </w:rPr>
        <w:t>Figure</w:t>
      </w:r>
      <w:r w:rsidR="005C5EBF">
        <w:rPr>
          <w:b/>
        </w:rPr>
        <w:t xml:space="preserve"> 3</w:t>
      </w:r>
      <w:r w:rsidR="002C037D" w:rsidRPr="00242181">
        <w:rPr>
          <w:b/>
        </w:rPr>
        <w:t>:</w:t>
      </w:r>
      <w:r w:rsidR="002C037D">
        <w:t xml:space="preserve"> </w:t>
      </w:r>
      <w:r w:rsidR="006A6996" w:rsidRPr="006A6996">
        <w:t>The common language effect size (</w:t>
      </w:r>
      <w:r w:rsidR="006A6996" w:rsidRPr="008E45A8">
        <w:rPr>
          <w:i/>
        </w:rPr>
        <w:t>CLES</w:t>
      </w:r>
      <w:r w:rsidR="006A6996" w:rsidRPr="006A6996">
        <w:t>) of (a–i)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B0E3F">
        <w:t>1</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75739017" w14:textId="17135AF9" w:rsidR="00D04776" w:rsidRDefault="002C037D" w:rsidP="00FF3CE7">
      <w:pPr>
        <w:pStyle w:val="ImageCaption"/>
        <w:spacing w:line="240" w:lineRule="auto"/>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2C9B6603" w:rsidR="00D04776" w:rsidRDefault="00B02E73" w:rsidP="008B688E">
      <w:pPr>
        <w:pStyle w:val="ImageCaption"/>
        <w:spacing w:line="240" w:lineRule="auto"/>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83371B">
        <w:t>, and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8B0E3F">
        <w:t>1</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D04776">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21B79E9D" w:rsidR="00762256" w:rsidRDefault="008538A7" w:rsidP="00A9751F">
      <w:pPr>
        <w:pStyle w:val="ImageCaption"/>
        <w:spacing w:line="240" w:lineRule="auto"/>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 hotpots </w:t>
      </w:r>
      <w:r w:rsidR="00585277">
        <w:t>we</w:t>
      </w:r>
      <w:r w:rsidR="00E7325B">
        <w:t>re excluded is available in the online version (</w:t>
      </w:r>
      <w:r w:rsidR="00200FEE">
        <w:t xml:space="preserve">Figure </w:t>
      </w:r>
      <w:bookmarkStart w:id="8" w:name="_GoBack"/>
      <w:bookmarkEnd w:id="8"/>
      <w:r w:rsidR="008C771A">
        <w:t>S8</w:t>
      </w:r>
      <w:r w:rsidR="00E7325B">
        <w:t>).</w:t>
      </w:r>
      <w:r w:rsidR="00F614B4">
        <w:br w:type="page"/>
      </w:r>
      <w:bookmarkStart w:id="9" w:name="references"/>
    </w:p>
    <w:p w14:paraId="1E6EA73B" w14:textId="2CF84CFA" w:rsidR="006E4549" w:rsidRDefault="00A45444" w:rsidP="006E4549">
      <w:pPr>
        <w:pStyle w:val="BodyText"/>
      </w:pPr>
      <w:r>
        <w:rPr>
          <w:noProof/>
          <w:lang w:val="en-ZA" w:eastAsia="en-ZA"/>
        </w:rPr>
        <w:lastRenderedPageBreak/>
        <w:drawing>
          <wp:inline distT="0" distB="0" distL="0" distR="0" wp14:anchorId="6CD6A0FF" wp14:editId="2E8917FD">
            <wp:extent cx="5145000" cy="88199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rsidR="006E4549">
        <w:br w:type="page"/>
      </w:r>
    </w:p>
    <w:p w14:paraId="20EF5617" w14:textId="29DCFD32" w:rsidR="00A45444" w:rsidRPr="002C20EB" w:rsidRDefault="00A45444" w:rsidP="0074274A">
      <w:pPr>
        <w:pStyle w:val="BodyText"/>
      </w:pPr>
      <w:r w:rsidRPr="00242181">
        <w:rPr>
          <w:b/>
        </w:rPr>
        <w:lastRenderedPageBreak/>
        <w:t xml:space="preserve">Figure </w:t>
      </w:r>
      <w:r w:rsidR="00FC2A30">
        <w:rPr>
          <w:b/>
        </w:rPr>
        <w:t>1</w:t>
      </w:r>
      <w:r w:rsidR="005649C9">
        <w:rPr>
          <w:b/>
        </w:rPr>
        <w:t xml:space="preserve"> (previous page)</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(a,b) vascular plant species richness, (c,d) the major axis of environmental heterogeneity (PC1) from the PCA of nine forms of environmental heterogeneity (log</w:t>
      </w:r>
      <w:r w:rsidR="00C9106C" w:rsidRPr="00C9106C">
        <w:rPr>
          <w:vertAlign w:val="subscript"/>
        </w:rPr>
        <w:t>10</w:t>
      </w:r>
      <w:r w:rsidR="00C9106C">
        <w:t>-transformed), residuals from regressions of species richness against (</w:t>
      </w:r>
      <w:proofErr w:type="spellStart"/>
      <w:r w:rsidR="00C9106C">
        <w:t>e,f</w:t>
      </w:r>
      <w:proofErr w:type="spellEnd"/>
      <w:r w:rsidR="00C9106C">
        <w:t>) PC1 (</w:t>
      </w:r>
      <w:r w:rsidR="00B02E73">
        <w:t xml:space="preserve">Figure </w:t>
      </w:r>
      <w:r w:rsidR="00FF0F3A">
        <w:t>4</w:t>
      </w:r>
      <w:r w:rsidR="00C9106C">
        <w:t>b) and (</w:t>
      </w:r>
      <w:proofErr w:type="spellStart"/>
      <w:r w:rsidR="00C9106C">
        <w:t>g,h</w:t>
      </w:r>
      <w:proofErr w:type="spellEnd"/>
      <w:r w:rsidR="00C9106C">
        <w:t>) the multivariate (MV) model (</w:t>
      </w:r>
      <w:r w:rsidR="008538A7">
        <w:t xml:space="preserve">Figure </w:t>
      </w:r>
      <w:r w:rsidR="00977291">
        <w:t>5</w:t>
      </w:r>
      <w:r w:rsidR="00C9106C">
        <w:t xml:space="preserve">b). Map projection used: WGS84. </w:t>
      </w:r>
      <w:r w:rsidR="008C1315">
        <w:t xml:space="preserve">Colour versions of these maps, and the </w:t>
      </w:r>
      <w:r w:rsidR="00C9106C">
        <w:t xml:space="preserve">QDS- and DS-scale equivalents </w:t>
      </w:r>
      <w:r w:rsidR="008C1315">
        <w:t xml:space="preserve">(Figure </w:t>
      </w:r>
      <w:r w:rsidR="00796101">
        <w:t>QUZ</w:t>
      </w:r>
      <w:r w:rsidR="008C1315">
        <w:t>,</w:t>
      </w:r>
      <w:r w:rsidR="003055F8">
        <w:t xml:space="preserve"> </w:t>
      </w:r>
      <w:r w:rsidR="00556DCB">
        <w:t>XYZ</w:t>
      </w:r>
      <w:r w:rsidR="008C1315">
        <w:t xml:space="preserve"> respectively) </w:t>
      </w:r>
      <w:r w:rsidR="00C9106C">
        <w:t>are available in the online version</w:t>
      </w:r>
      <w:r w:rsidR="008C1315">
        <w:t>.</w:t>
      </w:r>
      <w:r>
        <w:rPr>
          <w:highlight w:val="yellow"/>
        </w:rP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16CAB42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19466D">
        <w:rPr>
          <w:highlight w:val="cyan"/>
        </w:rPr>
        <w:t>are available in the DRYAD Digital Repository (URL/DOI</w:t>
      </w:r>
      <w:r>
        <w:t xml:space="preserve">). The </w:t>
      </w:r>
      <w:r w:rsidR="00A56EBA">
        <w:t xml:space="preserve">raw </w:t>
      </w:r>
      <w:r>
        <w:t xml:space="preserve">plant occurrence records are available from GBIF (GCFR: </w:t>
      </w:r>
      <w:hyperlink r:id="rId14" w:history="1">
        <w:r w:rsidR="00A56EBA" w:rsidRPr="000F1325">
          <w:rPr>
            <w:rStyle w:val="Hyperlink"/>
          </w:rPr>
          <w:t>https://doi.org/10.15468/dl.n6u6n0</w:t>
        </w:r>
      </w:hyperlink>
      <w:r>
        <w:t xml:space="preserve">; SWAFR: </w:t>
      </w:r>
      <w:hyperlink r:id="rId15" w:history="1">
        <w:r w:rsidR="00930D80" w:rsidRPr="000F1325">
          <w:rPr>
            <w:rStyle w:val="Hyperlink"/>
          </w:rPr>
          <w:t>https://doi.org/10.15468/dl.46okua</w:t>
        </w:r>
      </w:hyperlink>
      <w:r>
        <w:t xml:space="preserve">). </w:t>
      </w:r>
      <w:r w:rsidRPr="00596AC4">
        <w:rPr>
          <w:highlight w:val="cyan"/>
        </w:rPr>
        <w:t>Our analyses are reproducible using R-scripts available also on GitHub (</w:t>
      </w:r>
      <w:hyperlink r:id="rId16" w:history="1">
        <w:r w:rsidR="00114B76" w:rsidRPr="00EC4B74">
          <w:rPr>
            <w:rStyle w:val="Hyperlink"/>
            <w:highlight w:val="cyan"/>
          </w:rPr>
          <w:t>https://github.com/rvanmazijk/Cape-vs-SWA</w:t>
        </w:r>
      </w:hyperlink>
      <w:r w:rsidRPr="00596AC4">
        <w:rPr>
          <w:highlight w:val="cyan"/>
        </w:rPr>
        <w:t>).</w:t>
      </w:r>
    </w:p>
    <w:p w14:paraId="3FB275CB" w14:textId="782BA677" w:rsidR="00DD2348" w:rsidRDefault="005F0FFB" w:rsidP="0018462C">
      <w:pPr>
        <w:pStyle w:val="Heading1"/>
      </w:pPr>
      <w:r w:rsidRPr="002C20EB">
        <w:t>References</w:t>
      </w:r>
      <w:bookmarkEnd w:id="9"/>
    </w:p>
    <w:p w14:paraId="1E00319A" w14:textId="64736A2C" w:rsidR="000C3D30" w:rsidRPr="000C3D30" w:rsidRDefault="008E0DFC" w:rsidP="000C3D30">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C3D30" w:rsidRPr="000C3D30">
        <w:rPr>
          <w:rFonts w:hAnsi="Times New Roman" w:cs="Times New Roman"/>
          <w:noProof/>
        </w:rPr>
        <w:t xml:space="preserve">Beard, J. S., Chapman, A. R., &amp; Gioia, P. (2000). Species richness and endemism in the Western Australian flora. </w:t>
      </w:r>
      <w:r w:rsidR="000C3D30" w:rsidRPr="000C3D30">
        <w:rPr>
          <w:rFonts w:hAnsi="Times New Roman" w:cs="Times New Roman"/>
          <w:i/>
          <w:iCs/>
          <w:noProof/>
        </w:rPr>
        <w:t>Journal of Biogeography</w:t>
      </w:r>
      <w:r w:rsidR="000C3D30" w:rsidRPr="000C3D30">
        <w:rPr>
          <w:rFonts w:hAnsi="Times New Roman" w:cs="Times New Roman"/>
          <w:noProof/>
        </w:rPr>
        <w:t xml:space="preserve">, </w:t>
      </w:r>
      <w:r w:rsidR="000C3D30" w:rsidRPr="000C3D30">
        <w:rPr>
          <w:rFonts w:hAnsi="Times New Roman" w:cs="Times New Roman"/>
          <w:i/>
          <w:iCs/>
          <w:noProof/>
        </w:rPr>
        <w:t>27</w:t>
      </w:r>
      <w:r w:rsidR="000C3D30" w:rsidRPr="000C3D30">
        <w:rPr>
          <w:rFonts w:hAnsi="Times New Roman" w:cs="Times New Roman"/>
          <w:noProof/>
        </w:rPr>
        <w:t>(6), 1257–1268. https://doi.org/10.1046/j.1365-2699.2000.00509.x</w:t>
      </w:r>
    </w:p>
    <w:p w14:paraId="087B9DDE"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Bergh, N. G., &amp; Linder, H. P. (2009). Cape diversification and repeated out-of-southern-Africa dispersal in paper daisies (Asteraceae--Gnaphalieae). </w:t>
      </w:r>
      <w:r w:rsidRPr="000C3D30">
        <w:rPr>
          <w:rFonts w:hAnsi="Times New Roman" w:cs="Times New Roman"/>
          <w:i/>
          <w:iCs/>
          <w:noProof/>
        </w:rPr>
        <w:t>Molecular Phylogenetics and Evolution</w:t>
      </w:r>
      <w:r w:rsidRPr="000C3D30">
        <w:rPr>
          <w:rFonts w:hAnsi="Times New Roman" w:cs="Times New Roman"/>
          <w:noProof/>
        </w:rPr>
        <w:t xml:space="preserve">, </w:t>
      </w:r>
      <w:r w:rsidRPr="000C3D30">
        <w:rPr>
          <w:rFonts w:hAnsi="Times New Roman" w:cs="Times New Roman"/>
          <w:i/>
          <w:iCs/>
          <w:noProof/>
        </w:rPr>
        <w:t>51</w:t>
      </w:r>
      <w:r w:rsidRPr="000C3D30">
        <w:rPr>
          <w:rFonts w:hAnsi="Times New Roman" w:cs="Times New Roman"/>
          <w:noProof/>
        </w:rPr>
        <w:t>(1), 5–18.</w:t>
      </w:r>
    </w:p>
    <w:p w14:paraId="0963F49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Bivand, R., Keitt, T., &amp; Rowlingson, B. (2017). rgdal: Bindings for the Geospatial Data Abstraction Library. R package version 1.2-7. Retrieved from https://cran.r-project.org/package=rgdal</w:t>
      </w:r>
    </w:p>
    <w:p w14:paraId="5AABEFE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Born, J., Linder, H. P., &amp; Desmet, P. (2007). The Greater Cape Floristic Region.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34</w:t>
      </w:r>
      <w:r w:rsidRPr="000C3D30">
        <w:rPr>
          <w:rFonts w:hAnsi="Times New Roman" w:cs="Times New Roman"/>
          <w:noProof/>
        </w:rPr>
        <w:t>(1), 147–162. https://doi.org/10.1111/j.1365-2699.2006.01595.x</w:t>
      </w:r>
    </w:p>
    <w:p w14:paraId="111EFB4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Born, Julia, &amp; Linder, H. P. (2018). Water availability, fundamental niches and realized niches: A case study from the Cape flora. </w:t>
      </w:r>
      <w:r w:rsidRPr="000C3D30">
        <w:rPr>
          <w:rFonts w:hAnsi="Times New Roman" w:cs="Times New Roman"/>
          <w:i/>
          <w:iCs/>
          <w:noProof/>
        </w:rPr>
        <w:t>Austral Ecology</w:t>
      </w:r>
      <w:r w:rsidRPr="000C3D30">
        <w:rPr>
          <w:rFonts w:hAnsi="Times New Roman" w:cs="Times New Roman"/>
          <w:noProof/>
        </w:rPr>
        <w:t xml:space="preserve">, </w:t>
      </w:r>
      <w:r w:rsidRPr="000C3D30">
        <w:rPr>
          <w:rFonts w:hAnsi="Times New Roman" w:cs="Times New Roman"/>
          <w:i/>
          <w:iCs/>
          <w:noProof/>
        </w:rPr>
        <w:t>43</w:t>
      </w:r>
      <w:r w:rsidRPr="000C3D30">
        <w:rPr>
          <w:rFonts w:hAnsi="Times New Roman" w:cs="Times New Roman"/>
          <w:noProof/>
        </w:rPr>
        <w:t>(6), 696–705. https://doi.org/10.1111/aec.12616</w:t>
      </w:r>
    </w:p>
    <w:p w14:paraId="6C99EF5C"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Bradshaw, P. L., &amp; Cowling, R. M. (2014). Landscapes, rock types, and climate of the Greater Cape Floristic Region. In N. Allsopp, J. F. Colville, &amp; G. A. Verboom (Eds.), </w:t>
      </w:r>
      <w:r w:rsidRPr="000C3D30">
        <w:rPr>
          <w:rFonts w:hAnsi="Times New Roman" w:cs="Times New Roman"/>
          <w:i/>
          <w:iCs/>
          <w:noProof/>
        </w:rPr>
        <w:t>Fynbos: Ecology, Evolution and Conservation of a Megadiverse Region</w:t>
      </w:r>
      <w:r w:rsidRPr="000C3D30">
        <w:rPr>
          <w:rFonts w:hAnsi="Times New Roman" w:cs="Times New Roman"/>
          <w:noProof/>
        </w:rPr>
        <w:t xml:space="preserve"> (pp. 26–46). Oxford: Oxford University Press. https://doi.org/oso/9780199679584.003.0002</w:t>
      </w:r>
    </w:p>
    <w:p w14:paraId="68809B3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Byrne, M. (2008). Evidence for multiple refugia at different time scales during Pleistocene climatic oscillations in southern Australia inferred from phylogeography. </w:t>
      </w:r>
      <w:r w:rsidRPr="000C3D30">
        <w:rPr>
          <w:rFonts w:hAnsi="Times New Roman" w:cs="Times New Roman"/>
          <w:i/>
          <w:iCs/>
          <w:noProof/>
        </w:rPr>
        <w:t>Quaternary Science Reviews</w:t>
      </w:r>
      <w:r w:rsidRPr="000C3D30">
        <w:rPr>
          <w:rFonts w:hAnsi="Times New Roman" w:cs="Times New Roman"/>
          <w:noProof/>
        </w:rPr>
        <w:t xml:space="preserve">, </w:t>
      </w:r>
      <w:r w:rsidRPr="000C3D30">
        <w:rPr>
          <w:rFonts w:hAnsi="Times New Roman" w:cs="Times New Roman"/>
          <w:i/>
          <w:iCs/>
          <w:noProof/>
        </w:rPr>
        <w:t>27</w:t>
      </w:r>
      <w:r w:rsidRPr="000C3D30">
        <w:rPr>
          <w:rFonts w:hAnsi="Times New Roman" w:cs="Times New Roman"/>
          <w:noProof/>
        </w:rPr>
        <w:t>(27–28), 2576–2585. https://doi.org/10.1016/j.quascirev.2008.08.032</w:t>
      </w:r>
    </w:p>
    <w:p w14:paraId="28CEDA4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297CA94"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Chao, A., &amp; Jost, L. (2012). Coverage-based rarefaction and extrapolation: standardizing samples by completeness rather than size. </w:t>
      </w:r>
      <w:r w:rsidRPr="000C3D30">
        <w:rPr>
          <w:rFonts w:hAnsi="Times New Roman" w:cs="Times New Roman"/>
          <w:i/>
          <w:iCs/>
          <w:noProof/>
        </w:rPr>
        <w:t>Ecology</w:t>
      </w:r>
      <w:r w:rsidRPr="000C3D30">
        <w:rPr>
          <w:rFonts w:hAnsi="Times New Roman" w:cs="Times New Roman"/>
          <w:noProof/>
        </w:rPr>
        <w:t xml:space="preserve">, </w:t>
      </w:r>
      <w:r w:rsidRPr="000C3D30">
        <w:rPr>
          <w:rFonts w:hAnsi="Times New Roman" w:cs="Times New Roman"/>
          <w:i/>
          <w:iCs/>
          <w:noProof/>
        </w:rPr>
        <w:t>93</w:t>
      </w:r>
      <w:r w:rsidRPr="000C3D30">
        <w:rPr>
          <w:rFonts w:hAnsi="Times New Roman" w:cs="Times New Roman"/>
          <w:noProof/>
        </w:rPr>
        <w:t>(12), 2533–2547.</w:t>
      </w:r>
    </w:p>
    <w:p w14:paraId="344356E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21</w:t>
      </w:r>
      <w:r w:rsidRPr="000C3D30">
        <w:rPr>
          <w:rFonts w:hAnsi="Times New Roman" w:cs="Times New Roman"/>
          <w:noProof/>
        </w:rPr>
        <w:t>(6), 651. https://doi.org/10.2307/2846038</w:t>
      </w:r>
    </w:p>
    <w:p w14:paraId="1668915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Cowling, Richard M., Potts, A. J., Bradshaw, P. L., Colville, J., Arianoutsou, M., Ferrier, S., … </w:t>
      </w:r>
      <w:r w:rsidRPr="000C3D30">
        <w:rPr>
          <w:rFonts w:hAnsi="Times New Roman" w:cs="Times New Roman"/>
          <w:noProof/>
        </w:rPr>
        <w:lastRenderedPageBreak/>
        <w:t xml:space="preserve">Zutta, B. R. (2015). Variation in plant diversity in mediterranean-climate ecosystems: The role of climatic and topographical stability.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42</w:t>
      </w:r>
      <w:r w:rsidRPr="000C3D30">
        <w:rPr>
          <w:rFonts w:hAnsi="Times New Roman" w:cs="Times New Roman"/>
          <w:noProof/>
        </w:rPr>
        <w:t>(3), 552–564. https://doi.org/10.1111/jbi.12429</w:t>
      </w:r>
    </w:p>
    <w:p w14:paraId="449B7DE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Cramer, M. D., &amp; Verboom, G. A. (2016). Measures of biologically relevant environmental heterogeneity improve prediction of regional plant species richness.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44</w:t>
      </w:r>
      <w:r w:rsidRPr="000C3D30">
        <w:rPr>
          <w:rFonts w:hAnsi="Times New Roman" w:cs="Times New Roman"/>
          <w:noProof/>
        </w:rPr>
        <w:t>(3), 1–13. https://doi.org/10.1111/jbi.12911</w:t>
      </w:r>
    </w:p>
    <w:p w14:paraId="1C3A10F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C3D30">
        <w:rPr>
          <w:rFonts w:hAnsi="Times New Roman" w:cs="Times New Roman"/>
          <w:i/>
          <w:iCs/>
          <w:noProof/>
        </w:rPr>
        <w:t>Diversity and Distributions</w:t>
      </w:r>
      <w:r w:rsidRPr="000C3D30">
        <w:rPr>
          <w:rFonts w:hAnsi="Times New Roman" w:cs="Times New Roman"/>
          <w:noProof/>
        </w:rPr>
        <w:t xml:space="preserve">, </w:t>
      </w:r>
      <w:r w:rsidRPr="000C3D30">
        <w:rPr>
          <w:rFonts w:hAnsi="Times New Roman" w:cs="Times New Roman"/>
          <w:i/>
          <w:iCs/>
          <w:noProof/>
        </w:rPr>
        <w:t>25</w:t>
      </w:r>
      <w:r w:rsidRPr="000C3D30">
        <w:rPr>
          <w:rFonts w:hAnsi="Times New Roman" w:cs="Times New Roman"/>
          <w:noProof/>
        </w:rPr>
        <w:t>(11), 1736–1750.</w:t>
      </w:r>
    </w:p>
    <w:p w14:paraId="7AA890F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C3D30">
        <w:rPr>
          <w:rFonts w:hAnsi="Times New Roman" w:cs="Times New Roman"/>
          <w:i/>
          <w:iCs/>
          <w:noProof/>
        </w:rPr>
        <w:t>Ecology and Evolution</w:t>
      </w:r>
      <w:r w:rsidRPr="000C3D30">
        <w:rPr>
          <w:rFonts w:hAnsi="Times New Roman" w:cs="Times New Roman"/>
          <w:noProof/>
        </w:rPr>
        <w:t xml:space="preserve">, </w:t>
      </w:r>
      <w:r w:rsidRPr="000C3D30">
        <w:rPr>
          <w:rFonts w:hAnsi="Times New Roman" w:cs="Times New Roman"/>
          <w:i/>
          <w:iCs/>
          <w:noProof/>
        </w:rPr>
        <w:t>5</w:t>
      </w:r>
      <w:r w:rsidRPr="000C3D30">
        <w:rPr>
          <w:rFonts w:hAnsi="Times New Roman" w:cs="Times New Roman"/>
          <w:noProof/>
        </w:rPr>
        <w:t>(3), 807–820.</w:t>
      </w:r>
    </w:p>
    <w:p w14:paraId="2FCF36E4"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45</w:t>
      </w:r>
      <w:r w:rsidRPr="000C3D30">
        <w:rPr>
          <w:rFonts w:hAnsi="Times New Roman" w:cs="Times New Roman"/>
          <w:noProof/>
        </w:rPr>
        <w:t>(1), 190–200. https://doi.org/10.1111/jbi.13104</w:t>
      </w:r>
    </w:p>
    <w:p w14:paraId="3B79A1C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Gioia, P., &amp; Hopper, S. D. (2017). A new phytogeographic map for the Southwest Australian Floristic Region after an exceptional decade of collection and discovery. </w:t>
      </w:r>
      <w:r w:rsidRPr="000C3D30">
        <w:rPr>
          <w:rFonts w:hAnsi="Times New Roman" w:cs="Times New Roman"/>
          <w:i/>
          <w:iCs/>
          <w:noProof/>
        </w:rPr>
        <w:t>Botanical Journal of the Linnean Society</w:t>
      </w:r>
      <w:r w:rsidRPr="000C3D30">
        <w:rPr>
          <w:rFonts w:hAnsi="Times New Roman" w:cs="Times New Roman"/>
          <w:noProof/>
        </w:rPr>
        <w:t xml:space="preserve">, </w:t>
      </w:r>
      <w:r w:rsidRPr="000C3D30">
        <w:rPr>
          <w:rFonts w:hAnsi="Times New Roman" w:cs="Times New Roman"/>
          <w:i/>
          <w:iCs/>
          <w:noProof/>
        </w:rPr>
        <w:t>184</w:t>
      </w:r>
      <w:r w:rsidRPr="000C3D30">
        <w:rPr>
          <w:rFonts w:hAnsi="Times New Roman" w:cs="Times New Roman"/>
          <w:noProof/>
        </w:rPr>
        <w:t>(1), 1–15. https://doi.org/10.1093/botlinnean/box010</w:t>
      </w:r>
    </w:p>
    <w:p w14:paraId="443FCD5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Gotelli, N. J., &amp; Colwell, R. K. (2001). Quantifying biodiversity: procedures and pitfalls in the measurement and comparison of species richness.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4</w:t>
      </w:r>
      <w:r w:rsidRPr="000C3D30">
        <w:rPr>
          <w:rFonts w:hAnsi="Times New Roman" w:cs="Times New Roman"/>
          <w:noProof/>
        </w:rPr>
        <w:t>(4), 379–391. https://doi.org/10.1046/j.1461-0248.2001.00230.x</w:t>
      </w:r>
    </w:p>
    <w:p w14:paraId="5EB58D72"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Hijmans, R. J. (2016). raster: Geographic Data Analysis and Modeling. R package version 2.5-8. Retrieved from https://cran.r-project.org/package=raster</w:t>
      </w:r>
    </w:p>
    <w:p w14:paraId="76003E8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0C3D30">
        <w:rPr>
          <w:rFonts w:hAnsi="Times New Roman" w:cs="Times New Roman"/>
          <w:i/>
          <w:iCs/>
          <w:noProof/>
        </w:rPr>
        <w:t>Plant and Soil</w:t>
      </w:r>
      <w:r w:rsidRPr="000C3D30">
        <w:rPr>
          <w:rFonts w:hAnsi="Times New Roman" w:cs="Times New Roman"/>
          <w:noProof/>
        </w:rPr>
        <w:t xml:space="preserve">, </w:t>
      </w:r>
      <w:r w:rsidRPr="000C3D30">
        <w:rPr>
          <w:rFonts w:hAnsi="Times New Roman" w:cs="Times New Roman"/>
          <w:i/>
          <w:iCs/>
          <w:noProof/>
        </w:rPr>
        <w:t>322</w:t>
      </w:r>
      <w:r w:rsidRPr="000C3D30">
        <w:rPr>
          <w:rFonts w:hAnsi="Times New Roman" w:cs="Times New Roman"/>
          <w:noProof/>
        </w:rPr>
        <w:t>(1), 49–86. https://doi.org/10.1007/s11104-009-0068-0</w:t>
      </w:r>
    </w:p>
    <w:p w14:paraId="026AD0E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&amp; Gioia, P. (2004a). The Southwest Australian Floristic Region : Evolution and Conservation of a Global Hot Spot of Biodiversity. </w:t>
      </w:r>
      <w:r w:rsidRPr="000C3D30">
        <w:rPr>
          <w:rFonts w:hAnsi="Times New Roman" w:cs="Times New Roman"/>
          <w:i/>
          <w:iCs/>
          <w:noProof/>
        </w:rPr>
        <w:t>Annual Review of Ecology, Evolution, and Systematics</w:t>
      </w:r>
      <w:r w:rsidRPr="000C3D30">
        <w:rPr>
          <w:rFonts w:hAnsi="Times New Roman" w:cs="Times New Roman"/>
          <w:noProof/>
        </w:rPr>
        <w:t xml:space="preserve">, </w:t>
      </w:r>
      <w:r w:rsidRPr="000C3D30">
        <w:rPr>
          <w:rFonts w:hAnsi="Times New Roman" w:cs="Times New Roman"/>
          <w:i/>
          <w:iCs/>
          <w:noProof/>
        </w:rPr>
        <w:t>35</w:t>
      </w:r>
      <w:r w:rsidRPr="000C3D30">
        <w:rPr>
          <w:rFonts w:hAnsi="Times New Roman" w:cs="Times New Roman"/>
          <w:noProof/>
        </w:rPr>
        <w:t>(1), 623–650. https://doi.org/10.1146/annurev.ecolsys.35.112202.130201</w:t>
      </w:r>
    </w:p>
    <w:p w14:paraId="56DBFE8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&amp; Gioia, P. (2004b). The Southwest Australian floristic region: Evolution and conservation of a global hot spot of biodiversity. </w:t>
      </w:r>
      <w:r w:rsidRPr="000C3D30">
        <w:rPr>
          <w:rFonts w:hAnsi="Times New Roman" w:cs="Times New Roman"/>
          <w:i/>
          <w:iCs/>
          <w:noProof/>
        </w:rPr>
        <w:t>Annual Review of Ecology, Evolution, and Systematics</w:t>
      </w:r>
      <w:r w:rsidRPr="000C3D30">
        <w:rPr>
          <w:rFonts w:hAnsi="Times New Roman" w:cs="Times New Roman"/>
          <w:noProof/>
        </w:rPr>
        <w:t xml:space="preserve">, </w:t>
      </w:r>
      <w:r w:rsidRPr="000C3D30">
        <w:rPr>
          <w:rFonts w:hAnsi="Times New Roman" w:cs="Times New Roman"/>
          <w:i/>
          <w:iCs/>
          <w:noProof/>
        </w:rPr>
        <w:t>35</w:t>
      </w:r>
      <w:r w:rsidRPr="000C3D30">
        <w:rPr>
          <w:rFonts w:hAnsi="Times New Roman" w:cs="Times New Roman"/>
          <w:noProof/>
        </w:rPr>
        <w:t>, 623–650. https://doi.org/10.1146/annurev.ecolsys.35.112202.130201</w:t>
      </w:r>
    </w:p>
    <w:p w14:paraId="50BFB8F7"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Kreft, H., &amp; Jetz, W. (2007). Global patterns and determinants of vascular plant diversity. </w:t>
      </w:r>
      <w:r w:rsidRPr="000C3D30">
        <w:rPr>
          <w:rFonts w:hAnsi="Times New Roman" w:cs="Times New Roman"/>
          <w:i/>
          <w:iCs/>
          <w:noProof/>
        </w:rPr>
        <w:t>Proceedings of the National Academy of Sciences</w:t>
      </w:r>
      <w:r w:rsidRPr="000C3D30">
        <w:rPr>
          <w:rFonts w:hAnsi="Times New Roman" w:cs="Times New Roman"/>
          <w:noProof/>
        </w:rPr>
        <w:t xml:space="preserve">, </w:t>
      </w:r>
      <w:r w:rsidRPr="000C3D30">
        <w:rPr>
          <w:rFonts w:hAnsi="Times New Roman" w:cs="Times New Roman"/>
          <w:i/>
          <w:iCs/>
          <w:noProof/>
        </w:rPr>
        <w:t>104</w:t>
      </w:r>
      <w:r w:rsidRPr="000C3D30">
        <w:rPr>
          <w:rFonts w:hAnsi="Times New Roman" w:cs="Times New Roman"/>
          <w:noProof/>
        </w:rPr>
        <w:t>(14), 5925–5930. https://doi.org/10.1073/pnas.0608361104</w:t>
      </w:r>
    </w:p>
    <w:p w14:paraId="6627B03F"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Lamont, B. B., &amp; He, T. (2017). When did a Mediterranean-type climate originate in southwestern Australia? </w:t>
      </w:r>
      <w:r w:rsidRPr="000C3D30">
        <w:rPr>
          <w:rFonts w:hAnsi="Times New Roman" w:cs="Times New Roman"/>
          <w:i/>
          <w:iCs/>
          <w:noProof/>
        </w:rPr>
        <w:t>Global and Planetary Change</w:t>
      </w:r>
      <w:r w:rsidRPr="000C3D30">
        <w:rPr>
          <w:rFonts w:hAnsi="Times New Roman" w:cs="Times New Roman"/>
          <w:noProof/>
        </w:rPr>
        <w:t xml:space="preserve">, </w:t>
      </w:r>
      <w:r w:rsidRPr="000C3D30">
        <w:rPr>
          <w:rFonts w:hAnsi="Times New Roman" w:cs="Times New Roman"/>
          <w:i/>
          <w:iCs/>
          <w:noProof/>
        </w:rPr>
        <w:t>156</w:t>
      </w:r>
      <w:r w:rsidRPr="000C3D30">
        <w:rPr>
          <w:rFonts w:hAnsi="Times New Roman" w:cs="Times New Roman"/>
          <w:noProof/>
        </w:rPr>
        <w:t>, 46–58. https://doi.org/10.1016/j.gloplacha.2017.08.004</w:t>
      </w:r>
    </w:p>
    <w:p w14:paraId="1BA15CE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Larsen, R., Holmern, T., Prager, S. D., Maliti, H., &amp; Røskaft, E. (2009). Using the extended </w:t>
      </w:r>
      <w:r w:rsidRPr="000C3D30">
        <w:rPr>
          <w:rFonts w:hAnsi="Times New Roman" w:cs="Times New Roman"/>
          <w:noProof/>
        </w:rPr>
        <w:lastRenderedPageBreak/>
        <w:t xml:space="preserve">quarter degree grid cell system to unify mapping and sharing of biodiversity data. </w:t>
      </w:r>
      <w:r w:rsidRPr="000C3D30">
        <w:rPr>
          <w:rFonts w:hAnsi="Times New Roman" w:cs="Times New Roman"/>
          <w:i/>
          <w:iCs/>
          <w:noProof/>
        </w:rPr>
        <w:t>African Journal of Ecology</w:t>
      </w:r>
      <w:r w:rsidRPr="000C3D30">
        <w:rPr>
          <w:rFonts w:hAnsi="Times New Roman" w:cs="Times New Roman"/>
          <w:noProof/>
        </w:rPr>
        <w:t xml:space="preserve">, </w:t>
      </w:r>
      <w:r w:rsidRPr="000C3D30">
        <w:rPr>
          <w:rFonts w:hAnsi="Times New Roman" w:cs="Times New Roman"/>
          <w:i/>
          <w:iCs/>
          <w:noProof/>
        </w:rPr>
        <w:t>47</w:t>
      </w:r>
      <w:r w:rsidRPr="000C3D30">
        <w:rPr>
          <w:rFonts w:hAnsi="Times New Roman" w:cs="Times New Roman"/>
          <w:noProof/>
        </w:rPr>
        <w:t>(3), 382–392. https://doi.org/10.1111/j.1365-2028.2008.00997.x</w:t>
      </w:r>
    </w:p>
    <w:p w14:paraId="18758846"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Linder, H. P. (2019). Rare species, Restionaceae, and the Cape flora. </w:t>
      </w:r>
      <w:r w:rsidRPr="000C3D30">
        <w:rPr>
          <w:rFonts w:hAnsi="Times New Roman" w:cs="Times New Roman"/>
          <w:i/>
          <w:iCs/>
          <w:noProof/>
        </w:rPr>
        <w:t>Journal of Biogeography</w:t>
      </w:r>
      <w:r w:rsidRPr="000C3D30">
        <w:rPr>
          <w:rFonts w:hAnsi="Times New Roman" w:cs="Times New Roman"/>
          <w:noProof/>
        </w:rPr>
        <w:t>, 1–14. https://doi.org/10.1111/jbi.13709</w:t>
      </w:r>
    </w:p>
    <w:p w14:paraId="6FF9990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Merow, C., Smith, M. J., &amp; Silander, J. A. (2013). A practical guide to MaxEnt for modeling species’ distributions: what it does, and why inputs and settings matter. </w:t>
      </w:r>
      <w:r w:rsidRPr="000C3D30">
        <w:rPr>
          <w:rFonts w:hAnsi="Times New Roman" w:cs="Times New Roman"/>
          <w:i/>
          <w:iCs/>
          <w:noProof/>
        </w:rPr>
        <w:t>Ecography</w:t>
      </w:r>
      <w:r w:rsidRPr="000C3D30">
        <w:rPr>
          <w:rFonts w:hAnsi="Times New Roman" w:cs="Times New Roman"/>
          <w:noProof/>
        </w:rPr>
        <w:t xml:space="preserve">, </w:t>
      </w:r>
      <w:r w:rsidRPr="000C3D30">
        <w:rPr>
          <w:rFonts w:hAnsi="Times New Roman" w:cs="Times New Roman"/>
          <w:i/>
          <w:iCs/>
          <w:noProof/>
        </w:rPr>
        <w:t>36</w:t>
      </w:r>
      <w:r w:rsidRPr="000C3D30">
        <w:rPr>
          <w:rFonts w:hAnsi="Times New Roman" w:cs="Times New Roman"/>
          <w:noProof/>
        </w:rPr>
        <w:t>(10), 1058–1069.</w:t>
      </w:r>
    </w:p>
    <w:p w14:paraId="55718DB2"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8</w:t>
      </w:r>
      <w:r w:rsidRPr="000C3D30">
        <w:rPr>
          <w:rFonts w:hAnsi="Times New Roman" w:cs="Times New Roman"/>
          <w:noProof/>
        </w:rPr>
        <w:t>(2), 107. https://doi.org/10.2307/2844553</w:t>
      </w:r>
    </w:p>
    <w:p w14:paraId="0055B6D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Mucina, L., &amp; Rutherford, M. C. (2006). </w:t>
      </w:r>
      <w:r w:rsidRPr="000C3D30">
        <w:rPr>
          <w:rFonts w:hAnsi="Times New Roman" w:cs="Times New Roman"/>
          <w:i/>
          <w:iCs/>
          <w:noProof/>
        </w:rPr>
        <w:t>The vegetation of South Africa, Lesotho and Swaziland.</w:t>
      </w:r>
      <w:r w:rsidRPr="000C3D30">
        <w:rPr>
          <w:rFonts w:hAnsi="Times New Roman" w:cs="Times New Roman"/>
          <w:noProof/>
        </w:rPr>
        <w:t xml:space="preserve"> South African National Biodiversity Institute.</w:t>
      </w:r>
    </w:p>
    <w:p w14:paraId="73531889"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C3D30">
        <w:rPr>
          <w:rFonts w:hAnsi="Times New Roman" w:cs="Times New Roman"/>
          <w:i/>
          <w:iCs/>
          <w:noProof/>
        </w:rPr>
        <w:t>BioScience</w:t>
      </w:r>
      <w:r w:rsidRPr="000C3D30">
        <w:rPr>
          <w:rFonts w:hAnsi="Times New Roman" w:cs="Times New Roman"/>
          <w:noProof/>
        </w:rPr>
        <w:t xml:space="preserve">, </w:t>
      </w:r>
      <w:r w:rsidRPr="000C3D30">
        <w:rPr>
          <w:rFonts w:hAnsi="Times New Roman" w:cs="Times New Roman"/>
          <w:i/>
          <w:iCs/>
          <w:noProof/>
        </w:rPr>
        <w:t>51</w:t>
      </w:r>
      <w:r w:rsidRPr="000C3D30">
        <w:rPr>
          <w:rFonts w:hAnsi="Times New Roman" w:cs="Times New Roman"/>
          <w:noProof/>
        </w:rPr>
        <w:t>(11), 933–938.</w:t>
      </w:r>
    </w:p>
    <w:p w14:paraId="55E12AD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Rebelo, T. G. (2001). </w:t>
      </w:r>
      <w:r w:rsidRPr="000C3D30">
        <w:rPr>
          <w:rFonts w:hAnsi="Times New Roman" w:cs="Times New Roman"/>
          <w:i/>
          <w:iCs/>
          <w:noProof/>
        </w:rPr>
        <w:t>A field guide to the proteas of South Africa</w:t>
      </w:r>
      <w:r w:rsidRPr="000C3D30">
        <w:rPr>
          <w:rFonts w:hAnsi="Times New Roman" w:cs="Times New Roman"/>
          <w:noProof/>
        </w:rPr>
        <w:t>. Vlaeberg: Fernwood.</w:t>
      </w:r>
    </w:p>
    <w:p w14:paraId="3A35781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Ricklefs, R. E. (1987). Community diversity: relative roles of local and regional processes. </w:t>
      </w:r>
      <w:r w:rsidRPr="000C3D30">
        <w:rPr>
          <w:rFonts w:hAnsi="Times New Roman" w:cs="Times New Roman"/>
          <w:i/>
          <w:iCs/>
          <w:noProof/>
        </w:rPr>
        <w:t>Science, New Series</w:t>
      </w:r>
      <w:r w:rsidRPr="000C3D30">
        <w:rPr>
          <w:rFonts w:hAnsi="Times New Roman" w:cs="Times New Roman"/>
          <w:noProof/>
        </w:rPr>
        <w:t xml:space="preserve">, </w:t>
      </w:r>
      <w:r w:rsidRPr="000C3D30">
        <w:rPr>
          <w:rFonts w:hAnsi="Times New Roman" w:cs="Times New Roman"/>
          <w:i/>
          <w:iCs/>
          <w:noProof/>
        </w:rPr>
        <w:t>235</w:t>
      </w:r>
      <w:r w:rsidRPr="000C3D30">
        <w:rPr>
          <w:rFonts w:hAnsi="Times New Roman" w:cs="Times New Roman"/>
          <w:noProof/>
        </w:rPr>
        <w:t>(4785), 167–171.</w:t>
      </w:r>
    </w:p>
    <w:p w14:paraId="304BBE4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Ricklefs, R. E. (2004). A comprehensive framework for global patterns in biodiversity.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7</w:t>
      </w:r>
      <w:r w:rsidRPr="000C3D30">
        <w:rPr>
          <w:rFonts w:hAnsi="Times New Roman" w:cs="Times New Roman"/>
          <w:noProof/>
        </w:rPr>
        <w:t>(1), 1–15.</w:t>
      </w:r>
    </w:p>
    <w:p w14:paraId="64CE7F2E"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Slingsby, J. A., February, E. C., &amp; Rebelo, T. G. (2018). Water: at what cost to our unique flora? </w:t>
      </w:r>
      <w:r w:rsidRPr="000C3D30">
        <w:rPr>
          <w:rFonts w:hAnsi="Times New Roman" w:cs="Times New Roman"/>
          <w:i/>
          <w:iCs/>
          <w:noProof/>
        </w:rPr>
        <w:t>Veld &amp; Flora</w:t>
      </w:r>
      <w:r w:rsidRPr="000C3D30">
        <w:rPr>
          <w:rFonts w:hAnsi="Times New Roman" w:cs="Times New Roman"/>
          <w:noProof/>
        </w:rPr>
        <w:t xml:space="preserve">, </w:t>
      </w:r>
      <w:r w:rsidRPr="000C3D30">
        <w:rPr>
          <w:rFonts w:hAnsi="Times New Roman" w:cs="Times New Roman"/>
          <w:i/>
          <w:iCs/>
          <w:noProof/>
        </w:rPr>
        <w:t>June</w:t>
      </w:r>
      <w:r w:rsidRPr="000C3D30">
        <w:rPr>
          <w:rFonts w:hAnsi="Times New Roman" w:cs="Times New Roman"/>
          <w:noProof/>
        </w:rPr>
        <w:t>, 72–75.</w:t>
      </w:r>
    </w:p>
    <w:p w14:paraId="60F1F10F"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Sobel, J. M., Chen, G. F., Watt, L. R., &amp; Schemske, D. W. (2010). The biology of speciation. </w:t>
      </w:r>
      <w:r w:rsidRPr="000C3D30">
        <w:rPr>
          <w:rFonts w:hAnsi="Times New Roman" w:cs="Times New Roman"/>
          <w:i/>
          <w:iCs/>
          <w:noProof/>
        </w:rPr>
        <w:t>Evolution</w:t>
      </w:r>
      <w:r w:rsidRPr="000C3D30">
        <w:rPr>
          <w:rFonts w:hAnsi="Times New Roman" w:cs="Times New Roman"/>
          <w:noProof/>
        </w:rPr>
        <w:t xml:space="preserve">, </w:t>
      </w:r>
      <w:r w:rsidRPr="000C3D30">
        <w:rPr>
          <w:rFonts w:hAnsi="Times New Roman" w:cs="Times New Roman"/>
          <w:i/>
          <w:iCs/>
          <w:noProof/>
        </w:rPr>
        <w:t>64</w:t>
      </w:r>
      <w:r w:rsidRPr="000C3D30">
        <w:rPr>
          <w:rFonts w:hAnsi="Times New Roman" w:cs="Times New Roman"/>
          <w:noProof/>
        </w:rPr>
        <w:t>(2), 295–315. https://doi.org/10.1111/j.1558-5646.2009.00877.x</w:t>
      </w:r>
    </w:p>
    <w:p w14:paraId="3CB9B52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Stein, A., Gerstner, K., &amp; Kreft, H. (2014). Environmental heterogeneity as a universal driver of species richness across taxa, biomes and spatial scales.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17</w:t>
      </w:r>
      <w:r w:rsidRPr="000C3D30">
        <w:rPr>
          <w:rFonts w:hAnsi="Times New Roman" w:cs="Times New Roman"/>
          <w:noProof/>
        </w:rPr>
        <w:t>(7), 866–880. https://doi.org/10.1111/ele.12277</w:t>
      </w:r>
    </w:p>
    <w:p w14:paraId="3B665CF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van Rensburg, B. J., Chown, S. L., &amp; Gaston, K. J. (2002). Species richness, environmental correlates, and spatial scale: a test esing South African birds. </w:t>
      </w:r>
      <w:r w:rsidRPr="000C3D30">
        <w:rPr>
          <w:rFonts w:hAnsi="Times New Roman" w:cs="Times New Roman"/>
          <w:i/>
          <w:iCs/>
          <w:noProof/>
        </w:rPr>
        <w:t>The American Naturalist</w:t>
      </w:r>
      <w:r w:rsidRPr="000C3D30">
        <w:rPr>
          <w:rFonts w:hAnsi="Times New Roman" w:cs="Times New Roman"/>
          <w:noProof/>
        </w:rPr>
        <w:t xml:space="preserve">, </w:t>
      </w:r>
      <w:r w:rsidRPr="000C3D30">
        <w:rPr>
          <w:rFonts w:hAnsi="Times New Roman" w:cs="Times New Roman"/>
          <w:i/>
          <w:iCs/>
          <w:noProof/>
        </w:rPr>
        <w:t>159</w:t>
      </w:r>
      <w:r w:rsidRPr="000C3D30">
        <w:rPr>
          <w:rFonts w:hAnsi="Times New Roman" w:cs="Times New Roman"/>
          <w:noProof/>
        </w:rPr>
        <w:t>(5), 566–577. https://doi.org/10.1086/339464</w:t>
      </w:r>
    </w:p>
    <w:p w14:paraId="6108A55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46</w:t>
      </w:r>
      <w:r w:rsidRPr="000C3D30">
        <w:rPr>
          <w:rFonts w:hAnsi="Times New Roman" w:cs="Times New Roman"/>
          <w:noProof/>
        </w:rPr>
        <w:t>(9), 1936–1947. https://doi.org/10.1111/jbi.13625</w:t>
      </w:r>
    </w:p>
    <w:p w14:paraId="79A91F4D" w14:textId="23BB5332" w:rsidR="006F5855" w:rsidRDefault="008E0DFC" w:rsidP="000C3D30">
      <w:pPr>
        <w:widowControl w:val="0"/>
        <w:autoSpaceDE w:val="0"/>
        <w:autoSpaceDN w:val="0"/>
        <w:adjustRightInd w:val="0"/>
        <w:spacing w:after="180"/>
        <w:ind w:left="480" w:hanging="480"/>
        <w:rPr>
          <w:b/>
          <w:bCs/>
        </w:rPr>
      </w:pPr>
      <w:r>
        <w:rPr>
          <w:b/>
          <w:bCs/>
        </w:rPr>
        <w:fldChar w:fldCharType="end"/>
      </w:r>
    </w:p>
    <w:p w14:paraId="3FA687D3" w14:textId="4CAFAD71" w:rsidR="006F5855" w:rsidRDefault="006F5855" w:rsidP="006F5855">
      <w:pPr>
        <w:widowControl w:val="0"/>
        <w:autoSpaceDE w:val="0"/>
        <w:autoSpaceDN w:val="0"/>
        <w:adjustRightInd w:val="0"/>
        <w:spacing w:after="180"/>
        <w:rPr>
          <w:b/>
          <w:bCs/>
        </w:rPr>
      </w:pPr>
      <w:r>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7"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18"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19" w:history="1">
        <w:r w:rsidRPr="002C20EB">
          <w:rPr>
            <w:rStyle w:val="Hyperlink"/>
          </w:rPr>
          <w:t>https://orcid.org/0000-0002-1363-9781</w:t>
        </w:r>
      </w:hyperlink>
    </w:p>
    <w:sectPr w:rsidR="00B46208" w:rsidRPr="00B46208" w:rsidSect="009C2F09">
      <w:footerReference w:type="default" r:id="rId20"/>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6978B1" w14:textId="77777777" w:rsidR="009B117E" w:rsidRDefault="009B117E">
      <w:pPr>
        <w:spacing w:after="0"/>
      </w:pPr>
      <w:r>
        <w:separator/>
      </w:r>
    </w:p>
  </w:endnote>
  <w:endnote w:type="continuationSeparator" w:id="0">
    <w:p w14:paraId="58685C63" w14:textId="77777777" w:rsidR="009B117E" w:rsidRDefault="009B117E">
      <w:pPr>
        <w:spacing w:after="0"/>
      </w:pPr>
      <w:r>
        <w:continuationSeparator/>
      </w:r>
    </w:p>
  </w:endnote>
  <w:endnote w:type="continuationNotice" w:id="1">
    <w:p w14:paraId="2BA5CD46" w14:textId="77777777" w:rsidR="009B117E" w:rsidRDefault="009B117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E16405" w:rsidRDefault="00E1640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E16405" w:rsidRDefault="00E164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C26275" w14:textId="77777777" w:rsidR="009B117E" w:rsidRDefault="009B117E">
      <w:r>
        <w:separator/>
      </w:r>
    </w:p>
  </w:footnote>
  <w:footnote w:type="continuationSeparator" w:id="0">
    <w:p w14:paraId="49F3A14C" w14:textId="77777777" w:rsidR="009B117E" w:rsidRDefault="009B117E">
      <w:r>
        <w:continuationSeparator/>
      </w:r>
    </w:p>
  </w:footnote>
  <w:footnote w:type="continuationNotice" w:id="1">
    <w:p w14:paraId="1AF24A80" w14:textId="77777777" w:rsidR="009B117E" w:rsidRDefault="009B117E">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DF9"/>
    <w:rsid w:val="00006E29"/>
    <w:rsid w:val="00007536"/>
    <w:rsid w:val="000075FC"/>
    <w:rsid w:val="00010D0D"/>
    <w:rsid w:val="00011C8B"/>
    <w:rsid w:val="00012F66"/>
    <w:rsid w:val="000134E5"/>
    <w:rsid w:val="00015987"/>
    <w:rsid w:val="00017062"/>
    <w:rsid w:val="0001735B"/>
    <w:rsid w:val="0001739B"/>
    <w:rsid w:val="00017496"/>
    <w:rsid w:val="00017D5E"/>
    <w:rsid w:val="00017E2E"/>
    <w:rsid w:val="000202B4"/>
    <w:rsid w:val="00020DE2"/>
    <w:rsid w:val="00020F42"/>
    <w:rsid w:val="00022A4F"/>
    <w:rsid w:val="00023612"/>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D03"/>
    <w:rsid w:val="000714AC"/>
    <w:rsid w:val="00072164"/>
    <w:rsid w:val="00072A60"/>
    <w:rsid w:val="00073C4B"/>
    <w:rsid w:val="00074006"/>
    <w:rsid w:val="000742FC"/>
    <w:rsid w:val="000747BD"/>
    <w:rsid w:val="000764C7"/>
    <w:rsid w:val="00076E7A"/>
    <w:rsid w:val="00077059"/>
    <w:rsid w:val="00077320"/>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6F4D"/>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FAF"/>
    <w:rsid w:val="00106E88"/>
    <w:rsid w:val="0010729C"/>
    <w:rsid w:val="001114A8"/>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5B7"/>
    <w:rsid w:val="00195C63"/>
    <w:rsid w:val="001A0AB2"/>
    <w:rsid w:val="001A123A"/>
    <w:rsid w:val="001A150C"/>
    <w:rsid w:val="001A1879"/>
    <w:rsid w:val="001A20FA"/>
    <w:rsid w:val="001A23A6"/>
    <w:rsid w:val="001A29B8"/>
    <w:rsid w:val="001A29C6"/>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2B69"/>
    <w:rsid w:val="001F3585"/>
    <w:rsid w:val="001F3AA2"/>
    <w:rsid w:val="001F3C80"/>
    <w:rsid w:val="001F48A1"/>
    <w:rsid w:val="001F4B4C"/>
    <w:rsid w:val="001F70EF"/>
    <w:rsid w:val="002007E7"/>
    <w:rsid w:val="00200991"/>
    <w:rsid w:val="00200A28"/>
    <w:rsid w:val="00200C02"/>
    <w:rsid w:val="00200FEE"/>
    <w:rsid w:val="002011C9"/>
    <w:rsid w:val="0020179E"/>
    <w:rsid w:val="00201A80"/>
    <w:rsid w:val="00202291"/>
    <w:rsid w:val="00202A32"/>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7348"/>
    <w:rsid w:val="00270A25"/>
    <w:rsid w:val="00270B4B"/>
    <w:rsid w:val="002711B7"/>
    <w:rsid w:val="00271377"/>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163"/>
    <w:rsid w:val="0028496B"/>
    <w:rsid w:val="00285784"/>
    <w:rsid w:val="00286EA7"/>
    <w:rsid w:val="002870DB"/>
    <w:rsid w:val="00290F74"/>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4F17"/>
    <w:rsid w:val="002A76BE"/>
    <w:rsid w:val="002A7DA8"/>
    <w:rsid w:val="002A7F32"/>
    <w:rsid w:val="002B028E"/>
    <w:rsid w:val="002B0B88"/>
    <w:rsid w:val="002B0F5B"/>
    <w:rsid w:val="002B270F"/>
    <w:rsid w:val="002B2755"/>
    <w:rsid w:val="002B3741"/>
    <w:rsid w:val="002B390D"/>
    <w:rsid w:val="002B49E3"/>
    <w:rsid w:val="002B4C08"/>
    <w:rsid w:val="002B54C7"/>
    <w:rsid w:val="002B5DBF"/>
    <w:rsid w:val="002B7732"/>
    <w:rsid w:val="002B7852"/>
    <w:rsid w:val="002C0152"/>
    <w:rsid w:val="002C016E"/>
    <w:rsid w:val="002C037D"/>
    <w:rsid w:val="002C08A1"/>
    <w:rsid w:val="002C1A2E"/>
    <w:rsid w:val="002C20EB"/>
    <w:rsid w:val="002C22CA"/>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631"/>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4EA1"/>
    <w:rsid w:val="003055F8"/>
    <w:rsid w:val="00305C02"/>
    <w:rsid w:val="00305F60"/>
    <w:rsid w:val="00306123"/>
    <w:rsid w:val="003061B2"/>
    <w:rsid w:val="003063F7"/>
    <w:rsid w:val="003067AF"/>
    <w:rsid w:val="00306A3A"/>
    <w:rsid w:val="00307282"/>
    <w:rsid w:val="00310608"/>
    <w:rsid w:val="00310871"/>
    <w:rsid w:val="003115F6"/>
    <w:rsid w:val="00311E35"/>
    <w:rsid w:val="00312AA7"/>
    <w:rsid w:val="00314A7A"/>
    <w:rsid w:val="00314D2C"/>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3038"/>
    <w:rsid w:val="00364F0A"/>
    <w:rsid w:val="00365CC9"/>
    <w:rsid w:val="0036643B"/>
    <w:rsid w:val="0036753D"/>
    <w:rsid w:val="0036760E"/>
    <w:rsid w:val="00367CC6"/>
    <w:rsid w:val="00371EA1"/>
    <w:rsid w:val="00372023"/>
    <w:rsid w:val="00374287"/>
    <w:rsid w:val="0037447E"/>
    <w:rsid w:val="003745E1"/>
    <w:rsid w:val="00375621"/>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49FB"/>
    <w:rsid w:val="003B557D"/>
    <w:rsid w:val="003B6813"/>
    <w:rsid w:val="003B7C89"/>
    <w:rsid w:val="003B7DC8"/>
    <w:rsid w:val="003B7DEF"/>
    <w:rsid w:val="003C085D"/>
    <w:rsid w:val="003C1C5A"/>
    <w:rsid w:val="003C1D3C"/>
    <w:rsid w:val="003C30C4"/>
    <w:rsid w:val="003C34D2"/>
    <w:rsid w:val="003C35C8"/>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008D"/>
    <w:rsid w:val="00472407"/>
    <w:rsid w:val="00472798"/>
    <w:rsid w:val="00472BBD"/>
    <w:rsid w:val="00473F34"/>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0248"/>
    <w:rsid w:val="004910F0"/>
    <w:rsid w:val="0049156B"/>
    <w:rsid w:val="004915CE"/>
    <w:rsid w:val="00491A7B"/>
    <w:rsid w:val="00491E5D"/>
    <w:rsid w:val="0049206F"/>
    <w:rsid w:val="004921D6"/>
    <w:rsid w:val="00493CCF"/>
    <w:rsid w:val="004940AD"/>
    <w:rsid w:val="00494396"/>
    <w:rsid w:val="00494991"/>
    <w:rsid w:val="0049586B"/>
    <w:rsid w:val="00496FAE"/>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47C0"/>
    <w:rsid w:val="00556DCB"/>
    <w:rsid w:val="005571AB"/>
    <w:rsid w:val="00557805"/>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8069B"/>
    <w:rsid w:val="00580CBB"/>
    <w:rsid w:val="00580D25"/>
    <w:rsid w:val="00581125"/>
    <w:rsid w:val="00581450"/>
    <w:rsid w:val="00581496"/>
    <w:rsid w:val="00582362"/>
    <w:rsid w:val="00582CFA"/>
    <w:rsid w:val="00583EAA"/>
    <w:rsid w:val="005845A2"/>
    <w:rsid w:val="00585277"/>
    <w:rsid w:val="00585F8F"/>
    <w:rsid w:val="0058659A"/>
    <w:rsid w:val="0058677B"/>
    <w:rsid w:val="005876BE"/>
    <w:rsid w:val="00590D07"/>
    <w:rsid w:val="00591456"/>
    <w:rsid w:val="00592452"/>
    <w:rsid w:val="0059394E"/>
    <w:rsid w:val="0059446D"/>
    <w:rsid w:val="005950B9"/>
    <w:rsid w:val="005956CA"/>
    <w:rsid w:val="00595B0A"/>
    <w:rsid w:val="00595C4E"/>
    <w:rsid w:val="0059637F"/>
    <w:rsid w:val="00596AC4"/>
    <w:rsid w:val="005A1AF0"/>
    <w:rsid w:val="005A1B4C"/>
    <w:rsid w:val="005A23E9"/>
    <w:rsid w:val="005A3FC0"/>
    <w:rsid w:val="005A4616"/>
    <w:rsid w:val="005A4E2A"/>
    <w:rsid w:val="005A5407"/>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5EBF"/>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F02"/>
    <w:rsid w:val="005E7BB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352"/>
    <w:rsid w:val="006175A1"/>
    <w:rsid w:val="006208D8"/>
    <w:rsid w:val="00620ABE"/>
    <w:rsid w:val="00621603"/>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F51"/>
    <w:rsid w:val="00684A84"/>
    <w:rsid w:val="00684D2A"/>
    <w:rsid w:val="00684EA1"/>
    <w:rsid w:val="0068531A"/>
    <w:rsid w:val="00686309"/>
    <w:rsid w:val="00686E1D"/>
    <w:rsid w:val="00687CE7"/>
    <w:rsid w:val="00690196"/>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946"/>
    <w:rsid w:val="006D6A5A"/>
    <w:rsid w:val="006D6FEA"/>
    <w:rsid w:val="006D7237"/>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DE5"/>
    <w:rsid w:val="00771E0F"/>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E1B"/>
    <w:rsid w:val="007836C1"/>
    <w:rsid w:val="00784439"/>
    <w:rsid w:val="00784D58"/>
    <w:rsid w:val="00785438"/>
    <w:rsid w:val="00786594"/>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3F"/>
    <w:rsid w:val="007B1FA8"/>
    <w:rsid w:val="007B46C9"/>
    <w:rsid w:val="007B565B"/>
    <w:rsid w:val="007B5DBC"/>
    <w:rsid w:val="007B738D"/>
    <w:rsid w:val="007B7725"/>
    <w:rsid w:val="007B77BA"/>
    <w:rsid w:val="007B7ACC"/>
    <w:rsid w:val="007C06EE"/>
    <w:rsid w:val="007C0E34"/>
    <w:rsid w:val="007C1274"/>
    <w:rsid w:val="007C16D2"/>
    <w:rsid w:val="007C1C6F"/>
    <w:rsid w:val="007C308D"/>
    <w:rsid w:val="007C3F0A"/>
    <w:rsid w:val="007C5406"/>
    <w:rsid w:val="007C5AFE"/>
    <w:rsid w:val="007C6DF4"/>
    <w:rsid w:val="007C706A"/>
    <w:rsid w:val="007C799F"/>
    <w:rsid w:val="007C79A1"/>
    <w:rsid w:val="007C7D4C"/>
    <w:rsid w:val="007D1813"/>
    <w:rsid w:val="007D1FB5"/>
    <w:rsid w:val="007D2936"/>
    <w:rsid w:val="007D4D6E"/>
    <w:rsid w:val="007D5F67"/>
    <w:rsid w:val="007D673C"/>
    <w:rsid w:val="007D6DC1"/>
    <w:rsid w:val="007D7372"/>
    <w:rsid w:val="007D7D37"/>
    <w:rsid w:val="007E2349"/>
    <w:rsid w:val="007E4A90"/>
    <w:rsid w:val="007E4A9C"/>
    <w:rsid w:val="007E55CB"/>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28D"/>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795"/>
    <w:rsid w:val="008D18B9"/>
    <w:rsid w:val="008D1C35"/>
    <w:rsid w:val="008D2DCA"/>
    <w:rsid w:val="008D30F0"/>
    <w:rsid w:val="008D333A"/>
    <w:rsid w:val="008D3C44"/>
    <w:rsid w:val="008D4E78"/>
    <w:rsid w:val="008D52DD"/>
    <w:rsid w:val="008D58D0"/>
    <w:rsid w:val="008D6863"/>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330E"/>
    <w:rsid w:val="00904B0D"/>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5CA0"/>
    <w:rsid w:val="00925DAC"/>
    <w:rsid w:val="009266B9"/>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17E"/>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E75"/>
    <w:rsid w:val="009F704C"/>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BF7"/>
    <w:rsid w:val="00A13B07"/>
    <w:rsid w:val="00A14134"/>
    <w:rsid w:val="00A14C7F"/>
    <w:rsid w:val="00A15FD6"/>
    <w:rsid w:val="00A17592"/>
    <w:rsid w:val="00A179C9"/>
    <w:rsid w:val="00A17D3D"/>
    <w:rsid w:val="00A2083E"/>
    <w:rsid w:val="00A2203D"/>
    <w:rsid w:val="00A22281"/>
    <w:rsid w:val="00A22AD0"/>
    <w:rsid w:val="00A23494"/>
    <w:rsid w:val="00A234EE"/>
    <w:rsid w:val="00A24C46"/>
    <w:rsid w:val="00A267C9"/>
    <w:rsid w:val="00A26F2E"/>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0D1B"/>
    <w:rsid w:val="00A61581"/>
    <w:rsid w:val="00A6199A"/>
    <w:rsid w:val="00A646E1"/>
    <w:rsid w:val="00A64D0C"/>
    <w:rsid w:val="00A64EBD"/>
    <w:rsid w:val="00A65D58"/>
    <w:rsid w:val="00A67894"/>
    <w:rsid w:val="00A716D1"/>
    <w:rsid w:val="00A7173D"/>
    <w:rsid w:val="00A71D7E"/>
    <w:rsid w:val="00A72024"/>
    <w:rsid w:val="00A74BCA"/>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14B"/>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C7FAB"/>
    <w:rsid w:val="00AD032E"/>
    <w:rsid w:val="00AD1230"/>
    <w:rsid w:val="00AD171B"/>
    <w:rsid w:val="00AD2575"/>
    <w:rsid w:val="00AD2B72"/>
    <w:rsid w:val="00AD3B38"/>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964"/>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97C"/>
    <w:rsid w:val="00BF37B7"/>
    <w:rsid w:val="00BF4E98"/>
    <w:rsid w:val="00BF546E"/>
    <w:rsid w:val="00BF54E8"/>
    <w:rsid w:val="00BF6C46"/>
    <w:rsid w:val="00BF7EB4"/>
    <w:rsid w:val="00C0105A"/>
    <w:rsid w:val="00C01215"/>
    <w:rsid w:val="00C02BF1"/>
    <w:rsid w:val="00C036E3"/>
    <w:rsid w:val="00C03AFA"/>
    <w:rsid w:val="00C04B22"/>
    <w:rsid w:val="00C04D03"/>
    <w:rsid w:val="00C064A9"/>
    <w:rsid w:val="00C06955"/>
    <w:rsid w:val="00C06E13"/>
    <w:rsid w:val="00C072BC"/>
    <w:rsid w:val="00C07B05"/>
    <w:rsid w:val="00C10BD2"/>
    <w:rsid w:val="00C116AB"/>
    <w:rsid w:val="00C11B97"/>
    <w:rsid w:val="00C1212C"/>
    <w:rsid w:val="00C12BA4"/>
    <w:rsid w:val="00C1416C"/>
    <w:rsid w:val="00C1730E"/>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41E"/>
    <w:rsid w:val="00C83A82"/>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3BF9"/>
    <w:rsid w:val="00CC4049"/>
    <w:rsid w:val="00CC43D5"/>
    <w:rsid w:val="00CC44C1"/>
    <w:rsid w:val="00CC4536"/>
    <w:rsid w:val="00CC531D"/>
    <w:rsid w:val="00CC5DCB"/>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BF4"/>
    <w:rsid w:val="00D06C06"/>
    <w:rsid w:val="00D0764A"/>
    <w:rsid w:val="00D10637"/>
    <w:rsid w:val="00D1137D"/>
    <w:rsid w:val="00D117B3"/>
    <w:rsid w:val="00D11ACC"/>
    <w:rsid w:val="00D12783"/>
    <w:rsid w:val="00D12E55"/>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3F6A"/>
    <w:rsid w:val="00D44AB5"/>
    <w:rsid w:val="00D44B1E"/>
    <w:rsid w:val="00D44BB7"/>
    <w:rsid w:val="00D44C27"/>
    <w:rsid w:val="00D44DFC"/>
    <w:rsid w:val="00D46CCB"/>
    <w:rsid w:val="00D50517"/>
    <w:rsid w:val="00D51B17"/>
    <w:rsid w:val="00D51E2F"/>
    <w:rsid w:val="00D51F0E"/>
    <w:rsid w:val="00D51F88"/>
    <w:rsid w:val="00D52ADA"/>
    <w:rsid w:val="00D52E5F"/>
    <w:rsid w:val="00D52FCA"/>
    <w:rsid w:val="00D530A1"/>
    <w:rsid w:val="00D5350F"/>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28A"/>
    <w:rsid w:val="00D854A0"/>
    <w:rsid w:val="00D87329"/>
    <w:rsid w:val="00D874F0"/>
    <w:rsid w:val="00D87EED"/>
    <w:rsid w:val="00D90939"/>
    <w:rsid w:val="00D91165"/>
    <w:rsid w:val="00D9131F"/>
    <w:rsid w:val="00D91644"/>
    <w:rsid w:val="00D9172D"/>
    <w:rsid w:val="00D924AA"/>
    <w:rsid w:val="00D9295F"/>
    <w:rsid w:val="00D946BB"/>
    <w:rsid w:val="00D96013"/>
    <w:rsid w:val="00D96D52"/>
    <w:rsid w:val="00D96E40"/>
    <w:rsid w:val="00D96E88"/>
    <w:rsid w:val="00DA0F54"/>
    <w:rsid w:val="00DA4B03"/>
    <w:rsid w:val="00DA4CA8"/>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1B"/>
    <w:rsid w:val="00DC3399"/>
    <w:rsid w:val="00DC37FC"/>
    <w:rsid w:val="00DC385A"/>
    <w:rsid w:val="00DC49DA"/>
    <w:rsid w:val="00DC4B68"/>
    <w:rsid w:val="00DC51DE"/>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F56"/>
    <w:rsid w:val="00DF2439"/>
    <w:rsid w:val="00DF36D0"/>
    <w:rsid w:val="00DF3A9D"/>
    <w:rsid w:val="00DF3B47"/>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0CE5"/>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24C6"/>
    <w:rsid w:val="00ED3257"/>
    <w:rsid w:val="00ED4D30"/>
    <w:rsid w:val="00ED655C"/>
    <w:rsid w:val="00ED672F"/>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8FE"/>
    <w:rsid w:val="00EF33BB"/>
    <w:rsid w:val="00EF3B9C"/>
    <w:rsid w:val="00EF41C1"/>
    <w:rsid w:val="00EF443E"/>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429"/>
    <w:rsid w:val="00FC259F"/>
    <w:rsid w:val="00FC2A30"/>
    <w:rsid w:val="00FC3AFE"/>
    <w:rsid w:val="00FC46A2"/>
    <w:rsid w:val="00FC4F1F"/>
    <w:rsid w:val="00FC548E"/>
    <w:rsid w:val="00FC55F5"/>
    <w:rsid w:val="00FC5D3A"/>
    <w:rsid w:val="00FC5FCB"/>
    <w:rsid w:val="00FC6DF6"/>
    <w:rsid w:val="00FC7DE5"/>
    <w:rsid w:val="00FD032B"/>
    <w:rsid w:val="00FD18C0"/>
    <w:rsid w:val="00FD1C6D"/>
    <w:rsid w:val="00FD2D4B"/>
    <w:rsid w:val="00FD350F"/>
    <w:rsid w:val="00FD38DE"/>
    <w:rsid w:val="00FD3C3A"/>
    <w:rsid w:val="00FD3F06"/>
    <w:rsid w:val="00FD46B0"/>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713B"/>
    <w:rsid w:val="00FE718A"/>
    <w:rsid w:val="00FF0F3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5.png"/><Relationship Id="rId18" Type="http://schemas.openxmlformats.org/officeDocument/2006/relationships/hyperlink" Target="https://orcid.org/0000-0003-0989-3266"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orcid.org/0000-0003-2659-6909" TargetMode="External"/><Relationship Id="rId2" Type="http://schemas.openxmlformats.org/officeDocument/2006/relationships/numbering" Target="numbering.xml"/><Relationship Id="rId16" Type="http://schemas.openxmlformats.org/officeDocument/2006/relationships/hyperlink" Target="https://github.com/rvanmazijk/Cape-vs-SWA/"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i.org/10.15468/dl.46okua" TargetMode="External"/><Relationship Id="rId10" Type="http://schemas.openxmlformats.org/officeDocument/2006/relationships/image" Target="media/image2.png"/><Relationship Id="rId19" Type="http://schemas.openxmlformats.org/officeDocument/2006/relationships/hyperlink" Target="https://orcid.org/0000-0002-1363-9781"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i.org/10.15468/dl.n6u6n0"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F5B557-0AA9-4147-A576-D3C10EECE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1121</TotalTime>
  <Pages>22</Pages>
  <Words>25915</Words>
  <Characters>147722</Characters>
  <Application>Microsoft Office Word</Application>
  <DocSecurity>0</DocSecurity>
  <Lines>1231</Lines>
  <Paragraphs>346</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173291</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529</cp:revision>
  <cp:lastPrinted>2020-01-06T10:27:00Z</cp:lastPrinted>
  <dcterms:created xsi:type="dcterms:W3CDTF">2019-12-03T09:32:00Z</dcterms:created>
  <dcterms:modified xsi:type="dcterms:W3CDTF">2020-01-10T11:53:00Z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http://www.zotero.org/styles/harvard-university-of-cape-town</vt:lpwstr>
  </property>
  <property fmtid="{D5CDD505-2E9C-101B-9397-08002B2CF9AE}" pid="13" name="Mendeley Recent Style Name 5_1">
    <vt:lpwstr>Harvard - University of Cape Town</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