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100E49"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100E49"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2927EE59"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w:t>
      </w:r>
      <w:r w:rsidR="00844FEA">
        <w:lastRenderedPageBreak/>
        <w:t xml:space="preserve">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6CBE008"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 xml:space="preserve">coefficients associated with environmental </w:t>
      </w:r>
      <w:r w:rsidR="006435FF">
        <w:lastRenderedPageBreak/>
        <w:t>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 xml:space="preserve">Figure </w:t>
      </w:r>
      <w:r w:rsidRPr="008E4B9F">
        <w:rPr>
          <w:b/>
          <w:highlight w:val="red"/>
        </w:rPr>
        <w:t>2</w:t>
      </w:r>
      <w:r w:rsidRPr="00242181">
        <w:rPr>
          <w:b/>
        </w:rPr>
        <w:t>:</w:t>
      </w:r>
      <w:r>
        <w:t xml:space="preserve"> </w:t>
      </w:r>
      <w:r w:rsidR="00F330A8" w:rsidRPr="00DE4BFD">
        <w:rPr>
          <w:highlight w:val="red"/>
        </w:rPr>
        <w:t>Frequency d</w:t>
      </w:r>
      <w:r w:rsidRPr="00DE4BFD">
        <w:rPr>
          <w:highlight w:val="red"/>
        </w:rPr>
        <w:t>istributions of (a) QDS- and (b) HDS-scale vascular plant species richness in the GCFR and SWAFR. (c) Scatter plot of mean QDS-scale richness (</w:t>
      </w:r>
      <m:oMath>
        <m:bar>
          <m:barPr>
            <m:pos m:val="top"/>
            <m:ctrlPr>
              <w:rPr>
                <w:rFonts w:ascii="Cambria Math" w:hAnsi="Cambria Math"/>
                <w:highlight w:val="red"/>
              </w:rPr>
            </m:ctrlPr>
          </m:barPr>
          <m:e>
            <m:r>
              <w:rPr>
                <w:rFonts w:ascii="Cambria Math" w:hAnsi="Cambria Math"/>
                <w:highlight w:val="red"/>
              </w:rPr>
              <m:t>S</m:t>
            </m:r>
          </m:e>
        </m:bar>
      </m:oMath>
      <w:r w:rsidRPr="00DE4BFD">
        <w:rPr>
          <w:highlight w:val="red"/>
          <w:vertAlign w:val="subscript"/>
        </w:rPr>
        <w:t>QDS</w:t>
      </w:r>
      <w:r w:rsidRPr="00DE4BFD">
        <w:rPr>
          <w:highlight w:val="red"/>
        </w:rPr>
        <w:t>) and turnover (</w:t>
      </w:r>
      <w:r w:rsidRPr="00DE4BFD">
        <w:rPr>
          <w:i/>
          <w:highlight w:val="red"/>
        </w:rPr>
        <w:t>T</w:t>
      </w:r>
      <w:r w:rsidRPr="00DE4BFD">
        <w:rPr>
          <w:highlight w:val="red"/>
          <w:vertAlign w:val="subscript"/>
        </w:rPr>
        <w:t>QDS</w:t>
      </w:r>
      <w:r w:rsidRPr="00DE4BFD">
        <w:rPr>
          <w:highlight w:val="red"/>
        </w:rPr>
        <w:t xml:space="preserve">) with contour lines denoting the </w:t>
      </w:r>
      <w:r w:rsidRPr="00DE4BFD">
        <w:rPr>
          <w:i/>
          <w:highlight w:val="red"/>
        </w:rPr>
        <w:t>S</w:t>
      </w:r>
      <w:r w:rsidRPr="00DE4BFD">
        <w:rPr>
          <w:highlight w:val="red"/>
          <w:vertAlign w:val="subscript"/>
        </w:rPr>
        <w:t>HDS</w:t>
      </w:r>
      <w:r w:rsidRPr="00DE4BFD">
        <w:rPr>
          <w:highlight w:val="red"/>
        </w:rPr>
        <w:t xml:space="preserve"> that arises as their sum. (d) The distribution of the turnover partition of </w:t>
      </w:r>
      <w:r w:rsidRPr="00DE4BFD">
        <w:rPr>
          <w:i/>
          <w:highlight w:val="red"/>
        </w:rPr>
        <w:t>S</w:t>
      </w:r>
      <w:r w:rsidRPr="00DE4BFD">
        <w:rPr>
          <w:highlight w:val="red"/>
          <w:vertAlign w:val="subscript"/>
        </w:rPr>
        <w:t>HDS</w:t>
      </w:r>
      <w:r w:rsidRPr="00DE4BFD">
        <w:rPr>
          <w:highlight w:val="red"/>
        </w:rPr>
        <w:t xml:space="preserve"> expressed as a proportion (</w:t>
      </w:r>
      <w:r w:rsidRPr="00DE4BFD">
        <w:rPr>
          <w:i/>
          <w:highlight w:val="red"/>
        </w:rPr>
        <w:t>T</w:t>
      </w:r>
      <w:r w:rsidRPr="00DE4BFD">
        <w:rPr>
          <w:highlight w:val="red"/>
          <w:vertAlign w:val="subscript"/>
        </w:rPr>
        <w:t>QDS</w:t>
      </w:r>
      <w:r w:rsidR="00211A46" w:rsidRPr="00DE4BFD">
        <w:rPr>
          <w:highlight w:val="red"/>
          <w:vertAlign w:val="subscript"/>
        </w:rPr>
        <w:t xml:space="preserve"> </w:t>
      </w:r>
      <w:r w:rsidR="00211A46" w:rsidRPr="00DE4BFD">
        <w:rPr>
          <w:highlight w:val="red"/>
        </w:rPr>
        <w:t>/</w:t>
      </w:r>
      <w:r w:rsidR="00211A46" w:rsidRPr="00DE4BFD">
        <w:rPr>
          <w:i/>
          <w:highlight w:val="red"/>
        </w:rPr>
        <w:t xml:space="preserve"> S</w:t>
      </w:r>
      <w:r w:rsidR="00211A46" w:rsidRPr="00DE4BFD">
        <w:rPr>
          <w:highlight w:val="red"/>
          <w:vertAlign w:val="subscript"/>
        </w:rPr>
        <w:t>HDS</w:t>
      </w:r>
      <w:r w:rsidR="00DB3FDF" w:rsidRPr="00DE4BFD">
        <w:rPr>
          <w:highlight w:val="red"/>
        </w:rPr>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5703A3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3A190E4D" w:rsidR="00FC3AFE" w:rsidRDefault="00FC3AF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bookmarkStart w:id="13" w:name="_GoBack"/>
      <w:bookmarkEnd w:id="1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00302" w14:textId="77777777" w:rsidR="00100E49" w:rsidRDefault="00100E49">
      <w:pPr>
        <w:spacing w:after="0"/>
      </w:pPr>
      <w:r>
        <w:separator/>
      </w:r>
    </w:p>
  </w:endnote>
  <w:endnote w:type="continuationSeparator" w:id="0">
    <w:p w14:paraId="0EFE4580" w14:textId="77777777" w:rsidR="00100E49" w:rsidRDefault="00100E49">
      <w:pPr>
        <w:spacing w:after="0"/>
      </w:pPr>
      <w:r>
        <w:continuationSeparator/>
      </w:r>
    </w:p>
  </w:endnote>
  <w:endnote w:type="continuationNotice" w:id="1">
    <w:p w14:paraId="2C26A275" w14:textId="77777777" w:rsidR="00100E49" w:rsidRDefault="00100E4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7CE7F4" w14:textId="77777777" w:rsidR="00100E49" w:rsidRDefault="00100E49">
      <w:r>
        <w:separator/>
      </w:r>
    </w:p>
  </w:footnote>
  <w:footnote w:type="continuationSeparator" w:id="0">
    <w:p w14:paraId="5E009AA1" w14:textId="77777777" w:rsidR="00100E49" w:rsidRDefault="00100E49">
      <w:r>
        <w:continuationSeparator/>
      </w:r>
    </w:p>
  </w:footnote>
  <w:footnote w:type="continuationNotice" w:id="1">
    <w:p w14:paraId="1D1F498C" w14:textId="77777777" w:rsidR="00100E49" w:rsidRDefault="00100E4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0E49"/>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6E4"/>
    <w:rsid w:val="00253F7E"/>
    <w:rsid w:val="00254F18"/>
    <w:rsid w:val="002565DD"/>
    <w:rsid w:val="002566BD"/>
    <w:rsid w:val="00257896"/>
    <w:rsid w:val="00257D8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C0DB1-A835-455D-9722-455E7020F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21</Pages>
  <Words>11729</Words>
  <Characters>66860</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78433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267</cp:revision>
  <cp:lastPrinted>2020-01-06T10:27:00Z</cp:lastPrinted>
  <dcterms:created xsi:type="dcterms:W3CDTF">2019-12-03T09:32:00Z</dcterms:created>
  <dcterms:modified xsi:type="dcterms:W3CDTF">2020-01-07T11:22:00Z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