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C75034" w14:textId="5E0FE39E" w:rsidR="00024A7B" w:rsidRDefault="00F1488F" w:rsidP="002B270F">
      <w:pPr>
        <w:pStyle w:val="Title"/>
        <w:spacing w:before="0" w:line="240" w:lineRule="auto"/>
      </w:pPr>
      <w:bookmarkStart w:id="0" w:name="materials-and-methods"/>
      <w:r w:rsidRPr="00F4622D">
        <w:rPr>
          <w:color w:val="auto"/>
        </w:rPr>
        <w:t>Similar axes of e</w:t>
      </w:r>
      <w:r w:rsidR="00024A7B" w:rsidRPr="00F4622D">
        <w:rPr>
          <w:color w:val="auto"/>
        </w:rPr>
        <w:t xml:space="preserve">nvironmental heterogeneity </w:t>
      </w:r>
      <w:r w:rsidR="00F4622D" w:rsidRPr="00F4622D">
        <w:rPr>
          <w:color w:val="auto"/>
        </w:rPr>
        <w:t>associated</w:t>
      </w:r>
      <w:r w:rsidR="007630F5" w:rsidRPr="00F4622D">
        <w:rPr>
          <w:color w:val="auto"/>
        </w:rPr>
        <w:t xml:space="preserve"> </w:t>
      </w:r>
      <w:r w:rsidR="00F4622D" w:rsidRPr="00F4622D">
        <w:rPr>
          <w:color w:val="auto"/>
        </w:rPr>
        <w:t>with</w:t>
      </w:r>
      <w:r w:rsidR="00024A7B" w:rsidRPr="00F4622D">
        <w:rPr>
          <w:color w:val="auto"/>
        </w:rPr>
        <w:t xml:space="preserve"> </w:t>
      </w:r>
      <w:r w:rsidR="00024A7B">
        <w:t>plant species richness in two hyper</w:t>
      </w:r>
      <w:r w:rsidR="00EF41C1">
        <w:t>-</w:t>
      </w:r>
      <w:r w:rsidR="00024A7B">
        <w:t>diverse floras</w:t>
      </w:r>
    </w:p>
    <w:p w14:paraId="4B2285EA" w14:textId="1A05EDFC" w:rsidR="006B3D28" w:rsidRPr="00005DF9" w:rsidRDefault="006B3D28" w:rsidP="008A4E97">
      <w:pPr>
        <w:pStyle w:val="Subtitle"/>
        <w:spacing w:line="240" w:lineRule="auto"/>
        <w:jc w:val="left"/>
        <w:rPr>
          <w:sz w:val="28"/>
        </w:rPr>
      </w:pPr>
      <w:r w:rsidRPr="00005DF9">
        <w:rPr>
          <w:sz w:val="28"/>
        </w:rPr>
        <w:t xml:space="preserve">Running title: </w:t>
      </w:r>
      <w:r w:rsidR="00C767AE" w:rsidRPr="00005DF9">
        <w:rPr>
          <w:sz w:val="28"/>
        </w:rPr>
        <w:t>Heterogeneity and species richness</w:t>
      </w:r>
    </w:p>
    <w:p w14:paraId="7B377CF4" w14:textId="2E45E9AE" w:rsidR="00024A7B" w:rsidRPr="002C20EB" w:rsidRDefault="00024A7B" w:rsidP="008A4E97">
      <w:pPr>
        <w:pStyle w:val="Author"/>
        <w:spacing w:line="240" w:lineRule="auto"/>
        <w:rPr>
          <w:sz w:val="28"/>
        </w:rPr>
      </w:pPr>
      <w:r w:rsidRPr="002C20EB">
        <w:rPr>
          <w:sz w:val="28"/>
        </w:rPr>
        <w:t xml:space="preserve">Ruan van Mazijk, Michael D. Cramer </w:t>
      </w:r>
      <w:r w:rsidR="00374287" w:rsidRPr="002C20EB">
        <w:rPr>
          <w:sz w:val="28"/>
        </w:rPr>
        <w:t>and</w:t>
      </w:r>
      <w:r w:rsidRPr="002C20EB">
        <w:rPr>
          <w:sz w:val="28"/>
        </w:rPr>
        <w:t xml:space="preserve"> G. Anthony Verboom</w:t>
      </w:r>
    </w:p>
    <w:p w14:paraId="1AC18ACA" w14:textId="77777777" w:rsidR="00024A7B" w:rsidRDefault="00024A7B" w:rsidP="006F31F8">
      <w:pPr>
        <w:pStyle w:val="FirstParagraph"/>
        <w:spacing w:after="0"/>
      </w:pPr>
      <w:r>
        <w:t>Department of Biological Sciences, University of Cape Town, Rondebosch, South Africa</w:t>
      </w:r>
    </w:p>
    <w:p w14:paraId="0DF61B76" w14:textId="4B6123B2" w:rsidR="00024A7B" w:rsidRDefault="00024A7B" w:rsidP="00FE6DE3">
      <w:pPr>
        <w:pStyle w:val="BodyText"/>
        <w:spacing w:before="0"/>
      </w:pPr>
      <w:r>
        <w:t>Corresponding author: R</w:t>
      </w:r>
      <w:r w:rsidR="002A0204">
        <w:t>v</w:t>
      </w:r>
      <w:r>
        <w:t>M</w:t>
      </w:r>
      <w:r w:rsidR="006E039C">
        <w:t xml:space="preserve">, </w:t>
      </w:r>
      <w:hyperlink r:id="rId8" w:history="1">
        <w:r w:rsidR="00AE3336" w:rsidRPr="00790876">
          <w:rPr>
            <w:rStyle w:val="Hyperlink"/>
          </w:rPr>
          <w:t>ruanvmazijk@gmail.com</w:t>
        </w:r>
      </w:hyperlink>
    </w:p>
    <w:p w14:paraId="68B5BB40" w14:textId="77777777" w:rsidR="009E59E0" w:rsidRDefault="009E59E0" w:rsidP="008A4E97">
      <w:pPr>
        <w:pStyle w:val="Heading1"/>
        <w:spacing w:line="240" w:lineRule="auto"/>
      </w:pPr>
      <w:bookmarkStart w:id="1" w:name="acknowledgements"/>
      <w:bookmarkStart w:id="2" w:name="abstract"/>
      <w:r>
        <w:t>Acknowledgements</w:t>
      </w:r>
      <w:bookmarkEnd w:id="1"/>
    </w:p>
    <w:p w14:paraId="1EDD8076" w14:textId="286CE2E6" w:rsidR="009E59E0" w:rsidRPr="00024A7B" w:rsidRDefault="007630F5" w:rsidP="008A4E97">
      <w:pPr>
        <w:pStyle w:val="FirstParagraph"/>
      </w:pPr>
      <w:r>
        <w:t xml:space="preserve">RvM is grateful </w:t>
      </w:r>
      <w:r w:rsidR="00952B63">
        <w:t>to</w:t>
      </w:r>
      <w:r>
        <w:t xml:space="preserve"> the National Research Foundation and the South African Association of Botanists</w:t>
      </w:r>
      <w:r w:rsidR="00093309">
        <w:t xml:space="preserve"> for </w:t>
      </w:r>
      <w:r w:rsidR="00CD262A">
        <w:t>bursaries during</w:t>
      </w:r>
      <w:r w:rsidR="002F5AB6">
        <w:t xml:space="preserve"> the course of</w:t>
      </w:r>
      <w:r w:rsidR="00CD262A">
        <w:t xml:space="preserve"> </w:t>
      </w:r>
      <w:r w:rsidR="00093309">
        <w:t>this work.</w:t>
      </w:r>
    </w:p>
    <w:p w14:paraId="5A7C16B9" w14:textId="77777777" w:rsidR="00BC3667" w:rsidRDefault="00024A7B" w:rsidP="008A4E97">
      <w:pPr>
        <w:pStyle w:val="Heading1"/>
        <w:spacing w:line="240" w:lineRule="auto"/>
      </w:pPr>
      <w:r>
        <w:t>Abstract</w:t>
      </w:r>
      <w:bookmarkEnd w:id="2"/>
    </w:p>
    <w:p w14:paraId="064B794C" w14:textId="56931D54" w:rsidR="00024A7B" w:rsidRPr="00964A63" w:rsidRDefault="00024A7B" w:rsidP="008A4E97">
      <w:pPr>
        <w:pStyle w:val="BodyText"/>
      </w:pPr>
      <w:r w:rsidRPr="00024A7B">
        <w:rPr>
          <w:b/>
        </w:rPr>
        <w:t>Aim:</w:t>
      </w:r>
      <w:r w:rsidR="004C00F7" w:rsidRPr="004C00F7">
        <w:t xml:space="preserve"> </w:t>
      </w:r>
      <w:r w:rsidR="00893E00">
        <w:t>To</w:t>
      </w:r>
      <w:r w:rsidR="0019107E">
        <w:t xml:space="preserve"> assess whether the difference in species richness per unit area </w:t>
      </w:r>
      <w:r w:rsidR="00E664E2">
        <w:t>between two mediterranean-type biodiversity hotspots</w:t>
      </w:r>
      <w:r w:rsidR="00E664E2" w:rsidDel="006C4B60">
        <w:t xml:space="preserve"> </w:t>
      </w:r>
      <w:r w:rsidR="009D0DC8">
        <w:t xml:space="preserve">is explained by </w:t>
      </w:r>
      <w:r w:rsidR="0019107E">
        <w:t>differences in environmental heterogeneity.</w:t>
      </w:r>
    </w:p>
    <w:p w14:paraId="4E5A0187" w14:textId="2EA9DCAD" w:rsidR="00024A7B" w:rsidRPr="00AC205D" w:rsidRDefault="00024A7B" w:rsidP="008A4E97">
      <w:pPr>
        <w:pStyle w:val="BodyText"/>
        <w:rPr>
          <w:bCs/>
        </w:rPr>
      </w:pPr>
      <w:r>
        <w:rPr>
          <w:b/>
        </w:rPr>
        <w:t>Location:</w:t>
      </w:r>
      <w:r w:rsidR="00AC205D" w:rsidRPr="002C20EB">
        <w:t xml:space="preserve"> </w:t>
      </w:r>
      <w:r w:rsidR="00AC205D">
        <w:rPr>
          <w:bCs/>
        </w:rPr>
        <w:t>The Greater Cape Floristic Region, South Africa (GCFR) and Southwest Australia</w:t>
      </w:r>
      <w:r w:rsidR="00C70A73">
        <w:rPr>
          <w:bCs/>
        </w:rPr>
        <w:t>n</w:t>
      </w:r>
      <w:r w:rsidR="00AC205D">
        <w:rPr>
          <w:bCs/>
        </w:rPr>
        <w:t xml:space="preserve"> Floristic Region (SWAFR)</w:t>
      </w:r>
      <w:r w:rsidR="00242EDD">
        <w:rPr>
          <w:bCs/>
        </w:rPr>
        <w:t>.</w:t>
      </w:r>
    </w:p>
    <w:p w14:paraId="64618502" w14:textId="5DC6B12B" w:rsidR="00024A7B" w:rsidRPr="00AC205D" w:rsidRDefault="00024A7B" w:rsidP="008A4E97">
      <w:pPr>
        <w:pStyle w:val="BodyText"/>
        <w:rPr>
          <w:bCs/>
        </w:rPr>
      </w:pPr>
      <w:r>
        <w:rPr>
          <w:b/>
        </w:rPr>
        <w:t>Taxon:</w:t>
      </w:r>
      <w:r w:rsidR="00AC205D">
        <w:rPr>
          <w:bCs/>
        </w:rPr>
        <w:t xml:space="preserve"> Vascular plants (</w:t>
      </w:r>
      <w:r w:rsidR="009E61A8">
        <w:rPr>
          <w:bCs/>
        </w:rPr>
        <w:t>t</w:t>
      </w:r>
      <w:r w:rsidR="00AC205D">
        <w:rPr>
          <w:bCs/>
        </w:rPr>
        <w:t>racheophytes)</w:t>
      </w:r>
      <w:r w:rsidR="00242EDD">
        <w:rPr>
          <w:bCs/>
        </w:rPr>
        <w:t>.</w:t>
      </w:r>
    </w:p>
    <w:p w14:paraId="1FCA4F09" w14:textId="3A7E6A85" w:rsidR="00024A7B" w:rsidRDefault="00024A7B" w:rsidP="008A4E97">
      <w:pPr>
        <w:pStyle w:val="BodyText"/>
        <w:rPr>
          <w:b/>
        </w:rPr>
      </w:pPr>
      <w:r>
        <w:rPr>
          <w:b/>
        </w:rPr>
        <w:t>Methods:</w:t>
      </w:r>
      <w:r w:rsidR="004C00F7" w:rsidRPr="002C20EB">
        <w:t xml:space="preserve"> </w:t>
      </w:r>
      <w:r w:rsidR="00844A5C">
        <w:t>Comparable</w:t>
      </w:r>
      <w:r w:rsidR="009D0DC8">
        <w:t>,</w:t>
      </w:r>
      <w:r w:rsidR="00844A5C">
        <w:t xml:space="preserve"> geospatially-explicit environmental and species occurrence data were obtained</w:t>
      </w:r>
      <w:r w:rsidR="009A757D">
        <w:t xml:space="preserve"> for </w:t>
      </w:r>
      <w:r w:rsidR="003C3E31">
        <w:t>both</w:t>
      </w:r>
      <w:r w:rsidR="009A757D">
        <w:t xml:space="preserve"> regions</w:t>
      </w:r>
      <w:r w:rsidR="00900B79">
        <w:t xml:space="preserve"> and used to</w:t>
      </w:r>
      <w:r w:rsidR="009A757D">
        <w:t xml:space="preserve"> generate environmental heterogeneity and species richness raster layers. </w:t>
      </w:r>
      <w:r w:rsidR="00900B79">
        <w:t>H</w:t>
      </w:r>
      <w:r w:rsidR="009A757D">
        <w:t>eterogeneity</w:t>
      </w:r>
      <w:r w:rsidR="00900B79">
        <w:t xml:space="preserve"> in </w:t>
      </w:r>
      <w:r w:rsidR="009D0DC8">
        <w:t>multiple</w:t>
      </w:r>
      <w:r w:rsidR="00900B79">
        <w:t xml:space="preserve"> environmental variables</w:t>
      </w:r>
      <w:r w:rsidR="005D0A2D">
        <w:t xml:space="preserve"> </w:t>
      </w:r>
      <w:r w:rsidR="009D0DC8">
        <w:t>and</w:t>
      </w:r>
      <w:r w:rsidR="00900B79">
        <w:t xml:space="preserve"> </w:t>
      </w:r>
      <w:r w:rsidR="005D0A2D">
        <w:t xml:space="preserve">species richness </w:t>
      </w:r>
      <w:r w:rsidR="003C3E31">
        <w:t>per unit area</w:t>
      </w:r>
      <w:r w:rsidR="009D0DC8">
        <w:t>,</w:t>
      </w:r>
      <w:r w:rsidR="003C3E31">
        <w:t xml:space="preserve"> </w:t>
      </w:r>
      <w:r w:rsidR="00900B79">
        <w:t>w</w:t>
      </w:r>
      <w:r w:rsidR="009D0DC8">
        <w:t>ere</w:t>
      </w:r>
      <w:r w:rsidR="00900B79">
        <w:t xml:space="preserve"> compared </w:t>
      </w:r>
      <w:r w:rsidR="009A757D">
        <w:t xml:space="preserve">between the </w:t>
      </w:r>
      <w:r w:rsidR="00900B79">
        <w:t xml:space="preserve">two </w:t>
      </w:r>
      <w:r w:rsidR="009A757D">
        <w:t>regions</w:t>
      </w:r>
      <w:r w:rsidR="00D2022F">
        <w:t xml:space="preserve"> </w:t>
      </w:r>
      <w:r w:rsidR="00900B79">
        <w:t xml:space="preserve">at </w:t>
      </w:r>
      <w:r w:rsidR="00D2022F">
        <w:t>a range of spatial scales</w:t>
      </w:r>
      <w:r w:rsidR="007A6D6D">
        <w:t xml:space="preserve">. </w:t>
      </w:r>
      <w:r w:rsidR="00900B79">
        <w:t>At each scale s</w:t>
      </w:r>
      <w:r w:rsidR="00273E3C">
        <w:t xml:space="preserve">pecies richness </w:t>
      </w:r>
      <w:r w:rsidR="00900B79">
        <w:t xml:space="preserve">was also regressed </w:t>
      </w:r>
      <w:r w:rsidR="00273E3C">
        <w:t xml:space="preserve">against </w:t>
      </w:r>
      <w:r w:rsidR="00900B79">
        <w:t>a major axis of</w:t>
      </w:r>
      <w:r w:rsidR="00D639A3">
        <w:t xml:space="preserve"> environmental heterogeneity, derived </w:t>
      </w:r>
      <w:r w:rsidR="00900B79">
        <w:t xml:space="preserve">by </w:t>
      </w:r>
      <w:r w:rsidR="00D639A3">
        <w:t>p</w:t>
      </w:r>
      <w:r w:rsidR="007A6D6D">
        <w:t>rincipal component</w:t>
      </w:r>
      <w:r w:rsidR="008F1E4D">
        <w:t xml:space="preserve"> </w:t>
      </w:r>
      <w:r w:rsidR="00900B79">
        <w:t xml:space="preserve">analysis </w:t>
      </w:r>
      <w:r w:rsidR="008F1E4D">
        <w:t>(PCA)</w:t>
      </w:r>
      <w:r w:rsidR="009D0DC8">
        <w:t>,</w:t>
      </w:r>
      <w:r w:rsidR="00CD04A6">
        <w:t xml:space="preserve"> </w:t>
      </w:r>
      <w:r w:rsidR="00086992">
        <w:t>and</w:t>
      </w:r>
      <w:r w:rsidR="009D0DC8">
        <w:t>, using multiple regression,</w:t>
      </w:r>
      <w:r w:rsidR="00086992">
        <w:t xml:space="preserve"> against </w:t>
      </w:r>
      <w:r w:rsidR="00D2022F">
        <w:t>heterogeneity</w:t>
      </w:r>
      <w:r w:rsidR="009D0DC8" w:rsidRPr="009D0DC8">
        <w:t xml:space="preserve"> </w:t>
      </w:r>
      <w:r w:rsidR="009D0DC8">
        <w:t>in individual environmental variables</w:t>
      </w:r>
      <w:r w:rsidR="00D2022F">
        <w:t>.</w:t>
      </w:r>
    </w:p>
    <w:p w14:paraId="39C1CEA1" w14:textId="4A238FE2" w:rsidR="00024A7B" w:rsidRPr="00E71232" w:rsidRDefault="00024A7B" w:rsidP="008A4E97">
      <w:pPr>
        <w:pStyle w:val="BodyText"/>
        <w:rPr>
          <w:b/>
        </w:rPr>
      </w:pPr>
      <w:r>
        <w:rPr>
          <w:b/>
        </w:rPr>
        <w:t>Results:</w:t>
      </w:r>
      <w:r w:rsidR="004C00F7" w:rsidRPr="002C20EB">
        <w:t xml:space="preserve"> </w:t>
      </w:r>
      <w:r w:rsidR="00532A81">
        <w:t>T</w:t>
      </w:r>
      <w:r w:rsidR="00273E3C">
        <w:t xml:space="preserve">he GCFR </w:t>
      </w:r>
      <w:r w:rsidR="00532A81">
        <w:t xml:space="preserve">is generally more </w:t>
      </w:r>
      <w:r w:rsidR="009D0DC8">
        <w:t>environmentally-</w:t>
      </w:r>
      <w:r w:rsidR="00532A81">
        <w:t>heterogeneous and species-rich</w:t>
      </w:r>
      <w:r w:rsidR="006C6B55">
        <w:t xml:space="preserve"> than the SWAFR. </w:t>
      </w:r>
      <w:r w:rsidR="00CC1042">
        <w:t>Species richness per unit area is significantly related to t</w:t>
      </w:r>
      <w:r w:rsidR="006C6B55">
        <w:t xml:space="preserve">he major </w:t>
      </w:r>
      <w:r w:rsidR="00CC1042">
        <w:t xml:space="preserve">axis </w:t>
      </w:r>
      <w:r w:rsidR="006C6B55">
        <w:t>of</w:t>
      </w:r>
      <w:r w:rsidR="00273E3C">
        <w:t xml:space="preserve"> </w:t>
      </w:r>
      <w:r w:rsidR="006C6B55">
        <w:t>heterogeneity</w:t>
      </w:r>
      <w:r w:rsidR="00807DFE">
        <w:t xml:space="preserve"> </w:t>
      </w:r>
      <w:r w:rsidR="006D6A5A">
        <w:t>across both regions</w:t>
      </w:r>
      <w:r w:rsidR="009D0DC8">
        <w:t xml:space="preserve">, </w:t>
      </w:r>
      <w:r w:rsidR="00BB638E">
        <w:t xml:space="preserve">the latter describing </w:t>
      </w:r>
      <w:r w:rsidR="00CD04A6">
        <w:t>ca. 38–</w:t>
      </w:r>
      <w:r w:rsidR="00F60F72">
        <w:t>50</w:t>
      </w:r>
      <w:r w:rsidR="00CD04A6">
        <w:t xml:space="preserve">% </w:t>
      </w:r>
      <w:r w:rsidR="00CC1042">
        <w:t>of overall</w:t>
      </w:r>
      <w:r w:rsidR="00CD04A6">
        <w:t xml:space="preserve"> heterogeneity</w:t>
      </w:r>
      <w:r w:rsidR="00CC1042">
        <w:t>, the slope of this relationship differing between the two regions only at the finest spatial scale</w:t>
      </w:r>
      <w:r w:rsidR="00B51A66">
        <w:t xml:space="preserve">. </w:t>
      </w:r>
      <w:r w:rsidR="0086734A" w:rsidRPr="00E71232">
        <w:t>M</w:t>
      </w:r>
      <w:r w:rsidR="007743CF" w:rsidRPr="00E71232">
        <w:t>ultivariate regressions</w:t>
      </w:r>
      <w:r w:rsidR="0086734A" w:rsidRPr="00E71232">
        <w:t>,</w:t>
      </w:r>
      <w:r w:rsidR="007743CF" w:rsidRPr="00E71232">
        <w:t xml:space="preserve"> and </w:t>
      </w:r>
      <w:r w:rsidR="00251E50">
        <w:t>regressions against the</w:t>
      </w:r>
      <w:r w:rsidR="008F1E4D" w:rsidRPr="00E71232">
        <w:t xml:space="preserve"> </w:t>
      </w:r>
      <w:r w:rsidR="00694B43" w:rsidRPr="00E71232">
        <w:t>first ax</w:t>
      </w:r>
      <w:r w:rsidR="00251E50">
        <w:t>e</w:t>
      </w:r>
      <w:r w:rsidR="00694B43" w:rsidRPr="00E71232">
        <w:t xml:space="preserve">s </w:t>
      </w:r>
      <w:r w:rsidR="00872425" w:rsidRPr="00E71232">
        <w:t xml:space="preserve">of </w:t>
      </w:r>
      <w:r w:rsidR="00694B43" w:rsidRPr="00E71232">
        <w:t>the PCAs</w:t>
      </w:r>
      <w:r w:rsidR="003F774D">
        <w:t xml:space="preserve"> (PC1)</w:t>
      </w:r>
      <w:r w:rsidR="0086734A" w:rsidRPr="00E71232">
        <w:t xml:space="preserve">, </w:t>
      </w:r>
      <w:r w:rsidR="00183126" w:rsidRPr="00E71232">
        <w:t>reveal</w:t>
      </w:r>
      <w:r w:rsidR="00872425" w:rsidRPr="00E71232">
        <w:t>ed</w:t>
      </w:r>
      <w:r w:rsidR="00183126" w:rsidRPr="00E71232">
        <w:t xml:space="preserve"> </w:t>
      </w:r>
      <w:r w:rsidR="00872425" w:rsidRPr="00E71232">
        <w:t xml:space="preserve">variations in the dependence of species richness on </w:t>
      </w:r>
      <w:r w:rsidR="00183126" w:rsidRPr="00E71232">
        <w:t xml:space="preserve">environmental heterogeneity </w:t>
      </w:r>
      <w:r w:rsidR="00872425" w:rsidRPr="00E71232">
        <w:t>that differed between the two regions</w:t>
      </w:r>
      <w:r w:rsidR="00183126" w:rsidRPr="00E71232">
        <w:t>.</w:t>
      </w:r>
    </w:p>
    <w:p w14:paraId="3D4EE8B5" w14:textId="3133A393" w:rsidR="00024A7B" w:rsidRPr="00E71232" w:rsidRDefault="00024A7B" w:rsidP="008A4E97">
      <w:pPr>
        <w:pStyle w:val="BodyText"/>
        <w:rPr>
          <w:b/>
        </w:rPr>
      </w:pPr>
      <w:r w:rsidRPr="00E71232">
        <w:rPr>
          <w:b/>
        </w:rPr>
        <w:t>Main conclusions:</w:t>
      </w:r>
      <w:r w:rsidR="004C00F7" w:rsidRPr="00E71232">
        <w:rPr>
          <w:b/>
        </w:rPr>
        <w:t xml:space="preserve"> </w:t>
      </w:r>
      <w:r w:rsidR="00160C41" w:rsidRPr="00E71232">
        <w:t>We have evidence for a common</w:t>
      </w:r>
      <w:r w:rsidR="00E83B6C" w:rsidRPr="00E71232">
        <w:t xml:space="preserve"> positive</w:t>
      </w:r>
      <w:r w:rsidR="00160C41" w:rsidRPr="00E71232">
        <w:t xml:space="preserve"> relationship between floristic richness and environmental heterogeneity </w:t>
      </w:r>
      <w:r w:rsidR="00E83B6C" w:rsidRPr="00E71232">
        <w:t>across the GCFR and SWAFR</w:t>
      </w:r>
      <w:r w:rsidR="00F67297">
        <w:t xml:space="preserve">, </w:t>
      </w:r>
      <w:r w:rsidR="00977607" w:rsidRPr="00E71232">
        <w:t>depen</w:t>
      </w:r>
      <w:r w:rsidR="00372023" w:rsidRPr="00E71232">
        <w:t>den</w:t>
      </w:r>
      <w:r w:rsidR="00977607" w:rsidRPr="00E71232">
        <w:t>t o</w:t>
      </w:r>
      <w:r w:rsidR="00F67297">
        <w:t>n</w:t>
      </w:r>
      <w:r w:rsidR="00977607" w:rsidRPr="00E71232">
        <w:t xml:space="preserve"> spatial-scale. Though there are region-specific effects</w:t>
      </w:r>
      <w:r w:rsidR="005B0DBE" w:rsidRPr="00E71232">
        <w:t>,</w:t>
      </w:r>
      <w:r w:rsidR="003F774D">
        <w:t xml:space="preserve"> broad</w:t>
      </w:r>
      <w:r w:rsidR="00862C2B">
        <w:t>,</w:t>
      </w:r>
      <w:r w:rsidR="003F774D">
        <w:t xml:space="preserve"> positive associations between various axes of heterogeneity (and the major axis, PC1)</w:t>
      </w:r>
      <w:r w:rsidR="00862C2B">
        <w:t xml:space="preserve"> and plant species richness hold across the two flora. The generally greater richness per unit area of the GCFR compared to the SWAFR is </w:t>
      </w:r>
      <w:r w:rsidR="00486E0D">
        <w:t xml:space="preserve">thus </w:t>
      </w:r>
      <w:r w:rsidR="00862C2B">
        <w:t>explained by the former’s generally greater environmental heterogeneity and is concordant with its greater levels of floristic turnover</w:t>
      </w:r>
      <w:r w:rsidR="00486E0D">
        <w:t>.</w:t>
      </w:r>
    </w:p>
    <w:p w14:paraId="32244F12" w14:textId="2E825FC2" w:rsidR="00381AA9" w:rsidRPr="00381AA9" w:rsidRDefault="00024A7B" w:rsidP="00381AA9">
      <w:pPr>
        <w:pStyle w:val="BodyText"/>
      </w:pPr>
      <w:r>
        <w:rPr>
          <w:i/>
        </w:rPr>
        <w:lastRenderedPageBreak/>
        <w:t>Keywords</w:t>
      </w:r>
      <w:r w:rsidRPr="004C00F7">
        <w:rPr>
          <w:i/>
        </w:rPr>
        <w:t>:</w:t>
      </w:r>
      <w:r w:rsidR="00A14134">
        <w:t xml:space="preserve"> </w:t>
      </w:r>
      <w:r w:rsidR="00A14134" w:rsidRPr="00A14134">
        <w:t>biodiversity, environmental heterogeneity, fynbos, Greater Cape Floristic Region, kwongan, macroecology, species richness, species turnover, vascular plants, Southwest Australia</w:t>
      </w:r>
      <w:r w:rsidR="00C02BF1">
        <w:t>n</w:t>
      </w:r>
      <w:r w:rsidR="00A14134" w:rsidRPr="00A14134">
        <w:t xml:space="preserve"> Floristic Region</w:t>
      </w:r>
    </w:p>
    <w:p w14:paraId="301CD1AC" w14:textId="219F4C0E" w:rsidR="00D04776" w:rsidRDefault="00C408A8" w:rsidP="008A4E97">
      <w:pPr>
        <w:pStyle w:val="Heading1"/>
        <w:spacing w:line="240" w:lineRule="auto"/>
      </w:pPr>
      <w:r>
        <w:t>1</w:t>
      </w:r>
      <w:r w:rsidR="00D7233A">
        <w:t>:</w:t>
      </w:r>
      <w:r>
        <w:t xml:space="preserve"> </w:t>
      </w:r>
      <w:r w:rsidR="00D04776">
        <w:t>Introduction</w:t>
      </w:r>
    </w:p>
    <w:p w14:paraId="5CA48634" w14:textId="19DC569B" w:rsidR="00D04776" w:rsidRPr="002F0553" w:rsidRDefault="00D04776" w:rsidP="008A4E97">
      <w:pPr>
        <w:pStyle w:val="FirstParagraph"/>
      </w:pPr>
      <w:r w:rsidRPr="002F0553">
        <w:t>The species richness of a</w:t>
      </w:r>
      <w:r>
        <w:t xml:space="preserve"> region</w:t>
      </w:r>
      <w:r w:rsidRPr="002F0553">
        <w:t xml:space="preserve"> is a function of its biogeographic context (e.g. proximity to potential immigrant source</w:t>
      </w:r>
      <w:r w:rsidR="00960457">
        <w:t>s</w:t>
      </w:r>
      <w:r w:rsidRPr="002F0553">
        <w:t xml:space="preserve">), its diversification history and locally-deterministic, environmental features (e.g. productivity, heterogeneity) that influence species persistence and coexistence </w:t>
      </w:r>
      <w:r w:rsidR="0056429B">
        <w:fldChar w:fldCharType="begin" w:fldLock="1"/>
      </w:r>
      <w:r w:rsidR="002B619B">
        <w:instrText>ADDIN CSL_CITATION {"citationItems":[{"id":"ITEM-1","itemData":{"author":[{"dropping-particle":"","family":"Ricklefs","given":"Robert E.","non-dropping-particle":"","parse-names":false,"suffix":""}],"container-title":"Science, New Series","id":"ITEM-1","issue":"4785","issued":{"date-parts":[["1987"]]},"page":"167-171","title":"Community diversity: relative roles of local and regional processes","type":"article-journal","volume":"235"},"uris":["http://www.mendeley.com/documents/?uuid=a832f2dc-4bc2-40b3-8c79-bd63849d9d5c"]},{"id":"ITEM-2","itemData":{"author":[{"dropping-particle":"","family":"Ricklefs","given":"Robert E","non-dropping-particle":"","parse-names":false,"suffix":""}],"container-title":"Ecology letters","id":"ITEM-2","issue":"1","issued":{"date-parts":[["2004"]]},"page":"1-15","publisher":"Wiley Online Library","title":"A comprehensive framework for global patterns in biodiversity","type":"article-journal","volume":"7"},"uris":["http://www.mendeley.com/documents/?uuid=238af75a-b3ae-4919-aaf9-b0dc01f2abf3"]},{"id":"ITEM-3","itemData":{"author":[{"dropping-particle":"","family":"Bøhn","given":"Thomas","non-dropping-particle":"","parse-names":false,"suffix":""},{"dropping-particle":"","family":"Amundsen","given":"Per-Arne","non-dropping-particle":"","parse-names":false,"suffix":""}],"container-title":"BioScience","id":"ITEM-3","issue":"9","issued":{"date-parts":[["2004"]]},"page":"804-805","publisher":"American Institute of Biological Sciences","title":"Ecological interactions and evolution: forgotten parts of biodiversity?","type":"article-journal","volume":"54"},"uris":["http://www.mendeley.com/documents/?uuid=523088b8-a5cd-4322-b7c3-8eabed77c5ab"]}],"mendeley":{"formattedCitation":"(Bøhn &amp; Amundsen, 2004; Ricklefs, 1987, 2004)","plainTextFormattedCitation":"(Bøhn &amp; Amundsen, 2004; Ricklefs, 1987, 2004)","previouslyFormattedCitation":"(Bøhn &amp; Amundsen, 2004; Ricklefs, 1987, 2004)"},"properties":{"noteIndex":0},"schema":"https://github.com/citation-style-language/schema/raw/master/csl-citation.json"}</w:instrText>
      </w:r>
      <w:r w:rsidR="0056429B">
        <w:fldChar w:fldCharType="separate"/>
      </w:r>
      <w:r w:rsidR="000C0A63" w:rsidRPr="000C0A63">
        <w:rPr>
          <w:noProof/>
        </w:rPr>
        <w:t>(Bøhn &amp; Amundsen, 2004; Ricklefs, 1987, 2004)</w:t>
      </w:r>
      <w:r w:rsidR="0056429B">
        <w:fldChar w:fldCharType="end"/>
      </w:r>
      <w:r w:rsidRPr="002F0553">
        <w:t xml:space="preserve">. Since all three effects are potentially influenced by environmental heterogeneity, the latter may be a particularly important driver of regional species richness </w:t>
      </w:r>
      <w:r>
        <w:t>variation</w:t>
      </w:r>
      <w:r w:rsidR="009F6AA8">
        <w:t>,</w:t>
      </w:r>
      <w:r>
        <w:t xml:space="preserve"> </w:t>
      </w:r>
      <w:r w:rsidR="009F6AA8" w:rsidRPr="002F0553">
        <w:t>with physically</w:t>
      </w:r>
      <w:r w:rsidR="009F6AA8">
        <w:t>-</w:t>
      </w:r>
      <w:r w:rsidR="009F6AA8" w:rsidRPr="002F0553">
        <w:t xml:space="preserve">heterogeneous regions </w:t>
      </w:r>
      <w:r w:rsidR="009F6AA8">
        <w:t>tending</w:t>
      </w:r>
      <w:r w:rsidR="009F6AA8" w:rsidRPr="002F0553">
        <w:t xml:space="preserve"> to be </w:t>
      </w:r>
      <w:r w:rsidR="009F6AA8">
        <w:t xml:space="preserve">more </w:t>
      </w:r>
      <w:r w:rsidR="009F6AA8" w:rsidRPr="002F0553">
        <w:t>species-rich</w:t>
      </w:r>
      <w:r w:rsidR="009F6AA8">
        <w:t xml:space="preserve"> </w:t>
      </w:r>
      <w:commentRangeStart w:id="3"/>
      <w:r w:rsidR="007351F8">
        <w:fldChar w:fldCharType="begin" w:fldLock="1"/>
      </w:r>
      <w:r w:rsidR="00404D92">
        <w:instrText>ADDIN CSL_CITATION {"citationItems":[{"id":"ITEM-1","itemData":{"DOI":"10.1111/j.0906-7590.2006.04674.x","ISBN":"0906-7590","ISSN":"09067590","PMID":"6847","abstract":"Using new tools (boosted regression trees) in predictive biogeography, with extensive spatial 23 distribution data for &gt; 19 000 species, we developed predictive models for South African plant species richness patterns. Further, biome level analysis explored possible functional determinants of country-wide regional species richness. Finally, to test model reliability independently, we predicted potential alien invasive plant species richness with an independent dataset. Amongst the different hypotheses generally invoked to explain species 30 diversity (energy, favorableness, topographic heterogeneity, irregularity and seasonality), results revealed topographic heterogeneity as the most powerful single explanatory variable for indigenous South African plant species richness. Some biome-specific responses were observed, i.e. two of the five analyzed biomes (Fynbos and Grassland) had richness best explained by the \"species-favorableness\" hypothesis, but even in this case, topographic heterogeneity was also a primary predictor. This analysis, the largest conducted on an almost exhaustive species sample in a species-rich region, demonstrates the preeminence of topographic heterogeneity in shaping the spatial pattern of regional plant species richness. Model reliability was confirmed by the considerable predictive power for alien invasive species richness. It thus appears that topographic heterogeneity controls species richness in two main ways: firstly, by providing an abundance of ecological niches in contemporary space (revealed by alien invasive species richness relationships) and secondly, by facilitating the persistence of ecological niches through time. The extraordinary richness of the South African Fynbos biome, a world-renowned hotspot of biodiversity with the steepest environmental gradients in South Africa, may thus have arisen through both mechanisms. Comparisons with similar regions of the world outside South Africa are needed to confirm the generality of topographic heterogeneity and favorableness as predictors of plant richness.","author":[{"dropping-particle":"","family":"Thuiller","given":"Wilfried","non-dropping-particle":"","parse-names":false,"suffix":""},{"dropping-particle":"","family":"Midgley","given":"G F","non-dropping-particle":"","parse-names":false,"suffix":""},{"dropping-particle":"","family":"Rouget","given":"M","non-dropping-particle":"","parse-names":false,"suffix":""},{"dropping-particle":"","family":"Cowling","given":"R M","non-dropping-particle":"","parse-names":false,"suffix":""},{"dropping-particle":"","family":"F. Midgley","given":"Guy","non-dropping-particle":"","parse-names":false,"suffix":""},{"dropping-particle":"","family":"Rougeti","given":"Mathieu","non-dropping-particle":"","parse-names":false,"suffix":""},{"dropping-particle":"","family":"M. Cowling","given":"Richard","non-dropping-particle":"","parse-names":false,"suffix":""}],"container-title":"Ecography","id":"ITEM-1","issue":"5","issued":{"date-parts":[["2006"]]},"page":"733-744","title":"Predicting patterns of plant species richness in megadiverse South Africa","type":"article-journal","volume":"29"},"uris":["http://www.mendeley.com/documents/?uuid=992cd05a-6e37-4ff5-8d80-01f9e29d027e"]},{"id":"ITEM-2","itemData":{"DOI":"10.1073/pnas.0608361104","ISBN":"0027-8424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Sciences","id":"ITEM-2","issue":"14","issued":{"date-parts":[["2007","4","3"]]},"page":"5925-5930","title":"Global patterns and determinants of vascular plant diversity","type":"article-journal","volume":"104"},"uris":["http://www.mendeley.com/documents/?uuid=c7e13ce7-cc30-4a21-95e5-6078c56c1ad2"]},{"id":"ITEM-3","itemData":{"DOI":"10.1371/journal.pone.0131924","ISBN":"19326203 (ISSN)","ISSN":"19326203","PMID":"26161981","abstract":"We compared the effectiveness of environmental variables, and in particular of land-use indicators, to explain species richness patterns across taxonomic groups and biogeographical scales (i.e. overall pan-Europe and ecoregions within pan-Europe). Using boosted regression trees that handle non-linear relationships, we compared the relative influence (as a measure of effectiveness) of environmental variables related to climate, landscape (or habitat heterogeneity), land-use intensity or energy availability to explain European vertebrate species richness (birds, amphibians, and mammals) at the continental and ecoregion scales. We found that dominant land cover and actual evapotranspiration that relate to energy availability were the main correlates of vertebrate species richness over Europe. At the ecoregion scale, we identified four distinct groups of ecoregions where species richness was essentially associated to (i) seasonality of temperature, (ii) actual evapotranspiration and/or mean annual temperature, (iii) seasonality of precipitation, actual evapotranspiration and land cover) and (iv) and an even combination of the environmental variables. This typology of ecoregions remained valid for total vertebrate richness and the three vertebrate groups taken separately. Despite the overwhelming influence of land cover and actual evapotranspiration to explain vertebrate species richness patterns at European scale, the ranking of the main correlates of species richness varied between regions. Interestingly, landscape and land-use indicators did not stand out at the continental scale but their influence greatly increased in southern ecoregions, revealing the long-lasting human footprint on land-use-land-cover changes. Our study provides one of the first multi-scale descriptions of the variability in the ranking of correlates across several taxa.","author":[{"dropping-particle":"","family":"Mouchet","given":"Maud","non-dropping-particle":"","parse-names":false,"suffix":""},{"dropping-particle":"","family":"Levers","given":"Christian","non-dropping-particle":"","parse-names":false,"suffix":""},{"dropping-particle":"","family":"Zupan","given":"Laure","non-dropping-particle":"","parse-names":false,"suffix":""},{"dropping-particle":"","family":"Kuemmerle","given":"Tobias","non-dropping-particle":"","parse-names":false,"suffix":""},{"dropping-particle":"","family":"Plutzar","given":"Christoph","non-dropping-particle":"","parse-names":false,"suffix":""},{"dropping-particle":"","family":"Erb","given":"Karlheinz","non-dropping-particle":"","parse-names":false,"suffix":""},{"dropping-particle":"","family":"Lavorel","given":"Sandra","non-dropping-particle":"","parse-names":false,"suffix":""},{"dropping-particle":"","family":"Thuiller","given":"Wilfried","non-dropping-particle":"","parse-names":false,"suffix":""},{"dropping-particle":"","family":"Haberl","given":"Helmut","non-dropping-particle":"","parse-names":false,"suffix":""}],"container-title":"PLoS ONE","id":"ITEM-3","issue":"7","issued":{"date-parts":[["2015"]]},"page":"1-16","title":"Testing the effectiveness of environmental variables to explain European terrestrial vertebrate species richness across biogeographical scales","type":"article-journal","volume":"10"},"uris":["http://www.mendeley.com/documents/?uuid=aba4e635-43b1-4e31-b796-5487156d94c0"]},{"id":"ITEM-4","itemData":{"DOI":"10.1086/339464","ISBN":"00030147 (ISSN)","ISSN":"0003-0147","PMID":"18707437","abstract":"Energy and habitat heterogeneity are important correlates of spatial variation in species richness, though few investigations have sought to determine simultaneously their relative influences. Here we use the South African avifauna to examine the extent to which species richness is related to these variables and how these relationships depend on spatial grain. Taking spatial autocorrelation and area effects into account, we find that primary productivity, precipitation, absolute minimum temperature, and, at coarser resolutions, habitat heterogeneity account for most of the variation in species richness. Species richness and productivity are positively related, whereas the relationship between potential evapotranspiration (PET) and richness is unimodal. This is largely because of the constraining effects of low rainfall on productivity in high-PET areas. The increase in the importance of vegetation heterogeneity as an explanatory variable is caused largely by an increase in the range of vegetation heterogeneity included at coarse resolutions and is probably also a result of the positive effects of environmental heterogeneity on species richness. Our findings indicate that species richness is correlated with, and hence likely a function of, several variables, that spatial resolution and extent must be taken into account during investigations of these relationships, and that surrogate measures for productivity should be interpreted cautiously.","author":[{"dropping-particle":"","family":"Rensburg","given":"B. J.","non-dropping-particle":"van","parse-names":false,"suffix":""},{"dropping-particle":"","family":"Chown","given":"S. L.","non-dropping-particle":"","parse-names":false,"suffix":""},{"dropping-particle":"","family":"Gaston","given":"K. J.","non-dropping-particle":"","parse-names":false,"suffix":""}],"container-title":"The American Naturalist","id":"ITEM-4","issue":"5","issued":{"date-parts":[["2002","5"]]},"page":"566-577","title":"Species richness, environmental correlates, and spatial scale: a test esing South African birds","type":"article-journal","volume":"159"},"uris":["http://www.mendeley.com/documents/?uuid=6211fb34-0458-4f45-b038-0598983c6d64"]},{"id":"ITEM-5","itemData":{"DOI":"10.1111/j.1439-0485.2009.00358.x","ISBN":"0173-9565","ISSN":"0173-9565","author":[{"dropping-particle":"","family":"Levin","given":"Lisa A.","non-dropping-particle":"","parse-names":false,"suffix":""},{"dropping-particle":"","family":"Sibuet","given":"Myriam","non-dropping-particle":"","parse-names":false,"suffix":""},{"dropping-particle":"","family":"Gooday","given":"Andrew J.","non-dropping-particle":"","parse-names":false,"suffix":""},{"dropping-particle":"","family":"Smith","given":"Craig R.","non-dropping-particle":"","parse-names":false,"suffix":""},{"dropping-particle":"","family":"Vanreusel","given":"Ann","non-dropping-particle":"","parse-names":false,"suffix":""}],"container-title":"Marine Ecology","id":"ITEM-5","issued":{"date-parts":[["2010","3"]]},"page":"1-5","title":"The roles of habitat heterogeneity in generating and maintaining biodiversity on continental margins: an introduction","type":"article-journal","volume":"31"},"uris":["http://www.mendeley.com/documents/?uuid=3ef524fc-ba19-4661-a4b7-093aecdfdbfc"]},{"id":"ITEM-6","itemData":{"DOI":"10.1111/jbi.12911","ISSN":"03050270","abstract":"Aim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Biogeography","id":"ITEM-6","issue":"3","issued":{"date-parts":[["2016"]]},"page":"1-13","title":"Measures of biologically relevant environmental heterogeneity improve prediction of regional plant species richness","type":"article-journal","volume":"44"},"uris":["http://www.mendeley.com/documents/?uuid=0c417ad7-d287-4b7e-a0df-5e7303cc7bfa"]},{"id":"ITEM-7","itemData":{"DOI":"Doi 10.1126/Science.1256330","ISBN":"0036-8075","ISSN":"1095-9203","PMID":"25258078","abstract":"The mechanisms that shape plant diversity along resource gradients remain unresolved because competing theories have been evaluated in isolation. By testing multiple theories simultaneously across a &gt;2-million-year dune chronosequence in an Australian biodiversity hotspot, we show that variation in plant diversity is not explained by local resource heterogeneity, resource partitioning, nutrient stoichiometry, or soil fertility along this strong resource gradient. Rather, our results suggest that diversity is determined by environmental filtering from the regional flora, driven by soil acidification during long-term pedogenesis. This finding challenges the prevailing view that resource competition controls local plant diversity along resource gradients, and instead reflects processes shaping species pools over evolutionary time scales.","author":[{"dropping-particle":"","family":"Laliberte","given":"Etienne","non-dropping-particle":"","parse-names":false,"suffix":""},{"dropping-particle":"","family":"Zemunik","given":"Graham","non-dropping-particle":"","parse-names":false,"suffix":""},{"dropping-particle":"","family":"Turner","given":"Benjamin L.","non-dropping-particle":"","parse-names":false,"suffix":""}],"container-title":"Science","id":"ITEM-7","issue":"6204","issued":{"date-parts":[["2014","9"]]},"page":"1602-1605","title":"Environmental filtering explains variation in plant diversity along resource gradients","type":"article-journal","volume":"345"},"uris":["http://www.mendeley.com/documents/?uuid=8757718e-c497-4efd-b3a8-4f9c9ce16cc6"]}],"mendeley":{"formattedCitation":"(Cramer &amp; Verboom, 2016; Kreft &amp; Jetz, 2007; Laliberte et al., 2014; Levin et al., 2010; Mouchet et al., 2015; Thuiller et al., 2006; van Rensburg et al., 2002)","plainTextFormattedCitation":"(Cramer &amp; Verboom, 2016; Kreft &amp; Jetz, 2007; Laliberte et al., 2014; Levin et al., 2010; Mouchet et al., 2015; Thuiller et al., 2006; van Rensburg et al., 2002)","previouslyFormattedCitation":"(Cramer &amp; Verboom, 2016; Kreft &amp; Jetz, 2007; Laliberte et al., 2014; Levin et al., 2010; Mouchet et al., 2015; Thuiller et al., 2006; van Rensburg et al., 2002)"},"properties":{"noteIndex":0},"schema":"https://github.com/citation-style-language/schema/raw/master/csl-citation.json"}</w:instrText>
      </w:r>
      <w:r w:rsidR="007351F8">
        <w:fldChar w:fldCharType="separate"/>
      </w:r>
      <w:r w:rsidR="00404D92" w:rsidRPr="00404D92">
        <w:rPr>
          <w:noProof/>
        </w:rPr>
        <w:t>(Cramer &amp; Verboom, 2016; Kreft &amp; Jetz, 2007; Laliberte et al., 2014; Levin et al., 2010; Mouchet et al., 2015; Thuiller et al., 2006; van Rensburg et al., 2002)</w:t>
      </w:r>
      <w:r w:rsidR="007351F8">
        <w:fldChar w:fldCharType="end"/>
      </w:r>
      <w:commentRangeEnd w:id="3"/>
      <w:r w:rsidR="00BC6386">
        <w:rPr>
          <w:rStyle w:val="CommentReference"/>
          <w:rFonts w:ascii="Times New Roman" w:hAnsiTheme="minorHAnsi"/>
        </w:rPr>
        <w:commentReference w:id="3"/>
      </w:r>
      <w:r w:rsidRPr="002F0553">
        <w:t>. For example, given that the recruitment success of immigrant lineages into a region is often dictated by the pre-adaptations of those lineages</w:t>
      </w:r>
      <w:r w:rsidR="007034EE">
        <w:t xml:space="preserve"> </w:t>
      </w:r>
      <w:r w:rsidR="007034EE">
        <w:fldChar w:fldCharType="begin" w:fldLock="1"/>
      </w:r>
      <w:r w:rsidR="007034EE">
        <w:instrText>ADDIN CSL_CITATION {"citationItems":[{"id":"ITEM-1","itemData":{"DOI":"10.1111/j.1365-2699.2009.02097.x","ISSN":"03050270","abstract":"This paper addresses some of the conceptual issues involved in the analysis of the age and origin of mediterranean-climate plant taxa, paying particular attention to three topics: (1) the importance of an explicit time frame in the definition of biogeographical origins, (2) the distinction between the age of traits and the age of taxa, and (3) the idea of mediterranean-type ecosystems as environmental islands. (1) In California, recent analyses demonstrate that the diversity of species derived from different biogeographical origins is significantly correlated with temperature and precipitation gradients. These patterns support the hypothesis that niche conservatism is an important factor structuring modern diversity gradients. However, depending on how far back in time one looks, a species may be assigned to different origins; future discussions of biogeographical origins need to address the appropriate time frame for analysis. (2) Past research has demonstrated distinctive trait syndromes among woody plants of the Mediterranean, Chile, California and Mexico, and proposed that the syndromes are associated with lineages of different age in these floras. Reanalysis of individual traits demonstrates greater variability among regions than previously reported. The classification of plants into 'old' and 'new' genera is re-evaluated, and it is suggested that greater attention be paid to the age of traits, rather than to the age of taxa, especially at an arbitrary rank such as genus. (3) The idea of mediterranean-climate regions as 'climatic islands' is examined. Space-time diagrams of climate enable one to view the emergence of distinctive climatic regions in a continental context. The terms 'synclimatic' and 'anticlimatic' are proposed, referring to migration routes that parallel climate contours in space and time versus those that cross contours (including the case of geographic stasis in the face of climate change), respectively. Mediterranean-climate regions have served as important case studies in plant ecology and evolution, and merit continued close examination in the light of continued advances in phylogenetics and palaeoecology. © 2009 Blackwell Publishing Ltd.","author":[{"dropping-particle":"","family":"Ackerly","given":"David D.","non-dropping-particle":"","parse-names":false,"suffix":""}],"container-title":"Journal of Biogeography","id":"ITEM-1","issue":"7","issued":{"date-parts":[["2009","7"]]},"page":"1221-1233","title":"Evolution, origin and age of lineages in the Californian and Mediterranean floras","type":"article-journal","volume":"36"},"uris":["http://www.mendeley.com/documents/?uuid=4a85b827-ef94-4e66-a023-78fde78f255f"]},{"id":"ITEM-2","itemData":{"DOI":"10.1073/pnas.0801962105","ISSN":"0027-8424","abstract":"Phylogenetic studies are revealing that major ecological niches are more conserved through evolutionary history than expected, implying that adaptations to major climate changes have not readily been accomplished in all lineages. Phylogenetic niche conservatism has important consequences for the assembly of both local communities and the regional species pools from which these are drawn. If corridors for movement are available, newly emerging environments will tend to be filled by species that filter in from areas in which the relevant adaptations have already evolved, as opposed to being filled by in situ evolution of these adaptations. Examples include intercontinental disjunctions of tropical plants, the spread of plant lineages around the Northern Hemisphere after the evolution of cold tolerance, and the radiation of northern alpine plants into the Andes. These observations highlight the role of phylogenetic knowledge and historical biogeography in explanations of global biodiversity patterns. They also have implications for the future of biodiversity. © 2008 by The National Academy of Sciences of the USA.","author":[{"dropping-particle":"","family":"Donoghue","given":"Michael J.","non-dropping-particle":"","parse-names":false,"suffix":""}],"container-title":"Proceedings of the National Academy of Sciences","id":"ITEM-2","issue":"Supplement 1","issued":{"date-parts":[["2008","8","12"]]},"page":"11549-11555","title":"A phylogenetic perspective on the distribution of plant diversity","type":"article-journal","volume":"105"},"uris":["http://www.mendeley.com/documents/?uuid=7948ab99-1dd2-402a-883d-97222f0c6a5d"]},{"id":"ITEM-3","itemData":{"DOI":"10.1038/nature07764","ISSN":"0028-0836","abstract":"How and why organisms are distributed as they are has long intrigued evolutionary biologists. The tendency for species to retain their ancestral ecology has been demonstrated in distributions on local and regional scales, but the extent of ecological conservatism over tens of millions of years and across continents has not been assessed. Here we show that biome stasis at speciation has outweighed biome shifts by a ratio of more than 25:1, by inferring ancestral biomes for an ecologically diverse sample of more than 11,000 plant species from around the Southern Hemisphere. Stasis was also prevalent in transocean colonizations. Availability of a suitable biome could have substantially influenced which lineages establish on more than one landmass, in addition to the influence of the rarity of the dispersal events themselves. Conversely, the taxonomic composition of biomes has probably been strongly influenced by the rarity of species transitions between biomes. This study has implications for the future because if clades have inherently limited capacity to shift biomes, then their evolutionary potential could be strongly compromised by biome contraction as climate changes. © 2009 Macmillan Publishers Limited. All rights reserved.","author":[{"dropping-particle":"","family":"Crisp","given":"Michael D.","non-dropping-particle":"","parse-names":false,"suffix":""},{"dropping-particle":"","family":"Arroyo","given":"Mary T. K.","non-dropping-particle":"","parse-names":false,"suffix":""},{"dropping-particle":"","family":"Cook","given":"Lyn G.","non-dropping-particle":"","parse-names":false,"suffix":""},{"dropping-particle":"","family":"Gandolfo","given":"Maria A.","non-dropping-particle":"","parse-names":false,"suffix":""},{"dropping-particle":"","family":"Jordan","given":"Gregory J.","non-dropping-particle":"","parse-names":false,"suffix":""},{"dropping-particle":"","family":"McGlone","given":"Matt S.","non-dropping-particle":"","parse-names":false,"suffix":""},{"dropping-particle":"","family":"Weston","given":"Peter H.","non-dropping-particle":"","parse-names":false,"suffix":""},{"dropping-particle":"","family":"Westoby","given":"Mark","non-dropping-particle":"","parse-names":false,"suffix":""},{"dropping-particle":"","family":"Wilf","given":"Peter","non-dropping-particle":"","parse-names":false,"suffix":""},{"dropping-particle":"","family":"Linder","given":"H. Peter","non-dropping-particle":"","parse-names":false,"suffix":""}],"container-title":"Nature","id":"ITEM-3","issue":"7239","issued":{"date-parts":[["2009","4","15"]]},"page":"754-756","title":"Phylogenetic biome conservatism on a global scale","type":"article-journal","volume":"458"},"uris":["http://www.mendeley.com/documents/?uuid=a7222262-1337-4186-900a-61e36e9a6f8c"]}],"mendeley":{"formattedCitation":"(Ackerly, 2009; Crisp et al., 2009; Donoghue, 2008)","plainTextFormattedCitation":"(Ackerly, 2009; Crisp et al., 2009; Donoghue, 2008)","previouslyFormattedCitation":"(Ackerly, 2009; Crisp et al., 2009; Donoghue, 2008)"},"properties":{"noteIndex":0},"schema":"https://github.com/citation-style-language/schema/raw/master/csl-citation.json"}</w:instrText>
      </w:r>
      <w:r w:rsidR="007034EE">
        <w:fldChar w:fldCharType="separate"/>
      </w:r>
      <w:r w:rsidR="007034EE" w:rsidRPr="007034EE">
        <w:rPr>
          <w:noProof/>
        </w:rPr>
        <w:t>(Ackerly, 2009; Crisp et al., 2009; Donoghue, 2008)</w:t>
      </w:r>
      <w:r w:rsidR="007034EE">
        <w:fldChar w:fldCharType="end"/>
      </w:r>
      <w:r w:rsidRPr="002F0553">
        <w:t>, a physically-heterogenous environment may promote diversity by admitting a</w:t>
      </w:r>
      <w:r>
        <w:t xml:space="preserve"> more </w:t>
      </w:r>
      <w:r w:rsidR="00765D62">
        <w:t>functionally</w:t>
      </w:r>
      <w:r w:rsidR="003510DE">
        <w:t>-</w:t>
      </w:r>
      <w:r w:rsidR="00765D62">
        <w:t>diverse</w:t>
      </w:r>
      <w:r>
        <w:t xml:space="preserve"> array of</w:t>
      </w:r>
      <w:r w:rsidRPr="002F0553">
        <w:t xml:space="preserve"> immigrant lineages. In addition, by virtue of its central role in powering adaptive divergence and</w:t>
      </w:r>
      <w:r>
        <w:t>/or</w:t>
      </w:r>
      <w:r w:rsidRPr="002F0553">
        <w:t xml:space="preserve"> promoting population isolation, </w:t>
      </w:r>
      <w:r w:rsidR="007948F4">
        <w:t>environmental heterogeneity</w:t>
      </w:r>
      <w:r w:rsidRPr="002F0553">
        <w:t xml:space="preserve"> is</w:t>
      </w:r>
      <w:r>
        <w:t xml:space="preserve"> a</w:t>
      </w:r>
      <w:r w:rsidRPr="002F0553">
        <w:t xml:space="preserve"> </w:t>
      </w:r>
      <w:r>
        <w:t xml:space="preserve">critical requirement for speciation under </w:t>
      </w:r>
      <w:r w:rsidRPr="002F0553">
        <w:t xml:space="preserve">most models </w:t>
      </w:r>
      <w:r w:rsidR="00CE1A8E">
        <w:fldChar w:fldCharType="begin" w:fldLock="1"/>
      </w:r>
      <w:r w:rsidR="00404D92">
        <w:instrText>ADDIN CSL_CITATION {"citationItems":[{"id":"ITEM-1","itemData":{"DOI":"10.1111/j.1558-5646.2009.00877.x","ISBN":"0014-3820","ISSN":"00143820","PMID":"19891628","abstract":"Since Darwin published the \"Origin,\" great progress has been made in our understanding of speciation mechanisms. The early investigations by Mayr and Dobzhansky linked Darwin's view of speciation by adaptive divergence to the evolution of reproductive isolation, and thus provided a framework for studying the origin of species. However, major controversies and questions remain, including: When is speciation nonecological? Under what conditions does geographic isolation constitute a reproductive isolating barrier? and How do we estimate the \"importance\" of different isolating barriers? Here, we address these questions, providing historical background and offering some new perspectives. A topic of great recent interest is the role of ecology in speciation. \"Ecological speciation\" is defined as the case in which divergent selection leads to reproductive isolation, with speciation under uniform selection, polyploid speciation, and speciation by genetic drift defined as \"nonecological.\" We review these proposed cases of nonecological speciation and conclude that speciation by uniform selection and polyploidy normally involve ecological processes. Furthermore, because selection can impart reproductive isolation both directly through traits under selection and indirectly through pleiotropy and linkage, it is much more effective in producing isolation than genetic drift. We thus argue that natural selection is a ubiquitous part of speciation, and given the many ways in which stochastic and deterministic factors may interact during divergence, we question whether the ecological speciation concept is useful. We also suggest that geographic isolation caused by adaptation to different habitats plays a major, and largely neglected, role in speciation. We thus provide a framework for incorporating geographic isolation into the biological species concept (BSC) by separating ecological from historical processes that govern species distributions, allowing for an estimate of geographic isolation based upon genetic differences between taxa. Finally, we suggest that the individual and relative contributions of all potential barriers be estimated for species pairs that have recently achieved species status under the criteria of the BSC. Only in this way will it be possible to distinguish those barriers that have actually contributed to speciation from those that have accumulated after speciation is complete. We conclude that ecological adaptation is the major driver of repro…","author":[{"dropping-particle":"","family":"Sobel","given":"James M.","non-dropping-particle":"","parse-names":false,"suffix":""},{"dropping-particle":"","family":"Chen","given":"Grace F.","non-dropping-particle":"","parse-names":false,"suffix":""},{"dropping-particle":"","family":"Watt","given":"Lorna R.","non-dropping-particle":"","parse-names":false,"suffix":""},{"dropping-particle":"","family":"Schemske","given":"Douglas W.","non-dropping-particle":"","parse-names":false,"suffix":""}],"container-title":"Evolution","id":"ITEM-1","issue":"2","issued":{"date-parts":[["2010","2"]]},"page":"295-315","title":"The biology of speciation","type":"article-journal","volume":"64"},"uris":["http://www.mendeley.com/documents/?uuid=9e2e8540-0f90-36a3-84f1-cc363fcde52f"]},{"id":"ITEM-2","itemData":{"author":[{"dropping-particle":"","family":"Wiens","given":"John J","non-dropping-particle":"","parse-names":false,"suffix":""}],"container-title":"The American Naturalist","id":"ITEM-2","issue":"6","issued":{"date-parts":[["2004"]]},"page":"914-923","publisher":"The University of Chicago Press","title":"What is speciation and how should we study it?","type":"article-journal","volume":"163"},"uris":["http://www.mendeley.com/documents/?uuid=9e7427e1-0095-4671-b1f8-6ffa139794f9"]},{"id":"ITEM-3","itemData":{"author":[{"dropping-particle":"","family":"Wiens","given":"John J","non-dropping-particle":"","parse-names":false,"suffix":""}],"container-title":"Evolution","id":"ITEM-3","issue":"1","issued":{"date-parts":[["2004"]]},"page":"193-197","publisher":"Wiley Online Library","title":"Speciation and ecology revisited: phylogenetic niche conservatism and the origin of species","type":"article-journal","volume":"58"},"uris":["http://www.mendeley.com/documents/?uuid=c8a745eb-2e09-4145-a62b-129000252b05"]}],"mendeley":{"formattedCitation":"(Sobel et al., 2010; Wiens, 2004b, 2004a)","manualFormatting":"(Sobel, Chen, Watt, &amp; Schemske, 2010; Wiens, 2004a,b)","plainTextFormattedCitation":"(Sobel et al., 2010; Wiens, 2004b, 2004a)","previouslyFormattedCitation":"(Sobel et al., 2010; Wiens, 2004b, 2004a)"},"properties":{"noteIndex":0},"schema":"https://github.com/citation-style-language/schema/raw/master/csl-citation.json"}</w:instrText>
      </w:r>
      <w:r w:rsidR="00CE1A8E">
        <w:fldChar w:fldCharType="separate"/>
      </w:r>
      <w:r w:rsidR="002B619B" w:rsidRPr="002B619B">
        <w:rPr>
          <w:noProof/>
        </w:rPr>
        <w:t>(Sobel, Chen, Watt, &amp; Schemske, 2010; Wiens, 2004a</w:t>
      </w:r>
      <w:r w:rsidR="002B619B">
        <w:rPr>
          <w:noProof/>
        </w:rPr>
        <w:t>,b</w:t>
      </w:r>
      <w:r w:rsidR="002B619B" w:rsidRPr="002B619B">
        <w:rPr>
          <w:noProof/>
        </w:rPr>
        <w:t>)</w:t>
      </w:r>
      <w:r w:rsidR="00CE1A8E">
        <w:fldChar w:fldCharType="end"/>
      </w:r>
      <w:r w:rsidRPr="002F0553">
        <w:t xml:space="preserve">. Likewise, </w:t>
      </w:r>
      <w:r>
        <w:t xml:space="preserve">in the context of long-term environmental change, physical </w:t>
      </w:r>
      <w:r w:rsidRPr="002F0553">
        <w:t>heterogene</w:t>
      </w:r>
      <w:r>
        <w:t>ity</w:t>
      </w:r>
      <w:r w:rsidRPr="002F0553">
        <w:t xml:space="preserve"> may </w:t>
      </w:r>
      <w:r>
        <w:t>offer</w:t>
      </w:r>
      <w:r w:rsidRPr="002F0553">
        <w:t xml:space="preserve"> refug</w:t>
      </w:r>
      <w:r>
        <w:t>ia</w:t>
      </w:r>
      <w:r w:rsidRPr="002F0553">
        <w:t xml:space="preserve"> </w:t>
      </w:r>
      <w:r>
        <w:t>to</w:t>
      </w:r>
      <w:r w:rsidRPr="002F0553">
        <w:t xml:space="preserve"> a </w:t>
      </w:r>
      <w:r>
        <w:t>wider array</w:t>
      </w:r>
      <w:r w:rsidRPr="002F0553">
        <w:t xml:space="preserve"> of lineages and so </w:t>
      </w:r>
      <w:r>
        <w:t>confer</w:t>
      </w:r>
      <w:r w:rsidRPr="002F0553">
        <w:t xml:space="preserve"> a </w:t>
      </w:r>
      <w:r>
        <w:t>greater level of</w:t>
      </w:r>
      <w:r w:rsidRPr="002F0553">
        <w:t xml:space="preserve"> buffer</w:t>
      </w:r>
      <w:r>
        <w:t>ing</w:t>
      </w:r>
      <w:r w:rsidRPr="002F0553">
        <w:t xml:space="preserve"> against lineage extinction </w:t>
      </w:r>
      <w:r w:rsidR="00A67894">
        <w:fldChar w:fldCharType="begin" w:fldLock="1"/>
      </w:r>
      <w:r w:rsidR="00A67894">
        <w:instrText>ADDIN CSL_CITATION {"citationItems":[{"id":"ITEM-1","itemData":{"DOI":"10.1016/j.quascirev.2008.08.032","ISSN":"02773791","abstract":"Phylogeography uses the spatial distribution of genealogical lineages to deduce the influence of historical processes on the evolution of species, and can be informative in regard to location of refugia during extreme climatic conditions. Southern Australia is an ancient landscape with generally low geological relief that was not glaciated but did experience significant climatic oscillations from warm wet conditions in interglacials to cool dry environments during glacial maxima. Phylogeographic patterns in many of the biota of southern Australia reveal evidence of geographically structured divergent lineages indicative of contraction to, and expansion from, major refugia. The time frame for this divergence corresponds with mid Pleistocene climatic oscillations that became more extreme with greater amplitude, and with increased aridity and the formation of sandy deserts. Within lineages there is high haplotype diversity that is generally locally distributed, often specific to populations. These patterns do not reveal specific locations of major refugia that have high diversity and acted as an origin for recent range expansion, as has been observed in Northern Hemisphere glaciated regions. Rather it appears there have been multiple localised refugia throughout the distributions of the species, allowing them to persist through multiple climatic cycles in heterogeneous environments. Phylogeographic patterns in southern Australia indicate that major biotic responses to climatic change involve persistence and resilience rather than large-scale migration, indicating the importance of dynamic evolutionary processes and a mosaic of habitats in heterogeneous landscapes for species to persist though changing environmental conditions. © 2008 Elsevier Ltd. All rights reserved.","author":[{"dropping-particle":"","family":"Byrne","given":"M.","non-dropping-particle":"","parse-names":false,"suffix":""}],"container-title":"Quaternary Science Reviews","id":"ITEM-1","issue":"27-28","issued":{"date-parts":[["2008","12"]]},"page":"2576-2585","publisher":"Elsevier Ltd","title":"Evidence for multiple refugia at different time scales during Pleistocene climatic oscillations in southern Australia inferred from phylogeography","type":"article-journal","volume":"27"},"uris":["http://www.mendeley.com/documents/?uuid=d1291e0b-a9c0-442b-a75f-35908667a304"]}],"mendeley":{"formattedCitation":"(Byrne, 2008)","plainTextFormattedCitation":"(Byrne, 2008)","previouslyFormattedCitation":"(Byrne, 2008)"},"properties":{"noteIndex":0},"schema":"https://github.com/citation-style-language/schema/raw/master/csl-citation.json"}</w:instrText>
      </w:r>
      <w:r w:rsidR="00A67894">
        <w:fldChar w:fldCharType="separate"/>
      </w:r>
      <w:r w:rsidR="00A67894" w:rsidRPr="00A67894">
        <w:rPr>
          <w:noProof/>
        </w:rPr>
        <w:t>(Byrne, 2008)</w:t>
      </w:r>
      <w:r w:rsidR="00A67894">
        <w:fldChar w:fldCharType="end"/>
      </w:r>
      <w:r w:rsidRPr="002F0553">
        <w:t xml:space="preserve">. Finally, </w:t>
      </w:r>
      <w:r w:rsidR="007948F4">
        <w:t>environmental heterogeneity</w:t>
      </w:r>
      <w:r w:rsidRPr="002F0553">
        <w:t xml:space="preserve"> has repeatedly been shown to facilitate species coexistence at a variety of scales, </w:t>
      </w:r>
      <w:r w:rsidR="005E5F02" w:rsidRPr="002F0553">
        <w:t>enhanc</w:t>
      </w:r>
      <w:r w:rsidR="005E5F02">
        <w:t>ing</w:t>
      </w:r>
      <w:r w:rsidR="005E5F02" w:rsidRPr="002F0553">
        <w:t xml:space="preserve"> </w:t>
      </w:r>
      <w:r w:rsidRPr="002F0553">
        <w:t xml:space="preserve">regional species richness </w:t>
      </w:r>
      <w:r w:rsidR="00137475">
        <w:fldChar w:fldCharType="begin" w:fldLock="1"/>
      </w:r>
      <w:r w:rsidR="00404D92">
        <w:instrText>ADDIN CSL_CITATION {"citationItems":[{"id":"ITEM-1","itemData":{"DOI":"10.1038/s41559-017-0230-7","ISSN":"2397-334X","abstract":"Understanding how species diversity is maintained is a foundational problem in ecology and an essential requirement for the discipline to be effective as an applied science. Ecologists’ understanding of this problem has rapidly matured, but this has exposed profound uncertainty about the spatial scales required to maintain species diversity. Here we define and develop this frontier by proposing the coexistence–area relationship—a real relationship in nature that can be used to understand the determinants of the scale-dependence of diversity maintenance. The coexistence–area relationship motivates new empirical techniques for addressing important, unresolved problems about the influence of demographic stochasticity, environmental heterogeneity and dispersal on scale-dependent patterns of diversity. In so doing, this framework substantially reframes current approaches to spanding of the maintenance of diversity in nature, and should improve the contribution of community ecology to biodiversity conservation. Our understanding of how species diversity is maintained depends on spatial scale. Here, the coexistence–area relationship is developed to understand scale dependence and increase community ecology’s contribution to biodiversity conservation.","author":[{"dropping-particle":"","family":"Hart","given":"Simon P.","non-dropping-particle":"","parse-names":false,"suffix":""},{"dropping-particle":"","family":"Usinowicz","given":"Jacob","non-dropping-particle":"","parse-names":false,"suffix":""},{"dropping-particle":"","family":"Levine","given":"Jonathan M.","non-dropping-particle":"","parse-names":false,"suffix":""}],"container-title":"Nature Ecology &amp; Evolution","id":"ITEM-1","issue":"8","issued":{"date-parts":[["2017"]]},"page":"1066-1073","title":"The spatial scales of species coexistence","type":"article-journal","volume":"1"},"uris":["http://www.mendeley.com/documents/?uuid=46b59b89-4782-4d53-b9b3-18d311b06a70"]}],"mendeley":{"formattedCitation":"(Hart et al., 2017)","plainTextFormattedCitation":"(Hart et al., 2017)","previouslyFormattedCitation":"(Hart et al., 2017)"},"properties":{"noteIndex":0},"schema":"https://github.com/citation-style-language/schema/raw/master/csl-citation.json"}</w:instrText>
      </w:r>
      <w:r w:rsidR="00137475">
        <w:fldChar w:fldCharType="separate"/>
      </w:r>
      <w:r w:rsidR="00404D92" w:rsidRPr="00404D92">
        <w:rPr>
          <w:noProof/>
        </w:rPr>
        <w:t>(Hart et al., 2017)</w:t>
      </w:r>
      <w:r w:rsidR="00137475">
        <w:fldChar w:fldCharType="end"/>
      </w:r>
      <w:r w:rsidRPr="002F0553">
        <w:t xml:space="preserve">. Differences in </w:t>
      </w:r>
      <w:r w:rsidR="007948F4">
        <w:t>environmental heterogeneity</w:t>
      </w:r>
      <w:r w:rsidRPr="002F0553">
        <w:t xml:space="preserve"> may</w:t>
      </w:r>
      <w:r w:rsidR="00E36422">
        <w:t>,</w:t>
      </w:r>
      <w:r w:rsidRPr="002F0553">
        <w:t xml:space="preserve"> therefore</w:t>
      </w:r>
      <w:r w:rsidR="00E36422">
        <w:t>,</w:t>
      </w:r>
      <w:r w:rsidRPr="002F0553">
        <w:t xml:space="preserve"> be </w:t>
      </w:r>
      <w:r>
        <w:t xml:space="preserve">critically </w:t>
      </w:r>
      <w:r w:rsidRPr="002F0553">
        <w:t>important in accounting for variation in regional species richness, particularly where the regions under comparison are similar in terms of area</w:t>
      </w:r>
      <w:r>
        <w:t>, their physical properties</w:t>
      </w:r>
      <w:r w:rsidRPr="002F0553">
        <w:t xml:space="preserve"> and the </w:t>
      </w:r>
      <w:r w:rsidR="00765D62" w:rsidRPr="002F0553">
        <w:t>timeframes</w:t>
      </w:r>
      <w:r w:rsidRPr="002F0553">
        <w:t xml:space="preserve"> within which their biotas have assembled.</w:t>
      </w:r>
    </w:p>
    <w:p w14:paraId="2EBD671D" w14:textId="1E5C5A0B" w:rsidR="00D04776" w:rsidRDefault="00D04776" w:rsidP="008A4E97">
      <w:pPr>
        <w:pStyle w:val="FirstParagraph"/>
      </w:pPr>
      <w:r w:rsidRPr="002F0553">
        <w:t xml:space="preserve">The </w:t>
      </w:r>
      <w:r>
        <w:t xml:space="preserve">floristically-rich </w:t>
      </w:r>
      <w:r w:rsidRPr="002F0553">
        <w:t xml:space="preserve">South Western Australian Floristic Region (SWAFR; </w:t>
      </w:r>
      <w:r w:rsidR="00C81CF0">
        <w:fldChar w:fldCharType="begin" w:fldLock="1"/>
      </w:r>
      <w:r w:rsidR="00404D92">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Biodiversity","type":"article-journal","volume":"35"},"uris":["http://www.mendeley.com/documents/?uuid=cf433376-e654-49f4-950c-946103ea9c0f"]}],"mendeley":{"formattedCitation":"(Hopper &amp; Gioia, 2004b)","manualFormatting":"Hopper &amp; Gioia, 2004)","plainTextFormattedCitation":"(Hopper &amp; Gioia, 2004b)","previouslyFormattedCitation":"(Hopper &amp; Gioia, 2004b)"},"properties":{"noteIndex":0},"schema":"https://github.com/citation-style-language/schema/raw/master/csl-citation.json"}</w:instrText>
      </w:r>
      <w:r w:rsidR="00C81CF0">
        <w:fldChar w:fldCharType="separate"/>
      </w:r>
      <w:r w:rsidR="00C81CF0" w:rsidRPr="00C81CF0">
        <w:rPr>
          <w:noProof/>
        </w:rPr>
        <w:t>Hopper &amp; Gioia, 2004)</w:t>
      </w:r>
      <w:r w:rsidR="00C81CF0">
        <w:fldChar w:fldCharType="end"/>
      </w:r>
      <w:r w:rsidRPr="002F0553">
        <w:t xml:space="preserve"> and Greater Cape Floristic Region of South Africa (GCFR; </w:t>
      </w:r>
      <w:r w:rsidR="00F8740B">
        <w:fldChar w:fldCharType="begin" w:fldLock="1"/>
      </w:r>
      <w:r w:rsidR="00404D92">
        <w:instrText>ADDIN CSL_CITATION {"citationItems":[{"id":"ITEM-1","itemData":{"DOI":"10.1111/j.1365-2699.2006.01595.x","ISBN":"0305-0270","ISSN":"03050270","abstract":"Abstract Aim The Cape Floristic Region (CFR) (Cape Floristic Kingdom) is currently narrowly delimited to include only the relatively mesic Cape fold mountains and adjacent intermontane valleys and coastal plains. We evaluate the floristic support for expanding the delimitation to include the whole winter-rainfall area (arid and mesic climates) into a Greater CFR. Location Southern Africa, particularly the south-western tip. Methods The initial divisive hierarchical classification analysis twinspan used the presence/absence of vascular plant genera to obtain major floristic groupings in southern Africa. For the more detailed analyses, we scored the flora as present/absent within a set of centres, among which the floristic relationships were investigated (agglomerative methods, upgma and minimum spanning trees). These analyses were conducted with species, genera and families separately. The centres were grouped into five regions. The species richness and endemism was calculated for the centres, regions and combination of regions. The dominant floristic components of each region were sought by calculating the percentage contribution of each family to the flora. Results The divisive method showed that the winter-rainfall areas are floristically distinct from the rest of southern Africa. The species- and generic-level analyses revealed five regions: CFR, Karoo Region, Hantam-Tanqua-Roggeveld Region, Namaqualand Region and Namib-Desert Region. The CFR has the highest endemism and richness. However, the combination of the CFR, the Hantam-Tanqua-Roggeveld Region and the Namaqualand Region results in a higher total endemism. Combined, these three regions almost match the region delimited by the twinspan analysis, and together constitute the Greater CFR. Main conclusions The CFR constitutes a valid floristic region. This is evident from the endemism and the distinctive composition of the flora. However, the total endemism is higher for the whole winter-rainfall area, and this supports the recognition of the larger unit. If floristic regions are to be delimited only on endemism, then the Greater CFR is to be preferred. If floristic regions are delimited on the composition of their floras at family level, then the support for such a grouping is weaker","author":[{"dropping-particle":"","family":"Born","given":"J.","non-dropping-particle":"","parse-names":false,"suffix":""},{"dropping-particle":"","family":"Linder","given":"H. P.","non-dropping-particle":"","parse-names":false,"suffix":""},{"dropping-particle":"","family":"Desmet","given":"P.","non-dropping-particle":"","parse-names":false,"suffix":""}],"container-title":"Journal of Biogeography","id":"ITEM-1","issue":"1","issued":{"date-parts":[["2007"]]},"page":"147-162","title":"The Greater Cape Floristic Region","type":"article-journal","volume":"34"},"uris":["http://www.mendeley.com/documents/?uuid=633d6fb4-fc19-4b70-bbab-fd8689e947c3"]}],"mendeley":{"formattedCitation":"(J. Born et al., 2007)","manualFormatting":"Born, Linder, &amp; Desmet, 2007)","plainTextFormattedCitation":"(J. Born et al., 2007)","previouslyFormattedCitation":"(J. Born et al., 2007)"},"properties":{"noteIndex":0},"schema":"https://github.com/citation-style-language/schema/raw/master/csl-citation.json"}</w:instrText>
      </w:r>
      <w:r w:rsidR="00F8740B">
        <w:fldChar w:fldCharType="separate"/>
      </w:r>
      <w:r w:rsidR="00F8740B" w:rsidRPr="00F8740B">
        <w:rPr>
          <w:noProof/>
        </w:rPr>
        <w:t>Born, Linder, &amp; Desmet, 2007)</w:t>
      </w:r>
      <w:r w:rsidR="00F8740B">
        <w:fldChar w:fldCharType="end"/>
      </w:r>
      <w:r w:rsidRPr="002F0553">
        <w:t xml:space="preserve"> </w:t>
      </w:r>
      <w:r>
        <w:t>constitute</w:t>
      </w:r>
      <w:r w:rsidRPr="002F0553">
        <w:t xml:space="preserve"> a case in point. Situated on the southwestern corners of their respective continents, the climates of both these regions have been oceanically-moderated at least since the Cretaceous, </w:t>
      </w:r>
      <w:r>
        <w:t>and both are</w:t>
      </w:r>
      <w:r w:rsidRPr="002F0553">
        <w:t xml:space="preserve"> dominated by a contemporary mediterranean-type climate </w:t>
      </w:r>
      <w:r>
        <w:t>whose origin can be traced to</w:t>
      </w:r>
      <w:r w:rsidRPr="002F0553">
        <w:t xml:space="preserve"> the Early</w:t>
      </w:r>
      <w:r>
        <w:t>-Middle</w:t>
      </w:r>
      <w:r w:rsidRPr="002F0553">
        <w:t xml:space="preserve"> (SWAFR: </w:t>
      </w:r>
      <w:r w:rsidR="009735F1">
        <w:fldChar w:fldCharType="begin" w:fldLock="1"/>
      </w:r>
      <w:r w:rsidR="000F117A">
        <w:instrText>true</w:instrText>
      </w:r>
      <w:r w:rsidR="009735F1">
        <w:fldChar w:fldCharType="separate"/>
      </w:r>
      <w:r w:rsidR="009735F1" w:rsidRPr="009735F1">
        <w:rPr>
          <w:noProof/>
        </w:rPr>
        <w:t>Rundel et al., 2016</w:t>
      </w:r>
      <w:r w:rsidR="009735F1">
        <w:fldChar w:fldCharType="end"/>
      </w:r>
      <w:r w:rsidRPr="002F0553">
        <w:t xml:space="preserve">; </w:t>
      </w:r>
      <w:r w:rsidR="00AA114B">
        <w:fldChar w:fldCharType="begin" w:fldLock="1"/>
      </w:r>
      <w:r w:rsidR="008D71CC">
        <w:instrText>ADDIN CSL_CITATION {"citationItems":[{"id":"ITEM-1","itemData":{"DOI":"10.1016/j.gloplacha.2017.08.004","ISSN":"09218181","abstract":"Knowing the environments under which biota have evolved is essential for understanding the functional traits that they possess. Here, we ask when a Mediterranean-type climate (MTC) originated in Western Australia that might help to explain some of its special plant adaptations to summer drought and heat, mild wet winters and intense summer fires. Periodic drought and fire can be traced back to the Cretaceous in southwestern Australia (SWA) but its seasonality is unknown. Previous estimates of the origin of the MTC in SWA have varied from 30 to 3 million years ago (Ma). An early proposal was that it originated in northwestern Australia 30 Ma and migrated south to its present location for which we find independent support. We collated 47 cases of what is currently known about the time of origin of adaptive responses to summer drought and heat, wet winters and periodic intense fire among flowering plants in SWA. About 15% arose in the 40–30-million-year (My) period, 32% in the 30–20-My period and 47% in the 20–10-My period, suggesting that a MTC may have been widespread in SWA by the mid-Miocene, but there may have been local appearances (proto-MTC) up to 20 My earlier. Uncertainties remain about the location of lineages at various times, the fitness benefits of apparent adaptive traits and their confinement to a MTC, and the significance of the origin versus the onset of diversification of traits. The current dearth of C4 grasses in SWA is consistent with other indications of the absence of a prior history of a summer-dominant rainfall, suggesting that the current MTC arose from a uniform-rainfall climate. Other lines of evidence that might refine these findings include the chemical composition of, and application of geochronometers to, laterites, carbonates and corals that have been used with success elsewhere. We conclude by noting that there may have been a mixture of climates for much of the time, indicated by the persistence of a few rainforest species up to 3 Ma, while there have been strong climatic oscillations about a MTC ‘mean’ over the last 5 My.","author":[{"dropping-particle":"","family":"Lamont","given":"Byron B.","non-dropping-particle":"","parse-names":false,"suffix":""},{"dropping-particle":"","family":"He","given":"Tianhua","non-dropping-particle":"","parse-names":false,"suffix":""}],"container-title":"Global and Planetary Change","id":"ITEM-1","issued":{"date-parts":[["2017"]]},"page":"46-58","publisher":"Elsevier","title":"When did a Mediterranean-type climate originate in southwestern Australia?","type":"article-journal","volume":"156"},"uris":["http://www.mendeley.com/documents/?uuid=7bb54acc-b942-4ecb-8a9b-ab5613f97f79"]}],"mendeley":{"formattedCitation":"(Lamont &amp; He, 2017)","manualFormatting":"Lamont &amp; He, 2017","plainTextFormattedCitation":"(Lamont &amp; He, 2017)","previouslyFormattedCitation":"(Lamont &amp; He, 2017)"},"properties":{"noteIndex":0},"schema":"https://github.com/citation-style-language/schema/raw/master/csl-citation.json"}</w:instrText>
      </w:r>
      <w:r w:rsidR="00AA114B">
        <w:fldChar w:fldCharType="separate"/>
      </w:r>
      <w:r w:rsidR="00AA114B" w:rsidRPr="00AA114B">
        <w:rPr>
          <w:noProof/>
        </w:rPr>
        <w:t>Lamont &amp; He, 2017</w:t>
      </w:r>
      <w:r w:rsidR="00AA114B">
        <w:fldChar w:fldCharType="end"/>
      </w:r>
      <w:r w:rsidRPr="002F0553">
        <w:t xml:space="preserve">) or Late Miocene (GCFR: </w:t>
      </w:r>
      <w:r w:rsidR="0049005E">
        <w:fldChar w:fldCharType="begin" w:fldLock="1"/>
      </w:r>
      <w:r w:rsidR="001F3AA2">
        <w:instrText>true</w:instrText>
      </w:r>
      <w:r w:rsidR="0049005E">
        <w:fldChar w:fldCharType="separate"/>
      </w:r>
      <w:r w:rsidR="0049005E" w:rsidRPr="0049005E">
        <w:rPr>
          <w:noProof/>
        </w:rPr>
        <w:t>Dupont, Linder, Rommerskirchen, &amp; Schefuss, 2011; Hoffmann, Verboom, &amp; Cotterill, 2015)</w:t>
      </w:r>
      <w:r w:rsidR="0049005E">
        <w:fldChar w:fldCharType="end"/>
      </w:r>
      <w:r w:rsidRPr="002F0553">
        <w:t xml:space="preserve">. </w:t>
      </w:r>
      <w:r>
        <w:t>In addition</w:t>
      </w:r>
      <w:r w:rsidRPr="00A432DE">
        <w:t xml:space="preserve">, both regions have been unglaciated since the Permian and are dominated by ancient, weathered landscapes whose soil-nutritional status is amongst the lowest of any landscape on Earth </w:t>
      </w:r>
      <w:r w:rsidR="001E12DB">
        <w:fldChar w:fldCharType="begin" w:fldLock="1"/>
      </w:r>
      <w:r w:rsidR="00682956">
        <w:instrText>ADDIN CSL_CITATION {"citationItems":[{"id":"ITEM-1","itemData":{"author":[{"dropping-particle":"","family":"Stock","given":"William D","non-dropping-particle":"","parse-names":false,"suffix":""},{"dropping-particle":"","family":"Verboom","given":"G Anthony","non-dropping-particle":"","parse-names":false,"suffix":""}],"container-title":"Global Ecology and Biogeography","id":"ITEM-1","issue":"12","issued":{"date-parts":[["2012"]]},"page":"1147-1156","publisher":"Wiley Online Library","title":"Phylogenetic ecology of foliar N and P concentrations and N: P ratios across mediterranean-type ecosystems","type":"article-journal","volume":"21"},"uris":["http://www.mendeley.com/documents/?uuid=b9a83346-575b-4eef-87b1-a48e048c8d70"]}],"mendeley":{"formattedCitation":"(Stock &amp; Verboom, 2012)","plainTextFormattedCitation":"(Stock &amp; Verboom, 2012)","previouslyFormattedCitation":"(Stock &amp; Verboom, 2012)"},"properties":{"noteIndex":0},"schema":"https://github.com/citation-style-language/schema/raw/master/csl-citation.json"}</w:instrText>
      </w:r>
      <w:r w:rsidR="001E12DB">
        <w:fldChar w:fldCharType="separate"/>
      </w:r>
      <w:r w:rsidR="001E12DB" w:rsidRPr="001E12DB">
        <w:rPr>
          <w:noProof/>
        </w:rPr>
        <w:t>(Stock &amp; Verboom, 2012)</w:t>
      </w:r>
      <w:r w:rsidR="001E12DB">
        <w:fldChar w:fldCharType="end"/>
      </w:r>
      <w:r>
        <w:t xml:space="preserve">, hence their designation as </w:t>
      </w:r>
      <w:r w:rsidR="00217AAC">
        <w:t xml:space="preserve">old, climatically-buffered infertile landscapes </w:t>
      </w:r>
      <w:r>
        <w:t>(</w:t>
      </w:r>
      <w:r w:rsidR="00217AAC">
        <w:t>OCBILs</w:t>
      </w:r>
      <w:r>
        <w:t>;</w:t>
      </w:r>
      <w:r w:rsidR="008D71CC">
        <w:t xml:space="preserve"> </w:t>
      </w:r>
      <w:r w:rsidR="008D71CC">
        <w:fldChar w:fldCharType="begin" w:fldLock="1"/>
      </w:r>
      <w:r w:rsidR="002A0921">
        <w:instrText>ADDIN CSL_CITATION {"citationItems":[{"id":"ITEM-1","itemData":{"DOI":"10.1007/s11104-009-0068-0","ISSN":"0032079X","abstract":"OCBIL theory aims to develop an integrated series of hypotheses explaining the evolution and ecology of, and best conservation practices for, biota on very old, climatically buffered, infertile landscapes (OCBILs). Conventional theory for ecology and evolutionary and conservation biology has developed primarily from data on species and communities from young, often disturbed, fertile landscapes (YODFELs), mainly in the Northern Hemisphere. OCBILs are rare, but are prominent in the Southwest Australian Floristic Region, South Africa's Greater Cape, and Venezuela's Pantepui Highlands. They may have been more common globally before Pleistocene glaciations. Based on the premise that natural selection has favoured limited dispersability of sedentary organisms, OCBILs should have elevated persistence of lineages (Gondwanan Heritage Hypothesis) and long-lived individuals (Ultimate Self Hypothesis), high numbers of localised rare endemics and strongly differentiated population systems. To counter such natural fragmentation and inbreeding due to small population size, ecological, cytogenetic and genetic mechanisms selecting for the retention of heterozygosity should feature (the James Effect). The climatic stability of OCBILs should be paralleled by persistence of adjacent semi-arid areas, conducive to speciation (Semiarid Cradle Hypothesis). Special nutritional and other biological traits associated with coping with infertile lands should be evident, accentuated in plants, for example, through waterforaging strategies, symbioses, carnivory, pollination and parasitism. The uniquely flat landscapes of southwestern Australia have had prolonged presence of saline lakes along palaeoriver systems favouring evolution of accentuated tolerance to salinity. Lastly, unusual resiliences and vulnerabilities might be evident among OCBIL organisms, such as enhanced abilities to persist in small fragmented populations but great susceptibility to major soil disturbances. In those places where it is most pertinent, OCBIL theory hopefully lays a foundation for future research and for better informed conservation management. © Springer Science + Business Media B.V. 2009.","author":[{"dropping-particle":"","family":"Hopper","given":"Stephen D.","non-dropping-particle":"","parse-names":false,"suffix":""}],"container-title":"Plant and Soil","id":"ITEM-1","issue":"1","issued":{"date-parts":[["2009"]]},"page":"49-86","title":"OCBIL theory: Towards an integrated understanding of the evolution, ecology and conservation of biodiversity on old, climatically buffered, infertile landscapes","type":"article-journal","volume":"322"},"uris":["http://www.mendeley.com/documents/?uuid=3245e19e-125b-4c74-aa4c-0d0c29930a90"]}],"mendeley":{"formattedCitation":"(Hopper, 2009)","manualFormatting":"Hopper, 2009","plainTextFormattedCitation":"(Hopper, 2009)","previouslyFormattedCitation":"(Hopper, 2009)"},"properties":{"noteIndex":0},"schema":"https://github.com/citation-style-language/schema/raw/master/csl-citation.json"}</w:instrText>
      </w:r>
      <w:r w:rsidR="008D71CC">
        <w:fldChar w:fldCharType="separate"/>
      </w:r>
      <w:r w:rsidR="008D71CC" w:rsidRPr="008D71CC">
        <w:rPr>
          <w:noProof/>
        </w:rPr>
        <w:t>Hopper, 2009</w:t>
      </w:r>
      <w:r w:rsidR="008D71CC">
        <w:fldChar w:fldCharType="end"/>
      </w:r>
      <w:r>
        <w:t xml:space="preserve">). Owing to these environmental similarities, the SWAFR and GCFR floras are very similar </w:t>
      </w:r>
      <w:r w:rsidR="00217AAC">
        <w:t>with respect to</w:t>
      </w:r>
      <w:r>
        <w:t xml:space="preserve"> their </w:t>
      </w:r>
      <w:r w:rsidR="00644D4A">
        <w:t xml:space="preserve">plant </w:t>
      </w:r>
      <w:r>
        <w:t>functional trait spectra</w:t>
      </w:r>
      <w:r w:rsidR="002A0921">
        <w:t xml:space="preserve"> </w:t>
      </w:r>
      <w:r w:rsidR="00017496">
        <w:fldChar w:fldCharType="begin" w:fldLock="1"/>
      </w:r>
      <w:r w:rsidR="00404D92">
        <w:instrText>ADDIN CSL_CITATION {"citationItems":[{"id":"ITEM-1","itemData":{"DOI":"10.2307/2846038","ISSN":"03050270","abstract":"This paper analyses the edaphic and biological aspects of plant endemism in floristic lists from five edaphically matched sites, and the taxonomic aspects in regional floras, from the Agulhas Plain, South Africa and the Barrens, south western Australia. The two regions are very closely matched in terms of their mediterranean-typec limates, landforms, soil types and disturbance regimes. Both regions have large neo-endemic floras. At the flora level, the incidence of local and regional endemism was almost identical on both continents (c. 6% and 22%, respectively) and endemics were not a random assemblage taxonomically. Endemics were over-represented among taxa speciose only in Australia (e.g. Myrtaceae) and only in South Africa (e.g. Mesembryanthemaceae), as well as among taxa richly represented on both continents (Proteaceae, Ericaceae/Epacridaceae)I. n both regions different edaphic sites supported floristically distinct sclerophyllous shrublands. Levels of narrow endemism on the various substrata were similar on both continents, ranging from near zero on the relatively fertile calcareous sands to 30% on the highly infertile quartzites and siliceous sands. Relative to Australia, however, endemics on limestone were significantly over-represented in South Africa. On both continents more than 90% of endemics were edaphic specialists. There were differences for the two regions in the biological profiles of endemics. South African endemics were most likely to be low shrubs with soil-stored and ant-dispersed seed. Australian endemics were concentrated among low to medium height shrubs with either canopy-stored or soil-stored seed. Differential diversification of lineages with different ecological traits probably accounts for these different profiles. Nonetheless, the strong overall similarities in patterns of endemism on the two continents suggests similar speciation histories in phylogenetically distantly related floras.","author":[{"dropping-particle":"","family":"Cowling","given":"R. M.","non-dropping-particle":"","parse-names":false,"suffix":""},{"dropping-particle":"","family":"Witkowski","given":"E. T. F.","non-dropping-particle":"","parse-names":false,"suffix":""},{"dropping-particle":"V.","family":"Milewski","given":"A.","non-dropping-particle":"","parse-names":false,"suffix":""},{"dropping-particle":"","family":"Newbey","given":"K. R.","non-dropping-particle":"","parse-names":false,"suffix":""}],"container-title":"Journal of Biogeography","id":"ITEM-1","issue":"6","issued":{"date-parts":[["1994","11"]]},"page":"651","title":"Taxonomic, Edaphic and Biological Aspects of Narrow Plant Endemism on Matched Sites in Mediterranean South Africa and Australia","type":"article-journal","volume":"21"},"uris":["http://www.mendeley.com/documents/?uuid=449e9e3c-5bea-4362-9d39-2fdab3a0ea6b"]}],"mendeley":{"formattedCitation":"(R. M. Cowling et al., 1994)","manualFormatting":"(Cowling, Witkowski, Milewski, &amp; Newbey, 1994)","plainTextFormattedCitation":"(R. M. Cowling et al., 1994)","previouslyFormattedCitation":"(R. M. Cowling et al., 1994)"},"properties":{"noteIndex":0},"schema":"https://github.com/citation-style-language/schema/raw/master/csl-citation.json"}</w:instrText>
      </w:r>
      <w:r w:rsidR="00017496">
        <w:fldChar w:fldCharType="separate"/>
      </w:r>
      <w:r w:rsidR="002D7223" w:rsidRPr="002D7223">
        <w:rPr>
          <w:noProof/>
        </w:rPr>
        <w:t>(Cowling, Witkowski, Milewski, &amp; Newbey, 1994)</w:t>
      </w:r>
      <w:r w:rsidR="00017496">
        <w:fldChar w:fldCharType="end"/>
      </w:r>
      <w:r>
        <w:t xml:space="preserve">, </w:t>
      </w:r>
      <w:r w:rsidR="00217AAC">
        <w:t>al</w:t>
      </w:r>
      <w:r>
        <w:t xml:space="preserve">though the presence of a significant tree component in the SWAFR underpins a striking difference in vegetation physiognomy </w:t>
      </w:r>
      <w:r w:rsidR="00E16405">
        <w:fldChar w:fldCharType="begin" w:fldLock="1"/>
      </w:r>
      <w:r w:rsidR="00404D92">
        <w:instrText>ADDIN CSL_CITATION {"citationItems":[{"id":"ITEM-1","itemData":{"DOI":"10.2307/2844553","ISSN":"03050270","abstract":"A detailed comparison is made of the height of vegetation under apparently similar climates in Australia and southern Africa. The Barrens on the south coast of Western Australia and the Caledon coast in South Africa receive only light falls of winter frontal rain, resulting in very similar mediterranean climates. Vegetation consisting of tall shrubs consequently occurs in both of these areas although formed of different floras. Elsewhere under a mediterranean and associated arid climate, tall trees grow in Australia where, on similar soils, only shrubs or low trees grow in southern Africa. However it is now realised that these parts of Australia are exposed to rain-storms made more intense by the warmth of the off-shore waters west and north-west of the continent. The mediterranean climate on the west coast receives intense winter rain absent from South Africa. In addition, occasional but extremely heavy rains originating off the north-west of Australia during late summer and autumn affect the arid area inland and north of the mediterranean climate which would otherwise have only very light winter rainfall and a vegetation of low shrubs. It is suggested that trees are widespread in dry environements in Australia because of unusually effective, deep wetting rainfall rather than the peculiar flora of the region.","author":[{"dropping-particle":"V.","family":"Milewski","given":"A.","non-dropping-particle":"","parse-names":false,"suffix":""}],"container-title":"Journal of Biogeography","id":"ITEM-1","issue":"2","issued":{"date-parts":[["1981","3"]]},"page":"107","title":"A comparison of vegetation height in relation to the effectiveness of rainfall in the mediterranean and adjacent arid parts of Australia and South Africa","type":"article-journal","volume":"8"},"uris":["http://www.mendeley.com/documents/?uuid=8b6f9076-1ace-4d92-aa06-bdd5869e41c7"]},{"id":"ITEM-2","itemData":{"DOI":"10.1046/j.1365-2699.2000.00509.x","ISBN":"1365-2699","ISSN":"03050270","PMID":"1605","abstract":"Aim Estimates of endemic and non-endemic native vascular plant species in each of the three Western Australian Botanical Provinces were made by East in 1912 and Beard in 1969. The present paper contains an updated assessment of species endemism in the State. Location Western Australia comprises one third of the continental Australian land mass. It extends from 13° to 35° S and 113° to 129° W. Methods Western Australia is recognized as having three Botanical Provinces (Northern, Eremaean and South-West) each divided into a number of Botanical Districts. Updated statistics for number of species and species endemism in each Province are based on the Census of Western Australian Plants data base at the Western Australian Herbarium (Western Australian Herbarium, 1998 onwards). Results The number of known species in Western Australia has risen steadily over the years but reputed endemism has declined in the Northern and Eremaean Provinces where cross-continental floras are common. Only the isolated South-West Province retains high rates of endemism (79%). Main conclusions With 5710 native species, the South-West Province contains about the same number as the California Floristic Province which has a similar area. The Italian mediterranean zone also contains about this number but in a smaller area, while the much smaller Cape Floristic Region has almost twice as many native species. The percentage of endemic species is highest at the Cape, somewhat less in south-western Australia and less again in California. Italy, at 12.5%, has the lowest value. Apart from Italy, it is usual for endemism to reach high values in the largest plant families. In Western Australia, these mainly include woody sclerophyll shrubs and herbaceous perennials with special adaptations to environmental conditions. While those life forms are prominent in the Cape, that region differs in the great importance of herbaceous families and succulents, both of which are virtually absent from Western Australia. In California and Italy, most endemics are in families of annual, herbaceous perennial and soft shrub plants. It is suggested that the dominant factor shaping the South-West Province flora is the extreme poverty of the area’s soils, a feature that emphasizes sclerophylly, favours habitat specialization and ensures relatively many local endemic species.","author":[{"dropping-particle":"","family":"Beard","given":"J. S.","non-dropping-particle":"","parse-names":false,"suffix":""},{"dropping-particle":"","family":"Chapman","given":"A. R.","non-dropping-particle":"","parse-names":false,"suffix":""},{"dropping-particle":"","family":"Gioia","given":"P.","non-dropping-particle":"","parse-names":false,"suffix":""}],"container-title":"Journal of Biogeography","id":"ITEM-2","issue":"6","issued":{"date-parts":[["2000","11"]]},"page":"1257-1268","title":"Species richness and endemism in the Western Australian flora","type":"article-journal","volume":"27"},"uris":["http://www.mendeley.com/documents/?uuid=ac2168c1-04a9-4f8e-a292-6a6c13db388c"]}],"mendeley":{"formattedCitation":"(Beard et al., 2000; Milewski, 1981)","plainTextFormattedCitation":"(Beard et al., 2000; Milewski, 1981)","previouslyFormattedCitation":"(Beard et al., 2000; Milewski, 1981)"},"properties":{"noteIndex":0},"schema":"https://github.com/citation-style-language/schema/raw/master/csl-citation.json"}</w:instrText>
      </w:r>
      <w:r w:rsidR="00E16405">
        <w:fldChar w:fldCharType="separate"/>
      </w:r>
      <w:r w:rsidR="00404D92" w:rsidRPr="00404D92">
        <w:rPr>
          <w:noProof/>
        </w:rPr>
        <w:t>(Beard et al., 2000; Milewski, 1981)</w:t>
      </w:r>
      <w:r w:rsidR="00E16405">
        <w:fldChar w:fldCharType="end"/>
      </w:r>
      <w:r>
        <w:t xml:space="preserve">. Moreover, the long-term climatic and geological stability of the two regions ensures that the native floras of both reflect long histories of assembly, extending back to the </w:t>
      </w:r>
      <w:r w:rsidR="00474B3E">
        <w:t xml:space="preserve">Eocene and </w:t>
      </w:r>
      <w:r>
        <w:t xml:space="preserve">Palaeocene </w:t>
      </w:r>
      <w:r w:rsidR="000717D3">
        <w:fldChar w:fldCharType="begin" w:fldLock="1"/>
      </w:r>
      <w:r w:rsidR="00582449">
        <w:instrText>ADDIN CSL_CITATION {"citationItems":[{"id":"ITEM-1","itemData":{"author":[{"dropping-particle":"","family":"Hopper","given":"Stephen D.","non-dropping-particle":"","parse-names":false,"suffix":""}],"container-title":"Annual Review of Ecology and Systematics","id":"ITEM-1","issued":{"date-parts":[["1979"]]},"page":"399-422","publisher":"Annual Reviews","title":"Biogeographical Aspects of Speciation in the Southwest Australian Flora","type":"article-journal","volume":"10"},"uris":["http://www.mendeley.com/documents/?uuid=a8e5735c-5cc7-4c28-931e-71ef6d8be711"]},{"id":"ITEM-2","itemData":{"ISBN":"9780199679584","ISSN":"0873626X","PMID":"16683413","author":[{"dropping-particle":"","family":"Verboom","given":"G. Anthony","non-dropping-particle":"","parse-names":false,"suffix":""},{"dropping-particle":"","family":"Linder","given":"Hans Peter","non-dropping-particle":"","parse-names":false,"suffix":""},{"dropping-particle":"","family":"Forest","given":"Félix","non-dropping-particle":"","parse-names":false,"suffix":""},{"dropping-particle":"","family":"Hoffmann","given":"Vera","non-dropping-particle":"","parse-names":false,"suffix":""},{"dropping-particle":"","family":"Bergh","given":"Nicola G.","non-dropping-particle":"","parse-names":false,"suffix":""},{"dropping-particle":"","family":"Cowling","given":"Richard M.","non-dropping-particle":"","parse-names":false,"suffix":""}],"chapter-number":"15","container-title":"Fynbos: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Anthony","non-dropping-particle":"","parse-names":false,"suffix":""}],"id":"ITEM-2","issued":{"date-parts":[["2014","9","18"]]},"publisher":"Oxford University Press","publisher-place":"Oxford","title":"Cenozoic assembly of the Greater Cape flora","type":"chapter"},"uris":["http://www.mendeley.com/documents/?uuid=9ebd9745-2b68-4cc3-aecb-cb3b3760bd5b"]}],"mendeley":{"formattedCitation":"(Hopper, 1979; Verboom et al., 2014)","plainTextFormattedCitation":"(Hopper, 1979; Verboom et al., 2014)","previouslyFormattedCitation":"(Hopper, 1979; Verboom et al., 2014)"},"properties":{"noteIndex":0},"schema":"https://github.com/citation-style-language/schema/raw/master/csl-citation.json"}</w:instrText>
      </w:r>
      <w:r w:rsidR="000717D3">
        <w:fldChar w:fldCharType="separate"/>
      </w:r>
      <w:r w:rsidR="000717D3" w:rsidRPr="000717D3">
        <w:rPr>
          <w:noProof/>
        </w:rPr>
        <w:t>(Hopper, 1979; Verboom et al., 2014)</w:t>
      </w:r>
      <w:r w:rsidR="000717D3">
        <w:fldChar w:fldCharType="end"/>
      </w:r>
      <w:r w:rsidR="007829E9">
        <w:t xml:space="preserve">. There is also </w:t>
      </w:r>
      <w:r>
        <w:t>evidence of a long history of transoceanic dispersal between the</w:t>
      </w:r>
      <w:r w:rsidR="00705608">
        <w:t>m</w:t>
      </w:r>
      <w:r>
        <w:t xml:space="preserve"> </w:t>
      </w:r>
      <w:r w:rsidR="00627260">
        <w:fldChar w:fldCharType="begin" w:fldLock="1"/>
      </w:r>
      <w:r w:rsidR="00F72828">
        <w:instrText>ADDIN CSL_CITATION {"citationItems":[{"id":"ITEM-1","itemData":{"author":[{"dropping-particle":"","family":"Bergh","given":"Nicola G","non-dropping-particle":"","parse-names":false,"suffix":""},{"dropping-particle":"","family":"Linder","given":"H Peter","non-dropping-particle":"","parse-names":false,"suffix":""}],"container-title":"Molecular Phylogenetics and Evolution","id":"ITEM-1","issue":"1","issued":{"date-parts":[["2009"]]},"page":"5-18","publisher":"Elsevier","title":"Cape diversification and repeated out-of-southern-Africa dispersal in paper daisies (Asteraceae--Gnaphalieae)","type":"article-journal","volume":"51"},"uris":["http://www.mendeley.com/documents/?uuid=9678454c-d5cf-43c6-8ca8-ad6841aabd57"]}],"mendeley":{"formattedCitation":"(Bergh &amp; Linder, 2009)","plainTextFormattedCitation":"(Bergh &amp; Linder, 2009)","previouslyFormattedCitation":"(Bergh &amp; Linder, 2009)"},"properties":{"noteIndex":0},"schema":"https://github.com/citation-style-language/schema/raw/master/csl-citation.json"}</w:instrText>
      </w:r>
      <w:r w:rsidR="00627260">
        <w:fldChar w:fldCharType="separate"/>
      </w:r>
      <w:r w:rsidR="00627260" w:rsidRPr="00627260">
        <w:rPr>
          <w:noProof/>
        </w:rPr>
        <w:t>(Bergh &amp; Linder, 2009)</w:t>
      </w:r>
      <w:r w:rsidR="00627260">
        <w:fldChar w:fldCharType="end"/>
      </w:r>
      <w:r>
        <w:t xml:space="preserve">. In this context, it is unsurprising that the two floras show strong taxonomic affinities and that both are species-rich with high levels of regional endemism </w:t>
      </w:r>
      <w:r w:rsidR="00582449">
        <w:lastRenderedPageBreak/>
        <w:fldChar w:fldCharType="begin" w:fldLock="1"/>
      </w:r>
      <w:r w:rsidR="00404D92">
        <w:instrText>ADDIN CSL_CITATION {"citationItems":[{"id":"ITEM-1","itemData":{"DOI":"10.1046/j.1365-2699.2000.00509.x","ISBN":"1365-2699","ISSN":"03050270","PMID":"1605","abstract":"Aim Estimates of endemic and non-endemic native vascular plant species in each of the three Western Australian Botanical Provinces were made by East in 1912 and Beard in 1969. The present paper contains an updated assessment of species endemism in the State. Location Western Australia comprises one third of the continental Australian land mass. It extends from 13° to 35° S and 113° to 129° W. Methods Western Australia is recognized as having three Botanical Provinces (Northern, Eremaean and South-West) each divided into a number of Botanical Districts. Updated statistics for number of species and species endemism in each Province are based on the Census of Western Australian Plants data base at the Western Australian Herbarium (Western Australian Herbarium, 1998 onwards). Results The number of known species in Western Australia has risen steadily over the years but reputed endemism has declined in the Northern and Eremaean Provinces where cross-continental floras are common. Only the isolated South-West Province retains high rates of endemism (79%). Main conclusions With 5710 native species, the South-West Province contains about the same number as the California Floristic Province which has a similar area. The Italian mediterranean zone also contains about this number but in a smaller area, while the much smaller Cape Floristic Region has almost twice as many native species. The percentage of endemic species is highest at the Cape, somewhat less in south-western Australia and less again in California. Italy, at 12.5%, has the lowest value. Apart from Italy, it is usual for endemism to reach high values in the largest plant families. In Western Australia, these mainly include woody sclerophyll shrubs and herbaceous perennials with special adaptations to environmental conditions. While those life forms are prominent in the Cape, that region differs in the great importance of herbaceous families and succulents, both of which are virtually absent from Western Australia. In California and Italy, most endemics are in families of annual, herbaceous perennial and soft shrub plants. It is suggested that the dominant factor shaping the South-West Province flora is the extreme poverty of the area’s soils, a feature that emphasizes sclerophylly, favours habitat specialization and ensures relatively many local endemic species.","author":[{"dropping-particle":"","family":"Beard","given":"J. S.","non-dropping-particle":"","parse-names":false,"suffix":""},{"dropping-particle":"","family":"Chapman","given":"A. R.","non-dropping-particle":"","parse-names":false,"suffix":""},{"dropping-particle":"","family":"Gioia","given":"P.","non-dropping-particle":"","parse-names":false,"suffix":""}],"container-title":"Journal of Biogeography","id":"ITEM-1","issue":"6","issued":{"date-parts":[["2000","11"]]},"page":"1257-1268","title":"Species richness and endemism in the Western Australian flora","type":"article-journal","volume":"27"},"uris":["http://www.mendeley.com/documents/?uuid=ac2168c1-04a9-4f8e-a292-6a6c13db388c"]},{"id":"ITEM-2","itemData":{"DOI":"10.1093/botlinnean/box010","ISSN":"10958339","abstract":"After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Society","id":"ITEM-2","issue":"1","issued":{"date-parts":[["2017"]]},"page":"1-15","title":"A new phytogeographic map for the Southwest Australian Floristic Region after an exceptional decade of collection and discovery","type":"article-journal","volume":"184"},"uris":["http://www.mendeley.com/documents/?uuid=22e7b8bc-e5e6-4e89-9773-0b2cef6e093f"]},{"id":"ITEM-3","itemData":{"DOI":"10.1016/0169-5347(96)10044-6","ISBN":"0169-5347","ISSN":"01695347","PMID":"21237880","abstract":"The high plant diversity of mediterranean-climate regions has attracted much attention over the past few years. This review discusses patterns and determinants of local, differential and regional plant diversity in all five regions. Local diversity shows great variation within and between regions and explanations for these patterns invoke a wide range of hypotheses. Patterns of regional diversity are the result of differential speciation and extinction rates during the Quaternary. These rates have been influenced more by the incidence of fire and the severity of climate change than by environmental heterogeneity. All regions have a high number of rare and locally endemic taxa that survive as small populations, many of which are threatened by habitat transformation.","author":[{"dropping-particle":"","family":"Cowling","given":"Richard M.","non-dropping-particle":"","parse-names":false,"suffix":""},{"dropping-particle":"","family":"Rundel","given":"Philip W.","non-dropping-particle":"","parse-names":false,"suffix":""},{"dropping-particle":"","family":"Lamont","given":"Byron B.","non-dropping-particle":"","parse-names":false,"suffix":""},{"dropping-particle":"","family":"Arroyo","given":"Mary Kalin","non-dropping-particle":"","parse-names":false,"suffix":""},{"dropping-particle":"","family":"Arianoutsou","given":"Margarita","non-dropping-particle":"","parse-names":false,"suffix":""}],"container-title":"Trends in Ecology and Evolution","id":"ITEM-3","issue":"9","issued":{"date-parts":[["1996"]]},"page":"362-366","title":"Plant diversity in mediterranean-climate regions","type":"article-journal","volume":"11"},"uris":["http://www.mendeley.com/documents/?uuid=a70d59a9-fbc1-4997-9dc1-877eb41c8372"]},{"id":"ITEM-4","itemData":{"DOI":"10.1111/j.1365-2699.2009.02097.x","ISSN":"03050270","abstract":"This paper addresses some of the conceptual issues involved in the analysis of the age and origin of mediterranean-climate plant taxa, paying particular attention to three topics: (1) the importance of an explicit time frame in the definition of biogeographical origins, (2) the distinction between the age of traits and the age of taxa, and (3) the idea of mediterranean-type ecosystems as environmental islands. (1) In California, recent analyses demonstrate that the diversity of species derived from different biogeographical origins is significantly correlated with temperature and precipitation gradients. These patterns support the hypothesis that niche conservatism is an important factor structuring modern diversity gradients. However, depending on how far back in time one looks, a species may be assigned to different origins; future discussions of biogeographical origins need to address the appropriate time frame for analysis. (2) Past research has demonstrated distinctive trait syndromes among woody plants of the Mediterranean, Chile, California and Mexico, and proposed that the syndromes are associated with lineages of different age in these floras. Reanalysis of individual traits demonstrates greater variability among regions than previously reported. The classification of plants into 'old' and 'new' genera is re-evaluated, and it is suggested that greater attention be paid to the age of traits, rather than to the age of taxa, especially at an arbitrary rank such as genus. (3) The idea of mediterranean-climate regions as 'climatic islands' is examined. Space-time diagrams of climate enable one to view the emergence of distinctive climatic regions in a continental context. The terms 'synclimatic' and 'anticlimatic' are proposed, referring to migration routes that parallel climate contours in space and time versus those that cross contours (including the case of geographic stasis in the face of climate change), respectively. Mediterranean-climate regions have served as important case studies in plant ecology and evolution, and merit continued close examination in the light of continued advances in phylogenetics and palaeoecology. © 2009 Blackwell Publishing Ltd.","author":[{"dropping-particle":"","family":"Ackerly","given":"David D.","non-dropping-particle":"","parse-names":false,"suffix":""}],"container-title":"Journal of Biogeography","id":"ITEM-4","issue":"7","issued":{"date-parts":[["2009","7"]]},"page":"1221-1233","title":"Evolution, origin and age of lineages in the Californian and Mediterranean floras","type":"article-journal","volume":"36"},"uris":["http://www.mendeley.com/documents/?uuid=4a85b827-ef94-4e66-a023-78fde78f255f"]}],"mendeley":{"formattedCitation":"(Ackerly, 2009; Beard et al., 2000; Richard M. Cowling et al., 1996; Gioia &amp; Hopper, 2017)","manualFormatting":"(Ackerly, 2009; Beard et al., 2000; Cowling, Rundel, Lamont, Arroyo, &amp; Arianoutsou, 1996; Gioia &amp; Hopper, 2017)","plainTextFormattedCitation":"(Ackerly, 2009; Beard et al., 2000; Richard M. Cowling et al., 1996; Gioia &amp; Hopper, 2017)","previouslyFormattedCitation":"(Ackerly, 2009; Beard et al., 2000; Richard M. Cowling et al., 1996; Gioia &amp; Hopper, 2017)"},"properties":{"noteIndex":0},"schema":"https://github.com/citation-style-language/schema/raw/master/csl-citation.json"}</w:instrText>
      </w:r>
      <w:r w:rsidR="00582449">
        <w:fldChar w:fldCharType="separate"/>
      </w:r>
      <w:r w:rsidR="002E4442" w:rsidRPr="002E4442">
        <w:rPr>
          <w:noProof/>
        </w:rPr>
        <w:t>(Ackerly, 2009; Beard et al., 2000; Cowling, Rundel, Lamont, Arroyo, &amp; Arianoutsou, 1996; Gioia &amp; Hopper, 2017)</w:t>
      </w:r>
      <w:r w:rsidR="00582449">
        <w:fldChar w:fldCharType="end"/>
      </w:r>
      <w:r>
        <w:t>.</w:t>
      </w:r>
    </w:p>
    <w:p w14:paraId="33297E6E" w14:textId="135FD96E" w:rsidR="00D04776" w:rsidRPr="002C20EB" w:rsidRDefault="00D04776" w:rsidP="002C20EB">
      <w:pPr>
        <w:pStyle w:val="BodyText"/>
        <w:rPr>
          <w:lang w:val="en-ZA"/>
        </w:rPr>
      </w:pPr>
      <w:r>
        <w:t>Notwithstanding these similarities, the SWAFR and GCFR differ markedly in terms of their vascular plant species</w:t>
      </w:r>
      <w:r w:rsidR="001541B2">
        <w:t xml:space="preserve"> </w:t>
      </w:r>
      <w:r>
        <w:t xml:space="preserve">richness, particularly when considered in relation to geographical area. Where the SWAFR accommodates </w:t>
      </w:r>
      <w:r w:rsidR="00632A02">
        <w:t>ca.</w:t>
      </w:r>
      <w:r w:rsidR="00236CF0">
        <w:t xml:space="preserve"> </w:t>
      </w:r>
      <w:r>
        <w:t xml:space="preserve">7,380 species in an area of </w:t>
      </w:r>
      <w:r w:rsidR="006462CD">
        <w:t xml:space="preserve">ca. </w:t>
      </w:r>
      <w:r>
        <w:t>302,600 km</w:t>
      </w:r>
      <w:r>
        <w:rPr>
          <w:vertAlign w:val="superscript"/>
        </w:rPr>
        <w:t>2</w:t>
      </w:r>
      <w:r>
        <w:t xml:space="preserve"> (i.e. 0.024 species km</w:t>
      </w:r>
      <w:r>
        <w:rPr>
          <w:vertAlign w:val="superscript"/>
        </w:rPr>
        <w:t>-2</w:t>
      </w:r>
      <w:r>
        <w:t xml:space="preserve">; </w:t>
      </w:r>
      <w:r w:rsidR="00F24CDB">
        <w:fldChar w:fldCharType="begin" w:fldLock="1"/>
      </w:r>
      <w:r w:rsidR="00404D92">
        <w:instrText>ADDIN CSL_CITATION {"citationItems":[{"id":"ITEM-1","itemData":{"DOI":"10.1146/annurev.ecolsys.35.112202.130201","ISSN":"00664162","abstract":"Like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Systematics","id":"ITEM-1","issued":{"date-parts":[["2004"]]},"page":"623-650","title":"The Southwest Australian floristic region: Evolution and conservation of a global hot spot of biodiversity","type":"article-journal","volume":"35"},"uris":["http://www.mendeley.com/documents/?uuid=85cab335-61f8-4414-a150-449fba523731"]}],"mendeley":{"formattedCitation":"(Hopper &amp; Gioia, 2004a)","manualFormatting":"Hopper &amp; Gioia, 2004)","plainTextFormattedCitation":"(Hopper &amp; Gioia, 2004a)","previouslyFormattedCitation":"(Hopper &amp; Gioia, 2004a)"},"properties":{"noteIndex":0},"schema":"https://github.com/citation-style-language/schema/raw/master/csl-citation.json"}</w:instrText>
      </w:r>
      <w:r w:rsidR="00F24CDB">
        <w:fldChar w:fldCharType="separate"/>
      </w:r>
      <w:r w:rsidR="00F24CDB" w:rsidRPr="00F24CDB">
        <w:rPr>
          <w:noProof/>
        </w:rPr>
        <w:t>Hopper &amp; Gioia, 2004)</w:t>
      </w:r>
      <w:r w:rsidR="00F24CDB">
        <w:fldChar w:fldCharType="end"/>
      </w:r>
      <w:r>
        <w:t xml:space="preserve">, the GCFR </w:t>
      </w:r>
      <w:r w:rsidR="00236CF0">
        <w:t xml:space="preserve">is home to </w:t>
      </w:r>
      <w:r w:rsidR="006462CD">
        <w:t xml:space="preserve">ca. </w:t>
      </w:r>
      <w:r>
        <w:t xml:space="preserve">11,430 species in an area of </w:t>
      </w:r>
      <w:r w:rsidR="002E231B">
        <w:t xml:space="preserve">ca. </w:t>
      </w:r>
      <w:r>
        <w:t>189,700 km</w:t>
      </w:r>
      <w:r>
        <w:rPr>
          <w:vertAlign w:val="superscript"/>
        </w:rPr>
        <w:t>2</w:t>
      </w:r>
      <w:r>
        <w:t xml:space="preserve"> (i.e. 0.060 species km</w:t>
      </w:r>
      <w:r>
        <w:rPr>
          <w:vertAlign w:val="superscript"/>
        </w:rPr>
        <w:t>-2</w:t>
      </w:r>
      <w:r>
        <w:t xml:space="preserve">; </w:t>
      </w:r>
      <w:r w:rsidR="00CC6AA0">
        <w:fldChar w:fldCharType="begin" w:fldLock="1"/>
      </w:r>
      <w:r w:rsidR="00EB1E78">
        <w:instrText>ADDIN CSL_CITATION {"citationItems":[{"id":"ITEM-1","itemData":{"author":[{"dropping-particle":"","family":"Snijman","given":"Deirdré Anne","non-dropping-particle":"","parse-names":false,"suffix":""}],"id":"ITEM-1","issued":{"date-parts":[["2013"]]},"publisher":"South African National Biodiversity Institute","title":"Plants of the Greater Cape Floristic Region. 2: The Extra Cape flora","type":"book"},"uris":["http://www.mendeley.com/documents/?uuid=c0753b2e-22af-40e3-b7db-6277d92f2b2d"]}],"mendeley":{"formattedCitation":"(Snijman, 2013)","manualFormatting":"Snijman, 2013)","plainTextFormattedCitation":"(Snijman, 2013)","previouslyFormattedCitation":"(Snijman, 2013)"},"properties":{"noteIndex":0},"schema":"https://github.com/citation-style-language/schema/raw/master/csl-citation.json"}</w:instrText>
      </w:r>
      <w:r w:rsidR="00CC6AA0">
        <w:fldChar w:fldCharType="separate"/>
      </w:r>
      <w:r w:rsidR="00CC6AA0" w:rsidRPr="00CC6AA0">
        <w:rPr>
          <w:noProof/>
        </w:rPr>
        <w:t>Snijman, 2013)</w:t>
      </w:r>
      <w:r w:rsidR="00CC6AA0">
        <w:fldChar w:fldCharType="end"/>
      </w:r>
      <w:r>
        <w:t xml:space="preserve">. </w:t>
      </w:r>
      <w:r w:rsidR="00872425">
        <w:t xml:space="preserve">Although on-going identification of new species </w:t>
      </w:r>
      <w:r w:rsidR="000D32D5">
        <w:t xml:space="preserve">may change these statistics (e.g. </w:t>
      </w:r>
      <w:r w:rsidR="004E5115">
        <w:fldChar w:fldCharType="begin" w:fldLock="1"/>
      </w:r>
      <w:r w:rsidR="00CC44C1">
        <w:instrText>ADDIN CSL_CITATION {"citationItems":[{"id":"ITEM-1","itemData":{"DOI":"10.1093/botlinnean/box010","ISSN":"10958339","abstract":"After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Society","id":"ITEM-1","issue":"1","issued":{"date-parts":[["2017"]]},"page":"1-15","title":"A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2017)","manualFormatting":"Gioia &amp; Hopper, 2017","plainTextFormattedCitation":"(Gioia &amp; Hopper, 2017)","previouslyFormattedCitation":"(Gioia &amp; Hopper, 2017)"},"properties":{"noteIndex":0},"schema":"https://github.com/citation-style-language/schema/raw/master/csl-citation.json"}</w:instrText>
      </w:r>
      <w:r w:rsidR="004E5115">
        <w:fldChar w:fldCharType="separate"/>
      </w:r>
      <w:r w:rsidR="004E5115" w:rsidRPr="004E5115">
        <w:rPr>
          <w:noProof/>
        </w:rPr>
        <w:t>Gioia &amp; Hopper, 2017</w:t>
      </w:r>
      <w:r w:rsidR="004E5115">
        <w:fldChar w:fldCharType="end"/>
      </w:r>
      <w:r w:rsidR="000D32D5">
        <w:t>), the overall differences in species km</w:t>
      </w:r>
      <w:r w:rsidR="000D32D5" w:rsidRPr="00F12728">
        <w:rPr>
          <w:vertAlign w:val="superscript"/>
        </w:rPr>
        <w:t>-2</w:t>
      </w:r>
      <w:r w:rsidR="000D32D5">
        <w:t xml:space="preserve"> are quite dramatic. </w:t>
      </w:r>
      <w:r>
        <w:t xml:space="preserve">One </w:t>
      </w:r>
      <w:r w:rsidR="000D32D5">
        <w:t xml:space="preserve">possible </w:t>
      </w:r>
      <w:r>
        <w:t xml:space="preserve">explanation for this striking 2.5-fold species richness difference (per </w:t>
      </w:r>
      <w:r w:rsidR="00F177A5">
        <w:t xml:space="preserve">unit </w:t>
      </w:r>
      <w:r>
        <w:t>area) relates to differences in the physical heterogeneity of the two regions. Where much of the GCFR, particularly the hyper-diverse (</w:t>
      </w:r>
      <w:r w:rsidR="005F0D12">
        <w:t xml:space="preserve">ca. </w:t>
      </w:r>
      <w:r>
        <w:t xml:space="preserve">9,400 species in </w:t>
      </w:r>
      <w:r w:rsidR="008259DB">
        <w:t xml:space="preserve">ca. </w:t>
      </w:r>
      <w:r>
        <w:t>90,800 km</w:t>
      </w:r>
      <w:r>
        <w:rPr>
          <w:vertAlign w:val="superscript"/>
        </w:rPr>
        <w:t>2</w:t>
      </w:r>
      <w:r>
        <w:t>; 0.104 species km</w:t>
      </w:r>
      <w:r>
        <w:rPr>
          <w:vertAlign w:val="superscript"/>
        </w:rPr>
        <w:t>-2</w:t>
      </w:r>
      <w:r>
        <w:t xml:space="preserve">) “core” Cape Floristic Region (CFR; </w:t>
      </w:r>
      <w:r w:rsidR="00682956">
        <w:fldChar w:fldCharType="begin" w:fldLock="1"/>
      </w:r>
      <w:r w:rsidR="003C3B67">
        <w:instrText>ADDIN CSL_CITATION {"citationItems":[{"id":"ITEM-1","itemData":{"author":[{"dropping-particle":"","family":"Goldblatt","given":"Peter","non-dropping-particle":"","parse-names":false,"suffix":""}],"container-title":"Annals of the Missouri Botanical Garden","id":"ITEM-1","issued":{"date-parts":[["1978"]]},"page":"369-436","title":"An analysis of the flora of Southern Africa: its characteristics, relationships abd origins","type":"article-journal","volume":"65"},"uris":["http://www.mendeley.com/documents/?uuid=d54d7e21-319a-4e32-b014-ed516b908819"]}],"mendeley":{"formattedCitation":"(Goldblatt, 1978)","manualFormatting":"Goldblatt, 1978)","plainTextFormattedCitation":"(Goldblatt, 1978)","previouslyFormattedCitation":"(Goldblatt, 1978)"},"properties":{"noteIndex":0},"schema":"https://github.com/citation-style-language/schema/raw/master/csl-citation.json"}</w:instrText>
      </w:r>
      <w:r w:rsidR="00682956">
        <w:fldChar w:fldCharType="separate"/>
      </w:r>
      <w:r w:rsidR="00682956" w:rsidRPr="00682956">
        <w:rPr>
          <w:noProof/>
        </w:rPr>
        <w:t>Goldblatt, 1978)</w:t>
      </w:r>
      <w:r w:rsidR="00682956">
        <w:fldChar w:fldCharType="end"/>
      </w:r>
      <w:r>
        <w:t xml:space="preserve">, is rugged and mountainous, the SWAFR landscape is much more subdued, comprising an ancient, weathered plateau. </w:t>
      </w:r>
      <w:r w:rsidR="003B49FB">
        <w:t>Indeed</w:t>
      </w:r>
      <w:r w:rsidR="00E561E1">
        <w:t xml:space="preserve">, of the </w:t>
      </w:r>
      <w:r w:rsidR="003B49FB">
        <w:t xml:space="preserve">world’s </w:t>
      </w:r>
      <w:r w:rsidR="00E561E1">
        <w:t>five</w:t>
      </w:r>
      <w:r w:rsidR="00E561E1" w:rsidRPr="00E561E1">
        <w:rPr>
          <w:lang w:val="en-ZA"/>
        </w:rPr>
        <w:t xml:space="preserve"> </w:t>
      </w:r>
      <w:r w:rsidR="00E561E1">
        <w:rPr>
          <w:lang w:val="en-ZA"/>
        </w:rPr>
        <w:t>m</w:t>
      </w:r>
      <w:r w:rsidR="00E561E1" w:rsidRPr="00E87C83">
        <w:rPr>
          <w:lang w:val="en-ZA"/>
        </w:rPr>
        <w:t>editerranean-climate regions</w:t>
      </w:r>
      <w:r w:rsidR="00E561E1">
        <w:t xml:space="preserve">, </w:t>
      </w:r>
      <w:r w:rsidR="00E561E1">
        <w:rPr>
          <w:lang w:val="en-ZA"/>
        </w:rPr>
        <w:t xml:space="preserve">the </w:t>
      </w:r>
      <w:r w:rsidR="003B49FB">
        <w:rPr>
          <w:lang w:val="en-ZA"/>
        </w:rPr>
        <w:t>CFR has</w:t>
      </w:r>
      <w:r w:rsidR="00E561E1" w:rsidRPr="00E87C83">
        <w:rPr>
          <w:lang w:val="en-ZA"/>
        </w:rPr>
        <w:t xml:space="preserve"> the second highest median topographic heterogeneity</w:t>
      </w:r>
      <w:r w:rsidR="003B49FB">
        <w:rPr>
          <w:lang w:val="en-ZA"/>
        </w:rPr>
        <w:t>, being surpassed only by the Mediterranean</w:t>
      </w:r>
      <w:r w:rsidR="00E561E1" w:rsidRPr="00E87C83">
        <w:rPr>
          <w:lang w:val="en-ZA"/>
        </w:rPr>
        <w:t xml:space="preserve"> </w:t>
      </w:r>
      <w:r w:rsidR="006D7237">
        <w:rPr>
          <w:lang w:val="en-ZA"/>
        </w:rPr>
        <w:fldChar w:fldCharType="begin" w:fldLock="1"/>
      </w:r>
      <w:r w:rsidR="0090330E">
        <w:rPr>
          <w:lang w:val="en-ZA"/>
        </w:rPr>
        <w:instrText>ADDIN CSL_CITATION {"citationItems":[{"id":"ITEM-1","itemData":{"DOI":"oso/9780199679584.003.0002","ISBN":"9780199679584","abstract":"This chapter outlines the abiotic characteristics of the GCFR, principally its landscapes, rock types, and gradients of climate. These act together to produce a mosaic of environmental conditions which facilitate the differentiation of the GCFR into smaller physiographic units. The GCFR’s latitudinal position (28°S to 35°S) together with its largely coastal position in the westerly wind belt ensures that it receives reliable winter rain and has relatively mild temperatures; however only the south west qualifies as a mediterranean-type climate. Northwards, temperature increases and rainfall decreases, while from west to east rainfall dominance changes from winter to summer. The alpine-like topography of the Cape Fold Belt produces localized, orographically induced exceptions to these general climate trends, notably a rapid increase in annual rainfall, and pronounced rain shadows. The Great Escarpment impedes the eastward penetration of winter rain and the westward penetration of summer rain, accentuating seasonal rainfall regimes. While the coast is mild, the escarpment is more extreme, as minimum temperatures decrease and maximum temperatures increase. Different rock types partition the climate gradients of the GCFR into more discrete physiographic units. Fynbos occurs on infertile siliceous sandstone soils associated with the Cape Fold Belt, while succulent karoo and renosterveld occur on more fertile, heavier soils of the coastal forelands and intermontane valleys. However, succulent karoo vegetation can occur on infertile sandstone soils, especially in the west where rainfall is very low. In the absence of fire, both forest and thicket can colonize infertile soils of the GCFR.","author":[{"dropping-particle":"","family":"Bradshaw","given":"P. L.","non-dropping-particle":"","parse-names":false,"suffix":""},{"dropping-particle":"","family":"Cowling","given":"Richard M.","non-dropping-particle":"","parse-names":false,"suffix":""}],"chapter-number":"2","container-title":"Fynbos: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Anthony","non-dropping-particle":"","parse-names":false,"suffix":""}],"id":"ITEM-1","issued":{"date-parts":[["2014"]]},"page":"26-46","publisher":"Oxford University Press","publisher-place":"Oxford","title":"Landscapes, rock types, and climate of the Greater Cape Floristic Region","type":"chapter"},"uris":["http://www.mendeley.com/documents/?uuid=67e1310b-bf35-43be-927c-6e8b938a7373"]}],"mendeley":{"formattedCitation":"(Bradshaw &amp; Cowling, 2014)","plainTextFormattedCitation":"(Bradshaw &amp; Cowling, 2014)","previouslyFormattedCitation":"(Bradshaw &amp; Cowling, 2014)"},"properties":{"noteIndex":0},"schema":"https://github.com/citation-style-language/schema/raw/master/csl-citation.json"}</w:instrText>
      </w:r>
      <w:r w:rsidR="006D7237">
        <w:rPr>
          <w:lang w:val="en-ZA"/>
        </w:rPr>
        <w:fldChar w:fldCharType="separate"/>
      </w:r>
      <w:r w:rsidR="006D7237" w:rsidRPr="006D7237">
        <w:rPr>
          <w:noProof/>
          <w:lang w:val="en-ZA"/>
        </w:rPr>
        <w:t>(Bradshaw &amp; Cowling, 2014)</w:t>
      </w:r>
      <w:r w:rsidR="006D7237">
        <w:rPr>
          <w:lang w:val="en-ZA"/>
        </w:rPr>
        <w:fldChar w:fldCharType="end"/>
      </w:r>
      <w:r w:rsidR="00E561E1" w:rsidRPr="00E87C83">
        <w:rPr>
          <w:lang w:val="en-ZA"/>
        </w:rPr>
        <w:t>.</w:t>
      </w:r>
      <w:r w:rsidR="00E561E1">
        <w:rPr>
          <w:lang w:val="en-ZA"/>
        </w:rPr>
        <w:t xml:space="preserve"> </w:t>
      </w:r>
      <w:r w:rsidR="003B49FB">
        <w:rPr>
          <w:lang w:val="en-ZA"/>
        </w:rPr>
        <w:t xml:space="preserve">Critically, </w:t>
      </w:r>
      <w:r w:rsidR="00455694">
        <w:t>si</w:t>
      </w:r>
      <w:r>
        <w:t>nce the strong relief of the GCFR underlies steep climat</w:t>
      </w:r>
      <w:r w:rsidR="001541B2">
        <w:t xml:space="preserve">ic and edaphic gradients </w:t>
      </w:r>
      <w:r w:rsidR="005B4495">
        <w:fldChar w:fldCharType="begin" w:fldLock="1"/>
      </w:r>
      <w:r w:rsidR="00080450">
        <w:instrText>ADDIN CSL_CITATION {"citationItems":[{"id":"ITEM-1","itemData":{"DOI":"oso/9780199679584.003.0002","ISBN":"9780199679584","abstract":"This chapter outlines the abiotic characteristics of the GCFR, principally its landscapes, rock types, and gradients of climate. These act together to produce a mosaic of environmental conditions which facilitate the differentiation of the GCFR into smaller physiographic units. The GCFR’s latitudinal position (28°S to 35°S) together with its largely coastal position in the westerly wind belt ensures that it receives reliable winter rain and has relatively mild temperatures; however only the south west qualifies as a mediterranean-type climate. Northwards, temperature increases and rainfall decreases, while from west to east rainfall dominance changes from winter to summer. The alpine-like topography of the Cape Fold Belt produces localized, orographically induced exceptions to these general climate trends, notably a rapid increase in annual rainfall, and pronounced rain shadows. The Great Escarpment impedes the eastward penetration of winter rain and the westward penetration of summer rain, accentuating seasonal rainfall regimes. While the coast is mild, the escarpment is more extreme, as minimum temperatures decrease and maximum temperatures increase. Different rock types partition the climate gradients of the GCFR into more discrete physiographic units. Fynbos occurs on infertile siliceous sandstone soils associated with the Cape Fold Belt, while succulent karoo and renosterveld occur on more fertile, heavier soils of the coastal forelands and intermontane valleys. However, succulent karoo vegetation can occur on infertile sandstone soils, especially in the west where rainfall is very low. In the absence of fire, both forest and thicket can colonize infertile soils of the GCFR.","author":[{"dropping-particle":"","family":"Bradshaw","given":"P. L.","non-dropping-particle":"","parse-names":false,"suffix":""},{"dropping-particle":"","family":"Cowling","given":"Richard M.","non-dropping-particle":"","parse-names":false,"suffix":""}],"chapter-number":"2","container-title":"Fynbos: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Anthony","non-dropping-particle":"","parse-names":false,"suffix":""}],"id":"ITEM-1","issued":{"date-parts":[["2014"]]},"page":"26-46","publisher":"Oxford University Press","publisher-place":"Oxford","title":"Landscapes, rock types, and climate of the Greater Cape Floristic Region","type":"chapter"},"uris":["http://www.mendeley.com/documents/?uuid=67e1310b-bf35-43be-927c-6e8b938a7373"]},{"id":"ITEM-2","itemData":{"DOI":"10.1111/geb.12181","ISBN":"1466-8238","ISSN":"14668238","abstract":"Aim Diversity anomalies are differences in species richness between areas that belong to different regions but have similar environments. Some hypotheses addressing the origin of well-known anomalies in plant diversity propose that regions with higher environmental spatial heterogeneity have higher diversity because heterogeneity fosters diversification or coexistence. Arguments supporting these hypotheses emphasize inter-regional comparisons of diversity and assume that spatial environmental heterogeneity is higher in: (1) eastern Asia (EA) than in eastern North America (ENA), (2) western North America (WNA) than in ENA, and (3) the Cape Floristic Region in southern Africa (CFR) than in the Southwest Australian Floristic Region (SWA). Here, we evaluate these assumptions by measuring two kinds of environmental heterogeneity – spatially implicit and explicit – each thought to affect diversity via different mechanisms. The former refers to environmental variation among sites within a region, regardless of site location. The latter refers to the spatial pattern of environmental variation across a region (e.g., monotonic or undulating). Location EA, ENA, WNA, CFR and SWA. Methods Multivariate and univariate analyses of spatially implicit and explicit heterogeneity in 17 climatic variables describing central tendency, variation and extremes of temperature and precipitation. Results Multivariate (spatially implicit and explicit) climate heterogeneity is higher in: (1) EA than in ENA, (2) WNA than in ENA, and (3) CFR than in SWA. However, univariate analysis revealed that the regions thought to be most homogeneous (ENA and SWA) were actually most heterogeneous in three or four climatic variables, including precipitation during the driest (ENA) or wettest (SWA) seasons. Main conclusions The overall inter-regional pattern of spatially implicit and explicit heterogeneity in climate supports the three assumptions listed in the Aim. However, particular climate variables deviate from this overall pattern, implying that hypotheses linking diversity to regional heterogeneity can yield more precise predictions, and thus can be more stringently tested, than previously recognized.","author":[{"dropping-particle":"","family":"Jiménez","given":"Iván","non-dropping-particle":"","parse-names":false,"suffix":""},{"dropping-particle":"","family":"Ricklefs","given":"Robert E.","non-dropping-particle":"","parse-names":false,"suffix":""}],"container-title":"Global Ecology and Biogeography","id":"ITEM-2","issued":{"date-parts":[["2014"]]},"title":"Diversity anomalies and spatial climate heterogeneity","type":"article-journal"},"uris":["http://www.mendeley.com/documents/?uuid=adbda198-36ce-3345-83b3-33d9da6084b4"]}],"mendeley":{"formattedCitation":"(Bradshaw &amp; Cowling, 2014; Jiménez &amp; Ricklefs, 2014)","plainTextFormattedCitation":"(Bradshaw &amp; Cowling, 2014; Jiménez &amp; Ricklefs, 2014)","previouslyFormattedCitation":"(Bradshaw &amp; Cowling, 2014; Jiménez &amp; Ricklefs, 2014)"},"properties":{"noteIndex":0},"schema":"https://github.com/citation-style-language/schema/raw/master/csl-citation.json"}</w:instrText>
      </w:r>
      <w:r w:rsidR="005B4495">
        <w:fldChar w:fldCharType="separate"/>
      </w:r>
      <w:r w:rsidR="005B4495" w:rsidRPr="005B4495">
        <w:rPr>
          <w:noProof/>
        </w:rPr>
        <w:t>(Bradshaw &amp; Cowling, 2014; Jiménez &amp; Ricklefs, 2014)</w:t>
      </w:r>
      <w:r w:rsidR="005B4495">
        <w:fldChar w:fldCharType="end"/>
      </w:r>
      <w:r w:rsidR="001541B2">
        <w:t>, it</w:t>
      </w:r>
      <w:r w:rsidR="00E561E1">
        <w:t xml:space="preserve">s </w:t>
      </w:r>
      <w:r w:rsidR="0010729C">
        <w:t xml:space="preserve">climatic and edaphic </w:t>
      </w:r>
      <w:r w:rsidR="007948F4">
        <w:t>heterogeneity</w:t>
      </w:r>
      <w:r w:rsidR="001541B2">
        <w:t xml:space="preserve"> </w:t>
      </w:r>
      <w:r w:rsidR="007948F4">
        <w:t xml:space="preserve">is </w:t>
      </w:r>
      <w:r w:rsidR="0010729C">
        <w:t>correspondingly high</w:t>
      </w:r>
      <w:r>
        <w:t>.</w:t>
      </w:r>
      <w:r w:rsidR="001541B2">
        <w:t xml:space="preserve"> </w:t>
      </w:r>
      <w:r w:rsidR="00510832">
        <w:t xml:space="preserve">Differences in the spatial scale or “grain” of environmental heterogeneity may also explain the differences in richness between these two floras, with SWAFR environments’ likely being “coarser” than those in the GCFR due to the former’s relative topographic uniformity. </w:t>
      </w:r>
      <w:r>
        <w:t xml:space="preserve">The central aim of this paper, then, is to test the hypothesis that the observed </w:t>
      </w:r>
      <w:r w:rsidR="007A1F3D">
        <w:t xml:space="preserve">difference in </w:t>
      </w:r>
      <w:r>
        <w:t xml:space="preserve">species richness (per </w:t>
      </w:r>
      <w:r w:rsidR="00A52520">
        <w:t xml:space="preserve">unit </w:t>
      </w:r>
      <w:r>
        <w:t xml:space="preserve">area) </w:t>
      </w:r>
      <w:r w:rsidR="007A1F3D">
        <w:t xml:space="preserve">between the SWAFR and GCFR </w:t>
      </w:r>
      <w:r>
        <w:t xml:space="preserve">is a consequence of differences in the physical heterogeneity of these regions. </w:t>
      </w:r>
      <w:r w:rsidR="00EE1A7E">
        <w:t>We investigate this across a range of spatial scales, as we expect this to affect the species richness patterns we observe</w:t>
      </w:r>
      <w:r w:rsidR="00080450">
        <w:t xml:space="preserve"> </w:t>
      </w:r>
      <w:r w:rsidR="00080450">
        <w:fldChar w:fldCharType="begin" w:fldLock="1"/>
      </w:r>
      <w:r w:rsidR="00404D92">
        <w:instrText>ADDIN CSL_CITATION {"citationItems":[{"id":"ITEM-1","itemData":{"DOI":"10.1038/s41559-017-0230-7","ISSN":"2397-334X","abstract":"Understanding how species diversity is maintained is a foundational problem in ecology and an essential requirement for the discipline to be effective as an applied science. Ecologists’ understanding of this problem has rapidly matured, but this has exposed profound uncertainty about the spatial scales required to maintain species diversity. Here we define and develop this frontier by proposing the coexistence–area relationship—a real relationship in nature that can be used to understand the determinants of the scale-dependence of diversity maintenance. The coexistence–area relationship motivates new empirical techniques for addressing important, unresolved problems about the influence of demographic stochasticity, environmental heterogeneity and dispersal on scale-dependent patterns of diversity. In so doing, this framework substantially reframes current approaches to spanding of the maintenance of diversity in nature, and should improve the contribution of community ecology to biodiversity conservation. Our understanding of how species diversity is maintained depends on spatial scale. Here, the coexistence–area relationship is developed to understand scale dependence and increase community ecology’s contribution to biodiversity conservation.","author":[{"dropping-particle":"","family":"Hart","given":"Simon P.","non-dropping-particle":"","parse-names":false,"suffix":""},{"dropping-particle":"","family":"Usinowicz","given":"Jacob","non-dropping-particle":"","parse-names":false,"suffix":""},{"dropping-particle":"","family":"Levine","given":"Jonathan M.","non-dropping-particle":"","parse-names":false,"suffix":""}],"container-title":"Nature Ecology &amp; Evolution","id":"ITEM-1","issue":"8","issued":{"date-parts":[["2017"]]},"page":"1066-1073","title":"The spatial scales of species coexistence","type":"article-journal","volume":"1"},"uris":["http://www.mendeley.com/documents/?uuid=46b59b89-4782-4d53-b9b3-18d311b06a70"]}],"mendeley":{"formattedCitation":"(Hart et al., 2017)","plainTextFormattedCitation":"(Hart et al., 2017)","previouslyFormattedCitation":"(Hart et al., 2017)"},"properties":{"noteIndex":0},"schema":"https://github.com/citation-style-language/schema/raw/master/csl-citation.json"}</w:instrText>
      </w:r>
      <w:r w:rsidR="00080450">
        <w:fldChar w:fldCharType="separate"/>
      </w:r>
      <w:r w:rsidR="00080450" w:rsidRPr="00080450">
        <w:rPr>
          <w:noProof/>
        </w:rPr>
        <w:t>(Hart et al., 2017)</w:t>
      </w:r>
      <w:r w:rsidR="00080450">
        <w:fldChar w:fldCharType="end"/>
      </w:r>
      <w:r w:rsidR="00EE1A7E">
        <w:t xml:space="preserve">. </w:t>
      </w:r>
      <w:r>
        <w:t>Focusing on the quarter-degree square (QDS)</w:t>
      </w:r>
      <w:r w:rsidR="009A576E">
        <w:t xml:space="preserve">, </w:t>
      </w:r>
      <w:r>
        <w:t xml:space="preserve">half-degree square (HDS) </w:t>
      </w:r>
      <w:r w:rsidR="009A576E">
        <w:t xml:space="preserve">and degree square (DS) </w:t>
      </w:r>
      <w:r>
        <w:t>scales</w:t>
      </w:r>
      <w:r w:rsidR="000F59F5">
        <w:t xml:space="preserve"> (sensu </w:t>
      </w:r>
      <w:r w:rsidR="005B6901">
        <w:fldChar w:fldCharType="begin" w:fldLock="1"/>
      </w:r>
      <w:r w:rsidR="00404D92">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et al., 2009)","manualFormatting":"Larsen, Holmern, Prager, Maliti, &amp; Røskaft, 2009)","plainTextFormattedCitation":"(Larsen et al., 2009)","previouslyFormattedCitation":"(Larsen et al., 2009)"},"properties":{"noteIndex":0},"schema":"https://github.com/citation-style-language/schema/raw/master/csl-citation.json"}</w:instrText>
      </w:r>
      <w:r w:rsidR="005B6901">
        <w:fldChar w:fldCharType="separate"/>
      </w:r>
      <w:r w:rsidR="005B6901" w:rsidRPr="005B6901">
        <w:rPr>
          <w:noProof/>
        </w:rPr>
        <w:t>Larsen, Holmern, Prager, Maliti, &amp; Røskaft, 2009)</w:t>
      </w:r>
      <w:r w:rsidR="005B6901">
        <w:fldChar w:fldCharType="end"/>
      </w:r>
      <w:r>
        <w:t>, we first compare the distribution of species richness between the two regions</w:t>
      </w:r>
      <w:r w:rsidR="00E96D62">
        <w:t xml:space="preserve">, and </w:t>
      </w:r>
      <w:r w:rsidR="00C26903">
        <w:t xml:space="preserve">in </w:t>
      </w:r>
      <w:r w:rsidR="0059637F">
        <w:t>each region</w:t>
      </w:r>
      <w:r w:rsidR="00E96D62">
        <w:t xml:space="preserve"> decompos</w:t>
      </w:r>
      <w:r w:rsidR="0059637F">
        <w:t xml:space="preserve">e </w:t>
      </w:r>
      <w:r w:rsidR="009460AD">
        <w:t>broader-scale</w:t>
      </w:r>
      <w:r w:rsidR="0059637F">
        <w:t xml:space="preserve"> richness</w:t>
      </w:r>
      <w:r w:rsidR="00E96D62">
        <w:t xml:space="preserve"> in</w:t>
      </w:r>
      <w:r w:rsidR="004F6F8D">
        <w:t>to</w:t>
      </w:r>
      <w:r w:rsidR="00E96D62">
        <w:t xml:space="preserve"> </w:t>
      </w:r>
      <w:r w:rsidR="00493CCF">
        <w:t>average finer-scale</w:t>
      </w:r>
      <w:r w:rsidR="00E96D62">
        <w:t xml:space="preserve"> richness and between-</w:t>
      </w:r>
      <w:r w:rsidR="00493CCF">
        <w:t>square</w:t>
      </w:r>
      <w:r w:rsidR="00E96D62">
        <w:t xml:space="preserve"> turnover.</w:t>
      </w:r>
      <w:r>
        <w:t xml:space="preserve"> Thereafter, we compare </w:t>
      </w:r>
      <w:r w:rsidR="007948F4">
        <w:t>environmental heterogeneity</w:t>
      </w:r>
      <w:r>
        <w:t xml:space="preserve"> between the two regions </w:t>
      </w:r>
      <w:r w:rsidR="007A1F3D">
        <w:t xml:space="preserve">at </w:t>
      </w:r>
      <w:r>
        <w:t xml:space="preserve">a range of spatial scales. Finally, we use linear models to assess whether differences in </w:t>
      </w:r>
      <w:r w:rsidR="007948F4">
        <w:t>environmental heterogeneity</w:t>
      </w:r>
      <w:r>
        <w:t xml:space="preserve"> are sufficient to explain observed differences in species richness between the two regions.</w:t>
      </w:r>
    </w:p>
    <w:p w14:paraId="70315767" w14:textId="7005505E" w:rsidR="00DD2348" w:rsidRDefault="00970650" w:rsidP="008A4E97">
      <w:pPr>
        <w:pStyle w:val="Heading1"/>
        <w:spacing w:line="240" w:lineRule="auto"/>
      </w:pPr>
      <w:r w:rsidRPr="00DD7307">
        <w:t>2</w:t>
      </w:r>
      <w:r w:rsidR="00F31AF3">
        <w:t>:</w:t>
      </w:r>
      <w:r w:rsidR="00DD7307">
        <w:t xml:space="preserve"> </w:t>
      </w:r>
      <w:r w:rsidR="005F0FFB" w:rsidRPr="00DD7307">
        <w:t>Materials</w:t>
      </w:r>
      <w:r w:rsidR="005F0FFB">
        <w:t xml:space="preserve"> and methods</w:t>
      </w:r>
      <w:bookmarkEnd w:id="0"/>
    </w:p>
    <w:p w14:paraId="37E86CBC" w14:textId="54F8283C" w:rsidR="00D04776" w:rsidRDefault="00970650" w:rsidP="008A4E97">
      <w:pPr>
        <w:pStyle w:val="Heading2"/>
        <w:spacing w:line="240" w:lineRule="auto"/>
      </w:pPr>
      <w:bookmarkStart w:id="4" w:name="comparing-regions-environmental-heteroge"/>
      <w:r>
        <w:t>2.1</w:t>
      </w:r>
      <w:r w:rsidR="00F31AF3">
        <w:t>:</w:t>
      </w:r>
      <w:r>
        <w:t xml:space="preserve"> </w:t>
      </w:r>
      <w:r w:rsidR="00D04776">
        <w:t>Comparing species richness</w:t>
      </w:r>
    </w:p>
    <w:p w14:paraId="52348C6B" w14:textId="13410DF1" w:rsidR="006A239A" w:rsidRPr="00D52E5F" w:rsidRDefault="00D04776" w:rsidP="00FE0731">
      <w:pPr>
        <w:pStyle w:val="FirstParagraph"/>
        <w:rPr>
          <w:rFonts w:cstheme="majorBidi"/>
        </w:rPr>
      </w:pPr>
      <w:r>
        <w:t xml:space="preserve">To compare </w:t>
      </w:r>
      <w:r w:rsidR="001C5D8A">
        <w:t xml:space="preserve">vascular plant </w:t>
      </w:r>
      <w:r>
        <w:t xml:space="preserve">species richness </w:t>
      </w:r>
      <w:r w:rsidR="001C5D8A">
        <w:t xml:space="preserve">between the </w:t>
      </w:r>
      <w:r w:rsidR="00996B78">
        <w:t>GCFR and SWAFR</w:t>
      </w:r>
      <w:r>
        <w:t xml:space="preserve">, geospatially-explicit </w:t>
      </w:r>
      <w:r w:rsidR="001C5D8A">
        <w:t xml:space="preserve">occurrence </w:t>
      </w:r>
      <w:r>
        <w:t>record</w:t>
      </w:r>
      <w:r w:rsidR="00996B78">
        <w:t>s of tracheophytes</w:t>
      </w:r>
      <w:r w:rsidR="001C5D8A">
        <w:t xml:space="preserve"> </w:t>
      </w:r>
      <w:r w:rsidR="00996B78">
        <w:t xml:space="preserve">from within the borders of </w:t>
      </w:r>
      <w:r w:rsidR="00B5670A">
        <w:t>each region</w:t>
      </w:r>
      <w:r w:rsidR="00996B78">
        <w:t xml:space="preserve"> </w:t>
      </w:r>
      <w:r w:rsidR="007C5AFE">
        <w:t xml:space="preserve">were </w:t>
      </w:r>
      <w:r w:rsidR="00236CF0">
        <w:t xml:space="preserve">obtained </w:t>
      </w:r>
      <w:r>
        <w:t>from the Global Biodiversity Information Facility (GBIF</w:t>
      </w:r>
      <w:r w:rsidR="00B60E07">
        <w:t>;</w:t>
      </w:r>
      <w:r>
        <w:t xml:space="preserve"> Table </w:t>
      </w:r>
      <w:r w:rsidR="0087028D">
        <w:t>S</w:t>
      </w:r>
      <w:r w:rsidRPr="00254120">
        <w:t>1</w:t>
      </w:r>
      <w:r>
        <w:t xml:space="preserve">). </w:t>
      </w:r>
      <w:r w:rsidR="001C5D8A">
        <w:t xml:space="preserve">For this purpose, the GCFR was treated as the area occupied by the Succulent Karoo and Fynbos Biomes </w:t>
      </w:r>
      <w:r w:rsidR="00830A3B">
        <w:fldChar w:fldCharType="begin" w:fldLock="1"/>
      </w:r>
      <w:r w:rsidR="00CB7719">
        <w:instrText>ADDIN CSL_CITATION {"citationItems":[{"id":"ITEM-1","itemData":{"author":[{"dropping-particle":"","family":"Mucina","given":"Ladislav","non-dropping-particle":"","parse-names":false,"suffix":""},{"dropping-particle":"","family":"Rutherford","given":"Michael C.","non-dropping-particle":"","parse-names":false,"suffix":""}],"id":"ITEM-1","issued":{"date-parts":[["2006"]]},"publisher":"South African National Biodiversity Institute","title":"The vegetation of South Africa, Lesotho and Swaziland.","type":"book"},"uris":["http://www.mendeley.com/documents/?uuid=7b62e872-ce2f-4f2c-8ccf-112b9acba364"]}],"mendeley":{"formattedCitation":"(Mucina &amp; Rutherford, 2006)","plainTextFormattedCitation":"(Mucina &amp; Rutherford, 2006)","previouslyFormattedCitation":"(Mucina &amp; Rutherford, 2006)"},"properties":{"noteIndex":0},"schema":"https://github.com/citation-style-language/schema/raw/master/csl-citation.json"}</w:instrText>
      </w:r>
      <w:r w:rsidR="00830A3B">
        <w:fldChar w:fldCharType="separate"/>
      </w:r>
      <w:r w:rsidR="00B1341B" w:rsidRPr="00B1341B">
        <w:rPr>
          <w:noProof/>
        </w:rPr>
        <w:t>(Mucina &amp; Rutherford, 2006)</w:t>
      </w:r>
      <w:r w:rsidR="00830A3B">
        <w:fldChar w:fldCharType="end"/>
      </w:r>
      <w:r w:rsidR="006F0BA2">
        <w:t>, while t</w:t>
      </w:r>
      <w:r w:rsidR="001C5D8A">
        <w:t xml:space="preserve">he SWAFR </w:t>
      </w:r>
      <w:r w:rsidR="006F0BA2">
        <w:t xml:space="preserve">was treated </w:t>
      </w:r>
      <w:r w:rsidR="001C5D8A">
        <w:t xml:space="preserve">as the area occupied by Southwest Australia </w:t>
      </w:r>
      <w:r w:rsidR="006F0BA2">
        <w:t>S</w:t>
      </w:r>
      <w:r w:rsidR="001C5D8A">
        <w:t xml:space="preserve">avanna, Swan Coastal Plain Scrub and Woodlands, Jarrah-Karri </w:t>
      </w:r>
      <w:r w:rsidR="006F0BA2">
        <w:t>F</w:t>
      </w:r>
      <w:r w:rsidR="001C5D8A">
        <w:t xml:space="preserve">orest and </w:t>
      </w:r>
      <w:r w:rsidR="006F0BA2">
        <w:t>S</w:t>
      </w:r>
      <w:r w:rsidR="001C5D8A">
        <w:t xml:space="preserve">hrublands, Southwest Australia </w:t>
      </w:r>
      <w:r w:rsidR="006F0BA2">
        <w:t>W</w:t>
      </w:r>
      <w:r w:rsidR="001C5D8A">
        <w:t xml:space="preserve">oodlands, Esperance </w:t>
      </w:r>
      <w:r w:rsidR="006F0BA2">
        <w:t>M</w:t>
      </w:r>
      <w:r w:rsidR="001C5D8A">
        <w:t xml:space="preserve">allee, and Coolgardie </w:t>
      </w:r>
      <w:r w:rsidR="006F0BA2">
        <w:t>W</w:t>
      </w:r>
      <w:r w:rsidR="001C5D8A">
        <w:t xml:space="preserve">oodlands </w:t>
      </w:r>
      <w:r w:rsidR="00F72828">
        <w:fldChar w:fldCharType="begin" w:fldLock="1"/>
      </w:r>
      <w:r w:rsidR="006D7237">
        <w:instrText>ADDIN CSL_CITATION {"citationItems":[{"id":"ITEM-1","itemData":{"author":[{"dropping-particle":"","family":"Olson","given":"David M","non-dropping-particle":"","parse-names":false,"suffix":""},{"dropping-particle":"","family":"Dinerstein","given":"Eric","non-dropping-particle":"","parse-names":false,"suffix":""},{"dropping-particle":"","family":"Wikramanayake","given":"Eric D","non-dropping-particle":"","parse-names":false,"suffix":""},{"dropping-particle":"","family":"Burgess","given":"Neil D","non-dropping-particle":"","parse-names":false,"suffix":""},{"dropping-particle":"","family":"Powell","given":"George V N","non-dropping-particle":"","parse-names":false,"suffix":""},{"dropping-particle":"","family":"Underwood","given":"Emma C","non-dropping-particle":"","parse-names":false,"suffix":""},{"dropping-particle":"","family":"D'amico","given":"Jennifer A","non-dropping-particle":"","parse-names":false,"suffix":""},{"dropping-particle":"","family":"Itoua","given":"Illanga","non-dropping-particle":"","parse-names":false,"suffix":""},{"dropping-particle":"","family":"Strand","given":"Holly E","non-dropping-particle":"","parse-names":false,"suffix":""},{"dropping-particle":"","family":"Morrison","given":"John C","non-dropping-particle":"","parse-names":false,"suffix":""},{"dropping-particle":"","family":"others","given":"","non-dropping-particle":"","parse-names":false,"suffix":""}],"container-title":"BioScience","id":"ITEM-1","issue":"11","issued":{"date-parts":[["2001"]]},"page":"933-938","publisher":"BioOne","title":"Terrestrial Ecoregions of the World: A New Map of Life on Earth: A new global map of terrestrial ecoregions provides an innovative tool for conserving biodiversity","type":"article-journal","volume":"51"},"uris":["http://www.mendeley.com/documents/?uuid=3436c3e3-d454-449a-abbb-d6ee82cecdd7"]}],"mendeley":{"formattedCitation":"(Olson et al., 2001)","plainTextFormattedCitation":"(Olson et al., 2001)","previouslyFormattedCitation":"(Olson et al., 2001)"},"properties":{"noteIndex":0},"schema":"https://github.com/citation-style-language/schema/raw/master/csl-citation.json"}</w:instrText>
      </w:r>
      <w:r w:rsidR="00F72828">
        <w:fldChar w:fldCharType="separate"/>
      </w:r>
      <w:r w:rsidR="00F72828" w:rsidRPr="00F72828">
        <w:rPr>
          <w:noProof/>
        </w:rPr>
        <w:t>(Olson et al., 2001)</w:t>
      </w:r>
      <w:r w:rsidR="00F72828">
        <w:fldChar w:fldCharType="end"/>
      </w:r>
      <w:r w:rsidR="001C5D8A">
        <w:t xml:space="preserve"> in order to match the current deli</w:t>
      </w:r>
      <w:r w:rsidR="006F0BA2">
        <w:t>mitation of the</w:t>
      </w:r>
      <w:r w:rsidR="001C5D8A">
        <w:t xml:space="preserve"> SWAFR </w:t>
      </w:r>
      <w:r w:rsidR="00184015">
        <w:fldChar w:fldCharType="begin" w:fldLock="1"/>
      </w:r>
      <w:r w:rsidR="00404D92">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Biodiversity","type":"article-journal","volume":"35"},"uris":["http://www.mendeley.com/documents/?uuid=cf433376-e654-49f4-950c-946103ea9c0f"]},{"id":"ITEM-2","itemData":{"DOI":"10.1093/botlinnean/box010","ISSN":"10958339","abstract":"After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Society","id":"ITEM-2","issue":"1","issued":{"date-parts":[["2017"]]},"page":"1-15","title":"A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 Hopper &amp; Gioia, 2004b)","plainTextFormattedCitation":"(Gioia &amp; Hopper, 2017; Hopper &amp; Gioia, 2004b)","previouslyFormattedCitation":"(Gioia &amp; Hopper, 2017; Hopper &amp; Gioia, 2004b)"},"properties":{"noteIndex":0},"schema":"https://github.com/citation-style-language/schema/raw/master/csl-citation.json"}</w:instrText>
      </w:r>
      <w:r w:rsidR="00184015">
        <w:fldChar w:fldCharType="separate"/>
      </w:r>
      <w:r w:rsidR="00404D92" w:rsidRPr="00404D92">
        <w:rPr>
          <w:noProof/>
        </w:rPr>
        <w:t>(Gioia &amp; Hopper, 2017; Hopper &amp; Gioia, 2004b)</w:t>
      </w:r>
      <w:r w:rsidR="00184015">
        <w:fldChar w:fldCharType="end"/>
      </w:r>
      <w:r w:rsidR="001C5D8A">
        <w:t>.</w:t>
      </w:r>
      <w:r w:rsidR="006F0BA2">
        <w:t xml:space="preserve"> </w:t>
      </w:r>
      <w:r w:rsidR="00DC7F3D">
        <w:t>The</w:t>
      </w:r>
      <w:r w:rsidR="00996B78">
        <w:t xml:space="preserve"> </w:t>
      </w:r>
      <w:r w:rsidR="00C87747">
        <w:t xml:space="preserve">downloaded occurrence data </w:t>
      </w:r>
      <w:r w:rsidR="00DC7F3D">
        <w:t xml:space="preserve">were </w:t>
      </w:r>
      <w:r w:rsidR="00996B78">
        <w:t xml:space="preserve">then </w:t>
      </w:r>
      <w:r w:rsidR="00DC7F3D">
        <w:t xml:space="preserve">cleaned </w:t>
      </w:r>
      <w:r w:rsidR="001D58D6">
        <w:t xml:space="preserve">using </w:t>
      </w:r>
      <w:r w:rsidR="00166053">
        <w:t xml:space="preserve">the “taxize” package </w:t>
      </w:r>
      <w:r w:rsidR="00166053">
        <w:fldChar w:fldCharType="begin" w:fldLock="1"/>
      </w:r>
      <w:r w:rsidR="00CB7719">
        <w:instrText>ADDIN CSL_CITATION {"citationItems":[{"id":"ITEM-1","itemData":{"author":[{"dropping-particle":"","family":"Chamberlain","given":"Scott","non-dropping-particle":"","parse-names":false,"suffix":""},{"dropping-particle":"","family":"Szocs","given":"Eduard","non-dropping-particle":"","parse-names":false,"suffix":""},{"dropping-particle":"","family":"Boettiger","given":"Carl","non-dropping-particle":"","parse-names":false,"suffix":""},{"dropping-particle":"","family":"Ram","given":"Karthik","non-dropping-particle":"","parse-names":false,"suffix":""},{"dropping-particle":"","family":"Bartomeus","given":"Ignasi","non-dropping-particle":"","parse-names":false,"suffix":""},{"dropping-particle":"","family":"Baumgartner","given":"John","non-dropping-particle":"","parse-names":false,"suffix":""},{"dropping-particle":"","family":"Foster","given":"Zachary","non-dropping-particle":"","parse-names":false,"suffix":""},{"dropping-particle":"","family":"O'Donnell","given":"James","non-dropping-particle":"","parse-names":false,"suffix":""}],"id":"ITEM-1","issued":{"date-parts":[["2016"]]},"note":"R package version 0.7.8","title":"taxize: Taxonomic information from around the web. R package version 0.7.8","type":"article"},"uris":["http://www.mendeley.com/documents/?uuid=f606a714-c235-4d62-85c6-b865522a8509"]}],"mendeley":{"formattedCitation":"(Chamberlain et al., 2016)","plainTextFormattedCitation":"(Chamberlain et al., 2016)","previouslyFormattedCitation":"(Chamberlain et al., 2016)"},"properties":{"noteIndex":0},"schema":"https://github.com/citation-style-language/schema/raw/master/csl-citation.json"}</w:instrText>
      </w:r>
      <w:r w:rsidR="00166053">
        <w:fldChar w:fldCharType="separate"/>
      </w:r>
      <w:r w:rsidR="00166053" w:rsidRPr="00B1341B">
        <w:rPr>
          <w:noProof/>
        </w:rPr>
        <w:t>(Chamberlain et al., 2016)</w:t>
      </w:r>
      <w:r w:rsidR="00166053">
        <w:fldChar w:fldCharType="end"/>
      </w:r>
      <w:r w:rsidR="00CE21A6">
        <w:t xml:space="preserve"> </w:t>
      </w:r>
      <w:r w:rsidR="003E3635">
        <w:t xml:space="preserve">in R </w:t>
      </w:r>
      <w:r w:rsidR="00DF1E64">
        <w:fldChar w:fldCharType="begin" w:fldLock="1"/>
      </w:r>
      <w:r w:rsidR="00862FE9">
        <w:instrText>ADDIN CSL_CITATION {"citationItems":[{"id":"ITEM-1","itemData":{"author":[{"dropping-particle":"","family":"R Core Team","given":"","non-dropping-particle":"","parse-names":false,"suffix":""}],"id":"ITEM-1","issued":{"date-parts":[["2019"]]},"publisher-place":"Vienna, Austria","title":"R: A Language and Environment for Statistical Computing","type":"article"},"uris":["http://www.mendeley.com/documents/?uuid=7772b904-f920-49b2-932d-0a29f7331897"]}],"mendeley":{"formattedCitation":"(R Core Team, 2019)","plainTextFormattedCitation":"(R Core Team, 2019)","previouslyFormattedCitation":"(R Core Team, 2019)"},"properties":{"noteIndex":0},"schema":"https://github.com/citation-style-language/schema/raw/master/csl-citation.json"}</w:instrText>
      </w:r>
      <w:r w:rsidR="00DF1E64">
        <w:fldChar w:fldCharType="separate"/>
      </w:r>
      <w:r w:rsidR="00DF1E64" w:rsidRPr="00DF1E64">
        <w:rPr>
          <w:noProof/>
        </w:rPr>
        <w:t>(R Core Team, 2019)</w:t>
      </w:r>
      <w:r w:rsidR="00DF1E64">
        <w:fldChar w:fldCharType="end"/>
      </w:r>
      <w:r w:rsidR="003E3635" w:rsidRPr="00166053">
        <w:t xml:space="preserve"> </w:t>
      </w:r>
      <w:r w:rsidR="00CE21A6">
        <w:t>(</w:t>
      </w:r>
      <w:r w:rsidR="00F625C0" w:rsidRPr="00F625C0">
        <w:t xml:space="preserve">see </w:t>
      </w:r>
      <w:r w:rsidR="00CE21A6" w:rsidRPr="00F625C0">
        <w:t>S</w:t>
      </w:r>
      <w:r w:rsidR="00F625C0" w:rsidRPr="00F625C0">
        <w:t xml:space="preserve">upporting </w:t>
      </w:r>
      <w:r w:rsidR="00CE21A6" w:rsidRPr="00F625C0">
        <w:t>I</w:t>
      </w:r>
      <w:r w:rsidR="00F625C0" w:rsidRPr="00F625C0">
        <w:t>nformation</w:t>
      </w:r>
      <w:r w:rsidR="00CE21A6">
        <w:t>)</w:t>
      </w:r>
      <w:r w:rsidR="00DC7F3D">
        <w:t xml:space="preserve">. </w:t>
      </w:r>
      <w:r w:rsidR="009956E5">
        <w:t xml:space="preserve">Despite </w:t>
      </w:r>
      <w:r w:rsidR="00950B88">
        <w:t xml:space="preserve">spatial </w:t>
      </w:r>
      <w:r w:rsidR="009956E5">
        <w:t xml:space="preserve">variability </w:t>
      </w:r>
      <w:r w:rsidR="00950B88">
        <w:t xml:space="preserve">in collection effort in both regions, we </w:t>
      </w:r>
      <w:r w:rsidR="004B5BA7">
        <w:t xml:space="preserve">used raw species counts to estimate </w:t>
      </w:r>
      <w:r w:rsidR="004B5BA7">
        <w:lastRenderedPageBreak/>
        <w:t>QDS-scale species richness on the basis that the application of rarefaction techniques severely distorts known richness patterns</w:t>
      </w:r>
      <w:r w:rsidR="003563D1">
        <w:t xml:space="preserve"> when applied to the South African flora</w:t>
      </w:r>
      <w:r w:rsidR="004B5BA7">
        <w:t xml:space="preserve"> (</w:t>
      </w:r>
      <w:r w:rsidR="00CB7719">
        <w:fldChar w:fldCharType="begin" w:fldLock="1"/>
      </w:r>
      <w:r w:rsidR="00A67894">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CB7719">
        <w:fldChar w:fldCharType="separate"/>
      </w:r>
      <w:r w:rsidR="00CB7719" w:rsidRPr="00CB7719">
        <w:rPr>
          <w:noProof/>
        </w:rPr>
        <w:t>Cramer &amp; Verboom</w:t>
      </w:r>
      <w:r w:rsidR="004B5BA7">
        <w:rPr>
          <w:noProof/>
        </w:rPr>
        <w:t>,</w:t>
      </w:r>
      <w:r w:rsidR="00455488">
        <w:rPr>
          <w:noProof/>
        </w:rPr>
        <w:t xml:space="preserve"> </w:t>
      </w:r>
      <w:r w:rsidR="00CB7719" w:rsidRPr="00CB7719">
        <w:rPr>
          <w:noProof/>
        </w:rPr>
        <w:t>2016)</w:t>
      </w:r>
      <w:r w:rsidR="00CB7719">
        <w:fldChar w:fldCharType="end"/>
      </w:r>
      <w:r w:rsidR="00B853C4">
        <w:t>.</w:t>
      </w:r>
      <w:r w:rsidR="00CF1908">
        <w:t xml:space="preserve"> </w:t>
      </w:r>
      <w:r>
        <w:t xml:space="preserve">The final </w:t>
      </w:r>
      <w:r w:rsidR="00CF1908">
        <w:t>number</w:t>
      </w:r>
      <w:r w:rsidR="003563D1">
        <w:t>s</w:t>
      </w:r>
      <w:r w:rsidR="00CF1908">
        <w:t xml:space="preserve"> of unique species </w:t>
      </w:r>
      <w:r w:rsidR="003563D1">
        <w:t xml:space="preserve">thus identified as occurring in the GCFR and SWAFR, respectively, </w:t>
      </w:r>
      <w:r>
        <w:t>w</w:t>
      </w:r>
      <w:r w:rsidR="00D61D4D">
        <w:t>ere</w:t>
      </w:r>
      <w:r>
        <w:t xml:space="preserve"> </w:t>
      </w:r>
      <w:r w:rsidR="007C04DE">
        <w:t>9</w:t>
      </w:r>
      <w:r w:rsidR="00DE66AC">
        <w:t>,</w:t>
      </w:r>
      <w:r w:rsidR="007C04DE">
        <w:t>419</w:t>
      </w:r>
      <w:r>
        <w:t xml:space="preserve"> and </w:t>
      </w:r>
      <w:r w:rsidR="00DE66AC">
        <w:t>6,</w:t>
      </w:r>
      <w:r w:rsidR="00CE3842">
        <w:t>696</w:t>
      </w:r>
      <w:r>
        <w:t>.</w:t>
      </w:r>
      <w:r w:rsidR="00841086">
        <w:t xml:space="preserve"> </w:t>
      </w:r>
      <w:r w:rsidR="00EF4036">
        <w:t>W</w:t>
      </w:r>
      <w:r w:rsidR="00841086">
        <w:t>e excluded occurrence data (and indeed environmental data, below) originating from coastal pixels at the 0.05</w:t>
      </w:r>
      <w:r w:rsidR="00841086">
        <w:rPr>
          <w:rFonts w:cstheme="majorBidi"/>
        </w:rPr>
        <w:t>° resolution</w:t>
      </w:r>
      <w:r w:rsidR="00D52E5F">
        <w:rPr>
          <w:rFonts w:cstheme="majorBidi"/>
        </w:rPr>
        <w:t>. This excluded coastal/dunal vegetation from our analyses</w:t>
      </w:r>
      <w:r w:rsidR="008D72BF">
        <w:rPr>
          <w:rFonts w:cstheme="majorBidi"/>
        </w:rPr>
        <w:t xml:space="preserve">, due to the floristic and environmental dissimilarity of these areas from the </w:t>
      </w:r>
      <w:r w:rsidR="00F81A7C">
        <w:rPr>
          <w:rFonts w:cstheme="majorBidi"/>
        </w:rPr>
        <w:t>“</w:t>
      </w:r>
      <w:r w:rsidR="008D72BF">
        <w:rPr>
          <w:rFonts w:cstheme="majorBidi"/>
        </w:rPr>
        <w:t>core</w:t>
      </w:r>
      <w:r w:rsidR="00F81A7C">
        <w:rPr>
          <w:rFonts w:cstheme="majorBidi"/>
        </w:rPr>
        <w:t>”</w:t>
      </w:r>
      <w:r w:rsidR="008D72BF">
        <w:rPr>
          <w:rFonts w:cstheme="majorBidi"/>
        </w:rPr>
        <w:t xml:space="preserve"> sclerophyllous flora under </w:t>
      </w:r>
      <w:r w:rsidR="00F81A7C">
        <w:rPr>
          <w:rFonts w:cstheme="majorBidi"/>
        </w:rPr>
        <w:t xml:space="preserve">our </w:t>
      </w:r>
      <w:r w:rsidR="008D72BF">
        <w:rPr>
          <w:rFonts w:cstheme="majorBidi"/>
        </w:rPr>
        <w:t>consideration</w:t>
      </w:r>
      <w:r w:rsidR="00841086">
        <w:rPr>
          <w:rFonts w:cstheme="majorBidi"/>
        </w:rPr>
        <w:t>.</w:t>
      </w:r>
      <w:r w:rsidR="00007FFD" w:rsidRPr="00007FFD">
        <w:t xml:space="preserve"> </w:t>
      </w:r>
      <w:r w:rsidR="00007FFD">
        <w:t>To compare species richness across equally sized areas, we only made comparisons between squares consisting of all four sub-squares (e.g. four QDS in an HDS).</w:t>
      </w:r>
      <w:r w:rsidR="0070389E">
        <w:t xml:space="preserve"> Thus, we retained </w:t>
      </w:r>
      <w:r w:rsidR="0070389E" w:rsidRPr="0070389E">
        <w:t>362</w:t>
      </w:r>
      <w:r w:rsidR="0070389E">
        <w:t xml:space="preserve"> of ca. </w:t>
      </w:r>
      <w:r w:rsidR="0070389E" w:rsidRPr="0070389E">
        <w:t>449</w:t>
      </w:r>
      <w:r w:rsidR="0070389E">
        <w:t xml:space="preserve"> QDS in the GCFR and </w:t>
      </w:r>
      <w:r w:rsidR="0070389E" w:rsidRPr="0070389E">
        <w:t>624</w:t>
      </w:r>
      <w:r w:rsidR="0070389E">
        <w:t xml:space="preserve"> of ca. </w:t>
      </w:r>
      <w:r w:rsidR="0070389E" w:rsidRPr="0070389E">
        <w:t>737</w:t>
      </w:r>
      <w:r w:rsidR="0070389E">
        <w:t xml:space="preserve"> in the SWAFR (ca. 81% and 85% sampling, respectively).</w:t>
      </w:r>
    </w:p>
    <w:p w14:paraId="26664BCB" w14:textId="547BD870" w:rsidR="00FE0731" w:rsidRDefault="000F59F5" w:rsidP="00FE0731">
      <w:pPr>
        <w:pStyle w:val="FirstParagraph"/>
      </w:pPr>
      <w:r>
        <w:t>Using R</w:t>
      </w:r>
      <w:r w:rsidR="00293C78">
        <w:t xml:space="preserve">, </w:t>
      </w:r>
      <w:r w:rsidR="00C44DFF">
        <w:t>t</w:t>
      </w:r>
      <w:r w:rsidR="00A87D09">
        <w:t xml:space="preserve">he </w:t>
      </w:r>
      <w:r>
        <w:t xml:space="preserve">cleaned species occurrence record data were </w:t>
      </w:r>
      <w:r w:rsidR="002314C2">
        <w:t xml:space="preserve">collated into </w:t>
      </w:r>
      <w:r w:rsidR="00BF54E8">
        <w:t xml:space="preserve">QDS, </w:t>
      </w:r>
      <w:r w:rsidR="002314C2">
        <w:t>HDS</w:t>
      </w:r>
      <w:r w:rsidR="00BF54E8">
        <w:t xml:space="preserve"> and </w:t>
      </w:r>
      <w:r w:rsidR="002314C2">
        <w:t>DS</w:t>
      </w:r>
      <w:r w:rsidR="00E0178F">
        <w:t xml:space="preserve"> (sensu </w:t>
      </w:r>
      <w:r w:rsidR="00E0178F">
        <w:fldChar w:fldCharType="begin" w:fldLock="1"/>
      </w:r>
      <w:r w:rsidR="00080450">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et al., 2009)","manualFormatting":"Larsen, Holmern, Prager, Maliti, &amp; Røskaft, 2009","plainTextFormattedCitation":"(Larsen et al., 2009)","previouslyFormattedCitation":"(Larsen et al., 2009)"},"properties":{"noteIndex":0},"schema":"https://github.com/citation-style-language/schema/raw/master/csl-citation.json"}</w:instrText>
      </w:r>
      <w:r w:rsidR="00E0178F">
        <w:fldChar w:fldCharType="separate"/>
      </w:r>
      <w:r w:rsidR="00E0178F" w:rsidRPr="005B6901">
        <w:rPr>
          <w:noProof/>
        </w:rPr>
        <w:t>Larsen, Holmern, Prager, Maliti, &amp; Røskaft, 2009</w:t>
      </w:r>
      <w:r w:rsidR="00E0178F">
        <w:fldChar w:fldCharType="end"/>
      </w:r>
      <w:r w:rsidR="00E0178F">
        <w:t xml:space="preserve">; downloaded from </w:t>
      </w:r>
      <w:hyperlink r:id="rId12" w:history="1">
        <w:r w:rsidR="00E0178F" w:rsidRPr="00457946">
          <w:rPr>
            <w:rStyle w:val="Hyperlink"/>
          </w:rPr>
          <w:t>https://mindland.com/wp/projects/quarter-degree-grid-cells/download-qdgc/</w:t>
        </w:r>
      </w:hyperlink>
      <w:r w:rsidR="00E0178F">
        <w:t xml:space="preserve"> [Accessed 27 February, 2020])</w:t>
      </w:r>
      <w:r w:rsidR="00D04776">
        <w:t>.</w:t>
      </w:r>
      <w:r w:rsidR="00FC4F1F">
        <w:t xml:space="preserve"> </w:t>
      </w:r>
      <w:r>
        <w:t xml:space="preserve">In addition, </w:t>
      </w:r>
      <w:r w:rsidR="003562E3">
        <w:t xml:space="preserve">following </w:t>
      </w:r>
      <w:r w:rsidR="00E86968">
        <w:t>the</w:t>
      </w:r>
      <w:r w:rsidR="003562E3">
        <w:t xml:space="preserve"> additive decomposition </w:t>
      </w:r>
      <w:r w:rsidR="00E86968">
        <w:fldChar w:fldCharType="begin" w:fldLock="1"/>
      </w:r>
      <w:r w:rsidR="00404D92">
        <w:instrText>ADDIN CSL_CITATION {"citationItems":[{"id":"ITEM-1","itemData":{"author":[{"dropping-particle":"","family":"Veech","given":"Joseph A","non-dropping-particle":"","parse-names":false,"suffix":""},{"dropping-particle":"","family":"Summerville","given":"Keith S","non-dropping-particle":"","parse-names":false,"suffix":""},{"dropping-particle":"","family":"Crist","given":"Thomas O","non-dropping-particle":"","parse-names":false,"suffix":""},{"dropping-particle":"","family":"Gering","given":"Jon C","non-dropping-particle":"","parse-names":false,"suffix":""}],"container-title":"Oikos","id":"ITEM-1","issue":"1","issued":{"date-parts":[["2002"]]},"page":"3-9","publisher":"Wiley Online Library","title":"The additive partitioning of species diversity: recent revival of an old idea","type":"article-journal","volume":"99"},"uris":["http://www.mendeley.com/documents/?uuid=2ea4f1bf-1ab9-4f83-9a95-a391ff000ee4"]}],"mendeley":{"formattedCitation":"(Veech et al., 2002)","plainTextFormattedCitation":"(Veech et al., 2002)","previouslyFormattedCitation":"(Veech et al., 2002)"},"properties":{"noteIndex":0},"schema":"https://github.com/citation-style-language/schema/raw/master/csl-citation.json"}</w:instrText>
      </w:r>
      <w:r w:rsidR="00E86968">
        <w:fldChar w:fldCharType="separate"/>
      </w:r>
      <w:r w:rsidR="00404D92" w:rsidRPr="00404D92">
        <w:rPr>
          <w:noProof/>
        </w:rPr>
        <w:t>(Veech et al., 2002)</w:t>
      </w:r>
      <w:r w:rsidR="00E86968">
        <w:fldChar w:fldCharType="end"/>
      </w:r>
      <w:r w:rsidR="00E86968">
        <w:t xml:space="preserve"> </w:t>
      </w:r>
      <w:r w:rsidR="003562E3">
        <w:t xml:space="preserve">of </w:t>
      </w:r>
      <w:r w:rsidR="00E86968">
        <w:t xml:space="preserve">Whittaker’s </w:t>
      </w:r>
      <w:r w:rsidR="00E86968">
        <w:fldChar w:fldCharType="begin" w:fldLock="1"/>
      </w:r>
      <w:r w:rsidR="00E86968">
        <w:instrText>ADDIN CSL_CITATION {"citationItems":[{"id":"ITEM-1","itemData":{"author":[{"dropping-particle":"","family":"Whittaker","given":"Robert Harding","non-dropping-particle":"","parse-names":false,"suffix":""}],"container-title":"Ecological monographs","id":"ITEM-1","issue":"3","issued":{"date-parts":[["1960"]]},"page":"279-338","publisher":"Wiley Online Library","title":"Vegetation of the Siskiyou mountains, Oregon and California","type":"article-journal","volume":"30"},"uris":["http://www.mendeley.com/documents/?uuid=a7d18d57-2148-4e15-ab3a-dff8386c6d14"]}],"mendeley":{"formattedCitation":"(Whittaker, 1960)","manualFormatting":"(1960)","plainTextFormattedCitation":"(Whittaker, 1960)","previouslyFormattedCitation":"(Whittaker, 1960)"},"properties":{"noteIndex":0},"schema":"https://github.com/citation-style-language/schema/raw/master/csl-citation.json"}</w:instrText>
      </w:r>
      <w:r w:rsidR="00E86968">
        <w:fldChar w:fldCharType="separate"/>
      </w:r>
      <w:r w:rsidR="00E86968" w:rsidRPr="00E86968">
        <w:rPr>
          <w:noProof/>
        </w:rPr>
        <w:t>(1960)</w:t>
      </w:r>
      <w:r w:rsidR="00E86968">
        <w:fldChar w:fldCharType="end"/>
      </w:r>
      <w:r w:rsidR="00E86968">
        <w:t xml:space="preserve"> </w:t>
      </w:r>
      <w:r w:rsidR="003562E3" w:rsidRPr="003562E3">
        <w:rPr>
          <w:rFonts w:cstheme="majorBidi"/>
          <w:i/>
        </w:rPr>
        <w:t>γ</w:t>
      </w:r>
      <w:r w:rsidR="003562E3">
        <w:t xml:space="preserve">-diversity, we decomposed the </w:t>
      </w:r>
      <w:r>
        <w:t>species richness</w:t>
      </w:r>
      <w:r w:rsidR="00D04776">
        <w:t xml:space="preserve"> </w:t>
      </w:r>
      <w:r>
        <w:t xml:space="preserve">of </w:t>
      </w:r>
      <w:r w:rsidR="003562E3">
        <w:t>each</w:t>
      </w:r>
      <w:r>
        <w:t xml:space="preserve"> HDS</w:t>
      </w:r>
      <w:r w:rsidR="001B0959">
        <w:t xml:space="preserve"> </w:t>
      </w:r>
      <w:r w:rsidR="00F07BEC">
        <w:t>(</w:t>
      </w:r>
      <w:r w:rsidR="00BC5EDB" w:rsidRPr="00BC5EDB">
        <w:rPr>
          <w:i/>
        </w:rPr>
        <w:t>S</w:t>
      </w:r>
      <w:r w:rsidR="00BC5EDB">
        <w:rPr>
          <w:vertAlign w:val="subscript"/>
        </w:rPr>
        <w:t>HDS</w:t>
      </w:r>
      <w:r w:rsidR="00BC5EDB">
        <w:t xml:space="preserve">) </w:t>
      </w:r>
      <w:r w:rsidR="00B91619">
        <w:t>and DS (</w:t>
      </w:r>
      <w:r w:rsidR="00B91619" w:rsidRPr="00B91619">
        <w:rPr>
          <w:i/>
          <w:iCs/>
        </w:rPr>
        <w:t>S</w:t>
      </w:r>
      <w:r w:rsidR="00B91619" w:rsidRPr="00B91619">
        <w:rPr>
          <w:vertAlign w:val="subscript"/>
        </w:rPr>
        <w:t>DS</w:t>
      </w:r>
      <w:r w:rsidR="00B91619">
        <w:t xml:space="preserve">) </w:t>
      </w:r>
      <w:r w:rsidR="00F07BEC">
        <w:rPr>
          <w:rFonts w:eastAsiaTheme="minorEastAsia"/>
        </w:rPr>
        <w:t>i</w:t>
      </w:r>
      <w:r w:rsidR="003562E3">
        <w:t xml:space="preserve">nto its </w:t>
      </w:r>
      <w:r w:rsidR="003562E3" w:rsidRPr="003562E3">
        <w:rPr>
          <w:rFonts w:cstheme="majorBidi"/>
          <w:i/>
        </w:rPr>
        <w:t>α</w:t>
      </w:r>
      <w:r w:rsidR="003562E3">
        <w:rPr>
          <w:rFonts w:cstheme="majorBidi"/>
        </w:rPr>
        <w:t xml:space="preserve"> </w:t>
      </w:r>
      <w:r w:rsidR="00F07BEC">
        <w:rPr>
          <w:rFonts w:cstheme="majorBidi"/>
        </w:rPr>
        <w:t>(</w:t>
      </w:r>
      <w:r w:rsidR="00800FA8">
        <w:rPr>
          <w:rFonts w:cstheme="majorBidi"/>
        </w:rPr>
        <w:t>“</w:t>
      </w:r>
      <w:r w:rsidR="00F07BEC">
        <w:rPr>
          <w:rFonts w:cstheme="majorBidi"/>
        </w:rPr>
        <w:t>p</w:t>
      </w:r>
      <w:r w:rsidR="00800FA8">
        <w:rPr>
          <w:rFonts w:cstheme="majorBidi"/>
        </w:rPr>
        <w:t>lot”</w:t>
      </w:r>
      <w:r w:rsidR="00F07BEC">
        <w:rPr>
          <w:rFonts w:cstheme="majorBidi"/>
        </w:rPr>
        <w:t xml:space="preserve"> richness) </w:t>
      </w:r>
      <w:r w:rsidR="003562E3">
        <w:rPr>
          <w:rFonts w:cstheme="majorBidi"/>
        </w:rPr>
        <w:t xml:space="preserve">and </w:t>
      </w:r>
      <w:r w:rsidR="003562E3" w:rsidRPr="003562E3">
        <w:rPr>
          <w:rFonts w:cstheme="majorBidi"/>
          <w:i/>
        </w:rPr>
        <w:t>β</w:t>
      </w:r>
      <w:r w:rsidR="001B0959">
        <w:rPr>
          <w:rFonts w:cstheme="majorBidi"/>
        </w:rPr>
        <w:t xml:space="preserve"> </w:t>
      </w:r>
      <w:r w:rsidR="00F07BEC">
        <w:rPr>
          <w:rFonts w:cstheme="majorBidi"/>
        </w:rPr>
        <w:t xml:space="preserve">(turnover) </w:t>
      </w:r>
      <w:r w:rsidR="001B0959">
        <w:rPr>
          <w:rFonts w:cstheme="majorBidi"/>
        </w:rPr>
        <w:t>components</w:t>
      </w:r>
      <w:r w:rsidR="00F07BEC">
        <w:rPr>
          <w:rFonts w:cstheme="majorBidi"/>
        </w:rPr>
        <w:t xml:space="preserve">, </w:t>
      </w:r>
      <w:r w:rsidR="00364F0A">
        <w:rPr>
          <w:rFonts w:cstheme="majorBidi"/>
        </w:rPr>
        <w:t>using the equation</w:t>
      </w:r>
      <w:r w:rsidR="00FE0731">
        <w:rPr>
          <w:rFonts w:cstheme="majorBidi"/>
        </w:rPr>
        <w:t>s</w:t>
      </w:r>
    </w:p>
    <w:p w14:paraId="037F7D6A" w14:textId="191A9F0A" w:rsidR="00FE0731" w:rsidRPr="00FE0731" w:rsidRDefault="00F351D8"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HDS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QDS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QDS</m:t>
              </m:r>
            </m:sub>
          </m:sSub>
        </m:oMath>
      </m:oMathPara>
    </w:p>
    <w:p w14:paraId="5E14789F" w14:textId="3787E63B" w:rsidR="00FE0731" w:rsidRPr="00FE0731" w:rsidRDefault="00F351D8"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HDS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HDS</m:t>
              </m:r>
            </m:sub>
          </m:sSub>
        </m:oMath>
      </m:oMathPara>
    </w:p>
    <w:p w14:paraId="7E2DAD40" w14:textId="4F360D7C" w:rsidR="00364F0A" w:rsidRPr="00B6436E" w:rsidRDefault="00364F0A" w:rsidP="008A4E97">
      <w:pPr>
        <w:pStyle w:val="FirstParagraph"/>
        <w:rPr>
          <w:rFonts w:eastAsiaTheme="minorEastAsia"/>
        </w:rPr>
      </w:pPr>
      <w:r>
        <w:t xml:space="preserve">where </w:t>
      </w:r>
      <m:oMath>
        <m:bar>
          <m:barPr>
            <m:pos m:val="top"/>
            <m:ctrlPr>
              <w:rPr>
                <w:rFonts w:ascii="Cambria Math" w:hAnsi="Cambria Math"/>
              </w:rPr>
            </m:ctrlPr>
          </m:barPr>
          <m:e>
            <m:r>
              <w:rPr>
                <w:rFonts w:ascii="Cambria Math" w:hAnsi="Cambria Math"/>
              </w:rPr>
              <m:t>S</m:t>
            </m:r>
          </m:e>
        </m:bar>
      </m:oMath>
      <w:r w:rsidR="00BC5EDB">
        <w:rPr>
          <w:rFonts w:eastAsiaTheme="minorEastAsia"/>
          <w:vertAlign w:val="subscript"/>
        </w:rPr>
        <w:t>QDS</w:t>
      </w:r>
      <w:r>
        <w:t xml:space="preserve"> </w:t>
      </w:r>
      <w:r w:rsidR="00EF6C4B">
        <w:t xml:space="preserve">and </w:t>
      </w:r>
      <m:oMath>
        <m:bar>
          <m:barPr>
            <m:pos m:val="top"/>
            <m:ctrlPr>
              <w:rPr>
                <w:rFonts w:ascii="Cambria Math" w:hAnsi="Cambria Math"/>
              </w:rPr>
            </m:ctrlPr>
          </m:barPr>
          <m:e>
            <m:r>
              <w:rPr>
                <w:rFonts w:ascii="Cambria Math" w:hAnsi="Cambria Math"/>
              </w:rPr>
              <m:t>S</m:t>
            </m:r>
          </m:e>
        </m:bar>
      </m:oMath>
      <w:r w:rsidR="00EF6C4B">
        <w:rPr>
          <w:rFonts w:eastAsiaTheme="minorEastAsia"/>
          <w:vertAlign w:val="subscript"/>
        </w:rPr>
        <w:t>HDS</w:t>
      </w:r>
      <w:r w:rsidR="00EF6C4B">
        <w:t xml:space="preserve"> are</w:t>
      </w:r>
      <w:r>
        <w:t xml:space="preserve"> the average species richness of the four constituent </w:t>
      </w:r>
      <w:r w:rsidR="00E42645">
        <w:t xml:space="preserve">squares </w:t>
      </w:r>
      <w:r w:rsidR="00D50517">
        <w:t>in each HDS and DS</w:t>
      </w:r>
      <w:r w:rsidR="003563D1">
        <w:t>,</w:t>
      </w:r>
      <w:r w:rsidR="00D50517">
        <w:t xml:space="preserve"> respectively (i.e.</w:t>
      </w:r>
      <w:r w:rsidR="003563D1">
        <w:t xml:space="preserve"> mean</w:t>
      </w:r>
      <w:r w:rsidR="00D50517">
        <w:t xml:space="preserve"> </w:t>
      </w:r>
      <w:r w:rsidR="00D50517" w:rsidRPr="003562E3">
        <w:rPr>
          <w:rFonts w:cstheme="majorBidi"/>
          <w:i/>
        </w:rPr>
        <w:t>α</w:t>
      </w:r>
      <w:r w:rsidR="003563D1">
        <w:rPr>
          <w:rFonts w:cstheme="majorBidi"/>
        </w:rPr>
        <w:t xml:space="preserve"> richness</w:t>
      </w:r>
      <w:r w:rsidR="00D50517" w:rsidRPr="00D50517">
        <w:rPr>
          <w:rFonts w:cstheme="majorBidi"/>
        </w:rPr>
        <w:t>)</w:t>
      </w:r>
      <w:r w:rsidR="00EB1A1E">
        <w:t>,</w:t>
      </w:r>
      <w:r>
        <w:t xml:space="preserve"> and</w:t>
      </w:r>
      <w:r w:rsidR="00BC5EDB">
        <w:t xml:space="preserve"> </w:t>
      </w:r>
      <w:r w:rsidR="00BC5EDB">
        <w:rPr>
          <w:i/>
        </w:rPr>
        <w:t>T</w:t>
      </w:r>
      <w:r w:rsidR="00BC5EDB">
        <w:rPr>
          <w:vertAlign w:val="subscript"/>
        </w:rPr>
        <w:t>QDS</w:t>
      </w:r>
      <w:r w:rsidR="00BC5EDB">
        <w:t xml:space="preserve"> </w:t>
      </w:r>
      <w:r w:rsidR="00D50517">
        <w:t xml:space="preserve">and </w:t>
      </w:r>
      <w:r w:rsidR="00D50517" w:rsidRPr="00D50517">
        <w:rPr>
          <w:i/>
        </w:rPr>
        <w:t>T</w:t>
      </w:r>
      <w:r w:rsidR="00D50517">
        <w:rPr>
          <w:vertAlign w:val="subscript"/>
        </w:rPr>
        <w:t>HDS</w:t>
      </w:r>
      <w:r w:rsidR="00D50517">
        <w:t xml:space="preserve"> represent</w:t>
      </w:r>
      <w:r>
        <w:t xml:space="preserve"> </w:t>
      </w:r>
      <w:r w:rsidR="003D65D2">
        <w:t xml:space="preserve">the residual (i.e. turnover-based) </w:t>
      </w:r>
      <w:r w:rsidR="009D7AE2" w:rsidRPr="003562E3">
        <w:rPr>
          <w:rFonts w:cstheme="majorBidi"/>
          <w:i/>
        </w:rPr>
        <w:t>β</w:t>
      </w:r>
      <w:r w:rsidR="009D7AE2">
        <w:t xml:space="preserve"> </w:t>
      </w:r>
      <w:r w:rsidR="003D65D2">
        <w:t xml:space="preserve">richness, </w:t>
      </w:r>
      <w:r>
        <w:t>determined as</w:t>
      </w:r>
      <w:r w:rsidR="00BC5EDB">
        <w:t xml:space="preserve"> </w:t>
      </w:r>
      <w:r w:rsidR="00293F2E" w:rsidRPr="003562E3">
        <w:rPr>
          <w:rFonts w:cstheme="majorBidi"/>
          <w:i/>
        </w:rPr>
        <w:t>γ</w:t>
      </w:r>
      <w:r w:rsidR="00FE0731">
        <w:t xml:space="preserve"> </w:t>
      </w:r>
      <w:r w:rsidR="00FE0731">
        <w:rPr>
          <w:rFonts w:ascii="Cambria Math" w:hAnsi="Cambria Math"/>
        </w:rPr>
        <w:t xml:space="preserve">− </w:t>
      </w:r>
      <w:r w:rsidR="00293F2E" w:rsidRPr="003562E3">
        <w:rPr>
          <w:rFonts w:cstheme="majorBidi"/>
          <w:i/>
        </w:rPr>
        <w:t>α</w:t>
      </w:r>
      <w:r>
        <w:rPr>
          <w:rFonts w:eastAsiaTheme="minorEastAsia"/>
        </w:rPr>
        <w:t>.</w:t>
      </w:r>
      <w:r w:rsidR="00C76FCB">
        <w:rPr>
          <w:rFonts w:eastAsiaTheme="minorEastAsia"/>
        </w:rPr>
        <w:t xml:space="preserve"> These data were compared between the GCFR and SWAFR using</w:t>
      </w:r>
      <w:r w:rsidR="00C76FCB" w:rsidRPr="00C76FCB">
        <w:rPr>
          <w:rFonts w:eastAsiaTheme="minorEastAsia"/>
        </w:rPr>
        <w:t xml:space="preserve"> common language effect sizes (</w:t>
      </w:r>
      <w:r w:rsidR="00C76FCB" w:rsidRPr="00C76FCB">
        <w:rPr>
          <w:rFonts w:eastAsiaTheme="minorEastAsia"/>
          <w:i/>
          <w:iCs/>
        </w:rPr>
        <w:t>CLES</w:t>
      </w:r>
      <w:r w:rsidR="00C76FCB" w:rsidRPr="00C76FCB">
        <w:rPr>
          <w:rFonts w:eastAsiaTheme="minorEastAsia"/>
        </w:rPr>
        <w:t xml:space="preserve">) using the R package “canprot” (Dick, 2017). The </w:t>
      </w:r>
      <w:r w:rsidR="00C76FCB" w:rsidRPr="00C76FCB">
        <w:rPr>
          <w:rFonts w:eastAsiaTheme="minorEastAsia"/>
          <w:i/>
          <w:iCs/>
        </w:rPr>
        <w:t>CLES</w:t>
      </w:r>
      <w:r w:rsidR="00C76FCB" w:rsidRPr="00C76FCB">
        <w:rPr>
          <w:rFonts w:eastAsiaTheme="minorEastAsia"/>
        </w:rPr>
        <w:t xml:space="preserve"> is the proportion of all pairwise comparisons of a variable between two categories in which the value in one category exceeds that in the other. Additionally, we tested for differences in regional </w:t>
      </w:r>
      <w:r w:rsidR="00C76FCB" w:rsidRPr="003562E3">
        <w:rPr>
          <w:rFonts w:cstheme="majorBidi"/>
          <w:i/>
        </w:rPr>
        <w:t>α</w:t>
      </w:r>
      <w:r w:rsidR="00C76FCB">
        <w:rPr>
          <w:rFonts w:cstheme="majorBidi"/>
          <w:iCs/>
        </w:rPr>
        <w:t>-values</w:t>
      </w:r>
      <w:r w:rsidR="00C76FCB" w:rsidRPr="00C76FCB">
        <w:rPr>
          <w:rFonts w:cstheme="majorBidi"/>
          <w:iCs/>
        </w:rPr>
        <w:t xml:space="preserve"> and</w:t>
      </w:r>
      <w:r w:rsidR="00C76FCB">
        <w:rPr>
          <w:rFonts w:eastAsiaTheme="minorEastAsia"/>
        </w:rPr>
        <w:t xml:space="preserve"> </w:t>
      </w:r>
      <w:r w:rsidR="00C76FCB" w:rsidRPr="003562E3">
        <w:rPr>
          <w:rFonts w:cstheme="majorBidi"/>
          <w:i/>
        </w:rPr>
        <w:t>β</w:t>
      </w:r>
      <w:r w:rsidR="00C76FCB" w:rsidRPr="00C76FCB">
        <w:rPr>
          <w:rFonts w:cstheme="majorBidi"/>
          <w:iCs/>
        </w:rPr>
        <w:t>/</w:t>
      </w:r>
      <w:r w:rsidR="00C76FCB" w:rsidRPr="00C76FCB">
        <w:rPr>
          <w:rFonts w:cstheme="majorBidi"/>
          <w:i/>
        </w:rPr>
        <w:t>γ</w:t>
      </w:r>
      <w:r w:rsidR="00C76FCB" w:rsidRPr="00C76FCB">
        <w:rPr>
          <w:rFonts w:eastAsiaTheme="minorEastAsia"/>
        </w:rPr>
        <w:t>-</w:t>
      </w:r>
      <w:r w:rsidR="00C76FCB">
        <w:rPr>
          <w:rFonts w:eastAsiaTheme="minorEastAsia"/>
        </w:rPr>
        <w:t xml:space="preserve">proportions </w:t>
      </w:r>
      <w:r w:rsidR="00C76FCB" w:rsidRPr="00C76FCB">
        <w:rPr>
          <w:rFonts w:eastAsiaTheme="minorEastAsia"/>
        </w:rPr>
        <w:t xml:space="preserve">using two-sided Mann-Whitney </w:t>
      </w:r>
      <w:r w:rsidR="00C76FCB" w:rsidRPr="00C76FCB">
        <w:rPr>
          <w:rFonts w:eastAsiaTheme="minorEastAsia"/>
          <w:i/>
          <w:iCs/>
        </w:rPr>
        <w:t>U</w:t>
      </w:r>
      <w:r w:rsidR="00C76FCB" w:rsidRPr="00C76FCB">
        <w:rPr>
          <w:rFonts w:eastAsiaTheme="minorEastAsia"/>
        </w:rPr>
        <w:t xml:space="preserve">-tests as implemented in R, in the face of non-normally distributed </w:t>
      </w:r>
      <w:r w:rsidR="00C76FCB">
        <w:rPr>
          <w:rFonts w:eastAsiaTheme="minorEastAsia"/>
        </w:rPr>
        <w:t>data</w:t>
      </w:r>
      <w:r w:rsidR="00C76FCB" w:rsidRPr="00C76FCB">
        <w:rPr>
          <w:rFonts w:eastAsiaTheme="minorEastAsia"/>
        </w:rPr>
        <w:t>.</w:t>
      </w:r>
    </w:p>
    <w:p w14:paraId="2FF2F365" w14:textId="2AD4CED2" w:rsidR="00DD2348" w:rsidRDefault="00970650" w:rsidP="008A4E97">
      <w:pPr>
        <w:pStyle w:val="Heading2"/>
        <w:spacing w:line="240" w:lineRule="auto"/>
      </w:pPr>
      <w:r>
        <w:t>2.2</w:t>
      </w:r>
      <w:r w:rsidR="00305C02">
        <w:t>:</w:t>
      </w:r>
      <w:r>
        <w:t xml:space="preserve"> </w:t>
      </w:r>
      <w:r w:rsidR="005F0FFB">
        <w:t>Comparing environmental heterogeneity</w:t>
      </w:r>
      <w:bookmarkEnd w:id="4"/>
    </w:p>
    <w:p w14:paraId="16702F9A" w14:textId="39B94BC5" w:rsidR="00DD2348" w:rsidRDefault="00B6082F" w:rsidP="008A4E97">
      <w:pPr>
        <w:pStyle w:val="FirstParagraph"/>
      </w:pPr>
      <w:r>
        <w:t>T</w:t>
      </w:r>
      <w:r w:rsidR="005F0FFB">
        <w:t xml:space="preserve">o compare </w:t>
      </w:r>
      <w:r w:rsidR="007948F4">
        <w:t>environmental heterogeneity</w:t>
      </w:r>
      <w:r w:rsidR="005F0FFB">
        <w:t xml:space="preserve"> </w:t>
      </w:r>
      <w:r>
        <w:t>between the GCFR and SWAFR,</w:t>
      </w:r>
      <w:r w:rsidR="005F0FFB">
        <w:t xml:space="preserve"> we acquired a suite of </w:t>
      </w:r>
      <w:r w:rsidR="00E37201">
        <w:t xml:space="preserve">nine </w:t>
      </w:r>
      <w:r w:rsidR="005F0FFB">
        <w:t xml:space="preserve">geospatially-explicit environmental </w:t>
      </w:r>
      <w:r w:rsidR="00E37201">
        <w:t>variables</w:t>
      </w:r>
      <w:r w:rsidR="005F0FFB">
        <w:t xml:space="preserve"> </w:t>
      </w:r>
      <w:r w:rsidR="00E37201">
        <w:t>(Table S</w:t>
      </w:r>
      <w:r w:rsidR="00E37201" w:rsidRPr="00E17D52">
        <w:t>1</w:t>
      </w:r>
      <w:r w:rsidR="00E37201">
        <w:t xml:space="preserve">) </w:t>
      </w:r>
      <w:r w:rsidR="005F0FFB">
        <w:t>in the form of raster layers</w:t>
      </w:r>
      <w:r w:rsidR="00E37201">
        <w:t xml:space="preserve"> </w:t>
      </w:r>
      <w:r w:rsidR="00086052">
        <w:t xml:space="preserve">to </w:t>
      </w:r>
      <w:r w:rsidR="007612C7">
        <w:t>represent</w:t>
      </w:r>
      <w:r w:rsidR="00E25251">
        <w:t xml:space="preserve"> topographic (elevation), climatic (surface </w:t>
      </w:r>
      <w:r w:rsidR="0001614C">
        <w:t>temperature (T)</w:t>
      </w:r>
      <w:r w:rsidR="00E25251">
        <w:t xml:space="preserve">, </w:t>
      </w:r>
      <w:r w:rsidR="0001614C">
        <w:t>mean annual precipitation (MAP)</w:t>
      </w:r>
      <w:r w:rsidR="00E25251">
        <w:t xml:space="preserve">, </w:t>
      </w:r>
      <w:r w:rsidR="0001614C">
        <w:t>precipitation in the driest quarter (</w:t>
      </w:r>
      <w:r w:rsidR="00E25251">
        <w:t>PDQ)</w:t>
      </w:r>
      <w:r w:rsidR="0001614C">
        <w:t>)</w:t>
      </w:r>
      <w:r w:rsidR="00E25251">
        <w:t xml:space="preserve">, edaphic (clay content, soil </w:t>
      </w:r>
      <w:r w:rsidR="001A3128">
        <w:t>carbon (</w:t>
      </w:r>
      <w:r w:rsidR="00E25251">
        <w:t>C</w:t>
      </w:r>
      <w:r w:rsidR="001A3128">
        <w:t>)</w:t>
      </w:r>
      <w:r w:rsidR="00E25251">
        <w:t>, pH,</w:t>
      </w:r>
      <w:r w:rsidR="00622FE8">
        <w:t xml:space="preserve"> cation exchange capacity</w:t>
      </w:r>
      <w:r w:rsidR="00E25251">
        <w:t xml:space="preserve"> </w:t>
      </w:r>
      <w:r w:rsidR="00622FE8">
        <w:t>(</w:t>
      </w:r>
      <w:r w:rsidR="00E25251">
        <w:t>CEC</w:t>
      </w:r>
      <w:r w:rsidR="00622FE8">
        <w:t>)</w:t>
      </w:r>
      <w:r w:rsidR="00E25251">
        <w:t>) and vegetational gradients</w:t>
      </w:r>
      <w:r w:rsidR="004A4D21">
        <w:t xml:space="preserve"> (</w:t>
      </w:r>
      <w:r w:rsidR="004A4D21" w:rsidRPr="00840830">
        <w:t>normalized difference vegetation index;</w:t>
      </w:r>
      <w:r w:rsidR="004A4D21">
        <w:t xml:space="preserve"> NDVI)</w:t>
      </w:r>
      <w:r w:rsidR="00E25251">
        <w:t xml:space="preserve">. </w:t>
      </w:r>
      <w:r w:rsidR="00086052">
        <w:t xml:space="preserve">As far as possible, these variables were selected to represent environmental axes which are </w:t>
      </w:r>
      <w:r w:rsidR="00086052" w:rsidRPr="00793AD5">
        <w:t>considered regionally important</w:t>
      </w:r>
      <w:r w:rsidR="004066C3" w:rsidRPr="00793AD5">
        <w:t xml:space="preserve"> and </w:t>
      </w:r>
      <w:r w:rsidR="0062793F" w:rsidRPr="00793AD5">
        <w:t>i</w:t>
      </w:r>
      <w:r w:rsidR="004066C3" w:rsidRPr="00793AD5">
        <w:t>ndependent</w:t>
      </w:r>
      <w:r w:rsidR="00780F37">
        <w:t xml:space="preserve"> (see Figure S</w:t>
      </w:r>
      <w:r w:rsidR="00780F37" w:rsidRPr="009A4D83">
        <w:t>1–3</w:t>
      </w:r>
      <w:r w:rsidR="00780F37">
        <w:t>)</w:t>
      </w:r>
      <w:r w:rsidR="00086052">
        <w:t xml:space="preserve">. For example, the inclusion of PDQ in addition to MAP is justified on the basis that, where the </w:t>
      </w:r>
      <w:r w:rsidR="00657049">
        <w:t xml:space="preserve">latter </w:t>
      </w:r>
      <w:r w:rsidR="00086052">
        <w:t>captures variation in overall rainfall amount, the former measures the intensity of seasonal aridity</w:t>
      </w:r>
      <w:r w:rsidR="00FA10B3">
        <w:t xml:space="preserve">, </w:t>
      </w:r>
      <w:r w:rsidR="00086052">
        <w:t xml:space="preserve">a key feature of </w:t>
      </w:r>
      <w:r w:rsidR="003B10FC">
        <w:t xml:space="preserve">mediterranean-type climates </w:t>
      </w:r>
      <w:r w:rsidR="005A134B">
        <w:fldChar w:fldCharType="begin" w:fldLock="1"/>
      </w:r>
      <w:r w:rsidR="00404D92">
        <w:instrText>ADDIN CSL_CITATION {"citationItems":[{"id":"ITEM-1","itemData":{"author":[{"dropping-particle":"","family":"Belda","given":"Michal","non-dropping-particle":"","parse-names":false,"suffix":""},{"dropping-particle":"","family":"Holtanová","given":"Eva","non-dropping-particle":"","parse-names":false,"suffix":""},{"dropping-particle":"","family":"Halenka","given":"Tomáš","non-dropping-particle":"","parse-names":false,"suffix":""},{"dropping-particle":"","family":"Kalvová","given":"Jaroslava","non-dropping-particle":"","parse-names":false,"suffix":""}],"container-title":"Climate research","id":"ITEM-1","issue":"1","issued":{"date-parts":[["2014"]]},"page":"1-13","title":"Climate classification revisited: from Köppen to Trewartha","type":"article-journal","volume":"59"},"uris":["http://www.mendeley.com/documents/?uuid=da8a6dfa-f238-4b9d-b3f7-a002f40c23ad","http://www.mendeley.com/documents/?uuid=8635b6af-e71d-46e4-8923-4039bc4c382c","http://www.mendeley.com/documents/?uuid=abcf0486-a6e8-4896-b162-21948a96c9f3"]}],"mendeley":{"formattedCitation":"(Belda et al., 2014)","plainTextFormattedCitation":"(Belda et al., 2014)","previouslyFormattedCitation":"(Belda et al., 2014)"},"properties":{"noteIndex":0},"schema":"https://github.com/citation-style-language/schema/raw/master/csl-citation.json"}</w:instrText>
      </w:r>
      <w:r w:rsidR="005A134B">
        <w:fldChar w:fldCharType="separate"/>
      </w:r>
      <w:r w:rsidR="00404D92" w:rsidRPr="00404D92">
        <w:rPr>
          <w:noProof/>
        </w:rPr>
        <w:t>(Belda et al., 2014)</w:t>
      </w:r>
      <w:r w:rsidR="005A134B">
        <w:fldChar w:fldCharType="end"/>
      </w:r>
      <w:r w:rsidR="003B10FC">
        <w:t xml:space="preserve">. Variable selection was, however, constrained by the availability of suitable raster-layers. Thus, although soil </w:t>
      </w:r>
      <w:r w:rsidR="002930EF">
        <w:t>phosphorus concentrations (</w:t>
      </w:r>
      <w:r w:rsidR="003B10FC">
        <w:t>[P]</w:t>
      </w:r>
      <w:r w:rsidR="002930EF">
        <w:rPr>
          <w:vertAlign w:val="subscript"/>
        </w:rPr>
        <w:t>soil</w:t>
      </w:r>
      <w:r w:rsidR="002930EF">
        <w:t>)</w:t>
      </w:r>
      <w:r w:rsidR="003B10FC">
        <w:t xml:space="preserve"> is probably an important determinant of plant distribution in both the GCFR and SWAFR </w:t>
      </w:r>
      <w:r w:rsidR="00EF14C9">
        <w:fldChar w:fldCharType="begin" w:fldLock="1"/>
      </w:r>
      <w:r w:rsidR="00404D92">
        <w:instrText>ADDIN CSL_CITATION {"citationItems":[{"id":"ITEM-1","itemData":{"DOI":"10.1093/aob/mcl114","ISBN":"0305-7364","ISSN":"03057364","PMID":"16769731","abstract":"BACKGROUND: Global phosphorus (P) reserves are being depleted, with half-depletion predicted to occur between 2040 and 2060. Most of the P applied in fertilizers may be sorbed by soil, and not be available for plants lacking specific adaptations. On the severely P-impoverished soils of south-western Australia and the Cape region in South Africa, non-mycorrhizal species exhibit highly effective adaptations to acquire P. A wide range of these non-mycorrhizal species, belonging to two monocotyledonous and eight dicotyledonous families, produce root clusters. Non-mycorrhizal species with root clusters appear to be particularly effective at accessing P when its availability is extremely low.\\n\\nSCOPE: There is a need to develop crops that are highly effective at acquiring inorganic P (Pi) from P-sorbing soils. Traits such as those found in non-mycorrhizal root-cluster-bearing species in Australia, South Africa and other P-impoverished environments are highly desirable for future crops. Root clusters combine a specialized structure with a specialized metabolism. Native species with such traits could be domesticated or crossed with existing crop species. An alternative approach would be to develop future crops with root clusters based on knowledge of the genes involved in development and functioning of root clusters.\\n\\nCONCLUSIONS: Root clusters offer enormous potential for future research of both a fundamental and a strategic nature. New discoveries of the development and functioning of root clusters in both monocotyledonous and dicotyledonous families are essential to produce new crops with superior P-acquisition traits.","author":[{"dropping-particle":"","family":"Lambers","given":"Hans","non-dropping-particle":"","parse-names":false,"suffix":""},{"dropping-particle":"","family":"Shane","given":"Michael W.","non-dropping-particle":"","parse-names":false,"suffix":""},{"dropping-particle":"","family":"Cramer","given":"Michael D.","non-dropping-particle":"","parse-names":false,"suffix":""},{"dropping-particle":"","family":"Pearse","given":"Stuart J.","non-dropping-particle":"","parse-names":false,"suffix":""},{"dropping-particle":"","family":"Veneklaas","given":"Erik J.","non-dropping-particle":"","parse-names":false,"suffix":""}],"container-title":"Annals of Botany","id":"ITEM-1","issue":"4","issued":{"date-parts":[["2006"]]},"page":"693-713","title":"Root structure and functioning for efficient acquisition of phosphorus: Matching morphological and physiological traits","type":"article-journal","volume":"98"},"uris":["http://www.mendeley.com/documents/?uuid=c6eea57f-2450-4bb0-aa5d-41be7c9fb4c5"]},{"id":"ITEM-2","itemData":{"author":[{"dropping-particle":"","family":"Shane","given":"Michael W","non-dropping-particle":"","parse-names":false,"suffix":""},{"dropping-particle":"","family":"Cramer","given":"Michael D","non-dropping-particle":"","parse-names":false,"suffix":""},{"dropping-particle":"","family":"Lambers","given":"Hans","non-dropping-particle":"","parse-names":false,"suffix":""}],"container-title":"Plant, Cell &amp; Environment","id":"ITEM-2","issue":"12","issued":{"date-parts":[["2008"]]},"page":"1825-1833","publisher":"Wiley Online Library","title":"Root of edaphically controlled Proteaceae turnover on the Agulhas Plain, South Africa: phosphate uptake regulation and growth","type":"article-journal","volume":"31"},"uris":["http://www.mendeley.com/documents/?uuid=774d3bbd-c880-4ef3-919f-dd6c1c9dce71","http://www.mendeley.com/documents/?uuid=50c6d25a-39d1-4f56-a492-a31d47ae8a3f","http://www.mendeley.com/documents/?uuid=7ab9b766-47cd-40c7-b869-4e8229e49499"]},{"id":"ITEM-3","itemData":{"DOI":"10.1007/s11104-010-0444-9","ISSN":"0032-079X","author":[{"dropping-particle":"","family":"Lambers","given":"Hans","non-dropping-particle":"","parse-names":false,"suffix":""},{"dropping-particle":"","family":"Brundrett","given":"Mark C.","non-dropping-particle":"","parse-names":false,"suffix":""},{"dropping-particle":"","family":"Raven","given":"John A.","non-dropping-particle":"","parse-names":false,"suffix":""},{"dropping-particle":"","family":"Hopper","given":"Stephen D.","non-dropping-particle":"","parse-names":false,"suffix":""}],"container-title":"Plant and Soil","id":"ITEM-3","issue":"1-2","issued":{"date-parts":[["2010","9","9"]]},"page":"11-31","publisher":"Springer Netherlands","title":"Plant mineral nutrition in ancient landscapes: high plant species diversity on infertile soils is linked to functional diversity for nutritional strategies","type":"article-journal","volume":"334"},"uris":["http://www.mendeley.com/documents/?uuid=0edaca43-1ed2-3899-a042-e4ff94ad1a74"]}],"mendeley":{"formattedCitation":"(Lambers et al., 2006, 2010; Shane et al., 2008)","plainTextFormattedCitation":"(Lambers et al., 2006, 2010; Shane et al., 2008)","previouslyFormattedCitation":"(Lambers et al., 2006, 2010; Shane et al., 2008)"},"properties":{"noteIndex":0},"schema":"https://github.com/citation-style-language/schema/raw/master/csl-citation.json"}</w:instrText>
      </w:r>
      <w:r w:rsidR="00EF14C9">
        <w:fldChar w:fldCharType="separate"/>
      </w:r>
      <w:r w:rsidR="00404D92" w:rsidRPr="00404D92">
        <w:rPr>
          <w:noProof/>
        </w:rPr>
        <w:t>(Lambers et al., 2006, 2010; Shane et al., 2008)</w:t>
      </w:r>
      <w:r w:rsidR="00EF14C9">
        <w:fldChar w:fldCharType="end"/>
      </w:r>
      <w:r w:rsidR="003B10FC">
        <w:t>, this variable could not</w:t>
      </w:r>
      <w:r w:rsidR="00C42B96">
        <w:t xml:space="preserve"> be</w:t>
      </w:r>
      <w:r w:rsidR="003B10FC">
        <w:t xml:space="preserve"> included owing to a lack of comparable data layers for the two regions. Indeed, </w:t>
      </w:r>
      <w:r w:rsidR="003B10FC" w:rsidRPr="006F3164">
        <w:t xml:space="preserve">wherever possible, we made use of </w:t>
      </w:r>
      <w:r w:rsidR="006F3164" w:rsidRPr="006F3164">
        <w:t>remote sensing derived layers</w:t>
      </w:r>
      <w:r w:rsidR="003B10FC" w:rsidRPr="006F3164">
        <w:t xml:space="preserve">. </w:t>
      </w:r>
      <w:r w:rsidR="003F1CDD" w:rsidRPr="006F3164">
        <w:t>Where</w:t>
      </w:r>
      <w:r w:rsidR="003F1CDD">
        <w:t xml:space="preserve"> s</w:t>
      </w:r>
      <w:r w:rsidR="007612C7">
        <w:t>oil variables were summari</w:t>
      </w:r>
      <w:r w:rsidR="00EB34AB">
        <w:t>s</w:t>
      </w:r>
      <w:r w:rsidR="007612C7">
        <w:t>ed as</w:t>
      </w:r>
      <w:r w:rsidR="005F0FFB">
        <w:t xml:space="preserve"> depth-interval weighted average</w:t>
      </w:r>
      <w:r w:rsidR="007612C7">
        <w:t>s, climatic a</w:t>
      </w:r>
      <w:r w:rsidR="005F0FFB">
        <w:t xml:space="preserve">nd spectral </w:t>
      </w:r>
      <w:r w:rsidR="007612C7">
        <w:t>variables</w:t>
      </w:r>
      <w:r w:rsidR="005F0FFB">
        <w:t xml:space="preserve"> </w:t>
      </w:r>
      <w:r w:rsidR="003F1CDD">
        <w:t>were summari</w:t>
      </w:r>
      <w:r w:rsidR="00EB34AB">
        <w:t>s</w:t>
      </w:r>
      <w:r w:rsidR="003F1CDD">
        <w:t xml:space="preserve">ed </w:t>
      </w:r>
      <w:r w:rsidR="007612C7">
        <w:t>as</w:t>
      </w:r>
      <w:r w:rsidR="005F0FFB">
        <w:t xml:space="preserve"> </w:t>
      </w:r>
      <w:r w:rsidR="007612C7">
        <w:t>annual means</w:t>
      </w:r>
      <w:r w:rsidR="002F7183">
        <w:t>, both</w:t>
      </w:r>
      <w:r w:rsidR="003F1CDD">
        <w:t xml:space="preserve"> using the “raster” package for R</w:t>
      </w:r>
      <w:r w:rsidR="000202B4">
        <w:t xml:space="preserve"> </w:t>
      </w:r>
      <w:r w:rsidR="006D46F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6D46FC">
        <w:fldChar w:fldCharType="separate"/>
      </w:r>
      <w:r w:rsidR="00B1341B" w:rsidRPr="00B1341B">
        <w:rPr>
          <w:noProof/>
        </w:rPr>
        <w:t>(Hijmans, 2016)</w:t>
      </w:r>
      <w:r w:rsidR="006D46FC">
        <w:fldChar w:fldCharType="end"/>
      </w:r>
      <w:r w:rsidR="003F1CDD">
        <w:t xml:space="preserve">. All layers were then </w:t>
      </w:r>
      <w:r w:rsidR="005F0FFB">
        <w:t xml:space="preserve">projected to </w:t>
      </w:r>
      <w:r w:rsidR="005F0FFB">
        <w:lastRenderedPageBreak/>
        <w:t>a common coordinate reference system (WGS84) using the “rgdal” package</w:t>
      </w:r>
      <w:r w:rsidR="003F1CDD">
        <w:t xml:space="preserve"> </w:t>
      </w:r>
      <w:r w:rsidR="00713882">
        <w:fldChar w:fldCharType="begin" w:fldLock="1"/>
      </w:r>
      <w:r w:rsidR="00404D92">
        <w:instrText>ADDIN CSL_CITATION {"citationItems":[{"id":"ITEM-1","itemData":{"author":[{"dropping-particle":"","family":"Bivand","given":"Roger","non-dropping-particle":"","parse-names":false,"suffix":""},{"dropping-particle":"","family":"Keitt","given":"Tim","non-dropping-particle":"","parse-names":false,"suffix":""},{"dropping-particle":"","family":"Rowlingson","given":"Barry","non-dropping-particle":"","parse-names":false,"suffix":""}],"id":"ITEM-1","issued":{"date-parts":[["2017"]]},"note":"R package version 1.2-7","title":"rgdal: Bindings for the Geospatial Data Abstraction Library. R package version 1.2-7","type":"article"},"uris":["http://www.mendeley.com/documents/?uuid=ad47ce2a-b11c-4257-a0dc-af013995a00f"]}],"mendeley":{"formattedCitation":"(Bivand et al., 2017)","plainTextFormattedCitation":"(Bivand et al., 2017)","previouslyFormattedCitation":"(Bivand et al., 2017)"},"properties":{"noteIndex":0},"schema":"https://github.com/citation-style-language/schema/raw/master/csl-citation.json"}</w:instrText>
      </w:r>
      <w:r w:rsidR="00713882">
        <w:fldChar w:fldCharType="separate"/>
      </w:r>
      <w:r w:rsidR="00404D92" w:rsidRPr="00404D92">
        <w:rPr>
          <w:noProof/>
        </w:rPr>
        <w:t>(Bivand et al., 2017)</w:t>
      </w:r>
      <w:r w:rsidR="00713882">
        <w:fldChar w:fldCharType="end"/>
      </w:r>
      <w:r w:rsidR="003F1CDD">
        <w:t xml:space="preserve"> and</w:t>
      </w:r>
      <w:r w:rsidR="005F0FFB">
        <w:t xml:space="preserve"> resampled to 0.05º resolution using the “resample” function in “raster</w:t>
      </w:r>
      <w:r w:rsidR="000202B4">
        <w:t>,</w:t>
      </w:r>
      <w:r w:rsidR="005F0FFB">
        <w:t>” with the “bilinear” method.</w:t>
      </w:r>
    </w:p>
    <w:p w14:paraId="74D8719F" w14:textId="6F36A3AB" w:rsidR="00444B5F" w:rsidRDefault="00946957">
      <w:pPr>
        <w:pStyle w:val="BodyText"/>
      </w:pPr>
      <w:r>
        <w:t>In order t</w:t>
      </w:r>
      <w:r w:rsidR="000C57CB" w:rsidRPr="00A3580F">
        <w:t>o quantify heterogeneity in the</w:t>
      </w:r>
      <w:r w:rsidR="001D7221">
        <w:t>se</w:t>
      </w:r>
      <w:r w:rsidR="000C57CB" w:rsidRPr="00A3580F">
        <w:t xml:space="preserve"> </w:t>
      </w:r>
      <w:r w:rsidR="001D7221">
        <w:t xml:space="preserve">environmental </w:t>
      </w:r>
      <w:r w:rsidR="000C57CB" w:rsidRPr="00A3580F">
        <w:t>variable</w:t>
      </w:r>
      <w:r w:rsidR="001D7221">
        <w:t>s</w:t>
      </w:r>
      <w:r w:rsidR="000C57CB" w:rsidRPr="00A3580F">
        <w:t>, w</w:t>
      </w:r>
      <w:r w:rsidR="005F0FFB" w:rsidRPr="00A3580F">
        <w:t xml:space="preserve">e developed an index that would account for the spatial configuration of environmental conditions. Our index, </w:t>
      </w:r>
      <w:r w:rsidR="00DE5FA7" w:rsidRPr="00A3580F">
        <w:t>based on</w:t>
      </w:r>
      <w:r w:rsidR="005F0FFB" w:rsidRPr="00A3580F">
        <w:t xml:space="preserve"> raster data, </w:t>
      </w:r>
      <w:r w:rsidR="005F0FFB" w:rsidRPr="006F3914">
        <w:t>employs</w:t>
      </w:r>
      <w:r w:rsidR="002C7938" w:rsidRPr="006F3914">
        <w:t xml:space="preserve"> nested </w:t>
      </w:r>
      <w:r w:rsidR="0090106E">
        <w:t>squares</w:t>
      </w:r>
      <w:r w:rsidR="0090106E" w:rsidRPr="006F3914">
        <w:t xml:space="preserve"> </w:t>
      </w:r>
      <w:r w:rsidR="002C7938" w:rsidRPr="006F3914">
        <w:t>at various spatial scales</w:t>
      </w:r>
      <w:r w:rsidR="00E7429C" w:rsidRPr="006F3914">
        <w:t>.</w:t>
      </w:r>
      <w:r w:rsidR="005F0FFB" w:rsidRPr="00C57F5D">
        <w:t xml:space="preserve"> </w:t>
      </w:r>
      <w:r w:rsidR="002C7938" w:rsidRPr="00946957">
        <w:t xml:space="preserve">We </w:t>
      </w:r>
      <w:r w:rsidR="003E6B88">
        <w:t>quantified</w:t>
      </w:r>
      <w:r w:rsidR="003E6B88" w:rsidRPr="00946957">
        <w:t xml:space="preserve"> </w:t>
      </w:r>
      <w:r w:rsidR="003E6B88">
        <w:t xml:space="preserve">the </w:t>
      </w:r>
      <w:r w:rsidR="002C7938" w:rsidRPr="00946957">
        <w:t>environmental heterogeneity</w:t>
      </w:r>
      <w:r w:rsidR="003E6B88">
        <w:t xml:space="preserve"> of a given square (i.e. 0.10</w:t>
      </w:r>
      <w:r w:rsidR="003E6B88">
        <w:rPr>
          <w:rFonts w:cstheme="majorBidi"/>
        </w:rPr>
        <w:t>°×</w:t>
      </w:r>
      <w:r w:rsidR="003E6B88">
        <w:t>0.10</w:t>
      </w:r>
      <w:r w:rsidR="003E6B88">
        <w:rPr>
          <w:rFonts w:ascii="Times New Roman" w:hAnsi="Times New Roman" w:cs="Times New Roman"/>
        </w:rPr>
        <w:t>°-</w:t>
      </w:r>
      <w:r w:rsidR="003E6B88" w:rsidRPr="00946957">
        <w:t>, QDS</w:t>
      </w:r>
      <w:r w:rsidR="003E6B88">
        <w:t>-</w:t>
      </w:r>
      <w:r w:rsidR="003E6B88" w:rsidRPr="00946957">
        <w:t>, HDS</w:t>
      </w:r>
      <w:r w:rsidR="003E6B88">
        <w:t>-</w:t>
      </w:r>
      <w:r w:rsidR="003E6B88" w:rsidRPr="00946957">
        <w:t xml:space="preserve"> and DS</w:t>
      </w:r>
      <w:r w:rsidR="003E6B88">
        <w:t>-scale)</w:t>
      </w:r>
      <w:r w:rsidR="002C7938" w:rsidRPr="00946957">
        <w:t xml:space="preserve"> as the variance </w:t>
      </w:r>
      <w:r w:rsidR="002810B1">
        <w:t xml:space="preserve">of the environmental conditions </w:t>
      </w:r>
      <w:r w:rsidR="003E6B88">
        <w:t xml:space="preserve">of </w:t>
      </w:r>
      <w:r w:rsidR="002810B1">
        <w:t>the four sub-</w:t>
      </w:r>
      <w:r w:rsidR="0051498F">
        <w:t>squares</w:t>
      </w:r>
      <w:r w:rsidR="003E6B88">
        <w:t xml:space="preserve"> (i.e. 0.05</w:t>
      </w:r>
      <w:r w:rsidR="003E6B88">
        <w:rPr>
          <w:rFonts w:cstheme="majorBidi"/>
        </w:rPr>
        <w:t>°×</w:t>
      </w:r>
      <w:r w:rsidR="003E6B88">
        <w:t>0.05</w:t>
      </w:r>
      <w:r w:rsidR="003E6B88">
        <w:rPr>
          <w:rFonts w:ascii="Times New Roman" w:hAnsi="Times New Roman" w:cs="Times New Roman"/>
        </w:rPr>
        <w:t>°</w:t>
      </w:r>
      <w:r w:rsidR="00444B5F">
        <w:rPr>
          <w:rFonts w:ascii="Times New Roman" w:hAnsi="Times New Roman" w:cs="Times New Roman"/>
        </w:rPr>
        <w:t>-</w:t>
      </w:r>
      <w:r w:rsidR="003E6B88" w:rsidRPr="00946957">
        <w:t>, eighth-</w:t>
      </w:r>
      <w:r w:rsidR="003E6B88">
        <w:t>degree square</w:t>
      </w:r>
      <w:r w:rsidR="00444B5F">
        <w:t>-</w:t>
      </w:r>
      <w:r w:rsidR="003E6B88" w:rsidRPr="00946957">
        <w:t>,</w:t>
      </w:r>
      <w:r w:rsidR="003E6B88">
        <w:t xml:space="preserve"> </w:t>
      </w:r>
      <w:r w:rsidR="003E6B88" w:rsidRPr="00946957">
        <w:t>QDS</w:t>
      </w:r>
      <w:r w:rsidR="00444B5F">
        <w:t>-</w:t>
      </w:r>
      <w:r w:rsidR="003E6B88">
        <w:t xml:space="preserve"> and </w:t>
      </w:r>
      <w:r w:rsidR="003E6B88" w:rsidRPr="00946957">
        <w:t>HDS</w:t>
      </w:r>
      <w:r w:rsidR="00444B5F">
        <w:t>-scale</w:t>
      </w:r>
      <w:r w:rsidR="003E6B88">
        <w:t>)</w:t>
      </w:r>
      <w:r w:rsidR="0051498F">
        <w:t xml:space="preserve"> </w:t>
      </w:r>
      <w:r w:rsidR="003E6B88">
        <w:t>nested within it</w:t>
      </w:r>
      <w:r w:rsidR="002810B1">
        <w:t xml:space="preserve">. </w:t>
      </w:r>
      <w:r w:rsidR="003E6B88">
        <w:t>T</w:t>
      </w:r>
      <w:r w:rsidR="00E7429C" w:rsidRPr="0001739B">
        <w:t xml:space="preserve">his </w:t>
      </w:r>
      <w:r w:rsidR="003E6B88">
        <w:t>was d</w:t>
      </w:r>
      <w:r w:rsidR="00444B5F">
        <w:t>one</w:t>
      </w:r>
      <w:r w:rsidR="003E6B88">
        <w:t xml:space="preserve"> </w:t>
      </w:r>
      <w:r w:rsidR="0014092A">
        <w:t xml:space="preserve">both </w:t>
      </w:r>
      <w:r w:rsidR="00E7429C" w:rsidRPr="0001739B">
        <w:t xml:space="preserve">using the </w:t>
      </w:r>
      <w:r w:rsidR="0014092A">
        <w:t xml:space="preserve">(i) </w:t>
      </w:r>
      <w:r w:rsidR="00E7429C" w:rsidRPr="0001739B">
        <w:t>“</w:t>
      </w:r>
      <w:r w:rsidR="00B41D09" w:rsidRPr="0001739B">
        <w:t>aggregate</w:t>
      </w:r>
      <w:r w:rsidR="00E7429C" w:rsidRPr="0001739B">
        <w:t xml:space="preserve">” </w:t>
      </w:r>
      <w:r w:rsidR="00BD5C4F">
        <w:t xml:space="preserve">function in </w:t>
      </w:r>
      <w:r w:rsidR="00A30A5A">
        <w:t xml:space="preserve">the </w:t>
      </w:r>
      <w:r w:rsidR="00E7429C" w:rsidRPr="0001739B">
        <w:t>R package “raster</w:t>
      </w:r>
      <w:r w:rsidR="008E6F1C">
        <w:t xml:space="preserve">” </w:t>
      </w:r>
      <w:r w:rsidR="008E6F1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8E6F1C">
        <w:fldChar w:fldCharType="separate"/>
      </w:r>
      <w:r w:rsidR="00B1341B" w:rsidRPr="00B1341B">
        <w:rPr>
          <w:noProof/>
        </w:rPr>
        <w:t>(Hijmans, 2016)</w:t>
      </w:r>
      <w:r w:rsidR="008E6F1C">
        <w:fldChar w:fldCharType="end"/>
      </w:r>
      <w:r w:rsidR="003E6B88">
        <w:t>,</w:t>
      </w:r>
      <w:r w:rsidR="008E6F1C">
        <w:t xml:space="preserve"> </w:t>
      </w:r>
      <w:r w:rsidR="0076433F">
        <w:t xml:space="preserve">with </w:t>
      </w:r>
      <w:r w:rsidR="00BD5C4F">
        <w:t xml:space="preserve">variance </w:t>
      </w:r>
      <w:r w:rsidR="003E6B88">
        <w:t xml:space="preserve">set </w:t>
      </w:r>
      <w:r w:rsidR="00BD5C4F">
        <w:t>as the aggregation function</w:t>
      </w:r>
      <w:r w:rsidR="0014092A">
        <w:t xml:space="preserve"> and (ii) “tidyverse” packages </w:t>
      </w:r>
      <w:r w:rsidR="006A50EF">
        <w:fldChar w:fldCharType="begin" w:fldLock="1"/>
      </w:r>
      <w:r w:rsidR="006A50EF">
        <w:instrText>ADDIN CSL_CITATION {"citationItems":[{"id":"ITEM-1","itemData":{"DOI":"10.21105/joss.01686","author":[{"dropping-particle":"","family":"Wickham","given":"Hadley","non-dropping-particle":"","parse-names":false,"suffix":""},{"dropping-particle":"","family":"Averick","given":"Mara","non-dropping-particle":"","parse-names":false,"suffix":""},{"dropping-particle":"","family":"Bryan","given":"Jennifer","non-dropping-particle":"","parse-names":false,"suffix":""},{"dropping-particle":"","family":"Chang","given":"Winston","non-dropping-particle":"","parse-names":false,"suffix":""},{"dropping-particle":"","family":"McGowan","given":"Lucy D'Agostino","non-dropping-particle":"","parse-names":false,"suffix":""},{"dropping-particle":"","family":"François","given":"Romain","non-dropping-particle":"","parse-names":false,"suffix":""},{"dropping-particle":"","family":"Grolemund","given":"Garrett","non-dropping-particle":"","parse-names":false,"suffix":""},{"dropping-particle":"","family":"Hayes","given":"Alex","non-dropping-particle":"","parse-names":false,"suffix":""},{"dropping-particle":"","family":"Henry","given":"Lionel","non-dropping-particle":"","parse-names":false,"suffix":""},{"dropping-particle":"","family":"Hester","given":"Jim","non-dropping-particle":"","parse-names":false,"suffix":""},{"dropping-particle":"","family":"Kuhn","given":"Max","non-dropping-particle":"","parse-names":false,"suffix":""},{"dropping-particle":"","family":"Pedersen","given":"Thomas Lin","non-dropping-particle":"","parse-names":false,"suffix":""},{"dropping-particle":"","family":"Miller","given":"Evan","non-dropping-particle":"","parse-names":false,"suffix":""},{"dropping-particle":"","family":"Bache","given":"Stephan Milton","non-dropping-particle":"","parse-names":false,"suffix":""},{"dropping-particle":"","family":"Müller","given":"Kirill","non-dropping-particle":"","parse-names":false,"suffix":""},{"dropping-particle":"","family":"Ooms","given":"Jeroen","non-dropping-particle":"","parse-names":false,"suffix":""},{"dropping-particle":"","family":"Robinson","given":"David","non-dropping-particle":"","parse-names":false,"suffix":""},{"dropping-particle":"","family":"Seidel","given":"Dana Paige","non-dropping-particle":"","parse-names":false,"suffix":""},{"dropping-particle":"","family":"Spinu","given":"Vitalie","non-dropping-particle":"","parse-names":false,"suffix":""},{"dropping-particle":"","family":"Takahashi","given":"Kohske","non-dropping-particle":"","parse-names":false,"suffix":""},{"dropping-particle":"","family":"Vaughan","given":"Davis","non-dropping-particle":"","parse-names":false,"suffix":""},{"dropping-particle":"","family":"Wilke","given":"Claus","non-dropping-particle":"","parse-names":false,"suffix":""},{"dropping-particle":"","family":"Woo","given":"Kara","non-dropping-particle":"","parse-names":false,"suffix":""},{"dropping-particle":"","family":"Yutani","given":"Hiroaki","non-dropping-particle":"","parse-names":false,"suffix":""}],"container-title":"Journal of Open Source Software","id":"ITEM-1","issue":"43","issued":{"date-parts":[["2019"]]},"page":"1686","title":"Welcome to the {tidyverse}","type":"article-journal","volume":"4"},"uris":["http://www.mendeley.com/documents/?uuid=10eb0a4e-5e68-499f-8e25-75bc828dc9d5"]}],"mendeley":{"formattedCitation":"(Wickham et al., 2019)","plainTextFormattedCitation":"(Wickham et al., 2019)"},"properties":{"noteIndex":0},"schema":"https://github.com/citation-style-language/schema/raw/master/csl-citation.json"}</w:instrText>
      </w:r>
      <w:r w:rsidR="006A50EF">
        <w:fldChar w:fldCharType="separate"/>
      </w:r>
      <w:r w:rsidR="006A50EF" w:rsidRPr="006A50EF">
        <w:rPr>
          <w:noProof/>
        </w:rPr>
        <w:t>(Wickham et al., 2019)</w:t>
      </w:r>
      <w:r w:rsidR="006A50EF">
        <w:fldChar w:fldCharType="end"/>
      </w:r>
      <w:r w:rsidR="0014092A">
        <w:t xml:space="preserve">. Regarding the latter, data at the QDS-, HDS- and DS-scales was analysed in data-frames with rows labelled with grid-cell codes (sensu </w:t>
      </w:r>
      <w:r w:rsidR="0014092A">
        <w:fldChar w:fldCharType="begin" w:fldLock="1"/>
      </w:r>
      <w:r w:rsidR="00080450">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et al., 2009)","manualFormatting":"Larsen, Holmern, Prager, Maliti, &amp; Røskaft, 2009)","plainTextFormattedCitation":"(Larsen et al., 2009)","previouslyFormattedCitation":"(Larsen et al., 2009)"},"properties":{"noteIndex":0},"schema":"https://github.com/citation-style-language/schema/raw/master/csl-citation.json"}</w:instrText>
      </w:r>
      <w:r w:rsidR="0014092A">
        <w:fldChar w:fldCharType="separate"/>
      </w:r>
      <w:r w:rsidR="0014092A" w:rsidRPr="005B6901">
        <w:rPr>
          <w:noProof/>
        </w:rPr>
        <w:t>Larsen, Holmern, Prager, Maliti, &amp; Røskaft, 2009)</w:t>
      </w:r>
      <w:r w:rsidR="0014092A">
        <w:fldChar w:fldCharType="end"/>
      </w:r>
      <w:r w:rsidR="0014092A">
        <w:t>, to ensure the heterogeneity and richness data were derived from the same grid-cells</w:t>
      </w:r>
      <w:r w:rsidR="00A30A5A">
        <w:t>.</w:t>
      </w:r>
      <w:r w:rsidR="00DE7007">
        <w:t xml:space="preserve"> </w:t>
      </w:r>
      <w:r w:rsidR="00444B5F">
        <w:t xml:space="preserve">Since </w:t>
      </w:r>
      <w:r w:rsidR="009B5F2E">
        <w:t>our index</w:t>
      </w:r>
      <w:r w:rsidR="00444B5F">
        <w:t xml:space="preserve"> measure</w:t>
      </w:r>
      <w:r w:rsidR="009B5F2E">
        <w:t>s</w:t>
      </w:r>
      <w:r w:rsidR="00444B5F">
        <w:t xml:space="preserve"> within-square heterogeneity at each spatial scale, </w:t>
      </w:r>
      <w:r w:rsidR="009B5F2E">
        <w:t>it can be related directly</w:t>
      </w:r>
      <w:r w:rsidR="00444B5F">
        <w:t xml:space="preserve"> to </w:t>
      </w:r>
      <w:r w:rsidR="009B5F2E">
        <w:t>species richness at the QDS-, HDS- and DS-scales</w:t>
      </w:r>
      <w:r w:rsidR="00444B5F">
        <w:t>.</w:t>
      </w:r>
    </w:p>
    <w:p w14:paraId="4910D4CC" w14:textId="283EB743" w:rsidR="00DD2348" w:rsidRPr="00377F87" w:rsidRDefault="00C116AB" w:rsidP="00377F87">
      <w:pPr>
        <w:pStyle w:val="BodyText"/>
        <w:rPr>
          <w:rFonts w:eastAsiaTheme="minorEastAsia"/>
        </w:rPr>
      </w:pPr>
      <w:r>
        <w:t>W</w:t>
      </w:r>
      <w:r w:rsidR="005F0FFB">
        <w:t xml:space="preserve">e </w:t>
      </w:r>
      <w:r w:rsidR="00FD3C3A">
        <w:t xml:space="preserve">used principal components analysis (PCA), applied to the </w:t>
      </w:r>
      <w:r w:rsidR="002711B7">
        <w:t>nine</w:t>
      </w:r>
      <w:r w:rsidR="00FD3C3A">
        <w:t xml:space="preserve"> environmental variables across both regions, to </w:t>
      </w:r>
      <w:r w:rsidR="00DA6161">
        <w:t>extract a major axis of</w:t>
      </w:r>
      <w:r w:rsidR="005F0FFB">
        <w:t xml:space="preserve"> </w:t>
      </w:r>
      <w:r w:rsidR="007948F4">
        <w:t>environmental heterogeneity</w:t>
      </w:r>
      <w:r w:rsidR="005F0FFB">
        <w:t xml:space="preserve">. </w:t>
      </w:r>
      <w:r w:rsidR="00F358D2">
        <w:t xml:space="preserve">For this purpose, the layers describing heterogeneity in the </w:t>
      </w:r>
      <w:r w:rsidR="0036760E">
        <w:t>nine</w:t>
      </w:r>
      <w:r w:rsidR="00F358D2">
        <w:t xml:space="preserve"> environmental variables at each spatial scale </w:t>
      </w:r>
      <w:r w:rsidR="00B645EA">
        <w:t xml:space="preserve">were </w:t>
      </w:r>
      <w:r w:rsidR="00F358D2">
        <w:t>first log</w:t>
      </w:r>
      <w:r w:rsidR="00F70EA3">
        <w:rPr>
          <w:vertAlign w:val="subscript"/>
        </w:rPr>
        <w:t>10</w:t>
      </w:r>
      <w:r w:rsidR="00F70EA3">
        <w:t>-</w:t>
      </w:r>
      <w:r w:rsidR="00F358D2">
        <w:t xml:space="preserve">transformed to ensure normality. A separate PCA was </w:t>
      </w:r>
      <w:r w:rsidR="00DA6161">
        <w:t>then run at</w:t>
      </w:r>
      <w:r w:rsidR="005F0FFB">
        <w:t xml:space="preserve"> each </w:t>
      </w:r>
      <w:r w:rsidR="00FD3C3A">
        <w:t>spatial scale</w:t>
      </w:r>
      <w:r w:rsidR="00F358D2">
        <w:t xml:space="preserve">. </w:t>
      </w:r>
      <w:r w:rsidR="005F0FFB">
        <w:t xml:space="preserve">The first </w:t>
      </w:r>
      <w:r w:rsidR="00E52A66">
        <w:t>axis</w:t>
      </w:r>
      <w:r w:rsidR="005F0FFB">
        <w:t xml:space="preserve"> </w:t>
      </w:r>
      <w:r w:rsidR="002B0F5B">
        <w:t xml:space="preserve">(PC1) </w:t>
      </w:r>
      <w:r w:rsidR="00DA6161">
        <w:t xml:space="preserve">thus </w:t>
      </w:r>
      <w:r w:rsidR="00E52A66">
        <w:t xml:space="preserve">extracted </w:t>
      </w:r>
      <w:r w:rsidR="005F0FFB">
        <w:t xml:space="preserve">from each of the </w:t>
      </w:r>
      <w:r w:rsidR="00334B9B">
        <w:t>four</w:t>
      </w:r>
      <w:r w:rsidR="005F0FFB">
        <w:t xml:space="preserve"> PCAs represents the major axis of heterogeneity </w:t>
      </w:r>
      <w:r w:rsidR="00E52A66">
        <w:t xml:space="preserve">across </w:t>
      </w:r>
      <w:r w:rsidR="005F0FFB">
        <w:t xml:space="preserve">the </w:t>
      </w:r>
      <w:r w:rsidR="00361152">
        <w:t>nine</w:t>
      </w:r>
      <w:r w:rsidR="00E52A66">
        <w:t xml:space="preserve"> </w:t>
      </w:r>
      <w:r w:rsidR="005F0FFB">
        <w:t>environmental</w:t>
      </w:r>
      <w:r w:rsidR="0098402A">
        <w:t xml:space="preserve"> heterogeneity</w:t>
      </w:r>
      <w:r w:rsidR="005F0FFB">
        <w:t xml:space="preserve"> </w:t>
      </w:r>
      <w:r w:rsidR="00E52A66">
        <w:t xml:space="preserve">variables </w:t>
      </w:r>
      <w:r w:rsidR="005F0FFB">
        <w:t>considered</w:t>
      </w:r>
      <w:r w:rsidR="00D76A9A">
        <w:t xml:space="preserve"> (see Figure S</w:t>
      </w:r>
      <w:r w:rsidR="00D76A9A" w:rsidRPr="009A4D83">
        <w:t>4</w:t>
      </w:r>
      <w:r w:rsidR="00D76A9A">
        <w:t>)</w:t>
      </w:r>
      <w:r w:rsidR="005F0FFB">
        <w:t>.</w:t>
      </w:r>
    </w:p>
    <w:p w14:paraId="043425BC" w14:textId="1F6063A8" w:rsidR="007E72DA" w:rsidRPr="00DE7007" w:rsidRDefault="00BE3A41" w:rsidP="00BE3A41">
      <w:pPr>
        <w:pStyle w:val="BodyText"/>
      </w:pPr>
      <w:r w:rsidRPr="000519A1">
        <w:t xml:space="preserve">To compare </w:t>
      </w:r>
      <w:r w:rsidR="00F53D6B">
        <w:t>heterogeneity in the nine</w:t>
      </w:r>
      <w:r w:rsidR="000519A1" w:rsidRPr="000519A1">
        <w:t xml:space="preserve"> </w:t>
      </w:r>
      <w:r w:rsidRPr="000519A1">
        <w:t xml:space="preserve">environmental </w:t>
      </w:r>
      <w:r w:rsidR="00F53D6B">
        <w:t>variables</w:t>
      </w:r>
      <w:r w:rsidR="00F53D6B" w:rsidRPr="000519A1">
        <w:t xml:space="preserve"> </w:t>
      </w:r>
      <w:r w:rsidR="007E72DA" w:rsidRPr="000519A1">
        <w:t xml:space="preserve">and </w:t>
      </w:r>
      <w:r w:rsidR="00F53D6B">
        <w:t xml:space="preserve">in </w:t>
      </w:r>
      <w:r w:rsidR="007E72DA" w:rsidRPr="000519A1">
        <w:t xml:space="preserve">the major axis </w:t>
      </w:r>
      <w:r w:rsidR="00BC6386">
        <w:t xml:space="preserve">(PC1) </w:t>
      </w:r>
      <w:r w:rsidR="007E72DA" w:rsidRPr="000519A1">
        <w:t>of heterogeneity between the two regions</w:t>
      </w:r>
      <w:r w:rsidR="000519A1" w:rsidRPr="000519A1">
        <w:t xml:space="preserve">, </w:t>
      </w:r>
      <w:bookmarkStart w:id="5" w:name="_Hlk33707690"/>
      <w:r w:rsidR="00720FA4">
        <w:t xml:space="preserve">as with species richness and turnover, </w:t>
      </w:r>
      <w:r w:rsidR="000519A1" w:rsidRPr="000519A1">
        <w:t xml:space="preserve">we employed </w:t>
      </w:r>
      <w:r w:rsidR="000519A1">
        <w:rPr>
          <w:i/>
        </w:rPr>
        <w:t>CLES</w:t>
      </w:r>
      <w:r w:rsidR="00720FA4">
        <w:t xml:space="preserve"> and</w:t>
      </w:r>
      <w:r w:rsidR="005C752F">
        <w:t xml:space="preserve"> two-sided Mann-Whitney </w:t>
      </w:r>
      <w:r w:rsidR="005C752F">
        <w:rPr>
          <w:i/>
        </w:rPr>
        <w:t>U</w:t>
      </w:r>
      <w:r w:rsidR="005C752F" w:rsidRPr="005C752F">
        <w:t>-</w:t>
      </w:r>
      <w:r w:rsidR="005C752F">
        <w:t>tests</w:t>
      </w:r>
      <w:r w:rsidR="0061190A">
        <w:t xml:space="preserve"> in R</w:t>
      </w:r>
      <w:r w:rsidR="000B7C42">
        <w:t>, in the face of some non-normally distributed forms of heterogeneity</w:t>
      </w:r>
      <w:r w:rsidR="005C752F">
        <w:t>.</w:t>
      </w:r>
      <w:bookmarkEnd w:id="5"/>
      <w:r w:rsidR="00DE7007">
        <w:t xml:space="preserve"> </w:t>
      </w:r>
      <w:r w:rsidR="00F1656B">
        <w:t>Both analyses were done</w:t>
      </w:r>
      <w:r w:rsidR="00DE7007">
        <w:t xml:space="preserve"> at </w:t>
      </w:r>
      <w:r w:rsidR="00F1656B">
        <w:t xml:space="preserve">all </w:t>
      </w:r>
      <w:r w:rsidR="00DE7007">
        <w:t>four spatial scales</w:t>
      </w:r>
      <w:r w:rsidR="00502FAF">
        <w:t>. Th</w:t>
      </w:r>
      <w:r w:rsidR="0076433F">
        <w:t>is</w:t>
      </w:r>
      <w:r w:rsidR="00502FAF">
        <w:t xml:space="preserve"> enabled us</w:t>
      </w:r>
      <w:r w:rsidR="00DE7007">
        <w:t xml:space="preserve"> to assess scale-dependence</w:t>
      </w:r>
      <w:r w:rsidR="00502FAF">
        <w:t xml:space="preserve"> in heterogeneity and to ascertain the spatial scale at which </w:t>
      </w:r>
      <w:r w:rsidR="00793F46">
        <w:t xml:space="preserve">regional </w:t>
      </w:r>
      <w:r w:rsidR="00502FAF">
        <w:t>environmental heterogeneity</w:t>
      </w:r>
      <w:r w:rsidR="00F1656B">
        <w:t xml:space="preserve"> differences are</w:t>
      </w:r>
      <w:r w:rsidR="00502FAF">
        <w:t xml:space="preserve"> most pronounced.</w:t>
      </w:r>
    </w:p>
    <w:p w14:paraId="362E99FC" w14:textId="77122C2B" w:rsidR="00DD2348" w:rsidRDefault="00DD7307" w:rsidP="008A4E97">
      <w:pPr>
        <w:pStyle w:val="Heading2"/>
        <w:spacing w:line="240" w:lineRule="auto"/>
      </w:pPr>
      <w:bookmarkStart w:id="6" w:name="environmental-heterogeneity-as-an-explan"/>
      <w:r>
        <w:t>2.3</w:t>
      </w:r>
      <w:r w:rsidR="0009179A">
        <w:t>:</w:t>
      </w:r>
      <w:r>
        <w:t xml:space="preserve"> </w:t>
      </w:r>
      <w:r w:rsidR="005F0FFB">
        <w:t>Environmental heterogeneity as an explanation of species richness</w:t>
      </w:r>
      <w:bookmarkEnd w:id="6"/>
    </w:p>
    <w:p w14:paraId="23BA1837" w14:textId="78F83483" w:rsidR="002F092D" w:rsidRDefault="001E723F" w:rsidP="00DF0226">
      <w:pPr>
        <w:pStyle w:val="FirstParagraph"/>
        <w:rPr>
          <w:rFonts w:eastAsiaTheme="minorEastAsia"/>
        </w:rPr>
      </w:pPr>
      <w:r>
        <w:t>W</w:t>
      </w:r>
      <w:r w:rsidR="00FE3E67">
        <w:t>e used linear</w:t>
      </w:r>
      <w:r w:rsidR="00FE4E23">
        <w:t xml:space="preserve"> </w:t>
      </w:r>
      <w:r w:rsidR="00FE3E67">
        <w:t>models</w:t>
      </w:r>
      <w:r w:rsidR="00557906">
        <w:t>,</w:t>
      </w:r>
      <w:r w:rsidR="00CD7A9B">
        <w:t xml:space="preserve"> </w:t>
      </w:r>
      <w:r w:rsidR="00557906">
        <w:t xml:space="preserve">in R, </w:t>
      </w:r>
      <w:r w:rsidR="00FE3E67">
        <w:t xml:space="preserve">to assess </w:t>
      </w:r>
      <w:r w:rsidR="005F0FFB">
        <w:t xml:space="preserve">the </w:t>
      </w:r>
      <w:r w:rsidR="00CD4D21">
        <w:t>associations</w:t>
      </w:r>
      <w:r w:rsidR="005F0FFB">
        <w:t xml:space="preserve"> </w:t>
      </w:r>
      <w:r w:rsidR="00CD4D21">
        <w:t>between</w:t>
      </w:r>
      <w:r w:rsidR="005F0FFB">
        <w:t xml:space="preserve"> </w:t>
      </w:r>
      <w:r w:rsidR="007948F4">
        <w:t>heterogeneity</w:t>
      </w:r>
      <w:r w:rsidR="005F0FFB">
        <w:t xml:space="preserve"> </w:t>
      </w:r>
      <w:r w:rsidR="00CD4D21">
        <w:t>(</w:t>
      </w:r>
      <w:r w:rsidR="00793F46">
        <w:t xml:space="preserve">in the nine selected </w:t>
      </w:r>
      <w:r w:rsidR="00352C55">
        <w:t xml:space="preserve">environmental </w:t>
      </w:r>
      <w:r w:rsidR="00793F46">
        <w:t>variables and the major heterogeneity axis represented by PC1</w:t>
      </w:r>
      <w:r w:rsidR="00CD4D21">
        <w:t>)</w:t>
      </w:r>
      <w:r w:rsidR="00793F46">
        <w:t xml:space="preserve"> </w:t>
      </w:r>
      <w:r w:rsidR="00CD4D21">
        <w:t>with</w:t>
      </w:r>
      <w:r w:rsidR="005F0FFB">
        <w:t xml:space="preserve"> species richness</w:t>
      </w:r>
      <w:r w:rsidR="00FE3E67">
        <w:t xml:space="preserve"> </w:t>
      </w:r>
      <w:r w:rsidR="00793F46">
        <w:t>across the two regions</w:t>
      </w:r>
      <w:r w:rsidR="00A13B07">
        <w:t>.</w:t>
      </w:r>
      <w:r w:rsidR="004A4FEC">
        <w:t xml:space="preserve"> </w:t>
      </w:r>
      <w:r w:rsidR="004A4FEC" w:rsidRPr="004A4FEC">
        <w:t>We did not incorporate spatial autocorrelation into our models of species richness because the aim of our analyses was to expose the associations between different forms of spatial environmental heterogeneity and species richness, rather than to predict species richness in absolute or to partition sources of its variation. The fact that we focussed on heterogeneity between neighbouring pixels is at odds with spatial autocorrelation which occurs when neighbouring pixels are more related to each other than more distant pixels due to their proximity.</w:t>
      </w:r>
    </w:p>
    <w:p w14:paraId="738597DF" w14:textId="00A601E2" w:rsidR="000A2EAE" w:rsidRPr="00516F90" w:rsidRDefault="00FE4E23">
      <w:pPr>
        <w:pStyle w:val="FirstParagraph"/>
        <w:rPr>
          <w:rFonts w:eastAsiaTheme="minorEastAsia"/>
        </w:rPr>
      </w:pPr>
      <w:r>
        <w:rPr>
          <w:rFonts w:eastAsiaTheme="minorEastAsia"/>
        </w:rPr>
        <w:t xml:space="preserve">We first used </w:t>
      </w:r>
      <w:r w:rsidR="00963268">
        <w:rPr>
          <w:rFonts w:eastAsiaTheme="minorEastAsia"/>
        </w:rPr>
        <w:t>analyses of covariance</w:t>
      </w:r>
      <w:r w:rsidR="00A13B07">
        <w:rPr>
          <w:rFonts w:eastAsiaTheme="minorEastAsia"/>
        </w:rPr>
        <w:t xml:space="preserve"> (ANCOVA)</w:t>
      </w:r>
      <w:r w:rsidR="00A13B07">
        <w:t>, at the QDS-, HDS- and DS-scales,</w:t>
      </w:r>
      <w:r>
        <w:rPr>
          <w:rFonts w:eastAsiaTheme="minorEastAsia"/>
        </w:rPr>
        <w:t xml:space="preserve"> to relate species richness </w:t>
      </w:r>
      <w:r w:rsidR="00A73975">
        <w:rPr>
          <w:rFonts w:eastAsiaTheme="minorEastAsia"/>
        </w:rPr>
        <w:t>(</w:t>
      </w:r>
      <w:r w:rsidR="00A73975" w:rsidRPr="00ED6805">
        <w:rPr>
          <w:i/>
          <w:iCs/>
        </w:rPr>
        <w:t>S</w:t>
      </w:r>
      <w:r w:rsidR="00A73975">
        <w:rPr>
          <w:rFonts w:eastAsiaTheme="minorEastAsia"/>
        </w:rPr>
        <w:t xml:space="preserve">) </w:t>
      </w:r>
      <w:r>
        <w:rPr>
          <w:rFonts w:eastAsiaTheme="minorEastAsia"/>
        </w:rPr>
        <w:t xml:space="preserve">to </w:t>
      </w:r>
      <w:r w:rsidR="00963268">
        <w:rPr>
          <w:rFonts w:eastAsiaTheme="minorEastAsia"/>
        </w:rPr>
        <w:t xml:space="preserve">the </w:t>
      </w:r>
      <w:r>
        <w:rPr>
          <w:rFonts w:eastAsiaTheme="minorEastAsia"/>
        </w:rPr>
        <w:t>heterogeneit</w:t>
      </w:r>
      <w:r w:rsidR="00963268">
        <w:rPr>
          <w:rFonts w:eastAsiaTheme="minorEastAsia"/>
        </w:rPr>
        <w:t xml:space="preserve">y </w:t>
      </w:r>
      <w:r>
        <w:rPr>
          <w:rFonts w:eastAsiaTheme="minorEastAsia"/>
        </w:rPr>
        <w:t xml:space="preserve">of </w:t>
      </w:r>
      <w:r w:rsidR="00963268">
        <w:rPr>
          <w:rFonts w:eastAsiaTheme="minorEastAsia"/>
        </w:rPr>
        <w:t>each</w:t>
      </w:r>
      <w:r>
        <w:rPr>
          <w:rFonts w:eastAsiaTheme="minorEastAsia"/>
        </w:rPr>
        <w:t xml:space="preserve"> environmental variable</w:t>
      </w:r>
      <w:r w:rsidR="00A13B07">
        <w:rPr>
          <w:rFonts w:eastAsiaTheme="minorEastAsia"/>
        </w:rPr>
        <w:t>, and</w:t>
      </w:r>
      <w:r w:rsidR="00A15FD6">
        <w:rPr>
          <w:rFonts w:eastAsiaTheme="minorEastAsia"/>
        </w:rPr>
        <w:t xml:space="preserve"> </w:t>
      </w:r>
      <w:r w:rsidR="00A13B07">
        <w:rPr>
          <w:rFonts w:eastAsiaTheme="minorEastAsia"/>
        </w:rPr>
        <w:t xml:space="preserve">to </w:t>
      </w:r>
      <w:r>
        <w:rPr>
          <w:rFonts w:eastAsiaTheme="minorEastAsia"/>
        </w:rPr>
        <w:t xml:space="preserve">the major axis of heterogeneity, </w:t>
      </w:r>
      <w:r w:rsidR="00963268">
        <w:rPr>
          <w:rFonts w:eastAsiaTheme="minorEastAsia"/>
        </w:rPr>
        <w:t>across the two regions</w:t>
      </w:r>
      <w:r>
        <w:rPr>
          <w:rFonts w:eastAsiaTheme="minorEastAsia"/>
        </w:rPr>
        <w:t xml:space="preserve">. </w:t>
      </w:r>
      <w:r w:rsidR="00A465FD">
        <w:rPr>
          <w:rFonts w:eastAsiaTheme="minorEastAsia"/>
        </w:rPr>
        <w:t>I</w:t>
      </w:r>
      <w:r>
        <w:rPr>
          <w:rFonts w:eastAsiaTheme="minorEastAsia"/>
        </w:rPr>
        <w:t>n order to assess whether th</w:t>
      </w:r>
      <w:r w:rsidR="00547291">
        <w:rPr>
          <w:rFonts w:eastAsiaTheme="minorEastAsia"/>
        </w:rPr>
        <w:t>ese</w:t>
      </w:r>
      <w:r>
        <w:rPr>
          <w:rFonts w:eastAsiaTheme="minorEastAsia"/>
        </w:rPr>
        <w:t xml:space="preserve"> relationship</w:t>
      </w:r>
      <w:r w:rsidR="00547291">
        <w:rPr>
          <w:rFonts w:eastAsiaTheme="minorEastAsia"/>
        </w:rPr>
        <w:t>s are</w:t>
      </w:r>
      <w:r>
        <w:rPr>
          <w:rFonts w:eastAsiaTheme="minorEastAsia"/>
        </w:rPr>
        <w:t xml:space="preserve"> identical</w:t>
      </w:r>
      <w:r w:rsidR="00547291">
        <w:rPr>
          <w:rFonts w:eastAsiaTheme="minorEastAsia"/>
        </w:rPr>
        <w:t xml:space="preserve"> in form</w:t>
      </w:r>
      <w:r>
        <w:rPr>
          <w:rFonts w:eastAsiaTheme="minorEastAsia"/>
        </w:rPr>
        <w:t xml:space="preserve"> </w:t>
      </w:r>
      <w:r w:rsidR="00547291">
        <w:rPr>
          <w:rFonts w:eastAsiaTheme="minorEastAsia"/>
        </w:rPr>
        <w:t>across</w:t>
      </w:r>
      <w:r>
        <w:rPr>
          <w:rFonts w:eastAsiaTheme="minorEastAsia"/>
        </w:rPr>
        <w:t xml:space="preserve"> the two regions</w:t>
      </w:r>
      <w:r w:rsidR="00711950">
        <w:rPr>
          <w:rFonts w:eastAsiaTheme="minorEastAsia"/>
        </w:rPr>
        <w:t>,</w:t>
      </w:r>
      <w:r w:rsidR="005527B5" w:rsidRPr="009266B9">
        <w:rPr>
          <w:rFonts w:eastAsiaTheme="minorEastAsia"/>
        </w:rPr>
        <w:t xml:space="preserve"> we fitted three </w:t>
      </w:r>
      <w:r w:rsidR="00472BBD">
        <w:rPr>
          <w:rFonts w:eastAsiaTheme="minorEastAsia"/>
        </w:rPr>
        <w:t xml:space="preserve">nested </w:t>
      </w:r>
      <w:r w:rsidR="005527B5" w:rsidRPr="009266B9">
        <w:rPr>
          <w:rFonts w:eastAsiaTheme="minorEastAsia"/>
        </w:rPr>
        <w:t>models</w:t>
      </w:r>
      <w:r w:rsidR="00711950">
        <w:rPr>
          <w:rFonts w:eastAsiaTheme="minorEastAsia"/>
        </w:rPr>
        <w:t xml:space="preserve"> for </w:t>
      </w:r>
      <w:r w:rsidR="00547291">
        <w:rPr>
          <w:rFonts w:eastAsiaTheme="minorEastAsia"/>
        </w:rPr>
        <w:t xml:space="preserve">each heterogeneity predictor </w:t>
      </w:r>
      <w:r w:rsidR="00547291" w:rsidRPr="00D51E2F">
        <w:rPr>
          <w:rFonts w:eastAsiaTheme="minorEastAsia"/>
          <w:i/>
        </w:rPr>
        <w:t>X</w:t>
      </w:r>
      <w:r w:rsidR="00547291">
        <w:rPr>
          <w:rFonts w:eastAsiaTheme="minorEastAsia"/>
        </w:rPr>
        <w:t xml:space="preserve">, as follows: </w:t>
      </w:r>
      <w:r w:rsidR="00D51E2F">
        <w:rPr>
          <w:rFonts w:eastAsiaTheme="minorEastAsia"/>
        </w:rPr>
        <w:t>a “main effect only” model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51E2F">
        <w:rPr>
          <w:rFonts w:eastAsiaTheme="minorEastAsia"/>
        </w:rPr>
        <w:t>), a “main effect + region” model (</w:t>
      </w:r>
      <w:r w:rsidR="00342111" w:rsidRPr="00D67CEB">
        <w:rPr>
          <w:rFonts w:eastAsiaTheme="minorEastAsia"/>
          <w:i/>
        </w:rPr>
        <w:t>S</w:t>
      </w:r>
      <w:r w:rsidR="00342111">
        <w:rPr>
          <w:rFonts w:eastAsiaTheme="minorEastAsia"/>
        </w:rPr>
        <w:t xml:space="preserve"> ~ </w:t>
      </w:r>
      <w:r w:rsidR="00342111"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Pr>
          <w:rFonts w:cstheme="majorBidi"/>
        </w:rPr>
        <w:t>)</w:t>
      </w:r>
      <w:r w:rsidR="00D51E2F">
        <w:rPr>
          <w:rFonts w:eastAsiaTheme="minorEastAsia"/>
        </w:rPr>
        <w:t xml:space="preserve"> and a</w:t>
      </w:r>
      <w:r w:rsidR="004511B3">
        <w:rPr>
          <w:rFonts w:eastAsiaTheme="minorEastAsia"/>
        </w:rPr>
        <w:t xml:space="preserve"> </w:t>
      </w:r>
      <w:r w:rsidR="00C07B05">
        <w:rPr>
          <w:rFonts w:eastAsiaTheme="minorEastAsia"/>
        </w:rPr>
        <w:t xml:space="preserve">“main effect </w:t>
      </w:r>
      <w:r w:rsidR="00C07B05">
        <w:rPr>
          <w:rFonts w:eastAsiaTheme="minorEastAsia" w:cstheme="majorBidi"/>
        </w:rPr>
        <w:t>×</w:t>
      </w:r>
      <w:r w:rsidR="00C07B05">
        <w:rPr>
          <w:rFonts w:eastAsiaTheme="minorEastAsia"/>
        </w:rPr>
        <w:t xml:space="preserve"> region” </w:t>
      </w:r>
      <w:r w:rsidR="004511B3">
        <w:rPr>
          <w:rFonts w:eastAsiaTheme="minorEastAsia"/>
        </w:rPr>
        <w:t xml:space="preserve">model </w:t>
      </w:r>
      <w:r w:rsidR="00C07B05">
        <w:rPr>
          <w:rFonts w:eastAsiaTheme="minorEastAsia"/>
        </w:rPr>
        <w:t>which includes</w:t>
      </w:r>
      <w:r w:rsidR="00A15FD6">
        <w:rPr>
          <w:rFonts w:eastAsiaTheme="minorEastAsia"/>
        </w:rPr>
        <w:t xml:space="preserve"> </w:t>
      </w:r>
      <w:r w:rsidR="004511B3">
        <w:rPr>
          <w:rFonts w:eastAsiaTheme="minorEastAsia"/>
        </w:rPr>
        <w:t xml:space="preserve">an interaction </w:t>
      </w:r>
      <w:r w:rsidR="00A15FD6">
        <w:rPr>
          <w:rFonts w:eastAsiaTheme="minorEastAsia"/>
        </w:rPr>
        <w:t xml:space="preserve">between heterogeneity and </w:t>
      </w:r>
      <w:r w:rsidR="004511B3">
        <w:rPr>
          <w:rFonts w:eastAsiaTheme="minorEastAsia"/>
        </w:rPr>
        <w:t>region</w:t>
      </w:r>
      <w:r w:rsidR="00723D01">
        <w:rPr>
          <w:rFonts w:eastAsiaTheme="minorEastAsia"/>
        </w:rPr>
        <w:t xml:space="preserve">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sidRP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sidRPr="00D67CEB">
        <w:rPr>
          <w:rFonts w:cstheme="majorBidi"/>
        </w:rPr>
        <w:t xml:space="preserve"> + </w:t>
      </w:r>
      <w:r w:rsidR="00D67CEB" w:rsidRPr="00D67CEB">
        <w:rPr>
          <w:rFonts w:cstheme="majorBidi"/>
          <w:i/>
        </w:rPr>
        <w:t>β</w:t>
      </w:r>
      <w:r w:rsidR="00D67CEB" w:rsidRPr="00D67CEB">
        <w:rPr>
          <w:rFonts w:cstheme="majorBidi"/>
          <w:vertAlign w:val="subscript"/>
        </w:rPr>
        <w:t>3</w:t>
      </w:r>
      <w:r w:rsidR="00D67CEB" w:rsidRPr="00D67CEB">
        <w:rPr>
          <w:rFonts w:cstheme="majorBidi"/>
        </w:rPr>
        <w:t>(</w:t>
      </w:r>
      <w:r w:rsidR="00D67CEB">
        <w:rPr>
          <w:rFonts w:cstheme="majorBidi"/>
          <w:i/>
        </w:rPr>
        <w:t>X × R</w:t>
      </w:r>
      <w:r w:rsidR="00D67CEB" w:rsidRPr="00D67CEB">
        <w:rPr>
          <w:rFonts w:cstheme="majorBidi"/>
          <w:i/>
        </w:rPr>
        <w:t>egion</w:t>
      </w:r>
      <w:r w:rsidR="004511B3">
        <w:rPr>
          <w:rFonts w:eastAsiaTheme="minorEastAsia"/>
        </w:rPr>
        <w:t>)</w:t>
      </w:r>
      <w:r w:rsidR="00D67CEB">
        <w:rPr>
          <w:rFonts w:eastAsiaTheme="minorEastAsia"/>
        </w:rPr>
        <w:t>)</w:t>
      </w:r>
      <w:r w:rsidR="00D62239">
        <w:rPr>
          <w:rFonts w:eastAsiaTheme="minorEastAsia"/>
        </w:rPr>
        <w:t>.</w:t>
      </w:r>
      <w:r w:rsidR="00042E25">
        <w:rPr>
          <w:rFonts w:eastAsiaTheme="minorEastAsia"/>
        </w:rPr>
        <w:t xml:space="preserve"> </w:t>
      </w:r>
      <w:r w:rsidR="00547291">
        <w:rPr>
          <w:rFonts w:eastAsiaTheme="minorEastAsia"/>
        </w:rPr>
        <w:t>For each of the ten predictor</w:t>
      </w:r>
      <w:r w:rsidR="00A13B07">
        <w:rPr>
          <w:rFonts w:eastAsiaTheme="minorEastAsia"/>
        </w:rPr>
        <w:t>s</w:t>
      </w:r>
      <w:r w:rsidR="00547291">
        <w:rPr>
          <w:rFonts w:eastAsiaTheme="minorEastAsia"/>
        </w:rPr>
        <w:t>, t</w:t>
      </w:r>
      <w:r w:rsidR="00042E25">
        <w:rPr>
          <w:rFonts w:eastAsiaTheme="minorEastAsia"/>
        </w:rPr>
        <w:t xml:space="preserve">he best fitting </w:t>
      </w:r>
      <w:r w:rsidR="00547291">
        <w:rPr>
          <w:rFonts w:eastAsiaTheme="minorEastAsia"/>
        </w:rPr>
        <w:t>model</w:t>
      </w:r>
      <w:r w:rsidR="00042E25">
        <w:rPr>
          <w:rFonts w:eastAsiaTheme="minorEastAsia"/>
        </w:rPr>
        <w:t xml:space="preserve"> was determined using Akaike’s information criterion (</w:t>
      </w:r>
      <w:r w:rsidR="00042E25">
        <w:rPr>
          <w:rFonts w:eastAsiaTheme="minorEastAsia"/>
          <w:i/>
        </w:rPr>
        <w:t>AIC</w:t>
      </w:r>
      <w:r w:rsidR="00042E25">
        <w:rPr>
          <w:rFonts w:eastAsiaTheme="minorEastAsia"/>
        </w:rPr>
        <w:t>)</w:t>
      </w:r>
      <w:r w:rsidR="00472BBD">
        <w:rPr>
          <w:rFonts w:eastAsiaTheme="minorEastAsia"/>
        </w:rPr>
        <w:t xml:space="preserve">, </w:t>
      </w:r>
      <w:r w:rsidR="00A465FD">
        <w:t xml:space="preserve">as </w:t>
      </w:r>
      <w:r w:rsidR="00472BBD">
        <w:lastRenderedPageBreak/>
        <w:t xml:space="preserve">the simplest model with </w:t>
      </w:r>
      <w:r w:rsidR="00472BBD">
        <w:rPr>
          <w:i/>
        </w:rPr>
        <w:t>∆AIC</w:t>
      </w:r>
      <w:r w:rsidR="00472BBD">
        <w:t xml:space="preserve"> &lt; 2.</w:t>
      </w:r>
      <w:r w:rsidR="00176E4F">
        <w:rPr>
          <w:rFonts w:eastAsiaTheme="minorEastAsia"/>
          <w:i/>
        </w:rPr>
        <w:t xml:space="preserve"> </w:t>
      </w:r>
      <w:r w:rsidR="00B07EC3">
        <w:rPr>
          <w:rFonts w:eastAsiaTheme="minorEastAsia"/>
        </w:rPr>
        <w:t>Where the</w:t>
      </w:r>
      <w:r w:rsidR="000A2EAE">
        <w:rPr>
          <w:rFonts w:eastAsiaTheme="minorEastAsia"/>
        </w:rPr>
        <w:t xml:space="preserve"> “main effect only” model </w:t>
      </w:r>
      <w:r w:rsidR="00B07EC3">
        <w:rPr>
          <w:rFonts w:eastAsiaTheme="minorEastAsia"/>
        </w:rPr>
        <w:t xml:space="preserve">describes </w:t>
      </w:r>
      <w:r w:rsidR="00A13B07">
        <w:rPr>
          <w:rFonts w:eastAsiaTheme="minorEastAsia"/>
        </w:rPr>
        <w:t>heterogeneity</w:t>
      </w:r>
      <w:r w:rsidR="00B07EC3">
        <w:rPr>
          <w:rFonts w:eastAsiaTheme="minorEastAsia"/>
        </w:rPr>
        <w:t xml:space="preserve"> </w:t>
      </w:r>
      <w:r w:rsidR="00A15FD6">
        <w:rPr>
          <w:rFonts w:eastAsiaTheme="minorEastAsia"/>
        </w:rPr>
        <w:t xml:space="preserve">as having a uniform effect </w:t>
      </w:r>
      <w:r w:rsidR="00B07EC3">
        <w:rPr>
          <w:rFonts w:eastAsiaTheme="minorEastAsia"/>
        </w:rPr>
        <w:t>on species richness across the two regions</w:t>
      </w:r>
      <w:r w:rsidR="00A15FD6">
        <w:rPr>
          <w:rFonts w:eastAsiaTheme="minorEastAsia"/>
        </w:rPr>
        <w:t xml:space="preserve"> (i.e. a common relationship)</w:t>
      </w:r>
      <w:r w:rsidR="00B07EC3">
        <w:rPr>
          <w:rFonts w:eastAsiaTheme="minorEastAsia"/>
        </w:rPr>
        <w:t xml:space="preserve">, the “main effect + region” and “main effect </w:t>
      </w:r>
      <w:r w:rsidR="00B07EC3">
        <w:rPr>
          <w:rFonts w:eastAsiaTheme="minorEastAsia" w:cstheme="majorBidi"/>
        </w:rPr>
        <w:t>×</w:t>
      </w:r>
      <w:r w:rsidR="00B07EC3">
        <w:rPr>
          <w:rFonts w:eastAsiaTheme="minorEastAsia"/>
        </w:rPr>
        <w:t xml:space="preserve"> region” models </w:t>
      </w:r>
      <w:r w:rsidR="009D235A">
        <w:rPr>
          <w:rFonts w:eastAsiaTheme="minorEastAsia"/>
        </w:rPr>
        <w:t>describe the relationship</w:t>
      </w:r>
      <w:r w:rsidR="00A15FD6">
        <w:rPr>
          <w:rFonts w:eastAsiaTheme="minorEastAsia"/>
        </w:rPr>
        <w:t>s</w:t>
      </w:r>
      <w:r w:rsidR="009D235A">
        <w:rPr>
          <w:rFonts w:eastAsiaTheme="minorEastAsia"/>
        </w:rPr>
        <w:t xml:space="preserve"> </w:t>
      </w:r>
      <w:r w:rsidR="00A15FD6">
        <w:rPr>
          <w:rFonts w:eastAsiaTheme="minorEastAsia"/>
        </w:rPr>
        <w:t>of</w:t>
      </w:r>
      <w:r w:rsidR="009D235A">
        <w:rPr>
          <w:rFonts w:eastAsiaTheme="minorEastAsia"/>
        </w:rPr>
        <w:t xml:space="preserve"> species richness </w:t>
      </w:r>
      <w:r w:rsidR="00A15FD6">
        <w:rPr>
          <w:rFonts w:eastAsiaTheme="minorEastAsia"/>
        </w:rPr>
        <w:t>to</w:t>
      </w:r>
      <w:r w:rsidR="009D235A">
        <w:rPr>
          <w:rFonts w:eastAsiaTheme="minorEastAsia"/>
        </w:rPr>
        <w:t xml:space="preserve"> heterogeneity as being region</w:t>
      </w:r>
      <w:r w:rsidR="00A13B07">
        <w:rPr>
          <w:rFonts w:eastAsiaTheme="minorEastAsia"/>
        </w:rPr>
        <w:t>-</w:t>
      </w:r>
      <w:r w:rsidR="00A13B07" w:rsidRPr="00ED6805">
        <w:t>dependent</w:t>
      </w:r>
      <w:r w:rsidR="009D235A">
        <w:rPr>
          <w:rFonts w:eastAsiaTheme="minorEastAsia"/>
        </w:rPr>
        <w:t>. Specifically, where the “main effect + region” model describe</w:t>
      </w:r>
      <w:r w:rsidR="00A15FD6">
        <w:rPr>
          <w:rFonts w:eastAsiaTheme="minorEastAsia"/>
        </w:rPr>
        <w:t>s</w:t>
      </w:r>
      <w:r w:rsidR="009D235A">
        <w:rPr>
          <w:rFonts w:eastAsiaTheme="minorEastAsia"/>
        </w:rPr>
        <w:t xml:space="preserve"> these relationships as being identical in terms of slope but not intercept, the “main effect </w:t>
      </w:r>
      <w:r w:rsidR="009D235A">
        <w:rPr>
          <w:rFonts w:eastAsiaTheme="minorEastAsia" w:cstheme="majorBidi"/>
        </w:rPr>
        <w:t>×</w:t>
      </w:r>
      <w:r w:rsidR="009D235A">
        <w:rPr>
          <w:rFonts w:eastAsiaTheme="minorEastAsia"/>
        </w:rPr>
        <w:t xml:space="preserve"> region” describes them as differing in both intercept and slope.</w:t>
      </w:r>
    </w:p>
    <w:p w14:paraId="08FB22C3" w14:textId="1B3CC5FC" w:rsidR="00E01AE6" w:rsidRDefault="00A465FD">
      <w:pPr>
        <w:pStyle w:val="FirstParagraph"/>
      </w:pPr>
      <w:r>
        <w:rPr>
          <w:rFonts w:eastAsiaTheme="minorEastAsia"/>
        </w:rPr>
        <w:t>We then used m</w:t>
      </w:r>
      <w:r w:rsidR="005F0FFB" w:rsidRPr="00070D03">
        <w:t>ulti</w:t>
      </w:r>
      <w:r w:rsidR="007A5438">
        <w:t xml:space="preserve">ple linear regressions </w:t>
      </w:r>
      <w:r w:rsidR="005F0FFB" w:rsidRPr="00070D03">
        <w:t xml:space="preserve">to </w:t>
      </w:r>
      <w:r w:rsidR="002536E4">
        <w:t>model species</w:t>
      </w:r>
      <w:r w:rsidR="005F0FFB" w:rsidRPr="00070D03">
        <w:t xml:space="preserve"> richness </w:t>
      </w:r>
      <w:r w:rsidR="002536E4">
        <w:t xml:space="preserve">as a function of </w:t>
      </w:r>
      <w:r>
        <w:t xml:space="preserve">region and </w:t>
      </w:r>
      <w:r w:rsidR="007948F4" w:rsidRPr="00070D03">
        <w:t>heterogeneity</w:t>
      </w:r>
      <w:r w:rsidR="005F0FFB" w:rsidRPr="00070D03">
        <w:t xml:space="preserve"> </w:t>
      </w:r>
      <w:r w:rsidR="002536E4">
        <w:t xml:space="preserve">in </w:t>
      </w:r>
      <w:r>
        <w:t>all nine</w:t>
      </w:r>
      <w:r w:rsidR="002536E4">
        <w:t xml:space="preserve"> environmental variables </w:t>
      </w:r>
      <w:r w:rsidR="005F0FFB" w:rsidRPr="00070D03">
        <w:t>simultaneousl</w:t>
      </w:r>
      <w:r w:rsidR="0059394E">
        <w:t xml:space="preserve">y. </w:t>
      </w:r>
      <w:r w:rsidR="00D6426B">
        <w:t xml:space="preserve">As with the simple regressions, this was done at </w:t>
      </w:r>
      <w:r w:rsidR="002536E4">
        <w:t>all three spatial scales</w:t>
      </w:r>
      <w:r w:rsidR="00D6426B">
        <w:t>. Starting from a 19-predictor model</w:t>
      </w:r>
      <w:r w:rsidR="00094CB2">
        <w:t>,</w:t>
      </w:r>
      <w:r w:rsidR="00D6426B">
        <w:t xml:space="preserve"> including region, </w:t>
      </w:r>
      <w:r w:rsidR="005E220D">
        <w:t xml:space="preserve">the </w:t>
      </w:r>
      <w:r w:rsidR="00D6426B">
        <w:t>heterogeneit</w:t>
      </w:r>
      <w:r w:rsidR="005E220D">
        <w:t>ies</w:t>
      </w:r>
      <w:r w:rsidR="00D6426B">
        <w:t xml:space="preserve"> </w:t>
      </w:r>
      <w:r w:rsidR="00094CB2">
        <w:t>of</w:t>
      </w:r>
      <w:r w:rsidR="00D6426B">
        <w:t xml:space="preserve"> all nine environmental variables and the interactions of the latter with region, </w:t>
      </w:r>
      <w:r w:rsidR="005E220D">
        <w:t>mode</w:t>
      </w:r>
      <w:r w:rsidR="00F61C02">
        <w:t>l</w:t>
      </w:r>
      <w:r w:rsidR="005E220D">
        <w:t>s</w:t>
      </w:r>
      <w:r w:rsidR="00F61C02">
        <w:t xml:space="preserve"> were s</w:t>
      </w:r>
      <w:r w:rsidR="005E220D">
        <w:t>implifi</w:t>
      </w:r>
      <w:r w:rsidR="00F61C02">
        <w:t>ed</w:t>
      </w:r>
      <w:r w:rsidR="005E220D">
        <w:t xml:space="preserve"> using </w:t>
      </w:r>
      <w:r w:rsidR="0059394E" w:rsidRPr="0059394E">
        <w:t xml:space="preserve">reverse stepwise model selection </w:t>
      </w:r>
      <w:r w:rsidR="005E220D">
        <w:t>based on</w:t>
      </w:r>
      <w:r w:rsidR="0059394E" w:rsidRPr="0059394E">
        <w:t xml:space="preserve"> </w:t>
      </w:r>
      <w:r w:rsidR="0059394E" w:rsidRPr="0035175F">
        <w:rPr>
          <w:i/>
        </w:rPr>
        <w:t>AIC</w:t>
      </w:r>
      <w:r w:rsidR="0059394E" w:rsidRPr="0059394E">
        <w:t>-scores</w:t>
      </w:r>
      <w:r w:rsidR="005E220D">
        <w:t xml:space="preserve">. </w:t>
      </w:r>
      <w:r w:rsidR="00094CB2">
        <w:t xml:space="preserve">In the final model, the retention of significant heterogeneity-region interaction terms indicates that the dependence of species richness on heterogeneity differs between the two regions. </w:t>
      </w:r>
      <w:r w:rsidR="009D474B">
        <w:t>Conversely</w:t>
      </w:r>
      <w:r w:rsidR="00094CB2">
        <w:t>, where only the main effect</w:t>
      </w:r>
      <w:r w:rsidR="009D474B">
        <w:t xml:space="preserve"> is</w:t>
      </w:r>
      <w:r w:rsidR="00094CB2">
        <w:t xml:space="preserve"> significant</w:t>
      </w:r>
      <w:r w:rsidR="009D474B">
        <w:t xml:space="preserve"> the dependence of species richness on heterogeneity is inferred to be uniform across the two regions.</w:t>
      </w:r>
    </w:p>
    <w:p w14:paraId="22B60912" w14:textId="05E4684D" w:rsidR="00F42EEB" w:rsidRPr="00502524" w:rsidRDefault="00F42EEB" w:rsidP="00C47FAF">
      <w:pPr>
        <w:pStyle w:val="Heading2"/>
        <w:spacing w:line="240" w:lineRule="auto"/>
      </w:pPr>
      <w:r w:rsidRPr="00502524">
        <w:t xml:space="preserve">2.4: </w:t>
      </w:r>
      <w:r w:rsidR="003D2B4F">
        <w:t>S</w:t>
      </w:r>
      <w:r w:rsidRPr="00502524">
        <w:t>pecies richness</w:t>
      </w:r>
      <w:r w:rsidR="003D2B4F">
        <w:t xml:space="preserve"> hotspots</w:t>
      </w:r>
    </w:p>
    <w:p w14:paraId="42F144AD" w14:textId="4B9CF0AF" w:rsidR="003D2B4F" w:rsidRDefault="00E01AE6">
      <w:pPr>
        <w:pStyle w:val="FirstParagraph"/>
      </w:pPr>
      <w:r>
        <w:t xml:space="preserve">To </w:t>
      </w:r>
      <w:r w:rsidR="00DC385A">
        <w:t>identify</w:t>
      </w:r>
      <w:r>
        <w:t xml:space="preserve"> </w:t>
      </w:r>
      <w:r w:rsidR="00DC385A">
        <w:t>hotspots of exceptional richness, i.e. squares</w:t>
      </w:r>
      <w:r>
        <w:t xml:space="preserve"> whose species richness </w:t>
      </w:r>
      <w:r w:rsidR="00DC385A">
        <w:t xml:space="preserve">exceeds </w:t>
      </w:r>
      <w:r w:rsidR="00887059">
        <w:t>that</w:t>
      </w:r>
      <w:r w:rsidR="00DC385A">
        <w:t xml:space="preserve"> expected on the basis of their environmental heterogeneity, we </w:t>
      </w:r>
      <w:r w:rsidR="00887059">
        <w:t>used</w:t>
      </w:r>
      <w:r w:rsidR="00DC385A">
        <w:t xml:space="preserve"> the residuals </w:t>
      </w:r>
      <w:r w:rsidR="00887059">
        <w:t>associated with</w:t>
      </w:r>
      <w:r w:rsidR="00DC385A">
        <w:t xml:space="preserve"> the PC1-based ANCOVA</w:t>
      </w:r>
      <w:r w:rsidR="00887059">
        <w:t xml:space="preserve"> models</w:t>
      </w:r>
      <w:r w:rsidR="00DC385A">
        <w:t xml:space="preserve"> and </w:t>
      </w:r>
      <w:r w:rsidR="00887059">
        <w:t xml:space="preserve">the </w:t>
      </w:r>
      <w:r w:rsidR="00DC385A">
        <w:t>multiple regression models</w:t>
      </w:r>
      <w:r w:rsidR="00887059">
        <w:t>, at all three spatial scales,</w:t>
      </w:r>
      <w:r w:rsidR="00DC385A">
        <w:t xml:space="preserve"> </w:t>
      </w:r>
      <w:r w:rsidR="00887059">
        <w:t xml:space="preserve">to identify outlier points. For this </w:t>
      </w:r>
      <w:r w:rsidR="00E26DDB">
        <w:t>purpose,</w:t>
      </w:r>
      <w:r w:rsidR="00887059">
        <w:t xml:space="preserve"> outliers </w:t>
      </w:r>
      <w:r w:rsidR="003D2B4F">
        <w:t xml:space="preserve">were defined as any </w:t>
      </w:r>
      <w:r w:rsidR="00887059">
        <w:t xml:space="preserve">points </w:t>
      </w:r>
      <w:r w:rsidR="0072431B">
        <w:t>with residual species richness</w:t>
      </w:r>
      <w:r w:rsidR="00887059">
        <w:t xml:space="preserve"> more than two standard deviations from the mean</w:t>
      </w:r>
      <w:r w:rsidR="006D6946">
        <w:t xml:space="preserve"> predicted species richness at a given level of environmental heterogeneity (in both the PC1-based and multiple regression models)</w:t>
      </w:r>
      <w:r w:rsidR="00887059">
        <w:t xml:space="preserve">. We also used </w:t>
      </w:r>
      <w:r w:rsidR="00887059" w:rsidRPr="00C47FAF">
        <w:rPr>
          <w:i/>
        </w:rPr>
        <w:t>F</w:t>
      </w:r>
      <w:r w:rsidR="00887059">
        <w:t>-test</w:t>
      </w:r>
      <w:r w:rsidR="00552D77">
        <w:t>s</w:t>
      </w:r>
      <w:r w:rsidR="00887059">
        <w:t xml:space="preserve"> to assess whether the </w:t>
      </w:r>
      <w:r w:rsidR="003D2B4F">
        <w:t xml:space="preserve">variances of the </w:t>
      </w:r>
      <w:r w:rsidR="00887059">
        <w:t>residual</w:t>
      </w:r>
      <w:r w:rsidR="003D2B4F">
        <w:t>s associated with ANCOVA and multiple regressions</w:t>
      </w:r>
      <w:r w:rsidR="00887059">
        <w:t xml:space="preserve"> differed between the GCFR and SWAFR. Finally, </w:t>
      </w:r>
      <w:r w:rsidR="00265947">
        <w:t>to assess</w:t>
      </w:r>
      <w:r w:rsidR="003D2B4F">
        <w:t xml:space="preserve"> whether the exceptional richness of hotspots is best explained by factors other than environmental heterogeneity, </w:t>
      </w:r>
      <w:r w:rsidR="00844FEA">
        <w:t xml:space="preserve">and to assess the sensitivity of results to these hotspots, </w:t>
      </w:r>
      <w:r w:rsidR="003D2B4F">
        <w:t xml:space="preserve">we repeated the ANCOVA and multiple regression analyses with hotspots </w:t>
      </w:r>
      <w:r w:rsidR="003E103F">
        <w:t>omitted and</w:t>
      </w:r>
      <w:r w:rsidR="003D2B4F">
        <w:t xml:space="preserve"> compared the coefficients of determination</w:t>
      </w:r>
      <w:r w:rsidR="002E16AA">
        <w:t xml:space="preserve"> from each</w:t>
      </w:r>
      <w:r w:rsidR="003D2B4F">
        <w:t>.</w:t>
      </w:r>
    </w:p>
    <w:p w14:paraId="5B8B0085" w14:textId="716A78D0" w:rsidR="00D04776" w:rsidRDefault="00DD7307" w:rsidP="008A4E97">
      <w:pPr>
        <w:pStyle w:val="Heading1"/>
        <w:spacing w:line="240" w:lineRule="auto"/>
      </w:pPr>
      <w:bookmarkStart w:id="7" w:name="results"/>
      <w:r>
        <w:t>3</w:t>
      </w:r>
      <w:r w:rsidR="00E4661A">
        <w:t>:</w:t>
      </w:r>
      <w:r>
        <w:t xml:space="preserve"> </w:t>
      </w:r>
      <w:r w:rsidR="00D04776">
        <w:t>Results</w:t>
      </w:r>
      <w:bookmarkEnd w:id="7"/>
    </w:p>
    <w:p w14:paraId="233719EB" w14:textId="2C58C402" w:rsidR="0060601F" w:rsidRDefault="00DD7307" w:rsidP="008A4E97">
      <w:pPr>
        <w:pStyle w:val="Heading2"/>
        <w:spacing w:line="240" w:lineRule="auto"/>
      </w:pPr>
      <w:r>
        <w:t>3.1</w:t>
      </w:r>
      <w:r w:rsidR="00E4661A">
        <w:t>:</w:t>
      </w:r>
      <w:r>
        <w:t xml:space="preserve"> </w:t>
      </w:r>
      <w:r w:rsidR="0060601F">
        <w:t>Comparing species richness</w:t>
      </w:r>
    </w:p>
    <w:p w14:paraId="2713C102" w14:textId="1D1D46D6" w:rsidR="002C32D6" w:rsidRPr="006B3905" w:rsidRDefault="002C32D6" w:rsidP="002C32D6">
      <w:pPr>
        <w:pStyle w:val="FirstParagraph"/>
        <w:rPr>
          <w:i/>
        </w:rPr>
      </w:pPr>
      <w:r w:rsidRPr="006B3905">
        <w:t>Vascular plant species richness varies spatially in both the GCFR and SWAFR, with both regions possessing a hotspot of exceptional richness (the Kogelberg Centre in the GCFR; Greater Perth in the SWAFR) and declining species richness towards its interior margin (</w:t>
      </w:r>
      <w:r w:rsidR="00304EA1" w:rsidRPr="006B3905">
        <w:t xml:space="preserve">Figure </w:t>
      </w:r>
      <w:r w:rsidR="00FC2A30" w:rsidRPr="006B3905">
        <w:t>1</w:t>
      </w:r>
      <w:r w:rsidRPr="006B3905">
        <w:t xml:space="preserve">a,b). Comparisons of species richness between the regions using two-sided Mann-Whitney </w:t>
      </w:r>
      <w:r w:rsidRPr="006B3905">
        <w:rPr>
          <w:i/>
        </w:rPr>
        <w:t>U</w:t>
      </w:r>
      <w:r w:rsidR="005A1608">
        <w:t>-</w:t>
      </w:r>
      <w:r w:rsidRPr="006B3905">
        <w:t>tests reveal that species richness per unit area is similar at the QDS- (Figure 2</w:t>
      </w:r>
      <w:r w:rsidR="00604263" w:rsidRPr="006B3905">
        <w:t>c</w:t>
      </w:r>
      <w:r w:rsidRPr="006B3905">
        <w:t>;</w:t>
      </w:r>
      <w:r w:rsidRPr="006B3905">
        <w:rPr>
          <w:i/>
        </w:rPr>
        <w:t xml:space="preserve"> P</w:t>
      </w:r>
      <w:r w:rsidRPr="006B3905">
        <w:t xml:space="preserve"> = 0.</w:t>
      </w:r>
      <w:r w:rsidR="00CB4374">
        <w:t>624</w:t>
      </w:r>
      <w:r w:rsidRPr="006B3905">
        <w:t xml:space="preserve">, </w:t>
      </w:r>
      <w:r w:rsidRPr="006B3905">
        <w:rPr>
          <w:i/>
          <w:iCs/>
        </w:rPr>
        <w:t>CLES</w:t>
      </w:r>
      <w:r w:rsidRPr="006B3905">
        <w:t xml:space="preserve"> = 0.</w:t>
      </w:r>
      <w:r w:rsidR="00CB4374">
        <w:t>490</w:t>
      </w:r>
      <w:r w:rsidRPr="006B3905">
        <w:t>)</w:t>
      </w:r>
      <w:r w:rsidR="00CB4374">
        <w:t xml:space="preserve">, somewhat greater in the GCFR at </w:t>
      </w:r>
      <w:r w:rsidRPr="006B3905">
        <w:t>HDS- (Figure 2b;</w:t>
      </w:r>
      <w:r w:rsidRPr="006B3905">
        <w:rPr>
          <w:i/>
        </w:rPr>
        <w:t xml:space="preserve"> P</w:t>
      </w:r>
      <w:r w:rsidRPr="006B3905">
        <w:t xml:space="preserve"> = 0.</w:t>
      </w:r>
      <w:r w:rsidR="00CB4374">
        <w:t>061</w:t>
      </w:r>
      <w:r w:rsidRPr="006B3905">
        <w:t xml:space="preserve">, </w:t>
      </w:r>
      <w:r w:rsidRPr="006B3905">
        <w:rPr>
          <w:i/>
          <w:iCs/>
        </w:rPr>
        <w:t>CLES</w:t>
      </w:r>
      <w:r w:rsidRPr="006B3905">
        <w:t xml:space="preserve"> = 0.5</w:t>
      </w:r>
      <w:r w:rsidR="00CB4374">
        <w:t>79</w:t>
      </w:r>
      <w:r w:rsidRPr="006B3905">
        <w:t>)</w:t>
      </w:r>
      <w:r w:rsidR="00CB4374">
        <w:t xml:space="preserve"> and </w:t>
      </w:r>
      <w:r w:rsidRPr="006B3905">
        <w:t xml:space="preserve"> significantly </w:t>
      </w:r>
      <w:r w:rsidR="00CB4374">
        <w:t>greater</w:t>
      </w:r>
      <w:r w:rsidRPr="006B3905">
        <w:t xml:space="preserve"> </w:t>
      </w:r>
      <w:r w:rsidR="00CB4374">
        <w:t>in the GCFR</w:t>
      </w:r>
      <w:r w:rsidRPr="006B3905">
        <w:t xml:space="preserve"> at DS-scale</w:t>
      </w:r>
      <w:r w:rsidR="00CB4374">
        <w:t>s</w:t>
      </w:r>
      <w:r w:rsidRPr="006B3905">
        <w:t xml:space="preserve"> (Figure </w:t>
      </w:r>
      <w:r w:rsidR="0057720E" w:rsidRPr="006B3905">
        <w:t>2</w:t>
      </w:r>
      <w:r w:rsidR="00604263" w:rsidRPr="006B3905">
        <w:t>a</w:t>
      </w:r>
      <w:r w:rsidRPr="006B3905">
        <w:t>;</w:t>
      </w:r>
      <w:r w:rsidRPr="006B3905">
        <w:rPr>
          <w:i/>
        </w:rPr>
        <w:t xml:space="preserve"> P</w:t>
      </w:r>
      <w:r w:rsidRPr="006B3905">
        <w:t xml:space="preserve"> = 0.0</w:t>
      </w:r>
      <w:r w:rsidR="00CB4374">
        <w:t>50</w:t>
      </w:r>
      <w:r w:rsidRPr="006B3905">
        <w:t xml:space="preserve">, </w:t>
      </w:r>
      <w:r w:rsidRPr="006B3905">
        <w:rPr>
          <w:i/>
        </w:rPr>
        <w:t>CLES</w:t>
      </w:r>
      <w:r w:rsidRPr="006B3905">
        <w:t xml:space="preserve"> = 0.</w:t>
      </w:r>
      <w:r w:rsidR="00CB4374">
        <w:t>717</w:t>
      </w:r>
      <w:r w:rsidRPr="006B3905">
        <w:t>).</w:t>
      </w:r>
    </w:p>
    <w:p w14:paraId="3BE0333B" w14:textId="6F45A32B" w:rsidR="002C32D6" w:rsidRDefault="002C32D6" w:rsidP="002C32D6">
      <w:pPr>
        <w:pStyle w:val="BodyText"/>
      </w:pPr>
      <w:r w:rsidRPr="006B3905">
        <w:t xml:space="preserve">Partitioning </w:t>
      </w:r>
      <w:r w:rsidRPr="006B3905">
        <w:rPr>
          <w:i/>
        </w:rPr>
        <w:t>S</w:t>
      </w:r>
      <w:r w:rsidRPr="006B3905">
        <w:rPr>
          <w:vertAlign w:val="subscript"/>
        </w:rPr>
        <w:t>HDS</w:t>
      </w:r>
      <w:r w:rsidRPr="006B3905">
        <w:t xml:space="preserve"> into its </w:t>
      </w:r>
      <w:r w:rsidRPr="006B3905">
        <w:rPr>
          <w:rFonts w:cstheme="majorBidi"/>
          <w:i/>
        </w:rPr>
        <w:t>α</w:t>
      </w:r>
      <w:r w:rsidRPr="006B3905">
        <w:t xml:space="preserve">- and </w:t>
      </w:r>
      <w:r w:rsidRPr="006B3905">
        <w:rPr>
          <w:rFonts w:cstheme="majorBidi"/>
          <w:i/>
        </w:rPr>
        <w:t>β</w:t>
      </w:r>
      <w:r w:rsidRPr="006B3905">
        <w:t>-components (</w:t>
      </w:r>
      <m:oMath>
        <m:bar>
          <m:barPr>
            <m:pos m:val="top"/>
            <m:ctrlPr>
              <w:rPr>
                <w:rFonts w:ascii="Cambria Math" w:hAnsi="Cambria Math"/>
              </w:rPr>
            </m:ctrlPr>
          </m:barPr>
          <m:e>
            <m:r>
              <w:rPr>
                <w:rFonts w:ascii="Cambria Math" w:hAnsi="Cambria Math"/>
              </w:rPr>
              <m:t>S</m:t>
            </m:r>
          </m:e>
        </m:bar>
      </m:oMath>
      <w:r w:rsidRPr="006B3905">
        <w:rPr>
          <w:vertAlign w:val="subscript"/>
        </w:rPr>
        <w:t>QDS</w:t>
      </w:r>
      <w:r w:rsidRPr="006B3905">
        <w:t xml:space="preserve"> and </w:t>
      </w:r>
      <w:r w:rsidRPr="006B3905">
        <w:rPr>
          <w:i/>
        </w:rPr>
        <w:t>T</w:t>
      </w:r>
      <w:r w:rsidRPr="006B3905">
        <w:rPr>
          <w:vertAlign w:val="subscript"/>
        </w:rPr>
        <w:t>QDS</w:t>
      </w:r>
      <w:r w:rsidRPr="006B3905">
        <w:t xml:space="preserve"> respectively; Figure 2</w:t>
      </w:r>
      <w:r w:rsidR="00604263" w:rsidRPr="006B3905">
        <w:t>g</w:t>
      </w:r>
      <w:r w:rsidRPr="006B3905">
        <w:t xml:space="preserve">), we found that the </w:t>
      </w:r>
      <w:r w:rsidR="002C1C6A">
        <w:t xml:space="preserve">average </w:t>
      </w:r>
      <w:r w:rsidRPr="006B3905">
        <w:t xml:space="preserve">proportional contribution of floristic turnover (i.e. </w:t>
      </w:r>
      <w:r w:rsidRPr="006B3905">
        <w:rPr>
          <w:i/>
        </w:rPr>
        <w:t>T</w:t>
      </w:r>
      <w:r w:rsidRPr="006B3905">
        <w:rPr>
          <w:vertAlign w:val="subscript"/>
        </w:rPr>
        <w:t>QDS</w:t>
      </w:r>
      <w:r w:rsidRPr="006B3905">
        <w:t>/</w:t>
      </w:r>
      <w:r w:rsidRPr="006B3905">
        <w:rPr>
          <w:i/>
        </w:rPr>
        <w:t>S</w:t>
      </w:r>
      <w:r w:rsidRPr="006B3905">
        <w:rPr>
          <w:vertAlign w:val="subscript"/>
        </w:rPr>
        <w:t>HDS</w:t>
      </w:r>
      <w:r w:rsidRPr="006B3905">
        <w:t>; Figure 2</w:t>
      </w:r>
      <w:r w:rsidR="00257D86" w:rsidRPr="006B3905">
        <w:t>e</w:t>
      </w:r>
      <w:r w:rsidRPr="006B3905">
        <w:t xml:space="preserve">) is greater in the GCFR (0.64) than in the SWAFR (0.60) (two-sided Mann-Whitney </w:t>
      </w:r>
      <w:r w:rsidRPr="006B3905">
        <w:rPr>
          <w:i/>
        </w:rPr>
        <w:t>U</w:t>
      </w:r>
      <w:r w:rsidR="009E3CEB">
        <w:t>-</w:t>
      </w:r>
      <w:r w:rsidRPr="006B3905">
        <w:t xml:space="preserve">test, </w:t>
      </w:r>
      <w:r w:rsidRPr="006B3905">
        <w:rPr>
          <w:i/>
        </w:rPr>
        <w:t>P</w:t>
      </w:r>
      <w:r w:rsidRPr="006B3905">
        <w:t xml:space="preserve"> &lt; 0.001; </w:t>
      </w:r>
      <w:r w:rsidRPr="006B3905">
        <w:rPr>
          <w:i/>
          <w:iCs/>
        </w:rPr>
        <w:t>CLES</w:t>
      </w:r>
      <w:r w:rsidRPr="006B3905">
        <w:t xml:space="preserve"> = 0.</w:t>
      </w:r>
      <w:r w:rsidR="002C1C6A">
        <w:t>750</w:t>
      </w:r>
      <w:r w:rsidRPr="006B3905">
        <w:t xml:space="preserve">). This is also the case at the DS-scale (Figure </w:t>
      </w:r>
      <w:r w:rsidR="003F2156" w:rsidRPr="006B3905">
        <w:t>2d</w:t>
      </w:r>
      <w:r w:rsidR="00FE217D" w:rsidRPr="006B3905">
        <w:t xml:space="preserve">; </w:t>
      </w:r>
      <w:r w:rsidR="00CA131C" w:rsidRPr="006B3905">
        <w:rPr>
          <w:i/>
        </w:rPr>
        <w:t>T</w:t>
      </w:r>
      <w:r w:rsidR="00752C87">
        <w:rPr>
          <w:vertAlign w:val="subscript"/>
        </w:rPr>
        <w:t>H</w:t>
      </w:r>
      <w:r w:rsidR="00CA131C" w:rsidRPr="006B3905">
        <w:rPr>
          <w:vertAlign w:val="subscript"/>
        </w:rPr>
        <w:t>DS</w:t>
      </w:r>
      <w:r w:rsidR="00CA131C" w:rsidRPr="006B3905">
        <w:t>/</w:t>
      </w:r>
      <w:r w:rsidR="00CA131C" w:rsidRPr="006B3905">
        <w:rPr>
          <w:i/>
        </w:rPr>
        <w:t>S</w:t>
      </w:r>
      <w:r w:rsidR="00CA131C" w:rsidRPr="006B3905">
        <w:rPr>
          <w:vertAlign w:val="subscript"/>
        </w:rPr>
        <w:t>DS</w:t>
      </w:r>
      <w:r w:rsidR="001A29B8" w:rsidRPr="006B3905">
        <w:t>,</w:t>
      </w:r>
      <w:r w:rsidR="00CA131C" w:rsidRPr="006B3905">
        <w:t xml:space="preserve"> </w:t>
      </w:r>
      <w:r w:rsidRPr="006B3905">
        <w:t>GCFR:</w:t>
      </w:r>
      <w:r w:rsidR="00CA131C" w:rsidRPr="006B3905">
        <w:rPr>
          <w:i/>
        </w:rPr>
        <w:t xml:space="preserve"> </w:t>
      </w:r>
      <w:r w:rsidRPr="006B3905">
        <w:t>0.5</w:t>
      </w:r>
      <w:r w:rsidR="002C1C6A">
        <w:t>7</w:t>
      </w:r>
      <w:r w:rsidRPr="006B3905">
        <w:t xml:space="preserve">, </w:t>
      </w:r>
      <w:r w:rsidRPr="006B3905">
        <w:lastRenderedPageBreak/>
        <w:t>SWAFR: 0.4</w:t>
      </w:r>
      <w:r w:rsidR="002C1C6A">
        <w:t>9</w:t>
      </w:r>
      <w:r w:rsidRPr="006B3905">
        <w:t xml:space="preserve">; two-sided Mann-Whitney </w:t>
      </w:r>
      <w:r w:rsidRPr="006B3905">
        <w:rPr>
          <w:i/>
        </w:rPr>
        <w:t>U</w:t>
      </w:r>
      <w:r w:rsidRPr="006B3905">
        <w:t xml:space="preserve"> test, </w:t>
      </w:r>
      <w:r w:rsidRPr="006B3905">
        <w:rPr>
          <w:i/>
        </w:rPr>
        <w:t>P</w:t>
      </w:r>
      <w:r w:rsidRPr="006B3905">
        <w:t xml:space="preserve"> </w:t>
      </w:r>
      <w:r w:rsidR="002C1C6A">
        <w:t>&lt;</w:t>
      </w:r>
      <w:r w:rsidRPr="006B3905">
        <w:t xml:space="preserve"> 0.001, </w:t>
      </w:r>
      <w:r w:rsidRPr="006B3905">
        <w:rPr>
          <w:i/>
        </w:rPr>
        <w:t>CLES</w:t>
      </w:r>
      <w:r w:rsidRPr="006B3905">
        <w:t xml:space="preserve"> = 0.</w:t>
      </w:r>
      <w:r w:rsidR="002C1C6A">
        <w:t>967</w:t>
      </w:r>
      <w:r w:rsidRPr="006B3905">
        <w:t>).</w:t>
      </w:r>
      <w:r w:rsidR="003D0006">
        <w:t xml:space="preserve"> Summarily, at both of these scales, the plant species richness of squares in the GCFR is somewhat more attributable to turnover between sub-squares (points further above 1:1-line in Figure 2f,g) than for squares in the SWAFR (points closer to 1:1-line in Figure 2f,g)</w:t>
      </w:r>
      <w:r w:rsidR="00DB192A">
        <w:t>.</w:t>
      </w:r>
    </w:p>
    <w:p w14:paraId="7E9FCA66" w14:textId="3D92E970" w:rsidR="00D04776" w:rsidRDefault="00DD7307">
      <w:pPr>
        <w:pStyle w:val="Heading2"/>
        <w:spacing w:line="240" w:lineRule="auto"/>
      </w:pPr>
      <w:r>
        <w:t>3.2</w:t>
      </w:r>
      <w:r w:rsidR="00462611">
        <w:t>:</w:t>
      </w:r>
      <w:r>
        <w:t xml:space="preserve"> </w:t>
      </w:r>
      <w:r w:rsidR="00D04776">
        <w:t>Comparing environmental heterogeneity</w:t>
      </w:r>
    </w:p>
    <w:p w14:paraId="11E8A663" w14:textId="4F75EEE8" w:rsidR="00AD4DCC" w:rsidRDefault="00C512E9" w:rsidP="008A4E97">
      <w:pPr>
        <w:pStyle w:val="FirstParagraph"/>
      </w:pPr>
      <w:r w:rsidRPr="00916B93">
        <w:rPr>
          <w:i/>
        </w:rPr>
        <w:t>CLES</w:t>
      </w:r>
      <w:r>
        <w:t xml:space="preserve"> comparisons revealed</w:t>
      </w:r>
      <w:r w:rsidRPr="00916B93">
        <w:t xml:space="preserve"> the GCFR </w:t>
      </w:r>
      <w:r>
        <w:t>to</w:t>
      </w:r>
      <w:r w:rsidRPr="00916B93">
        <w:t xml:space="preserve"> </w:t>
      </w:r>
      <w:r>
        <w:t>be</w:t>
      </w:r>
      <w:r w:rsidRPr="00916B93">
        <w:t xml:space="preserve"> more heterogeneous</w:t>
      </w:r>
      <w:r w:rsidRPr="009A6ABA">
        <w:rPr>
          <w:lang w:val="en-ZA"/>
        </w:rPr>
        <w:t xml:space="preserve"> </w:t>
      </w:r>
      <w:r w:rsidRPr="00916B93">
        <w:t xml:space="preserve">than the SWAFR </w:t>
      </w:r>
      <w:r>
        <w:t>in</w:t>
      </w:r>
      <w:r w:rsidRPr="00916B93">
        <w:t xml:space="preserve"> all nine environmental variables, </w:t>
      </w:r>
      <w:r>
        <w:t xml:space="preserve">and </w:t>
      </w:r>
      <w:r w:rsidRPr="00916B93">
        <w:t>across the full range of spatial scales</w:t>
      </w:r>
      <w:r>
        <w:t xml:space="preserve"> </w:t>
      </w:r>
      <w:r w:rsidRPr="00916B93">
        <w:t>(</w:t>
      </w:r>
      <w:r>
        <w:t>Figure 3</w:t>
      </w:r>
      <w:r w:rsidRPr="00916B93">
        <w:t>)</w:t>
      </w:r>
      <w:r>
        <w:t>, w</w:t>
      </w:r>
      <w:r w:rsidR="00AD1230">
        <w:t xml:space="preserve">ith a few exceptions </w:t>
      </w:r>
      <w:r w:rsidR="00E07C7E">
        <w:t xml:space="preserve">at the DS-scale </w:t>
      </w:r>
      <w:r w:rsidR="00AD1230">
        <w:t>(</w:t>
      </w:r>
      <w:r>
        <w:t xml:space="preserve">i.e. </w:t>
      </w:r>
      <w:r w:rsidR="00AD1230">
        <w:t>MAP, NDVI</w:t>
      </w:r>
      <w:r w:rsidR="005A72A8">
        <w:t xml:space="preserve">, </w:t>
      </w:r>
      <w:r w:rsidR="00AD1230">
        <w:t>CEC</w:t>
      </w:r>
      <w:r w:rsidR="005A72A8">
        <w:t>, clay and soil C</w:t>
      </w:r>
      <w:r w:rsidR="00AD1230">
        <w:t>)</w:t>
      </w:r>
      <w:r w:rsidR="00A778BB" w:rsidRPr="00916B93">
        <w:t xml:space="preserve">. </w:t>
      </w:r>
      <w:r w:rsidR="00FA78DF" w:rsidRPr="00916B93">
        <w:t>The same was true for the major axis of heterogeneity described by PC1</w:t>
      </w:r>
      <w:r w:rsidR="00AF1477">
        <w:t xml:space="preserve"> (</w:t>
      </w:r>
      <w:r w:rsidR="0031751D">
        <w:t>Figure</w:t>
      </w:r>
      <w:r w:rsidR="005C5EBF">
        <w:t xml:space="preserve"> 3</w:t>
      </w:r>
      <w:r w:rsidR="008853F3">
        <w:t>j</w:t>
      </w:r>
      <w:r w:rsidR="00AF1477">
        <w:t>)</w:t>
      </w:r>
      <w:r w:rsidR="00FA78DF" w:rsidRPr="00916B93">
        <w:t xml:space="preserve">, which accounted for between </w:t>
      </w:r>
      <w:r w:rsidR="0061413B">
        <w:t xml:space="preserve">ca. </w:t>
      </w:r>
      <w:r w:rsidR="00816F2B" w:rsidRPr="007974D6">
        <w:t>38</w:t>
      </w:r>
      <w:r w:rsidR="00FA78DF" w:rsidRPr="007974D6">
        <w:t>%</w:t>
      </w:r>
      <w:r w:rsidR="00FA78DF" w:rsidRPr="00916B93">
        <w:t xml:space="preserve"> </w:t>
      </w:r>
      <w:r w:rsidR="00C52934">
        <w:t xml:space="preserve">(at the </w:t>
      </w:r>
      <w:r w:rsidR="00F84C1A">
        <w:t>0.10</w:t>
      </w:r>
      <w:r w:rsidR="00F84C1A">
        <w:rPr>
          <w:rFonts w:cstheme="majorBidi"/>
        </w:rPr>
        <w:t>°×</w:t>
      </w:r>
      <w:r w:rsidR="00F84C1A">
        <w:t>0.10</w:t>
      </w:r>
      <w:r w:rsidR="00F84C1A">
        <w:rPr>
          <w:rFonts w:ascii="Times New Roman" w:hAnsi="Times New Roman" w:cs="Times New Roman"/>
        </w:rPr>
        <w:t>°</w:t>
      </w:r>
      <w:r w:rsidR="00C52934">
        <w:t xml:space="preserve">-scale) </w:t>
      </w:r>
      <w:r w:rsidR="00FA78DF" w:rsidRPr="00916B93">
        <w:t xml:space="preserve">and </w:t>
      </w:r>
      <w:r w:rsidR="0061413B">
        <w:t>ca. 50</w:t>
      </w:r>
      <w:r w:rsidR="00FA78DF" w:rsidRPr="00916B93">
        <w:t xml:space="preserve">% </w:t>
      </w:r>
      <w:r w:rsidR="00C52934">
        <w:t xml:space="preserve">(at the DS-scale) </w:t>
      </w:r>
      <w:r w:rsidR="00FA78DF" w:rsidRPr="00916B93">
        <w:t xml:space="preserve">of the variance in all nine </w:t>
      </w:r>
      <w:r w:rsidR="00D01E0F">
        <w:t xml:space="preserve">heterogeneity </w:t>
      </w:r>
      <w:r w:rsidR="00FA78DF" w:rsidRPr="00916B93">
        <w:t>variables</w:t>
      </w:r>
      <w:r w:rsidR="00220A65">
        <w:t>.</w:t>
      </w:r>
      <w:r w:rsidR="00F45440">
        <w:t xml:space="preserve"> </w:t>
      </w:r>
      <w:r w:rsidR="00852C1E">
        <w:t>The greater overall heterogeneity of the GCFR is striking when compared visually (</w:t>
      </w:r>
      <w:r w:rsidR="00623918">
        <w:t xml:space="preserve">e.g. at the HDS-scale: </w:t>
      </w:r>
      <w:r w:rsidR="00852C1E">
        <w:t xml:space="preserve">Figure 1c vs d). </w:t>
      </w:r>
      <w:r w:rsidR="00EF0EC1">
        <w:t xml:space="preserve">In </w:t>
      </w:r>
      <w:r w:rsidR="00E26DDB">
        <w:t>general,</w:t>
      </w:r>
      <w:r w:rsidR="00EF0EC1">
        <w:t xml:space="preserve"> the </w:t>
      </w:r>
      <w:r w:rsidR="00AB21A1" w:rsidRPr="009A6ABA">
        <w:rPr>
          <w:lang w:val="en-ZA"/>
        </w:rPr>
        <w:t xml:space="preserve">disparity in </w:t>
      </w:r>
      <w:r w:rsidR="00AB21A1">
        <w:rPr>
          <w:lang w:val="en-ZA"/>
        </w:rPr>
        <w:t xml:space="preserve">heterogeneity between the two regions </w:t>
      </w:r>
      <w:r w:rsidR="00731E6B">
        <w:t>seems</w:t>
      </w:r>
      <w:r w:rsidR="00AB21A1">
        <w:t xml:space="preserve"> greater for</w:t>
      </w:r>
      <w:r w:rsidR="00E67A7C" w:rsidRPr="009A6ABA">
        <w:rPr>
          <w:lang w:val="en-ZA"/>
        </w:rPr>
        <w:t xml:space="preserve"> topographic </w:t>
      </w:r>
      <w:r w:rsidR="00E31D78">
        <w:rPr>
          <w:lang w:val="en-ZA"/>
        </w:rPr>
        <w:t xml:space="preserve">(as expected) </w:t>
      </w:r>
      <w:r w:rsidR="00E67A7C" w:rsidRPr="009A6ABA">
        <w:rPr>
          <w:lang w:val="en-ZA"/>
        </w:rPr>
        <w:t>and climatic (</w:t>
      </w:r>
      <w:r w:rsidR="00AB0A34" w:rsidRPr="00503A1D">
        <w:rPr>
          <w:i/>
          <w:lang w:val="en-ZA"/>
        </w:rPr>
        <w:t>CLES</w:t>
      </w:r>
      <w:r w:rsidR="00AB0A34" w:rsidRPr="009A6ABA">
        <w:rPr>
          <w:lang w:val="en-ZA"/>
        </w:rPr>
        <w:t xml:space="preserve"> </w:t>
      </w:r>
      <w:r w:rsidR="00731E6B">
        <w:rPr>
          <w:lang w:val="en-ZA"/>
        </w:rPr>
        <w:t>between</w:t>
      </w:r>
      <w:r w:rsidR="00AB0A34" w:rsidRPr="009A6ABA">
        <w:rPr>
          <w:lang w:val="en-ZA"/>
        </w:rPr>
        <w:t xml:space="preserve"> </w:t>
      </w:r>
      <w:r w:rsidR="00731E6B">
        <w:rPr>
          <w:lang w:val="en-ZA"/>
        </w:rPr>
        <w:t xml:space="preserve">ca. </w:t>
      </w:r>
      <w:r w:rsidR="00AB0A34" w:rsidRPr="009A6ABA">
        <w:rPr>
          <w:lang w:val="en-ZA"/>
        </w:rPr>
        <w:t>0.60</w:t>
      </w:r>
      <w:r w:rsidR="00731E6B">
        <w:rPr>
          <w:lang w:val="en-ZA"/>
        </w:rPr>
        <w:t xml:space="preserve"> and 1.00</w:t>
      </w:r>
      <w:r w:rsidR="00AB0A34">
        <w:rPr>
          <w:lang w:val="en-ZA"/>
        </w:rPr>
        <w:t xml:space="preserve">; </w:t>
      </w:r>
      <w:r w:rsidR="0031751D">
        <w:rPr>
          <w:lang w:val="en-ZA"/>
        </w:rPr>
        <w:t>Figure</w:t>
      </w:r>
      <w:r w:rsidR="005C5EBF">
        <w:rPr>
          <w:lang w:val="en-ZA"/>
        </w:rPr>
        <w:t xml:space="preserve"> 3</w:t>
      </w:r>
      <w:r w:rsidR="00E67A7C" w:rsidRPr="009A6ABA">
        <w:rPr>
          <w:lang w:val="en-ZA"/>
        </w:rPr>
        <w:t>a</w:t>
      </w:r>
      <w:r w:rsidR="00E67A7C" w:rsidRPr="009A6ABA">
        <w:t>–d</w:t>
      </w:r>
      <w:r w:rsidR="00E67A7C" w:rsidRPr="009A6ABA">
        <w:rPr>
          <w:lang w:val="en-ZA"/>
        </w:rPr>
        <w:t xml:space="preserve">) than edaphic </w:t>
      </w:r>
      <w:r w:rsidR="00AB21A1">
        <w:rPr>
          <w:lang w:val="en-ZA"/>
        </w:rPr>
        <w:t>variables</w:t>
      </w:r>
      <w:r w:rsidR="00AB21A1" w:rsidRPr="009A6ABA">
        <w:rPr>
          <w:lang w:val="en-ZA"/>
        </w:rPr>
        <w:t xml:space="preserve"> </w:t>
      </w:r>
      <w:r w:rsidR="00E67A7C" w:rsidRPr="009A6ABA">
        <w:rPr>
          <w:lang w:val="en-ZA"/>
        </w:rPr>
        <w:t>(</w:t>
      </w:r>
      <w:r w:rsidR="00AB0A34" w:rsidRPr="00503A1D">
        <w:rPr>
          <w:i/>
        </w:rPr>
        <w:t>CLES</w:t>
      </w:r>
      <w:r w:rsidR="00AB0A34" w:rsidRPr="009A6ABA">
        <w:t xml:space="preserve"> </w:t>
      </w:r>
      <w:r w:rsidR="00731E6B">
        <w:t xml:space="preserve">between ca. </w:t>
      </w:r>
      <w:r w:rsidR="00AB0A34" w:rsidRPr="009A6ABA">
        <w:t>0.</w:t>
      </w:r>
      <w:r w:rsidR="00731E6B">
        <w:t>60 and 0.80</w:t>
      </w:r>
      <w:r w:rsidR="00AB0A34">
        <w:t xml:space="preserve">; </w:t>
      </w:r>
      <w:r w:rsidR="0031751D">
        <w:rPr>
          <w:lang w:val="en-ZA"/>
        </w:rPr>
        <w:t>Figure</w:t>
      </w:r>
      <w:r w:rsidR="005C5EBF">
        <w:rPr>
          <w:lang w:val="en-ZA"/>
        </w:rPr>
        <w:t xml:space="preserve"> 3</w:t>
      </w:r>
      <w:r w:rsidR="00E67A7C" w:rsidRPr="009A6ABA">
        <w:rPr>
          <w:lang w:val="en-ZA"/>
        </w:rPr>
        <w:t>f</w:t>
      </w:r>
      <w:r w:rsidR="00E67A7C" w:rsidRPr="009A6ABA">
        <w:t>–</w:t>
      </w:r>
      <w:r w:rsidR="000962CB">
        <w:t>i</w:t>
      </w:r>
      <w:r w:rsidR="00E67A7C" w:rsidRPr="009A6ABA">
        <w:t>)</w:t>
      </w:r>
      <w:r w:rsidR="00F3440B">
        <w:rPr>
          <w:lang w:val="en-ZA"/>
        </w:rPr>
        <w:t>.</w:t>
      </w:r>
    </w:p>
    <w:p w14:paraId="5FF97D42" w14:textId="3270B9A2" w:rsidR="00F45440" w:rsidRPr="00F45440" w:rsidRDefault="00AD1230" w:rsidP="005D1374">
      <w:pPr>
        <w:pStyle w:val="FirstParagraph"/>
      </w:pPr>
      <w:r>
        <w:t xml:space="preserve">Regressions </w:t>
      </w:r>
      <w:r w:rsidR="00CA131C">
        <w:t>indicate</w:t>
      </w:r>
      <w:r>
        <w:t xml:space="preserve"> that t</w:t>
      </w:r>
      <w:r w:rsidR="00880A28">
        <w:t xml:space="preserve">he degree to which the GCFR is more </w:t>
      </w:r>
      <w:r w:rsidR="00BF546E">
        <w:t xml:space="preserve">environmentally </w:t>
      </w:r>
      <w:r w:rsidR="00880A28">
        <w:t xml:space="preserve">heterogeneous than the SWAFR is </w:t>
      </w:r>
      <w:r w:rsidR="000D5988">
        <w:t xml:space="preserve">positively </w:t>
      </w:r>
      <w:r w:rsidR="00880A28">
        <w:t>scale-dependent</w:t>
      </w:r>
      <w:r w:rsidR="000D5988">
        <w:t xml:space="preserve"> (i.e. more heterogeneous at broad scales)</w:t>
      </w:r>
      <w:r w:rsidR="00346C28">
        <w:t>, with the notable exception</w:t>
      </w:r>
      <w:r w:rsidR="00BF546E">
        <w:t>s</w:t>
      </w:r>
      <w:r w:rsidR="00346C28">
        <w:t xml:space="preserve"> of MAP </w:t>
      </w:r>
      <w:r w:rsidR="00030A46">
        <w:t xml:space="preserve">and clay </w:t>
      </w:r>
      <w:r w:rsidR="00346C28">
        <w:t>(</w:t>
      </w:r>
      <w:r w:rsidR="0031751D">
        <w:t>Figure</w:t>
      </w:r>
      <w:r w:rsidR="005C5EBF">
        <w:t xml:space="preserve"> 3</w:t>
      </w:r>
      <w:r w:rsidR="0012073A">
        <w:t>b</w:t>
      </w:r>
      <w:r w:rsidR="00030A46">
        <w:t>,h</w:t>
      </w:r>
      <w:r w:rsidR="00346C28">
        <w:t>)</w:t>
      </w:r>
      <w:r w:rsidR="000C5AAD">
        <w:t xml:space="preserve">, </w:t>
      </w:r>
      <w:r>
        <w:t>in</w:t>
      </w:r>
      <w:r w:rsidR="00776E99">
        <w:t xml:space="preserve"> </w:t>
      </w:r>
      <w:r w:rsidR="000C5AAD">
        <w:t xml:space="preserve">which the GCFR </w:t>
      </w:r>
      <w:r w:rsidR="00776E99">
        <w:t xml:space="preserve">is disproportionately more heterogeneous </w:t>
      </w:r>
      <w:r w:rsidR="000C5AAD">
        <w:t xml:space="preserve">at </w:t>
      </w:r>
      <w:r w:rsidR="00776E99">
        <w:t>fine</w:t>
      </w:r>
      <w:r w:rsidR="000C5AAD">
        <w:t xml:space="preserve"> scales</w:t>
      </w:r>
      <w:r w:rsidR="00BF546E">
        <w:t>.</w:t>
      </w:r>
      <w:r w:rsidR="005171EA">
        <w:t xml:space="preserve"> Th</w:t>
      </w:r>
      <w:r w:rsidR="005B1454">
        <w:t>e</w:t>
      </w:r>
      <w:r w:rsidR="005171EA">
        <w:t xml:space="preserve"> major axis</w:t>
      </w:r>
      <w:r w:rsidR="005B1454">
        <w:t xml:space="preserve"> of heterogeneity (PC1)</w:t>
      </w:r>
      <w:r w:rsidR="003F7A46">
        <w:t xml:space="preserve"> </w:t>
      </w:r>
      <w:r w:rsidR="0057212C">
        <w:t>displays</w:t>
      </w:r>
      <w:r w:rsidR="003F7A46">
        <w:t xml:space="preserve"> scale-independence</w:t>
      </w:r>
      <w:r w:rsidR="00B14A5F">
        <w:t xml:space="preserve"> of most forms </w:t>
      </w:r>
      <w:r w:rsidR="00FF729E">
        <w:t xml:space="preserve">of </w:t>
      </w:r>
      <w:r w:rsidR="00B14A5F">
        <w:t>heterogeneit</w:t>
      </w:r>
      <w:r w:rsidR="007A0841">
        <w:t>y</w:t>
      </w:r>
      <w:r w:rsidR="00AB21A1">
        <w:t xml:space="preserve">, </w:t>
      </w:r>
      <w:r w:rsidR="00202A32">
        <w:t xml:space="preserve">with </w:t>
      </w:r>
      <w:r w:rsidR="00AB21A1">
        <w:t xml:space="preserve">its </w:t>
      </w:r>
      <w:r w:rsidR="00633C2F" w:rsidRPr="00633C2F">
        <w:rPr>
          <w:i/>
        </w:rPr>
        <w:t>CLES</w:t>
      </w:r>
      <w:r w:rsidR="00633C2F">
        <w:t xml:space="preserve"> </w:t>
      </w:r>
      <w:r w:rsidR="00AB21A1">
        <w:t>being</w:t>
      </w:r>
      <w:r w:rsidR="000F7FB0">
        <w:t xml:space="preserve"> </w:t>
      </w:r>
      <w:r w:rsidR="00AB21A1">
        <w:t>more or less uniform</w:t>
      </w:r>
      <w:r w:rsidR="00633C2F">
        <w:t xml:space="preserve"> </w:t>
      </w:r>
      <w:r w:rsidR="000F7FB0">
        <w:t>across</w:t>
      </w:r>
      <w:r w:rsidR="00633C2F">
        <w:t xml:space="preserve"> spatial</w:t>
      </w:r>
      <w:r w:rsidR="000F7FB0">
        <w:t xml:space="preserve"> scales</w:t>
      </w:r>
      <w:r w:rsidR="00633C2F">
        <w:t xml:space="preserve"> (</w:t>
      </w:r>
      <w:r w:rsidR="0031751D">
        <w:t>Figure</w:t>
      </w:r>
      <w:r w:rsidR="005C5EBF">
        <w:t xml:space="preserve"> 3</w:t>
      </w:r>
      <w:r w:rsidR="007755AC">
        <w:t>j</w:t>
      </w:r>
      <w:r w:rsidR="00633C2F">
        <w:t>)</w:t>
      </w:r>
      <w:r w:rsidR="000C5BB8">
        <w:t>.</w:t>
      </w:r>
    </w:p>
    <w:p w14:paraId="6A280C6C" w14:textId="3E44A148" w:rsidR="00D04776" w:rsidRPr="00AF0968" w:rsidRDefault="00DD7307" w:rsidP="008A4E97">
      <w:pPr>
        <w:pStyle w:val="Heading2"/>
        <w:spacing w:line="240" w:lineRule="auto"/>
        <w:rPr>
          <w:color w:val="auto"/>
        </w:rPr>
      </w:pPr>
      <w:r w:rsidRPr="00AF0968">
        <w:rPr>
          <w:color w:val="auto"/>
        </w:rPr>
        <w:t>3.3</w:t>
      </w:r>
      <w:r w:rsidR="00F055C7" w:rsidRPr="00AF0968">
        <w:rPr>
          <w:color w:val="auto"/>
        </w:rPr>
        <w:t>:</w:t>
      </w:r>
      <w:r w:rsidRPr="00AF0968">
        <w:rPr>
          <w:color w:val="auto"/>
        </w:rPr>
        <w:t xml:space="preserve"> </w:t>
      </w:r>
      <w:r w:rsidR="00D04776" w:rsidRPr="00AF0968">
        <w:rPr>
          <w:color w:val="auto"/>
        </w:rPr>
        <w:t>Environmental heterogeneity as an explanation of species richness</w:t>
      </w:r>
    </w:p>
    <w:p w14:paraId="13E7AA58" w14:textId="6106DDEF" w:rsidR="009B180C" w:rsidRPr="00484C8F" w:rsidRDefault="006B7A26" w:rsidP="008F4C08">
      <w:pPr>
        <w:pStyle w:val="FirstParagraph"/>
        <w:rPr>
          <w:rFonts w:eastAsiaTheme="minorEastAsia"/>
          <w:vertAlign w:val="subscript"/>
        </w:rPr>
      </w:pPr>
      <w:r>
        <w:t xml:space="preserve">The </w:t>
      </w:r>
      <w:r w:rsidR="006F1346">
        <w:t xml:space="preserve">univariate </w:t>
      </w:r>
      <w:r w:rsidR="00F554DF">
        <w:t xml:space="preserve">ANCOVA </w:t>
      </w:r>
      <w:r w:rsidR="002C7612">
        <w:t xml:space="preserve">results </w:t>
      </w:r>
      <w:r w:rsidR="006F1346">
        <w:rPr>
          <w:rFonts w:eastAsiaTheme="minorEastAsia"/>
        </w:rPr>
        <w:t xml:space="preserve">(Table 1) </w:t>
      </w:r>
      <w:r w:rsidR="002C7612">
        <w:t>show</w:t>
      </w:r>
      <w:r w:rsidR="00F554DF">
        <w:t xml:space="preserve"> that </w:t>
      </w:r>
      <w:r w:rsidR="00F554DF">
        <w:rPr>
          <w:rFonts w:eastAsiaTheme="minorEastAsia"/>
        </w:rPr>
        <w:t xml:space="preserve">heterogeneity in each of the nine environmental </w:t>
      </w:r>
      <w:r w:rsidR="00946019">
        <w:rPr>
          <w:rFonts w:eastAsiaTheme="minorEastAsia"/>
        </w:rPr>
        <w:t xml:space="preserve">heterogeneity </w:t>
      </w:r>
      <w:r w:rsidR="00F554DF">
        <w:rPr>
          <w:rFonts w:eastAsiaTheme="minorEastAsia"/>
        </w:rPr>
        <w:t>variables</w:t>
      </w:r>
      <w:r w:rsidR="006F1346">
        <w:rPr>
          <w:rFonts w:eastAsiaTheme="minorEastAsia"/>
        </w:rPr>
        <w:t>,</w:t>
      </w:r>
      <w:r w:rsidR="00752C87">
        <w:rPr>
          <w:rFonts w:eastAsiaTheme="minorEastAsia"/>
        </w:rPr>
        <w:t xml:space="preserve"> </w:t>
      </w:r>
      <w:r w:rsidR="00F554DF">
        <w:rPr>
          <w:rFonts w:eastAsiaTheme="minorEastAsia"/>
        </w:rPr>
        <w:t xml:space="preserve">as well as the main axis of heterogeneity (PC1), influence species richness </w:t>
      </w:r>
      <w:r w:rsidR="00F554DF" w:rsidRPr="007C5FF7">
        <w:rPr>
          <w:rFonts w:eastAsiaTheme="minorEastAsia"/>
        </w:rPr>
        <w:t>in a consistently positive manner across the two study regions</w:t>
      </w:r>
      <w:r w:rsidR="00DF01F6">
        <w:rPr>
          <w:rFonts w:eastAsiaTheme="minorEastAsia"/>
        </w:rPr>
        <w:t xml:space="preserve"> (exceptions being </w:t>
      </w:r>
      <w:commentRangeStart w:id="8"/>
      <w:r w:rsidR="00DF01F6">
        <w:rPr>
          <w:rFonts w:eastAsiaTheme="minorEastAsia"/>
        </w:rPr>
        <w:t>DS-scale elevation and CEC</w:t>
      </w:r>
      <w:commentRangeEnd w:id="8"/>
      <w:r w:rsidR="005155E1">
        <w:rPr>
          <w:rStyle w:val="CommentReference"/>
          <w:rFonts w:ascii="Times New Roman" w:hAnsiTheme="minorHAnsi"/>
        </w:rPr>
        <w:commentReference w:id="8"/>
      </w:r>
      <w:r w:rsidR="00DF01F6">
        <w:rPr>
          <w:rFonts w:eastAsiaTheme="minorEastAsia"/>
        </w:rPr>
        <w:t>; Table 1c)</w:t>
      </w:r>
      <w:r w:rsidR="00F858E0">
        <w:rPr>
          <w:rFonts w:eastAsiaTheme="minorEastAsia"/>
        </w:rPr>
        <w:t>.</w:t>
      </w:r>
      <w:r w:rsidR="0020209D">
        <w:rPr>
          <w:rFonts w:eastAsiaTheme="minorEastAsia"/>
        </w:rPr>
        <w:t xml:space="preserve"> </w:t>
      </w:r>
      <w:r w:rsidR="001B3692">
        <w:rPr>
          <w:rFonts w:eastAsiaTheme="minorEastAsia"/>
        </w:rPr>
        <w:t>Notably,</w:t>
      </w:r>
      <w:r w:rsidR="0020209D">
        <w:rPr>
          <w:rFonts w:eastAsiaTheme="minorEastAsia"/>
        </w:rPr>
        <w:t xml:space="preserve"> “main effect </w:t>
      </w:r>
      <w:r w:rsidR="0020209D">
        <w:rPr>
          <w:rFonts w:eastAsiaTheme="minorEastAsia" w:cstheme="majorBidi"/>
        </w:rPr>
        <w:t>×</w:t>
      </w:r>
      <w:r w:rsidR="0020209D">
        <w:rPr>
          <w:rFonts w:eastAsiaTheme="minorEastAsia"/>
        </w:rPr>
        <w:t xml:space="preserve"> region” models were optimal for some variables</w:t>
      </w:r>
      <w:r w:rsidR="001B3692">
        <w:rPr>
          <w:rFonts w:eastAsiaTheme="minorEastAsia"/>
        </w:rPr>
        <w:t>.</w:t>
      </w:r>
      <w:r w:rsidR="0020209D">
        <w:rPr>
          <w:rFonts w:eastAsiaTheme="minorEastAsia"/>
        </w:rPr>
        <w:t xml:space="preserve"> </w:t>
      </w:r>
      <w:r w:rsidR="001B3692">
        <w:rPr>
          <w:rFonts w:eastAsiaTheme="minorEastAsia"/>
        </w:rPr>
        <w:t xml:space="preserve">Although, </w:t>
      </w:r>
      <w:r w:rsidR="0020209D">
        <w:rPr>
          <w:rFonts w:eastAsiaTheme="minorEastAsia"/>
        </w:rPr>
        <w:t>the interaction terms associated with the</w:t>
      </w:r>
      <w:r w:rsidR="001B3692">
        <w:rPr>
          <w:rFonts w:eastAsiaTheme="minorEastAsia"/>
        </w:rPr>
        <w:t>se either describe a form of heterogeneity as having a positive effect on richness in both regions</w:t>
      </w:r>
      <w:r w:rsidR="00A64381">
        <w:rPr>
          <w:rFonts w:eastAsiaTheme="minorEastAsia"/>
        </w:rPr>
        <w:t xml:space="preserve"> or </w:t>
      </w:r>
      <w:r w:rsidR="00C86D71">
        <w:rPr>
          <w:rFonts w:eastAsiaTheme="minorEastAsia"/>
        </w:rPr>
        <w:t xml:space="preserve">as </w:t>
      </w:r>
      <w:r w:rsidR="00A64381">
        <w:rPr>
          <w:rFonts w:eastAsiaTheme="minorEastAsia"/>
        </w:rPr>
        <w:t>having a positive effect in one region and negligible effect in the other (e.g. HDS-scale heterogeneity in clay; Table 1b).</w:t>
      </w:r>
      <w:r w:rsidR="007A6675">
        <w:rPr>
          <w:rFonts w:eastAsiaTheme="minorEastAsia"/>
        </w:rPr>
        <w:t xml:space="preserve"> </w:t>
      </w:r>
      <w:r w:rsidR="00F554DF" w:rsidRPr="00CF397B">
        <w:rPr>
          <w:rFonts w:eastAsiaTheme="minorEastAsia"/>
        </w:rPr>
        <w:t>In addition</w:t>
      </w:r>
      <w:r w:rsidR="002C7612" w:rsidRPr="00CF397B">
        <w:rPr>
          <w:rFonts w:eastAsiaTheme="minorEastAsia"/>
        </w:rPr>
        <w:t>,</w:t>
      </w:r>
      <w:r w:rsidR="003E7233" w:rsidRPr="00CF397B">
        <w:t xml:space="preserve"> at the HDS- and DS-scales</w:t>
      </w:r>
      <w:r w:rsidR="00983D13" w:rsidRPr="00CF397B">
        <w:t>,</w:t>
      </w:r>
      <w:r w:rsidR="003E7233" w:rsidRPr="00CF397B">
        <w:t xml:space="preserve"> </w:t>
      </w:r>
      <w:r w:rsidR="002C7612" w:rsidRPr="00CF397B">
        <w:rPr>
          <w:rFonts w:eastAsiaTheme="minorEastAsia"/>
        </w:rPr>
        <w:t>the effect of</w:t>
      </w:r>
      <w:r w:rsidR="003E7233" w:rsidRPr="00CF397B">
        <w:rPr>
          <w:rFonts w:eastAsiaTheme="minorEastAsia"/>
        </w:rPr>
        <w:t xml:space="preserve"> </w:t>
      </w:r>
      <w:r w:rsidR="00EE05AD">
        <w:rPr>
          <w:rFonts w:eastAsiaTheme="minorEastAsia"/>
        </w:rPr>
        <w:t xml:space="preserve">the major axis of </w:t>
      </w:r>
      <w:r w:rsidR="002C7612" w:rsidRPr="00CF397B">
        <w:rPr>
          <w:rFonts w:eastAsiaTheme="minorEastAsia"/>
        </w:rPr>
        <w:t xml:space="preserve">heterogeneity </w:t>
      </w:r>
      <w:r w:rsidR="00EE05AD">
        <w:rPr>
          <w:rFonts w:eastAsiaTheme="minorEastAsia"/>
        </w:rPr>
        <w:t>(</w:t>
      </w:r>
      <w:r w:rsidR="002C7612" w:rsidRPr="00CF397B">
        <w:rPr>
          <w:rFonts w:eastAsiaTheme="minorEastAsia"/>
        </w:rPr>
        <w:t>PC1</w:t>
      </w:r>
      <w:r w:rsidR="00EE05AD">
        <w:rPr>
          <w:rFonts w:eastAsiaTheme="minorEastAsia"/>
        </w:rPr>
        <w:t>)</w:t>
      </w:r>
      <w:r w:rsidR="002C7612" w:rsidRPr="00CF397B">
        <w:rPr>
          <w:rFonts w:eastAsiaTheme="minorEastAsia"/>
        </w:rPr>
        <w:t xml:space="preserve"> on </w:t>
      </w:r>
      <w:r w:rsidR="003E7233" w:rsidRPr="00CF397B">
        <w:rPr>
          <w:rFonts w:eastAsiaTheme="minorEastAsia"/>
        </w:rPr>
        <w:t xml:space="preserve">species richness </w:t>
      </w:r>
      <w:r w:rsidR="002C7612" w:rsidRPr="00CF397B">
        <w:rPr>
          <w:rFonts w:eastAsiaTheme="minorEastAsia"/>
        </w:rPr>
        <w:t>is uniform</w:t>
      </w:r>
      <w:r w:rsidR="00E64B6B" w:rsidRPr="00CF397B">
        <w:rPr>
          <w:rFonts w:eastAsiaTheme="minorEastAsia"/>
        </w:rPr>
        <w:t xml:space="preserve"> </w:t>
      </w:r>
      <w:r w:rsidR="003E7233" w:rsidRPr="00CF397B">
        <w:rPr>
          <w:rFonts w:eastAsiaTheme="minorEastAsia"/>
        </w:rPr>
        <w:t>across the two regions</w:t>
      </w:r>
      <w:r w:rsidR="00983D13" w:rsidRPr="00CF397B">
        <w:rPr>
          <w:rFonts w:eastAsiaTheme="minorEastAsia"/>
        </w:rPr>
        <w:t xml:space="preserve"> (</w:t>
      </w:r>
      <w:r w:rsidR="00A23494" w:rsidRPr="00CF397B">
        <w:rPr>
          <w:rFonts w:eastAsiaTheme="minorEastAsia"/>
        </w:rPr>
        <w:t>i.e. “main effect</w:t>
      </w:r>
      <w:r w:rsidR="00EC5B19" w:rsidRPr="00CF397B">
        <w:rPr>
          <w:rFonts w:eastAsiaTheme="minorEastAsia"/>
        </w:rPr>
        <w:t xml:space="preserve"> only</w:t>
      </w:r>
      <w:r w:rsidR="00A23494" w:rsidRPr="00CF397B">
        <w:rPr>
          <w:rFonts w:eastAsiaTheme="minorEastAsia"/>
        </w:rPr>
        <w:t xml:space="preserve">” model favoured: </w:t>
      </w:r>
      <w:r w:rsidR="00983D13" w:rsidRPr="00CF397B">
        <w:rPr>
          <w:rFonts w:eastAsiaTheme="minorEastAsia"/>
        </w:rPr>
        <w:t xml:space="preserve">Table </w:t>
      </w:r>
      <w:r w:rsidR="008B0E3F" w:rsidRPr="00CF397B">
        <w:rPr>
          <w:rFonts w:eastAsiaTheme="minorEastAsia"/>
        </w:rPr>
        <w:t>1</w:t>
      </w:r>
      <w:r w:rsidR="00983D13" w:rsidRPr="00CF397B">
        <w:rPr>
          <w:rFonts w:eastAsiaTheme="minorEastAsia"/>
        </w:rPr>
        <w:t xml:space="preserve">b,c; </w:t>
      </w:r>
      <w:r w:rsidR="00B02E73" w:rsidRPr="00CF397B">
        <w:rPr>
          <w:rFonts w:eastAsiaTheme="minorEastAsia"/>
        </w:rPr>
        <w:t xml:space="preserve">Figure </w:t>
      </w:r>
      <w:r w:rsidR="00FF0F3A" w:rsidRPr="00CF397B">
        <w:rPr>
          <w:rFonts w:eastAsiaTheme="minorEastAsia"/>
        </w:rPr>
        <w:t>4</w:t>
      </w:r>
      <w:r w:rsidR="00983D13" w:rsidRPr="00CF397B">
        <w:rPr>
          <w:rFonts w:eastAsiaTheme="minorEastAsia"/>
        </w:rPr>
        <w:t>b,c)</w:t>
      </w:r>
      <w:r w:rsidR="003E7233" w:rsidRPr="00CF397B">
        <w:rPr>
          <w:rFonts w:eastAsiaTheme="minorEastAsia"/>
        </w:rPr>
        <w:t>.</w:t>
      </w:r>
      <w:r w:rsidR="008F4C08">
        <w:rPr>
          <w:rFonts w:eastAsiaTheme="minorEastAsia"/>
        </w:rPr>
        <w:t xml:space="preserve"> At the QDS-scale, though</w:t>
      </w:r>
      <w:r w:rsidR="001A7D58" w:rsidRPr="00CF397B">
        <w:rPr>
          <w:rFonts w:eastAsiaTheme="minorEastAsia" w:cstheme="majorBidi"/>
        </w:rPr>
        <w:t xml:space="preserve"> the </w:t>
      </w:r>
      <w:r w:rsidR="008F4C08">
        <w:rPr>
          <w:rFonts w:ascii="Times New Roman" w:hAnsi="Times New Roman" w:cs="Times New Roman"/>
        </w:rPr>
        <w:t>“m</w:t>
      </w:r>
      <w:r w:rsidR="008F4C08" w:rsidRPr="004C6C44">
        <w:rPr>
          <w:rFonts w:ascii="Times New Roman" w:hAnsi="Times New Roman" w:cs="Times New Roman"/>
        </w:rPr>
        <w:t>ain effect + region</w:t>
      </w:r>
      <w:r w:rsidR="008F4C08">
        <w:rPr>
          <w:rFonts w:ascii="Times New Roman" w:hAnsi="Times New Roman" w:cs="Times New Roman"/>
        </w:rPr>
        <w:t>”</w:t>
      </w:r>
      <w:r w:rsidR="008F4C08" w:rsidRPr="00CF397B">
        <w:rPr>
          <w:rFonts w:eastAsiaTheme="minorEastAsia" w:cstheme="majorBidi"/>
        </w:rPr>
        <w:t xml:space="preserve"> </w:t>
      </w:r>
      <w:r w:rsidR="008F4C08">
        <w:rPr>
          <w:rFonts w:eastAsiaTheme="minorEastAsia" w:cstheme="majorBidi"/>
        </w:rPr>
        <w:t>model was favoured, the difference in intercepts between the GCFR and SWAFR (92.5 species; Table 1a</w:t>
      </w:r>
      <w:r w:rsidR="007E43C4">
        <w:rPr>
          <w:rFonts w:eastAsiaTheme="minorEastAsia" w:cstheme="majorBidi"/>
        </w:rPr>
        <w:t xml:space="preserve">; </w:t>
      </w:r>
      <w:r w:rsidR="007E43C4" w:rsidRPr="00CF397B">
        <w:rPr>
          <w:rFonts w:eastAsiaTheme="minorEastAsia" w:cstheme="majorBidi"/>
        </w:rPr>
        <w:t>Figure 4a</w:t>
      </w:r>
      <w:r w:rsidR="008F4C08">
        <w:rPr>
          <w:rFonts w:eastAsiaTheme="minorEastAsia" w:cstheme="majorBidi"/>
        </w:rPr>
        <w:t>) is</w:t>
      </w:r>
      <w:r w:rsidR="003E77D9" w:rsidRPr="00CF397B">
        <w:rPr>
          <w:rFonts w:eastAsiaTheme="minorEastAsia" w:cstheme="majorBidi"/>
        </w:rPr>
        <w:t xml:space="preserve"> </w:t>
      </w:r>
      <w:r w:rsidR="008F4C08">
        <w:rPr>
          <w:rFonts w:eastAsiaTheme="minorEastAsia" w:cstheme="majorBidi"/>
        </w:rPr>
        <w:t>small</w:t>
      </w:r>
      <w:r w:rsidR="001A7D58" w:rsidRPr="00CF397B">
        <w:rPr>
          <w:rFonts w:eastAsiaTheme="minorEastAsia" w:cstheme="majorBidi"/>
        </w:rPr>
        <w:t xml:space="preserve"> relative to the </w:t>
      </w:r>
      <w:r w:rsidR="00827247" w:rsidRPr="00CF397B">
        <w:rPr>
          <w:rFonts w:eastAsiaTheme="minorEastAsia" w:cstheme="majorBidi"/>
        </w:rPr>
        <w:t xml:space="preserve">spread of residual </w:t>
      </w:r>
      <w:r w:rsidR="001A7D58" w:rsidRPr="00CF397B">
        <w:rPr>
          <w:rFonts w:eastAsiaTheme="minorEastAsia" w:cstheme="majorBidi"/>
        </w:rPr>
        <w:t xml:space="preserve">species richness </w:t>
      </w:r>
      <w:r w:rsidR="009E0429" w:rsidRPr="00CF397B">
        <w:rPr>
          <w:rFonts w:eastAsiaTheme="minorEastAsia" w:cstheme="majorBidi"/>
        </w:rPr>
        <w:t xml:space="preserve">at the </w:t>
      </w:r>
      <w:r w:rsidR="001A7D58" w:rsidRPr="00CF397B">
        <w:rPr>
          <w:rFonts w:eastAsiaTheme="minorEastAsia" w:cstheme="majorBidi"/>
        </w:rPr>
        <w:t>QDS</w:t>
      </w:r>
      <w:r w:rsidR="009E0429" w:rsidRPr="00CF397B">
        <w:rPr>
          <w:rFonts w:eastAsiaTheme="minorEastAsia" w:cstheme="majorBidi"/>
        </w:rPr>
        <w:t>-scale within</w:t>
      </w:r>
      <w:r w:rsidR="001A7D58" w:rsidRPr="00CF397B">
        <w:rPr>
          <w:rFonts w:eastAsiaTheme="minorEastAsia" w:cstheme="majorBidi"/>
        </w:rPr>
        <w:t xml:space="preserve"> </w:t>
      </w:r>
      <w:r w:rsidR="009E0429" w:rsidRPr="00CF397B">
        <w:rPr>
          <w:rFonts w:eastAsiaTheme="minorEastAsia" w:cstheme="majorBidi"/>
        </w:rPr>
        <w:t xml:space="preserve">each region </w:t>
      </w:r>
      <w:r w:rsidR="001A7D58" w:rsidRPr="00CF397B">
        <w:t>(</w:t>
      </w:r>
      <w:r w:rsidR="001A7D58" w:rsidRPr="00CF397B">
        <w:rPr>
          <w:i/>
          <w:iCs/>
        </w:rPr>
        <w:t>SD</w:t>
      </w:r>
      <w:r w:rsidR="00827247" w:rsidRPr="00CF397B">
        <w:rPr>
          <w:iCs/>
          <w:vertAlign w:val="subscript"/>
        </w:rPr>
        <w:t>GCFR</w:t>
      </w:r>
      <w:r w:rsidR="001A7D58" w:rsidRPr="00CF397B">
        <w:t xml:space="preserve"> = </w:t>
      </w:r>
      <w:r w:rsidR="00827247" w:rsidRPr="00CF397B">
        <w:t>3</w:t>
      </w:r>
      <w:r w:rsidR="008F4C08">
        <w:t>43.5</w:t>
      </w:r>
      <w:r w:rsidR="00827247" w:rsidRPr="00CF397B">
        <w:t xml:space="preserve">; </w:t>
      </w:r>
      <w:r w:rsidR="00827247" w:rsidRPr="00CF397B">
        <w:rPr>
          <w:i/>
          <w:iCs/>
        </w:rPr>
        <w:t>SD</w:t>
      </w:r>
      <w:r w:rsidR="00827247" w:rsidRPr="00CF397B">
        <w:rPr>
          <w:iCs/>
          <w:vertAlign w:val="subscript"/>
        </w:rPr>
        <w:t>SWAFR</w:t>
      </w:r>
      <w:r w:rsidR="00827247" w:rsidRPr="00CF397B">
        <w:t xml:space="preserve"> = 24</w:t>
      </w:r>
      <w:r w:rsidR="008F4C08">
        <w:t>5</w:t>
      </w:r>
      <w:r w:rsidR="00827247" w:rsidRPr="00CF397B">
        <w:t>.</w:t>
      </w:r>
      <w:r w:rsidR="008F4C08">
        <w:t>8</w:t>
      </w:r>
      <w:commentRangeStart w:id="9"/>
      <w:r w:rsidR="00496FAE" w:rsidRPr="003D0E54">
        <w:rPr>
          <w:color w:val="FF0000"/>
        </w:rPr>
        <w:t>; Table S</w:t>
      </w:r>
      <w:r w:rsidR="00AF3227" w:rsidRPr="003D0E54">
        <w:rPr>
          <w:color w:val="FF0000"/>
        </w:rPr>
        <w:t>3</w:t>
      </w:r>
      <w:r w:rsidR="00496FAE" w:rsidRPr="003D0E54">
        <w:rPr>
          <w:color w:val="FF0000"/>
        </w:rPr>
        <w:t>a</w:t>
      </w:r>
      <w:commentRangeEnd w:id="9"/>
      <w:r w:rsidR="003D0E54">
        <w:rPr>
          <w:rStyle w:val="CommentReference"/>
          <w:rFonts w:ascii="Times New Roman" w:hAnsiTheme="minorHAnsi"/>
        </w:rPr>
        <w:commentReference w:id="9"/>
      </w:r>
      <w:r w:rsidR="001A7D58" w:rsidRPr="00CF397B">
        <w:t>).</w:t>
      </w:r>
      <w:r w:rsidR="007F71F9" w:rsidRPr="00CF397B">
        <w:rPr>
          <w:rFonts w:eastAsiaTheme="minorEastAsia" w:cstheme="majorBidi"/>
        </w:rPr>
        <w:t xml:space="preserve"> </w:t>
      </w:r>
      <w:r w:rsidR="001A7D58" w:rsidRPr="00CF397B">
        <w:rPr>
          <w:rFonts w:eastAsiaTheme="minorEastAsia" w:cstheme="majorBidi"/>
        </w:rPr>
        <w:t xml:space="preserve">This </w:t>
      </w:r>
      <w:r w:rsidR="00A46153" w:rsidRPr="00CF397B">
        <w:rPr>
          <w:rFonts w:eastAsiaTheme="minorEastAsia" w:cstheme="majorBidi"/>
        </w:rPr>
        <w:t>indicates</w:t>
      </w:r>
      <w:r w:rsidR="001A7D58" w:rsidRPr="00CF397B">
        <w:rPr>
          <w:rFonts w:eastAsiaTheme="minorEastAsia" w:cstheme="majorBidi"/>
        </w:rPr>
        <w:t xml:space="preserve"> that </w:t>
      </w:r>
      <w:r w:rsidR="002644D2" w:rsidRPr="00CF397B">
        <w:rPr>
          <w:rFonts w:eastAsiaTheme="minorEastAsia" w:cstheme="majorBidi"/>
        </w:rPr>
        <w:t xml:space="preserve">regional differences in the form of the </w:t>
      </w:r>
      <w:r w:rsidR="009E0429" w:rsidRPr="00CF397B">
        <w:rPr>
          <w:rFonts w:eastAsiaTheme="minorEastAsia" w:cstheme="majorBidi"/>
        </w:rPr>
        <w:t xml:space="preserve">QDS-scale </w:t>
      </w:r>
      <w:r w:rsidR="002644D2" w:rsidRPr="00CF397B">
        <w:rPr>
          <w:rFonts w:eastAsiaTheme="minorEastAsia" w:cstheme="majorBidi"/>
        </w:rPr>
        <w:t>species richness-heterogeneity relationship</w:t>
      </w:r>
      <w:r w:rsidR="00EB3F26" w:rsidRPr="00CF397B">
        <w:t>, while statistically significant,</w:t>
      </w:r>
      <w:r w:rsidR="001A7D58" w:rsidRPr="00CF397B">
        <w:rPr>
          <w:rFonts w:eastAsiaTheme="minorEastAsia" w:cstheme="majorBidi"/>
        </w:rPr>
        <w:t xml:space="preserve"> are </w:t>
      </w:r>
      <w:r w:rsidR="009B4280" w:rsidRPr="00CF397B">
        <w:rPr>
          <w:rFonts w:eastAsiaTheme="minorEastAsia" w:cstheme="majorBidi"/>
        </w:rPr>
        <w:t>subtle</w:t>
      </w:r>
      <w:r w:rsidR="001A7D58" w:rsidRPr="00CF397B">
        <w:rPr>
          <w:rFonts w:eastAsiaTheme="minorEastAsia" w:cstheme="majorBidi"/>
        </w:rPr>
        <w:t>.</w:t>
      </w:r>
      <w:r w:rsidR="00484C8F">
        <w:rPr>
          <w:rFonts w:eastAsiaTheme="minorEastAsia" w:cstheme="majorBidi"/>
        </w:rPr>
        <w:t xml:space="preserve"> Quadratic forms of these best fitting PC1-models were also compared, with the above linear forms of the “</w:t>
      </w:r>
      <w:r w:rsidR="00484C8F" w:rsidRPr="00CF397B">
        <w:rPr>
          <w:rFonts w:eastAsiaTheme="minorEastAsia"/>
        </w:rPr>
        <w:t>main effect only</w:t>
      </w:r>
      <w:r w:rsidR="00484C8F">
        <w:rPr>
          <w:rFonts w:eastAsiaTheme="minorEastAsia" w:cstheme="majorBidi"/>
        </w:rPr>
        <w:t>” models favoured at both the HDS- and DS-scales (</w:t>
      </w:r>
      <w:r w:rsidR="00484C8F">
        <w:rPr>
          <w:rFonts w:eastAsiaTheme="minorEastAsia" w:cstheme="majorBidi"/>
          <w:i/>
          <w:iCs/>
        </w:rPr>
        <w:t>∆AIC</w:t>
      </w:r>
      <w:r w:rsidR="00484C8F">
        <w:rPr>
          <w:rFonts w:eastAsiaTheme="minorEastAsia" w:cstheme="majorBidi"/>
          <w:i/>
          <w:iCs/>
          <w:vertAlign w:val="subscript"/>
        </w:rPr>
        <w:t>linear</w:t>
      </w:r>
      <w:r w:rsidR="00484C8F">
        <w:rPr>
          <w:rFonts w:eastAsiaTheme="minorEastAsia" w:cstheme="majorBidi"/>
          <w:i/>
          <w:iCs/>
        </w:rPr>
        <w:t xml:space="preserve"> </w:t>
      </w:r>
      <w:r w:rsidR="00484C8F">
        <w:rPr>
          <w:rFonts w:eastAsiaTheme="minorEastAsia" w:cstheme="majorBidi"/>
        </w:rPr>
        <w:t xml:space="preserve">&lt; 2). At the QDS-scale, however, a quadratic model (i.e., of the form </w:t>
      </w:r>
      <w:r w:rsidR="00484C8F" w:rsidRPr="00D67CEB">
        <w:rPr>
          <w:rFonts w:eastAsiaTheme="minorEastAsia"/>
          <w:i/>
        </w:rPr>
        <w:t>S</w:t>
      </w:r>
      <w:r w:rsidR="00484C8F">
        <w:rPr>
          <w:rFonts w:eastAsiaTheme="minorEastAsia"/>
        </w:rPr>
        <w:t xml:space="preserve"> ~ </w:t>
      </w:r>
      <w:r w:rsidR="00484C8F" w:rsidRPr="003562E3">
        <w:rPr>
          <w:rFonts w:cstheme="majorBidi"/>
          <w:i/>
        </w:rPr>
        <w:t>β</w:t>
      </w:r>
      <w:r w:rsidR="00484C8F" w:rsidRPr="00D67CEB">
        <w:rPr>
          <w:rFonts w:cstheme="majorBidi"/>
          <w:vertAlign w:val="subscript"/>
        </w:rPr>
        <w:t>0</w:t>
      </w:r>
      <w:r w:rsidR="00484C8F">
        <w:rPr>
          <w:rFonts w:cstheme="majorBidi"/>
        </w:rPr>
        <w:t xml:space="preserve"> + </w:t>
      </w:r>
      <w:r w:rsidR="00484C8F" w:rsidRPr="003562E3">
        <w:rPr>
          <w:rFonts w:cstheme="majorBidi"/>
          <w:i/>
        </w:rPr>
        <w:t>β</w:t>
      </w:r>
      <w:r w:rsidR="00484C8F">
        <w:rPr>
          <w:rFonts w:cstheme="majorBidi"/>
          <w:vertAlign w:val="subscript"/>
        </w:rPr>
        <w:t>1</w:t>
      </w:r>
      <w:r w:rsidR="00484C8F">
        <w:rPr>
          <w:rFonts w:cstheme="majorBidi"/>
          <w:i/>
        </w:rPr>
        <w:t xml:space="preserve">X + </w:t>
      </w:r>
      <w:r w:rsidR="00484C8F" w:rsidRPr="003562E3">
        <w:rPr>
          <w:rFonts w:cstheme="majorBidi"/>
          <w:i/>
        </w:rPr>
        <w:t>β</w:t>
      </w:r>
      <w:r w:rsidR="00484C8F">
        <w:rPr>
          <w:rFonts w:cstheme="majorBidi"/>
          <w:vertAlign w:val="subscript"/>
        </w:rPr>
        <w:t>2</w:t>
      </w:r>
      <w:r w:rsidR="00484C8F">
        <w:rPr>
          <w:rFonts w:cstheme="majorBidi"/>
          <w:i/>
        </w:rPr>
        <w:t>X</w:t>
      </w:r>
      <w:r w:rsidR="00484C8F" w:rsidRPr="00484C8F">
        <w:rPr>
          <w:rFonts w:cstheme="majorBidi"/>
          <w:iCs/>
          <w:vertAlign w:val="superscript"/>
        </w:rPr>
        <w:t>2</w:t>
      </w:r>
      <w:r w:rsidR="00484C8F" w:rsidRPr="00484C8F">
        <w:rPr>
          <w:rFonts w:cstheme="majorBidi"/>
          <w:iCs/>
        </w:rPr>
        <w:t>)</w:t>
      </w:r>
      <w:r w:rsidR="00484C8F">
        <w:rPr>
          <w:rFonts w:cstheme="majorBidi"/>
          <w:iCs/>
        </w:rPr>
        <w:t xml:space="preserve"> was favoured </w:t>
      </w:r>
      <w:r w:rsidR="00484C8F">
        <w:rPr>
          <w:rFonts w:eastAsiaTheme="minorEastAsia" w:cstheme="majorBidi"/>
        </w:rPr>
        <w:t>(</w:t>
      </w:r>
      <w:r w:rsidR="00484C8F">
        <w:rPr>
          <w:rFonts w:eastAsiaTheme="minorEastAsia" w:cstheme="majorBidi"/>
          <w:i/>
          <w:iCs/>
        </w:rPr>
        <w:t>∆AIC</w:t>
      </w:r>
      <w:r w:rsidR="00484C8F">
        <w:rPr>
          <w:rFonts w:eastAsiaTheme="minorEastAsia" w:cstheme="majorBidi"/>
          <w:i/>
          <w:iCs/>
          <w:vertAlign w:val="subscript"/>
        </w:rPr>
        <w:t>linear</w:t>
      </w:r>
      <w:r w:rsidR="00484C8F">
        <w:rPr>
          <w:rFonts w:eastAsiaTheme="minorEastAsia" w:cstheme="majorBidi"/>
          <w:i/>
          <w:iCs/>
        </w:rPr>
        <w:t xml:space="preserve"> </w:t>
      </w:r>
      <w:r w:rsidR="00484C8F">
        <w:rPr>
          <w:rFonts w:eastAsiaTheme="minorEastAsia" w:cstheme="majorBidi"/>
        </w:rPr>
        <w:t xml:space="preserve">= </w:t>
      </w:r>
      <w:r w:rsidR="00484C8F" w:rsidRPr="00484C8F">
        <w:rPr>
          <w:rFonts w:eastAsiaTheme="minorEastAsia" w:cstheme="majorBidi"/>
        </w:rPr>
        <w:t>23.78</w:t>
      </w:r>
      <w:r w:rsidR="00484C8F">
        <w:rPr>
          <w:rFonts w:eastAsiaTheme="minorEastAsia" w:cstheme="majorBidi"/>
        </w:rPr>
        <w:t>)</w:t>
      </w:r>
      <w:r w:rsidR="00E4510A">
        <w:rPr>
          <w:rFonts w:eastAsiaTheme="minorEastAsia" w:cstheme="majorBidi"/>
        </w:rPr>
        <w:t>, with positive effects of PC1 on richness (</w:t>
      </w:r>
      <w:r w:rsidR="00E4510A" w:rsidRPr="003562E3">
        <w:rPr>
          <w:rFonts w:cstheme="majorBidi"/>
          <w:i/>
        </w:rPr>
        <w:t>β</w:t>
      </w:r>
      <w:r w:rsidR="00E4510A">
        <w:rPr>
          <w:rFonts w:cstheme="majorBidi"/>
          <w:vertAlign w:val="subscript"/>
        </w:rPr>
        <w:t>1</w:t>
      </w:r>
      <w:r w:rsidR="00E4510A">
        <w:rPr>
          <w:rFonts w:eastAsiaTheme="minorEastAsia" w:cstheme="majorBidi"/>
        </w:rPr>
        <w:t xml:space="preserve"> = </w:t>
      </w:r>
      <w:r w:rsidR="00E4510A" w:rsidRPr="00E4510A">
        <w:rPr>
          <w:rFonts w:eastAsiaTheme="minorEastAsia" w:cstheme="majorBidi"/>
        </w:rPr>
        <w:t>69.02</w:t>
      </w:r>
      <w:r w:rsidR="00E4510A">
        <w:rPr>
          <w:rFonts w:eastAsiaTheme="minorEastAsia" w:cstheme="majorBidi"/>
        </w:rPr>
        <w:t xml:space="preserve">, </w:t>
      </w:r>
      <w:r w:rsidR="00E4510A" w:rsidRPr="003562E3">
        <w:rPr>
          <w:rFonts w:cstheme="majorBidi"/>
          <w:i/>
        </w:rPr>
        <w:t>β</w:t>
      </w:r>
      <w:r w:rsidR="00E4510A">
        <w:rPr>
          <w:rFonts w:cstheme="majorBidi"/>
          <w:vertAlign w:val="subscript"/>
        </w:rPr>
        <w:t>2</w:t>
      </w:r>
      <w:r w:rsidR="00E4510A">
        <w:rPr>
          <w:rFonts w:eastAsiaTheme="minorEastAsia" w:cstheme="majorBidi"/>
        </w:rPr>
        <w:t xml:space="preserve"> = </w:t>
      </w:r>
      <w:r w:rsidR="00E4510A" w:rsidRPr="00E4510A">
        <w:rPr>
          <w:rFonts w:eastAsiaTheme="minorEastAsia" w:cstheme="majorBidi"/>
        </w:rPr>
        <w:t>9.99</w:t>
      </w:r>
      <w:r w:rsidR="00E4510A">
        <w:rPr>
          <w:rFonts w:eastAsiaTheme="minorEastAsia" w:cstheme="majorBidi"/>
        </w:rPr>
        <w:t xml:space="preserve">; both </w:t>
      </w:r>
      <w:r w:rsidR="00E4510A">
        <w:rPr>
          <w:rFonts w:eastAsiaTheme="minorEastAsia" w:cstheme="majorBidi"/>
          <w:i/>
          <w:iCs/>
        </w:rPr>
        <w:t xml:space="preserve">P </w:t>
      </w:r>
      <w:r w:rsidR="00E4510A">
        <w:rPr>
          <w:rFonts w:eastAsiaTheme="minorEastAsia" w:cstheme="majorBidi"/>
        </w:rPr>
        <w:t>&lt; 0.001)</w:t>
      </w:r>
      <w:r w:rsidR="00880860">
        <w:rPr>
          <w:rFonts w:eastAsiaTheme="minorEastAsia" w:cstheme="majorBidi"/>
        </w:rPr>
        <w:t xml:space="preserve"> </w:t>
      </w:r>
      <w:commentRangeStart w:id="10"/>
      <w:r w:rsidR="00880860">
        <w:rPr>
          <w:rFonts w:eastAsiaTheme="minorEastAsia" w:cstheme="majorBidi"/>
        </w:rPr>
        <w:t>describing an upward parabolic relationship</w:t>
      </w:r>
      <w:commentRangeEnd w:id="10"/>
      <w:r w:rsidR="00EA17AA">
        <w:rPr>
          <w:rStyle w:val="CommentReference"/>
          <w:rFonts w:ascii="Times New Roman" w:hAnsiTheme="minorHAnsi"/>
        </w:rPr>
        <w:commentReference w:id="10"/>
      </w:r>
      <w:r w:rsidR="00E4510A">
        <w:rPr>
          <w:rFonts w:eastAsiaTheme="minorEastAsia" w:cstheme="majorBidi"/>
        </w:rPr>
        <w:t>.</w:t>
      </w:r>
    </w:p>
    <w:p w14:paraId="440DAAFE" w14:textId="0E3CD704" w:rsidR="006C54AE" w:rsidRDefault="00C31973">
      <w:pPr>
        <w:pStyle w:val="FirstParagraph"/>
      </w:pPr>
      <w:r>
        <w:t xml:space="preserve">We fit multiple regression models to describe the effects of the different heterogeneity </w:t>
      </w:r>
      <w:r w:rsidR="00B335D2">
        <w:t xml:space="preserve">variables </w:t>
      </w:r>
      <w:r>
        <w:t xml:space="preserve">on species richness in concert. </w:t>
      </w:r>
      <w:r w:rsidR="00E22B64">
        <w:t xml:space="preserve">The </w:t>
      </w:r>
      <w:commentRangeStart w:id="11"/>
      <w:r w:rsidR="00E22B64">
        <w:t xml:space="preserve">partial </w:t>
      </w:r>
      <w:r w:rsidR="00E22B64" w:rsidRPr="00866807">
        <w:t xml:space="preserve">effects </w:t>
      </w:r>
      <w:commentRangeEnd w:id="11"/>
      <w:r w:rsidR="00E22B64">
        <w:rPr>
          <w:rStyle w:val="CommentReference"/>
          <w:rFonts w:ascii="Times New Roman" w:hAnsiTheme="minorHAnsi"/>
        </w:rPr>
        <w:commentReference w:id="11"/>
      </w:r>
      <w:r w:rsidR="00E22B64" w:rsidRPr="00866807">
        <w:t xml:space="preserve">of heterogeneity predictors retained in the optimal multiple regression models </w:t>
      </w:r>
      <w:r w:rsidR="00E22B64">
        <w:t xml:space="preserve">(Figure 5) </w:t>
      </w:r>
      <w:r w:rsidR="00E22B64" w:rsidRPr="00866807">
        <w:t xml:space="preserve">are </w:t>
      </w:r>
      <w:r w:rsidR="00E22B64">
        <w:t>usually</w:t>
      </w:r>
      <w:r w:rsidR="00E22B64" w:rsidRPr="00866807">
        <w:t xml:space="preserve"> positive or</w:t>
      </w:r>
      <w:r w:rsidR="00E22B64">
        <w:t xml:space="preserve"> neutral in the GCFR and positive or neutral in the SWAFR, with e</w:t>
      </w:r>
      <w:r w:rsidR="00B930DF" w:rsidRPr="00866807">
        <w:t>xception</w:t>
      </w:r>
      <w:r w:rsidR="00E22B64">
        <w:t xml:space="preserve">s being </w:t>
      </w:r>
      <w:commentRangeStart w:id="12"/>
      <w:r w:rsidR="00E22B64">
        <w:t>heterogeneity in</w:t>
      </w:r>
      <w:r w:rsidR="00924C2A">
        <w:t xml:space="preserve"> </w:t>
      </w:r>
      <w:r w:rsidR="00E22B64" w:rsidRPr="00E22B64">
        <w:t>elevation at the DS-scal</w:t>
      </w:r>
      <w:r w:rsidR="000065E8">
        <w:t>e,</w:t>
      </w:r>
      <w:r w:rsidR="000065E8" w:rsidRPr="000065E8">
        <w:t xml:space="preserve"> </w:t>
      </w:r>
      <w:r w:rsidR="000065E8" w:rsidRPr="00E22B64">
        <w:t>PDQ at QDS- and DS-scales</w:t>
      </w:r>
      <w:r w:rsidR="00E22B64" w:rsidRPr="00E22B64">
        <w:t xml:space="preserve">, </w:t>
      </w:r>
      <w:r w:rsidR="000065E8" w:rsidRPr="00E22B64">
        <w:t>CEC at the QDS- and DS-scales</w:t>
      </w:r>
      <w:r w:rsidR="000065E8">
        <w:t xml:space="preserve"> and </w:t>
      </w:r>
      <w:r w:rsidR="00B930DF" w:rsidRPr="00E22B64">
        <w:t>pH at all spatial scales</w:t>
      </w:r>
      <w:commentRangeEnd w:id="12"/>
      <w:r w:rsidR="000065E8">
        <w:rPr>
          <w:rStyle w:val="CommentReference"/>
          <w:rFonts w:ascii="Times New Roman" w:hAnsiTheme="minorHAnsi"/>
        </w:rPr>
        <w:commentReference w:id="12"/>
      </w:r>
      <w:r w:rsidR="000065E8">
        <w:t>.</w:t>
      </w:r>
      <w:r w:rsidR="00350FE5" w:rsidRPr="00E22B64">
        <w:t xml:space="preserve"> </w:t>
      </w:r>
      <w:r w:rsidR="00866807" w:rsidRPr="00E22B64">
        <w:lastRenderedPageBreak/>
        <w:t xml:space="preserve">This </w:t>
      </w:r>
      <w:r w:rsidR="004A2BCB" w:rsidRPr="00E22B64">
        <w:t>adds nuance to</w:t>
      </w:r>
      <w:r w:rsidR="0064694B" w:rsidRPr="00E22B64">
        <w:t xml:space="preserve"> the</w:t>
      </w:r>
      <w:r w:rsidR="00350FE5" w:rsidRPr="00E22B64">
        <w:t xml:space="preserve"> generally </w:t>
      </w:r>
      <w:r w:rsidR="0090296A" w:rsidRPr="00E22B64">
        <w:t>positive</w:t>
      </w:r>
      <w:r w:rsidR="00350FE5">
        <w:t xml:space="preserve"> influence of heterogeneity on species richness</w:t>
      </w:r>
      <w:r w:rsidR="004A2BCB">
        <w:t xml:space="preserve"> displayed by the PC1-based ANCOVAs (Figure 4)</w:t>
      </w:r>
      <w:r w:rsidR="00F203C8">
        <w:t xml:space="preserve"> and in most forms of heterogeneity when compared in isolation (Table 1)</w:t>
      </w:r>
      <w:r w:rsidR="004E394A">
        <w:t xml:space="preserve">. </w:t>
      </w:r>
      <w:r w:rsidR="008C7E5A">
        <w:t>Interestingly, DS-scale heterogeneity in elevation and CEC have both negative univariate (Table 1c) and partial (Figure 5c) effects. H</w:t>
      </w:r>
      <w:r w:rsidR="00A12A8F" w:rsidRPr="00A12A8F">
        <w:t xml:space="preserve">eterogeneity in </w:t>
      </w:r>
      <w:r w:rsidR="0032574D" w:rsidRPr="00A12A8F">
        <w:t xml:space="preserve">MAP has the greatest explanatory power in </w:t>
      </w:r>
      <w:r w:rsidR="005E7450">
        <w:t>the QDS- and HDS-scale</w:t>
      </w:r>
      <w:r w:rsidR="0032574D" w:rsidRPr="00A12A8F">
        <w:t xml:space="preserve"> models (</w:t>
      </w:r>
      <w:r w:rsidR="00D17FCB" w:rsidRPr="00A12A8F">
        <w:t>Table S2</w:t>
      </w:r>
      <w:r w:rsidR="00574970">
        <w:t>a,b</w:t>
      </w:r>
      <w:r w:rsidR="0032574D" w:rsidRPr="00A12A8F">
        <w:t>)</w:t>
      </w:r>
      <w:r w:rsidR="00350FE5" w:rsidRPr="00A12A8F">
        <w:t>.</w:t>
      </w:r>
      <w:r>
        <w:t xml:space="preserve"> </w:t>
      </w:r>
      <w:r w:rsidR="008D6299">
        <w:t>Like</w:t>
      </w:r>
      <w:r w:rsidR="0028338C" w:rsidRPr="00CF397B">
        <w:t xml:space="preserve"> </w:t>
      </w:r>
      <w:r w:rsidR="00237525" w:rsidRPr="00CF397B">
        <w:t xml:space="preserve">the </w:t>
      </w:r>
      <w:r w:rsidR="006B7A26" w:rsidRPr="00CF397B">
        <w:t xml:space="preserve">optimal </w:t>
      </w:r>
      <w:r w:rsidR="00B930DF" w:rsidRPr="00CF397B">
        <w:t>ANCOVA</w:t>
      </w:r>
      <w:r w:rsidR="006B7A26" w:rsidRPr="00CF397B">
        <w:t xml:space="preserve"> models, multiple</w:t>
      </w:r>
      <w:r w:rsidR="00350FE5" w:rsidRPr="00CF397B">
        <w:t xml:space="preserve"> </w:t>
      </w:r>
      <w:r w:rsidR="00983D13" w:rsidRPr="00CF397B">
        <w:t>regression</w:t>
      </w:r>
      <w:r w:rsidR="00350FE5" w:rsidRPr="00CF397B">
        <w:t xml:space="preserve"> model</w:t>
      </w:r>
      <w:r w:rsidR="009F3EA3" w:rsidRPr="00CF397B">
        <w:t xml:space="preserve">s </w:t>
      </w:r>
      <w:r w:rsidR="00473F34" w:rsidRPr="00CF397B">
        <w:t>suggest</w:t>
      </w:r>
      <w:r w:rsidR="00D06C06" w:rsidRPr="00CF397B">
        <w:t xml:space="preserve"> region-dependence </w:t>
      </w:r>
      <w:r w:rsidR="00262F02" w:rsidRPr="00CF397B">
        <w:t xml:space="preserve">in the relationships of species dependence to environmental heterogeneity </w:t>
      </w:r>
      <w:r w:rsidR="00D06C06" w:rsidRPr="00CF397B">
        <w:t>at all three spatial scales</w:t>
      </w:r>
      <w:r w:rsidR="003115F6" w:rsidRPr="00CF397B">
        <w:t xml:space="preserve"> (</w:t>
      </w:r>
      <w:r w:rsidR="008538A7" w:rsidRPr="00CF397B">
        <w:t xml:space="preserve">Figure </w:t>
      </w:r>
      <w:r w:rsidR="00977291" w:rsidRPr="00CF397B">
        <w:t>5</w:t>
      </w:r>
      <w:r w:rsidR="00CA688A" w:rsidRPr="00CF397B">
        <w:t>)</w:t>
      </w:r>
      <w:r w:rsidR="00473F34" w:rsidRPr="00CF397B">
        <w:t>.</w:t>
      </w:r>
      <w:r w:rsidR="00724853">
        <w:t xml:space="preserve"> Particularly at the DS-scale</w:t>
      </w:r>
      <w:r w:rsidR="00FC0F13">
        <w:t xml:space="preserve"> (Figure 5c)</w:t>
      </w:r>
      <w:r w:rsidR="00724853">
        <w:t xml:space="preserve">, </w:t>
      </w:r>
      <w:r w:rsidR="002A0395">
        <w:t xml:space="preserve">the </w:t>
      </w:r>
      <w:r w:rsidR="002A0395" w:rsidRPr="002A0395">
        <w:t xml:space="preserve">coefficients associated with the partial effects of heterogeneity </w:t>
      </w:r>
      <w:r w:rsidR="002A0395">
        <w:t>in</w:t>
      </w:r>
      <w:r w:rsidR="002A0395" w:rsidRPr="002A0395">
        <w:t xml:space="preserve"> SWAFR </w:t>
      </w:r>
      <w:r w:rsidR="002A0395">
        <w:t xml:space="preserve">relative to the GCFR effectively cancel out </w:t>
      </w:r>
      <w:r w:rsidR="002A0395" w:rsidRPr="002A0395">
        <w:t>the effects of these variables estimated in the GCFR</w:t>
      </w:r>
      <w:r w:rsidR="0078755A">
        <w:t xml:space="preserve">. This indicates </w:t>
      </w:r>
      <w:r w:rsidR="0019274F">
        <w:t xml:space="preserve">weaker or absent partial relationships between </w:t>
      </w:r>
      <w:r w:rsidR="0072394C">
        <w:t xml:space="preserve">richness and </w:t>
      </w:r>
      <w:r w:rsidR="0019274F">
        <w:t>the different forms of heterogeneity in the SWAFR</w:t>
      </w:r>
      <w:r w:rsidR="002A0395">
        <w:t>.</w:t>
      </w:r>
    </w:p>
    <w:p w14:paraId="2C47BF37" w14:textId="2C0C6735" w:rsidR="00350FE5" w:rsidRDefault="00396132">
      <w:pPr>
        <w:pStyle w:val="FirstParagraph"/>
      </w:pPr>
      <w:r>
        <w:t>T</w:t>
      </w:r>
      <w:r w:rsidR="00E81245">
        <w:t>he coefficients of determi</w:t>
      </w:r>
      <w:r w:rsidR="006F4CB8">
        <w:t>nation associated with the opti</w:t>
      </w:r>
      <w:r w:rsidR="00E81245">
        <w:t>mum regression models</w:t>
      </w:r>
      <w:r w:rsidR="006F4CB8">
        <w:t xml:space="preserve"> (</w:t>
      </w:r>
      <w:r w:rsidR="008538A7">
        <w:t xml:space="preserve">Figure </w:t>
      </w:r>
      <w:r w:rsidR="00977291">
        <w:t>5</w:t>
      </w:r>
      <w:r w:rsidR="00BA3932">
        <w:t xml:space="preserve">: </w:t>
      </w:r>
      <w:r w:rsidR="00BA3932" w:rsidRPr="00095788">
        <w:rPr>
          <w:i/>
          <w:iCs/>
        </w:rPr>
        <w:t>R</w:t>
      </w:r>
      <w:r w:rsidR="00BA3932">
        <w:rPr>
          <w:vertAlign w:val="superscript"/>
        </w:rPr>
        <w:t>2</w:t>
      </w:r>
      <w:r w:rsidR="00BA3932">
        <w:t xml:space="preserve"> = 0.2</w:t>
      </w:r>
      <w:r w:rsidR="004502F4">
        <w:t>7</w:t>
      </w:r>
      <w:r w:rsidR="00BA3932">
        <w:t>, 0.</w:t>
      </w:r>
      <w:r w:rsidR="004502F4">
        <w:t>43</w:t>
      </w:r>
      <w:r w:rsidR="00BA3932">
        <w:t xml:space="preserve"> and 0.</w:t>
      </w:r>
      <w:r w:rsidR="004502F4">
        <w:t>85</w:t>
      </w:r>
      <w:r w:rsidR="006F4CB8">
        <w:t>)</w:t>
      </w:r>
      <w:r w:rsidR="00E81245">
        <w:t xml:space="preserve"> </w:t>
      </w:r>
      <w:r w:rsidR="006F4CB8">
        <w:t>are consistently</w:t>
      </w:r>
      <w:r w:rsidR="00E81245">
        <w:t xml:space="preserve"> greate</w:t>
      </w:r>
      <w:r w:rsidR="006F4CB8">
        <w:t>r than those associated with the optimal ANCOVA models based on PC1 (</w:t>
      </w:r>
      <w:r w:rsidR="00B02E73">
        <w:t xml:space="preserve">Figure </w:t>
      </w:r>
      <w:r w:rsidR="00FF0F3A">
        <w:t>4</w:t>
      </w:r>
      <w:r w:rsidR="00BA3932">
        <w:t xml:space="preserve">: </w:t>
      </w:r>
      <w:r w:rsidR="00BA3932" w:rsidRPr="00095788">
        <w:rPr>
          <w:i/>
          <w:iCs/>
        </w:rPr>
        <w:t>R</w:t>
      </w:r>
      <w:r w:rsidR="00BA3932">
        <w:rPr>
          <w:vertAlign w:val="superscript"/>
        </w:rPr>
        <w:t>2</w:t>
      </w:r>
      <w:r w:rsidR="00BA3932">
        <w:t xml:space="preserve"> = 0.1</w:t>
      </w:r>
      <w:r w:rsidR="00D42AE5">
        <w:t>3</w:t>
      </w:r>
      <w:r w:rsidR="00BA3932">
        <w:t>, 0.</w:t>
      </w:r>
      <w:r w:rsidR="00D42AE5">
        <w:t>22</w:t>
      </w:r>
      <w:r w:rsidR="00BA3932">
        <w:t xml:space="preserve"> and 0.</w:t>
      </w:r>
      <w:r w:rsidR="00D42AE5">
        <w:t>49</w:t>
      </w:r>
      <w:r w:rsidR="006F4CB8">
        <w:t>)</w:t>
      </w:r>
      <w:r w:rsidR="00EA2DCC">
        <w:t>.</w:t>
      </w:r>
      <w:r w:rsidR="006F4CB8">
        <w:t xml:space="preserve"> </w:t>
      </w:r>
      <w:r w:rsidR="00EA2DCC">
        <w:t xml:space="preserve">This is </w:t>
      </w:r>
      <w:r w:rsidR="0090296A">
        <w:t xml:space="preserve">because </w:t>
      </w:r>
      <w:r w:rsidR="006F4CB8">
        <w:t xml:space="preserve">PC1 </w:t>
      </w:r>
      <w:r w:rsidR="0090296A">
        <w:t xml:space="preserve">does not </w:t>
      </w:r>
      <w:r w:rsidR="006F4CB8">
        <w:t xml:space="preserve">capture </w:t>
      </w:r>
      <w:r w:rsidR="00D24BB3">
        <w:t>all of the variation in</w:t>
      </w:r>
      <w:r w:rsidR="000075FC">
        <w:t xml:space="preserve"> </w:t>
      </w:r>
      <w:r w:rsidR="0090296A">
        <w:t xml:space="preserve">environmental heterogeneity </w:t>
      </w:r>
      <w:r w:rsidR="006F4CB8">
        <w:t>relevant to the prediction of species richness.</w:t>
      </w:r>
    </w:p>
    <w:p w14:paraId="4DC1AF30" w14:textId="7AD6C6A2" w:rsidR="00BA3932" w:rsidRPr="002F6163" w:rsidRDefault="00272E07" w:rsidP="00BA3932">
      <w:pPr>
        <w:pStyle w:val="Heading2"/>
        <w:spacing w:line="240" w:lineRule="auto"/>
      </w:pPr>
      <w:r>
        <w:t>3</w:t>
      </w:r>
      <w:r w:rsidR="00BA3932" w:rsidRPr="002F6163">
        <w:t xml:space="preserve">.4: </w:t>
      </w:r>
      <w:r w:rsidR="00BA3932">
        <w:t>S</w:t>
      </w:r>
      <w:r w:rsidR="00BA3932" w:rsidRPr="002F6163">
        <w:t>pecies richness</w:t>
      </w:r>
      <w:r w:rsidR="00BA3932">
        <w:t xml:space="preserve"> hotspots</w:t>
      </w:r>
    </w:p>
    <w:p w14:paraId="3B4BD914" w14:textId="75FAAA3C" w:rsidR="00D06C06" w:rsidRDefault="00390A5D" w:rsidP="00DC180F">
      <w:pPr>
        <w:pStyle w:val="BodyText"/>
      </w:pPr>
      <w:r>
        <w:t xml:space="preserve">Residual-based </w:t>
      </w:r>
      <w:r w:rsidR="00EF067C">
        <w:t xml:space="preserve">outlier </w:t>
      </w:r>
      <w:r>
        <w:t xml:space="preserve">identification </w:t>
      </w:r>
      <w:r w:rsidR="006B7A26">
        <w:t>yielded very similar results for the PC1-based ANCOVA and multiple regression models at all spatial scales</w:t>
      </w:r>
      <w:r w:rsidR="001B4B9F">
        <w:t xml:space="preserve"> (</w:t>
      </w:r>
      <w:r w:rsidR="00127033">
        <w:t xml:space="preserve">Table 2; </w:t>
      </w:r>
      <w:r w:rsidR="00304EA1">
        <w:t xml:space="preserve">Figure </w:t>
      </w:r>
      <w:r w:rsidR="00FC2A30">
        <w:t>1</w:t>
      </w:r>
      <w:r w:rsidR="005D74C8" w:rsidRPr="005D74C8">
        <w:t>e–h</w:t>
      </w:r>
      <w:r w:rsidR="00E42B45">
        <w:t>,</w:t>
      </w:r>
      <w:r w:rsidR="001B4B9F" w:rsidRPr="00514C5C">
        <w:t xml:space="preserve"> </w:t>
      </w:r>
      <w:r w:rsidR="00C00919">
        <w:t>S9</w:t>
      </w:r>
      <w:r w:rsidR="00514C5C" w:rsidRPr="00514C5C">
        <w:t>e–h</w:t>
      </w:r>
      <w:r w:rsidR="00E42B45">
        <w:t>,</w:t>
      </w:r>
      <w:r w:rsidR="00514C5C" w:rsidRPr="00514C5C">
        <w:t xml:space="preserve"> </w:t>
      </w:r>
      <w:r w:rsidR="00C00919">
        <w:t>S10</w:t>
      </w:r>
      <w:r w:rsidR="00514C5C" w:rsidRPr="00514C5C">
        <w:t>e–h</w:t>
      </w:r>
      <w:r w:rsidR="001B4B9F" w:rsidRPr="00514C5C">
        <w:t>)</w:t>
      </w:r>
      <w:r w:rsidR="006B7A26" w:rsidRPr="00514C5C">
        <w:t>.</w:t>
      </w:r>
      <w:r w:rsidR="006B7A26">
        <w:t xml:space="preserve"> For both the GCFR and SWAFR, outliers </w:t>
      </w:r>
      <w:r w:rsidR="00123A7A">
        <w:t>a</w:t>
      </w:r>
      <w:r w:rsidR="006B7A26">
        <w:t>r</w:t>
      </w:r>
      <w:r w:rsidR="00C64450">
        <w:t>e geographically clustered, in areas corresponding to recognized diversity centres</w:t>
      </w:r>
      <w:r w:rsidR="007D7372">
        <w:t xml:space="preserve"> (</w:t>
      </w:r>
      <w:r w:rsidR="00F31699">
        <w:t xml:space="preserve">Figure </w:t>
      </w:r>
      <w:r w:rsidR="000D147E">
        <w:t>S5</w:t>
      </w:r>
      <w:r w:rsidR="007D7372">
        <w:t>,</w:t>
      </w:r>
      <w:r w:rsidR="00D9172D">
        <w:t xml:space="preserve"> </w:t>
      </w:r>
      <w:r w:rsidR="006F465B">
        <w:t>S6</w:t>
      </w:r>
      <w:r w:rsidR="007D7372">
        <w:t>)</w:t>
      </w:r>
      <w:r w:rsidR="00C64450">
        <w:t xml:space="preserve">. At the QDS-scale, for example, GCFR outliers </w:t>
      </w:r>
      <w:r w:rsidR="00123A7A">
        <w:t>a</w:t>
      </w:r>
      <w:r w:rsidR="00C64450">
        <w:t>re concentrated in the Kogelberg-Hottentots</w:t>
      </w:r>
      <w:r w:rsidR="000C33EC">
        <w:t>-</w:t>
      </w:r>
      <w:r w:rsidR="00C64450">
        <w:t xml:space="preserve">Holland and Cederberg </w:t>
      </w:r>
      <w:r w:rsidR="0028496B">
        <w:t>area</w:t>
      </w:r>
      <w:r w:rsidR="00C64450">
        <w:t xml:space="preserve">s, while SWAFR outliers </w:t>
      </w:r>
      <w:r w:rsidR="00123A7A">
        <w:t>a</w:t>
      </w:r>
      <w:r w:rsidR="00C64450">
        <w:t xml:space="preserve">re concentrated in the Mt Lesueur, Perth, Stirling-Albany and Fitzgerald River </w:t>
      </w:r>
      <w:r w:rsidR="0028496B">
        <w:t>area</w:t>
      </w:r>
      <w:r w:rsidR="00C64450">
        <w:t>s</w:t>
      </w:r>
      <w:r w:rsidR="00AC3DE8">
        <w:t xml:space="preserve"> (Figure S5a,b; S6a,b; S9e</w:t>
      </w:r>
      <w:r w:rsidR="00AC3DE8" w:rsidRPr="00514C5C">
        <w:t>–</w:t>
      </w:r>
      <w:r w:rsidR="00AC3DE8">
        <w:t>h)</w:t>
      </w:r>
      <w:r w:rsidR="00C64450">
        <w:t>.</w:t>
      </w:r>
      <w:r w:rsidR="006B0D68">
        <w:t xml:space="preserve"> </w:t>
      </w:r>
      <w:r w:rsidR="00123A7A">
        <w:t xml:space="preserve">Fewer hotspots are </w:t>
      </w:r>
      <w:r w:rsidR="00A57067">
        <w:t xml:space="preserve">necessarily </w:t>
      </w:r>
      <w:r w:rsidR="00123A7A">
        <w:t>resolved a</w:t>
      </w:r>
      <w:r w:rsidR="006B0D68">
        <w:t xml:space="preserve">t the HDS-scale </w:t>
      </w:r>
      <w:r w:rsidR="00123A7A">
        <w:t>(</w:t>
      </w:r>
      <w:r w:rsidR="00AC3DE8">
        <w:t>Figure S5c,d; S6c,d; 1e</w:t>
      </w:r>
      <w:r w:rsidR="00AC3DE8" w:rsidRPr="00514C5C">
        <w:t>–</w:t>
      </w:r>
      <w:r w:rsidR="00AC3DE8">
        <w:t>h</w:t>
      </w:r>
      <w:r w:rsidR="00123A7A">
        <w:t>) and only one a</w:t>
      </w:r>
      <w:r w:rsidR="000C33EC">
        <w:t>t</w:t>
      </w:r>
      <w:r w:rsidR="001B4B9F">
        <w:t xml:space="preserve"> </w:t>
      </w:r>
      <w:r w:rsidR="006B0D68">
        <w:t>the DS-scale</w:t>
      </w:r>
      <w:r w:rsidR="00CC0CD9">
        <w:t xml:space="preserve"> when considering the PC1-based ANCOVAs’ residuals</w:t>
      </w:r>
      <w:r w:rsidR="006B0D68">
        <w:t xml:space="preserve"> </w:t>
      </w:r>
      <w:r w:rsidR="00123A7A">
        <w:t>(the</w:t>
      </w:r>
      <w:r w:rsidR="006B0D68">
        <w:t xml:space="preserve"> Hottentots Holland </w:t>
      </w:r>
      <w:r w:rsidR="00123A7A">
        <w:t>area</w:t>
      </w:r>
      <w:r w:rsidR="000D6FAE">
        <w:t xml:space="preserve"> in the GCFR</w:t>
      </w:r>
      <w:r w:rsidR="00123A7A">
        <w:t>)</w:t>
      </w:r>
      <w:r w:rsidR="0040353B">
        <w:t>.</w:t>
      </w:r>
      <w:r w:rsidR="00C4302C">
        <w:t xml:space="preserve"> </w:t>
      </w:r>
      <w:r w:rsidR="003047D0">
        <w:t>Omission of outlier</w:t>
      </w:r>
      <w:r w:rsidR="00EF067C">
        <w:t>s</w:t>
      </w:r>
      <w:r w:rsidR="003047D0">
        <w:t xml:space="preserve"> from the </w:t>
      </w:r>
      <w:r w:rsidR="00F674A6">
        <w:t xml:space="preserve">PC1-based </w:t>
      </w:r>
      <w:r w:rsidR="003047D0">
        <w:t xml:space="preserve">ANCOVA </w:t>
      </w:r>
      <w:r w:rsidR="00C1212C">
        <w:t>(</w:t>
      </w:r>
      <w:r w:rsidR="00D8528A">
        <w:t xml:space="preserve">Figure </w:t>
      </w:r>
      <w:r w:rsidR="00152D16">
        <w:t>S7</w:t>
      </w:r>
      <w:r w:rsidR="00C1212C">
        <w:t xml:space="preserve">) </w:t>
      </w:r>
      <w:r w:rsidR="003047D0">
        <w:t>and multiple regression</w:t>
      </w:r>
      <w:r w:rsidR="00301369">
        <w:t>s</w:t>
      </w:r>
      <w:r w:rsidR="003047D0">
        <w:t xml:space="preserve"> </w:t>
      </w:r>
      <w:r w:rsidR="0081543B">
        <w:t>(</w:t>
      </w:r>
      <w:r w:rsidR="00200FEE">
        <w:t xml:space="preserve">Figure </w:t>
      </w:r>
      <w:r w:rsidR="008C771A">
        <w:t>S8</w:t>
      </w:r>
      <w:r w:rsidR="0081543B">
        <w:t xml:space="preserve">) </w:t>
      </w:r>
      <w:r w:rsidR="003047D0">
        <w:t xml:space="preserve">yielded </w:t>
      </w:r>
      <w:r w:rsidR="00C4302C">
        <w:t xml:space="preserve">qualitatively similar </w:t>
      </w:r>
      <w:r w:rsidR="003047D0">
        <w:t>models</w:t>
      </w:r>
      <w:r w:rsidR="00EC5B19">
        <w:t xml:space="preserve"> </w:t>
      </w:r>
      <w:r w:rsidR="00EF067C">
        <w:t>as before</w:t>
      </w:r>
      <w:r w:rsidR="0086044B">
        <w:t xml:space="preserve"> with </w:t>
      </w:r>
      <w:r w:rsidR="00EC5B19">
        <w:t>improved coefficients of determination</w:t>
      </w:r>
      <w:r w:rsidR="0081543B">
        <w:t>.</w:t>
      </w:r>
      <w:r w:rsidR="008369E4">
        <w:t xml:space="preserve"> </w:t>
      </w:r>
      <w:commentRangeStart w:id="13"/>
      <w:commentRangeStart w:id="14"/>
      <w:r w:rsidR="00807EFC" w:rsidRPr="00765017">
        <w:rPr>
          <w:color w:val="FF0000"/>
        </w:rPr>
        <w:t>Only a</w:t>
      </w:r>
      <w:r w:rsidR="00C502FE" w:rsidRPr="00765017">
        <w:rPr>
          <w:color w:val="FF0000"/>
        </w:rPr>
        <w:t>t DS-scales</w:t>
      </w:r>
      <w:r w:rsidR="00807EFC" w:rsidRPr="00765017">
        <w:rPr>
          <w:color w:val="FF0000"/>
        </w:rPr>
        <w:t xml:space="preserve"> do</w:t>
      </w:r>
      <w:r w:rsidR="00C502FE" w:rsidRPr="00765017">
        <w:rPr>
          <w:color w:val="FF0000"/>
        </w:rPr>
        <w:t xml:space="preserve"> the GCFR and SWAFR </w:t>
      </w:r>
      <w:r w:rsidR="00807EFC" w:rsidRPr="00765017">
        <w:rPr>
          <w:color w:val="FF0000"/>
        </w:rPr>
        <w:t>not have</w:t>
      </w:r>
      <w:r w:rsidR="00C502FE" w:rsidRPr="00765017">
        <w:rPr>
          <w:color w:val="FF0000"/>
        </w:rPr>
        <w:t xml:space="preserve"> significantly </w:t>
      </w:r>
      <w:r w:rsidR="00807EFC" w:rsidRPr="00765017">
        <w:rPr>
          <w:color w:val="FF0000"/>
        </w:rPr>
        <w:t>different</w:t>
      </w:r>
      <w:r w:rsidR="00C502FE" w:rsidRPr="00765017">
        <w:rPr>
          <w:color w:val="FF0000"/>
        </w:rPr>
        <w:t xml:space="preserve"> residual</w:t>
      </w:r>
      <w:r w:rsidR="00A70597" w:rsidRPr="00765017">
        <w:rPr>
          <w:color w:val="FF0000"/>
        </w:rPr>
        <w:t xml:space="preserve"> standard deviations</w:t>
      </w:r>
      <w:r w:rsidR="00807EFC" w:rsidRPr="00765017">
        <w:rPr>
          <w:color w:val="FF0000"/>
        </w:rPr>
        <w:t xml:space="preserve"> </w:t>
      </w:r>
      <w:commentRangeEnd w:id="13"/>
      <w:r w:rsidR="00E52B27">
        <w:rPr>
          <w:rStyle w:val="CommentReference"/>
          <w:rFonts w:ascii="Times New Roman" w:hAnsiTheme="minorHAnsi"/>
        </w:rPr>
        <w:commentReference w:id="13"/>
      </w:r>
      <w:r w:rsidR="00807EFC" w:rsidRPr="00765017">
        <w:rPr>
          <w:color w:val="FF0000"/>
        </w:rPr>
        <w:t xml:space="preserve">(following both the PC1-based ANCOVA and multiple regressions) (Table S3c). This </w:t>
      </w:r>
      <w:r w:rsidR="00DC180F" w:rsidRPr="00765017">
        <w:rPr>
          <w:color w:val="FF0000"/>
        </w:rPr>
        <w:t xml:space="preserve">highlights </w:t>
      </w:r>
      <w:r w:rsidR="000E7F00" w:rsidRPr="00765017">
        <w:rPr>
          <w:color w:val="FF0000"/>
        </w:rPr>
        <w:t xml:space="preserve">that </w:t>
      </w:r>
      <w:r w:rsidR="00DC180F" w:rsidRPr="00765017">
        <w:rPr>
          <w:color w:val="FF0000"/>
        </w:rPr>
        <w:t>the commonal</w:t>
      </w:r>
      <w:r w:rsidR="00B85431" w:rsidRPr="00765017">
        <w:rPr>
          <w:color w:val="FF0000"/>
        </w:rPr>
        <w:t>i</w:t>
      </w:r>
      <w:r w:rsidR="00DC180F" w:rsidRPr="00765017">
        <w:rPr>
          <w:color w:val="FF0000"/>
        </w:rPr>
        <w:t xml:space="preserve">ty of the richness-heterogeneity relationship </w:t>
      </w:r>
      <w:r w:rsidR="000E7F00" w:rsidRPr="00765017">
        <w:rPr>
          <w:color w:val="FF0000"/>
        </w:rPr>
        <w:t xml:space="preserve">is recovered </w:t>
      </w:r>
      <w:r w:rsidR="00E4420C" w:rsidRPr="00765017">
        <w:rPr>
          <w:color w:val="FF0000"/>
        </w:rPr>
        <w:t xml:space="preserve">more accurately </w:t>
      </w:r>
      <w:r w:rsidR="000E7F00" w:rsidRPr="00765017">
        <w:rPr>
          <w:color w:val="FF0000"/>
        </w:rPr>
        <w:t>after</w:t>
      </w:r>
      <w:r w:rsidR="00DC180F" w:rsidRPr="00765017">
        <w:rPr>
          <w:color w:val="FF0000"/>
        </w:rPr>
        <w:t xml:space="preserve"> the omission of </w:t>
      </w:r>
      <w:r w:rsidR="00A70597" w:rsidRPr="00765017">
        <w:rPr>
          <w:color w:val="FF0000"/>
        </w:rPr>
        <w:t>hotspots</w:t>
      </w:r>
      <w:r w:rsidR="00E4420C" w:rsidRPr="00765017">
        <w:rPr>
          <w:color w:val="FF0000"/>
        </w:rPr>
        <w:t xml:space="preserve"> at broader spatial scales</w:t>
      </w:r>
      <w:r w:rsidR="00DC180F" w:rsidRPr="00765017">
        <w:rPr>
          <w:color w:val="FF0000"/>
        </w:rPr>
        <w:t>.</w:t>
      </w:r>
      <w:commentRangeEnd w:id="14"/>
      <w:r w:rsidR="009172F8">
        <w:rPr>
          <w:rStyle w:val="CommentReference"/>
          <w:rFonts w:ascii="Times New Roman" w:hAnsiTheme="minorHAnsi"/>
        </w:rPr>
        <w:commentReference w:id="14"/>
      </w:r>
    </w:p>
    <w:p w14:paraId="573F5A1A" w14:textId="04268AD5" w:rsidR="00F8593E" w:rsidRDefault="00DD7307">
      <w:pPr>
        <w:pStyle w:val="Heading1"/>
        <w:spacing w:line="240" w:lineRule="auto"/>
      </w:pPr>
      <w:commentRangeStart w:id="15"/>
      <w:commentRangeStart w:id="16"/>
      <w:r>
        <w:t>4</w:t>
      </w:r>
      <w:r w:rsidR="00765FAE">
        <w:t>:</w:t>
      </w:r>
      <w:r>
        <w:t xml:space="preserve"> </w:t>
      </w:r>
      <w:r w:rsidR="00F8593E" w:rsidRPr="00891FE6">
        <w:t>Discussion</w:t>
      </w:r>
      <w:commentRangeEnd w:id="15"/>
      <w:r w:rsidR="0060559B">
        <w:rPr>
          <w:rStyle w:val="CommentReference"/>
          <w:rFonts w:ascii="Times New Roman" w:eastAsiaTheme="minorHAnsi" w:hAnsiTheme="minorHAnsi" w:cstheme="minorBidi"/>
          <w:b w:val="0"/>
          <w:bCs w:val="0"/>
          <w:color w:val="auto"/>
        </w:rPr>
        <w:commentReference w:id="15"/>
      </w:r>
      <w:commentRangeEnd w:id="16"/>
      <w:r w:rsidR="00970EAD">
        <w:rPr>
          <w:rStyle w:val="CommentReference"/>
          <w:rFonts w:ascii="Times New Roman" w:eastAsiaTheme="minorHAnsi" w:hAnsiTheme="minorHAnsi" w:cstheme="minorBidi"/>
          <w:b w:val="0"/>
          <w:bCs w:val="0"/>
          <w:color w:val="auto"/>
        </w:rPr>
        <w:commentReference w:id="16"/>
      </w:r>
    </w:p>
    <w:p w14:paraId="6DC64564" w14:textId="5BB5F71A" w:rsidR="001E1442" w:rsidRDefault="006A4B08" w:rsidP="002C20EB">
      <w:pPr>
        <w:pStyle w:val="BodyText"/>
        <w:tabs>
          <w:tab w:val="left" w:pos="6189"/>
        </w:tabs>
      </w:pPr>
      <w:bookmarkStart w:id="17" w:name="tables"/>
      <w:r>
        <w:t>Consistent with a recent meta-analysis identifying environmental heterogeneity as a universal driver of species richness</w:t>
      </w:r>
      <w:r w:rsidR="00DD5CB7">
        <w:t xml:space="preserve"> </w:t>
      </w:r>
      <w:r w:rsidR="00DD5CB7">
        <w:fldChar w:fldCharType="begin" w:fldLock="1"/>
      </w:r>
      <w:r w:rsidR="00404D92">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DD5CB7">
        <w:fldChar w:fldCharType="separate"/>
      </w:r>
      <w:r w:rsidR="00404D92" w:rsidRPr="00404D92">
        <w:rPr>
          <w:noProof/>
        </w:rPr>
        <w:t>(Stein et al., 2014)</w:t>
      </w:r>
      <w:r w:rsidR="00DD5CB7">
        <w:fldChar w:fldCharType="end"/>
      </w:r>
      <w:r>
        <w:t xml:space="preserve">, </w:t>
      </w:r>
      <w:r w:rsidR="00186541">
        <w:t>we found</w:t>
      </w:r>
      <w:r w:rsidR="00925DAC">
        <w:t xml:space="preserve"> heterogeneity to have a consistently positive influence on species richness in the GCFR and SWAFR.</w:t>
      </w:r>
      <w:r w:rsidR="00333F46">
        <w:t xml:space="preserve"> Most </w:t>
      </w:r>
      <w:r w:rsidR="00186541">
        <w:t xml:space="preserve">significant </w:t>
      </w:r>
      <w:r w:rsidR="00333F46">
        <w:t>partial effects</w:t>
      </w:r>
      <w:r w:rsidR="006435FF">
        <w:t xml:space="preserve"> associated with environmental heterogeneity</w:t>
      </w:r>
      <w:r w:rsidR="002376C5">
        <w:t xml:space="preserve"> terms</w:t>
      </w:r>
      <w:r w:rsidR="006435FF">
        <w:t xml:space="preserve"> </w:t>
      </w:r>
      <w:r w:rsidR="00333F46">
        <w:t xml:space="preserve">in our </w:t>
      </w:r>
      <w:r w:rsidR="00186541">
        <w:t xml:space="preserve">multiple regression </w:t>
      </w:r>
      <w:r w:rsidR="006435FF">
        <w:t xml:space="preserve">models </w:t>
      </w:r>
      <w:r w:rsidR="00333F46">
        <w:t xml:space="preserve">and the overall effect of environmental heterogeneity </w:t>
      </w:r>
      <w:r w:rsidR="000E33FD">
        <w:t xml:space="preserve">(PC1) </w:t>
      </w:r>
      <w:r w:rsidR="00333F46">
        <w:t>in our ANCOVA results are positive</w:t>
      </w:r>
      <w:r w:rsidR="006435FF">
        <w:t>. Thus, we f</w:t>
      </w:r>
      <w:r w:rsidR="00DB42AF">
        <w:t>i</w:t>
      </w:r>
      <w:r w:rsidR="006435FF">
        <w:t xml:space="preserve">nd no evidence </w:t>
      </w:r>
      <w:r w:rsidR="00D13C71">
        <w:t>for</w:t>
      </w:r>
      <w:r w:rsidR="007A7C1E">
        <w:t xml:space="preserve"> </w:t>
      </w:r>
      <w:r w:rsidR="00D13C71">
        <w:t>the</w:t>
      </w:r>
      <w:r w:rsidR="007A7C1E">
        <w:t xml:space="preserve"> hump-backed </w:t>
      </w:r>
      <w:r w:rsidR="00D13C71">
        <w:t xml:space="preserve">response of </w:t>
      </w:r>
      <w:r w:rsidR="007A7C1E">
        <w:t xml:space="preserve">species richness </w:t>
      </w:r>
      <w:r w:rsidR="00D13C71">
        <w:t xml:space="preserve">to heterogeneity </w:t>
      </w:r>
      <w:r w:rsidR="007F0700">
        <w:t>anticipat</w:t>
      </w:r>
      <w:r w:rsidR="00D13C71">
        <w:t>ed by some authors</w:t>
      </w:r>
      <w:r w:rsidR="007A7C1E">
        <w:t xml:space="preserve"> </w:t>
      </w:r>
      <w:r w:rsidR="003E2166">
        <w:fldChar w:fldCharType="begin" w:fldLock="1"/>
      </w:r>
      <w:r w:rsidR="00404D92">
        <w:instrText>ADDIN CSL_CITATION {"citationItems":[{"id":"ITEM-1","itemData":{"author":[{"dropping-particle":"","family":"Allouche","given":"Omri","non-dropping-particle":"","parse-names":false,"suffix":""},{"dropping-particle":"","family":"Kalyuzhny","given":"Michael","non-dropping-particle":"","parse-names":false,"suffix":""},{"dropping-particle":"","family":"Moreno-Rueda","given":"Gregorio","non-dropping-particle":"","parse-names":false,"suffix":""},{"dropping-particle":"","family":"Pizarro","given":"Manuel","non-dropping-particle":"","parse-names":false,"suffix":""},{"dropping-particle":"","family":"Kadmon","given":"Ronen","non-dropping-particle":"","parse-names":false,"suffix":""}],"container-title":"Proceedings of the National Academy of Sciences","id":"ITEM-1","issue":"43","issued":{"date-parts":[["2012"]]},"page":"17495-17500","publisher":"National Acad Sciences","title":"Area-heterogeneity tradeoff and the diversity of ecological communities","type":"article-journal","volume":"109"},"uris":["http://www.mendeley.com/documents/?uuid=77ee4a9d-f88e-4324-b92b-7719899f1198"]},{"id":"ITEM-2","itemData":{"author":[{"dropping-particle":"","family":"Carnicer","given":"Jofre","non-dropping-particle":"","parse-names":false,"suffix":""},{"dropping-particle":"","family":"Brotons","given":"Lluís","non-dropping-particle":"","parse-names":false,"suffix":""},{"dropping-particle":"","family":"Herrando","given":"Sergi","non-dropping-particle":"","parse-names":false,"suffix":""},{"dropping-particle":"","family":"Sol","given":"Daniel","non-dropping-particle":"","parse-names":false,"suffix":""}],"container-title":"Proceedings of the National Academy of Sciences","id":"ITEM-2","issue":"31","issued":{"date-parts":[["2013"]]},"page":"E2858--E2860","publisher":"National Acad Sciences","title":"Improved empirical tests of area-heterogeneity tradeoffs","type":"article-journal","volume":"110"},"uris":["http://www.mendeley.com/documents/?uuid=8e6af188-05d8-4424-966a-b6fa7670397b"]}],"mendeley":{"formattedCitation":"(Allouche et al., 2012; Carnicer et al., 2013)","plainTextFormattedCitation":"(Allouche et al., 2012; Carnicer et al., 2013)","previouslyFormattedCitation":"(Allouche et al., 2012; Carnicer et al., 2013)"},"properties":{"noteIndex":0},"schema":"https://github.com/citation-style-language/schema/raw/master/csl-citation.json"}</w:instrText>
      </w:r>
      <w:r w:rsidR="003E2166">
        <w:fldChar w:fldCharType="separate"/>
      </w:r>
      <w:r w:rsidR="00404D92" w:rsidRPr="00404D92">
        <w:rPr>
          <w:noProof/>
        </w:rPr>
        <w:t>(Allouche et al., 2012; Carnicer et al., 2013)</w:t>
      </w:r>
      <w:r w:rsidR="003E2166">
        <w:fldChar w:fldCharType="end"/>
      </w:r>
      <w:r w:rsidR="000217F9">
        <w:t>, at least at the scales considered here</w:t>
      </w:r>
      <w:r w:rsidR="001155C0">
        <w:t>.</w:t>
      </w:r>
      <w:r w:rsidR="00004BFE">
        <w:t xml:space="preserve"> </w:t>
      </w:r>
      <w:commentRangeStart w:id="18"/>
      <w:r w:rsidR="001155C0">
        <w:t>A quadratic relationship between richness and heterogeneity was only favoured at the QDS-scale, and even then not representing a unimodal effect but a positive parabola</w:t>
      </w:r>
      <w:commentRangeEnd w:id="18"/>
      <w:r w:rsidR="001155C0">
        <w:rPr>
          <w:rStyle w:val="CommentReference"/>
          <w:rFonts w:ascii="Times New Roman" w:hAnsiTheme="minorHAnsi"/>
        </w:rPr>
        <w:commentReference w:id="18"/>
      </w:r>
      <w:r w:rsidR="001155C0">
        <w:t xml:space="preserve">. </w:t>
      </w:r>
      <w:r w:rsidR="002376C5">
        <w:t xml:space="preserve">Additionally, and </w:t>
      </w:r>
      <w:r w:rsidR="00670FB5">
        <w:t xml:space="preserve">also </w:t>
      </w:r>
      <w:r w:rsidR="00D13C71">
        <w:t xml:space="preserve">consistent with </w:t>
      </w:r>
      <w:r w:rsidR="00F703AD">
        <w:fldChar w:fldCharType="begin" w:fldLock="1"/>
      </w:r>
      <w:r w:rsidR="00F703AD">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F703AD">
        <w:fldChar w:fldCharType="separate"/>
      </w:r>
      <w:r w:rsidR="00F703AD" w:rsidRPr="00F703AD">
        <w:rPr>
          <w:noProof/>
        </w:rPr>
        <w:t>(Stein et al., 2014)</w:t>
      </w:r>
      <w:r w:rsidR="00F703AD">
        <w:fldChar w:fldCharType="end"/>
      </w:r>
      <w:r w:rsidR="00D13C71">
        <w:t>,</w:t>
      </w:r>
      <w:r w:rsidR="00A2083E">
        <w:t xml:space="preserve"> </w:t>
      </w:r>
      <w:r w:rsidR="00186541">
        <w:t>we f</w:t>
      </w:r>
      <w:r w:rsidR="00DB42AF">
        <w:t>i</w:t>
      </w:r>
      <w:r w:rsidR="00186541">
        <w:t>nd</w:t>
      </w:r>
      <w:r w:rsidR="002376C5">
        <w:t xml:space="preserve"> </w:t>
      </w:r>
      <w:r w:rsidR="00D839BD">
        <w:t xml:space="preserve">the strength of the heterogeneity-species richness relationship </w:t>
      </w:r>
      <w:r w:rsidR="00186541">
        <w:t xml:space="preserve">to </w:t>
      </w:r>
      <w:r w:rsidR="00FC548E">
        <w:t>assoc</w:t>
      </w:r>
      <w:r w:rsidR="00D839BD">
        <w:t>i</w:t>
      </w:r>
      <w:r w:rsidR="00FC548E">
        <w:t>ate</w:t>
      </w:r>
      <w:r w:rsidR="00186541">
        <w:t xml:space="preserve"> positively with</w:t>
      </w:r>
      <w:r w:rsidR="00D839BD" w:rsidRPr="00D839BD">
        <w:t xml:space="preserve"> </w:t>
      </w:r>
      <w:r w:rsidR="00D839BD">
        <w:t>spatial scale (grain)</w:t>
      </w:r>
      <w:r w:rsidR="001E1442">
        <w:t xml:space="preserve">, </w:t>
      </w:r>
      <w:r w:rsidR="0090296A">
        <w:t xml:space="preserve">as evidenced by that fact that </w:t>
      </w:r>
      <w:r w:rsidR="001E1442">
        <w:t xml:space="preserve">the coefficients of determination associated with </w:t>
      </w:r>
      <w:r w:rsidR="00186541">
        <w:t xml:space="preserve">our ANCOVA and </w:t>
      </w:r>
      <w:r w:rsidR="00186541">
        <w:lastRenderedPageBreak/>
        <w:t>multiple regression models</w:t>
      </w:r>
      <w:r w:rsidR="001E1442">
        <w:t xml:space="preserve"> </w:t>
      </w:r>
      <w:r w:rsidR="0090296A">
        <w:t>were</w:t>
      </w:r>
      <w:r w:rsidR="00186541">
        <w:t xml:space="preserve"> greatest at the DS-scale and smallest at the QDS-scale.</w:t>
      </w:r>
      <w:r w:rsidR="002376C5">
        <w:t xml:space="preserve"> </w:t>
      </w:r>
      <w:r w:rsidR="00C85C59">
        <w:t xml:space="preserve">One </w:t>
      </w:r>
      <w:r w:rsidR="001F0A16">
        <w:t>possible</w:t>
      </w:r>
      <w:r w:rsidR="000A7820">
        <w:t xml:space="preserve"> </w:t>
      </w:r>
      <w:r w:rsidR="00C85C59">
        <w:t>explanation of</w:t>
      </w:r>
      <w:r w:rsidR="000A7820">
        <w:t xml:space="preserve"> t</w:t>
      </w:r>
      <w:r w:rsidR="00A22281">
        <w:t>his effect</w:t>
      </w:r>
      <w:r w:rsidR="00C85C59">
        <w:t xml:space="preserve"> is</w:t>
      </w:r>
      <w:r w:rsidR="00485517">
        <w:t xml:space="preserve"> </w:t>
      </w:r>
      <w:r w:rsidR="000A7820">
        <w:t xml:space="preserve">the </w:t>
      </w:r>
      <w:r w:rsidR="00A57067">
        <w:t>fact</w:t>
      </w:r>
      <w:r w:rsidR="000A7820">
        <w:t xml:space="preserve"> </w:t>
      </w:r>
      <w:r w:rsidR="00485517">
        <w:t xml:space="preserve">that larger </w:t>
      </w:r>
      <w:r w:rsidR="00A22281">
        <w:t>areas</w:t>
      </w:r>
      <w:r w:rsidR="00485517">
        <w:t xml:space="preserve"> </w:t>
      </w:r>
      <w:r w:rsidR="00213749">
        <w:t>accommodate</w:t>
      </w:r>
      <w:r w:rsidR="00485517">
        <w:t xml:space="preserve"> more </w:t>
      </w:r>
      <w:r w:rsidR="00213749">
        <w:t xml:space="preserve">environmental </w:t>
      </w:r>
      <w:r w:rsidR="00485517">
        <w:t>variability</w:t>
      </w:r>
      <w:r w:rsidR="001F0A16">
        <w:t xml:space="preserve"> </w:t>
      </w:r>
      <w:commentRangeStart w:id="19"/>
      <w:r w:rsidR="002A7F32">
        <w:fldChar w:fldCharType="begin" w:fldLock="1"/>
      </w:r>
      <w:r w:rsidR="00404D92">
        <w:instrText>ADDIN CSL_CITATION {"citationItems":[{"id":"ITEM-1","itemData":{"DOI":"10.1111/jbi.13625","ISSN":"13652699","abstract":"Aim: Fragmented distributions should show immigration and diversification dynamics consistent with the predictions of island biogeography theory. We test whether this applies to the fragmented Cape fynbos vegetation. Location: Southern Africa, Cape Floristic Region (CFR). Taxon: Angiosperms, Restionaceae (restios). Methods: We used a large occurrence dataset and environmental layers to characterize an existing regionalization and the intervals between the regions ecologically and spatially. We extended the available phylogeny for restios and inferred their historical biogeography using models implemented in BioGeoBEARS. We then measured the relative contribution of immigration and in situ speciation to the species richness of each region within the CFR. We used standard statistical methods to test the predictions of the island biogeography theory. Results: The area and environmental heterogeneity of the seven regions of the CFR are positively correlated with in situ speciation rate. Furthermore, more isolated areas, and areas colonized more recently, have proportionally higher immigration rates, and more central and older areas proportionally higher in situ speciation rates. Main conclusions: The variation in immigration and diversification dynamics among the regions within the CFR is extensive and consistent with the archipelago model of island biography theory. This dynamic may contribute significantly to the diversity of the Cape flora. Such a model could be generally useful for understanding the generation and maintenance of diversity in biodiversity hotspots, and may even scale up to explain continental biodiversity.","author":[{"dropping-particle":"","family":"Wüest","given":"Rafael O.","non-dropping-particle":"","parse-names":false,"suffix":""},{"dropping-particle":"","family":"Boucher","given":"Florian C.","non-dropping-particle":"","parse-names":false,"suffix":""},{"dropping-particle":"","family":"Bouchenak-Khelladi","given":"Yanis","non-dropping-particle":"","parse-names":false,"suffix":""},{"dropping-particle":"","family":"Karger","given":"Dirk N.","non-dropping-particle":"","parse-names":false,"suffix":""},{"dropping-particle":"","family":"Linder","given":"H. Peter","non-dropping-particle":"","parse-names":false,"suffix":""}],"container-title":"Journal of Biogeography","id":"ITEM-1","issue":"9","issued":{"date-parts":[["2019"]]},"page":"1936-1947","title":"Dissecting biodiversity in a global hotspot: Uneven dynamics of immigration and diversification within the Cape Floristic Region of South Africa","type":"article-journal","volume":"46"},"uris":["http://www.mendeley.com/documents/?uuid=76c529f6-8858-45ca-9bd2-4db8ca3e1ea7"]}],"mendeley":{"formattedCitation":"(Wüest et al., 2019)","plainTextFormattedCitation":"(Wüest et al., 2019)","previouslyFormattedCitation":"(Wüest et al., 2019)"},"properties":{"noteIndex":0},"schema":"https://github.com/citation-style-language/schema/raw/master/csl-citation.json"}</w:instrText>
      </w:r>
      <w:r w:rsidR="002A7F32">
        <w:fldChar w:fldCharType="separate"/>
      </w:r>
      <w:r w:rsidR="00404D92" w:rsidRPr="00404D92">
        <w:rPr>
          <w:noProof/>
        </w:rPr>
        <w:t>(Wüest et al., 2019)</w:t>
      </w:r>
      <w:r w:rsidR="002A7F32">
        <w:fldChar w:fldCharType="end"/>
      </w:r>
      <w:commentRangeEnd w:id="19"/>
      <w:r w:rsidR="007F39BA">
        <w:rPr>
          <w:rStyle w:val="CommentReference"/>
          <w:rFonts w:ascii="Times New Roman" w:hAnsiTheme="minorHAnsi"/>
        </w:rPr>
        <w:commentReference w:id="19"/>
      </w:r>
      <w:r w:rsidR="001F0A16">
        <w:t xml:space="preserve">, </w:t>
      </w:r>
      <w:r w:rsidR="00485517">
        <w:t xml:space="preserve">and so facilitate stronger heterogeneity-species richness relationships </w:t>
      </w:r>
      <w:r w:rsidR="0090330E">
        <w:fldChar w:fldCharType="begin" w:fldLock="1"/>
      </w:r>
      <w:r w:rsidR="007351F8">
        <w:instrText>ADDIN CSL_CITATION {"citationItems":[{"id":"ITEM-1","itemData":{"DOI":"10.1086/339464","ISBN":"00030147 (ISSN)","ISSN":"0003-0147","PMID":"18707437","abstract":"Energy and habitat heterogeneity are important correlates of spatial variation in species richness, though few investigations have sought to determine simultaneously their relative influences. Here we use the South African avifauna to examine the extent to which species richness is related to these variables and how these relationships depend on spatial grain. Taking spatial autocorrelation and area effects into account, we find that primary productivity, precipitation, absolute minimum temperature, and, at coarser resolutions, habitat heterogeneity account for most of the variation in species richness. Species richness and productivity are positively related, whereas the relationship between potential evapotranspiration (PET) and richness is unimodal. This is largely because of the constraining effects of low rainfall on productivity in high-PET areas. The increase in the importance of vegetation heterogeneity as an explanatory variable is caused largely by an increase in the range of vegetation heterogeneity included at coarse resolutions and is probably also a result of the positive effects of environmental heterogeneity on species richness. Our findings indicate that species richness is correlated with, and hence likely a function of, several variables, that spatial resolution and extent must be taken into account during investigations of these relationships, and that surrogate measures for productivity should be interpreted cautiously.","author":[{"dropping-particle":"","family":"Rensburg","given":"B. J.","non-dropping-particle":"van","parse-names":false,"suffix":""},{"dropping-particle":"","family":"Chown","given":"S. L.","non-dropping-particle":"","parse-names":false,"suffix":""},{"dropping-particle":"","family":"Gaston","given":"K. J.","non-dropping-particle":"","parse-names":false,"suffix":""}],"container-title":"The American Naturalist","id":"ITEM-1","issue":"5","issued":{"date-parts":[["2002","5"]]},"page":"566-577","title":"Species richness, environmental correlates, and spatial scale: a test esing South African birds","type":"article-journal","volume":"159"},"uris":["http://www.mendeley.com/documents/?uuid=6211fb34-0458-4f45-b038-0598983c6d64"]}],"mendeley":{"formattedCitation":"(van Rensburg et al., 2002)","manualFormatting":"(Van Rensburg, Chown, &amp; Gaston, 2002)","plainTextFormattedCitation":"(van Rensburg et al., 2002)","previouslyFormattedCitation":"(van Rensburg et al., 2002)"},"properties":{"noteIndex":0},"schema":"https://github.com/citation-style-language/schema/raw/master/csl-citation.json"}</w:instrText>
      </w:r>
      <w:r w:rsidR="0090330E">
        <w:fldChar w:fldCharType="separate"/>
      </w:r>
      <w:r w:rsidR="0090330E" w:rsidRPr="0090330E">
        <w:rPr>
          <w:noProof/>
        </w:rPr>
        <w:t>(</w:t>
      </w:r>
      <w:r w:rsidR="00E4577F">
        <w:rPr>
          <w:noProof/>
        </w:rPr>
        <w:t>V</w:t>
      </w:r>
      <w:r w:rsidR="0090330E" w:rsidRPr="0090330E">
        <w:rPr>
          <w:noProof/>
        </w:rPr>
        <w:t>an Rensburg, Chown, &amp; Gaston, 2002)</w:t>
      </w:r>
      <w:r w:rsidR="0090330E">
        <w:fldChar w:fldCharType="end"/>
      </w:r>
      <w:r w:rsidR="000A7820">
        <w:t>.</w:t>
      </w:r>
      <w:r w:rsidR="00670FB5">
        <w:t xml:space="preserve"> </w:t>
      </w:r>
      <w:r w:rsidR="000A7820">
        <w:t>I</w:t>
      </w:r>
      <w:r w:rsidR="00B24543">
        <w:t>n speciation hotspot</w:t>
      </w:r>
      <w:r w:rsidR="00D839BD">
        <w:t>s</w:t>
      </w:r>
      <w:r w:rsidR="00B24543">
        <w:t xml:space="preserve"> like the GCFR </w:t>
      </w:r>
      <w:r w:rsidR="00A22281">
        <w:t xml:space="preserve">or the SWAFR, </w:t>
      </w:r>
      <w:r w:rsidR="000A7820">
        <w:t>however, a</w:t>
      </w:r>
      <w:r w:rsidR="00C85C59">
        <w:t>n</w:t>
      </w:r>
      <w:r w:rsidR="000A7820">
        <w:t xml:space="preserve"> important </w:t>
      </w:r>
      <w:r w:rsidR="00C85C59">
        <w:t xml:space="preserve">additional </w:t>
      </w:r>
      <w:r w:rsidR="000A7820">
        <w:t xml:space="preserve">consideration </w:t>
      </w:r>
      <w:r w:rsidR="00C85C59">
        <w:t>is</w:t>
      </w:r>
      <w:r w:rsidR="000A7820">
        <w:t xml:space="preserve"> the </w:t>
      </w:r>
      <w:r w:rsidR="00A22281">
        <w:t xml:space="preserve">spatial scale of </w:t>
      </w:r>
      <w:commentRangeStart w:id="20"/>
      <w:r w:rsidR="00A22281">
        <w:t xml:space="preserve">speciation </w:t>
      </w:r>
      <w:r w:rsidR="00F703AD">
        <w:fldChar w:fldCharType="begin" w:fldLock="1"/>
      </w:r>
      <w:r w:rsidR="004915CE">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F703AD">
        <w:fldChar w:fldCharType="separate"/>
      </w:r>
      <w:r w:rsidR="00F703AD" w:rsidRPr="00F703AD">
        <w:rPr>
          <w:noProof/>
        </w:rPr>
        <w:t>(Stein et al., 2014)</w:t>
      </w:r>
      <w:r w:rsidR="00F703AD">
        <w:fldChar w:fldCharType="end"/>
      </w:r>
      <w:r w:rsidR="00D839BD">
        <w:t xml:space="preserve">, </w:t>
      </w:r>
      <w:commentRangeEnd w:id="20"/>
      <w:r w:rsidR="007F39BA">
        <w:rPr>
          <w:rStyle w:val="CommentReference"/>
          <w:rFonts w:ascii="Times New Roman" w:hAnsiTheme="minorHAnsi"/>
        </w:rPr>
        <w:commentReference w:id="20"/>
      </w:r>
      <w:r w:rsidR="00D839BD">
        <w:t>with the stronger coupling of species richness</w:t>
      </w:r>
      <w:r w:rsidR="003617CF">
        <w:t xml:space="preserve"> to heterogeneity </w:t>
      </w:r>
      <w:r w:rsidR="000A7820">
        <w:t xml:space="preserve">at the DS-scale </w:t>
      </w:r>
      <w:r w:rsidR="00C85C59">
        <w:t xml:space="preserve">possibly </w:t>
      </w:r>
      <w:r w:rsidR="00D839BD">
        <w:t>arising</w:t>
      </w:r>
      <w:r w:rsidR="003617CF">
        <w:t xml:space="preserve"> because </w:t>
      </w:r>
      <w:r w:rsidR="00C85C59">
        <w:t>the DS, in contrast to the QDS and HDS,</w:t>
      </w:r>
      <w:r w:rsidR="00BE7B44">
        <w:t xml:space="preserve"> </w:t>
      </w:r>
      <w:r w:rsidR="003617CF">
        <w:t>is sufficiently large</w:t>
      </w:r>
      <w:r w:rsidR="00D13C71">
        <w:t xml:space="preserve"> </w:t>
      </w:r>
      <w:r w:rsidR="00BE7B44">
        <w:t xml:space="preserve">to </w:t>
      </w:r>
      <w:r w:rsidR="00896B4A">
        <w:t>capture</w:t>
      </w:r>
      <w:r w:rsidR="00967E02">
        <w:t xml:space="preserve"> </w:t>
      </w:r>
      <w:r w:rsidR="0035011F">
        <w:t>differences in richness as a result of</w:t>
      </w:r>
      <w:r w:rsidR="00BE7B44">
        <w:t xml:space="preserve"> allopatric speci</w:t>
      </w:r>
      <w:r w:rsidR="00C85C59">
        <w:t>ation processes</w:t>
      </w:r>
      <w:r w:rsidR="00BE7B44">
        <w:t>.</w:t>
      </w:r>
    </w:p>
    <w:p w14:paraId="3B792383" w14:textId="6E4B44F7" w:rsidR="00E3070E" w:rsidRDefault="0016731D" w:rsidP="00E3070E">
      <w:pPr>
        <w:pStyle w:val="BodyText"/>
        <w:tabs>
          <w:tab w:val="left" w:pos="6189"/>
        </w:tabs>
      </w:pPr>
      <w:r>
        <w:t>The</w:t>
      </w:r>
      <w:r w:rsidR="001E1442">
        <w:t xml:space="preserve"> observation that species richness </w:t>
      </w:r>
      <w:r w:rsidR="004F61BD">
        <w:t>r</w:t>
      </w:r>
      <w:r w:rsidR="005048A3">
        <w:t xml:space="preserve">esponds to environmental heterogeneity in </w:t>
      </w:r>
      <w:r w:rsidR="00B53C15">
        <w:t>a uniform</w:t>
      </w:r>
      <w:r w:rsidR="005048A3">
        <w:t xml:space="preserve"> manner </w:t>
      </w:r>
      <w:r w:rsidR="001E1442">
        <w:t>across the GCFR and SWAFR</w:t>
      </w:r>
      <w:r w:rsidR="005048A3">
        <w:t xml:space="preserve"> </w:t>
      </w:r>
      <w:r w:rsidR="00A342A8">
        <w:t>or</w:t>
      </w:r>
      <w:r w:rsidR="00BB20AD">
        <w:t xml:space="preserve"> at least</w:t>
      </w:r>
      <w:r w:rsidR="00B26384">
        <w:t>, where this is not the case,</w:t>
      </w:r>
      <w:r w:rsidR="005048A3">
        <w:t xml:space="preserve"> </w:t>
      </w:r>
      <w:r w:rsidR="004F61BD">
        <w:t xml:space="preserve">that </w:t>
      </w:r>
      <w:r w:rsidR="005048A3">
        <w:t>regional differences in the form of the richness-heterogeneity relationship are subtle, suggests that the greater vascular plant species richness of the GCFR</w:t>
      </w:r>
      <w:r w:rsidR="001E1442">
        <w:t xml:space="preserve"> </w:t>
      </w:r>
      <w:r w:rsidR="005048A3">
        <w:t xml:space="preserve">is partly attributable to </w:t>
      </w:r>
      <w:r w:rsidR="00A342A8">
        <w:t>the</w:t>
      </w:r>
      <w:r w:rsidR="005048A3">
        <w:t xml:space="preserve"> greater physiographic heterogeneity</w:t>
      </w:r>
      <w:r w:rsidR="00A342A8">
        <w:t xml:space="preserve"> of this region</w:t>
      </w:r>
      <w:r w:rsidR="005048A3">
        <w:t>.</w:t>
      </w:r>
      <w:r w:rsidR="00B26384">
        <w:t xml:space="preserve"> As noted by </w:t>
      </w:r>
      <w:r w:rsidR="00DB4E25">
        <w:fldChar w:fldCharType="begin" w:fldLock="1"/>
      </w:r>
      <w:r w:rsidR="00A353A2">
        <w:instrText>ADDIN CSL_CITATION {"citationItems":[{"id":"ITEM-1","itemData":{"DOI":"10.1111/jbi.12429","ISSN":"13652699","abstract":"Aim: Although all five of the major mediterranean-climate ecosystems (MCEs) of the world are recognized as loci of high plant species diversity and endemism, they show considerable variation in regional-scale richness. Here, we assess the role of stable Pleistocene climate and Cenozoic topography in explaining variation in regional richness of the globe's MCEs. We hypothesize that older, more climatically stable MCEs would support more species, because they have had more time for species to accumulate than MCEs that were historically subject to greater topographic upheavals and fluctuating climates. Location: South-western Africa (Cape), south-western Australia, California, central Chile and the eastern (Greece) and western (Spain) Mediterranean Basin. Methods: We estimated plant diversity for each MCE as the intercepts of species-area curves that are homogeneous in slope across all regions. We used two down-scaled global circulation models of the Last Glacial Maximum (LGM) to quantify climate stability by comparing the change in the location of MCEs between the LGM and present. We quantified the Cenozoic topographic stability of each MCE by comparing contemporary topographic profiles with those present in the late Oligocene and the early Pliocene. Results: The most diverse MCEs - Cape and Australia - had the highest Cenozoic environmental stability, and the least diverse - Chile and California - had the lowest stability. Main conclusions: Variation in plant diversity in MCEs is likely to be a consequence not of differences in diversification rates, but rather the persistence of numerous pre-Pliocene clades in the more stable MCEs. The extraordinary plant diversity of the Cape is a consequence of the combined effects of both mature and recent radiations, the latter associated with increased habitat heterogeneity produced by mild tectonic uplift in the Neogene.","author":[{"dropping-particle":"","family":"Cowling","given":"Richard M.","non-dropping-particle":"","parse-names":false,"suffix":""},{"dropping-particle":"","family":"Potts","given":"Alastair J.","non-dropping-particle":"","parse-names":false,"suffix":""},{"dropping-particle":"","family":"Bradshaw","given":"Peter L.","non-dropping-particle":"","parse-names":false,"suffix":""},{"dropping-particle":"","family":"Colville","given":"Jonathan","non-dropping-particle":"","parse-names":false,"suffix":""},{"dropping-particle":"","family":"Arianoutsou","given":"Margarita","non-dropping-particle":"","parse-names":false,"suffix":""},{"dropping-particle":"","family":"Ferrier","given":"Simon","non-dropping-particle":"","parse-names":false,"suffix":""},{"dropping-particle":"","family":"Forest","given":"Felix","non-dropping-particle":"","parse-names":false,"suffix":""},{"dropping-particle":"","family":"Fyllas","given":"Nikolaos M.","non-dropping-particle":"","parse-names":false,"suffix":""},{"dropping-particle":"","family":"Hopper","given":"Stephen D.","non-dropping-particle":"","parse-names":false,"suffix":""},{"dropping-particle":"","family":"Ojeda","given":"Fernando","non-dropping-particle":"","parse-names":false,"suffix":""},{"dropping-particle":"","family":"Procheş","given":"Şerban","non-dropping-particle":"","parse-names":false,"suffix":""},{"dropping-particle":"","family":"Smith","given":"Rhian J.","non-dropping-particle":"","parse-names":false,"suffix":""},{"dropping-particle":"","family":"Rundel","given":"Philip W.","non-dropping-particle":"","parse-names":false,"suffix":""},{"dropping-particle":"","family":"Vassilakis","given":"Emmanuel","non-dropping-particle":"","parse-names":false,"suffix":""},{"dropping-particle":"","family":"Zutta","given":"Brian R.","non-dropping-particle":"","parse-names":false,"suffix":""}],"container-title":"Journal of Biogeography","id":"ITEM-1","issue":"3","issued":{"date-parts":[["2015"]]},"page":"552-564","title":"Variation in plant diversity in mediterranean-climate ecosystems: The role of climatic and topographical stability","type":"article-journal","volume":"42"},"uris":["http://www.mendeley.com/documents/?uuid=2a5795b3-829e-4401-a432-202f2b308b7d"]}],"mendeley":{"formattedCitation":"(Richard M. Cowling et al., 2015)","manualFormatting":"Cowling et al. (2015)","plainTextFormattedCitation":"(Richard M. Cowling et al., 2015)","previouslyFormattedCitation":"(Richard M. Cowling et al., 2015)"},"properties":{"noteIndex":0},"schema":"https://github.com/citation-style-language/schema/raw/master/csl-citation.json"}</w:instrText>
      </w:r>
      <w:r w:rsidR="00DB4E25">
        <w:fldChar w:fldCharType="separate"/>
      </w:r>
      <w:r w:rsidR="00DB4E25" w:rsidRPr="00DB4E25">
        <w:rPr>
          <w:noProof/>
        </w:rPr>
        <w:t xml:space="preserve">Cowling et al. </w:t>
      </w:r>
      <w:r w:rsidR="00DB4E25">
        <w:rPr>
          <w:noProof/>
        </w:rPr>
        <w:t>(</w:t>
      </w:r>
      <w:r w:rsidR="00DB4E25" w:rsidRPr="00DB4E25">
        <w:rPr>
          <w:noProof/>
        </w:rPr>
        <w:t>2015)</w:t>
      </w:r>
      <w:r w:rsidR="00DB4E25">
        <w:fldChar w:fldCharType="end"/>
      </w:r>
      <w:r w:rsidR="00DB4E25">
        <w:t xml:space="preserve"> </w:t>
      </w:r>
      <w:r w:rsidR="00B26384">
        <w:t>the lower heterogeneity of SWAFR, both now and during the Tertiary, would have constrained opportunities for radiation</w:t>
      </w:r>
      <w:r w:rsidR="00E3070E">
        <w:t>, thereby</w:t>
      </w:r>
      <w:r w:rsidR="00B26384">
        <w:t xml:space="preserve"> produc</w:t>
      </w:r>
      <w:r w:rsidR="00E3070E">
        <w:t>ing</w:t>
      </w:r>
      <w:r w:rsidR="00B26384">
        <w:t xml:space="preserve"> a flora that is generally less diverse. </w:t>
      </w:r>
      <w:r w:rsidR="00E3070E">
        <w:t>In addition, the greater heterogeneity of the GCFR might facilitate denser species packing, through the provision of greater niche diversity</w:t>
      </w:r>
      <w:r w:rsidR="00FD1780">
        <w:t xml:space="preserve"> </w:t>
      </w:r>
      <w:commentRangeStart w:id="21"/>
      <w:r w:rsidR="00FD1780">
        <w:fldChar w:fldCharType="begin" w:fldLock="1"/>
      </w:r>
      <w:r w:rsidR="00404D92">
        <w:instrText>ADDIN CSL_CITATION {"citationItems":[{"id":"ITEM-1","itemData":{"DOI":"oso/9780199679584.003.0011","ISBN":"9780199679584","abstract":"The species richness of the Cape Floristic Region (CFR) reflects a complex evolutionary history as well as extreme habitat heterogeneity. This chapter argues that two main components of habitat heterogeneity are (1) the variability across the CFR in the prevalence of hot, dry summers and wet winters and (2) the edaphic diversity due the complex geological development of the CFR resulting in juxtaposition of relatively nutrient-rich and nutrient-poor soils. In addition, fire frequency/intensity is topographically and climatically determined and flammability is an important emergent property of some components of CFR vegetation. These sources of heterogeneity, together with biotic interactions (not explored in this chapter) are responsible for maintaining high niche diversity, which has driven a large number of ecophysiological specializations in the flora. These include specializations for the acquisition of resources, e.g. cluster roots to acquire P, succulence to store ephemerally available water, and conservation of resources, e.g. sclerophylly to conserve nutrients, small leaves to conserve water during summer. This chapter argues that the high diversity of ecophysiological niches in the CFR is important in maintaining species richness of the CFR.","author":[{"dropping-particle":"","family":"Cramer","given":"Michael D.","non-dropping-particle":"","parse-names":false,"suffix":""},{"dropping-particle":"","family":"West","given":"Adam G.","non-dropping-particle":"","parse-names":false,"suffix":""},{"dropping-particle":"","family":"Power","given":"Simon C.","non-dropping-particle":"","parse-names":false,"suffix":""},{"dropping-particle":"","family":"Skelton","given":"Robert","non-dropping-particle":"","parse-names":false,"suffix":""},{"dropping-particle":"","family":"Stock","given":"William D.","non-dropping-particle":"","parse-names":false,"suffix":""}],"collection-title":"Fynbos","container-title":"Fynbos: Ecology, Evolution and Conservation of a Megadiverse Region","id":"ITEM-1","issued":{"date-parts":[["2014","9"]]},"page":"248-272","publisher":"Oxford University Press","publisher-place":"Oxford","title":"Plant ecophysiological diversity","type":"chapter"},"uris":["http://www.mendeley.com/documents/?uuid=aff43c6b-015c-4228-a415-bb8902e32eb8"]},{"id":"ITEM-2","itemData":{"DOI":"10.1038/s41559-017-0230-7","ISSN":"2397-334X","abstract":"Understanding how species diversity is maintained is a foundational problem in ecology and an essential requirement for the discipline to be effective as an applied science. Ecologists’ understanding of this problem has rapidly matured, but this has exposed profound uncertainty about the spatial scales required to maintain species diversity. Here we define and develop this frontier by proposing the coexistence–area relationship—a real relationship in nature that can be used to understand the determinants of the scale-dependence of diversity maintenance. The coexistence–area relationship motivates new empirical techniques for addressing important, unresolved problems about the influence of demographic stochasticity, environmental heterogeneity and dispersal on scale-dependent patterns of diversity. In so doing, this framework substantially reframes current approaches to spanding of the maintenance of diversity in nature, and should improve the contribution of community ecology to biodiversity conservation. Our understanding of how species diversity is maintained depends on spatial scale. Here, the coexistence–area relationship is developed to understand scale dependence and increase community ecology’s contribution to biodiversity conservation.","author":[{"dropping-particle":"","family":"Hart","given":"Simon P.","non-dropping-particle":"","parse-names":false,"suffix":""},{"dropping-particle":"","family":"Usinowicz","given":"Jacob","non-dropping-particle":"","parse-names":false,"suffix":""},{"dropping-particle":"","family":"Levine","given":"Jonathan M.","non-dropping-particle":"","parse-names":false,"suffix":""}],"container-title":"Nature Ecology &amp; Evolution","id":"ITEM-2","issue":"8","issued":{"date-parts":[["2017"]]},"page":"1066-1073","title":"The spatial scales of species coexistence","type":"article-journal","volume":"1"},"uris":["http://www.mendeley.com/documents/?uuid=46b59b89-4782-4d53-b9b3-18d311b06a70"]}],"mendeley":{"formattedCitation":"(Cramer et al., 2014; Hart et al., 2017)","plainTextFormattedCitation":"(Cramer et al., 2014; Hart et al., 2017)","previouslyFormattedCitation":"(Cramer et al., 2014; Hart et al., 2017)"},"properties":{"noteIndex":0},"schema":"https://github.com/citation-style-language/schema/raw/master/csl-citation.json"}</w:instrText>
      </w:r>
      <w:r w:rsidR="00FD1780">
        <w:fldChar w:fldCharType="separate"/>
      </w:r>
      <w:r w:rsidR="00404D92" w:rsidRPr="00404D92">
        <w:rPr>
          <w:noProof/>
        </w:rPr>
        <w:t>(Cramer et al., 2014; Hart et al., 2017)</w:t>
      </w:r>
      <w:r w:rsidR="00FD1780">
        <w:fldChar w:fldCharType="end"/>
      </w:r>
      <w:commentRangeEnd w:id="21"/>
      <w:r w:rsidR="00F72B17">
        <w:rPr>
          <w:rStyle w:val="CommentReference"/>
          <w:rFonts w:ascii="Times New Roman" w:hAnsiTheme="minorHAnsi"/>
        </w:rPr>
        <w:commentReference w:id="21"/>
      </w:r>
      <w:r w:rsidR="00E3070E">
        <w:t xml:space="preserve">. </w:t>
      </w:r>
      <w:r w:rsidR="00B00A94">
        <w:t>O</w:t>
      </w:r>
      <w:r w:rsidR="00E3070E">
        <w:t xml:space="preserve">ur </w:t>
      </w:r>
      <w:r w:rsidR="000804E8">
        <w:t xml:space="preserve">data </w:t>
      </w:r>
      <w:r w:rsidR="00E3070E">
        <w:t>reveal</w:t>
      </w:r>
      <w:r w:rsidR="00B26384">
        <w:t xml:space="preserve"> </w:t>
      </w:r>
      <w:r w:rsidR="00E3070E">
        <w:t xml:space="preserve">that, despite </w:t>
      </w:r>
      <w:r w:rsidR="004F61BD">
        <w:t>its</w:t>
      </w:r>
      <w:r w:rsidR="00B00A94">
        <w:t xml:space="preserve"> </w:t>
      </w:r>
      <w:r w:rsidR="00E3070E">
        <w:t xml:space="preserve">significantly </w:t>
      </w:r>
      <w:r w:rsidR="00B00A94">
        <w:t>greater</w:t>
      </w:r>
      <w:r w:rsidR="004F61BD">
        <w:t xml:space="preserve"> DS-scale</w:t>
      </w:r>
      <w:r w:rsidR="00B00A94">
        <w:t xml:space="preserve"> species richness</w:t>
      </w:r>
      <w:r w:rsidR="00E3070E">
        <w:t>, the</w:t>
      </w:r>
      <w:r w:rsidR="00B00A94">
        <w:t xml:space="preserve"> GCFR does not </w:t>
      </w:r>
      <w:r w:rsidR="003252BC">
        <w:t>have significantly greater</w:t>
      </w:r>
      <w:r w:rsidR="00B00A94">
        <w:t xml:space="preserve"> </w:t>
      </w:r>
      <w:r w:rsidR="003252BC">
        <w:t xml:space="preserve">QDS- and HDS-scale species richness than </w:t>
      </w:r>
      <w:r w:rsidR="00B00A94">
        <w:t xml:space="preserve">the SWAFR. This </w:t>
      </w:r>
      <w:r w:rsidR="008B5685">
        <w:t>pattern</w:t>
      </w:r>
      <w:r w:rsidR="00BB20AD">
        <w:t>, which reflects</w:t>
      </w:r>
      <w:r w:rsidR="004F61BD">
        <w:t xml:space="preserve"> higher </w:t>
      </w:r>
      <w:r w:rsidR="00BB20AD">
        <w:t xml:space="preserve">rates of </w:t>
      </w:r>
      <w:r w:rsidR="00274581">
        <w:t xml:space="preserve">QDS- and HDS-scale </w:t>
      </w:r>
      <w:r w:rsidR="00BB20AD">
        <w:t xml:space="preserve">species turnover </w:t>
      </w:r>
      <w:r w:rsidR="00274581">
        <w:t>in the GCFR</w:t>
      </w:r>
      <w:r w:rsidR="00BB20AD">
        <w:t xml:space="preserve">, implies </w:t>
      </w:r>
      <w:r w:rsidR="007149DA">
        <w:t xml:space="preserve">a greater role for dispersal limitation and </w:t>
      </w:r>
      <w:r w:rsidR="00BB20AD">
        <w:t xml:space="preserve">local </w:t>
      </w:r>
      <w:r w:rsidR="007149DA">
        <w:t>species differentiation</w:t>
      </w:r>
      <w:r w:rsidR="009A709A">
        <w:t xml:space="preserve"> in </w:t>
      </w:r>
      <w:r w:rsidR="0072106C">
        <w:t>driving</w:t>
      </w:r>
      <w:r w:rsidR="009A709A">
        <w:t xml:space="preserve"> high DS-scale richness</w:t>
      </w:r>
      <w:r w:rsidR="007149DA">
        <w:t xml:space="preserve"> </w:t>
      </w:r>
      <w:r w:rsidR="0072106C">
        <w:t xml:space="preserve">in the Cape. This interpretation is consistent with </w:t>
      </w:r>
      <w:r w:rsidR="00496FD1">
        <w:t xml:space="preserve">existing </w:t>
      </w:r>
      <w:r w:rsidR="0072106C">
        <w:t>evidence for a much high</w:t>
      </w:r>
      <w:r w:rsidR="0058677B">
        <w:t>er</w:t>
      </w:r>
      <w:r w:rsidR="0072106C">
        <w:t xml:space="preserve"> frequency of single-site endemic taxa in the Cape than in the Australian flora</w:t>
      </w:r>
      <w:r w:rsidR="002D7223">
        <w:t xml:space="preserve"> </w:t>
      </w:r>
      <w:r w:rsidR="002D7223">
        <w:fldChar w:fldCharType="begin" w:fldLock="1"/>
      </w:r>
      <w:r w:rsidR="00B1381E">
        <w:instrText>ADDIN CSL_CITATION {"citationItems":[{"id":"ITEM-1","itemData":{"DOI":"10.1111/jbi.13709","ISSN":"0305-0270","author":[{"dropping-particle":"","family":"Linder","given":"Hans Peter","non-dropping-particle":"","parse-names":false,"suffix":""}],"container-title":"Journal of Biogeography","id":"ITEM-1","issued":{"date-parts":[["2019","9","27"]]},"page":"1-14","title":"Rare species, Restionaceae, and the Cape flora","type":"article-journal"},"uris":["http://www.mendeley.com/documents/?uuid=aa169c93-affb-4734-9e23-fdf28ce77f13"]}],"mendeley":{"formattedCitation":"(Linder, 2019)","plainTextFormattedCitation":"(Linder, 2019)","previouslyFormattedCitation":"(Linder, 2019)"},"properties":{"noteIndex":0},"schema":"https://github.com/citation-style-language/schema/raw/master/csl-citation.json"}</w:instrText>
      </w:r>
      <w:r w:rsidR="002D7223">
        <w:fldChar w:fldCharType="separate"/>
      </w:r>
      <w:r w:rsidR="002D7223" w:rsidRPr="002D7223">
        <w:rPr>
          <w:noProof/>
        </w:rPr>
        <w:t>(Linder, 2019)</w:t>
      </w:r>
      <w:r w:rsidR="002D7223">
        <w:fldChar w:fldCharType="end"/>
      </w:r>
      <w:r w:rsidR="00F65234">
        <w:t xml:space="preserve"> and evidence of such</w:t>
      </w:r>
      <w:r w:rsidR="00704131">
        <w:t xml:space="preserve"> </w:t>
      </w:r>
      <w:r w:rsidR="00F65234">
        <w:t xml:space="preserve">in our </w:t>
      </w:r>
      <w:r w:rsidR="00704131">
        <w:t xml:space="preserve">species occurrence dataset (Figure </w:t>
      </w:r>
      <w:r w:rsidR="00F06726">
        <w:t>S11</w:t>
      </w:r>
      <w:r w:rsidR="00704131">
        <w:t>).</w:t>
      </w:r>
    </w:p>
    <w:p w14:paraId="2B259CB7" w14:textId="15CCDA40" w:rsidR="00DE487A" w:rsidRDefault="005F5881" w:rsidP="00E3070E">
      <w:pPr>
        <w:pStyle w:val="BodyText"/>
        <w:tabs>
          <w:tab w:val="left" w:pos="6189"/>
        </w:tabs>
      </w:pPr>
      <w:r>
        <w:t xml:space="preserve">Although </w:t>
      </w:r>
      <w:r w:rsidR="00653FBE">
        <w:t xml:space="preserve">our data </w:t>
      </w:r>
      <w:r w:rsidR="001F48A1">
        <w:t xml:space="preserve">confirm </w:t>
      </w:r>
      <w:r w:rsidR="0029777A">
        <w:t>a broad</w:t>
      </w:r>
      <w:r w:rsidR="001F48A1">
        <w:t xml:space="preserve"> dependence of</w:t>
      </w:r>
      <w:r w:rsidR="00653FBE">
        <w:t xml:space="preserve"> </w:t>
      </w:r>
      <w:r w:rsidR="003362FE">
        <w:t xml:space="preserve">GCFR and SWAFR plant </w:t>
      </w:r>
      <w:r>
        <w:t xml:space="preserve">species richness </w:t>
      </w:r>
      <w:r w:rsidR="001F48A1">
        <w:t>on</w:t>
      </w:r>
      <w:r w:rsidR="000C6E98">
        <w:t xml:space="preserve"> </w:t>
      </w:r>
      <w:r>
        <w:t xml:space="preserve">environmental heterogeneity, as defined by the nine environmental variables examined, </w:t>
      </w:r>
      <w:r w:rsidR="007B1FA8">
        <w:t xml:space="preserve">the generally low coefficients of determination associated with these relationships indicate </w:t>
      </w:r>
      <w:r w:rsidR="00653FBE">
        <w:t xml:space="preserve">a </w:t>
      </w:r>
      <w:r w:rsidR="008B5685">
        <w:t>role for other</w:t>
      </w:r>
      <w:r w:rsidR="007B1FA8">
        <w:t xml:space="preserve"> factors.</w:t>
      </w:r>
      <w:r w:rsidR="00B461C6">
        <w:t xml:space="preserve"> </w:t>
      </w:r>
      <w:r w:rsidR="00653FBE">
        <w:t>First</w:t>
      </w:r>
      <w:r w:rsidR="000C6E98">
        <w:t>ly</w:t>
      </w:r>
      <w:r w:rsidR="00653FBE">
        <w:t xml:space="preserve">, </w:t>
      </w:r>
      <w:r w:rsidR="0074652D">
        <w:t xml:space="preserve">species richness is </w:t>
      </w:r>
      <w:r w:rsidR="000C6E98">
        <w:t>almost certainly</w:t>
      </w:r>
      <w:r w:rsidR="008D30F0">
        <w:t xml:space="preserve"> influenced by </w:t>
      </w:r>
      <w:r w:rsidR="00FD7934">
        <w:t>heterogeneity</w:t>
      </w:r>
      <w:r w:rsidR="0074652D">
        <w:t xml:space="preserve"> </w:t>
      </w:r>
      <w:r w:rsidR="008D30F0">
        <w:t xml:space="preserve">in </w:t>
      </w:r>
      <w:r w:rsidR="00952699">
        <w:t xml:space="preserve">multiple </w:t>
      </w:r>
      <w:r w:rsidR="00A234EE">
        <w:t>other</w:t>
      </w:r>
      <w:r w:rsidR="000C6E98">
        <w:t xml:space="preserve"> </w:t>
      </w:r>
      <w:r w:rsidR="008D30F0">
        <w:t>environmental variables</w:t>
      </w:r>
      <w:r w:rsidR="000C6E98">
        <w:t xml:space="preserve">, some of which </w:t>
      </w:r>
      <w:r w:rsidR="00A234EE">
        <w:t xml:space="preserve">may </w:t>
      </w:r>
      <w:r w:rsidR="001F48A1">
        <w:t xml:space="preserve">vary at spatial scales beyond the </w:t>
      </w:r>
      <w:r w:rsidR="00952699">
        <w:t xml:space="preserve">fine-scale </w:t>
      </w:r>
      <w:r w:rsidR="001F48A1">
        <w:t xml:space="preserve">resolution of </w:t>
      </w:r>
      <w:r w:rsidR="003362FE">
        <w:t>available</w:t>
      </w:r>
      <w:r w:rsidR="001F48A1">
        <w:t xml:space="preserve"> environmental layers. </w:t>
      </w:r>
      <w:r w:rsidR="00067982">
        <w:fldChar w:fldCharType="begin" w:fldLock="1"/>
      </w:r>
      <w:r w:rsidR="00404D92">
        <w:instrText>ADDIN CSL_CITATION {"citationItems":[{"id":"ITEM-1","itemData":{"author":[{"dropping-particle":"","family":"Cramer","given":"Michael D.","non-dropping-particle":"","parse-names":false,"suffix":""},{"dropping-particle":"","family":"Wootton","given":"Lara M.","non-dropping-particle":"","parse-names":false,"suffix":""},{"dropping-particle":"","family":"Mazijk","given":"Ruan","non-dropping-particle":"van","parse-names":false,"suffix":""},{"dropping-particle":"","family":"Verboom","given":"George Anthony","non-dropping-particle":"","parse-names":false,"suffix":""}],"container-title":"Diversity and Distributions","id":"ITEM-1","issue":"11","issued":{"date-parts":[["2019"]]},"page":"1736-1750","publisher":"Wiley Online Library","title":"New regionally modelled soil layers improve prediction of vegetation type relative to that based on global soil models","type":"article-journal","volume":"25"},"uris":["http://www.mendeley.com/documents/?uuid=9cbaf630-a1d2-402b-83d1-2a7ba7f05945"]}],"mendeley":{"formattedCitation":"(Cramer et al., 2019)","manualFormatting":"Cramer, Wootton, van Mazijk, &amp; Verboom (2019)","plainTextFormattedCitation":"(Cramer et al., 2019)","previouslyFormattedCitation":"(Cramer et al., 2019)"},"properties":{"noteIndex":0},"schema":"https://github.com/citation-style-language/schema/raw/master/csl-citation.json"}</w:instrText>
      </w:r>
      <w:r w:rsidR="00067982">
        <w:fldChar w:fldCharType="separate"/>
      </w:r>
      <w:r w:rsidR="00067982" w:rsidRPr="00067982">
        <w:rPr>
          <w:noProof/>
        </w:rPr>
        <w:t xml:space="preserve">Cramer, Wootton, van Mazijk, &amp; Verboom </w:t>
      </w:r>
      <w:r w:rsidR="00067982">
        <w:rPr>
          <w:noProof/>
        </w:rPr>
        <w:t>(</w:t>
      </w:r>
      <w:r w:rsidR="00067982" w:rsidRPr="00067982">
        <w:rPr>
          <w:noProof/>
        </w:rPr>
        <w:t>2019)</w:t>
      </w:r>
      <w:r w:rsidR="00067982">
        <w:fldChar w:fldCharType="end"/>
      </w:r>
      <w:r w:rsidR="00FD7934">
        <w:t>, for example, recently highlighted the superiority of locally-modelled soil layers</w:t>
      </w:r>
      <w:r w:rsidR="008D30F0">
        <w:t xml:space="preserve">, which also </w:t>
      </w:r>
      <w:r w:rsidR="001F48A1">
        <w:t>include aspects of</w:t>
      </w:r>
      <w:r w:rsidR="008D30F0">
        <w:t xml:space="preserve"> soil chemistry,</w:t>
      </w:r>
      <w:r w:rsidR="00FD7934">
        <w:t xml:space="preserve"> as predictors of vegetation type in the GCFR,</w:t>
      </w:r>
      <w:r w:rsidR="00BD7A0C">
        <w:t xml:space="preserve"> compared with the globally-modelled layers used </w:t>
      </w:r>
      <w:r w:rsidR="003362FE">
        <w:t>in this study</w:t>
      </w:r>
      <w:r w:rsidR="00BD7A0C">
        <w:t xml:space="preserve">. Unfortunately, </w:t>
      </w:r>
      <w:r w:rsidR="0074652D">
        <w:t xml:space="preserve">we </w:t>
      </w:r>
      <w:r w:rsidR="00FD7934">
        <w:t xml:space="preserve">were unable to </w:t>
      </w:r>
      <w:r w:rsidR="00164E10">
        <w:t xml:space="preserve">make </w:t>
      </w:r>
      <w:r w:rsidR="003362FE">
        <w:t>use</w:t>
      </w:r>
      <w:r w:rsidR="00FD7934">
        <w:t xml:space="preserve"> </w:t>
      </w:r>
      <w:r w:rsidR="00164E10">
        <w:t xml:space="preserve">of </w:t>
      </w:r>
      <w:r w:rsidR="00FD7934">
        <w:t xml:space="preserve">these </w:t>
      </w:r>
      <w:r w:rsidR="008D30F0">
        <w:t>layers</w:t>
      </w:r>
      <w:r w:rsidR="00164E10">
        <w:t xml:space="preserve"> as</w:t>
      </w:r>
      <w:r w:rsidR="00FD7934">
        <w:t xml:space="preserve"> comparable </w:t>
      </w:r>
      <w:r w:rsidR="007F3925">
        <w:t>data</w:t>
      </w:r>
      <w:r w:rsidR="00FD7934">
        <w:t xml:space="preserve"> are </w:t>
      </w:r>
      <w:r w:rsidR="008D30F0">
        <w:t>lacking</w:t>
      </w:r>
      <w:r w:rsidR="00FD7934">
        <w:t xml:space="preserve"> </w:t>
      </w:r>
      <w:r w:rsidR="00952699">
        <w:t xml:space="preserve">between </w:t>
      </w:r>
      <w:r w:rsidR="00FD7934">
        <w:t>the</w:t>
      </w:r>
      <w:r w:rsidR="00952699">
        <w:t xml:space="preserve"> GCFR and</w:t>
      </w:r>
      <w:r w:rsidR="00FD7934">
        <w:t xml:space="preserve"> SWAFR.</w:t>
      </w:r>
      <w:r w:rsidR="0074652D">
        <w:t xml:space="preserve"> </w:t>
      </w:r>
      <w:r w:rsidR="00043988">
        <w:t>D</w:t>
      </w:r>
      <w:r w:rsidR="00BD7A0C">
        <w:t>espite the</w:t>
      </w:r>
      <w:r w:rsidR="003362FE">
        <w:t xml:space="preserve"> obvious importance of soil variables</w:t>
      </w:r>
      <w:r w:rsidR="00BD7A0C">
        <w:t xml:space="preserve"> as determinants of plant distribution, </w:t>
      </w:r>
      <w:r w:rsidR="003362FE">
        <w:t xml:space="preserve">their inclusion </w:t>
      </w:r>
      <w:r w:rsidR="00F06213">
        <w:t xml:space="preserve">in broad-scale spatial modelling exercises </w:t>
      </w:r>
      <w:r w:rsidR="003362FE">
        <w:t xml:space="preserve">remains problematic </w:t>
      </w:r>
      <w:r w:rsidR="00A234EE">
        <w:t>since</w:t>
      </w:r>
      <w:r w:rsidR="00F06213">
        <w:t xml:space="preserve"> </w:t>
      </w:r>
      <w:r w:rsidR="00BD7A0C">
        <w:t xml:space="preserve">the spatial scale at which </w:t>
      </w:r>
      <w:r w:rsidR="00164E10">
        <w:t>soils</w:t>
      </w:r>
      <w:r w:rsidR="00BD7A0C">
        <w:t xml:space="preserve"> vary is typically much finer than the spatial </w:t>
      </w:r>
      <w:r w:rsidR="00164E10">
        <w:t>resolution of modelled</w:t>
      </w:r>
      <w:r w:rsidR="00BD7A0C">
        <w:t xml:space="preserve"> layers </w:t>
      </w:r>
      <w:r w:rsidR="00B1381E">
        <w:fldChar w:fldCharType="begin" w:fldLock="1"/>
      </w:r>
      <w:r w:rsidR="00B1381E">
        <w:instrText>ADDIN CSL_CITATION {"citationItems":[{"id":"ITEM-1","itemData":{"DOI":"10.1111/jbi.13104","ISSN":"03050270","abstract":"Aim: To evaluate the relative importance of climatic versus soil data when predicting species distributions for Amazonian plants and to gain understanding of potential range shifts under climate change. Location: Amazon rain forest. Methods: We produced species distribution models (SDM) at 5-km spatial resolution for 42 plant species (trees, palms, lianas, monocot herbs and ferns) using species occurrence data from herbarium records and plot-based inventories. We modelled species distribution with Bayesian logistic regression using either climate data only, soil data only or climate and soil data together to estimate their relative predictive powers. For areas defined as unsuitable to species occurrence, we mapped the difference between the suitability predictions obtained with climate-only versus soil-only models to identify regions where climate and soil might restrict species ranges independently or jointly. Results: For 40 out of the 42 species, the best models included both climate and soil predictors. The models including only soil predictors performed better than the models including only climate predictors, but we still detected a drought-sensitive response for most of the species. Edaphic conditions were predicted to restrict species occurrence in the centre, the north-west and in the north-east of Amazonia, while the climatic conditions were identified as the restricting factor in the eastern Amazonia, at the border of Roraima and Venezuela and in the Andean foothills. Main conclusions: Our results revealed that soil data are a more important predictor than climate of plant species range in Amazonia. The strong control of species ranges by edaphic features might reduce species’ abilities to track suitable climate conditions under a drought-increase scenario. Future challenges are to improve the quality of soil data and couple them with process-based models to better predict species range dynamics under climate change.","author":[{"dropping-particle":"","family":"Figueiredo","given":"Fernando O. G.","non-dropping-particle":"","parse-names":false,"suffix":""},{"dropping-particle":"","family":"Zuquim","given":"Gabriela","non-dropping-particle":"","parse-names":false,"suffix":""},{"dropping-particle":"","family":"Tuomisto","given":"Hanna","non-dropping-particle":"","parse-names":false,"suffix":""},{"dropping-particle":"","family":"Moulatlet","given":"Gabriel M.","non-dropping-particle":"","parse-names":false,"suffix":""},{"dropping-particle":"","family":"Balslev","given":"Henrik","non-dropping-particle":"","parse-names":false,"suffix":""},{"dropping-particle":"","family":"Costa","given":"Flávia R. C.","non-dropping-particle":"","parse-names":false,"suffix":""}],"container-title":"Journal of Biogeography","id":"ITEM-1","issue":"1","issued":{"date-parts":[["2018","1"]]},"page":"190-200","title":"Beyond climate control on species range: The importance of soil data to predict distribution of Amazonian plant species","type":"article-journal","volume":"45"},"uris":["http://www.mendeley.com/documents/?uuid=dd7f1cad-89e6-43c8-8af6-238a4884191b"]}],"mendeley":{"formattedCitation":"(Figueiredo et al., 2018)","plainTextFormattedCitation":"(Figueiredo et al., 2018)","previouslyFormattedCitation":"(Figueiredo et al., 2018)"},"properties":{"noteIndex":0},"schema":"https://github.com/citation-style-language/schema/raw/master/csl-citation.json"}</w:instrText>
      </w:r>
      <w:r w:rsidR="00B1381E">
        <w:fldChar w:fldCharType="separate"/>
      </w:r>
      <w:r w:rsidR="00B1381E" w:rsidRPr="00B1381E">
        <w:rPr>
          <w:noProof/>
        </w:rPr>
        <w:t>(Figueiredo et al., 2018)</w:t>
      </w:r>
      <w:r w:rsidR="00B1381E">
        <w:fldChar w:fldCharType="end"/>
      </w:r>
      <w:r w:rsidR="00F06213">
        <w:t xml:space="preserve">. </w:t>
      </w:r>
      <w:r w:rsidR="00E806A3">
        <w:t>Similarly</w:t>
      </w:r>
      <w:r w:rsidR="003362FE">
        <w:t>, the association of many point</w:t>
      </w:r>
      <w:r w:rsidR="00A179C9">
        <w:t>-</w:t>
      </w:r>
      <w:r w:rsidR="00BC31F1">
        <w:t xml:space="preserve">endemics in the GCFR </w:t>
      </w:r>
      <w:r w:rsidR="003362FE">
        <w:t xml:space="preserve">with </w:t>
      </w:r>
      <w:r w:rsidR="008B5685">
        <w:t>highly-</w:t>
      </w:r>
      <w:r w:rsidR="00E806A3">
        <w:t xml:space="preserve">localized </w:t>
      </w:r>
      <w:r w:rsidR="00A179C9">
        <w:t>bogs</w:t>
      </w:r>
      <w:r w:rsidR="00E806A3">
        <w:t>,</w:t>
      </w:r>
      <w:r w:rsidR="003362FE">
        <w:t xml:space="preserve"> whose distribution</w:t>
      </w:r>
      <w:r w:rsidR="00E806A3">
        <w:t>s</w:t>
      </w:r>
      <w:r w:rsidR="003362FE">
        <w:t xml:space="preserve"> </w:t>
      </w:r>
      <w:r w:rsidR="00E806A3">
        <w:t>are</w:t>
      </w:r>
      <w:r w:rsidR="00D65C79">
        <w:t xml:space="preserve"> </w:t>
      </w:r>
      <w:r w:rsidR="003362FE">
        <w:t>geo</w:t>
      </w:r>
      <w:r w:rsidR="00AD171B">
        <w:t>morpho</w:t>
      </w:r>
      <w:r w:rsidR="003362FE">
        <w:t>logically- rather than climatically-determined</w:t>
      </w:r>
      <w:r w:rsidR="00E806A3">
        <w:t>,</w:t>
      </w:r>
      <w:r w:rsidR="00164E10">
        <w:t xml:space="preserve"> presents challenges </w:t>
      </w:r>
      <w:r w:rsidR="00E806A3">
        <w:t xml:space="preserve">for species distribution modelling </w:t>
      </w:r>
      <w:r w:rsidR="003B08CE">
        <w:t>on account of their small size</w:t>
      </w:r>
      <w:r w:rsidR="00B1381E">
        <w:t xml:space="preserve"> </w:t>
      </w:r>
      <w:r w:rsidR="00B1381E">
        <w:fldChar w:fldCharType="begin" w:fldLock="1"/>
      </w:r>
      <w:r w:rsidR="00E74506">
        <w:instrText>ADDIN CSL_CITATION {"citationItems":[{"id":"ITEM-1","itemData":{"DOI":"10.1111/aec.12616","ISSN":"14429985","abstract":"The ability of plants to survive drought or waterlogging constitutes an important niche parameter, which might be particularly significant in explaining species coexistence in the species-rich and seasonally dry Cape Floristic Region of South Africa. However, the degree of physiological adaptation and specialization to these eco-hydrological parameters (the fundamental niche) cannot be readily inferred from correlative studies based on species distributions and spatial variation in environmental parameters (the realized niche). We used an ex situ greenhouse experiment to compare the fundamental hydrological niches (different mean annual precipitation, rainfall seasonality and soil drainage) of six eco-hydrologically divergent African Restionaceae species. Juvenile plants were subjected to six different watering treatments, ranging from no watering to waterlogging, to determine drought and waterlogging susceptibility and optimal growth conditions. We used the rate of biomass accumulation and survival rate as response measures. We found that species from dry and mesic (but well-drained) habitats had optimal or near-optimal growth at benign conditions (under which most restio species grow well). All species performed worse when droughted and died when not watered. Species from dry habitats tended to perform better (assessed in growth) than species from wet habitats under droughting. Species from wet habitats performed best when waterlogged, whereas species from dry habitats performed very poorly when waterlogged – thus showing that realized and fundamental niches covaried at the wet end of the hydrological gradient. We conclude that eco-hydrological parameters are part of the fundamental niche, and fundamental and realized species niches are approximately correlated along them. The distribution of wet habitat species appears not to reflect their drought tolerance, suggesting that it may not be predicted by bioclimatic variables, but rather by soil drainage characteristics.","author":[{"dropping-particle":"","family":"Born","given":"Julia","non-dropping-particle":"","parse-names":false,"suffix":""},{"dropping-particle":"","family":"Linder","given":"Hans Peter","non-dropping-particle":"","parse-names":false,"suffix":""}],"container-title":"Austral Ecology","id":"ITEM-1","issue":"6","issued":{"date-parts":[["2018","9"]]},"page":"696-705","title":"Water availability, fundamental niches and realized niches: A case study from the Cape flora","type":"article-journal","volume":"43"},"uris":["http://www.mendeley.com/documents/?uuid=b54b5ed8-2c42-4269-9103-b11d722627c5"]}],"mendeley":{"formattedCitation":"(Julia Born &amp; Linder, 2018)","manualFormatting":"(Born &amp; Linder, 2018)","plainTextFormattedCitation":"(Julia Born &amp; Linder, 2018)","previouslyFormattedCitation":"(Julia Born &amp; Linder, 2018)"},"properties":{"noteIndex":0},"schema":"https://github.com/citation-style-language/schema/raw/master/csl-citation.json"}</w:instrText>
      </w:r>
      <w:r w:rsidR="00B1381E">
        <w:fldChar w:fldCharType="separate"/>
      </w:r>
      <w:r w:rsidR="00B1381E" w:rsidRPr="00B1381E">
        <w:rPr>
          <w:noProof/>
        </w:rPr>
        <w:t>(Born &amp; Linder, 2018)</w:t>
      </w:r>
      <w:r w:rsidR="00B1381E">
        <w:fldChar w:fldCharType="end"/>
      </w:r>
      <w:r w:rsidR="00164E10">
        <w:t>.</w:t>
      </w:r>
      <w:r w:rsidR="00996D75">
        <w:t xml:space="preserve"> The same may </w:t>
      </w:r>
      <w:r w:rsidR="00B31A36">
        <w:t xml:space="preserve">well </w:t>
      </w:r>
      <w:r w:rsidR="00996D75">
        <w:t>be true for the SWAFR flora where phylogenetically-relictual species typically inhabit waterlogged situations</w:t>
      </w:r>
      <w:r w:rsidR="00E74506">
        <w:t xml:space="preserve"> </w:t>
      </w:r>
      <w:r w:rsidR="00E74506">
        <w:fldChar w:fldCharType="begin" w:fldLock="1"/>
      </w:r>
      <w:r w:rsidR="00404D92">
        <w:instrText>ADDIN CSL_CITATION {"citationItems":[{"id":"ITEM-1","itemData":{"DOI":"10.1146/annurev.ecolsys.35.112202.130201","ISSN":"00664162","abstract":"Like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Systematics","id":"ITEM-1","issued":{"date-parts":[["2004"]]},"page":"623-650","title":"The Southwest Australian floristic region: Evolution and conservation of a global hot spot of biodiversity","type":"article-journal","volume":"35"},"uris":["http://www.mendeley.com/documents/?uuid=85cab335-61f8-4414-a150-449fba523731"]}],"mendeley":{"formattedCitation":"(Hopper &amp; Gioia, 2004a)","manualFormatting":"(Hopper &amp; Gioia, 2004)","plainTextFormattedCitation":"(Hopper &amp; Gioia, 2004a)","previouslyFormattedCitation":"(Hopper &amp; Gioia, 2004a)"},"properties":{"noteIndex":0},"schema":"https://github.com/citation-style-language/schema/raw/master/csl-citation.json"}</w:instrText>
      </w:r>
      <w:r w:rsidR="00E74506">
        <w:fldChar w:fldCharType="separate"/>
      </w:r>
      <w:r w:rsidR="00E74506" w:rsidRPr="00E74506">
        <w:rPr>
          <w:noProof/>
        </w:rPr>
        <w:t>(Hopper &amp; Gioia, 2004)</w:t>
      </w:r>
      <w:r w:rsidR="00E74506">
        <w:fldChar w:fldCharType="end"/>
      </w:r>
      <w:r w:rsidR="00996D75">
        <w:t>.</w:t>
      </w:r>
    </w:p>
    <w:p w14:paraId="67982DFE" w14:textId="40310BCA" w:rsidR="00CF6AF3" w:rsidRDefault="00DE487A" w:rsidP="00E3070E">
      <w:pPr>
        <w:pStyle w:val="BodyText"/>
        <w:tabs>
          <w:tab w:val="left" w:pos="6189"/>
        </w:tabs>
      </w:pPr>
      <w:r w:rsidRPr="005F374B">
        <w:t>A second</w:t>
      </w:r>
      <w:r w:rsidR="00164E10" w:rsidRPr="005F374B">
        <w:t xml:space="preserve"> </w:t>
      </w:r>
      <w:r w:rsidR="00B718C1" w:rsidRPr="005F374B">
        <w:t xml:space="preserve">factor </w:t>
      </w:r>
      <w:r w:rsidR="005F374B" w:rsidRPr="005F374B">
        <w:t>affecting</w:t>
      </w:r>
      <w:r w:rsidR="00B718C1" w:rsidRPr="005F374B">
        <w:t xml:space="preserve"> the </w:t>
      </w:r>
      <w:r w:rsidR="00A646E1" w:rsidRPr="005F374B">
        <w:t>explanatory power of our models</w:t>
      </w:r>
      <w:r w:rsidR="003362FE">
        <w:t xml:space="preserve"> </w:t>
      </w:r>
      <w:r w:rsidR="009B7312">
        <w:t xml:space="preserve">is the inclusion of only </w:t>
      </w:r>
      <w:r w:rsidR="00FA12E2">
        <w:t>the</w:t>
      </w:r>
      <w:r w:rsidR="009B7312">
        <w:t xml:space="preserve"> hete</w:t>
      </w:r>
      <w:r w:rsidR="00D96E88">
        <w:t>rogeneities</w:t>
      </w:r>
      <w:r w:rsidR="00FA12E2">
        <w:t xml:space="preserve"> of environmental variables</w:t>
      </w:r>
      <w:r w:rsidR="00D96E88">
        <w:t xml:space="preserve"> and not the</w:t>
      </w:r>
      <w:r w:rsidR="008353FD">
        <w:t>ir</w:t>
      </w:r>
      <w:r w:rsidR="00D96E88">
        <w:t xml:space="preserve"> </w:t>
      </w:r>
      <w:r w:rsidR="008353FD">
        <w:t>absolute</w:t>
      </w:r>
      <w:r w:rsidR="00D96E88">
        <w:t xml:space="preserve"> va</w:t>
      </w:r>
      <w:r w:rsidR="008353FD">
        <w:t>lues</w:t>
      </w:r>
      <w:r w:rsidR="00D96E88">
        <w:t xml:space="preserve">. </w:t>
      </w:r>
      <w:r w:rsidR="008353FD">
        <w:t xml:space="preserve">Although the absolute values of </w:t>
      </w:r>
      <w:r w:rsidR="00C55DCA">
        <w:t>certain</w:t>
      </w:r>
      <w:r w:rsidR="0065333D">
        <w:t xml:space="preserve"> environmental </w:t>
      </w:r>
      <w:r w:rsidR="008353FD">
        <w:t xml:space="preserve">variables, particularly those </w:t>
      </w:r>
      <w:r w:rsidR="0065333D">
        <w:t>influencing</w:t>
      </w:r>
      <w:r w:rsidR="008353FD">
        <w:t xml:space="preserve"> </w:t>
      </w:r>
      <w:r w:rsidR="0065333D">
        <w:t>biological</w:t>
      </w:r>
      <w:r w:rsidR="008353FD">
        <w:t xml:space="preserve"> productivity</w:t>
      </w:r>
      <w:r w:rsidR="00873A2C">
        <w:t xml:space="preserve"> (</w:t>
      </w:r>
      <w:r w:rsidR="00A82266">
        <w:t xml:space="preserve">i.e. </w:t>
      </w:r>
      <w:r w:rsidR="00873A2C">
        <w:t>energy-water theory)</w:t>
      </w:r>
      <w:r w:rsidR="008353FD">
        <w:t xml:space="preserve">, have often been </w:t>
      </w:r>
      <w:r w:rsidR="00FA12E2">
        <w:t>found</w:t>
      </w:r>
      <w:r w:rsidR="008353FD">
        <w:t xml:space="preserve"> to </w:t>
      </w:r>
      <w:r w:rsidR="00C55DCA">
        <w:t>correlate positively with</w:t>
      </w:r>
      <w:r w:rsidR="008353FD">
        <w:t xml:space="preserve"> species richness</w:t>
      </w:r>
      <w:r w:rsidR="00C55DCA">
        <w:t xml:space="preserve"> at broad scales</w:t>
      </w:r>
      <w:r w:rsidR="0065333D">
        <w:t xml:space="preserve"> </w:t>
      </w:r>
      <w:r w:rsidR="009F4954">
        <w:fldChar w:fldCharType="begin" w:fldLock="1"/>
      </w:r>
      <w:r w:rsidR="00E77AA1">
        <w:instrText>ADDIN CSL_CITATION {"citationItems":[{"id":"ITEM-1","itemData":{"DOI":"10.1073/pnas.0608361104","ISBN":"0027-8424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Sciences","id":"ITEM-1","issue":"14","issued":{"date-parts":[["2007","4","3"]]},"page":"5925-5930","title":"Global patterns and determinants of vascular plant diversity","type":"article-journal","volume":"104"},"uris":["http://www.mendeley.com/documents/?uuid=c7e13ce7-cc30-4a21-95e5-6078c56c1ad2"]},{"id":"ITEM-2","itemData":{"author":[{"dropping-particle":"","family":"Currie","given":"David J","non-dropping-particle":"","parse-names":false,"suffix":""}],"container-title":"The American Naturalist","id":"ITEM-2","issue":"1","issued":{"date-parts":[["1991"]]},"page":"27-49","publisher":"University of Chicago Press","title":"Energy and large-scale patterns of animal-and plant-species richness","type":"article-journal","volume":"137"},"uris":["http://www.mendeley.com/documents/?uuid=af4aa7c8-867c-492c-b7eb-254701b3a116"]},{"id":"ITEM-3","itemData":{"author":[{"dropping-particle":"","family":"Hawkins","given":"Bradford A","non-dropping-particle":"","parse-names":false,"suffix":""},{"dropping-particle":"","family":"Field","given":"Richard","non-dropping-particle":"","parse-names":false,"suffix":""},{"dropping-particle":"V","family":"Cornell","given":"Howard","non-dropping-particle":"","parse-names":false,"suffix":""},{"dropping-particle":"","family":"Currie","given":"David J","non-dropping-particle":"","parse-names":false,"suffix":""},{"dropping-particle":"","family":"Guégan","given":"Jean-François","non-dropping-particle":"","parse-names":false,"suffix":""},{"dropping-particle":"","family":"Kaufman","given":"Dawn M","non-dropping-particle":"","parse-names":false,"suffix":""},{"dropping-particle":"","family":"Kerr","given":"Jeremy T","non-dropping-particle":"","parse-names":false,"suffix":""},{"dropping-particle":"","family":"Mittelbach","given":"Gary G","non-dropping-particle":"","parse-names":false,"suffix":""},{"dropping-particle":"","family":"Oberdorff","given":"Thierry","non-dropping-particle":"","parse-names":false,"suffix":""},{"dropping-particle":"","family":"O'Brien","given":"Eileen M","non-dropping-particle":"","parse-names":false,"suffix":""},{"dropping-particle":"","family":"others","given":"","non-dropping-particle":"","parse-names":false,"suffix":""}],"container-title":"Ecology","id":"ITEM-3","issue":"12","issued":{"date-parts":[["2003"]]},"page":"3105-3117","publisher":"Wiley Online Library","title":"Energy, water, and broad-scale geographic patterns of species richness","type":"article-journal","volume":"84"},"uris":["http://www.mendeley.com/documents/?uuid=14b4f23a-41f6-4580-9a6d-9208dc3b970c"]}],"mendeley":{"formattedCitation":"(Currie, 1991; Hawkins et al., 2003; Kreft &amp; Jetz, 2007)","plainTextFormattedCitation":"(Currie, 1991; Hawkins et al., 2003; Kreft &amp; Jetz, 2007)","previouslyFormattedCitation":"(Currie, 1991; Hawkins et al., 2003; Kreft &amp; Jetz, 2007)"},"properties":{"noteIndex":0},"schema":"https://github.com/citation-style-language/schema/raw/master/csl-citation.json"}</w:instrText>
      </w:r>
      <w:r w:rsidR="009F4954">
        <w:fldChar w:fldCharType="separate"/>
      </w:r>
      <w:r w:rsidR="003103A8" w:rsidRPr="003103A8">
        <w:rPr>
          <w:noProof/>
        </w:rPr>
        <w:t>(Currie, 1991; Hawkins et al., 2003; Kreft &amp; Jetz, 2007)</w:t>
      </w:r>
      <w:r w:rsidR="009F4954">
        <w:fldChar w:fldCharType="end"/>
      </w:r>
      <w:r w:rsidR="008353FD">
        <w:t xml:space="preserve">, we elected to omit these </w:t>
      </w:r>
      <w:r w:rsidR="008353FD">
        <w:lastRenderedPageBreak/>
        <w:t xml:space="preserve">variables from our analyses because </w:t>
      </w:r>
      <w:r w:rsidR="002D35E5">
        <w:t>we</w:t>
      </w:r>
      <w:r w:rsidR="0065333D">
        <w:t xml:space="preserve"> </w:t>
      </w:r>
      <w:r w:rsidR="008B6F00">
        <w:t>wished</w:t>
      </w:r>
      <w:r w:rsidR="0065333D">
        <w:t xml:space="preserve"> explicitly </w:t>
      </w:r>
      <w:r w:rsidR="00873A2C">
        <w:t>to assess</w:t>
      </w:r>
      <w:r w:rsidR="00C55DCA">
        <w:t xml:space="preserve"> the </w:t>
      </w:r>
      <w:r w:rsidR="00737794">
        <w:t xml:space="preserve">relative </w:t>
      </w:r>
      <w:r w:rsidR="008B6F00">
        <w:t>ability</w:t>
      </w:r>
      <w:r w:rsidR="00C55DCA">
        <w:t xml:space="preserve"> of </w:t>
      </w:r>
      <w:r w:rsidR="00737794">
        <w:t xml:space="preserve">various forms of </w:t>
      </w:r>
      <w:r w:rsidR="00C55DCA">
        <w:t xml:space="preserve">heterogeneity </w:t>
      </w:r>
      <w:r w:rsidR="008B6F00">
        <w:t>to account for</w:t>
      </w:r>
      <w:r w:rsidR="00C55DCA">
        <w:t xml:space="preserve"> species richness variation across</w:t>
      </w:r>
      <w:r w:rsidR="00203A2D">
        <w:t xml:space="preserve"> </w:t>
      </w:r>
      <w:r w:rsidR="00737794">
        <w:t>and between</w:t>
      </w:r>
      <w:r w:rsidR="00203A2D">
        <w:t xml:space="preserve"> </w:t>
      </w:r>
      <w:r w:rsidR="00C55DCA">
        <w:t xml:space="preserve">the GCFR and SWAFR. </w:t>
      </w:r>
      <w:r w:rsidR="00B31A36">
        <w:t>Besides</w:t>
      </w:r>
      <w:r w:rsidR="00C55DCA">
        <w:t xml:space="preserve">, </w:t>
      </w:r>
      <w:r w:rsidR="001B750B">
        <w:t xml:space="preserve">as noted by </w:t>
      </w:r>
      <w:r w:rsidR="008E7D51">
        <w:fldChar w:fldCharType="begin" w:fldLock="1"/>
      </w:r>
      <w:r w:rsidR="006A50EF">
        <w:instrText>ADDIN CSL_CITATION {"citationItems":[{"id":"ITEM-1","itemData":{"author":[{"dropping-particle":"","family":"Cowling","given":"Richard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Africa","id":"ITEM-1","issue":"2","issued":{"date-parts":[["2017"]]},"page":"184-201","publisher":"Taylor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diversity","type":"article-journal","volume":"72"},"uris":["http://www.mendeley.com/documents/?uuid=fb586e7d-5488-41fd-80b4-f3f23e2be90a"]}],"mendeley":{"formattedCitation":"(Richard M Cowling et al., 2017)","manualFormatting":"Cowling, Bradshaw, Colville, &amp; Forest (2017)","plainTextFormattedCitation":"(Richard M Cowling et al., 2017)","previouslyFormattedCitation":"(Richard M Cowling et al., 2017)"},"properties":{"noteIndex":0},"schema":"https://github.com/citation-style-language/schema/raw/master/csl-citation.json"}</w:instrText>
      </w:r>
      <w:r w:rsidR="008E7D51">
        <w:fldChar w:fldCharType="separate"/>
      </w:r>
      <w:r w:rsidR="008E7D51" w:rsidRPr="008E7D51">
        <w:rPr>
          <w:noProof/>
        </w:rPr>
        <w:t xml:space="preserve">Cowling, Bradshaw, Colville, &amp; Forest </w:t>
      </w:r>
      <w:r w:rsidR="008E7D51">
        <w:rPr>
          <w:noProof/>
        </w:rPr>
        <w:t>(</w:t>
      </w:r>
      <w:r w:rsidR="008E7D51" w:rsidRPr="008E7D51">
        <w:rPr>
          <w:noProof/>
        </w:rPr>
        <w:t>2017)</w:t>
      </w:r>
      <w:r w:rsidR="008E7D51">
        <w:fldChar w:fldCharType="end"/>
      </w:r>
      <w:r w:rsidR="001B750B">
        <w:t>,</w:t>
      </w:r>
      <w:r w:rsidR="00873A2C">
        <w:t xml:space="preserve"> ene</w:t>
      </w:r>
      <w:r w:rsidR="00E929F6">
        <w:t xml:space="preserve">rgy-water theory does not </w:t>
      </w:r>
      <w:r w:rsidR="008B6F00">
        <w:t>appear to hold</w:t>
      </w:r>
      <w:r w:rsidR="00E929F6">
        <w:t xml:space="preserve"> in the GCFR where species richness is </w:t>
      </w:r>
      <w:r w:rsidR="00DA7104">
        <w:t>maximized</w:t>
      </w:r>
      <w:r w:rsidR="00E929F6">
        <w:t xml:space="preserve"> in cool</w:t>
      </w:r>
      <w:r w:rsidR="008B6F00">
        <w:t>,</w:t>
      </w:r>
      <w:r w:rsidR="00E929F6">
        <w:t xml:space="preserve"> nutrient-impoverished</w:t>
      </w:r>
      <w:r w:rsidR="008B6F00">
        <w:t xml:space="preserve"> areas</w:t>
      </w:r>
      <w:r w:rsidR="00E929F6">
        <w:t>.</w:t>
      </w:r>
    </w:p>
    <w:p w14:paraId="0610530F" w14:textId="0555BF86" w:rsidR="00375621" w:rsidRDefault="001C321C" w:rsidP="00E3070E">
      <w:pPr>
        <w:pStyle w:val="BodyText"/>
        <w:tabs>
          <w:tab w:val="left" w:pos="6189"/>
        </w:tabs>
      </w:pPr>
      <w:r>
        <w:t xml:space="preserve">A third factor underpinning the unexplained variance in our models is spatial variation in collection effort and its consequences for </w:t>
      </w:r>
      <w:r w:rsidR="00F83A4F">
        <w:t>species richness estimates.</w:t>
      </w:r>
      <w:r w:rsidR="008353FD">
        <w:t xml:space="preserve"> </w:t>
      </w:r>
      <w:r w:rsidR="00E823D6">
        <w:t xml:space="preserve">Although some </w:t>
      </w:r>
      <w:r w:rsidR="00841F89">
        <w:t>a</w:t>
      </w:r>
      <w:r w:rsidR="00E823D6">
        <w:t xml:space="preserve">uthors </w:t>
      </w:r>
      <w:r w:rsidR="004F2596">
        <w:t>have argued for</w:t>
      </w:r>
      <w:r w:rsidR="00E823D6">
        <w:t xml:space="preserve"> the</w:t>
      </w:r>
      <w:r w:rsidR="002D35E5">
        <w:t xml:space="preserve"> application of </w:t>
      </w:r>
      <w:r w:rsidR="00375621" w:rsidRPr="003C5ACF">
        <w:rPr>
          <w:rFonts w:ascii="Times New Roman" w:hAnsi="Times New Roman" w:cs="Times New Roman"/>
          <w:noProof/>
          <w:lang w:val="en-GB"/>
        </w:rPr>
        <w:t xml:space="preserve">sample- </w:t>
      </w:r>
      <w:r w:rsidR="006C2C54">
        <w:rPr>
          <w:rFonts w:ascii="Times New Roman" w:hAnsi="Times New Roman" w:cs="Times New Roman"/>
          <w:noProof/>
          <w:lang w:val="en-GB"/>
        </w:rPr>
        <w:fldChar w:fldCharType="begin" w:fldLock="1"/>
      </w:r>
      <w:r w:rsidR="001A41BA">
        <w:rPr>
          <w:rFonts w:ascii="Times New Roman" w:hAnsi="Times New Roman" w:cs="Times New Roman"/>
          <w:noProof/>
          <w:lang w:val="en-GB"/>
        </w:rPr>
        <w:instrText>ADDIN CSL_CITATION {"citationItems":[{"id":"ITEM-1","itemData":{"DOI":"10.1046/j.1461-0248.2001.00230.x","ISBN":"1461-0248","ISSN":"1461023X","PMID":"9828362","author":[{"dropping-particle":"","family":"Gotelli","given":"Nicholas J.","non-dropping-particle":"","parse-names":false,"suffix":""},{"dropping-particle":"","family":"Colwell","given":"Robert K.","non-dropping-particle":"","parse-names":false,"suffix":""}],"container-title":"Ecology Letters","id":"ITEM-1","issue":"4","issued":{"date-parts":[["2001","7","22"]]},"page":"379-391","title":"Quantifying biodiversity: procedures and pitfalls in the measurement and comparison of species richness","type":"article-journal","volume":"4"},"uris":["http://www.mendeley.com/documents/?uuid=535ea93a-c74b-46ba-88be-a9cbf496955f"]}],"mendeley":{"formattedCitation":"(Gotelli &amp; Colwell, 2001)","plainTextFormattedCitation":"(Gotelli &amp; Colwell, 2001)","previouslyFormattedCitation":"(Gotelli &amp; Colwell, 2001)"},"properties":{"noteIndex":0},"schema":"https://github.com/citation-style-language/schema/raw/master/csl-citation.json"}</w:instrText>
      </w:r>
      <w:r w:rsidR="006C2C54">
        <w:rPr>
          <w:rFonts w:ascii="Times New Roman" w:hAnsi="Times New Roman" w:cs="Times New Roman"/>
          <w:noProof/>
          <w:lang w:val="en-GB"/>
        </w:rPr>
        <w:fldChar w:fldCharType="separate"/>
      </w:r>
      <w:r w:rsidR="006C2C54" w:rsidRPr="006C2C54">
        <w:rPr>
          <w:rFonts w:ascii="Times New Roman" w:hAnsi="Times New Roman" w:cs="Times New Roman"/>
          <w:noProof/>
          <w:lang w:val="en-GB"/>
        </w:rPr>
        <w:t>(Gotelli &amp; Colwell, 2001)</w:t>
      </w:r>
      <w:r w:rsidR="006C2C54">
        <w:rPr>
          <w:rFonts w:ascii="Times New Roman" w:hAnsi="Times New Roman" w:cs="Times New Roman"/>
          <w:noProof/>
          <w:lang w:val="en-GB"/>
        </w:rPr>
        <w:fldChar w:fldCharType="end"/>
      </w:r>
      <w:r w:rsidR="00375621" w:rsidRPr="003C5ACF">
        <w:rPr>
          <w:rFonts w:ascii="Times New Roman" w:hAnsi="Times New Roman" w:cs="Times New Roman"/>
          <w:noProof/>
          <w:lang w:val="en-GB"/>
        </w:rPr>
        <w:t xml:space="preserve"> or coverage-based rarefaction techniques </w:t>
      </w:r>
      <w:r w:rsidR="008A6247">
        <w:rPr>
          <w:rFonts w:ascii="Times New Roman" w:hAnsi="Times New Roman" w:cs="Times New Roman"/>
          <w:noProof/>
          <w:lang w:val="en-GB"/>
        </w:rPr>
        <w:fldChar w:fldCharType="begin" w:fldLock="1"/>
      </w:r>
      <w:r w:rsidR="0064618C">
        <w:rPr>
          <w:rFonts w:ascii="Times New Roman" w:hAnsi="Times New Roman" w:cs="Times New Roman"/>
          <w:noProof/>
          <w:lang w:val="en-GB"/>
        </w:rPr>
        <w:instrText>ADDIN CSL_CITATION {"citationItems":[{"id":"ITEM-1","itemData":{"author":[{"dropping-particle":"","family":"Chao","given":"Anne","non-dropping-particle":"","parse-names":false,"suffix":""},{"dropping-particle":"","family":"Jost","given":"Lou","non-dropping-particle":"","parse-names":false,"suffix":""}],"container-title":"Ecology","id":"ITEM-1","issue":"12","issued":{"date-parts":[["2012"]]},"page":"2533-2547","publisher":"Wiley Online Library","title":"Coverage-based rarefaction and extrapolation: standardizing samples by completeness rather than size","type":"article-journal","volume":"93"},"uris":["http://www.mendeley.com/documents/?uuid=5610885f-9550-4c96-b1cd-f5a64b5da8f9"]}],"mendeley":{"formattedCitation":"(Chao &amp; Jost, 2012)","plainTextFormattedCitation":"(Chao &amp; Jost, 2012)","previouslyFormattedCitation":"(Chao &amp; Jost, 2012)"},"properties":{"noteIndex":0},"schema":"https://github.com/citation-style-language/schema/raw/master/csl-citation.json"}</w:instrText>
      </w:r>
      <w:r w:rsidR="008A6247">
        <w:rPr>
          <w:rFonts w:ascii="Times New Roman" w:hAnsi="Times New Roman" w:cs="Times New Roman"/>
          <w:noProof/>
          <w:lang w:val="en-GB"/>
        </w:rPr>
        <w:fldChar w:fldCharType="separate"/>
      </w:r>
      <w:r w:rsidR="008A6247" w:rsidRPr="008A6247">
        <w:rPr>
          <w:rFonts w:ascii="Times New Roman" w:hAnsi="Times New Roman" w:cs="Times New Roman"/>
          <w:noProof/>
          <w:lang w:val="en-GB"/>
        </w:rPr>
        <w:t>(Chao &amp; Jost, 2012)</w:t>
      </w:r>
      <w:r w:rsidR="008A6247">
        <w:rPr>
          <w:rFonts w:ascii="Times New Roman" w:hAnsi="Times New Roman" w:cs="Times New Roman"/>
          <w:noProof/>
          <w:lang w:val="en-GB"/>
        </w:rPr>
        <w:fldChar w:fldCharType="end"/>
      </w:r>
      <w:r w:rsidR="00375621" w:rsidRPr="003C5ACF">
        <w:rPr>
          <w:rFonts w:ascii="Times New Roman" w:hAnsi="Times New Roman" w:cs="Times New Roman"/>
          <w:noProof/>
          <w:lang w:val="en-GB"/>
        </w:rPr>
        <w:t xml:space="preserve"> </w:t>
      </w:r>
      <w:r w:rsidR="00E823D6">
        <w:t xml:space="preserve">to correct for </w:t>
      </w:r>
      <w:r w:rsidR="002D35E5">
        <w:t xml:space="preserve">variable </w:t>
      </w:r>
      <w:r w:rsidR="00E823D6">
        <w:t>collection effort</w:t>
      </w:r>
      <w:r w:rsidR="002D35E5">
        <w:t xml:space="preserve"> </w:t>
      </w:r>
      <w:r w:rsidR="00077059">
        <w:fldChar w:fldCharType="begin" w:fldLock="1"/>
      </w:r>
      <w:r w:rsidR="006C2C54">
        <w:instrText>ADDIN CSL_CITATION {"citationItems":[{"id":"ITEM-1","itemData":{"author":[{"dropping-particle":"","family":"Engemann","given":"Kristine","non-dropping-particle":"","parse-names":false,"suffix":""},{"dropping-particle":"","family":"Enquist","given":"Brian J","non-dropping-particle":"","parse-names":false,"suffix":""},{"dropping-particle":"","family":"Sandel","given":"Brody","non-dropping-particle":"","parse-names":false,"suffix":""},{"dropping-particle":"","family":"Boyle","given":"Brad","non-dropping-particle":"","parse-names":false,"suffix":""},{"dropping-particle":"","family":"Jørgensen","given":"Peter M","non-dropping-particle":"","parse-names":false,"suffix":""},{"dropping-particle":"","family":"Morueta-Holme","given":"Naia","non-dropping-particle":"","parse-names":false,"suffix":""},{"dropping-particle":"","family":"Peet","given":"Robert K","non-dropping-particle":"","parse-names":false,"suffix":""},{"dropping-particle":"","family":"Violle","given":"Cyrille","non-dropping-particle":"","parse-names":false,"suffix":""},{"dropping-particle":"","family":"Svenning","given":"Jens-Christian","non-dropping-particle":"","parse-names":false,"suffix":""}],"container-title":"Ecology and Evolution","id":"ITEM-1","issue":"3","issued":{"date-parts":[["2015"]]},"page":"807-820","publisher":"Wiley Online Library","title":"Limited sampling hampers “big data” estimation of species richness in a tropical biodiversity hotspot","type":"article-journal","volume":"5"},"uris":["http://www.mendeley.com/documents/?uuid=f0bbb409-dc94-4844-b255-51341217ed45"]}],"mendeley":{"formattedCitation":"(Engemann et al., 2015)","plainTextFormattedCitation":"(Engemann et al., 2015)","previouslyFormattedCitation":"(Engemann et al., 2015)"},"properties":{"noteIndex":0},"schema":"https://github.com/citation-style-language/schema/raw/master/csl-citation.json"}</w:instrText>
      </w:r>
      <w:r w:rsidR="00077059">
        <w:fldChar w:fldCharType="separate"/>
      </w:r>
      <w:r w:rsidR="00077059" w:rsidRPr="00077059">
        <w:rPr>
          <w:noProof/>
        </w:rPr>
        <w:t>(Engemann et al., 2015)</w:t>
      </w:r>
      <w:r w:rsidR="00077059">
        <w:fldChar w:fldCharType="end"/>
      </w:r>
      <w:r w:rsidR="00E823D6">
        <w:t xml:space="preserve">, </w:t>
      </w:r>
      <w:r w:rsidR="00B053CB">
        <w:t xml:space="preserve">the application of these approaches to systematically-biased collection data is </w:t>
      </w:r>
      <w:r w:rsidR="0092446E">
        <w:t xml:space="preserve">potentially </w:t>
      </w:r>
      <w:r w:rsidR="00B053CB">
        <w:t>problematic</w:t>
      </w:r>
      <w:r w:rsidR="00375621">
        <w:t xml:space="preserve">. </w:t>
      </w:r>
      <w:r w:rsidR="00375621" w:rsidRPr="003C5ACF">
        <w:rPr>
          <w:rFonts w:ascii="Times New Roman" w:hAnsi="Times New Roman" w:cs="Times New Roman"/>
          <w:noProof/>
          <w:lang w:val="en-GB"/>
        </w:rPr>
        <w:t>These techniques assume that the relationship between true species richness and sampling effort is weak. In contrast, herbarium collectors commonly focus their efforts on rare species, and many herbaria do not accept material indiscriminately, being reluctant to accept multiple accessions of the same species from a single area</w:t>
      </w:r>
      <w:r w:rsidR="00375621">
        <w:rPr>
          <w:rFonts w:ascii="Times New Roman" w:hAnsi="Times New Roman" w:cs="Times New Roman"/>
          <w:noProof/>
          <w:lang w:val="en-GB"/>
        </w:rPr>
        <w:t xml:space="preserve">. </w:t>
      </w:r>
      <w:r w:rsidR="002E5FF3">
        <w:rPr>
          <w:rFonts w:ascii="Times New Roman" w:hAnsi="Times New Roman" w:cs="Times New Roman"/>
          <w:noProof/>
          <w:lang w:val="en-GB"/>
        </w:rPr>
        <w:t>Moreover, rarefaction-methods</w:t>
      </w:r>
      <w:r w:rsidR="001F13D1">
        <w:rPr>
          <w:rFonts w:ascii="Times New Roman" w:hAnsi="Times New Roman" w:cs="Times New Roman"/>
          <w:noProof/>
          <w:lang w:val="en-GB"/>
        </w:rPr>
        <w:t xml:space="preserve">, while able to account for spatially non-uniform sampling effort, are not ideal for non-uniformities in sampling that arise from targetted collection efforts (e.g. </w:t>
      </w:r>
      <w:r w:rsidR="0019553F">
        <w:rPr>
          <w:rFonts w:ascii="Times New Roman" w:hAnsi="Times New Roman" w:cs="Times New Roman"/>
          <w:noProof/>
          <w:lang w:val="en-GB"/>
        </w:rPr>
        <w:t>collection trips targetting a specific taxon and disregarding others in a given locality</w:t>
      </w:r>
      <w:r w:rsidR="001F13D1">
        <w:rPr>
          <w:rFonts w:ascii="Times New Roman" w:hAnsi="Times New Roman" w:cs="Times New Roman"/>
          <w:noProof/>
          <w:lang w:val="en-GB"/>
        </w:rPr>
        <w:t xml:space="preserve">). </w:t>
      </w:r>
      <w:r w:rsidR="00375621">
        <w:rPr>
          <w:rFonts w:ascii="Times New Roman" w:hAnsi="Times New Roman" w:cs="Times New Roman"/>
          <w:noProof/>
          <w:lang w:val="en-GB"/>
        </w:rPr>
        <w:t>W</w:t>
      </w:r>
      <w:r w:rsidR="00E823D6">
        <w:t xml:space="preserve">e have desisted from </w:t>
      </w:r>
      <w:r w:rsidR="00375621">
        <w:t xml:space="preserve">applying these techniques </w:t>
      </w:r>
      <w:r w:rsidR="00E823D6">
        <w:t>because</w:t>
      </w:r>
      <w:r w:rsidR="00F85B67">
        <w:t xml:space="preserve">, </w:t>
      </w:r>
      <w:r w:rsidR="00375621">
        <w:t xml:space="preserve">at least </w:t>
      </w:r>
      <w:r w:rsidR="00F85B67">
        <w:t>for the South African flora,</w:t>
      </w:r>
      <w:r w:rsidR="00E823D6">
        <w:t xml:space="preserve"> </w:t>
      </w:r>
      <w:r w:rsidR="002D35E5">
        <w:t xml:space="preserve">these methods severely distort known species richness </w:t>
      </w:r>
      <w:commentRangeStart w:id="22"/>
      <w:r w:rsidR="002066AB">
        <w:fldChar w:fldCharType="begin" w:fldLock="1"/>
      </w:r>
      <w:r w:rsidR="008E1634">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2016)","plainTextFormattedCitation":"(Cramer &amp; Verboom, 2016)","previouslyFormattedCitation":"(Cramer &amp; Verboom, 2016)"},"properties":{"noteIndex":0},"schema":"https://github.com/citation-style-language/schema/raw/master/csl-citation.json"}</w:instrText>
      </w:r>
      <w:r w:rsidR="002066AB">
        <w:fldChar w:fldCharType="separate"/>
      </w:r>
      <w:r w:rsidR="002066AB" w:rsidRPr="002066AB">
        <w:rPr>
          <w:noProof/>
        </w:rPr>
        <w:t>(Cramer &amp; Verboom, 2016)</w:t>
      </w:r>
      <w:r w:rsidR="002066AB">
        <w:fldChar w:fldCharType="end"/>
      </w:r>
      <w:commentRangeEnd w:id="22"/>
      <w:r w:rsidR="00246D04">
        <w:rPr>
          <w:rStyle w:val="CommentReference"/>
          <w:rFonts w:ascii="Times New Roman" w:hAnsiTheme="minorHAnsi"/>
        </w:rPr>
        <w:commentReference w:id="22"/>
      </w:r>
      <w:r w:rsidR="002D35E5">
        <w:t>.</w:t>
      </w:r>
      <w:r w:rsidR="00375621">
        <w:t xml:space="preserve"> </w:t>
      </w:r>
      <w:r w:rsidR="002F32A1">
        <w:rPr>
          <w:rFonts w:ascii="Times New Roman" w:hAnsi="Times New Roman" w:cs="Times New Roman"/>
          <w:lang w:val="en-GB"/>
        </w:rPr>
        <w:t xml:space="preserve">Use of rarefaction may artificially inflate species richness </w:t>
      </w:r>
      <w:r w:rsidR="005E501D">
        <w:rPr>
          <w:rFonts w:ascii="Times New Roman" w:hAnsi="Times New Roman" w:cs="Times New Roman"/>
          <w:lang w:val="en-GB"/>
        </w:rPr>
        <w:t xml:space="preserve">(relative to areas of greater richness) </w:t>
      </w:r>
      <w:r w:rsidR="002F32A1">
        <w:rPr>
          <w:rFonts w:ascii="Times New Roman" w:hAnsi="Times New Roman" w:cs="Times New Roman"/>
          <w:lang w:val="en-GB"/>
        </w:rPr>
        <w:t xml:space="preserve">in areas of low collection, where collections are low not because of </w:t>
      </w:r>
      <w:r w:rsidR="001576DD">
        <w:rPr>
          <w:rFonts w:ascii="Times New Roman" w:hAnsi="Times New Roman" w:cs="Times New Roman"/>
          <w:lang w:val="en-GB"/>
        </w:rPr>
        <w:t>inaccessibility</w:t>
      </w:r>
      <w:r w:rsidR="002F32A1">
        <w:rPr>
          <w:rFonts w:ascii="Times New Roman" w:hAnsi="Times New Roman" w:cs="Times New Roman"/>
          <w:lang w:val="en-GB"/>
        </w:rPr>
        <w:t xml:space="preserve">, but because species richness is low. </w:t>
      </w:r>
      <w:r w:rsidR="00375621">
        <w:t xml:space="preserve">Indeed, </w:t>
      </w:r>
      <w:r w:rsidR="008E1634">
        <w:fldChar w:fldCharType="begin" w:fldLock="1"/>
      </w:r>
      <w:r w:rsidR="00905356">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8E1634">
        <w:fldChar w:fldCharType="separate"/>
      </w:r>
      <w:r w:rsidR="008E1634" w:rsidRPr="008E1634">
        <w:rPr>
          <w:noProof/>
        </w:rPr>
        <w:t xml:space="preserve">Cramer &amp; Verboom </w:t>
      </w:r>
      <w:r w:rsidR="008E1634">
        <w:rPr>
          <w:noProof/>
        </w:rPr>
        <w:t>(</w:t>
      </w:r>
      <w:r w:rsidR="008E1634" w:rsidRPr="008E1634">
        <w:rPr>
          <w:noProof/>
        </w:rPr>
        <w:t>2016)</w:t>
      </w:r>
      <w:r w:rsidR="008E1634">
        <w:fldChar w:fldCharType="end"/>
      </w:r>
      <w:r w:rsidR="002F32A1">
        <w:t xml:space="preserve"> </w:t>
      </w:r>
      <w:r w:rsidR="00375621">
        <w:t xml:space="preserve">found that the cumulative species </w:t>
      </w:r>
      <w:r w:rsidR="005F7C7C">
        <w:t xml:space="preserve">richness </w:t>
      </w:r>
      <w:r w:rsidR="00375621">
        <w:t xml:space="preserve">provided a reasonable estimate of the </w:t>
      </w:r>
      <w:r w:rsidR="005F7C7C">
        <w:t xml:space="preserve">biome-level </w:t>
      </w:r>
      <w:r w:rsidR="00375621">
        <w:t xml:space="preserve">floral richness, </w:t>
      </w:r>
      <w:r w:rsidR="002F32A1">
        <w:t xml:space="preserve">and </w:t>
      </w:r>
      <w:r w:rsidR="00375621">
        <w:t xml:space="preserve">that these numbers were consistent with results from an exhaustive atlassing project (i.e. </w:t>
      </w:r>
      <w:r w:rsidR="00375621" w:rsidRPr="003C5ACF">
        <w:rPr>
          <w:rFonts w:ascii="Times New Roman" w:hAnsi="Times New Roman" w:cs="Times New Roman"/>
          <w:lang w:val="en-GB"/>
        </w:rPr>
        <w:t>Protea Atlas</w:t>
      </w:r>
      <w:r w:rsidR="00375621">
        <w:rPr>
          <w:rFonts w:ascii="Times New Roman" w:hAnsi="Times New Roman" w:cs="Times New Roman"/>
          <w:lang w:val="en-GB"/>
        </w:rPr>
        <w:t>;</w:t>
      </w:r>
      <w:r w:rsidR="00A76010">
        <w:rPr>
          <w:rFonts w:ascii="Times New Roman" w:hAnsi="Times New Roman" w:cs="Times New Roman"/>
          <w:lang w:val="en-GB"/>
        </w:rPr>
        <w:t xml:space="preserve"> </w:t>
      </w:r>
      <w:r w:rsidR="00A76010">
        <w:rPr>
          <w:rFonts w:ascii="Times New Roman" w:hAnsi="Times New Roman" w:cs="Times New Roman"/>
          <w:lang w:val="en-GB"/>
        </w:rPr>
        <w:fldChar w:fldCharType="begin" w:fldLock="1"/>
      </w:r>
      <w:r w:rsidR="005A5407">
        <w:rPr>
          <w:rFonts w:ascii="Times New Roman" w:hAnsi="Times New Roman" w:cs="Times New Roman"/>
          <w:lang w:val="en-GB"/>
        </w:rPr>
        <w:instrText>ADDIN CSL_CITATION {"citationItems":[{"id":"ITEM-1","itemData":{"author":[{"dropping-particle":"","family":"Rebelo","given":"T G","non-dropping-particle":"","parse-names":false,"suffix":""}],"id":"ITEM-1","issued":{"date-parts":[["2001"]]},"publisher":"Fernwood","publisher-place":"Vlaeberg","title":"A field guide to the proteas of South Africa","type":"book"},"uris":["http://www.mendeley.com/documents/?uuid=d5e4f8c1-3a52-4077-a21e-8c09faf49ba7"]}],"mendeley":{"formattedCitation":"(Rebelo, 2001)","manualFormatting":"Rebelo, 2001)","plainTextFormattedCitation":"(Rebelo, 2001)","previouslyFormattedCitation":"(Rebelo, 2001)"},"properties":{"noteIndex":0},"schema":"https://github.com/citation-style-language/schema/raw/master/csl-citation.json"}</w:instrText>
      </w:r>
      <w:r w:rsidR="00A76010">
        <w:rPr>
          <w:rFonts w:ascii="Times New Roman" w:hAnsi="Times New Roman" w:cs="Times New Roman"/>
          <w:lang w:val="en-GB"/>
        </w:rPr>
        <w:fldChar w:fldCharType="separate"/>
      </w:r>
      <w:r w:rsidR="00A76010" w:rsidRPr="00A76010">
        <w:rPr>
          <w:rFonts w:ascii="Times New Roman" w:hAnsi="Times New Roman" w:cs="Times New Roman"/>
          <w:noProof/>
          <w:lang w:val="en-GB"/>
        </w:rPr>
        <w:t>Rebelo, 2001)</w:t>
      </w:r>
      <w:r w:rsidR="00A76010">
        <w:rPr>
          <w:rFonts w:ascii="Times New Roman" w:hAnsi="Times New Roman" w:cs="Times New Roman"/>
          <w:lang w:val="en-GB"/>
        </w:rPr>
        <w:fldChar w:fldCharType="end"/>
      </w:r>
      <w:r w:rsidR="002F32A1">
        <w:rPr>
          <w:rFonts w:ascii="Times New Roman" w:hAnsi="Times New Roman" w:cs="Times New Roman"/>
          <w:lang w:val="en-GB"/>
        </w:rPr>
        <w:t xml:space="preserve"> with low collecting bias </w:t>
      </w:r>
      <w:r w:rsidR="001A41BA">
        <w:rPr>
          <w:rFonts w:ascii="Times New Roman" w:hAnsi="Times New Roman" w:cs="Times New Roman"/>
          <w:lang w:val="en-GB"/>
        </w:rPr>
        <w:fldChar w:fldCharType="begin" w:fldLock="1"/>
      </w:r>
      <w:r w:rsidR="00404D92">
        <w:rPr>
          <w:rFonts w:ascii="Times New Roman" w:hAnsi="Times New Roman" w:cs="Times New Roman"/>
          <w:lang w:val="en-GB"/>
        </w:rPr>
        <w:instrText>ADDIN CSL_CITATION {"citationItems":[{"id":"ITEM-1","itemData":{"author":[{"dropping-particle":"","family":"Merow","given":"Cory","non-dropping-particle":"","parse-names":false,"suffix":""},{"dropping-particle":"","family":"Smith","given":"Matthew J","non-dropping-particle":"","parse-names":false,"suffix":""},{"dropping-particle":"","family":"Silander","given":"John A","non-dropping-particle":"","parse-names":false,"suffix":""}],"container-title":"Ecography","id":"ITEM-1","issue":"10","issued":{"date-parts":[["2013"]]},"page":"1058-1069","publisher":"Wiley Online Library","title":"A practical guide to MaxEnt for modeling species’ distributions: what it does, and why inputs and settings matter","type":"article-journal","volume":"36"},"uris":["http://www.mendeley.com/documents/?uuid=2e5f940c-1528-47c1-9475-e107e3bc350b"]}],"mendeley":{"formattedCitation":"(Merow et al., 2013)","plainTextFormattedCitation":"(Merow et al., 2013)","previouslyFormattedCitation":"(Merow et al., 2013)"},"properties":{"noteIndex":0},"schema":"https://github.com/citation-style-language/schema/raw/master/csl-citation.json"}</w:instrText>
      </w:r>
      <w:r w:rsidR="001A41BA">
        <w:rPr>
          <w:rFonts w:ascii="Times New Roman" w:hAnsi="Times New Roman" w:cs="Times New Roman"/>
          <w:lang w:val="en-GB"/>
        </w:rPr>
        <w:fldChar w:fldCharType="separate"/>
      </w:r>
      <w:r w:rsidR="00404D92" w:rsidRPr="00404D92">
        <w:rPr>
          <w:rFonts w:ascii="Times New Roman" w:hAnsi="Times New Roman" w:cs="Times New Roman"/>
          <w:noProof/>
          <w:lang w:val="en-GB"/>
        </w:rPr>
        <w:t>(Merow et al., 2013)</w:t>
      </w:r>
      <w:r w:rsidR="001A41BA">
        <w:rPr>
          <w:rFonts w:ascii="Times New Roman" w:hAnsi="Times New Roman" w:cs="Times New Roman"/>
          <w:lang w:val="en-GB"/>
        </w:rPr>
        <w:fldChar w:fldCharType="end"/>
      </w:r>
      <w:r w:rsidR="002F32A1">
        <w:rPr>
          <w:rFonts w:ascii="Times New Roman" w:hAnsi="Times New Roman" w:cs="Times New Roman"/>
          <w:lang w:val="en-GB"/>
        </w:rPr>
        <w:t xml:space="preserve">. </w:t>
      </w:r>
    </w:p>
    <w:p w14:paraId="73FD09B2" w14:textId="1F88EB0B" w:rsidR="005C0E41" w:rsidRDefault="007535ED">
      <w:pPr>
        <w:pStyle w:val="BodyText"/>
        <w:tabs>
          <w:tab w:val="left" w:pos="6189"/>
        </w:tabs>
      </w:pPr>
      <w:r>
        <w:t xml:space="preserve">A fourth and final factor </w:t>
      </w:r>
      <w:r w:rsidR="003C1D3C">
        <w:t xml:space="preserve">potentially </w:t>
      </w:r>
      <w:r>
        <w:t>compromising</w:t>
      </w:r>
      <w:r w:rsidR="00022A4F">
        <w:t xml:space="preserve"> </w:t>
      </w:r>
      <w:r w:rsidR="0039482B">
        <w:t xml:space="preserve">the strength of the species richness-heterogeneity relationship </w:t>
      </w:r>
      <w:r>
        <w:t>is the</w:t>
      </w:r>
      <w:r w:rsidR="00022A4F">
        <w:t xml:space="preserve"> existence of diversity hotspots </w:t>
      </w:r>
      <w:r>
        <w:t>whose</w:t>
      </w:r>
      <w:r w:rsidR="00022A4F">
        <w:t xml:space="preserve"> high species richness </w:t>
      </w:r>
      <w:r>
        <w:t xml:space="preserve">is not </w:t>
      </w:r>
      <w:r w:rsidR="00E41E17">
        <w:t xml:space="preserve">directly </w:t>
      </w:r>
      <w:r>
        <w:t>linked to</w:t>
      </w:r>
      <w:r w:rsidR="005C0E41">
        <w:t xml:space="preserve"> </w:t>
      </w:r>
      <w:r w:rsidR="00422E7C">
        <w:t>physiographic</w:t>
      </w:r>
      <w:r w:rsidR="00022A4F">
        <w:t xml:space="preserve"> heterogeneity</w:t>
      </w:r>
      <w:r w:rsidR="0039482B">
        <w:t xml:space="preserve">. </w:t>
      </w:r>
      <w:r w:rsidR="007E4A90">
        <w:t>W</w:t>
      </w:r>
      <w:r w:rsidR="002B4C08">
        <w:t>e suspect</w:t>
      </w:r>
      <w:r w:rsidR="007E4A90">
        <w:t xml:space="preserve">, for example, </w:t>
      </w:r>
      <w:r w:rsidR="002B4C08">
        <w:t>that the exceptional species richness of the Perth QDS</w:t>
      </w:r>
      <w:r w:rsidR="007E4A90">
        <w:t xml:space="preserve">/HDS </w:t>
      </w:r>
      <w:r w:rsidR="002B4C08">
        <w:t xml:space="preserve">reported in this study partly reflects the introduction of </w:t>
      </w:r>
      <w:r w:rsidR="00123B47">
        <w:t xml:space="preserve">plants from elsewhere in </w:t>
      </w:r>
      <w:r w:rsidR="007E4A90">
        <w:t>the SWAFR</w:t>
      </w:r>
      <w:r w:rsidR="00123B47">
        <w:t xml:space="preserve"> into the </w:t>
      </w:r>
      <w:r w:rsidR="00767DB5">
        <w:t>Greater Perth metropolitan area</w:t>
      </w:r>
      <w:r w:rsidR="00157A68">
        <w:t xml:space="preserve">. Indeed, our </w:t>
      </w:r>
      <w:r w:rsidR="00AA2495">
        <w:t xml:space="preserve">species </w:t>
      </w:r>
      <w:r w:rsidR="00157A68">
        <w:t xml:space="preserve">occurrence data seem to show a non-trivial proportion of species with outlier-records </w:t>
      </w:r>
      <w:r w:rsidR="006E66BE">
        <w:t xml:space="preserve">(relative to the rest of their ranges) </w:t>
      </w:r>
      <w:r w:rsidR="00157A68">
        <w:t>in the vicinity of Perth</w:t>
      </w:r>
      <w:r w:rsidR="00273FF6">
        <w:t xml:space="preserve">: ca. </w:t>
      </w:r>
      <w:r w:rsidR="00721CE9">
        <w:t>7</w:t>
      </w:r>
      <w:r w:rsidR="00273FF6">
        <w:t>%</w:t>
      </w:r>
      <w:r w:rsidR="005B687B">
        <w:t xml:space="preserve"> (based on a random sample of 300 of the 2,944 species with occurrences near Perth</w:t>
      </w:r>
      <w:r w:rsidR="006018A3">
        <w:t>; see Figure S12</w:t>
      </w:r>
      <w:r w:rsidR="005B687B">
        <w:t>)</w:t>
      </w:r>
      <w:r w:rsidR="00123B47">
        <w:t xml:space="preserve">. </w:t>
      </w:r>
      <w:r w:rsidR="00847E07">
        <w:t>Bearing in mind</w:t>
      </w:r>
      <w:r w:rsidR="008A6F1B">
        <w:t xml:space="preserve"> such artefacts</w:t>
      </w:r>
      <w:r w:rsidR="00123B47">
        <w:t>, species richness</w:t>
      </w:r>
      <w:r w:rsidR="00B053CB">
        <w:t xml:space="preserve"> in </w:t>
      </w:r>
      <w:r w:rsidR="000C16A6">
        <w:t xml:space="preserve">both </w:t>
      </w:r>
      <w:r w:rsidR="00B053CB">
        <w:t xml:space="preserve">the </w:t>
      </w:r>
      <w:r w:rsidR="00E41E17">
        <w:t>GCFR</w:t>
      </w:r>
      <w:r w:rsidR="0092446E">
        <w:t xml:space="preserve"> and SWAFR</w:t>
      </w:r>
      <w:r w:rsidR="00422E7C">
        <w:t xml:space="preserve"> </w:t>
      </w:r>
      <w:r w:rsidR="005C5C96">
        <w:t xml:space="preserve">is often concentrated in </w:t>
      </w:r>
      <w:r w:rsidR="00AF591A">
        <w:t>hotspots</w:t>
      </w:r>
      <w:r w:rsidR="0092446E">
        <w:t xml:space="preserve"> </w:t>
      </w:r>
      <w:r w:rsidR="00580CBB">
        <w:fldChar w:fldCharType="begin" w:fldLock="1"/>
      </w:r>
      <w:r w:rsidR="00404D92">
        <w:instrText>ADDIN CSL_CITATION {"citationItems":[{"id":"ITEM-1","itemData":{"DOI":"10.1093/botlinnean/box010","ISSN":"10958339","abstract":"After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Society","id":"ITEM-1","issue":"1","issued":{"date-parts":[["2017"]]},"page":"1-15","title":"A new phytogeographic map for the Southwest Australian Floristic Region after an exceptional decade of collection and discovery","type":"article-journal","volume":"184"},"uris":["http://www.mendeley.com/documents/?uuid=22e7b8bc-e5e6-4e89-9773-0b2cef6e093f"]},{"id":"ITEM-2","itemData":{"author":[{"dropping-particle":"","family":"Oliver","given":"E G H","non-dropping-particle":"","parse-names":false,"suffix":""},{"dropping-particle":"","family":"Linder","given":"H P","non-dropping-particle":"","parse-names":false,"suffix":""},{"dropping-particle":"","family":"Rourke","given":"J P","non-dropping-particle":"","parse-names":false,"suffix":""}],"container-title":"Bothalia","id":"ITEM-2","issue":"3/4","issued":{"date-parts":[["1983"]]},"page":"427-440","title":"Geographical distribution of present-day Cape taxa and their phytogeographical significance","type":"article-journal","volume":"14"},"uris":["http://www.mendeley.com/documents/?uuid=cbccd416-1c10-4120-bd79-1097d8ec3f89"]}],"mendeley":{"formattedCitation":"(Gioia &amp; Hopper, 2017; Oliver et al., 1983)","manualFormatting":"(cf. Gioia &amp; Hopper, 2017; Oliver, Linder, &amp; Rourke, 1983)","plainTextFormattedCitation":"(Gioia &amp; Hopper, 2017; Oliver et al., 1983)","previouslyFormattedCitation":"(Gioia &amp; Hopper, 2017; Oliver et al., 1983)"},"properties":{"noteIndex":0},"schema":"https://github.com/citation-style-language/schema/raw/master/csl-citation.json"}</w:instrText>
      </w:r>
      <w:r w:rsidR="00580CBB">
        <w:fldChar w:fldCharType="separate"/>
      </w:r>
      <w:r w:rsidR="0061742F" w:rsidRPr="0061742F">
        <w:rPr>
          <w:noProof/>
        </w:rPr>
        <w:t>(</w:t>
      </w:r>
      <w:r w:rsidR="00A26F68">
        <w:rPr>
          <w:noProof/>
        </w:rPr>
        <w:t xml:space="preserve">cf. </w:t>
      </w:r>
      <w:r w:rsidR="0061742F" w:rsidRPr="0061742F">
        <w:rPr>
          <w:noProof/>
        </w:rPr>
        <w:t>Gioia &amp; Hopper, 2017; Oliver, Linder, &amp; Rourke, 1983)</w:t>
      </w:r>
      <w:r w:rsidR="00580CBB">
        <w:fldChar w:fldCharType="end"/>
      </w:r>
      <w:r w:rsidR="0092446E">
        <w:t xml:space="preserve"> </w:t>
      </w:r>
      <w:r w:rsidR="005C5C96">
        <w:t xml:space="preserve">whose exceptional richness may be a consequence of </w:t>
      </w:r>
      <w:r w:rsidR="00B35FF5">
        <w:t>their long-term climatic and/or hydrological stability</w:t>
      </w:r>
      <w:r w:rsidR="0092446E">
        <w:t xml:space="preserve">. </w:t>
      </w:r>
      <w:r w:rsidR="00422E7C">
        <w:t xml:space="preserve">In the Cape Floristic Region (CFR; </w:t>
      </w:r>
      <w:r w:rsidR="00422E7C" w:rsidRPr="008D71B2">
        <w:rPr>
          <w:iCs/>
        </w:rPr>
        <w:t>sensu</w:t>
      </w:r>
      <w:r w:rsidR="00422E7C">
        <w:t xml:space="preserve"> </w:t>
      </w:r>
      <w:r w:rsidR="0033486D">
        <w:fldChar w:fldCharType="begin" w:fldLock="1"/>
      </w:r>
      <w:r w:rsidR="009F763C">
        <w:instrText>ADDIN CSL_CITATION {"citationItems":[{"id":"ITEM-1","itemData":{"author":[{"dropping-particle":"","family":"Goldblatt","given":"Peter","non-dropping-particle":"","parse-names":false,"suffix":""}],"container-title":"Annals of the Missouri Botanical Garden","id":"ITEM-1","issued":{"date-parts":[["1978"]]},"page":"369-436","title":"An analysis of the flora of Southern Africa: its characteristics, relationships abd origins","type":"article-journal","volume":"65"},"uris":["http://www.mendeley.com/documents/?uuid=d54d7e21-319a-4e32-b014-ed516b908819"]}],"mendeley":{"formattedCitation":"(Goldblatt, 1978)","manualFormatting":"Goldblatt, 1978)","plainTextFormattedCitation":"(Goldblatt, 1978)","previouslyFormattedCitation":"(Goldblatt, 1978)"},"properties":{"noteIndex":0},"schema":"https://github.com/citation-style-language/schema/raw/master/csl-citation.json"}</w:instrText>
      </w:r>
      <w:r w:rsidR="0033486D">
        <w:fldChar w:fldCharType="separate"/>
      </w:r>
      <w:r w:rsidR="0033486D" w:rsidRPr="0033486D">
        <w:rPr>
          <w:noProof/>
        </w:rPr>
        <w:t>Goldblatt, 1978)</w:t>
      </w:r>
      <w:r w:rsidR="0033486D">
        <w:fldChar w:fldCharType="end"/>
      </w:r>
      <w:r w:rsidR="00422E7C">
        <w:t xml:space="preserve"> for example,</w:t>
      </w:r>
      <w:r w:rsidR="00EC2B93">
        <w:t xml:space="preserve"> </w:t>
      </w:r>
      <w:r w:rsidR="00654E88">
        <w:t>high</w:t>
      </w:r>
      <w:r w:rsidR="00EC2B93">
        <w:t>er</w:t>
      </w:r>
      <w:r w:rsidR="00422E7C">
        <w:t xml:space="preserve"> species richness </w:t>
      </w:r>
      <w:r w:rsidR="00EC2B93">
        <w:t>in</w:t>
      </w:r>
      <w:r w:rsidR="00422E7C">
        <w:t xml:space="preserve"> the west </w:t>
      </w:r>
      <w:r w:rsidR="00C5195B">
        <w:t xml:space="preserve">has been attributed to </w:t>
      </w:r>
      <w:r w:rsidR="009959BB">
        <w:t>reduced rates of extinction</w:t>
      </w:r>
      <w:r w:rsidR="00340481">
        <w:t>,</w:t>
      </w:r>
      <w:r w:rsidR="009959BB">
        <w:t xml:space="preserve"> associated with greater climatic stability through the Pleistocene</w:t>
      </w:r>
      <w:r w:rsidR="00C5195B">
        <w:t xml:space="preserve"> </w:t>
      </w:r>
      <w:r w:rsidR="009F763C">
        <w:fldChar w:fldCharType="begin" w:fldLock="1"/>
      </w:r>
      <w:r w:rsidR="007722C9">
        <w:instrText>ADDIN CSL_CITATION {"citationItems":[{"id":"ITEM-1","itemData":{"author":[{"dropping-particle":"","family":"Cowling","given":"R. M.","non-dropping-particle":"","parse-names":false,"suffix":""},{"dropping-particle":"","family":"Lombard","given":"A T","non-dropping-particle":"","parse-names":false,"suffix":""}],"container-title":"Diversity and Distributions","id":"ITEM-1","issue":"3","issued":{"date-parts":[["2002"]]},"page":"163-179","publisher":"Wiley Online Library","title":"Heterogeneity, speciation/extinction history and climate: explaining regional plant diversity patterns in the Cape Floristic Region","type":"article-journal","volume":"8"},"uris":["http://www.mendeley.com/documents/?uuid=0ec422d9-a45b-4577-8d6c-b9728338e08a"]},{"id":"ITEM-2","itemData":{"author":[{"dropping-particle":"","family":"Cowling","given":"Richard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Africa","id":"ITEM-2","issue":"2","issued":{"date-parts":[["2017"]]},"page":"184-201","publisher":"Taylor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 M. Cowling &amp; Lombard, 2002; Richard M Cowling et al., 2017)","manualFormatting":"(Cowling &amp; Lombard, 2002; Cowling et al., 2017)","plainTextFormattedCitation":"(R. M. Cowling &amp; Lombard, 2002; Richard M Cowling et al., 2017)","previouslyFormattedCitation":"(R. M. Cowling &amp; Lombard, 2002; Richard M Cowling et al., 2017)"},"properties":{"noteIndex":0},"schema":"https://github.com/citation-style-language/schema/raw/master/csl-citation.json"}</w:instrText>
      </w:r>
      <w:r w:rsidR="009F763C">
        <w:fldChar w:fldCharType="separate"/>
      </w:r>
      <w:r w:rsidR="008E7D51" w:rsidRPr="008E7D51">
        <w:rPr>
          <w:noProof/>
        </w:rPr>
        <w:t>(Cowling &amp; Lombard, 2002; Cowling et al., 2017)</w:t>
      </w:r>
      <w:r w:rsidR="009F763C">
        <w:fldChar w:fldCharType="end"/>
      </w:r>
      <w:r w:rsidR="00422E7C">
        <w:t>.</w:t>
      </w:r>
      <w:r w:rsidR="00B876DB">
        <w:t xml:space="preserve"> </w:t>
      </w:r>
      <w:commentRangeStart w:id="23"/>
      <w:r w:rsidR="005C5C96">
        <w:t>In this study, w</w:t>
      </w:r>
      <w:r w:rsidR="003C6BD9">
        <w:t xml:space="preserve">e used the residuals </w:t>
      </w:r>
      <w:r w:rsidR="00FB1888">
        <w:t>derived from</w:t>
      </w:r>
      <w:r w:rsidR="003C6BD9">
        <w:t xml:space="preserve"> PC1-based ANCOVA and multiple regression models</w:t>
      </w:r>
      <w:commentRangeEnd w:id="23"/>
      <w:r w:rsidR="002433F4">
        <w:rPr>
          <w:rStyle w:val="CommentReference"/>
          <w:rFonts w:ascii="Times New Roman" w:hAnsiTheme="minorHAnsi"/>
        </w:rPr>
        <w:commentReference w:id="23"/>
      </w:r>
      <w:r w:rsidR="003C6BD9">
        <w:t xml:space="preserve"> to identify </w:t>
      </w:r>
      <w:r w:rsidR="005C5C96">
        <w:t>hotspots</w:t>
      </w:r>
      <w:r w:rsidR="00E17461">
        <w:t xml:space="preserve"> </w:t>
      </w:r>
      <w:r w:rsidR="003C6BD9">
        <w:t>whose species richness exceeds that expected on the basis of their underlying heterogeneities.</w:t>
      </w:r>
      <w:r w:rsidR="004B237D">
        <w:t xml:space="preserve"> </w:t>
      </w:r>
      <w:r w:rsidR="002E03CA">
        <w:t xml:space="preserve">At least some of the hotspots </w:t>
      </w:r>
      <w:r w:rsidR="00ED4D30">
        <w:t>thus</w:t>
      </w:r>
      <w:r w:rsidR="00AE7946">
        <w:t xml:space="preserve"> </w:t>
      </w:r>
      <w:r w:rsidR="002E03CA">
        <w:t>identified correspond to centres of long</w:t>
      </w:r>
      <w:r w:rsidR="00F600D2">
        <w:t>-</w:t>
      </w:r>
      <w:r w:rsidR="002E03CA">
        <w:t>ter</w:t>
      </w:r>
      <w:r w:rsidR="00F600D2">
        <w:t xml:space="preserve">m environmental </w:t>
      </w:r>
      <w:r w:rsidR="00FB1888">
        <w:t>stability</w:t>
      </w:r>
      <w:r w:rsidR="00F600D2">
        <w:t xml:space="preserve">. In the GCFR, for example, the </w:t>
      </w:r>
      <w:r w:rsidR="00865292">
        <w:t>southwestern mountains (</w:t>
      </w:r>
      <w:r w:rsidR="00F600D2">
        <w:t>Kogelberg</w:t>
      </w:r>
      <w:r w:rsidR="00D279AB">
        <w:t>-Hottentots Holland</w:t>
      </w:r>
      <w:r w:rsidR="00865292">
        <w:t>)</w:t>
      </w:r>
      <w:r w:rsidR="00F600D2">
        <w:t xml:space="preserve"> ha</w:t>
      </w:r>
      <w:r w:rsidR="00865292">
        <w:t>ve</w:t>
      </w:r>
      <w:r w:rsidR="00F600D2">
        <w:t xml:space="preserve"> been identified as a </w:t>
      </w:r>
      <w:r w:rsidR="00D279AB">
        <w:t>long-term climatic</w:t>
      </w:r>
      <w:r w:rsidR="005143E0">
        <w:t xml:space="preserve"> and hydrological</w:t>
      </w:r>
      <w:r w:rsidR="00F600D2">
        <w:t xml:space="preserve"> refugium</w:t>
      </w:r>
      <w:r w:rsidR="00D279AB">
        <w:t>, especially</w:t>
      </w:r>
      <w:r w:rsidR="00F600D2">
        <w:t xml:space="preserve"> for </w:t>
      </w:r>
      <w:r w:rsidR="00670FB5">
        <w:t>moisture-loving species</w:t>
      </w:r>
      <w:r w:rsidR="005143E0">
        <w:t xml:space="preserve"> which inhabit the numerous bogs and seeps found there</w:t>
      </w:r>
      <w:r w:rsidR="00670FB5">
        <w:t xml:space="preserve"> </w:t>
      </w:r>
      <w:r w:rsidR="00F10AF1">
        <w:fldChar w:fldCharType="begin" w:fldLock="1"/>
      </w:r>
      <w:r w:rsidR="00DC181B">
        <w:instrText>ADDIN CSL_CITATION {"citationItems":[{"id":"ITEM-1","itemData":{"DOI":"10.1111/jbi.13625","ISSN":"13652699","abstract":"Aim: Fragmented distributions should show immigration and diversification dynamics consistent with the predictions of island biogeography theory. We test whether this applies to the fragmented Cape fynbos vegetation. Location: Southern Africa, Cape Floristic Region (CFR). Taxon: Angiosperms, Restionaceae (restios). Methods: We used a large occurrence dataset and environmental layers to characterize an existing regionalization and the intervals between the regions ecologically and spatially. We extended the available phylogeny for restios and inferred their historical biogeography using models implemented in BioGeoBEARS. We then measured the relative contribution of immigration and in situ speciation to the species richness of each region within the CFR. We used standard statistical methods to test the predictions of the island biogeography theory. Results: The area and environmental heterogeneity of the seven regions of the CFR are positively correlated with in situ speciation rate. Furthermore, more isolated areas, and areas colonized more recently, have proportionally higher immigration rates, and more central and older areas proportionally higher in situ speciation rates. Main conclusions: The variation in immigration and diversification dynamics among the regions within the CFR is extensive and consistent with the archipelago model of island biography theory. This dynamic may contribute significantly to the diversity of the Cape flora. Such a model could be generally useful for understanding the generation and maintenance of diversity in biodiversity hotspots, and may even scale up to explain continental biodiversity.","author":[{"dropping-particle":"","family":"Wüest","given":"Rafael O.","non-dropping-particle":"","parse-names":false,"suffix":""},{"dropping-particle":"","family":"Boucher","given":"Florian C.","non-dropping-particle":"","parse-names":false,"suffix":""},{"dropping-particle":"","family":"Bouchenak-Khelladi","given":"Yanis","non-dropping-particle":"","parse-names":false,"suffix":""},{"dropping-particle":"","family":"Karger","given":"Dirk N.","non-dropping-particle":"","parse-names":false,"suffix":""},{"dropping-particle":"","family":"Linder","given":"H. Peter","non-dropping-particle":"","parse-names":false,"suffix":""}],"container-title":"Journal of Biogeography","id":"ITEM-1","issue":"9","issued":{"date-parts":[["2019"]]},"page":"1936-1947","title":"Dissecting biodiversity in a global hotspot: Uneven dynamics of immigration and diversification within the Cape Floristic Region of South Africa","type":"article-journal","volume":"46"},"uris":["http://www.mendeley.com/documents/?uuid=76c529f6-8858-45ca-9bd2-4db8ca3e1ea7"]},{"id":"ITEM-2","itemData":{"DOI":"10.1111/jbi.13709","ISSN":"0305-0270","author":[{"dropping-particle":"","family":"Linder","given":"Hans Peter","non-dropping-particle":"","parse-names":false,"suffix":""}],"container-title":"Journal of Biogeography","id":"ITEM-2","issued":{"date-parts":[["2019","9","27"]]},"page":"1-14","title":"Rare species, Restionaceae, and the Cape flora","type":"article-journal"},"uris":["http://www.mendeley.com/documents/?uuid=aa169c93-affb-4734-9e23-fdf28ce77f13"]}],"mendeley":{"formattedCitation":"(Linder, 2019; Wüest et al., 2019)","plainTextFormattedCitation":"(Linder, 2019; Wüest et al., 2019)","previouslyFormattedCitation":"(Linder, 2019; Wüest et al., 2019)"},"properties":{"noteIndex":0},"schema":"https://github.com/citation-style-language/schema/raw/master/csl-citation.json"}</w:instrText>
      </w:r>
      <w:r w:rsidR="00F10AF1">
        <w:fldChar w:fldCharType="separate"/>
      </w:r>
      <w:r w:rsidR="00F10AF1" w:rsidRPr="00F10AF1">
        <w:rPr>
          <w:noProof/>
        </w:rPr>
        <w:t>(Linder, 2019; Wüest et al., 2019)</w:t>
      </w:r>
      <w:r w:rsidR="00F10AF1">
        <w:fldChar w:fldCharType="end"/>
      </w:r>
      <w:r w:rsidR="00D279AB">
        <w:t xml:space="preserve">. Similarly, </w:t>
      </w:r>
      <w:r w:rsidR="008E7CC7">
        <w:t>pollen and midden-based isotope data provide evidence of relatively muted Pleistocene climate change</w:t>
      </w:r>
      <w:r w:rsidR="002B7852">
        <w:t xml:space="preserve"> in </w:t>
      </w:r>
      <w:r w:rsidR="008E7CC7">
        <w:t xml:space="preserve">the </w:t>
      </w:r>
      <w:r w:rsidR="00803F65">
        <w:t>Cederberg</w:t>
      </w:r>
      <w:r w:rsidR="008E7CC7">
        <w:t xml:space="preserve"> </w:t>
      </w:r>
      <w:r w:rsidR="004022C1">
        <w:fldChar w:fldCharType="begin" w:fldLock="1"/>
      </w:r>
      <w:r w:rsidR="00404D92">
        <w:instrText>ADDIN CSL_CITATION {"citationItems":[{"id":"ITEM-1","itemData":{"author":[{"dropping-particle":"","family":"Meadows","given":"M E","non-dropping-particle":"","parse-names":false,"suffix":""},{"dropping-particle":"","family":"Sugden","given":"J M","non-dropping-particle":"","parse-names":false,"suffix":""}],"container-title":"South African Journal of Science","id":"ITEM-1","issue":"3","issued":{"date-parts":[["1991"]]},"title":"A vegetation history of the last 14,500 years on the Cederberg, SW Cape, South Africa","type":"article-journal","volume":"87"},"uris":["http://www.mendeley.com/documents/?uuid=a3999fb6-8f9b-4ee2-9968-681f749a33da"]},{"id":"ITEM-2","itemData":{"author":[{"dropping-particle":"","family":"Meadows","given":"Michael E","non-dropping-particle":"","parse-names":false,"suffix":""},{"dropping-particle":"","family":"Sugden","given":"Jean M","non-dropping-particle":"","parse-names":false,"suffix":""}],"container-title":"Palaeogeography, Palaeoclimatology, Palaeoecology","id":"ITEM-2","issue":"3-4","issued":{"date-parts":[["1993"]]},"page":"271-281","publisher":"Elsevier","title":"The late Quaternary palaeoecology of a floristic kingdom: the southwestern Cape South Africa","type":"article-journal","volume":"101"},"uris":["http://www.mendeley.com/documents/?uuid=20f4b021-bf71-4a1f-b888-11fec995f164"]},{"id":"ITEM-3","itemData":{"author":[{"dropping-particle":"","family":"Meadows","given":"M E","non-dropping-particle":"","parse-names":false,"suffix":""},{"dropping-particle":"","family":"Chase","given":"B M","non-dropping-particle":"","parse-names":false,"suffix":""},{"dropping-particle":"","family":"Seliane","given":"M","non-dropping-particle":"","parse-names":false,"suffix":""}],"container-title":"Journal of arid environments","id":"ITEM-3","issue":"7","issued":{"date-parts":[["2010"]]},"page":"786-793","publisher":"Elsevier","title":"Holocene palaeoenvironments of the Cederberg and Swartruggens mountains, Western Cape, South Africa: pollen and stable isotope evidence from hyrax dung middens","type":"article-journal","volume":"74"},"uris":["http://www.mendeley.com/documents/?uuid=83be71bf-1237-452f-bda2-8c54db238c7f"]}],"mendeley":{"formattedCitation":"(M E Meadows et al., 2010; M E Meadows &amp; Sugden, 1991; Michael E Meadows &amp; Sugden, 1993)","manualFormatting":"(Meadows, Chase, &amp; Seliane, 2010; Meadows &amp; Sugden, 1991, 1993)","plainTextFormattedCitation":"(M E Meadows et al., 2010; M E Meadows &amp; Sugden, 1991; Michael E Meadows &amp; Sugden, 1993)","previouslyFormattedCitation":"(M E Meadows et al., 2010; M E Meadows &amp; Sugden, 1991; Michael E Meadows &amp; Sugden, 1993)"},"properties":{"noteIndex":0},"schema":"https://github.com/citation-style-language/schema/raw/master/csl-citation.json"}</w:instrText>
      </w:r>
      <w:r w:rsidR="004022C1">
        <w:fldChar w:fldCharType="separate"/>
      </w:r>
      <w:r w:rsidR="004022C1" w:rsidRPr="004022C1">
        <w:rPr>
          <w:noProof/>
        </w:rPr>
        <w:t>(Meadows, Chase, &amp; Seliane, 2010; Meadows &amp; Sugden, 1991, 1993)</w:t>
      </w:r>
      <w:r w:rsidR="004022C1">
        <w:fldChar w:fldCharType="end"/>
      </w:r>
      <w:r w:rsidR="008E7CC7">
        <w:t>.</w:t>
      </w:r>
      <w:r w:rsidR="00B419FD">
        <w:t xml:space="preserve"> </w:t>
      </w:r>
      <w:r w:rsidR="002513DB">
        <w:t>T</w:t>
      </w:r>
      <w:r w:rsidR="00865292">
        <w:t>he biota of the SWAFR</w:t>
      </w:r>
      <w:r w:rsidR="002513DB">
        <w:t>,</w:t>
      </w:r>
      <w:r w:rsidR="00865292">
        <w:t xml:space="preserve"> </w:t>
      </w:r>
      <w:r w:rsidR="002513DB">
        <w:t>too,</w:t>
      </w:r>
      <w:r w:rsidR="005143E0">
        <w:t xml:space="preserve"> </w:t>
      </w:r>
      <w:r w:rsidR="00865292">
        <w:t xml:space="preserve">show evidence of climatically-forced range </w:t>
      </w:r>
      <w:r w:rsidR="00865292">
        <w:lastRenderedPageBreak/>
        <w:t>contraction</w:t>
      </w:r>
      <w:r w:rsidR="00AA210A">
        <w:t xml:space="preserve"> in the Pleistocene</w:t>
      </w:r>
      <w:r w:rsidR="0084063D">
        <w:t xml:space="preserve"> </w:t>
      </w:r>
      <w:r w:rsidR="00DC181B">
        <w:fldChar w:fldCharType="begin" w:fldLock="1"/>
      </w:r>
      <w:r w:rsidR="002668F3">
        <w:instrText>ADDIN CSL_CITATION {"citationItems":[{"id":"ITEM-1","itemData":{"DOI":"10.1016/j.quascirev.2008.08.032","ISSN":"02773791","abstract":"Phylogeography uses the spatial distribution of genealogical lineages to deduce the influence of historical processes on the evolution of species, and can be informative in regard to location of refugia during extreme climatic conditions. Southern Australia is an ancient landscape with generally low geological relief that was not glaciated but did experience significant climatic oscillations from warm wet conditions in interglacials to cool dry environments during glacial maxima. Phylogeographic patterns in many of the biota of southern Australia reveal evidence of geographically structured divergent lineages indicative of contraction to, and expansion from, major refugia. The time frame for this divergence corresponds with mid Pleistocene climatic oscillations that became more extreme with greater amplitude, and with increased aridity and the formation of sandy deserts. Within lineages there is high haplotype diversity that is generally locally distributed, often specific to populations. These patterns do not reveal specific locations of major refugia that have high diversity and acted as an origin for recent range expansion, as has been observed in Northern Hemisphere glaciated regions. Rather it appears there have been multiple localised refugia throughout the distributions of the species, allowing them to persist through multiple climatic cycles in heterogeneous environments. Phylogeographic patterns in southern Australia indicate that major biotic responses to climatic change involve persistence and resilience rather than large-scale migration, indicating the importance of dynamic evolutionary processes and a mosaic of habitats in heterogeneous landscapes for species to persist though changing environmental conditions. © 2008 Elsevier Ltd. All rights reserved.","author":[{"dropping-particle":"","family":"Byrne","given":"M.","non-dropping-particle":"","parse-names":false,"suffix":""}],"container-title":"Quaternary Science Reviews","id":"ITEM-1","issue":"27-28","issued":{"date-parts":[["2008","12"]]},"page":"2576-2585","publisher":"Elsevier Ltd","title":"Evidence for multiple refugia at different time scales during Pleistocene climatic oscillations in southern Australia inferred from phylogeography","type":"article-journal","volume":"27"},"uris":["http://www.mendeley.com/documents/?uuid=d1291e0b-a9c0-442b-a75f-35908667a304"]},{"id":"ITEM-2","itemData":{"author":[{"dropping-particle":"","family":"Byrne","given":"M","non-dropping-particle":"","parse-names":false,"suffix":""},{"dropping-particle":"","family":"Hines","given":"B","non-dropping-particle":"","parse-names":false,"suffix":""}],"container-title":"Australian Journal of Botany","id":"ITEM-2","issue":"4","issued":{"date-parts":[["2004"]]},"page":"459-470","publisher":"CSIRO","title":"Phylogeographical analysis of cpDNA variation in Eucalyptus loxophleba (Myrtaceae)","type":"article-journal","volume":"52"},"uris":["http://www.mendeley.com/documents/?uuid=969f2d50-2e4d-4bf8-8fbc-b9d096af3c76"]}],"mendeley":{"formattedCitation":"(Byrne, 2008; Byrne &amp; Hines, 2004)","plainTextFormattedCitation":"(Byrne, 2008; Byrne &amp; Hines, 2004)","previouslyFormattedCitation":"(Byrne, 2008; Byrne &amp; Hines, 2004)"},"properties":{"noteIndex":0},"schema":"https://github.com/citation-style-language/schema/raw/master/csl-citation.json"}</w:instrText>
      </w:r>
      <w:r w:rsidR="00DC181B">
        <w:fldChar w:fldCharType="separate"/>
      </w:r>
      <w:r w:rsidR="00D536CD" w:rsidRPr="00D536CD">
        <w:rPr>
          <w:noProof/>
        </w:rPr>
        <w:t>(Byrne, 2008; Byrne &amp; Hines, 2004)</w:t>
      </w:r>
      <w:r w:rsidR="00DC181B">
        <w:fldChar w:fldCharType="end"/>
      </w:r>
      <w:r w:rsidR="002513DB">
        <w:t>.</w:t>
      </w:r>
      <w:r w:rsidR="00865292">
        <w:t xml:space="preserve"> </w:t>
      </w:r>
      <w:r w:rsidR="002513DB">
        <w:t>P</w:t>
      </w:r>
      <w:r w:rsidR="005143E0">
        <w:t xml:space="preserve">utative refugia </w:t>
      </w:r>
      <w:r w:rsidR="00A44F62">
        <w:t>in</w:t>
      </w:r>
      <w:r w:rsidR="002513DB">
        <w:t>clude</w:t>
      </w:r>
      <w:r w:rsidR="00A44F62">
        <w:t xml:space="preserve"> the </w:t>
      </w:r>
      <w:r w:rsidR="002513DB">
        <w:t xml:space="preserve">Sterling and Porungurup ranges </w:t>
      </w:r>
      <w:r w:rsidR="002513DB">
        <w:fldChar w:fldCharType="begin" w:fldLock="1"/>
      </w:r>
      <w:r w:rsidR="002513DB">
        <w:instrText>ADDIN CSL_CITATION {"citationItems":[{"id":"ITEM-1","itemData":{"DOI":"10.1093/aob/mcw182","ISSN":"10958290","abstract":"• Background and Aims: Low-altitude mountains constitute important centres of diversity in landscapes with little topographic variation, such as the Southwest Australian Floristic Region (SWAFR). They also provide unique climatic and edaphic conditions that may allow them to function as refugia. We investigate whether the Porongurups (altitude 655 m) in the SWAFR will provide a refugium for the endemic Ornduffia calthifolia and O. marchantii under forecast climate change. • Methods: We used species distribution modelling based on WorldClim climatic data, 30-m elevation data and a 2-m-resolution LiDAR-derived digital elevation model (DEM) to predict current and future distributions of the Ornduffia species at local and regional scales based on 605 field-based abundance estimates. Future distributions were forecast using RCP2.6 and RCP4.5 projections. To determine whether local edaphic and biotic factors impact these forecasts, we tested whether soil depth and vegetation height were significant predictors of abundance using generalized additive models (GAMs). • Key Results: Species distribution modelling revealed the importance of elevation and topographic variables at the local scale for determining distributions of both species, which also preferred shadier locations and higher slopes. However, O. calthifolia occurred at higher (cooler) elevations with rugged, concave topography, while O. marchantii occurred in disturbed sites at lower locations with less rugged, convex topography. Under future climates both species are likely to severely contract under the milder RCP2.6 projection (approx. 2°C of global warming), but are unlikely to persist if warming is more severe (RCP4.5). GAMs showed that soil depth and vegetation height are important predictors of O. calthifolia and O. marchantii distributions, respectively. • Conclusions: The Porongurups constitute an important refugium for O. calthifolia and O. marchantii, but limits to this capacity may be reached if global warming exceeds 2°C. This capacity is moderated at local scales by biotic and edaphic factors.","author":[{"dropping-particle":"","family":"Keppel","given":"Gunnar","non-dropping-particle":"","parse-names":false,"suffix":""},{"dropping-particle":"","family":"Robinson","given":"Todd P.","non-dropping-particle":"","parse-names":false,"suffix":""},{"dropping-particle":"","family":"Wardell-Johnson","given":"Grant W.","non-dropping-particle":"","parse-names":false,"suffix":""},{"dropping-particle":"","family":"Yates","given":"Colin J.","non-dropping-particle":"","parse-names":false,"suffix":""},{"dropping-particle":"","family":"Niel","given":"Kimberly P.","non-dropping-particle":"Van","parse-names":false,"suffix":""},{"dropping-particle":"","family":"Byrne","given":"Margaret","non-dropping-particle":"","parse-names":false,"suffix":""},{"dropping-particle":"","family":"Schut","given":"Antonius G.T.","non-dropping-particle":"","parse-names":false,"suffix":""}],"container-title":"Annals of Botany","id":"ITEM-1","issue":"2","issued":{"date-parts":[["2017"]]},"page":"289-300","title":"A low-altitude mountain range as an important refugium for two narrow endemics in the Southwest Australian Floristic Region biodiversity hotspot","type":"article-journal","volume":"119"},"uris":["http://www.mendeley.com/documents/?uuid=586235c4-517c-4c8b-bb1e-fe184a163902"]}],"mendeley":{"formattedCitation":"(Keppel et al., 2017)","plainTextFormattedCitation":"(Keppel et al., 2017)","previouslyFormattedCitation":"(Keppel et al., 2017)"},"properties":{"noteIndex":0},"schema":"https://github.com/citation-style-language/schema/raw/master/csl-citation.json"}</w:instrText>
      </w:r>
      <w:r w:rsidR="002513DB">
        <w:fldChar w:fldCharType="separate"/>
      </w:r>
      <w:r w:rsidR="002513DB" w:rsidRPr="002513DB">
        <w:rPr>
          <w:noProof/>
        </w:rPr>
        <w:t>(Keppel et al., 2017)</w:t>
      </w:r>
      <w:r w:rsidR="002513DB">
        <w:fldChar w:fldCharType="end"/>
      </w:r>
      <w:r w:rsidR="002513DB">
        <w:t>, areas relatively elevated and topographically complex in the SWAFR</w:t>
      </w:r>
      <w:r w:rsidR="00162B7A">
        <w:t xml:space="preserve">, supporting greater levels of species richness and endemism. </w:t>
      </w:r>
      <w:r w:rsidR="002513DB">
        <w:t>Additionally, m</w:t>
      </w:r>
      <w:r w:rsidR="0005522C">
        <w:t>aps in Byrne (2008; Fig</w:t>
      </w:r>
      <w:r w:rsidR="00D05FCB">
        <w:t>ure</w:t>
      </w:r>
      <w:r w:rsidR="0005522C">
        <w:t xml:space="preserve"> 2) </w:t>
      </w:r>
      <w:r w:rsidR="00A44F62">
        <w:t>identify</w:t>
      </w:r>
      <w:r w:rsidR="0005522C">
        <w:t xml:space="preserve"> one </w:t>
      </w:r>
      <w:r w:rsidR="00AA210A">
        <w:t>refugium in the vicinity of Perth and a second in the vicinity of Fitzgerald River.</w:t>
      </w:r>
    </w:p>
    <w:p w14:paraId="1CF39377" w14:textId="7A781967" w:rsidR="006665D2" w:rsidRDefault="00A828D7">
      <w:pPr>
        <w:pStyle w:val="BodyText"/>
        <w:tabs>
          <w:tab w:val="left" w:pos="6189"/>
        </w:tabs>
      </w:pPr>
      <w:r>
        <w:t>Given th</w:t>
      </w:r>
      <w:r w:rsidR="00F6046E">
        <w:t xml:space="preserve">eir importance </w:t>
      </w:r>
      <w:r w:rsidR="00024506">
        <w:t xml:space="preserve">for long-term </w:t>
      </w:r>
      <w:r w:rsidR="00F6046E">
        <w:t xml:space="preserve">species </w:t>
      </w:r>
      <w:r w:rsidR="00024506">
        <w:t>persistence</w:t>
      </w:r>
      <w:r w:rsidR="003E2E7B">
        <w:t xml:space="preserve"> </w:t>
      </w:r>
      <w:r w:rsidR="003E2E7B">
        <w:fldChar w:fldCharType="begin" w:fldLock="1"/>
      </w:r>
      <w:r w:rsidR="008E7D51">
        <w:instrText>ADDIN CSL_CITATION {"citationItems":[{"id":"ITEM-1","itemData":{"author":[{"dropping-particle":"","family":"McLaughlin","given":"Blair C","non-dropping-particle":"","parse-names":false,"suffix":""},{"dropping-particle":"","family":"Ackerly","given":"David D","non-dropping-particle":"","parse-names":false,"suffix":""},{"dropping-particle":"","family":"Klos","given":"P Zion","non-dropping-particle":"","parse-names":false,"suffix":""},{"dropping-particle":"","family":"Natali","given":"Jennifer","non-dropping-particle":"","parse-names":false,"suffix":""},{"dropping-particle":"","family":"Dawson","given":"Todd E","non-dropping-particle":"","parse-names":false,"suffix":""},{"dropping-particle":"","family":"Thompson","given":"Sally E","non-dropping-particle":"","parse-names":false,"suffix":""}],"container-title":"Global Change Biology","id":"ITEM-1","issue":"8","issued":{"date-parts":[["2017"]]},"page":"2941-2961","publisher":"Wiley Online Library","title":"Hydrologic refugia, plants, and climate change","type":"article-journal","volume":"23"},"uris":["http://www.mendeley.com/documents/?uuid=b8db0920-7299-430a-8caa-c916fc2d00f1"]}],"mendeley":{"formattedCitation":"(McLaughlin et al., 2017)","plainTextFormattedCitation":"(McLaughlin et al., 2017)","previouslyFormattedCitation":"(McLaughlin et al., 2017)"},"properties":{"noteIndex":0},"schema":"https://github.com/citation-style-language/schema/raw/master/csl-citation.json"}</w:instrText>
      </w:r>
      <w:r w:rsidR="003E2E7B">
        <w:fldChar w:fldCharType="separate"/>
      </w:r>
      <w:r w:rsidR="003E2E7B" w:rsidRPr="003E2E7B">
        <w:rPr>
          <w:noProof/>
        </w:rPr>
        <w:t>(McLaughlin et al., 2017)</w:t>
      </w:r>
      <w:r w:rsidR="003E2E7B">
        <w:fldChar w:fldCharType="end"/>
      </w:r>
      <w:r w:rsidR="00024506">
        <w:t>, the</w:t>
      </w:r>
      <w:r w:rsidR="00F6046E">
        <w:t xml:space="preserve"> acc</w:t>
      </w:r>
      <w:r w:rsidR="00024506">
        <w:t xml:space="preserve">urate identification and effective protection </w:t>
      </w:r>
      <w:r w:rsidR="00F6046E">
        <w:t xml:space="preserve">of climatically- and/or hydrologically-stable hotspots </w:t>
      </w:r>
      <w:r w:rsidR="004D44BC">
        <w:t>must be</w:t>
      </w:r>
      <w:r>
        <w:t xml:space="preserve"> an important conservation objective</w:t>
      </w:r>
      <w:r w:rsidR="00273150">
        <w:t xml:space="preserve">, particularly in the </w:t>
      </w:r>
      <w:r w:rsidR="00B357CB">
        <w:t>face</w:t>
      </w:r>
      <w:r w:rsidR="00273150">
        <w:t xml:space="preserve"> of contemporary climatic deterioration. </w:t>
      </w:r>
      <w:r w:rsidR="007A4238">
        <w:t xml:space="preserve">In </w:t>
      </w:r>
      <w:r w:rsidR="006A1997">
        <w:t xml:space="preserve">the context of the GCFR, therefore, it is important to </w:t>
      </w:r>
      <w:r w:rsidR="007C1274">
        <w:t>establi</w:t>
      </w:r>
      <w:r w:rsidR="006A1997">
        <w:t xml:space="preserve">sh whether the </w:t>
      </w:r>
      <w:r w:rsidR="007C1274">
        <w:t>high</w:t>
      </w:r>
      <w:r w:rsidR="006A1997">
        <w:t xml:space="preserve"> species richness i</w:t>
      </w:r>
      <w:r w:rsidR="007C1274">
        <w:t>n the west i</w:t>
      </w:r>
      <w:r w:rsidR="006A1997">
        <w:t xml:space="preserve">s </w:t>
      </w:r>
      <w:r w:rsidR="0047615F">
        <w:t xml:space="preserve">in fact attributable </w:t>
      </w:r>
      <w:r w:rsidR="007C1274">
        <w:t>to</w:t>
      </w:r>
      <w:r w:rsidR="006A1997">
        <w:t xml:space="preserve"> a broad longitudinal effect, as </w:t>
      </w:r>
      <w:r w:rsidR="008C42F3">
        <w:t>impli</w:t>
      </w:r>
      <w:r w:rsidR="006A1997">
        <w:t xml:space="preserve">ed by some authors </w:t>
      </w:r>
      <w:r w:rsidR="007722C9">
        <w:fldChar w:fldCharType="begin" w:fldLock="1"/>
      </w:r>
      <w:r w:rsidR="00FF088B">
        <w:instrText>ADDIN CSL_CITATION {"citationItems":[{"id":"ITEM-1","itemData":{"ISBN":"9780199679584","ISSN":"0873626X","PMID":"16683413","author":[{"dropping-particle":"","family":"Verboom","given":"G. Anthony","non-dropping-particle":"","parse-names":false,"suffix":""},{"dropping-particle":"","family":"Linder","given":"Hans Peter","non-dropping-particle":"","parse-names":false,"suffix":""},{"dropping-particle":"","family":"Forest","given":"Félix","non-dropping-particle":"","parse-names":false,"suffix":""},{"dropping-particle":"","family":"Hoffmann","given":"Vera","non-dropping-particle":"","parse-names":false,"suffix":""},{"dropping-particle":"","family":"Bergh","given":"Nicola G.","non-dropping-particle":"","parse-names":false,"suffix":""},{"dropping-particle":"","family":"Cowling","given":"Richard M.","non-dropping-particle":"","parse-names":false,"suffix":""}],"chapter-number":"15","container-title":"Fynbos: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Anthony","non-dropping-particle":"","parse-names":false,"suffix":""}],"id":"ITEM-1","issued":{"date-parts":[["2014","9","18"]]},"publisher":"Oxford University Press","publisher-place":"Oxford","title":"Cenozoic assembly of the Greater Cape flora","type":"chapter"},"uris":["http://www.mendeley.com/documents/?uuid=9ebd9745-2b68-4cc3-aecb-cb3b3760bd5b"]},{"id":"ITEM-2","itemData":{"author":[{"dropping-particle":"","family":"Cowling","given":"R. M.","non-dropping-particle":"","parse-names":false,"suffix":""},{"dropping-particle":"","family":"Lombard","given":"A T","non-dropping-particle":"","parse-names":false,"suffix":""}],"container-title":"Diversity and Distributions","id":"ITEM-2","issue":"3","issued":{"date-parts":[["2002"]]},"page":"163-179","publisher":"Wiley Online Library","title":"Heterogeneity, speciation/extinction history and climate: explaining regional plant diversity patterns in the Cape Floristic Region","type":"article-journal","volume":"8"},"uris":["http://www.mendeley.com/documents/?uuid=0ec422d9-a45b-4577-8d6c-b9728338e08a"]},{"id":"ITEM-3","itemData":{"author":[{"dropping-particle":"","family":"Cowling","given":"Richard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Africa","id":"ITEM-3","issue":"2","issued":{"date-parts":[["2017"]]},"page":"184-201","publisher":"Taylor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 M. Cowling &amp; Lombard, 2002; Richard M Cowling et al., 2017; Verboom et al., 2014)","manualFormatting":"(Cowling &amp; Lombard, 2002; Cowling et al., 2017; Verboom et al., 2014)","plainTextFormattedCitation":"(R. M. Cowling &amp; Lombard, 2002; Richard M Cowling et al., 2017; Verboom et al., 2014)","previouslyFormattedCitation":"(R. M. Cowling &amp; Lombard, 2002; Richard M Cowling et al., 2017; Verboom et al., 2014)"},"properties":{"noteIndex":0},"schema":"https://github.com/citation-style-language/schema/raw/master/csl-citation.json"}</w:instrText>
      </w:r>
      <w:r w:rsidR="007722C9">
        <w:fldChar w:fldCharType="separate"/>
      </w:r>
      <w:r w:rsidR="007722C9" w:rsidRPr="007722C9">
        <w:rPr>
          <w:noProof/>
        </w:rPr>
        <w:t>(Cowling &amp; Lombard, 2002; Cowling et al., 2017; Verboom et al., 2014)</w:t>
      </w:r>
      <w:r w:rsidR="007722C9">
        <w:fldChar w:fldCharType="end"/>
      </w:r>
      <w:r w:rsidR="006A1997">
        <w:t xml:space="preserve">, or whether it is </w:t>
      </w:r>
      <w:r w:rsidR="00E63877">
        <w:t>tied</w:t>
      </w:r>
      <w:r w:rsidR="00017D5E">
        <w:t xml:space="preserve"> to the </w:t>
      </w:r>
      <w:r w:rsidR="007C1274">
        <w:t>presence of</w:t>
      </w:r>
      <w:r w:rsidR="006A1997">
        <w:t xml:space="preserve"> hotspots </w:t>
      </w:r>
      <w:r w:rsidR="007C1274">
        <w:t xml:space="preserve">whose exceptional richness is attributable to </w:t>
      </w:r>
      <w:r w:rsidR="008C42F3">
        <w:t>effects that are more local in nature</w:t>
      </w:r>
      <w:r w:rsidR="007C1274">
        <w:t>.</w:t>
      </w:r>
      <w:r w:rsidR="003C7229">
        <w:t xml:space="preserve"> </w:t>
      </w:r>
      <w:r w:rsidR="00E63877">
        <w:t>O</w:t>
      </w:r>
      <w:r w:rsidR="003C7229">
        <w:t>ur data</w:t>
      </w:r>
      <w:r w:rsidR="0070656F">
        <w:t xml:space="preserve"> support the latter</w:t>
      </w:r>
      <w:r w:rsidR="003C7229">
        <w:t xml:space="preserve"> interpretation, with the Kogelberg-Hottentots Holland area emerging as a particularly important refugium</w:t>
      </w:r>
      <w:r w:rsidR="00E63877">
        <w:t xml:space="preserve"> for Cape plant diversity.</w:t>
      </w:r>
      <w:r w:rsidR="009555F6">
        <w:t xml:space="preserve"> Given that much of the locally-endemic diversity of this area is associated </w:t>
      </w:r>
      <w:r w:rsidR="003E5F41">
        <w:t xml:space="preserve">with </w:t>
      </w:r>
      <w:r w:rsidR="009555F6">
        <w:t xml:space="preserve">bog and seepage habitats </w:t>
      </w:r>
      <w:r w:rsidR="00B152CB">
        <w:fldChar w:fldCharType="begin" w:fldLock="1"/>
      </w:r>
      <w:r w:rsidR="00023612">
        <w:instrText>ADDIN CSL_CITATION {"citationItems":[{"id":"ITEM-1","itemData":{"DOI":"10.1111/jbi.13709","ISSN":"0305-0270","author":[{"dropping-particle":"","family":"Linder","given":"Hans Peter","non-dropping-particle":"","parse-names":false,"suffix":""}],"container-title":"Journal of Biogeography","id":"ITEM-1","issued":{"date-parts":[["2019","9","27"]]},"page":"1-14","title":"Rare species, Restionaceae, and the Cape flora","type":"article-journal"},"uris":["http://www.mendeley.com/documents/?uuid=aa169c93-affb-4734-9e23-fdf28ce77f13"]}],"mendeley":{"formattedCitation":"(Linder, 2019)","plainTextFormattedCitation":"(Linder, 2019)","previouslyFormattedCitation":"(Linder, 2019)"},"properties":{"noteIndex":0},"schema":"https://github.com/citation-style-language/schema/raw/master/csl-citation.json"}</w:instrText>
      </w:r>
      <w:r w:rsidR="00B152CB">
        <w:fldChar w:fldCharType="separate"/>
      </w:r>
      <w:r w:rsidR="00B152CB" w:rsidRPr="00B152CB">
        <w:rPr>
          <w:noProof/>
        </w:rPr>
        <w:t>(Linder, 2019)</w:t>
      </w:r>
      <w:r w:rsidR="00B152CB">
        <w:fldChar w:fldCharType="end"/>
      </w:r>
      <w:r w:rsidR="009555F6">
        <w:t xml:space="preserve">, </w:t>
      </w:r>
      <w:r w:rsidR="003E5F41">
        <w:t>recent proposals to abstract water from the Table Mountain Group aquifer which feeds these bogs, present a serious threat to the continued persistence of Cape floristic diversity, particularly since the hydrological consequences of such abstraction remain poorly understood</w:t>
      </w:r>
      <w:r w:rsidR="00C250BB">
        <w:t xml:space="preserve"> </w:t>
      </w:r>
      <w:r w:rsidR="00023612">
        <w:fldChar w:fldCharType="begin" w:fldLock="1"/>
      </w:r>
      <w:r w:rsidR="00404D92">
        <w:instrText>ADDIN CSL_CITATION {"citationItems":[{"id":"ITEM-1","itemData":{"author":[{"dropping-particle":"","family":"Slingsby","given":"Jasper Alexander","non-dropping-particle":"","parse-names":false,"suffix":""},{"dropping-particle":"","family":"February","given":"Edmund C.","non-dropping-particle":"","parse-names":false,"suffix":""},{"dropping-particle":"","family":"Rebelo","given":"Tony G.","non-dropping-particle":"","parse-names":false,"suffix":""}],"container-title":"Veld &amp; Flora","id":"ITEM-1","issued":{"date-parts":[["2018"]]},"page":"72-75","title":"Water: at what cost to our unique flora?","type":"article-journal","volume":"June"},"uris":["http://www.mendeley.com/documents/?uuid=ce9cc8d0-cfcf-4e42-a7cf-d4fdb290c9aa"]}],"mendeley":{"formattedCitation":"(Slingsby et al., 2018)","plainTextFormattedCitation":"(Slingsby et al., 2018)","previouslyFormattedCitation":"(Slingsby et al., 2018)"},"properties":{"noteIndex":0},"schema":"https://github.com/citation-style-language/schema/raw/master/csl-citation.json"}</w:instrText>
      </w:r>
      <w:r w:rsidR="00023612">
        <w:fldChar w:fldCharType="separate"/>
      </w:r>
      <w:r w:rsidR="00404D92" w:rsidRPr="00404D92">
        <w:rPr>
          <w:noProof/>
        </w:rPr>
        <w:t>(Slingsby et al., 2018)</w:t>
      </w:r>
      <w:r w:rsidR="00023612">
        <w:fldChar w:fldCharType="end"/>
      </w:r>
      <w:r w:rsidR="003E5F41">
        <w:t>.</w:t>
      </w:r>
      <w:r w:rsidR="00461C06">
        <w:t xml:space="preserve"> The long-term integrity of groundwater-dependent terrestrial vegetation is similarly threatened by </w:t>
      </w:r>
      <w:r w:rsidR="00D51B17">
        <w:t xml:space="preserve">groundwater abstraction in the Perth area of the SWAFR </w:t>
      </w:r>
      <w:r w:rsidR="00FF088B">
        <w:fldChar w:fldCharType="begin" w:fldLock="1"/>
      </w:r>
      <w:r w:rsidR="00361BC1">
        <w:instrText>ADDIN CSL_CITATION {"citationItems":[{"id":"ITEM-1","itemData":{"author":[{"dropping-particle":"","family":"Froend","given":"Ray","non-dropping-particle":"","parse-names":false,"suffix":""},{"dropping-particle":"","family":"Sommer","given":"Bea","non-dropping-particle":"","parse-names":false,"suffix":""}],"container-title":"Ecological Engineering","id":"ITEM-1","issue":"9","issued":{"date-parts":[["2010"]]},"page":"1191-1200","publisher":"Elsevier","title":"Phreatophytic vegetation response to climatic and abstraction-induced groundwater drawdown: examples of long-term spatial and temporal variability in community response","type":"article-journal","volume":"36"},"uris":["http://www.mendeley.com/documents/?uuid=3c1d6e16-c06a-409e-bf24-54f06cb2d715"]},{"id":"ITEM-2","itemData":{"author":[{"dropping-particle":"","family":"Barron","given":"Olga","non-dropping-particle":"","parse-names":false,"suffix":""},{"dropping-particle":"","family":"Froend","given":"Ray","non-dropping-particle":"","parse-names":false,"suffix":""},{"dropping-particle":"","family":"Hodgson","given":"Geoff","non-dropping-particle":"","parse-names":false,"suffix":""},{"dropping-particle":"","family":"Ali","given":"Riasat","non-dropping-particle":"","parse-names":false,"suffix":""},{"dropping-particle":"","family":"Dawes","given":"Warrick","non-dropping-particle":"","parse-names":false,"suffix":""},{"dropping-particle":"","family":"Davies","given":"Phil","non-dropping-particle":"","parse-names":false,"suffix":""},{"dropping-particle":"","family":"McFarlane","given":"Don","non-dropping-particle":"","parse-names":false,"suffix":""}],"container-title":"Hydrological Processes","id":"ITEM-2","issue":"22","issued":{"date-parts":[["2014"]]},"page":"5513-5529","publisher":"Wiley Online Library","title":"Projected risks to groundwater-dependent terrestrial vegetation caused by changing climate and groundwater abstraction in the Central Perth Basin, Western Australia","type":"article-journal","volume":"28"},"uris":["http://www.mendeley.com/documents/?uuid=a645b077-33db-495f-98eb-fe1eca95e676"]}],"mendeley":{"formattedCitation":"(Barron et al., 2014; Froend &amp; Sommer, 2010)","plainTextFormattedCitation":"(Barron et al., 2014; Froend &amp; Sommer, 2010)","previouslyFormattedCitation":"(Barron et al., 2014; Froend &amp; Sommer, 2010)"},"properties":{"noteIndex":0},"schema":"https://github.com/citation-style-language/schema/raw/master/csl-citation.json"}</w:instrText>
      </w:r>
      <w:r w:rsidR="00FF088B">
        <w:fldChar w:fldCharType="separate"/>
      </w:r>
      <w:r w:rsidR="00FF088B" w:rsidRPr="00FF088B">
        <w:rPr>
          <w:noProof/>
        </w:rPr>
        <w:t>(Barron et al., 2014; Froend &amp; Sommer, 2010)</w:t>
      </w:r>
      <w:r w:rsidR="00FF088B">
        <w:fldChar w:fldCharType="end"/>
      </w:r>
      <w:r w:rsidR="00D51B17">
        <w:t>.</w:t>
      </w:r>
    </w:p>
    <w:p w14:paraId="169A62A9" w14:textId="77777777" w:rsidR="00EE37AF" w:rsidRDefault="002448E4" w:rsidP="007A506C">
      <w:pPr>
        <w:pStyle w:val="CommentText"/>
        <w:spacing w:before="180" w:after="180"/>
        <w:rPr>
          <w:sz w:val="24"/>
        </w:rPr>
      </w:pPr>
      <w:r>
        <w:rPr>
          <w:sz w:val="24"/>
          <w:szCs w:val="24"/>
        </w:rPr>
        <w:t xml:space="preserve">Although the </w:t>
      </w:r>
      <w:r w:rsidR="00AB7C3A">
        <w:rPr>
          <w:sz w:val="24"/>
          <w:szCs w:val="24"/>
        </w:rPr>
        <w:t xml:space="preserve">plant species richness of the </w:t>
      </w:r>
      <w:r>
        <w:rPr>
          <w:sz w:val="24"/>
          <w:szCs w:val="24"/>
        </w:rPr>
        <w:t>GCFR has been</w:t>
      </w:r>
      <w:r w:rsidR="00AB7C3A">
        <w:rPr>
          <w:sz w:val="24"/>
          <w:szCs w:val="24"/>
        </w:rPr>
        <w:t xml:space="preserve"> identified as being </w:t>
      </w:r>
      <w:r w:rsidR="005C122F">
        <w:rPr>
          <w:sz w:val="24"/>
          <w:szCs w:val="24"/>
        </w:rPr>
        <w:t xml:space="preserve">globally </w:t>
      </w:r>
      <w:r w:rsidR="00AB7C3A">
        <w:rPr>
          <w:sz w:val="24"/>
          <w:szCs w:val="24"/>
        </w:rPr>
        <w:t>anomalous</w:t>
      </w:r>
      <w:r w:rsidR="0064618C">
        <w:rPr>
          <w:sz w:val="24"/>
          <w:szCs w:val="24"/>
        </w:rPr>
        <w:t xml:space="preserve"> </w:t>
      </w:r>
      <w:r w:rsidR="0064618C">
        <w:rPr>
          <w:sz w:val="24"/>
          <w:szCs w:val="24"/>
        </w:rPr>
        <w:fldChar w:fldCharType="begin" w:fldLock="1"/>
      </w:r>
      <w:r w:rsidR="00077059">
        <w:rPr>
          <w:sz w:val="24"/>
          <w:szCs w:val="24"/>
        </w:rPr>
        <w:instrText xml:space="preserve">ADDIN CSL_CITATION {"citationItems":[{"id":"ITEM-1","itemData":{"DOI":"10.1073/pnas.0608361104","ISBN":"0027-8424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w:instrText>
      </w:r>
      <w:r w:rsidR="00077059">
        <w:rPr>
          <w:sz w:val="24"/>
          <w:szCs w:val="24"/>
        </w:rPr>
        <w:instrText>≈</w:instrText>
      </w:r>
      <w:r w:rsidR="00077059">
        <w:rPr>
          <w:sz w:val="24"/>
          <w:szCs w:val="24"/>
        </w:rPr>
        <w:instrText>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w:instrText>
      </w:r>
      <w:r w:rsidR="00077059">
        <w:rPr>
          <w:sz w:val="24"/>
          <w:szCs w:val="24"/>
        </w:rPr>
        <w:instrText>–</w:instrText>
      </w:r>
      <w:r w:rsidR="00077059">
        <w:rPr>
          <w:sz w:val="24"/>
          <w:szCs w:val="24"/>
        </w:rPr>
        <w:instrText>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Sciences","id":"ITEM-1","issue":"14","issued":{"date-parts":[["2007","4","3"]]},"page":"5925-5930","title":"Global patterns and determinants of vascular plant diversity","type":"article-journal","volume":"104"},"uris":["http://www.mendeley.com/documents/?uuid=c7e13ce7-cc30-4a21-95e5-6078c56c1ad2"]}],"mendeley":{"formattedCitation":"(Kreft &amp; Jetz, 2007)","plainTextFormattedCitation":"(Kreft &amp; Jetz, 2007)","previouslyFormattedCitation":"(Kreft &amp; Jetz, 2007)"},"properties":{"noteIndex":0},"schema":"https://github.com/citation-style-language/schema/raw/master/csl-citation.json"}</w:instrText>
      </w:r>
      <w:r w:rsidR="0064618C">
        <w:rPr>
          <w:sz w:val="24"/>
          <w:szCs w:val="24"/>
        </w:rPr>
        <w:fldChar w:fldCharType="separate"/>
      </w:r>
      <w:r w:rsidR="0064618C" w:rsidRPr="0064618C">
        <w:rPr>
          <w:noProof/>
          <w:sz w:val="24"/>
          <w:szCs w:val="24"/>
        </w:rPr>
        <w:t>(Kreft &amp; Jetz, 2007)</w:t>
      </w:r>
      <w:r w:rsidR="0064618C">
        <w:rPr>
          <w:sz w:val="24"/>
          <w:szCs w:val="24"/>
        </w:rPr>
        <w:fldChar w:fldCharType="end"/>
      </w:r>
      <w:r w:rsidR="00AB7C3A">
        <w:rPr>
          <w:sz w:val="24"/>
          <w:szCs w:val="24"/>
        </w:rPr>
        <w:t xml:space="preserve">, our data </w:t>
      </w:r>
      <w:r w:rsidR="0083425C">
        <w:rPr>
          <w:sz w:val="24"/>
          <w:szCs w:val="24"/>
        </w:rPr>
        <w:t>reveal</w:t>
      </w:r>
      <w:r w:rsidR="00AB7C3A">
        <w:rPr>
          <w:sz w:val="24"/>
          <w:szCs w:val="24"/>
        </w:rPr>
        <w:t xml:space="preserve"> that </w:t>
      </w:r>
      <w:r w:rsidR="005C122F">
        <w:rPr>
          <w:sz w:val="24"/>
          <w:szCs w:val="24"/>
        </w:rPr>
        <w:t>species</w:t>
      </w:r>
      <w:r w:rsidR="00AB7C3A">
        <w:rPr>
          <w:sz w:val="24"/>
          <w:szCs w:val="24"/>
        </w:rPr>
        <w:t xml:space="preserve"> richness </w:t>
      </w:r>
      <w:r w:rsidR="005C122F">
        <w:rPr>
          <w:sz w:val="24"/>
          <w:szCs w:val="24"/>
        </w:rPr>
        <w:t>in</w:t>
      </w:r>
      <w:r w:rsidR="00AB7C3A">
        <w:rPr>
          <w:sz w:val="24"/>
          <w:szCs w:val="24"/>
        </w:rPr>
        <w:t xml:space="preserve"> the GCFR and SWAFR </w:t>
      </w:r>
      <w:r w:rsidR="005C122F">
        <w:rPr>
          <w:sz w:val="24"/>
          <w:szCs w:val="24"/>
        </w:rPr>
        <w:t xml:space="preserve">varies </w:t>
      </w:r>
      <w:r w:rsidR="0046296E">
        <w:rPr>
          <w:sz w:val="24"/>
          <w:szCs w:val="24"/>
        </w:rPr>
        <w:t xml:space="preserve">broadly </w:t>
      </w:r>
      <w:r w:rsidR="005C122F">
        <w:rPr>
          <w:sz w:val="24"/>
          <w:szCs w:val="24"/>
        </w:rPr>
        <w:t>as a common function of environmental heterogeneity</w:t>
      </w:r>
      <w:r w:rsidR="00711CBD">
        <w:rPr>
          <w:sz w:val="24"/>
          <w:szCs w:val="24"/>
        </w:rPr>
        <w:t>, the latter promoting diversification and facilitating species coexistence</w:t>
      </w:r>
      <w:r w:rsidR="005C122F">
        <w:rPr>
          <w:sz w:val="24"/>
          <w:szCs w:val="24"/>
        </w:rPr>
        <w:t xml:space="preserve">. </w:t>
      </w:r>
      <w:r w:rsidR="00FC3AFE">
        <w:rPr>
          <w:sz w:val="24"/>
          <w:szCs w:val="24"/>
        </w:rPr>
        <w:t xml:space="preserve">This corroborates the suggestion </w:t>
      </w:r>
      <w:r w:rsidR="00C1730E">
        <w:rPr>
          <w:sz w:val="24"/>
          <w:szCs w:val="24"/>
        </w:rPr>
        <w:fldChar w:fldCharType="begin" w:fldLock="1"/>
      </w:r>
      <w:r w:rsidR="00A353A2">
        <w:rPr>
          <w:sz w:val="24"/>
          <w:szCs w:val="24"/>
        </w:rPr>
        <w:instrText>ADDIN CSL_CITATION {"citationItems":[{"id":"ITEM-1","itemData":{"DOI":"10.1111/jbi.12429","ISSN":"13652699","abstract":"Aim: Although all five of the major mediterranean-climate ecosystems (MCEs) of the world are recognized as loci of high plant species diversity and endemism, they show considerable variation in regional-scale richness. Here, we assess the role of stable Pleistocene climate and Cenozoic topography in explaining variation in regional richness of the globe's MCEs. We hypothesize that older, more climatically stable MCEs would support more species, because they have had more time for species to accumulate than MCEs that were historically subject to greater topographic upheavals and fluctuating climates. Location: South-western Africa (Cape), south-western Australia, California, central Chile and the eastern (Greece) and western (Spain) Mediterranean Basin. Methods: We estimated plant diversity for each MCE as the intercepts of species-area curves that are homogeneous in slope across all regions. We used two down-scaled global circulation models of the Last Glacial Maximum (LGM) to quantify climate stability by comparing the change in the location of MCEs between the LGM and present. We quantified the Cenozoic topographic stability of each MCE by comparing contemporary topographic profiles with those present in the late Oligocene and the early Pliocene. Results: The most diverse MCEs - Cape and Australia - had the highest Cenozoic environmental stability, and the least diverse - Chile and California - had the lowest stability. Main conclusions: Variation in plant diversity in MCEs is likely to be a consequence not of differences in diversification rates, but rather the persistence of numerous pre-Pliocene clades in the more stable MCEs. The extraordinary plant diversity of the Cape is a consequence of the combined effects of both mature and recent radiations, the latter associated with increased habitat heterogeneity produced by mild tectonic uplift in the Neogene.","author":[{"dropping-particle":"","family":"Cowling","given":"Richard M.","non-dropping-particle":"","parse-names":false,"suffix":""},{"dropping-particle":"","family":"Potts","given":"Alastair J.","non-dropping-particle":"","parse-names":false,"suffix":""},{"dropping-particle":"","family":"Bradshaw","given":"Peter L.","non-dropping-particle":"","parse-names":false,"suffix":""},{"dropping-particle":"","family":"Colville","given":"Jonathan","non-dropping-particle":"","parse-names":false,"suffix":""},{"dropping-particle":"","family":"Arianoutsou","given":"Margarita","non-dropping-particle":"","parse-names":false,"suffix":""},{"dropping-particle":"","family":"Ferrier","given":"Simon","non-dropping-particle":"","parse-names":false,"suffix":""},{"dropping-particle":"","family":"Forest","given":"Felix","non-dropping-particle":"","parse-names":false,"suffix":""},{"dropping-particle":"","family":"Fyllas","given":"Nikolaos M.","non-dropping-particle":"","parse-names":false,"suffix":""},{"dropping-particle":"","family":"Hopper","given":"Stephen D.","non-dropping-particle":"","parse-names":false,"suffix":""},{"dropping-particle":"","family":"Ojeda","given":"Fernando","non-dropping-particle":"","parse-names":false,"suffix":""},{"dropping-particle":"","family":"Proche</w:instrText>
      </w:r>
      <w:r w:rsidR="00A353A2">
        <w:rPr>
          <w:sz w:val="24"/>
          <w:szCs w:val="24"/>
        </w:rPr>
        <w:instrText>ş</w:instrText>
      </w:r>
      <w:r w:rsidR="00A353A2">
        <w:rPr>
          <w:sz w:val="24"/>
          <w:szCs w:val="24"/>
        </w:rPr>
        <w:instrText>","given":"</w:instrText>
      </w:r>
      <w:r w:rsidR="00A353A2">
        <w:rPr>
          <w:sz w:val="24"/>
          <w:szCs w:val="24"/>
        </w:rPr>
        <w:instrText>Ş</w:instrText>
      </w:r>
      <w:r w:rsidR="00A353A2">
        <w:rPr>
          <w:sz w:val="24"/>
          <w:szCs w:val="24"/>
        </w:rPr>
        <w:instrText>erban","non-dropping-particle":"","parse-names":false,"suffix":""},{"dropping-particle":"","family":"Smith","given":"Rhian J.","non-dropping-particle":"","parse-names":false,"suffix":""},{"dropping-particle":"","family":"Rundel","given":"Philip W.","non-dropping-particle":"","parse-names":false,"suffix":""},{"dropping-particle":"","family":"Vassilakis","given":"Emmanuel","non-dropping-particle":"","parse-names":false,"suffix":""},{"dropping-particle":"","family":"Zutta","given":"Brian R.","non-dropping-particle":"","parse-names":false,"suffix":""}],"container-title":"Journal of Biogeography","id":"ITEM-1","issue":"3","issued":{"date-parts":[["2015"]]},"page":"552-564","title":"Variation in plant diversity in mediterranean-climate ecosystems: The role of climatic and topographical stability","type":"article-journal","volume":"42"},"uris":["http://www.mendeley.com/documents/?uuid=2a5795b3-829e-4401-a432-202f2b308b7d"]}],"mendeley":{"formattedCitation":"(Richard M. Cowling et al., 2015)","manualFormatting":"(Cowling et al., 2015)","plainTextFormattedCitation":"(Richard M. Cowling et al., 2015)","previouslyFormattedCitation":"(Richard M. Cowling et al., 2015)"},"properties":{"noteIndex":0},"schema":"https://github.com/citation-style-language/schema/raw/master/csl-citation.json"}</w:instrText>
      </w:r>
      <w:r w:rsidR="00C1730E">
        <w:rPr>
          <w:sz w:val="24"/>
          <w:szCs w:val="24"/>
        </w:rPr>
        <w:fldChar w:fldCharType="separate"/>
      </w:r>
      <w:r w:rsidR="00C1730E" w:rsidRPr="00C1730E">
        <w:rPr>
          <w:noProof/>
          <w:sz w:val="24"/>
          <w:szCs w:val="24"/>
        </w:rPr>
        <w:t>(Cowling et al., 2015)</w:t>
      </w:r>
      <w:r w:rsidR="00C1730E">
        <w:rPr>
          <w:sz w:val="24"/>
          <w:szCs w:val="24"/>
        </w:rPr>
        <w:fldChar w:fldCharType="end"/>
      </w:r>
      <w:r w:rsidR="00711CBD">
        <w:rPr>
          <w:sz w:val="24"/>
          <w:szCs w:val="24"/>
        </w:rPr>
        <w:t xml:space="preserve"> that</w:t>
      </w:r>
      <w:r w:rsidR="005C122F">
        <w:rPr>
          <w:sz w:val="24"/>
          <w:szCs w:val="24"/>
        </w:rPr>
        <w:t xml:space="preserve"> the greater richness of the GCFR</w:t>
      </w:r>
      <w:r w:rsidR="00711CBD">
        <w:rPr>
          <w:sz w:val="24"/>
          <w:szCs w:val="24"/>
        </w:rPr>
        <w:t>,</w:t>
      </w:r>
      <w:r w:rsidR="005C122F">
        <w:rPr>
          <w:sz w:val="24"/>
          <w:szCs w:val="24"/>
        </w:rPr>
        <w:t xml:space="preserve"> relative to that of the SWAFR, </w:t>
      </w:r>
      <w:r w:rsidR="00711CBD">
        <w:rPr>
          <w:sz w:val="24"/>
          <w:szCs w:val="24"/>
        </w:rPr>
        <w:t>is a product of</w:t>
      </w:r>
      <w:r w:rsidR="005C122F">
        <w:rPr>
          <w:sz w:val="24"/>
          <w:szCs w:val="24"/>
        </w:rPr>
        <w:t xml:space="preserve"> </w:t>
      </w:r>
      <w:r w:rsidR="00FD350F">
        <w:rPr>
          <w:sz w:val="24"/>
          <w:szCs w:val="24"/>
        </w:rPr>
        <w:t>its</w:t>
      </w:r>
      <w:r w:rsidR="005C122F">
        <w:rPr>
          <w:sz w:val="24"/>
          <w:szCs w:val="24"/>
        </w:rPr>
        <w:t xml:space="preserve"> greater </w:t>
      </w:r>
      <w:r w:rsidR="006401C7">
        <w:rPr>
          <w:sz w:val="24"/>
          <w:szCs w:val="24"/>
        </w:rPr>
        <w:t xml:space="preserve">environmental </w:t>
      </w:r>
      <w:r w:rsidR="005C122F">
        <w:rPr>
          <w:sz w:val="24"/>
          <w:szCs w:val="24"/>
        </w:rPr>
        <w:t>heterogeneity</w:t>
      </w:r>
      <w:r w:rsidR="00FC3AFE">
        <w:rPr>
          <w:sz w:val="24"/>
          <w:szCs w:val="24"/>
        </w:rPr>
        <w:t xml:space="preserve">. </w:t>
      </w:r>
      <w:r w:rsidR="00711CBD">
        <w:rPr>
          <w:sz w:val="24"/>
          <w:szCs w:val="24"/>
        </w:rPr>
        <w:t>Importantly, s</w:t>
      </w:r>
      <w:r w:rsidR="00FC3AFE">
        <w:rPr>
          <w:sz w:val="24"/>
          <w:szCs w:val="24"/>
        </w:rPr>
        <w:t xml:space="preserve">ince </w:t>
      </w:r>
      <w:r w:rsidR="00711CBD">
        <w:rPr>
          <w:sz w:val="24"/>
          <w:szCs w:val="24"/>
        </w:rPr>
        <w:t xml:space="preserve">environmental </w:t>
      </w:r>
      <w:r w:rsidR="00FC3AFE">
        <w:rPr>
          <w:sz w:val="24"/>
          <w:szCs w:val="24"/>
        </w:rPr>
        <w:t xml:space="preserve">heterogeneity </w:t>
      </w:r>
      <w:r w:rsidR="00711CBD">
        <w:rPr>
          <w:sz w:val="24"/>
          <w:szCs w:val="24"/>
        </w:rPr>
        <w:t>invariably</w:t>
      </w:r>
      <w:r w:rsidR="00FC3AFE">
        <w:rPr>
          <w:sz w:val="24"/>
          <w:szCs w:val="24"/>
        </w:rPr>
        <w:t xml:space="preserve"> </w:t>
      </w:r>
      <w:r w:rsidR="0046296E">
        <w:rPr>
          <w:sz w:val="24"/>
          <w:szCs w:val="24"/>
        </w:rPr>
        <w:t xml:space="preserve">is </w:t>
      </w:r>
      <w:r w:rsidR="00FC3AFE">
        <w:rPr>
          <w:sz w:val="24"/>
          <w:szCs w:val="24"/>
        </w:rPr>
        <w:t>spatial</w:t>
      </w:r>
      <w:r w:rsidR="001A0AB2">
        <w:rPr>
          <w:sz w:val="24"/>
          <w:szCs w:val="24"/>
        </w:rPr>
        <w:t>ly-configured</w:t>
      </w:r>
      <w:r w:rsidR="00FC3AFE">
        <w:rPr>
          <w:sz w:val="24"/>
          <w:szCs w:val="24"/>
        </w:rPr>
        <w:t xml:space="preserve">, the greater </w:t>
      </w:r>
      <w:r w:rsidR="00711CBD">
        <w:rPr>
          <w:sz w:val="24"/>
          <w:szCs w:val="24"/>
        </w:rPr>
        <w:t xml:space="preserve">richness </w:t>
      </w:r>
      <w:r w:rsidR="00FC3AFE">
        <w:rPr>
          <w:sz w:val="24"/>
          <w:szCs w:val="24"/>
        </w:rPr>
        <w:t xml:space="preserve">of the GCFR </w:t>
      </w:r>
      <w:r w:rsidR="00711CBD">
        <w:rPr>
          <w:sz w:val="24"/>
          <w:szCs w:val="24"/>
        </w:rPr>
        <w:t>flora</w:t>
      </w:r>
      <w:r w:rsidR="00FC3AFE">
        <w:rPr>
          <w:sz w:val="24"/>
          <w:szCs w:val="24"/>
        </w:rPr>
        <w:t xml:space="preserve"> </w:t>
      </w:r>
      <w:r w:rsidR="00711CBD">
        <w:rPr>
          <w:sz w:val="24"/>
          <w:szCs w:val="24"/>
        </w:rPr>
        <w:t xml:space="preserve">is </w:t>
      </w:r>
      <w:r w:rsidR="001A0AB2">
        <w:rPr>
          <w:sz w:val="24"/>
          <w:szCs w:val="24"/>
        </w:rPr>
        <w:t>associated with</w:t>
      </w:r>
      <w:r w:rsidR="00D26D35">
        <w:rPr>
          <w:sz w:val="24"/>
          <w:szCs w:val="24"/>
        </w:rPr>
        <w:t xml:space="preserve"> higher rates of</w:t>
      </w:r>
      <w:r w:rsidR="007A3CF4">
        <w:rPr>
          <w:sz w:val="24"/>
          <w:szCs w:val="24"/>
        </w:rPr>
        <w:t xml:space="preserve"> </w:t>
      </w:r>
      <w:r w:rsidR="00FC3AFE">
        <w:rPr>
          <w:sz w:val="24"/>
          <w:szCs w:val="24"/>
        </w:rPr>
        <w:t xml:space="preserve">species turnover in space. </w:t>
      </w:r>
      <w:r w:rsidR="00375BB9">
        <w:rPr>
          <w:sz w:val="24"/>
          <w:szCs w:val="24"/>
        </w:rPr>
        <w:t>T</w:t>
      </w:r>
      <w:r w:rsidR="00FC3AFE">
        <w:rPr>
          <w:sz w:val="24"/>
          <w:szCs w:val="24"/>
        </w:rPr>
        <w:t>he species richness-environmental heterogeneity relationship is punctuated by the existence of local hotspots, whose exceptional richness may be a consequence of historical factors</w:t>
      </w:r>
      <w:r w:rsidR="00375BB9">
        <w:rPr>
          <w:sz w:val="24"/>
          <w:szCs w:val="24"/>
        </w:rPr>
        <w:t>. Though these regions</w:t>
      </w:r>
      <w:r w:rsidR="00375BB9">
        <w:rPr>
          <w:sz w:val="24"/>
          <w:szCs w:val="24"/>
        </w:rPr>
        <w:t>’</w:t>
      </w:r>
      <w:r w:rsidR="00375BB9">
        <w:rPr>
          <w:sz w:val="24"/>
          <w:szCs w:val="24"/>
        </w:rPr>
        <w:t xml:space="preserve"> hotspots</w:t>
      </w:r>
      <w:r w:rsidR="00FC3AFE">
        <w:rPr>
          <w:sz w:val="24"/>
          <w:szCs w:val="24"/>
        </w:rPr>
        <w:t xml:space="preserve"> may be important for species persistence</w:t>
      </w:r>
      <w:r w:rsidR="00375BB9">
        <w:rPr>
          <w:sz w:val="24"/>
          <w:szCs w:val="24"/>
        </w:rPr>
        <w:t xml:space="preserve"> (e.g.</w:t>
      </w:r>
      <w:r w:rsidR="00FC3AFE">
        <w:rPr>
          <w:sz w:val="24"/>
          <w:szCs w:val="24"/>
        </w:rPr>
        <w:t xml:space="preserve"> in the face of climate change</w:t>
      </w:r>
      <w:r w:rsidR="00375BB9">
        <w:rPr>
          <w:sz w:val="24"/>
          <w:szCs w:val="24"/>
        </w:rPr>
        <w:t xml:space="preserve">), </w:t>
      </w:r>
      <w:r w:rsidR="00BE1C44">
        <w:rPr>
          <w:sz w:val="24"/>
          <w:szCs w:val="24"/>
        </w:rPr>
        <w:t xml:space="preserve">we find evidence for a unified conceptual framework for </w:t>
      </w:r>
      <w:r w:rsidR="00317DAF" w:rsidRPr="00E97920">
        <w:rPr>
          <w:sz w:val="24"/>
        </w:rPr>
        <w:t xml:space="preserve">thinking about the species richness </w:t>
      </w:r>
      <w:r w:rsidR="00BB2E13">
        <w:rPr>
          <w:sz w:val="24"/>
        </w:rPr>
        <w:t>in</w:t>
      </w:r>
      <w:r w:rsidR="00317DAF" w:rsidRPr="00E97920">
        <w:rPr>
          <w:sz w:val="24"/>
        </w:rPr>
        <w:t xml:space="preserve"> </w:t>
      </w:r>
      <w:r w:rsidR="00375BB9">
        <w:rPr>
          <w:sz w:val="24"/>
        </w:rPr>
        <w:t>of these two mediterranean floras</w:t>
      </w:r>
      <w:r w:rsidR="00317DAF" w:rsidRPr="00E97920">
        <w:rPr>
          <w:sz w:val="24"/>
        </w:rPr>
        <w:t>.</w:t>
      </w:r>
    </w:p>
    <w:p w14:paraId="73EE69CB" w14:textId="740C4AB1" w:rsidR="004B3DF5" w:rsidRPr="008D3C44" w:rsidRDefault="004B3DF5" w:rsidP="007A506C">
      <w:pPr>
        <w:pStyle w:val="CommentText"/>
        <w:spacing w:before="180" w:after="180"/>
        <w:rPr>
          <w:sz w:val="24"/>
        </w:rPr>
      </w:pPr>
      <w:r>
        <w:br w:type="page"/>
      </w:r>
    </w:p>
    <w:p w14:paraId="18D025C9" w14:textId="772E4B60" w:rsidR="00DD7CD4" w:rsidRDefault="00D04776">
      <w:pPr>
        <w:pStyle w:val="Heading1"/>
      </w:pPr>
      <w:commentRangeStart w:id="24"/>
      <w:r w:rsidRPr="008A4E97">
        <w:lastRenderedPageBreak/>
        <w:t>Tables</w:t>
      </w:r>
      <w:bookmarkEnd w:id="17"/>
      <w:commentRangeEnd w:id="24"/>
      <w:r w:rsidR="00665F88">
        <w:rPr>
          <w:rStyle w:val="CommentReference"/>
          <w:rFonts w:ascii="Times New Roman" w:eastAsiaTheme="minorHAnsi" w:hAnsiTheme="minorHAnsi" w:cstheme="minorBidi"/>
          <w:b w:val="0"/>
          <w:bCs w:val="0"/>
          <w:color w:val="auto"/>
        </w:rPr>
        <w:commentReference w:id="24"/>
      </w:r>
    </w:p>
    <w:p w14:paraId="71033F34" w14:textId="075E5882" w:rsidR="00146F57" w:rsidRDefault="00D04776" w:rsidP="00FA753D">
      <w:r w:rsidRPr="00643806">
        <w:rPr>
          <w:b/>
        </w:rPr>
        <w:t xml:space="preserve">Table </w:t>
      </w:r>
      <w:r w:rsidR="008B0E3F">
        <w:rPr>
          <w:b/>
        </w:rPr>
        <w:t>1</w:t>
      </w:r>
      <w:r w:rsidRPr="00643806">
        <w:rPr>
          <w:b/>
        </w:rPr>
        <w:t>:</w:t>
      </w:r>
      <w:r w:rsidRPr="00FE718A">
        <w:t xml:space="preserve"> </w:t>
      </w:r>
      <w:r w:rsidR="00CC6B4A">
        <w:t>Values</w:t>
      </w:r>
      <w:r w:rsidR="00F75284">
        <w:t xml:space="preserve"> and significances</w:t>
      </w:r>
      <w:r w:rsidR="00F75284">
        <w:rPr>
          <w:vertAlign w:val="superscript"/>
        </w:rPr>
        <w:t>1</w:t>
      </w:r>
      <w:r w:rsidR="00F75284">
        <w:t xml:space="preserve"> of</w:t>
      </w:r>
      <w:r w:rsidR="00F75284" w:rsidRPr="00FE718A">
        <w:t xml:space="preserve"> </w:t>
      </w:r>
      <w:r w:rsidR="003F76AF">
        <w:t>coefficients</w:t>
      </w:r>
      <w:r w:rsidR="003F76AF" w:rsidRPr="00FE718A">
        <w:t xml:space="preserve"> </w:t>
      </w:r>
      <w:r w:rsidR="003F76AF">
        <w:t>from</w:t>
      </w:r>
      <w:r w:rsidRPr="00FE718A">
        <w:t xml:space="preserve"> univariate </w:t>
      </w:r>
      <w:r w:rsidR="00771113">
        <w:t>ANCOVAs</w:t>
      </w:r>
      <w:r w:rsidR="00771113" w:rsidRPr="00FE718A">
        <w:t xml:space="preserve"> </w:t>
      </w:r>
      <w:r w:rsidRPr="00FE718A">
        <w:t xml:space="preserve">of vascular plant species richness against </w:t>
      </w:r>
      <w:r w:rsidR="00AB5AE8" w:rsidRPr="00FE718A">
        <w:t>different</w:t>
      </w:r>
      <w:r w:rsidRPr="00FE718A">
        <w:t xml:space="preserve"> axes of </w:t>
      </w:r>
      <w:r w:rsidR="007948F4" w:rsidRPr="00FE718A">
        <w:t>environmental heterogeneity</w:t>
      </w:r>
      <w:r w:rsidR="00F75284">
        <w:rPr>
          <w:vertAlign w:val="superscript"/>
        </w:rPr>
        <w:t>2</w:t>
      </w:r>
      <w:r w:rsidRPr="00FE718A">
        <w:t xml:space="preserve"> </w:t>
      </w:r>
      <w:r w:rsidR="00EB2BE1">
        <w:t>(log</w:t>
      </w:r>
      <w:r w:rsidR="00EB2BE1" w:rsidRPr="00EB2BE1">
        <w:rPr>
          <w:vertAlign w:val="subscript"/>
        </w:rPr>
        <w:t>10</w:t>
      </w:r>
      <w:r w:rsidR="00EB2BE1">
        <w:t xml:space="preserve">-transformed) </w:t>
      </w:r>
      <w:r w:rsidRPr="00FE718A">
        <w:t xml:space="preserve">and overall </w:t>
      </w:r>
      <w:r w:rsidR="007948F4" w:rsidRPr="00FE718A">
        <w:t>environmental heterogeneity</w:t>
      </w:r>
      <w:r w:rsidRPr="00FE718A">
        <w:t xml:space="preserve"> (PC1) across the </w:t>
      </w:r>
      <w:r w:rsidR="0024363A" w:rsidRPr="00FE718A">
        <w:t xml:space="preserve">GCFR </w:t>
      </w:r>
      <w:r w:rsidRPr="00FE718A">
        <w:t xml:space="preserve">and </w:t>
      </w:r>
      <w:r w:rsidR="000134E5" w:rsidRPr="00FE718A">
        <w:t>S</w:t>
      </w:r>
      <w:r w:rsidRPr="00FE718A">
        <w:t xml:space="preserve">WAFR at </w:t>
      </w:r>
      <w:r w:rsidR="00FE718A">
        <w:t>the</w:t>
      </w:r>
      <w:r w:rsidRPr="00FE718A">
        <w:t xml:space="preserve"> (a) </w:t>
      </w:r>
      <w:r w:rsidR="00FE718A">
        <w:t>Q</w:t>
      </w:r>
      <w:r w:rsidRPr="00FE718A">
        <w:t>DS-</w:t>
      </w:r>
      <w:r w:rsidR="00FE718A">
        <w:t xml:space="preserve">, </w:t>
      </w:r>
      <w:r w:rsidRPr="00FE718A">
        <w:t xml:space="preserve">(b) </w:t>
      </w:r>
      <w:r w:rsidR="00FE718A">
        <w:t>H</w:t>
      </w:r>
      <w:r w:rsidRPr="00FE718A">
        <w:t>DS-</w:t>
      </w:r>
      <w:r w:rsidR="00FE718A">
        <w:t xml:space="preserve"> and (c) DS-</w:t>
      </w:r>
      <w:r w:rsidRPr="00FE718A">
        <w:t>scale</w:t>
      </w:r>
      <w:r w:rsidR="00FE718A">
        <w:t>s</w:t>
      </w:r>
      <w:r w:rsidRPr="00FE718A">
        <w:t>.</w:t>
      </w:r>
      <w:r w:rsidR="001B3692">
        <w:t xml:space="preserve"> The SWAFR interaction terms describe the difference in slope between the GCFR and SWAFR lines for that model.</w:t>
      </w:r>
    </w:p>
    <w:tbl>
      <w:tblPr>
        <w:tblStyle w:val="TableGrid"/>
        <w:tblW w:w="10584"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76"/>
        <w:gridCol w:w="2268"/>
        <w:gridCol w:w="1228"/>
        <w:gridCol w:w="993"/>
        <w:gridCol w:w="708"/>
        <w:gridCol w:w="1134"/>
        <w:gridCol w:w="851"/>
        <w:gridCol w:w="1134"/>
        <w:gridCol w:w="992"/>
      </w:tblGrid>
      <w:tr w:rsidR="004C6C44" w:rsidRPr="004C6C44" w14:paraId="76D3B38F" w14:textId="77777777" w:rsidTr="004C6C44">
        <w:tc>
          <w:tcPr>
            <w:tcW w:w="1276" w:type="dxa"/>
            <w:tcBorders>
              <w:top w:val="single" w:sz="4" w:space="0" w:color="auto"/>
              <w:bottom w:val="single" w:sz="4" w:space="0" w:color="auto"/>
            </w:tcBorders>
          </w:tcPr>
          <w:p w14:paraId="0D19380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Response</w:t>
            </w:r>
          </w:p>
        </w:tc>
        <w:tc>
          <w:tcPr>
            <w:tcW w:w="2268" w:type="dxa"/>
            <w:tcBorders>
              <w:top w:val="single" w:sz="4" w:space="0" w:color="auto"/>
              <w:bottom w:val="single" w:sz="4" w:space="0" w:color="auto"/>
            </w:tcBorders>
          </w:tcPr>
          <w:p w14:paraId="1B873A6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Model type</w:t>
            </w:r>
          </w:p>
        </w:tc>
        <w:tc>
          <w:tcPr>
            <w:tcW w:w="1228" w:type="dxa"/>
            <w:tcBorders>
              <w:top w:val="single" w:sz="4" w:space="0" w:color="auto"/>
              <w:bottom w:val="single" w:sz="4" w:space="0" w:color="auto"/>
            </w:tcBorders>
          </w:tcPr>
          <w:p w14:paraId="2DD8AE2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Predictor</w:t>
            </w:r>
          </w:p>
        </w:tc>
        <w:tc>
          <w:tcPr>
            <w:tcW w:w="1701" w:type="dxa"/>
            <w:gridSpan w:val="2"/>
            <w:tcBorders>
              <w:top w:val="single" w:sz="4" w:space="0" w:color="auto"/>
              <w:bottom w:val="single" w:sz="4" w:space="0" w:color="auto"/>
            </w:tcBorders>
          </w:tcPr>
          <w:p w14:paraId="6C9CF59D" w14:textId="77777777" w:rsidR="004C6C44" w:rsidRPr="004C6C44" w:rsidRDefault="004C6C44" w:rsidP="00157A68">
            <w:pPr>
              <w:pStyle w:val="PlainText"/>
              <w:jc w:val="center"/>
              <w:rPr>
                <w:rFonts w:ascii="Times New Roman" w:hAnsi="Times New Roman" w:cs="Times New Roman"/>
                <w:sz w:val="24"/>
                <w:szCs w:val="24"/>
              </w:rPr>
            </w:pPr>
            <w:r w:rsidRPr="004C6C44">
              <w:rPr>
                <w:rFonts w:ascii="Times New Roman" w:hAnsi="Times New Roman" w:cs="Times New Roman"/>
                <w:sz w:val="24"/>
                <w:szCs w:val="24"/>
              </w:rPr>
              <w:t>Main effect</w:t>
            </w:r>
          </w:p>
        </w:tc>
        <w:tc>
          <w:tcPr>
            <w:tcW w:w="1985" w:type="dxa"/>
            <w:gridSpan w:val="2"/>
            <w:tcBorders>
              <w:top w:val="single" w:sz="4" w:space="0" w:color="auto"/>
              <w:bottom w:val="single" w:sz="4" w:space="0" w:color="auto"/>
            </w:tcBorders>
          </w:tcPr>
          <w:p w14:paraId="5C8768C4" w14:textId="77777777" w:rsidR="004C6C44" w:rsidRPr="004C6C44" w:rsidRDefault="004C6C44" w:rsidP="00157A68">
            <w:pPr>
              <w:pStyle w:val="PlainText"/>
              <w:jc w:val="center"/>
              <w:rPr>
                <w:rFonts w:ascii="Times New Roman" w:hAnsi="Times New Roman" w:cs="Times New Roman"/>
                <w:sz w:val="24"/>
                <w:szCs w:val="24"/>
              </w:rPr>
            </w:pPr>
            <w:r w:rsidRPr="004C6C44">
              <w:rPr>
                <w:rFonts w:ascii="Times New Roman" w:hAnsi="Times New Roman" w:cs="Times New Roman"/>
                <w:sz w:val="24"/>
                <w:szCs w:val="24"/>
              </w:rPr>
              <w:t>SWAFR effect</w:t>
            </w:r>
          </w:p>
        </w:tc>
        <w:tc>
          <w:tcPr>
            <w:tcW w:w="2126" w:type="dxa"/>
            <w:gridSpan w:val="2"/>
            <w:tcBorders>
              <w:top w:val="single" w:sz="4" w:space="0" w:color="auto"/>
              <w:bottom w:val="single" w:sz="4" w:space="0" w:color="auto"/>
            </w:tcBorders>
          </w:tcPr>
          <w:p w14:paraId="51CB1439" w14:textId="77777777" w:rsidR="004C6C44" w:rsidRPr="004C6C44" w:rsidRDefault="004C6C44" w:rsidP="00157A68">
            <w:pPr>
              <w:pStyle w:val="PlainText"/>
              <w:ind w:right="-115"/>
              <w:jc w:val="center"/>
              <w:rPr>
                <w:rFonts w:ascii="Times New Roman" w:hAnsi="Times New Roman" w:cs="Times New Roman"/>
                <w:sz w:val="24"/>
                <w:szCs w:val="24"/>
              </w:rPr>
            </w:pPr>
            <w:r w:rsidRPr="004C6C44">
              <w:rPr>
                <w:rFonts w:ascii="Times New Roman" w:hAnsi="Times New Roman" w:cs="Times New Roman"/>
                <w:sz w:val="24"/>
                <w:szCs w:val="24"/>
              </w:rPr>
              <w:t>SWAFR interaction</w:t>
            </w:r>
          </w:p>
        </w:tc>
      </w:tr>
      <w:tr w:rsidR="004C6C44" w:rsidRPr="004C6C44" w14:paraId="437DD856" w14:textId="77777777" w:rsidTr="004C6C44">
        <w:tc>
          <w:tcPr>
            <w:tcW w:w="1276" w:type="dxa"/>
            <w:tcBorders>
              <w:top w:val="single" w:sz="4" w:space="0" w:color="auto"/>
            </w:tcBorders>
          </w:tcPr>
          <w:p w14:paraId="329C618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(a) </w:t>
            </w:r>
            <w:r w:rsidRPr="004C6C44">
              <w:rPr>
                <w:rFonts w:ascii="Times New Roman" w:hAnsi="Times New Roman" w:cs="Times New Roman"/>
                <w:i/>
                <w:iCs/>
                <w:sz w:val="24"/>
                <w:szCs w:val="24"/>
              </w:rPr>
              <w:t>S</w:t>
            </w:r>
            <w:r w:rsidRPr="004C6C44">
              <w:rPr>
                <w:rFonts w:ascii="Times New Roman" w:hAnsi="Times New Roman" w:cs="Times New Roman"/>
                <w:sz w:val="24"/>
                <w:szCs w:val="24"/>
                <w:vertAlign w:val="subscript"/>
              </w:rPr>
              <w:t>QDS</w:t>
            </w:r>
          </w:p>
        </w:tc>
        <w:tc>
          <w:tcPr>
            <w:tcW w:w="2268" w:type="dxa"/>
            <w:tcBorders>
              <w:top w:val="single" w:sz="4" w:space="0" w:color="auto"/>
            </w:tcBorders>
          </w:tcPr>
          <w:p w14:paraId="34560CCD"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Main effect </w:t>
            </w:r>
            <w:r w:rsidRPr="004C6C44">
              <w:rPr>
                <w:rFonts w:ascii="Times New Roman" w:hAnsi="Times New Roman" w:cs="Times New Roman"/>
                <w:sz w:val="24"/>
                <w:szCs w:val="24"/>
              </w:rPr>
              <w:sym w:font="Symbol" w:char="F0B4"/>
            </w:r>
            <w:r w:rsidRPr="004C6C44">
              <w:rPr>
                <w:rFonts w:ascii="Times New Roman" w:hAnsi="Times New Roman" w:cs="Times New Roman"/>
                <w:sz w:val="24"/>
                <w:szCs w:val="24"/>
              </w:rPr>
              <w:t xml:space="preserve"> region</w:t>
            </w:r>
          </w:p>
        </w:tc>
        <w:tc>
          <w:tcPr>
            <w:tcW w:w="1228" w:type="dxa"/>
            <w:tcBorders>
              <w:top w:val="single" w:sz="4" w:space="0" w:color="auto"/>
            </w:tcBorders>
          </w:tcPr>
          <w:p w14:paraId="6435D403"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Elevation</w:t>
            </w:r>
          </w:p>
        </w:tc>
        <w:tc>
          <w:tcPr>
            <w:tcW w:w="993" w:type="dxa"/>
            <w:tcBorders>
              <w:top w:val="single" w:sz="4" w:space="0" w:color="auto"/>
            </w:tcBorders>
          </w:tcPr>
          <w:p w14:paraId="0013522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140.2</w:t>
            </w:r>
          </w:p>
        </w:tc>
        <w:tc>
          <w:tcPr>
            <w:tcW w:w="708" w:type="dxa"/>
            <w:tcBorders>
              <w:top w:val="single" w:sz="4" w:space="0" w:color="auto"/>
            </w:tcBorders>
          </w:tcPr>
          <w:p w14:paraId="00428A1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tcBorders>
          </w:tcPr>
          <w:p w14:paraId="13B76BFF"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124.4</w:t>
            </w:r>
          </w:p>
        </w:tc>
        <w:tc>
          <w:tcPr>
            <w:tcW w:w="851" w:type="dxa"/>
            <w:tcBorders>
              <w:top w:val="single" w:sz="4" w:space="0" w:color="auto"/>
            </w:tcBorders>
          </w:tcPr>
          <w:p w14:paraId="7EB6D12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tcBorders>
          </w:tcPr>
          <w:p w14:paraId="46827679"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-56.1</w:t>
            </w:r>
          </w:p>
        </w:tc>
        <w:tc>
          <w:tcPr>
            <w:tcW w:w="992" w:type="dxa"/>
            <w:tcBorders>
              <w:top w:val="single" w:sz="4" w:space="0" w:color="auto"/>
            </w:tcBorders>
          </w:tcPr>
          <w:p w14:paraId="1607C784"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7AD4306B" w14:textId="77777777" w:rsidTr="004C6C44">
        <w:tc>
          <w:tcPr>
            <w:tcW w:w="1276" w:type="dxa"/>
          </w:tcPr>
          <w:p w14:paraId="4DE13CB9"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54E36B1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390EC36"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MAP</w:t>
            </w:r>
          </w:p>
        </w:tc>
        <w:tc>
          <w:tcPr>
            <w:tcW w:w="993" w:type="dxa"/>
          </w:tcPr>
          <w:p w14:paraId="59C2A1B1"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172.0</w:t>
            </w:r>
          </w:p>
        </w:tc>
        <w:tc>
          <w:tcPr>
            <w:tcW w:w="708" w:type="dxa"/>
          </w:tcPr>
          <w:p w14:paraId="1AC1E77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1BDA2DE8"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54.5</w:t>
            </w:r>
          </w:p>
        </w:tc>
        <w:tc>
          <w:tcPr>
            <w:tcW w:w="851" w:type="dxa"/>
          </w:tcPr>
          <w:p w14:paraId="1C1FD70E"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0C89E94A"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-54.1</w:t>
            </w:r>
          </w:p>
        </w:tc>
        <w:tc>
          <w:tcPr>
            <w:tcW w:w="992" w:type="dxa"/>
          </w:tcPr>
          <w:p w14:paraId="21C76E03"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5E5CADBC" w14:textId="77777777" w:rsidTr="004C6C44">
        <w:tc>
          <w:tcPr>
            <w:tcW w:w="1276" w:type="dxa"/>
          </w:tcPr>
          <w:p w14:paraId="39527614"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2B88A4D3"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427F80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PDQ</w:t>
            </w:r>
          </w:p>
        </w:tc>
        <w:tc>
          <w:tcPr>
            <w:tcW w:w="993" w:type="dxa"/>
          </w:tcPr>
          <w:p w14:paraId="7C6352BF"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73.4</w:t>
            </w:r>
          </w:p>
        </w:tc>
        <w:tc>
          <w:tcPr>
            <w:tcW w:w="708" w:type="dxa"/>
          </w:tcPr>
          <w:p w14:paraId="096A75A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543062B4"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55.6</w:t>
            </w:r>
          </w:p>
        </w:tc>
        <w:tc>
          <w:tcPr>
            <w:tcW w:w="851" w:type="dxa"/>
          </w:tcPr>
          <w:p w14:paraId="5F4787D4"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5632B43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61.9</w:t>
            </w:r>
          </w:p>
        </w:tc>
        <w:tc>
          <w:tcPr>
            <w:tcW w:w="992" w:type="dxa"/>
          </w:tcPr>
          <w:p w14:paraId="7237B66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36613C2D" w14:textId="77777777" w:rsidTr="004C6C44">
        <w:tc>
          <w:tcPr>
            <w:tcW w:w="1276" w:type="dxa"/>
          </w:tcPr>
          <w:p w14:paraId="2481E0F0" w14:textId="77777777" w:rsidR="004C6C44" w:rsidRPr="004C6C44" w:rsidRDefault="004C6C44" w:rsidP="00157A68">
            <w:pPr>
              <w:pStyle w:val="PlainText"/>
              <w:rPr>
                <w:rFonts w:ascii="Times New Roman" w:hAnsi="Times New Roman" w:cs="Times New Roman"/>
                <w:sz w:val="24"/>
                <w:szCs w:val="24"/>
              </w:rPr>
            </w:pPr>
          </w:p>
        </w:tc>
        <w:tc>
          <w:tcPr>
            <w:tcW w:w="2268" w:type="dxa"/>
            <w:tcBorders>
              <w:bottom w:val="dotted" w:sz="4" w:space="0" w:color="auto"/>
            </w:tcBorders>
          </w:tcPr>
          <w:p w14:paraId="259F104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dotted" w:sz="4" w:space="0" w:color="auto"/>
            </w:tcBorders>
          </w:tcPr>
          <w:p w14:paraId="624083B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NDVI</w:t>
            </w:r>
          </w:p>
        </w:tc>
        <w:tc>
          <w:tcPr>
            <w:tcW w:w="993" w:type="dxa"/>
            <w:tcBorders>
              <w:bottom w:val="dotted" w:sz="4" w:space="0" w:color="auto"/>
            </w:tcBorders>
          </w:tcPr>
          <w:p w14:paraId="600A7426"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154.9</w:t>
            </w:r>
          </w:p>
        </w:tc>
        <w:tc>
          <w:tcPr>
            <w:tcW w:w="708" w:type="dxa"/>
            <w:tcBorders>
              <w:bottom w:val="dotted" w:sz="4" w:space="0" w:color="auto"/>
            </w:tcBorders>
          </w:tcPr>
          <w:p w14:paraId="0C16C02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5FD58229"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-7.8</w:t>
            </w:r>
          </w:p>
        </w:tc>
        <w:tc>
          <w:tcPr>
            <w:tcW w:w="851" w:type="dxa"/>
            <w:tcBorders>
              <w:bottom w:val="dotted" w:sz="4" w:space="0" w:color="auto"/>
            </w:tcBorders>
          </w:tcPr>
          <w:p w14:paraId="1CEF465F" w14:textId="77777777" w:rsidR="004C6C44" w:rsidRPr="004C6C44" w:rsidRDefault="004C6C44" w:rsidP="00157A68">
            <w:pPr>
              <w:pStyle w:val="PlainText"/>
              <w:rPr>
                <w:rFonts w:ascii="Times New Roman" w:hAnsi="Times New Roman" w:cs="Times New Roman"/>
                <w:sz w:val="24"/>
                <w:szCs w:val="24"/>
              </w:rPr>
            </w:pPr>
          </w:p>
        </w:tc>
        <w:tc>
          <w:tcPr>
            <w:tcW w:w="1134" w:type="dxa"/>
            <w:tcBorders>
              <w:bottom w:val="dotted" w:sz="4" w:space="0" w:color="auto"/>
            </w:tcBorders>
          </w:tcPr>
          <w:p w14:paraId="226B7E6F"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-102.2</w:t>
            </w:r>
          </w:p>
        </w:tc>
        <w:tc>
          <w:tcPr>
            <w:tcW w:w="992" w:type="dxa"/>
            <w:tcBorders>
              <w:bottom w:val="dotted" w:sz="4" w:space="0" w:color="auto"/>
            </w:tcBorders>
          </w:tcPr>
          <w:p w14:paraId="10DE2C96"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4E51660C" w14:textId="77777777" w:rsidTr="004C6C44">
        <w:tc>
          <w:tcPr>
            <w:tcW w:w="1276" w:type="dxa"/>
          </w:tcPr>
          <w:p w14:paraId="4B4E6157"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dotted" w:sz="4" w:space="0" w:color="auto"/>
            </w:tcBorders>
          </w:tcPr>
          <w:p w14:paraId="18F91C0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Main effect + region</w:t>
            </w:r>
          </w:p>
        </w:tc>
        <w:tc>
          <w:tcPr>
            <w:tcW w:w="1228" w:type="dxa"/>
            <w:tcBorders>
              <w:top w:val="dotted" w:sz="4" w:space="0" w:color="auto"/>
              <w:bottom w:val="dotted" w:sz="4" w:space="0" w:color="auto"/>
            </w:tcBorders>
          </w:tcPr>
          <w:p w14:paraId="27B4EEB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PC1</w:t>
            </w:r>
          </w:p>
        </w:tc>
        <w:tc>
          <w:tcPr>
            <w:tcW w:w="993" w:type="dxa"/>
            <w:tcBorders>
              <w:top w:val="dotted" w:sz="4" w:space="0" w:color="auto"/>
              <w:bottom w:val="dotted" w:sz="4" w:space="0" w:color="auto"/>
            </w:tcBorders>
          </w:tcPr>
          <w:p w14:paraId="6336C8D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67.0</w:t>
            </w:r>
          </w:p>
        </w:tc>
        <w:tc>
          <w:tcPr>
            <w:tcW w:w="708" w:type="dxa"/>
            <w:tcBorders>
              <w:top w:val="dotted" w:sz="4" w:space="0" w:color="auto"/>
              <w:bottom w:val="dotted" w:sz="4" w:space="0" w:color="auto"/>
            </w:tcBorders>
          </w:tcPr>
          <w:p w14:paraId="47C371DD"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dotted" w:sz="4" w:space="0" w:color="auto"/>
            </w:tcBorders>
          </w:tcPr>
          <w:p w14:paraId="2FF40700"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92.5</w:t>
            </w:r>
          </w:p>
        </w:tc>
        <w:tc>
          <w:tcPr>
            <w:tcW w:w="851" w:type="dxa"/>
            <w:tcBorders>
              <w:top w:val="dotted" w:sz="4" w:space="0" w:color="auto"/>
              <w:bottom w:val="dotted" w:sz="4" w:space="0" w:color="auto"/>
            </w:tcBorders>
          </w:tcPr>
          <w:p w14:paraId="3FBD4B1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dotted" w:sz="4" w:space="0" w:color="auto"/>
            </w:tcBorders>
          </w:tcPr>
          <w:p w14:paraId="5BF58A44"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dotted" w:sz="4" w:space="0" w:color="auto"/>
              <w:bottom w:val="dotted" w:sz="4" w:space="0" w:color="auto"/>
            </w:tcBorders>
          </w:tcPr>
          <w:p w14:paraId="75C62A4B"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5053DCFF" w14:textId="77777777" w:rsidTr="004C6C44">
        <w:tc>
          <w:tcPr>
            <w:tcW w:w="1276" w:type="dxa"/>
          </w:tcPr>
          <w:p w14:paraId="23C4BC4B"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tcPr>
          <w:p w14:paraId="4D784C3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Main effect only</w:t>
            </w:r>
          </w:p>
        </w:tc>
        <w:tc>
          <w:tcPr>
            <w:tcW w:w="1228" w:type="dxa"/>
            <w:tcBorders>
              <w:top w:val="dotted" w:sz="4" w:space="0" w:color="auto"/>
              <w:bottom w:val="nil"/>
            </w:tcBorders>
          </w:tcPr>
          <w:p w14:paraId="1B115C1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Surface T</w:t>
            </w:r>
          </w:p>
        </w:tc>
        <w:tc>
          <w:tcPr>
            <w:tcW w:w="993" w:type="dxa"/>
            <w:tcBorders>
              <w:top w:val="dotted" w:sz="4" w:space="0" w:color="auto"/>
              <w:bottom w:val="nil"/>
            </w:tcBorders>
          </w:tcPr>
          <w:p w14:paraId="04076E80"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62.1</w:t>
            </w:r>
          </w:p>
        </w:tc>
        <w:tc>
          <w:tcPr>
            <w:tcW w:w="708" w:type="dxa"/>
            <w:tcBorders>
              <w:top w:val="dotted" w:sz="4" w:space="0" w:color="auto"/>
              <w:bottom w:val="nil"/>
            </w:tcBorders>
          </w:tcPr>
          <w:p w14:paraId="2C26CD3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679A761D"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dotted" w:sz="4" w:space="0" w:color="auto"/>
              <w:bottom w:val="nil"/>
            </w:tcBorders>
          </w:tcPr>
          <w:p w14:paraId="2BB221E9"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dotted" w:sz="4" w:space="0" w:color="auto"/>
              <w:bottom w:val="nil"/>
            </w:tcBorders>
          </w:tcPr>
          <w:p w14:paraId="6BCBA648"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dotted" w:sz="4" w:space="0" w:color="auto"/>
              <w:bottom w:val="nil"/>
            </w:tcBorders>
          </w:tcPr>
          <w:p w14:paraId="7EB712A9"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467A6E04" w14:textId="77777777" w:rsidTr="004C6C44">
        <w:tc>
          <w:tcPr>
            <w:tcW w:w="1276" w:type="dxa"/>
          </w:tcPr>
          <w:p w14:paraId="3C52095D"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tcBorders>
          </w:tcPr>
          <w:p w14:paraId="323E0FC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11EEFFD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CEC</w:t>
            </w:r>
          </w:p>
        </w:tc>
        <w:tc>
          <w:tcPr>
            <w:tcW w:w="993" w:type="dxa"/>
            <w:tcBorders>
              <w:top w:val="nil"/>
            </w:tcBorders>
          </w:tcPr>
          <w:p w14:paraId="18DA5CDD"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14.7</w:t>
            </w:r>
          </w:p>
        </w:tc>
        <w:tc>
          <w:tcPr>
            <w:tcW w:w="708" w:type="dxa"/>
            <w:tcBorders>
              <w:top w:val="nil"/>
            </w:tcBorders>
          </w:tcPr>
          <w:p w14:paraId="0C2937C5"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tcBorders>
          </w:tcPr>
          <w:p w14:paraId="244D3DDC"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nil"/>
            </w:tcBorders>
          </w:tcPr>
          <w:p w14:paraId="424AEABA"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tcBorders>
          </w:tcPr>
          <w:p w14:paraId="4F1BB830"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nil"/>
            </w:tcBorders>
          </w:tcPr>
          <w:p w14:paraId="7575E260"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0827B4A7" w14:textId="77777777" w:rsidTr="004C6C44">
        <w:tc>
          <w:tcPr>
            <w:tcW w:w="1276" w:type="dxa"/>
          </w:tcPr>
          <w:p w14:paraId="61DB7415"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3B01214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5672804"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Clay</w:t>
            </w:r>
          </w:p>
        </w:tc>
        <w:tc>
          <w:tcPr>
            <w:tcW w:w="993" w:type="dxa"/>
          </w:tcPr>
          <w:p w14:paraId="5176FF43"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42.1</w:t>
            </w:r>
          </w:p>
        </w:tc>
        <w:tc>
          <w:tcPr>
            <w:tcW w:w="708" w:type="dxa"/>
          </w:tcPr>
          <w:p w14:paraId="5D2B971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6C4F25F7"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337056D0"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77BF3A8F" w14:textId="77777777" w:rsidR="004C6C44" w:rsidRPr="004C6C44" w:rsidRDefault="004C6C44" w:rsidP="00157A68">
            <w:pPr>
              <w:pStyle w:val="PlainText"/>
              <w:jc w:val="right"/>
              <w:rPr>
                <w:rFonts w:ascii="Times New Roman" w:hAnsi="Times New Roman" w:cs="Times New Roman"/>
                <w:sz w:val="24"/>
                <w:szCs w:val="24"/>
              </w:rPr>
            </w:pPr>
          </w:p>
        </w:tc>
        <w:tc>
          <w:tcPr>
            <w:tcW w:w="992" w:type="dxa"/>
          </w:tcPr>
          <w:p w14:paraId="7E366759"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2D7A105F" w14:textId="77777777" w:rsidTr="004C6C44">
        <w:tc>
          <w:tcPr>
            <w:tcW w:w="1276" w:type="dxa"/>
          </w:tcPr>
          <w:p w14:paraId="764A0CC2"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11D8611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512927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Soil C</w:t>
            </w:r>
          </w:p>
        </w:tc>
        <w:tc>
          <w:tcPr>
            <w:tcW w:w="993" w:type="dxa"/>
          </w:tcPr>
          <w:p w14:paraId="2488CB06"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62.9</w:t>
            </w:r>
          </w:p>
        </w:tc>
        <w:tc>
          <w:tcPr>
            <w:tcW w:w="708" w:type="dxa"/>
          </w:tcPr>
          <w:p w14:paraId="2EE1741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1A2F075F"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193A94C4"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7769E117" w14:textId="77777777" w:rsidR="004C6C44" w:rsidRPr="004C6C44" w:rsidRDefault="004C6C44" w:rsidP="00157A68">
            <w:pPr>
              <w:pStyle w:val="PlainText"/>
              <w:jc w:val="right"/>
              <w:rPr>
                <w:rFonts w:ascii="Times New Roman" w:hAnsi="Times New Roman" w:cs="Times New Roman"/>
                <w:sz w:val="24"/>
                <w:szCs w:val="24"/>
              </w:rPr>
            </w:pPr>
          </w:p>
        </w:tc>
        <w:tc>
          <w:tcPr>
            <w:tcW w:w="992" w:type="dxa"/>
          </w:tcPr>
          <w:p w14:paraId="33ED30E8"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0286F0BD" w14:textId="77777777" w:rsidTr="004C6C44">
        <w:tc>
          <w:tcPr>
            <w:tcW w:w="1276" w:type="dxa"/>
            <w:tcBorders>
              <w:bottom w:val="single" w:sz="4" w:space="0" w:color="auto"/>
            </w:tcBorders>
          </w:tcPr>
          <w:p w14:paraId="3ED2C90E" w14:textId="77777777" w:rsidR="004C6C44" w:rsidRPr="004C6C44" w:rsidRDefault="004C6C44" w:rsidP="00157A68">
            <w:pPr>
              <w:pStyle w:val="PlainText"/>
              <w:rPr>
                <w:rFonts w:ascii="Times New Roman" w:hAnsi="Times New Roman" w:cs="Times New Roman"/>
                <w:sz w:val="24"/>
                <w:szCs w:val="24"/>
              </w:rPr>
            </w:pPr>
          </w:p>
        </w:tc>
        <w:tc>
          <w:tcPr>
            <w:tcW w:w="2268" w:type="dxa"/>
            <w:tcBorders>
              <w:bottom w:val="single" w:sz="4" w:space="0" w:color="auto"/>
            </w:tcBorders>
          </w:tcPr>
          <w:p w14:paraId="3777EEE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single" w:sz="4" w:space="0" w:color="auto"/>
            </w:tcBorders>
          </w:tcPr>
          <w:p w14:paraId="0F16204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pH</w:t>
            </w:r>
          </w:p>
        </w:tc>
        <w:tc>
          <w:tcPr>
            <w:tcW w:w="993" w:type="dxa"/>
            <w:tcBorders>
              <w:bottom w:val="single" w:sz="4" w:space="0" w:color="auto"/>
            </w:tcBorders>
          </w:tcPr>
          <w:p w14:paraId="5EE18C13"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21.9</w:t>
            </w:r>
          </w:p>
        </w:tc>
        <w:tc>
          <w:tcPr>
            <w:tcW w:w="708" w:type="dxa"/>
            <w:tcBorders>
              <w:bottom w:val="single" w:sz="4" w:space="0" w:color="auto"/>
            </w:tcBorders>
          </w:tcPr>
          <w:p w14:paraId="0DC7A2E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single" w:sz="4" w:space="0" w:color="auto"/>
            </w:tcBorders>
          </w:tcPr>
          <w:p w14:paraId="3EC11DE8"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bottom w:val="single" w:sz="4" w:space="0" w:color="auto"/>
            </w:tcBorders>
          </w:tcPr>
          <w:p w14:paraId="11A52AA5" w14:textId="77777777" w:rsidR="004C6C44" w:rsidRPr="004C6C44" w:rsidRDefault="004C6C44" w:rsidP="00157A68">
            <w:pPr>
              <w:pStyle w:val="PlainText"/>
              <w:rPr>
                <w:rFonts w:ascii="Times New Roman" w:hAnsi="Times New Roman" w:cs="Times New Roman"/>
                <w:sz w:val="24"/>
                <w:szCs w:val="24"/>
              </w:rPr>
            </w:pPr>
          </w:p>
        </w:tc>
        <w:tc>
          <w:tcPr>
            <w:tcW w:w="1134" w:type="dxa"/>
            <w:tcBorders>
              <w:bottom w:val="single" w:sz="4" w:space="0" w:color="auto"/>
            </w:tcBorders>
          </w:tcPr>
          <w:p w14:paraId="0861BBDC"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bottom w:val="single" w:sz="4" w:space="0" w:color="auto"/>
            </w:tcBorders>
          </w:tcPr>
          <w:p w14:paraId="28709814"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6D741CA6" w14:textId="77777777" w:rsidTr="004C6C44">
        <w:tc>
          <w:tcPr>
            <w:tcW w:w="1276" w:type="dxa"/>
            <w:tcBorders>
              <w:top w:val="single" w:sz="4" w:space="0" w:color="auto"/>
              <w:bottom w:val="nil"/>
            </w:tcBorders>
          </w:tcPr>
          <w:p w14:paraId="0DCE425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(b) </w:t>
            </w:r>
            <w:r w:rsidRPr="004C6C44">
              <w:rPr>
                <w:rFonts w:ascii="Times New Roman" w:hAnsi="Times New Roman" w:cs="Times New Roman"/>
                <w:i/>
                <w:iCs/>
                <w:sz w:val="24"/>
                <w:szCs w:val="24"/>
              </w:rPr>
              <w:t>S</w:t>
            </w:r>
            <w:r w:rsidRPr="004C6C44">
              <w:rPr>
                <w:rFonts w:ascii="Times New Roman" w:hAnsi="Times New Roman" w:cs="Times New Roman"/>
                <w:sz w:val="24"/>
                <w:szCs w:val="24"/>
                <w:vertAlign w:val="subscript"/>
              </w:rPr>
              <w:t>HDS</w:t>
            </w:r>
          </w:p>
        </w:tc>
        <w:tc>
          <w:tcPr>
            <w:tcW w:w="2268" w:type="dxa"/>
            <w:tcBorders>
              <w:top w:val="single" w:sz="4" w:space="0" w:color="auto"/>
              <w:bottom w:val="nil"/>
            </w:tcBorders>
          </w:tcPr>
          <w:p w14:paraId="3CD4394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Main effect </w:t>
            </w:r>
            <w:r w:rsidRPr="004C6C44">
              <w:rPr>
                <w:rFonts w:ascii="Times New Roman" w:hAnsi="Times New Roman" w:cs="Times New Roman"/>
                <w:sz w:val="24"/>
                <w:szCs w:val="24"/>
              </w:rPr>
              <w:sym w:font="Symbol" w:char="F0B4"/>
            </w:r>
            <w:r w:rsidRPr="004C6C44">
              <w:rPr>
                <w:rFonts w:ascii="Times New Roman" w:hAnsi="Times New Roman" w:cs="Times New Roman"/>
                <w:sz w:val="24"/>
                <w:szCs w:val="24"/>
              </w:rPr>
              <w:t xml:space="preserve"> region</w:t>
            </w:r>
          </w:p>
        </w:tc>
        <w:tc>
          <w:tcPr>
            <w:tcW w:w="1228" w:type="dxa"/>
            <w:tcBorders>
              <w:top w:val="single" w:sz="4" w:space="0" w:color="auto"/>
              <w:bottom w:val="nil"/>
            </w:tcBorders>
          </w:tcPr>
          <w:p w14:paraId="34A7688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MAP</w:t>
            </w:r>
          </w:p>
        </w:tc>
        <w:tc>
          <w:tcPr>
            <w:tcW w:w="993" w:type="dxa"/>
            <w:tcBorders>
              <w:top w:val="single" w:sz="4" w:space="0" w:color="auto"/>
              <w:bottom w:val="nil"/>
            </w:tcBorders>
          </w:tcPr>
          <w:p w14:paraId="15622BA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399.0</w:t>
            </w:r>
          </w:p>
        </w:tc>
        <w:tc>
          <w:tcPr>
            <w:tcW w:w="708" w:type="dxa"/>
            <w:tcBorders>
              <w:top w:val="single" w:sz="4" w:space="0" w:color="auto"/>
              <w:bottom w:val="nil"/>
            </w:tcBorders>
          </w:tcPr>
          <w:p w14:paraId="7230B3D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bottom w:val="nil"/>
            </w:tcBorders>
          </w:tcPr>
          <w:p w14:paraId="51708F68"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-41.5</w:t>
            </w:r>
          </w:p>
        </w:tc>
        <w:tc>
          <w:tcPr>
            <w:tcW w:w="851" w:type="dxa"/>
            <w:tcBorders>
              <w:top w:val="single" w:sz="4" w:space="0" w:color="auto"/>
              <w:bottom w:val="nil"/>
            </w:tcBorders>
          </w:tcPr>
          <w:p w14:paraId="663A611F"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single" w:sz="4" w:space="0" w:color="auto"/>
              <w:bottom w:val="nil"/>
            </w:tcBorders>
          </w:tcPr>
          <w:p w14:paraId="68ACC20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-185.0</w:t>
            </w:r>
          </w:p>
        </w:tc>
        <w:tc>
          <w:tcPr>
            <w:tcW w:w="992" w:type="dxa"/>
            <w:tcBorders>
              <w:top w:val="single" w:sz="4" w:space="0" w:color="auto"/>
              <w:bottom w:val="nil"/>
            </w:tcBorders>
          </w:tcPr>
          <w:p w14:paraId="469C18E6"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200744A4" w14:textId="77777777" w:rsidTr="004C6C44">
        <w:tc>
          <w:tcPr>
            <w:tcW w:w="1276" w:type="dxa"/>
            <w:tcBorders>
              <w:top w:val="nil"/>
            </w:tcBorders>
          </w:tcPr>
          <w:p w14:paraId="1A7BF821"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bottom w:val="dotted" w:sz="4" w:space="0" w:color="auto"/>
            </w:tcBorders>
          </w:tcPr>
          <w:p w14:paraId="20EACC2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bottom w:val="dotted" w:sz="4" w:space="0" w:color="auto"/>
            </w:tcBorders>
          </w:tcPr>
          <w:p w14:paraId="6AA6B68D"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Clay</w:t>
            </w:r>
          </w:p>
        </w:tc>
        <w:tc>
          <w:tcPr>
            <w:tcW w:w="993" w:type="dxa"/>
            <w:tcBorders>
              <w:top w:val="nil"/>
              <w:bottom w:val="dotted" w:sz="4" w:space="0" w:color="auto"/>
            </w:tcBorders>
          </w:tcPr>
          <w:p w14:paraId="18B63CE1"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-12.8</w:t>
            </w:r>
          </w:p>
        </w:tc>
        <w:tc>
          <w:tcPr>
            <w:tcW w:w="708" w:type="dxa"/>
            <w:tcBorders>
              <w:top w:val="nil"/>
              <w:bottom w:val="dotted" w:sz="4" w:space="0" w:color="auto"/>
            </w:tcBorders>
          </w:tcPr>
          <w:p w14:paraId="224A4EAB"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bottom w:val="dotted" w:sz="4" w:space="0" w:color="auto"/>
            </w:tcBorders>
          </w:tcPr>
          <w:p w14:paraId="17B8C22D"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-216.1</w:t>
            </w:r>
          </w:p>
        </w:tc>
        <w:tc>
          <w:tcPr>
            <w:tcW w:w="851" w:type="dxa"/>
            <w:tcBorders>
              <w:top w:val="nil"/>
              <w:bottom w:val="dotted" w:sz="4" w:space="0" w:color="auto"/>
            </w:tcBorders>
          </w:tcPr>
          <w:p w14:paraId="25FDF9D6"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dotted" w:sz="4" w:space="0" w:color="auto"/>
            </w:tcBorders>
          </w:tcPr>
          <w:p w14:paraId="1B66572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173.6</w:t>
            </w:r>
          </w:p>
        </w:tc>
        <w:tc>
          <w:tcPr>
            <w:tcW w:w="992" w:type="dxa"/>
            <w:tcBorders>
              <w:top w:val="nil"/>
              <w:bottom w:val="dotted" w:sz="4" w:space="0" w:color="auto"/>
            </w:tcBorders>
          </w:tcPr>
          <w:p w14:paraId="4029D61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6A5A0001" w14:textId="77777777" w:rsidTr="004C6C44">
        <w:tc>
          <w:tcPr>
            <w:tcW w:w="1276" w:type="dxa"/>
          </w:tcPr>
          <w:p w14:paraId="51E10CF6"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tcPr>
          <w:p w14:paraId="41BB1AD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Main effect only</w:t>
            </w:r>
          </w:p>
        </w:tc>
        <w:tc>
          <w:tcPr>
            <w:tcW w:w="1228" w:type="dxa"/>
            <w:tcBorders>
              <w:top w:val="dotted" w:sz="4" w:space="0" w:color="auto"/>
              <w:bottom w:val="nil"/>
            </w:tcBorders>
          </w:tcPr>
          <w:p w14:paraId="4201DCB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Elevation</w:t>
            </w:r>
          </w:p>
        </w:tc>
        <w:tc>
          <w:tcPr>
            <w:tcW w:w="993" w:type="dxa"/>
            <w:tcBorders>
              <w:top w:val="dotted" w:sz="4" w:space="0" w:color="auto"/>
              <w:bottom w:val="nil"/>
            </w:tcBorders>
          </w:tcPr>
          <w:p w14:paraId="5C7DF35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163.7</w:t>
            </w:r>
          </w:p>
        </w:tc>
        <w:tc>
          <w:tcPr>
            <w:tcW w:w="708" w:type="dxa"/>
            <w:tcBorders>
              <w:top w:val="dotted" w:sz="4" w:space="0" w:color="auto"/>
              <w:bottom w:val="nil"/>
            </w:tcBorders>
          </w:tcPr>
          <w:p w14:paraId="66ECF85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2BFF1F9B"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dotted" w:sz="4" w:space="0" w:color="auto"/>
              <w:bottom w:val="nil"/>
            </w:tcBorders>
          </w:tcPr>
          <w:p w14:paraId="756C5186"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dotted" w:sz="4" w:space="0" w:color="auto"/>
              <w:bottom w:val="nil"/>
            </w:tcBorders>
          </w:tcPr>
          <w:p w14:paraId="5780882D"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dotted" w:sz="4" w:space="0" w:color="auto"/>
              <w:bottom w:val="nil"/>
            </w:tcBorders>
          </w:tcPr>
          <w:p w14:paraId="78F501FB"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1E5A4356" w14:textId="77777777" w:rsidTr="004C6C44">
        <w:tc>
          <w:tcPr>
            <w:tcW w:w="1276" w:type="dxa"/>
          </w:tcPr>
          <w:p w14:paraId="19BF1017"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tcBorders>
          </w:tcPr>
          <w:p w14:paraId="51D9012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0D0DCA8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PDQ</w:t>
            </w:r>
          </w:p>
        </w:tc>
        <w:tc>
          <w:tcPr>
            <w:tcW w:w="993" w:type="dxa"/>
            <w:tcBorders>
              <w:top w:val="nil"/>
            </w:tcBorders>
          </w:tcPr>
          <w:p w14:paraId="651F479A"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226.3</w:t>
            </w:r>
          </w:p>
        </w:tc>
        <w:tc>
          <w:tcPr>
            <w:tcW w:w="708" w:type="dxa"/>
            <w:tcBorders>
              <w:top w:val="nil"/>
            </w:tcBorders>
          </w:tcPr>
          <w:p w14:paraId="7C0ABF6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435CBD50"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nil"/>
            </w:tcBorders>
          </w:tcPr>
          <w:p w14:paraId="57D76E38"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tcBorders>
          </w:tcPr>
          <w:p w14:paraId="7EAC311B"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nil"/>
            </w:tcBorders>
          </w:tcPr>
          <w:p w14:paraId="2EE4E60D"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19619AE7" w14:textId="77777777" w:rsidTr="004C6C44">
        <w:tc>
          <w:tcPr>
            <w:tcW w:w="1276" w:type="dxa"/>
          </w:tcPr>
          <w:p w14:paraId="07D60014"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37CDBDD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6AF8618E"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Surface T</w:t>
            </w:r>
          </w:p>
        </w:tc>
        <w:tc>
          <w:tcPr>
            <w:tcW w:w="993" w:type="dxa"/>
          </w:tcPr>
          <w:p w14:paraId="55C361DF"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135.9</w:t>
            </w:r>
          </w:p>
        </w:tc>
        <w:tc>
          <w:tcPr>
            <w:tcW w:w="708" w:type="dxa"/>
          </w:tcPr>
          <w:p w14:paraId="438E876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DED104C"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1A970EF3"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302543DD" w14:textId="77777777" w:rsidR="004C6C44" w:rsidRPr="004C6C44" w:rsidRDefault="004C6C44" w:rsidP="00157A68">
            <w:pPr>
              <w:pStyle w:val="PlainText"/>
              <w:jc w:val="right"/>
              <w:rPr>
                <w:rFonts w:ascii="Times New Roman" w:hAnsi="Times New Roman" w:cs="Times New Roman"/>
                <w:sz w:val="24"/>
                <w:szCs w:val="24"/>
              </w:rPr>
            </w:pPr>
          </w:p>
        </w:tc>
        <w:tc>
          <w:tcPr>
            <w:tcW w:w="992" w:type="dxa"/>
          </w:tcPr>
          <w:p w14:paraId="20A948FB"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276E80DA" w14:textId="77777777" w:rsidTr="004C6C44">
        <w:tc>
          <w:tcPr>
            <w:tcW w:w="1276" w:type="dxa"/>
          </w:tcPr>
          <w:p w14:paraId="508061F7"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683B169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DDECB9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NDVI</w:t>
            </w:r>
          </w:p>
        </w:tc>
        <w:tc>
          <w:tcPr>
            <w:tcW w:w="993" w:type="dxa"/>
          </w:tcPr>
          <w:p w14:paraId="2734474E"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246.6</w:t>
            </w:r>
          </w:p>
        </w:tc>
        <w:tc>
          <w:tcPr>
            <w:tcW w:w="708" w:type="dxa"/>
          </w:tcPr>
          <w:p w14:paraId="1BA035B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6C392756"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67A6EC20"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09BD7865" w14:textId="77777777" w:rsidR="004C6C44" w:rsidRPr="004C6C44" w:rsidRDefault="004C6C44" w:rsidP="00157A68">
            <w:pPr>
              <w:pStyle w:val="PlainText"/>
              <w:jc w:val="right"/>
              <w:rPr>
                <w:rFonts w:ascii="Times New Roman" w:hAnsi="Times New Roman" w:cs="Times New Roman"/>
                <w:sz w:val="24"/>
                <w:szCs w:val="24"/>
              </w:rPr>
            </w:pPr>
          </w:p>
        </w:tc>
        <w:tc>
          <w:tcPr>
            <w:tcW w:w="992" w:type="dxa"/>
          </w:tcPr>
          <w:p w14:paraId="44C07C54"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4475CC83" w14:textId="77777777" w:rsidTr="004C6C44">
        <w:tc>
          <w:tcPr>
            <w:tcW w:w="1276" w:type="dxa"/>
          </w:tcPr>
          <w:p w14:paraId="5551F8F8"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44C930C3"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75608D8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Soil C</w:t>
            </w:r>
          </w:p>
        </w:tc>
        <w:tc>
          <w:tcPr>
            <w:tcW w:w="993" w:type="dxa"/>
          </w:tcPr>
          <w:p w14:paraId="1422EC2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159.4</w:t>
            </w:r>
          </w:p>
        </w:tc>
        <w:tc>
          <w:tcPr>
            <w:tcW w:w="708" w:type="dxa"/>
          </w:tcPr>
          <w:p w14:paraId="1AC997B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2CE0645"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74D36725"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6D28EDBA" w14:textId="77777777" w:rsidR="004C6C44" w:rsidRPr="004C6C44" w:rsidRDefault="004C6C44" w:rsidP="00157A68">
            <w:pPr>
              <w:pStyle w:val="PlainText"/>
              <w:jc w:val="right"/>
              <w:rPr>
                <w:rFonts w:ascii="Times New Roman" w:hAnsi="Times New Roman" w:cs="Times New Roman"/>
                <w:sz w:val="24"/>
                <w:szCs w:val="24"/>
              </w:rPr>
            </w:pPr>
          </w:p>
        </w:tc>
        <w:tc>
          <w:tcPr>
            <w:tcW w:w="992" w:type="dxa"/>
          </w:tcPr>
          <w:p w14:paraId="5634D901"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15037161" w14:textId="77777777" w:rsidTr="004C6C44">
        <w:tc>
          <w:tcPr>
            <w:tcW w:w="1276" w:type="dxa"/>
          </w:tcPr>
          <w:p w14:paraId="76338C90" w14:textId="77777777" w:rsidR="004C6C44" w:rsidRPr="004C6C44" w:rsidRDefault="004C6C44" w:rsidP="00157A68">
            <w:pPr>
              <w:pStyle w:val="PlainText"/>
              <w:rPr>
                <w:rFonts w:ascii="Times New Roman" w:hAnsi="Times New Roman" w:cs="Times New Roman"/>
                <w:sz w:val="24"/>
                <w:szCs w:val="24"/>
              </w:rPr>
            </w:pPr>
          </w:p>
        </w:tc>
        <w:tc>
          <w:tcPr>
            <w:tcW w:w="2268" w:type="dxa"/>
            <w:tcBorders>
              <w:bottom w:val="dotted" w:sz="4" w:space="0" w:color="auto"/>
            </w:tcBorders>
          </w:tcPr>
          <w:p w14:paraId="32A45B63"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dotted" w:sz="4" w:space="0" w:color="auto"/>
            </w:tcBorders>
          </w:tcPr>
          <w:p w14:paraId="6652AE2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PC1</w:t>
            </w:r>
          </w:p>
        </w:tc>
        <w:tc>
          <w:tcPr>
            <w:tcW w:w="993" w:type="dxa"/>
            <w:tcBorders>
              <w:bottom w:val="dotted" w:sz="4" w:space="0" w:color="auto"/>
            </w:tcBorders>
          </w:tcPr>
          <w:p w14:paraId="0CF09339"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123.1</w:t>
            </w:r>
          </w:p>
        </w:tc>
        <w:tc>
          <w:tcPr>
            <w:tcW w:w="708" w:type="dxa"/>
            <w:tcBorders>
              <w:bottom w:val="dotted" w:sz="4" w:space="0" w:color="auto"/>
            </w:tcBorders>
          </w:tcPr>
          <w:p w14:paraId="044C9EE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0A78589D"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bottom w:val="dotted" w:sz="4" w:space="0" w:color="auto"/>
            </w:tcBorders>
          </w:tcPr>
          <w:p w14:paraId="45EC32F6" w14:textId="77777777" w:rsidR="004C6C44" w:rsidRPr="004C6C44" w:rsidRDefault="004C6C44" w:rsidP="00157A68">
            <w:pPr>
              <w:pStyle w:val="PlainText"/>
              <w:rPr>
                <w:rFonts w:ascii="Times New Roman" w:hAnsi="Times New Roman" w:cs="Times New Roman"/>
                <w:sz w:val="24"/>
                <w:szCs w:val="24"/>
              </w:rPr>
            </w:pPr>
          </w:p>
        </w:tc>
        <w:tc>
          <w:tcPr>
            <w:tcW w:w="1134" w:type="dxa"/>
            <w:tcBorders>
              <w:bottom w:val="dotted" w:sz="4" w:space="0" w:color="auto"/>
            </w:tcBorders>
          </w:tcPr>
          <w:p w14:paraId="116BDC7D"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bottom w:val="dotted" w:sz="4" w:space="0" w:color="auto"/>
            </w:tcBorders>
          </w:tcPr>
          <w:p w14:paraId="71F66812"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25A8F752" w14:textId="77777777" w:rsidTr="004C6C44">
        <w:tc>
          <w:tcPr>
            <w:tcW w:w="1276" w:type="dxa"/>
          </w:tcPr>
          <w:p w14:paraId="40214D03"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tcPr>
          <w:p w14:paraId="58943D76"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Region only</w:t>
            </w:r>
          </w:p>
        </w:tc>
        <w:tc>
          <w:tcPr>
            <w:tcW w:w="1228" w:type="dxa"/>
            <w:tcBorders>
              <w:top w:val="dotted" w:sz="4" w:space="0" w:color="auto"/>
              <w:bottom w:val="nil"/>
            </w:tcBorders>
          </w:tcPr>
          <w:p w14:paraId="4A06BBB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CEC</w:t>
            </w:r>
          </w:p>
        </w:tc>
        <w:tc>
          <w:tcPr>
            <w:tcW w:w="993" w:type="dxa"/>
            <w:tcBorders>
              <w:top w:val="dotted" w:sz="4" w:space="0" w:color="auto"/>
              <w:bottom w:val="nil"/>
            </w:tcBorders>
          </w:tcPr>
          <w:p w14:paraId="7F5D6D18"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-26.3</w:t>
            </w:r>
          </w:p>
        </w:tc>
        <w:tc>
          <w:tcPr>
            <w:tcW w:w="708" w:type="dxa"/>
            <w:tcBorders>
              <w:top w:val="dotted" w:sz="4" w:space="0" w:color="auto"/>
              <w:bottom w:val="nil"/>
            </w:tcBorders>
          </w:tcPr>
          <w:p w14:paraId="3E2F2256"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dotted" w:sz="4" w:space="0" w:color="auto"/>
              <w:bottom w:val="nil"/>
            </w:tcBorders>
          </w:tcPr>
          <w:p w14:paraId="3145176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-251.9</w:t>
            </w:r>
          </w:p>
        </w:tc>
        <w:tc>
          <w:tcPr>
            <w:tcW w:w="851" w:type="dxa"/>
            <w:tcBorders>
              <w:top w:val="dotted" w:sz="4" w:space="0" w:color="auto"/>
              <w:bottom w:val="nil"/>
            </w:tcBorders>
          </w:tcPr>
          <w:p w14:paraId="429ED1C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61E2D4EC"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dotted" w:sz="4" w:space="0" w:color="auto"/>
              <w:bottom w:val="nil"/>
            </w:tcBorders>
          </w:tcPr>
          <w:p w14:paraId="560F57D2"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5DE22935" w14:textId="77777777" w:rsidTr="004C6C44">
        <w:tc>
          <w:tcPr>
            <w:tcW w:w="1276" w:type="dxa"/>
            <w:tcBorders>
              <w:bottom w:val="single" w:sz="4" w:space="0" w:color="auto"/>
            </w:tcBorders>
          </w:tcPr>
          <w:p w14:paraId="5E24CB12"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bottom w:val="single" w:sz="4" w:space="0" w:color="auto"/>
            </w:tcBorders>
          </w:tcPr>
          <w:p w14:paraId="448F59E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bottom w:val="single" w:sz="4" w:space="0" w:color="auto"/>
            </w:tcBorders>
          </w:tcPr>
          <w:p w14:paraId="4A7940D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pH</w:t>
            </w:r>
          </w:p>
        </w:tc>
        <w:tc>
          <w:tcPr>
            <w:tcW w:w="993" w:type="dxa"/>
            <w:tcBorders>
              <w:top w:val="nil"/>
              <w:bottom w:val="single" w:sz="4" w:space="0" w:color="auto"/>
            </w:tcBorders>
          </w:tcPr>
          <w:p w14:paraId="28B897D3"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53.8</w:t>
            </w:r>
          </w:p>
        </w:tc>
        <w:tc>
          <w:tcPr>
            <w:tcW w:w="708" w:type="dxa"/>
            <w:tcBorders>
              <w:top w:val="nil"/>
              <w:bottom w:val="single" w:sz="4" w:space="0" w:color="auto"/>
            </w:tcBorders>
          </w:tcPr>
          <w:p w14:paraId="4CA543D5"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bottom w:val="single" w:sz="4" w:space="0" w:color="auto"/>
            </w:tcBorders>
          </w:tcPr>
          <w:p w14:paraId="7B281579"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-193.0</w:t>
            </w:r>
          </w:p>
        </w:tc>
        <w:tc>
          <w:tcPr>
            <w:tcW w:w="851" w:type="dxa"/>
            <w:tcBorders>
              <w:top w:val="nil"/>
              <w:bottom w:val="single" w:sz="4" w:space="0" w:color="auto"/>
            </w:tcBorders>
          </w:tcPr>
          <w:p w14:paraId="4BCCADA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single" w:sz="4" w:space="0" w:color="auto"/>
            </w:tcBorders>
          </w:tcPr>
          <w:p w14:paraId="062ED2B0"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nil"/>
              <w:bottom w:val="single" w:sz="4" w:space="0" w:color="auto"/>
            </w:tcBorders>
          </w:tcPr>
          <w:p w14:paraId="4D555672"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7CAC9AF1" w14:textId="77777777" w:rsidTr="004C6C44">
        <w:tc>
          <w:tcPr>
            <w:tcW w:w="1276" w:type="dxa"/>
            <w:tcBorders>
              <w:top w:val="single" w:sz="4" w:space="0" w:color="auto"/>
              <w:bottom w:val="nil"/>
            </w:tcBorders>
          </w:tcPr>
          <w:p w14:paraId="4853AF4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(c) </w:t>
            </w:r>
            <w:r w:rsidRPr="004C6C44">
              <w:rPr>
                <w:rFonts w:ascii="Times New Roman" w:hAnsi="Times New Roman" w:cs="Times New Roman"/>
                <w:i/>
                <w:iCs/>
                <w:sz w:val="24"/>
                <w:szCs w:val="24"/>
              </w:rPr>
              <w:t>S</w:t>
            </w:r>
            <w:r w:rsidRPr="004C6C44">
              <w:rPr>
                <w:rFonts w:ascii="Times New Roman" w:hAnsi="Times New Roman" w:cs="Times New Roman"/>
                <w:sz w:val="24"/>
                <w:szCs w:val="24"/>
                <w:vertAlign w:val="subscript"/>
              </w:rPr>
              <w:t>DS</w:t>
            </w:r>
          </w:p>
        </w:tc>
        <w:tc>
          <w:tcPr>
            <w:tcW w:w="2268" w:type="dxa"/>
            <w:tcBorders>
              <w:top w:val="single" w:sz="4" w:space="0" w:color="auto"/>
              <w:bottom w:val="nil"/>
            </w:tcBorders>
          </w:tcPr>
          <w:p w14:paraId="4D77BBD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Main effect </w:t>
            </w:r>
            <w:r w:rsidRPr="004C6C44">
              <w:rPr>
                <w:rFonts w:ascii="Times New Roman" w:hAnsi="Times New Roman" w:cs="Times New Roman"/>
                <w:sz w:val="24"/>
                <w:szCs w:val="24"/>
              </w:rPr>
              <w:sym w:font="Symbol" w:char="F0B4"/>
            </w:r>
            <w:r w:rsidRPr="004C6C44">
              <w:rPr>
                <w:rFonts w:ascii="Times New Roman" w:hAnsi="Times New Roman" w:cs="Times New Roman"/>
                <w:sz w:val="24"/>
                <w:szCs w:val="24"/>
              </w:rPr>
              <w:t xml:space="preserve"> region</w:t>
            </w:r>
          </w:p>
        </w:tc>
        <w:tc>
          <w:tcPr>
            <w:tcW w:w="1228" w:type="dxa"/>
            <w:tcBorders>
              <w:top w:val="single" w:sz="4" w:space="0" w:color="auto"/>
              <w:bottom w:val="nil"/>
            </w:tcBorders>
          </w:tcPr>
          <w:p w14:paraId="056CFAED"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Elevation</w:t>
            </w:r>
          </w:p>
        </w:tc>
        <w:tc>
          <w:tcPr>
            <w:tcW w:w="993" w:type="dxa"/>
            <w:tcBorders>
              <w:top w:val="single" w:sz="4" w:space="0" w:color="auto"/>
              <w:bottom w:val="nil"/>
            </w:tcBorders>
          </w:tcPr>
          <w:p w14:paraId="40E2F9D7"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-1455.9</w:t>
            </w:r>
          </w:p>
        </w:tc>
        <w:tc>
          <w:tcPr>
            <w:tcW w:w="708" w:type="dxa"/>
            <w:tcBorders>
              <w:top w:val="single" w:sz="4" w:space="0" w:color="auto"/>
              <w:bottom w:val="nil"/>
            </w:tcBorders>
          </w:tcPr>
          <w:p w14:paraId="5E97793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bottom w:val="nil"/>
            </w:tcBorders>
          </w:tcPr>
          <w:p w14:paraId="7412BB40"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-2278.4</w:t>
            </w:r>
          </w:p>
        </w:tc>
        <w:tc>
          <w:tcPr>
            <w:tcW w:w="851" w:type="dxa"/>
            <w:tcBorders>
              <w:top w:val="single" w:sz="4" w:space="0" w:color="auto"/>
              <w:bottom w:val="nil"/>
            </w:tcBorders>
          </w:tcPr>
          <w:p w14:paraId="0DA678E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bottom w:val="nil"/>
            </w:tcBorders>
          </w:tcPr>
          <w:p w14:paraId="4678995F"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1668.5</w:t>
            </w:r>
          </w:p>
        </w:tc>
        <w:tc>
          <w:tcPr>
            <w:tcW w:w="992" w:type="dxa"/>
            <w:tcBorders>
              <w:top w:val="single" w:sz="4" w:space="0" w:color="auto"/>
              <w:bottom w:val="nil"/>
            </w:tcBorders>
          </w:tcPr>
          <w:p w14:paraId="1BA0A37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3F928B5B" w14:textId="77777777" w:rsidTr="004C6C44">
        <w:tc>
          <w:tcPr>
            <w:tcW w:w="1276" w:type="dxa"/>
            <w:tcBorders>
              <w:top w:val="nil"/>
            </w:tcBorders>
          </w:tcPr>
          <w:p w14:paraId="04C11A06"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tcBorders>
          </w:tcPr>
          <w:p w14:paraId="7F0FFF1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23B9136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MAP</w:t>
            </w:r>
          </w:p>
        </w:tc>
        <w:tc>
          <w:tcPr>
            <w:tcW w:w="993" w:type="dxa"/>
            <w:tcBorders>
              <w:top w:val="nil"/>
            </w:tcBorders>
          </w:tcPr>
          <w:p w14:paraId="0E2B3E4D"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683.3</w:t>
            </w:r>
          </w:p>
        </w:tc>
        <w:tc>
          <w:tcPr>
            <w:tcW w:w="708" w:type="dxa"/>
            <w:tcBorders>
              <w:top w:val="nil"/>
            </w:tcBorders>
          </w:tcPr>
          <w:p w14:paraId="2C01D38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5D1DE8A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-519.1</w:t>
            </w:r>
          </w:p>
        </w:tc>
        <w:tc>
          <w:tcPr>
            <w:tcW w:w="851" w:type="dxa"/>
            <w:tcBorders>
              <w:top w:val="nil"/>
            </w:tcBorders>
          </w:tcPr>
          <w:p w14:paraId="5F72D7A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53C84071"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-382.1</w:t>
            </w:r>
          </w:p>
        </w:tc>
        <w:tc>
          <w:tcPr>
            <w:tcW w:w="992" w:type="dxa"/>
            <w:tcBorders>
              <w:top w:val="nil"/>
            </w:tcBorders>
          </w:tcPr>
          <w:p w14:paraId="445D04E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27309C8A" w14:textId="77777777" w:rsidTr="004C6C44">
        <w:tc>
          <w:tcPr>
            <w:tcW w:w="1276" w:type="dxa"/>
          </w:tcPr>
          <w:p w14:paraId="73F8EFAE" w14:textId="77777777" w:rsidR="004C6C44" w:rsidRPr="004C6C44" w:rsidRDefault="004C6C44" w:rsidP="00157A68">
            <w:pPr>
              <w:pStyle w:val="PlainText"/>
              <w:rPr>
                <w:rFonts w:ascii="Times New Roman" w:hAnsi="Times New Roman" w:cs="Times New Roman"/>
                <w:sz w:val="24"/>
                <w:szCs w:val="24"/>
              </w:rPr>
            </w:pPr>
          </w:p>
        </w:tc>
        <w:tc>
          <w:tcPr>
            <w:tcW w:w="2268" w:type="dxa"/>
            <w:tcBorders>
              <w:bottom w:val="dotted" w:sz="4" w:space="0" w:color="auto"/>
            </w:tcBorders>
          </w:tcPr>
          <w:p w14:paraId="300FED4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dotted" w:sz="4" w:space="0" w:color="auto"/>
            </w:tcBorders>
          </w:tcPr>
          <w:p w14:paraId="6E0FB65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CEC</w:t>
            </w:r>
          </w:p>
        </w:tc>
        <w:tc>
          <w:tcPr>
            <w:tcW w:w="993" w:type="dxa"/>
            <w:tcBorders>
              <w:bottom w:val="dotted" w:sz="4" w:space="0" w:color="auto"/>
            </w:tcBorders>
          </w:tcPr>
          <w:p w14:paraId="6BD3A5E9"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-933.3</w:t>
            </w:r>
          </w:p>
        </w:tc>
        <w:tc>
          <w:tcPr>
            <w:tcW w:w="708" w:type="dxa"/>
            <w:tcBorders>
              <w:bottom w:val="dotted" w:sz="4" w:space="0" w:color="auto"/>
            </w:tcBorders>
          </w:tcPr>
          <w:p w14:paraId="3190C85E"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1A63873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-1043.4</w:t>
            </w:r>
          </w:p>
        </w:tc>
        <w:tc>
          <w:tcPr>
            <w:tcW w:w="851" w:type="dxa"/>
            <w:tcBorders>
              <w:bottom w:val="dotted" w:sz="4" w:space="0" w:color="auto"/>
            </w:tcBorders>
          </w:tcPr>
          <w:p w14:paraId="7746B38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6E63040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837.1</w:t>
            </w:r>
          </w:p>
        </w:tc>
        <w:tc>
          <w:tcPr>
            <w:tcW w:w="992" w:type="dxa"/>
            <w:tcBorders>
              <w:bottom w:val="dotted" w:sz="4" w:space="0" w:color="auto"/>
            </w:tcBorders>
          </w:tcPr>
          <w:p w14:paraId="679DAE3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3C4FBFF3" w14:textId="77777777" w:rsidTr="004C6C44">
        <w:tc>
          <w:tcPr>
            <w:tcW w:w="1276" w:type="dxa"/>
          </w:tcPr>
          <w:p w14:paraId="0EF234F3"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tcPr>
          <w:p w14:paraId="7CE6077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Main effect + region</w:t>
            </w:r>
          </w:p>
        </w:tc>
        <w:tc>
          <w:tcPr>
            <w:tcW w:w="1228" w:type="dxa"/>
            <w:tcBorders>
              <w:top w:val="dotted" w:sz="4" w:space="0" w:color="auto"/>
              <w:bottom w:val="nil"/>
            </w:tcBorders>
          </w:tcPr>
          <w:p w14:paraId="1FB890F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Clay</w:t>
            </w:r>
          </w:p>
        </w:tc>
        <w:tc>
          <w:tcPr>
            <w:tcW w:w="993" w:type="dxa"/>
            <w:tcBorders>
              <w:top w:val="dotted" w:sz="4" w:space="0" w:color="auto"/>
              <w:bottom w:val="nil"/>
            </w:tcBorders>
          </w:tcPr>
          <w:p w14:paraId="069DDA41"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273.0</w:t>
            </w:r>
          </w:p>
        </w:tc>
        <w:tc>
          <w:tcPr>
            <w:tcW w:w="708" w:type="dxa"/>
            <w:tcBorders>
              <w:top w:val="dotted" w:sz="4" w:space="0" w:color="auto"/>
              <w:bottom w:val="nil"/>
            </w:tcBorders>
          </w:tcPr>
          <w:p w14:paraId="70CA9B8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27BD2817"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-542.8</w:t>
            </w:r>
          </w:p>
        </w:tc>
        <w:tc>
          <w:tcPr>
            <w:tcW w:w="851" w:type="dxa"/>
            <w:tcBorders>
              <w:top w:val="dotted" w:sz="4" w:space="0" w:color="auto"/>
              <w:bottom w:val="nil"/>
            </w:tcBorders>
          </w:tcPr>
          <w:p w14:paraId="1EB7CE0D"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0C689E72" w14:textId="77777777" w:rsidR="004C6C44" w:rsidRPr="004C6C44" w:rsidRDefault="004C6C44" w:rsidP="00157A68">
            <w:pPr>
              <w:pStyle w:val="PlainText"/>
              <w:rPr>
                <w:rFonts w:ascii="Times New Roman" w:hAnsi="Times New Roman" w:cs="Times New Roman"/>
                <w:sz w:val="24"/>
                <w:szCs w:val="24"/>
              </w:rPr>
            </w:pPr>
          </w:p>
        </w:tc>
        <w:tc>
          <w:tcPr>
            <w:tcW w:w="992" w:type="dxa"/>
            <w:tcBorders>
              <w:top w:val="dotted" w:sz="4" w:space="0" w:color="auto"/>
              <w:bottom w:val="nil"/>
            </w:tcBorders>
          </w:tcPr>
          <w:p w14:paraId="24932719"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3AD23D4F" w14:textId="77777777" w:rsidTr="004C6C44">
        <w:tc>
          <w:tcPr>
            <w:tcW w:w="1276" w:type="dxa"/>
          </w:tcPr>
          <w:p w14:paraId="5A83AD42"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bottom w:val="dotted" w:sz="4" w:space="0" w:color="auto"/>
            </w:tcBorders>
          </w:tcPr>
          <w:p w14:paraId="089AB0F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bottom w:val="dotted" w:sz="4" w:space="0" w:color="auto"/>
            </w:tcBorders>
          </w:tcPr>
          <w:p w14:paraId="3183D47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Soil C</w:t>
            </w:r>
          </w:p>
        </w:tc>
        <w:tc>
          <w:tcPr>
            <w:tcW w:w="993" w:type="dxa"/>
            <w:tcBorders>
              <w:top w:val="nil"/>
              <w:bottom w:val="dotted" w:sz="4" w:space="0" w:color="auto"/>
            </w:tcBorders>
          </w:tcPr>
          <w:p w14:paraId="297A9FD1"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246.5</w:t>
            </w:r>
          </w:p>
        </w:tc>
        <w:tc>
          <w:tcPr>
            <w:tcW w:w="708" w:type="dxa"/>
            <w:tcBorders>
              <w:top w:val="nil"/>
              <w:bottom w:val="dotted" w:sz="4" w:space="0" w:color="auto"/>
            </w:tcBorders>
          </w:tcPr>
          <w:p w14:paraId="6051CC7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dotted" w:sz="4" w:space="0" w:color="auto"/>
            </w:tcBorders>
          </w:tcPr>
          <w:p w14:paraId="3D1D221B"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-615.4</w:t>
            </w:r>
          </w:p>
        </w:tc>
        <w:tc>
          <w:tcPr>
            <w:tcW w:w="851" w:type="dxa"/>
            <w:tcBorders>
              <w:top w:val="nil"/>
              <w:bottom w:val="dotted" w:sz="4" w:space="0" w:color="auto"/>
            </w:tcBorders>
          </w:tcPr>
          <w:p w14:paraId="21B246D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dotted" w:sz="4" w:space="0" w:color="auto"/>
            </w:tcBorders>
          </w:tcPr>
          <w:p w14:paraId="4F548890" w14:textId="77777777" w:rsidR="004C6C44" w:rsidRPr="004C6C44" w:rsidRDefault="004C6C44" w:rsidP="00157A68">
            <w:pPr>
              <w:pStyle w:val="PlainText"/>
              <w:rPr>
                <w:rFonts w:ascii="Times New Roman" w:hAnsi="Times New Roman" w:cs="Times New Roman"/>
                <w:sz w:val="24"/>
                <w:szCs w:val="24"/>
              </w:rPr>
            </w:pPr>
          </w:p>
        </w:tc>
        <w:tc>
          <w:tcPr>
            <w:tcW w:w="992" w:type="dxa"/>
            <w:tcBorders>
              <w:top w:val="nil"/>
              <w:bottom w:val="dotted" w:sz="4" w:space="0" w:color="auto"/>
            </w:tcBorders>
          </w:tcPr>
          <w:p w14:paraId="7907C9B6"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4E910152" w14:textId="77777777" w:rsidTr="004C6C44">
        <w:tc>
          <w:tcPr>
            <w:tcW w:w="1276" w:type="dxa"/>
          </w:tcPr>
          <w:p w14:paraId="2E86D2A5"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tcPr>
          <w:p w14:paraId="054BE0B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Main effect only</w:t>
            </w:r>
          </w:p>
        </w:tc>
        <w:tc>
          <w:tcPr>
            <w:tcW w:w="1228" w:type="dxa"/>
            <w:tcBorders>
              <w:top w:val="dotted" w:sz="4" w:space="0" w:color="auto"/>
              <w:bottom w:val="nil"/>
            </w:tcBorders>
          </w:tcPr>
          <w:p w14:paraId="4AF82E4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PDQ</w:t>
            </w:r>
          </w:p>
        </w:tc>
        <w:tc>
          <w:tcPr>
            <w:tcW w:w="993" w:type="dxa"/>
            <w:tcBorders>
              <w:top w:val="dotted" w:sz="4" w:space="0" w:color="auto"/>
              <w:bottom w:val="nil"/>
            </w:tcBorders>
          </w:tcPr>
          <w:p w14:paraId="2E1478A4"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363.1</w:t>
            </w:r>
          </w:p>
        </w:tc>
        <w:tc>
          <w:tcPr>
            <w:tcW w:w="708" w:type="dxa"/>
            <w:tcBorders>
              <w:top w:val="dotted" w:sz="4" w:space="0" w:color="auto"/>
              <w:bottom w:val="nil"/>
            </w:tcBorders>
          </w:tcPr>
          <w:p w14:paraId="6265086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5900A65E"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dotted" w:sz="4" w:space="0" w:color="auto"/>
              <w:bottom w:val="nil"/>
            </w:tcBorders>
          </w:tcPr>
          <w:p w14:paraId="08FB5884"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dotted" w:sz="4" w:space="0" w:color="auto"/>
              <w:bottom w:val="nil"/>
            </w:tcBorders>
          </w:tcPr>
          <w:p w14:paraId="2D7F76CD" w14:textId="77777777" w:rsidR="004C6C44" w:rsidRPr="004C6C44" w:rsidRDefault="004C6C44" w:rsidP="00157A68">
            <w:pPr>
              <w:pStyle w:val="PlainText"/>
              <w:rPr>
                <w:rFonts w:ascii="Times New Roman" w:hAnsi="Times New Roman" w:cs="Times New Roman"/>
                <w:sz w:val="24"/>
                <w:szCs w:val="24"/>
              </w:rPr>
            </w:pPr>
          </w:p>
        </w:tc>
        <w:tc>
          <w:tcPr>
            <w:tcW w:w="992" w:type="dxa"/>
            <w:tcBorders>
              <w:top w:val="dotted" w:sz="4" w:space="0" w:color="auto"/>
              <w:bottom w:val="nil"/>
            </w:tcBorders>
          </w:tcPr>
          <w:p w14:paraId="0DFD6ED1"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3DAACC37" w14:textId="77777777" w:rsidTr="004C6C44">
        <w:tc>
          <w:tcPr>
            <w:tcW w:w="1276" w:type="dxa"/>
          </w:tcPr>
          <w:p w14:paraId="2BEC85E0"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tcBorders>
          </w:tcPr>
          <w:p w14:paraId="2BD8A91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31DC5CA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Surface T</w:t>
            </w:r>
          </w:p>
        </w:tc>
        <w:tc>
          <w:tcPr>
            <w:tcW w:w="993" w:type="dxa"/>
            <w:tcBorders>
              <w:top w:val="nil"/>
            </w:tcBorders>
          </w:tcPr>
          <w:p w14:paraId="6DDA74F0"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336.7</w:t>
            </w:r>
          </w:p>
        </w:tc>
        <w:tc>
          <w:tcPr>
            <w:tcW w:w="708" w:type="dxa"/>
            <w:tcBorders>
              <w:top w:val="nil"/>
            </w:tcBorders>
          </w:tcPr>
          <w:p w14:paraId="70C4FCF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50299195"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nil"/>
            </w:tcBorders>
          </w:tcPr>
          <w:p w14:paraId="65C2D2B9"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tcBorders>
          </w:tcPr>
          <w:p w14:paraId="7E1AFBFD" w14:textId="77777777" w:rsidR="004C6C44" w:rsidRPr="004C6C44" w:rsidRDefault="004C6C44" w:rsidP="00157A68">
            <w:pPr>
              <w:pStyle w:val="PlainText"/>
              <w:rPr>
                <w:rFonts w:ascii="Times New Roman" w:hAnsi="Times New Roman" w:cs="Times New Roman"/>
                <w:sz w:val="24"/>
                <w:szCs w:val="24"/>
              </w:rPr>
            </w:pPr>
          </w:p>
        </w:tc>
        <w:tc>
          <w:tcPr>
            <w:tcW w:w="992" w:type="dxa"/>
            <w:tcBorders>
              <w:top w:val="nil"/>
            </w:tcBorders>
          </w:tcPr>
          <w:p w14:paraId="6C42119E"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74002D4B" w14:textId="77777777" w:rsidTr="004C6C44">
        <w:tc>
          <w:tcPr>
            <w:tcW w:w="1276" w:type="dxa"/>
          </w:tcPr>
          <w:p w14:paraId="5C693085"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4A7756A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5F44139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NDVI</w:t>
            </w:r>
          </w:p>
        </w:tc>
        <w:tc>
          <w:tcPr>
            <w:tcW w:w="993" w:type="dxa"/>
          </w:tcPr>
          <w:p w14:paraId="51AF85C7"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475.3</w:t>
            </w:r>
          </w:p>
        </w:tc>
        <w:tc>
          <w:tcPr>
            <w:tcW w:w="708" w:type="dxa"/>
          </w:tcPr>
          <w:p w14:paraId="55AC16E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5F7A689"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48BCB0F5"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09DD8305" w14:textId="77777777" w:rsidR="004C6C44" w:rsidRPr="004C6C44" w:rsidRDefault="004C6C44" w:rsidP="00157A68">
            <w:pPr>
              <w:pStyle w:val="PlainText"/>
              <w:rPr>
                <w:rFonts w:ascii="Times New Roman" w:hAnsi="Times New Roman" w:cs="Times New Roman"/>
                <w:sz w:val="24"/>
                <w:szCs w:val="24"/>
              </w:rPr>
            </w:pPr>
          </w:p>
        </w:tc>
        <w:tc>
          <w:tcPr>
            <w:tcW w:w="992" w:type="dxa"/>
          </w:tcPr>
          <w:p w14:paraId="11F80C65"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4B31FC05" w14:textId="77777777" w:rsidTr="004C6C44">
        <w:tc>
          <w:tcPr>
            <w:tcW w:w="1276" w:type="dxa"/>
          </w:tcPr>
          <w:p w14:paraId="45D695B3"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5439CCD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4873512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pH</w:t>
            </w:r>
          </w:p>
        </w:tc>
        <w:tc>
          <w:tcPr>
            <w:tcW w:w="993" w:type="dxa"/>
          </w:tcPr>
          <w:p w14:paraId="0AFC4BB6"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448.4</w:t>
            </w:r>
          </w:p>
        </w:tc>
        <w:tc>
          <w:tcPr>
            <w:tcW w:w="708" w:type="dxa"/>
          </w:tcPr>
          <w:p w14:paraId="0BF14E1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34DEBC6"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1F5AEAD7"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7DF000C2" w14:textId="77777777" w:rsidR="004C6C44" w:rsidRPr="004C6C44" w:rsidRDefault="004C6C44" w:rsidP="00157A68">
            <w:pPr>
              <w:pStyle w:val="PlainText"/>
              <w:rPr>
                <w:rFonts w:ascii="Times New Roman" w:hAnsi="Times New Roman" w:cs="Times New Roman"/>
                <w:sz w:val="24"/>
                <w:szCs w:val="24"/>
              </w:rPr>
            </w:pPr>
          </w:p>
        </w:tc>
        <w:tc>
          <w:tcPr>
            <w:tcW w:w="992" w:type="dxa"/>
          </w:tcPr>
          <w:p w14:paraId="7B5A1DB1"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734540C7" w14:textId="77777777" w:rsidTr="004C6C44">
        <w:tc>
          <w:tcPr>
            <w:tcW w:w="1276" w:type="dxa"/>
          </w:tcPr>
          <w:p w14:paraId="579E3B3C"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6C534A74"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525C464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PC1</w:t>
            </w:r>
          </w:p>
        </w:tc>
        <w:tc>
          <w:tcPr>
            <w:tcW w:w="993" w:type="dxa"/>
          </w:tcPr>
          <w:p w14:paraId="3901725B"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231.1</w:t>
            </w:r>
          </w:p>
        </w:tc>
        <w:tc>
          <w:tcPr>
            <w:tcW w:w="708" w:type="dxa"/>
          </w:tcPr>
          <w:p w14:paraId="078CCF0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3FEDE07B"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23C9B257"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0BCB7D6A" w14:textId="77777777" w:rsidR="004C6C44" w:rsidRPr="004C6C44" w:rsidRDefault="004C6C44" w:rsidP="00157A68">
            <w:pPr>
              <w:pStyle w:val="PlainText"/>
              <w:rPr>
                <w:rFonts w:ascii="Times New Roman" w:hAnsi="Times New Roman" w:cs="Times New Roman"/>
                <w:sz w:val="24"/>
                <w:szCs w:val="24"/>
              </w:rPr>
            </w:pPr>
          </w:p>
        </w:tc>
        <w:tc>
          <w:tcPr>
            <w:tcW w:w="992" w:type="dxa"/>
          </w:tcPr>
          <w:p w14:paraId="1896FBC4" w14:textId="77777777" w:rsidR="004C6C44" w:rsidRPr="004C6C44" w:rsidRDefault="004C6C44" w:rsidP="00157A68">
            <w:pPr>
              <w:pStyle w:val="PlainText"/>
              <w:rPr>
                <w:rFonts w:ascii="Times New Roman" w:hAnsi="Times New Roman" w:cs="Times New Roman"/>
                <w:sz w:val="24"/>
                <w:szCs w:val="24"/>
              </w:rPr>
            </w:pPr>
          </w:p>
        </w:tc>
      </w:tr>
    </w:tbl>
    <w:p w14:paraId="11591A9A" w14:textId="67D72FA4" w:rsidR="00F75284" w:rsidRPr="00840830" w:rsidRDefault="00F75284" w:rsidP="009A13CA">
      <w:pPr>
        <w:pStyle w:val="BodyText"/>
        <w:spacing w:before="0" w:after="0"/>
      </w:pPr>
      <w:r w:rsidRPr="00840830">
        <w:rPr>
          <w:vertAlign w:val="superscript"/>
        </w:rPr>
        <w:t xml:space="preserve">1 </w:t>
      </w:r>
      <w:r w:rsidRPr="00840830">
        <w:t xml:space="preserve">Represented as follows: ***, </w:t>
      </w:r>
      <w:r w:rsidRPr="00840830">
        <w:rPr>
          <w:i/>
        </w:rPr>
        <w:t>P</w:t>
      </w:r>
      <w:r w:rsidRPr="00840830">
        <w:t xml:space="preserve"> &lt; 0.001; **, </w:t>
      </w:r>
      <w:r w:rsidRPr="00840830">
        <w:rPr>
          <w:i/>
        </w:rPr>
        <w:t>P</w:t>
      </w:r>
      <w:r w:rsidRPr="00840830">
        <w:t xml:space="preserve"> &lt; 0.01; *, </w:t>
      </w:r>
      <w:r w:rsidRPr="00840830">
        <w:rPr>
          <w:i/>
        </w:rPr>
        <w:t>P</w:t>
      </w:r>
      <w:r w:rsidRPr="00840830">
        <w:t xml:space="preserve"> &lt; 0.05; blank, NS.</w:t>
      </w:r>
    </w:p>
    <w:p w14:paraId="33E59E8F" w14:textId="21DAFF79" w:rsidR="009A13CA" w:rsidRDefault="00F75284" w:rsidP="009A13CA">
      <w:pPr>
        <w:pStyle w:val="BodyText"/>
        <w:spacing w:before="0"/>
      </w:pPr>
      <w:r w:rsidRPr="00840830">
        <w:rPr>
          <w:vertAlign w:val="superscript"/>
        </w:rPr>
        <w:t>2</w:t>
      </w:r>
      <w:r w:rsidR="00B34B13" w:rsidRPr="00840830">
        <w:rPr>
          <w:vertAlign w:val="superscript"/>
        </w:rPr>
        <w:t xml:space="preserve"> </w:t>
      </w:r>
      <w:r w:rsidR="00F76AE8" w:rsidRPr="00840830">
        <w:t>Abbreviations are as follows: NDVI, normalized difference vegetation index; T, temperature; MAP, mean annual precipitation; PDQ, precipitation in the driest quarter; CEC, cation exchange capacity; C, carbon.</w:t>
      </w:r>
    </w:p>
    <w:p w14:paraId="3ACB7801" w14:textId="4CF6D210" w:rsidR="00B73D31" w:rsidRPr="00840830" w:rsidRDefault="00B73D31" w:rsidP="009A13CA">
      <w:pPr>
        <w:pStyle w:val="BodyText"/>
        <w:spacing w:after="0"/>
        <w:rPr>
          <w:vertAlign w:val="superscript"/>
        </w:rPr>
      </w:pPr>
      <w:r w:rsidRPr="00840830">
        <w:rPr>
          <w:vertAlign w:val="superscript"/>
        </w:rPr>
        <w:br w:type="page"/>
      </w:r>
    </w:p>
    <w:p w14:paraId="1B4BCCF4" w14:textId="191C4BE3" w:rsidR="00874A01" w:rsidRPr="0069122B" w:rsidRDefault="00874A01" w:rsidP="00FA753D">
      <w:pPr>
        <w:pStyle w:val="BodyText"/>
        <w:spacing w:before="0"/>
      </w:pPr>
      <w:bookmarkStart w:id="25" w:name="figures"/>
      <w:r w:rsidRPr="00874A01">
        <w:rPr>
          <w:b/>
          <w:bCs/>
        </w:rPr>
        <w:lastRenderedPageBreak/>
        <w:t xml:space="preserve">Table </w:t>
      </w:r>
      <w:r w:rsidR="00BB2964">
        <w:rPr>
          <w:b/>
          <w:bCs/>
        </w:rPr>
        <w:t>2</w:t>
      </w:r>
      <w:r w:rsidRPr="00874A01">
        <w:rPr>
          <w:b/>
          <w:bCs/>
        </w:rPr>
        <w:t>:</w:t>
      </w:r>
      <w:r w:rsidR="0069122B" w:rsidRPr="0069122B">
        <w:t xml:space="preserve"> </w:t>
      </w:r>
      <w:r w:rsidR="0069122B">
        <w:t xml:space="preserve">Pearson’s </w:t>
      </w:r>
      <w:r w:rsidR="0069122B" w:rsidRPr="00D02C8F">
        <w:rPr>
          <w:i/>
          <w:iCs/>
        </w:rPr>
        <w:t>r</w:t>
      </w:r>
      <w:r w:rsidR="0069122B">
        <w:t xml:space="preserve"> c</w:t>
      </w:r>
      <w:r w:rsidR="0069122B" w:rsidRPr="0069122B">
        <w:t>orrel</w:t>
      </w:r>
      <w:r w:rsidR="0069122B">
        <w:t>ation coefficients</w:t>
      </w:r>
      <w:r w:rsidR="00513AF7">
        <w:t xml:space="preserve"> </w:t>
      </w:r>
      <w:r w:rsidR="00B6208C">
        <w:t>comparing</w:t>
      </w:r>
      <w:r w:rsidR="0069122B">
        <w:t xml:space="preserve"> </w:t>
      </w:r>
      <w:r w:rsidR="00513AF7">
        <w:t>the</w:t>
      </w:r>
      <w:r w:rsidR="0069122B">
        <w:t xml:space="preserve"> </w:t>
      </w:r>
      <w:r w:rsidR="00B77487">
        <w:t>predict</w:t>
      </w:r>
      <w:r w:rsidR="00BC6FA2">
        <w:t>ed</w:t>
      </w:r>
      <w:r w:rsidR="00B77487">
        <w:t xml:space="preserve"> and residual</w:t>
      </w:r>
      <w:r w:rsidR="00BC6FA2">
        <w:t xml:space="preserve"> </w:t>
      </w:r>
      <w:r w:rsidR="00F7254D">
        <w:t>species richness (</w:t>
      </w:r>
      <w:r w:rsidR="0069122B">
        <w:rPr>
          <w:i/>
          <w:iCs/>
        </w:rPr>
        <w:t>S</w:t>
      </w:r>
      <w:r w:rsidR="00F7254D" w:rsidRPr="00F7254D">
        <w:t>)</w:t>
      </w:r>
      <w:r w:rsidR="00BC6FA2">
        <w:t xml:space="preserve"> </w:t>
      </w:r>
      <w:r w:rsidR="00B6208C">
        <w:t>between</w:t>
      </w:r>
      <w:r w:rsidR="00BC6FA2">
        <w:t xml:space="preserve"> the </w:t>
      </w:r>
      <w:r w:rsidR="0069122B">
        <w:t>PC1</w:t>
      </w:r>
      <w:r w:rsidR="00BC6FA2">
        <w:t>-based ANCOVAs (</w:t>
      </w:r>
      <w:r w:rsidR="0069122B">
        <w:t xml:space="preserve">Table </w:t>
      </w:r>
      <w:r w:rsidR="008B0E3F">
        <w:t>1</w:t>
      </w:r>
      <w:r w:rsidR="00F7254D">
        <w:t>,</w:t>
      </w:r>
      <w:r w:rsidR="0069122B">
        <w:t xml:space="preserve"> </w:t>
      </w:r>
      <w:r w:rsidR="00B02E73">
        <w:t xml:space="preserve">Figure </w:t>
      </w:r>
      <w:r w:rsidR="00FF0F3A">
        <w:t>4</w:t>
      </w:r>
      <w:r w:rsidR="0069122B">
        <w:t>) and the multivariate regressions (</w:t>
      </w:r>
      <w:r w:rsidR="008538A7">
        <w:t xml:space="preserve">Figure </w:t>
      </w:r>
      <w:r w:rsidR="00977291">
        <w:t>5</w:t>
      </w:r>
      <w:r w:rsidR="0069122B">
        <w:t>). All correlation coefficients were significant (</w:t>
      </w:r>
      <w:r w:rsidR="0069122B">
        <w:rPr>
          <w:i/>
          <w:iCs/>
        </w:rPr>
        <w:t>P</w:t>
      </w:r>
      <w:r w:rsidR="0069122B">
        <w:t xml:space="preserve"> &lt; 0.001; two-sided </w:t>
      </w:r>
      <w:r w:rsidR="0069122B">
        <w:rPr>
          <w:i/>
          <w:iCs/>
        </w:rPr>
        <w:t>t</w:t>
      </w:r>
      <w:r w:rsidR="0069122B">
        <w:t>-test).</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3"/>
        <w:gridCol w:w="1423"/>
        <w:gridCol w:w="1356"/>
      </w:tblGrid>
      <w:tr w:rsidR="00B35743" w:rsidRPr="00B35743" w14:paraId="11D7C4BC" w14:textId="77777777" w:rsidTr="00157A68">
        <w:trPr>
          <w:trHeight w:val="227"/>
        </w:trPr>
        <w:tc>
          <w:tcPr>
            <w:tcW w:w="1543" w:type="dxa"/>
          </w:tcPr>
          <w:p w14:paraId="1D2F9BE0" w14:textId="77777777" w:rsidR="00B35743" w:rsidRPr="00B35743" w:rsidRDefault="00B35743" w:rsidP="00157A68">
            <w:pPr>
              <w:rPr>
                <w:rFonts w:hAnsi="Times New Roman" w:cs="Times New Roman"/>
              </w:rPr>
            </w:pPr>
          </w:p>
        </w:tc>
        <w:tc>
          <w:tcPr>
            <w:tcW w:w="2779" w:type="dxa"/>
            <w:gridSpan w:val="2"/>
            <w:tcBorders>
              <w:bottom w:val="single" w:sz="4" w:space="0" w:color="auto"/>
            </w:tcBorders>
          </w:tcPr>
          <w:p w14:paraId="467BAE3A" w14:textId="77777777" w:rsidR="00B35743" w:rsidRPr="00B35743" w:rsidRDefault="00B35743" w:rsidP="00157A68">
            <w:pPr>
              <w:jc w:val="center"/>
              <w:rPr>
                <w:rFonts w:hAnsi="Times New Roman" w:cs="Times New Roman"/>
              </w:rPr>
            </w:pPr>
            <w:r w:rsidRPr="00B35743">
              <w:rPr>
                <w:rFonts w:hAnsi="Times New Roman" w:cs="Times New Roman"/>
              </w:rPr>
              <w:t>Correlation</w:t>
            </w:r>
          </w:p>
        </w:tc>
      </w:tr>
      <w:tr w:rsidR="00B35743" w:rsidRPr="00B35743" w14:paraId="3BC173BD" w14:textId="77777777" w:rsidTr="00157A68">
        <w:trPr>
          <w:trHeight w:val="227"/>
        </w:trPr>
        <w:tc>
          <w:tcPr>
            <w:tcW w:w="1543" w:type="dxa"/>
            <w:tcBorders>
              <w:bottom w:val="single" w:sz="4" w:space="0" w:color="auto"/>
            </w:tcBorders>
          </w:tcPr>
          <w:p w14:paraId="1DA315B9" w14:textId="77777777" w:rsidR="00B35743" w:rsidRPr="00B35743" w:rsidRDefault="00B35743" w:rsidP="00157A68">
            <w:pPr>
              <w:rPr>
                <w:rFonts w:hAnsi="Times New Roman" w:cs="Times New Roman"/>
              </w:rPr>
            </w:pPr>
            <w:r w:rsidRPr="00B35743">
              <w:rPr>
                <w:rFonts w:hAnsi="Times New Roman" w:cs="Times New Roman"/>
              </w:rPr>
              <w:t>Spatial scale</w:t>
            </w:r>
          </w:p>
        </w:tc>
        <w:tc>
          <w:tcPr>
            <w:tcW w:w="1423" w:type="dxa"/>
            <w:tcBorders>
              <w:top w:val="single" w:sz="4" w:space="0" w:color="auto"/>
              <w:bottom w:val="single" w:sz="4" w:space="0" w:color="auto"/>
            </w:tcBorders>
          </w:tcPr>
          <w:p w14:paraId="1485213E" w14:textId="77777777" w:rsidR="00B35743" w:rsidRPr="00B35743" w:rsidRDefault="00B35743" w:rsidP="00157A68">
            <w:pPr>
              <w:jc w:val="center"/>
              <w:rPr>
                <w:rFonts w:hAnsi="Times New Roman" w:cs="Times New Roman"/>
              </w:rPr>
            </w:pPr>
            <w:r w:rsidRPr="00B35743">
              <w:rPr>
                <w:rFonts w:hAnsi="Times New Roman" w:cs="Times New Roman"/>
              </w:rPr>
              <w:t xml:space="preserve">Predicted </w:t>
            </w:r>
            <w:r w:rsidRPr="00B35743">
              <w:rPr>
                <w:rFonts w:hAnsi="Times New Roman" w:cs="Times New Roman"/>
                <w:i/>
                <w:iCs/>
              </w:rPr>
              <w:t>S</w:t>
            </w:r>
          </w:p>
        </w:tc>
        <w:tc>
          <w:tcPr>
            <w:tcW w:w="1356" w:type="dxa"/>
            <w:tcBorders>
              <w:top w:val="single" w:sz="4" w:space="0" w:color="auto"/>
              <w:bottom w:val="single" w:sz="4" w:space="0" w:color="auto"/>
            </w:tcBorders>
          </w:tcPr>
          <w:p w14:paraId="5259027E" w14:textId="77777777" w:rsidR="00B35743" w:rsidRPr="00B35743" w:rsidRDefault="00B35743" w:rsidP="00157A68">
            <w:pPr>
              <w:jc w:val="center"/>
              <w:rPr>
                <w:rFonts w:hAnsi="Times New Roman" w:cs="Times New Roman"/>
              </w:rPr>
            </w:pPr>
            <w:r w:rsidRPr="00B35743">
              <w:rPr>
                <w:rFonts w:hAnsi="Times New Roman" w:cs="Times New Roman"/>
              </w:rPr>
              <w:t xml:space="preserve">Residual </w:t>
            </w:r>
            <w:r w:rsidRPr="00B35743">
              <w:rPr>
                <w:rFonts w:hAnsi="Times New Roman" w:cs="Times New Roman"/>
                <w:i/>
                <w:iCs/>
              </w:rPr>
              <w:t>S</w:t>
            </w:r>
          </w:p>
        </w:tc>
      </w:tr>
      <w:tr w:rsidR="00B35743" w:rsidRPr="00B35743" w14:paraId="540276A6" w14:textId="77777777" w:rsidTr="00157A68">
        <w:trPr>
          <w:trHeight w:val="227"/>
        </w:trPr>
        <w:tc>
          <w:tcPr>
            <w:tcW w:w="1543" w:type="dxa"/>
            <w:tcBorders>
              <w:top w:val="single" w:sz="4" w:space="0" w:color="auto"/>
            </w:tcBorders>
          </w:tcPr>
          <w:p w14:paraId="0781FCF2" w14:textId="77777777" w:rsidR="00B35743" w:rsidRPr="00B35743" w:rsidRDefault="00B35743" w:rsidP="00157A68">
            <w:pPr>
              <w:rPr>
                <w:rFonts w:hAnsi="Times New Roman" w:cs="Times New Roman"/>
              </w:rPr>
            </w:pPr>
            <w:r w:rsidRPr="00B35743">
              <w:rPr>
                <w:rFonts w:hAnsi="Times New Roman" w:cs="Times New Roman"/>
              </w:rPr>
              <w:t>QDS</w:t>
            </w:r>
          </w:p>
        </w:tc>
        <w:tc>
          <w:tcPr>
            <w:tcW w:w="1423" w:type="dxa"/>
            <w:tcBorders>
              <w:top w:val="single" w:sz="4" w:space="0" w:color="auto"/>
            </w:tcBorders>
          </w:tcPr>
          <w:p w14:paraId="20D176E1" w14:textId="77777777" w:rsidR="00B35743" w:rsidRPr="00B35743" w:rsidRDefault="00B35743" w:rsidP="00157A68">
            <w:pPr>
              <w:jc w:val="center"/>
              <w:rPr>
                <w:rFonts w:hAnsi="Times New Roman" w:cs="Times New Roman"/>
              </w:rPr>
            </w:pPr>
            <w:r w:rsidRPr="00B35743">
              <w:rPr>
                <w:rFonts w:hAnsi="Times New Roman" w:cs="Times New Roman"/>
              </w:rPr>
              <w:t>0.680</w:t>
            </w:r>
          </w:p>
        </w:tc>
        <w:tc>
          <w:tcPr>
            <w:tcW w:w="1356" w:type="dxa"/>
            <w:tcBorders>
              <w:top w:val="single" w:sz="4" w:space="0" w:color="auto"/>
            </w:tcBorders>
          </w:tcPr>
          <w:p w14:paraId="1ECA5A9A" w14:textId="77777777" w:rsidR="00B35743" w:rsidRPr="00B35743" w:rsidRDefault="00B35743" w:rsidP="00157A68">
            <w:pPr>
              <w:jc w:val="center"/>
              <w:rPr>
                <w:rFonts w:hAnsi="Times New Roman" w:cs="Times New Roman"/>
              </w:rPr>
            </w:pPr>
            <w:r w:rsidRPr="00B35743">
              <w:rPr>
                <w:rFonts w:hAnsi="Times New Roman" w:cs="Times New Roman"/>
              </w:rPr>
              <w:t>0.908</w:t>
            </w:r>
          </w:p>
        </w:tc>
      </w:tr>
      <w:tr w:rsidR="00B35743" w:rsidRPr="00B35743" w14:paraId="4374C338" w14:textId="77777777" w:rsidTr="00157A68">
        <w:trPr>
          <w:trHeight w:val="227"/>
        </w:trPr>
        <w:tc>
          <w:tcPr>
            <w:tcW w:w="1543" w:type="dxa"/>
          </w:tcPr>
          <w:p w14:paraId="7D8E9AB0" w14:textId="77777777" w:rsidR="00B35743" w:rsidRPr="00B35743" w:rsidRDefault="00B35743" w:rsidP="00157A68">
            <w:pPr>
              <w:rPr>
                <w:rFonts w:hAnsi="Times New Roman" w:cs="Times New Roman"/>
              </w:rPr>
            </w:pPr>
            <w:r w:rsidRPr="00B35743">
              <w:rPr>
                <w:rFonts w:hAnsi="Times New Roman" w:cs="Times New Roman"/>
              </w:rPr>
              <w:t>HDS</w:t>
            </w:r>
          </w:p>
        </w:tc>
        <w:tc>
          <w:tcPr>
            <w:tcW w:w="1423" w:type="dxa"/>
          </w:tcPr>
          <w:p w14:paraId="62D150B7" w14:textId="77777777" w:rsidR="00B35743" w:rsidRPr="00B35743" w:rsidRDefault="00B35743" w:rsidP="00157A68">
            <w:pPr>
              <w:jc w:val="center"/>
              <w:rPr>
                <w:rFonts w:hAnsi="Times New Roman" w:cs="Times New Roman"/>
              </w:rPr>
            </w:pPr>
            <w:r w:rsidRPr="00B35743">
              <w:rPr>
                <w:rFonts w:hAnsi="Times New Roman" w:cs="Times New Roman"/>
              </w:rPr>
              <w:t>0.699</w:t>
            </w:r>
          </w:p>
        </w:tc>
        <w:tc>
          <w:tcPr>
            <w:tcW w:w="1356" w:type="dxa"/>
          </w:tcPr>
          <w:p w14:paraId="13126336" w14:textId="77777777" w:rsidR="00B35743" w:rsidRPr="00B35743" w:rsidRDefault="00B35743" w:rsidP="00157A68">
            <w:pPr>
              <w:jc w:val="center"/>
              <w:rPr>
                <w:rFonts w:hAnsi="Times New Roman" w:cs="Times New Roman"/>
              </w:rPr>
            </w:pPr>
            <w:r w:rsidRPr="00B35743">
              <w:rPr>
                <w:rFonts w:hAnsi="Times New Roman" w:cs="Times New Roman"/>
              </w:rPr>
              <w:t>0.834</w:t>
            </w:r>
          </w:p>
        </w:tc>
      </w:tr>
      <w:tr w:rsidR="00B35743" w:rsidRPr="00B35743" w14:paraId="1F2B0AD4" w14:textId="77777777" w:rsidTr="00157A68">
        <w:trPr>
          <w:trHeight w:val="227"/>
        </w:trPr>
        <w:tc>
          <w:tcPr>
            <w:tcW w:w="1543" w:type="dxa"/>
          </w:tcPr>
          <w:p w14:paraId="71720273" w14:textId="77777777" w:rsidR="00B35743" w:rsidRPr="00B35743" w:rsidRDefault="00B35743" w:rsidP="00157A68">
            <w:pPr>
              <w:rPr>
                <w:rFonts w:hAnsi="Times New Roman" w:cs="Times New Roman"/>
              </w:rPr>
            </w:pPr>
            <w:r w:rsidRPr="00B35743">
              <w:rPr>
                <w:rFonts w:hAnsi="Times New Roman" w:cs="Times New Roman"/>
              </w:rPr>
              <w:t>DS</w:t>
            </w:r>
          </w:p>
        </w:tc>
        <w:tc>
          <w:tcPr>
            <w:tcW w:w="1423" w:type="dxa"/>
          </w:tcPr>
          <w:p w14:paraId="3DD4DE14" w14:textId="77777777" w:rsidR="00B35743" w:rsidRPr="00B35743" w:rsidRDefault="00B35743" w:rsidP="00157A68">
            <w:pPr>
              <w:jc w:val="center"/>
              <w:rPr>
                <w:rFonts w:hAnsi="Times New Roman" w:cs="Times New Roman"/>
              </w:rPr>
            </w:pPr>
            <w:r w:rsidRPr="00B35743">
              <w:rPr>
                <w:rFonts w:hAnsi="Times New Roman" w:cs="Times New Roman"/>
              </w:rPr>
              <w:t>0.723</w:t>
            </w:r>
          </w:p>
        </w:tc>
        <w:tc>
          <w:tcPr>
            <w:tcW w:w="1356" w:type="dxa"/>
          </w:tcPr>
          <w:p w14:paraId="2A58791D" w14:textId="77777777" w:rsidR="00B35743" w:rsidRPr="00B35743" w:rsidRDefault="00B35743" w:rsidP="00157A68">
            <w:pPr>
              <w:jc w:val="center"/>
              <w:rPr>
                <w:rFonts w:hAnsi="Times New Roman" w:cs="Times New Roman"/>
              </w:rPr>
            </w:pPr>
            <w:r w:rsidRPr="00B35743">
              <w:rPr>
                <w:rFonts w:hAnsi="Times New Roman" w:cs="Times New Roman"/>
              </w:rPr>
              <w:t>0.369</w:t>
            </w:r>
          </w:p>
        </w:tc>
      </w:tr>
    </w:tbl>
    <w:p w14:paraId="069F4C46" w14:textId="77777777" w:rsidR="00B35743" w:rsidRDefault="00874A01" w:rsidP="009871CA">
      <w:pPr>
        <w:pStyle w:val="Heading1"/>
      </w:pPr>
      <w:r>
        <w:br w:type="page"/>
      </w:r>
      <w:bookmarkEnd w:id="25"/>
    </w:p>
    <w:p w14:paraId="6C199DC2" w14:textId="1DE21DD6" w:rsidR="009B4CD8" w:rsidRDefault="00BE18DF" w:rsidP="009871CA">
      <w:pPr>
        <w:pStyle w:val="Heading1"/>
      </w:pPr>
      <w:commentRangeStart w:id="26"/>
      <w:r>
        <w:lastRenderedPageBreak/>
        <w:t>Figures</w:t>
      </w:r>
      <w:commentRangeEnd w:id="26"/>
      <w:r w:rsidR="00E03AC8">
        <w:rPr>
          <w:rStyle w:val="CommentReference"/>
          <w:rFonts w:ascii="Times New Roman" w:eastAsiaTheme="minorHAnsi" w:hAnsiTheme="minorHAnsi" w:cstheme="minorBidi"/>
          <w:b w:val="0"/>
          <w:bCs w:val="0"/>
          <w:color w:val="auto"/>
        </w:rPr>
        <w:commentReference w:id="26"/>
      </w:r>
    </w:p>
    <w:p w14:paraId="3EA54C1D" w14:textId="77777777" w:rsidR="009B4CD8" w:rsidRDefault="009B4CD8">
      <w:pPr>
        <w:rPr>
          <w:rFonts w:asciiTheme="majorBidi" w:eastAsiaTheme="majorEastAsia" w:hAnsiTheme="majorBidi" w:cstheme="majorBidi"/>
          <w:b/>
          <w:bCs/>
          <w:color w:val="000000" w:themeColor="text1"/>
          <w:sz w:val="32"/>
          <w:szCs w:val="32"/>
        </w:rPr>
      </w:pPr>
      <w:r>
        <w:br w:type="page"/>
      </w:r>
    </w:p>
    <w:p w14:paraId="21DDA436" w14:textId="77777777" w:rsidR="009B4CD8" w:rsidRDefault="009B4CD8" w:rsidP="00DA25A6">
      <w:pPr>
        <w:pStyle w:val="BodyText"/>
      </w:pPr>
      <w:r>
        <w:rPr>
          <w:rFonts w:ascii="Times New Roman" w:hAnsi="Times New Roman" w:cs="Times New Roman"/>
          <w:noProof/>
          <w:sz w:val="22"/>
          <w:szCs w:val="22"/>
        </w:rPr>
        <w:lastRenderedPageBreak/>
        <w:drawing>
          <wp:inline distT="0" distB="0" distL="0" distR="0" wp14:anchorId="21D2094D" wp14:editId="7DAD390C">
            <wp:extent cx="4860000" cy="8331768"/>
            <wp:effectExtent l="0" t="0" r="0" b="0"/>
            <wp:docPr id="13" name="Picture 1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aps-HD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60000" cy="8331768"/>
                    </a:xfrm>
                    <a:prstGeom prst="rect">
                      <a:avLst/>
                    </a:prstGeom>
                  </pic:spPr>
                </pic:pic>
              </a:graphicData>
            </a:graphic>
          </wp:inline>
        </w:drawing>
      </w:r>
    </w:p>
    <w:p w14:paraId="2EAF6947" w14:textId="77777777" w:rsidR="00492D72" w:rsidRDefault="009871CA" w:rsidP="009871CA">
      <w:pPr>
        <w:pStyle w:val="BodyText"/>
      </w:pPr>
      <w:r>
        <w:br w:type="page"/>
      </w:r>
    </w:p>
    <w:p w14:paraId="176B81EC" w14:textId="5A6BEDAD" w:rsidR="00E000A8" w:rsidRDefault="00DA25A6" w:rsidP="009871CA">
      <w:pPr>
        <w:pStyle w:val="BodyText"/>
      </w:pPr>
      <w:r w:rsidRPr="00242181">
        <w:rPr>
          <w:b/>
        </w:rPr>
        <w:lastRenderedPageBreak/>
        <w:t xml:space="preserve">Figure </w:t>
      </w:r>
      <w:r>
        <w:rPr>
          <w:b/>
        </w:rPr>
        <w:t>1 (previous page)</w:t>
      </w:r>
      <w:r w:rsidRPr="00242181">
        <w:rPr>
          <w:b/>
        </w:rPr>
        <w:t>:</w:t>
      </w:r>
      <w:r w:rsidRPr="00EB7331">
        <w:t xml:space="preserve"> </w:t>
      </w:r>
      <w:r>
        <w:t>HDS-scale m</w:t>
      </w:r>
      <w:r w:rsidRPr="00C9106C">
        <w:t>ap</w:t>
      </w:r>
      <w:r>
        <w:t>s for the GCFR and SWAFR of (a,b) vascular plant species richness</w:t>
      </w:r>
      <w:r w:rsidR="009863F5">
        <w:t xml:space="preserve"> (</w:t>
      </w:r>
      <w:r w:rsidR="009863F5" w:rsidRPr="00ED6805">
        <w:rPr>
          <w:i/>
          <w:iCs/>
        </w:rPr>
        <w:t>S</w:t>
      </w:r>
      <w:r w:rsidR="009863F5">
        <w:rPr>
          <w:vertAlign w:val="subscript"/>
        </w:rPr>
        <w:t>HDS</w:t>
      </w:r>
      <w:r w:rsidR="009863F5">
        <w:t>)</w:t>
      </w:r>
      <w:r>
        <w:t xml:space="preserve">, (c,d) </w:t>
      </w:r>
      <w:r w:rsidR="00E14B99">
        <w:t>values of the</w:t>
      </w:r>
      <w:r>
        <w:t xml:space="preserve"> major axis of environmental heterogeneity (PC1) from the PCA of nine forms of environmental heterogeneity (log</w:t>
      </w:r>
      <w:r w:rsidRPr="00C9106C">
        <w:rPr>
          <w:vertAlign w:val="subscript"/>
        </w:rPr>
        <w:t>10</w:t>
      </w:r>
      <w:r>
        <w:t>-transformed)</w:t>
      </w:r>
      <w:r w:rsidR="007A145C">
        <w:t xml:space="preserve"> and </w:t>
      </w:r>
      <w:r>
        <w:t>residua</w:t>
      </w:r>
      <w:r w:rsidR="00CF075F">
        <w:t>l</w:t>
      </w:r>
      <w:r w:rsidR="007A145C">
        <w:t xml:space="preserve"> species richness following </w:t>
      </w:r>
      <w:r>
        <w:t>regressions against (e,f) PC1 (</w:t>
      </w:r>
      <w:r w:rsidR="00E14B99">
        <w:t xml:space="preserve">see also </w:t>
      </w:r>
      <w:r>
        <w:t xml:space="preserve">Figure 4b) and (g,h) the multivariate (MV) </w:t>
      </w:r>
      <w:r w:rsidR="00AD5B6C">
        <w:t>re</w:t>
      </w:r>
      <w:r w:rsidR="00FD46A4">
        <w:t xml:space="preserve">gression </w:t>
      </w:r>
      <w:r>
        <w:t>model (</w:t>
      </w:r>
      <w:r w:rsidR="00E14B99">
        <w:t xml:space="preserve">see also </w:t>
      </w:r>
      <w:r>
        <w:t>Figure 5b). Map projection used: WGS84. Colour versions of these maps, and the QDS- and DS-scale equivalents (Figure S9, S10 respectively) are available in the online version.</w:t>
      </w:r>
    </w:p>
    <w:p w14:paraId="50615E54" w14:textId="73441F23" w:rsidR="009871CA" w:rsidRPr="002C20EB" w:rsidRDefault="00DA25A6" w:rsidP="009871CA">
      <w:pPr>
        <w:pStyle w:val="BodyText"/>
      </w:pPr>
      <w:r w:rsidRPr="009871CA">
        <w:br w:type="page"/>
      </w:r>
    </w:p>
    <w:p w14:paraId="6D0ABDE1" w14:textId="70319DF6" w:rsidR="00D04776" w:rsidRDefault="00C72EE1" w:rsidP="0018462C">
      <w:pPr>
        <w:pStyle w:val="CaptionedFigure"/>
        <w:spacing w:line="240" w:lineRule="auto"/>
      </w:pPr>
      <w:r w:rsidRPr="00A805E3">
        <w:rPr>
          <w:rFonts w:ascii="Times New Roman" w:hAnsi="Times New Roman" w:cs="Times New Roman"/>
          <w:noProof/>
          <w:sz w:val="22"/>
          <w:szCs w:val="22"/>
        </w:rPr>
        <w:lastRenderedPageBreak/>
        <w:drawing>
          <wp:inline distT="0" distB="0" distL="0" distR="0" wp14:anchorId="3A85EA17" wp14:editId="19108640">
            <wp:extent cx="6840000" cy="598499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lot-richness-distributions-partition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840000" cy="5984999"/>
                    </a:xfrm>
                    <a:prstGeom prst="rect">
                      <a:avLst/>
                    </a:prstGeom>
                  </pic:spPr>
                </pic:pic>
              </a:graphicData>
            </a:graphic>
          </wp:inline>
        </w:drawing>
      </w:r>
    </w:p>
    <w:p w14:paraId="327ABAC6" w14:textId="77777777" w:rsidR="00541DE5" w:rsidRDefault="002C037D" w:rsidP="009871CA">
      <w:pPr>
        <w:pStyle w:val="BodyText"/>
      </w:pPr>
      <w:r w:rsidRPr="006B3905">
        <w:rPr>
          <w:b/>
        </w:rPr>
        <w:t>Figure 2:</w:t>
      </w:r>
      <w:r w:rsidRPr="006B3905">
        <w:t xml:space="preserve"> </w:t>
      </w:r>
      <w:r w:rsidR="00F330A8" w:rsidRPr="006B3905">
        <w:t>Frequency</w:t>
      </w:r>
      <w:r w:rsidR="00F330A8" w:rsidRPr="00832261">
        <w:t xml:space="preserve"> d</w:t>
      </w:r>
      <w:r w:rsidRPr="00832261">
        <w:t xml:space="preserve">istributions of </w:t>
      </w:r>
      <w:r w:rsidR="00F8403E" w:rsidRPr="00832261">
        <w:t xml:space="preserve">vascular plant species richness </w:t>
      </w:r>
      <w:r w:rsidR="007E6163">
        <w:t>(</w:t>
      </w:r>
      <w:r w:rsidR="007E6163" w:rsidRPr="00ED6805">
        <w:rPr>
          <w:i/>
          <w:iCs/>
        </w:rPr>
        <w:t>S</w:t>
      </w:r>
      <w:r w:rsidR="007E6163">
        <w:t xml:space="preserve">) </w:t>
      </w:r>
      <w:r w:rsidR="00832261" w:rsidRPr="00832261">
        <w:t xml:space="preserve">in the GCFR and SWAFR </w:t>
      </w:r>
      <w:r w:rsidR="00F8403E" w:rsidRPr="00832261">
        <w:t xml:space="preserve">at the </w:t>
      </w:r>
      <w:r w:rsidRPr="00832261">
        <w:t xml:space="preserve">(a) </w:t>
      </w:r>
      <w:r w:rsidR="00F8403E" w:rsidRPr="00832261">
        <w:t xml:space="preserve">DS-, </w:t>
      </w:r>
      <w:r w:rsidRPr="00832261">
        <w:t>(b) HDS-</w:t>
      </w:r>
      <w:r w:rsidR="00F8403E" w:rsidRPr="00832261">
        <w:t>, and (c) Q</w:t>
      </w:r>
      <w:r w:rsidR="00F8403E" w:rsidRPr="009D1CA2">
        <w:t>DS-scales</w:t>
      </w:r>
      <w:r w:rsidR="0026216D" w:rsidRPr="009D1CA2">
        <w:t xml:space="preserve">, </w:t>
      </w:r>
      <w:r w:rsidR="009D1CA2" w:rsidRPr="009D1CA2">
        <w:t xml:space="preserve">and of </w:t>
      </w:r>
      <w:r w:rsidR="0026216D" w:rsidRPr="009D1CA2">
        <w:t xml:space="preserve">the </w:t>
      </w:r>
      <w:r w:rsidR="009D1CA2" w:rsidRPr="009D1CA2">
        <w:t>proporti</w:t>
      </w:r>
      <w:r w:rsidR="009D1CA2" w:rsidRPr="00223948">
        <w:t xml:space="preserve">onal contributions of floristic turnover </w:t>
      </w:r>
      <w:r w:rsidR="00223948">
        <w:t>(</w:t>
      </w:r>
      <w:r w:rsidR="00223948" w:rsidRPr="00223948">
        <w:rPr>
          <w:i/>
        </w:rPr>
        <w:t>T</w:t>
      </w:r>
      <w:r w:rsidR="00223948">
        <w:t>/</w:t>
      </w:r>
      <w:r w:rsidR="00223948" w:rsidRPr="00223948">
        <w:rPr>
          <w:i/>
        </w:rPr>
        <w:t>S</w:t>
      </w:r>
      <w:r w:rsidR="00223948">
        <w:t xml:space="preserve">) </w:t>
      </w:r>
      <w:r w:rsidR="009D1CA2" w:rsidRPr="00223948">
        <w:t xml:space="preserve">to (d) </w:t>
      </w:r>
      <w:r w:rsidR="009D1CA2" w:rsidRPr="00223948">
        <w:rPr>
          <w:i/>
        </w:rPr>
        <w:t>S</w:t>
      </w:r>
      <w:r w:rsidR="009D1CA2" w:rsidRPr="00223948">
        <w:rPr>
          <w:vertAlign w:val="subscript"/>
        </w:rPr>
        <w:t>DS</w:t>
      </w:r>
      <w:r w:rsidR="009D1CA2" w:rsidRPr="00223948">
        <w:t xml:space="preserve"> </w:t>
      </w:r>
      <w:r w:rsidR="00223948" w:rsidRPr="00223948">
        <w:t xml:space="preserve">(i.e. </w:t>
      </w:r>
      <w:r w:rsidR="00223948" w:rsidRPr="00CC1818">
        <w:rPr>
          <w:i/>
        </w:rPr>
        <w:t>T</w:t>
      </w:r>
      <w:r w:rsidR="00223948" w:rsidRPr="00CC1818">
        <w:rPr>
          <w:vertAlign w:val="subscript"/>
        </w:rPr>
        <w:t xml:space="preserve">HDS </w:t>
      </w:r>
      <w:r w:rsidR="00223948" w:rsidRPr="00CC1818">
        <w:t>/</w:t>
      </w:r>
      <w:r w:rsidR="00223948" w:rsidRPr="00CC1818">
        <w:rPr>
          <w:i/>
        </w:rPr>
        <w:t xml:space="preserve"> S</w:t>
      </w:r>
      <w:r w:rsidR="00223948" w:rsidRPr="00CC1818">
        <w:rPr>
          <w:vertAlign w:val="subscript"/>
        </w:rPr>
        <w:t>DS</w:t>
      </w:r>
      <w:r w:rsidR="00223948" w:rsidRPr="00CC1818">
        <w:t xml:space="preserve">) </w:t>
      </w:r>
      <w:r w:rsidR="009D1CA2" w:rsidRPr="00CC1818">
        <w:t xml:space="preserve">and (e) </w:t>
      </w:r>
      <w:r w:rsidR="009D1CA2" w:rsidRPr="00CC1818">
        <w:rPr>
          <w:i/>
        </w:rPr>
        <w:t>S</w:t>
      </w:r>
      <w:r w:rsidR="00CC1818" w:rsidRPr="00CC1818">
        <w:rPr>
          <w:vertAlign w:val="subscript"/>
        </w:rPr>
        <w:t>H</w:t>
      </w:r>
      <w:r w:rsidR="009D1CA2" w:rsidRPr="00CC1818">
        <w:rPr>
          <w:vertAlign w:val="subscript"/>
        </w:rPr>
        <w:t>DS</w:t>
      </w:r>
      <w:r w:rsidR="009D1CA2" w:rsidRPr="00CC1818">
        <w:t xml:space="preserve">. </w:t>
      </w:r>
      <w:r w:rsidR="00223948" w:rsidRPr="00CC1818">
        <w:t>(</w:t>
      </w:r>
      <w:r w:rsidR="007179ED">
        <w:t xml:space="preserve">i.e. </w:t>
      </w:r>
      <w:r w:rsidR="00223948" w:rsidRPr="00CC1818">
        <w:rPr>
          <w:i/>
        </w:rPr>
        <w:t>T</w:t>
      </w:r>
      <w:r w:rsidR="00223948" w:rsidRPr="00CC1818">
        <w:rPr>
          <w:vertAlign w:val="subscript"/>
        </w:rPr>
        <w:t xml:space="preserve">QDS </w:t>
      </w:r>
      <w:r w:rsidR="00223948" w:rsidRPr="00CC1818">
        <w:t>/</w:t>
      </w:r>
      <w:r w:rsidR="00223948" w:rsidRPr="00CC1818">
        <w:rPr>
          <w:i/>
        </w:rPr>
        <w:t xml:space="preserve"> S</w:t>
      </w:r>
      <w:r w:rsidR="00223948" w:rsidRPr="00CC1818">
        <w:rPr>
          <w:vertAlign w:val="subscript"/>
        </w:rPr>
        <w:t>HDS</w:t>
      </w:r>
      <w:r w:rsidR="00223948" w:rsidRPr="00CC1818">
        <w:t xml:space="preserve">). </w:t>
      </w:r>
      <w:r w:rsidR="0093581A">
        <w:t>Frequencies are scaled as the proportions of cells</w:t>
      </w:r>
      <w:r w:rsidR="0093581A" w:rsidRPr="00CC1818">
        <w:t xml:space="preserve"> </w:t>
      </w:r>
      <w:r w:rsidR="0093581A">
        <w:t xml:space="preserve">within each region. </w:t>
      </w:r>
      <w:r w:rsidR="00CC1818" w:rsidRPr="00CC1818">
        <w:t xml:space="preserve">The derivations of </w:t>
      </w:r>
      <w:r w:rsidR="00CC1818" w:rsidRPr="00CC1818">
        <w:rPr>
          <w:i/>
        </w:rPr>
        <w:t>T</w:t>
      </w:r>
      <w:r w:rsidR="00CC1818" w:rsidRPr="00CC1818">
        <w:rPr>
          <w:vertAlign w:val="subscript"/>
        </w:rPr>
        <w:t>DS</w:t>
      </w:r>
      <w:r w:rsidR="00CC1818" w:rsidRPr="00CC1818">
        <w:t xml:space="preserve"> and </w:t>
      </w:r>
      <w:r w:rsidR="00CC1818" w:rsidRPr="00CC1818">
        <w:rPr>
          <w:i/>
        </w:rPr>
        <w:t>T</w:t>
      </w:r>
      <w:r w:rsidR="00CC1818" w:rsidRPr="00CC1818">
        <w:rPr>
          <w:vertAlign w:val="subscript"/>
        </w:rPr>
        <w:t>HDS</w:t>
      </w:r>
      <w:r w:rsidR="00CC1818" w:rsidRPr="00CC1818">
        <w:t xml:space="preserve"> are demonstrated with s</w:t>
      </w:r>
      <w:r w:rsidRPr="00CC1818">
        <w:t>catter plot</w:t>
      </w:r>
      <w:r w:rsidR="00CC1818" w:rsidRPr="00CC1818">
        <w:t>s</w:t>
      </w:r>
      <w:r w:rsidRPr="00CC1818">
        <w:t xml:space="preserve"> of mean </w:t>
      </w:r>
      <w:r w:rsidR="00CC1818" w:rsidRPr="00CC1818">
        <w:t>(f) H</w:t>
      </w:r>
      <w:r w:rsidRPr="00CC1818">
        <w:t>DS-</w:t>
      </w:r>
      <w:r w:rsidR="00CC1818" w:rsidRPr="00CC1818">
        <w:t xml:space="preserve"> and (g) QDS-</w:t>
      </w:r>
      <w:r w:rsidRPr="00CC1818">
        <w:t>scale richness (</w:t>
      </w:r>
      <m:oMath>
        <m:bar>
          <m:barPr>
            <m:pos m:val="top"/>
            <m:ctrlPr>
              <w:rPr>
                <w:rFonts w:ascii="Cambria Math" w:hAnsi="Cambria Math"/>
              </w:rPr>
            </m:ctrlPr>
          </m:barPr>
          <m:e>
            <m:r>
              <w:rPr>
                <w:rFonts w:ascii="Cambria Math" w:hAnsi="Cambria Math"/>
              </w:rPr>
              <m:t>S</m:t>
            </m:r>
          </m:e>
        </m:bar>
      </m:oMath>
      <w:r w:rsidR="00CC1818" w:rsidRPr="00CC1818">
        <w:rPr>
          <w:vertAlign w:val="subscript"/>
        </w:rPr>
        <w:t>H</w:t>
      </w:r>
      <w:r w:rsidRPr="00CC1818">
        <w:rPr>
          <w:vertAlign w:val="subscript"/>
        </w:rPr>
        <w:t>DS</w:t>
      </w:r>
      <w:r w:rsidR="00CC1818" w:rsidRPr="00CC1818">
        <w:t xml:space="preserve"> and</w:t>
      </w:r>
      <w:r w:rsidR="00CC1818" w:rsidRPr="00CC1818">
        <w:rPr>
          <w:rFonts w:eastAsiaTheme="minorEastAsia"/>
        </w:rPr>
        <w:t xml:space="preserve"> </w:t>
      </w:r>
      <m:oMath>
        <m:bar>
          <m:barPr>
            <m:pos m:val="top"/>
            <m:ctrlPr>
              <w:rPr>
                <w:rFonts w:ascii="Cambria Math" w:hAnsi="Cambria Math"/>
              </w:rPr>
            </m:ctrlPr>
          </m:barPr>
          <m:e>
            <m:r>
              <w:rPr>
                <w:rFonts w:ascii="Cambria Math" w:hAnsi="Cambria Math"/>
              </w:rPr>
              <m:t>S</m:t>
            </m:r>
          </m:e>
        </m:bar>
      </m:oMath>
      <w:r w:rsidR="00CC1818" w:rsidRPr="00CC1818">
        <w:rPr>
          <w:vertAlign w:val="subscript"/>
        </w:rPr>
        <w:t>QDS</w:t>
      </w:r>
      <w:r w:rsidR="00CC1818" w:rsidRPr="00CC1818">
        <w:t xml:space="preserve"> respectively</w:t>
      </w:r>
      <w:r w:rsidRPr="00CC1818">
        <w:t xml:space="preserve">) </w:t>
      </w:r>
      <w:r w:rsidR="00CC1818" w:rsidRPr="00CC1818">
        <w:t>against</w:t>
      </w:r>
      <w:r w:rsidRPr="00CC1818">
        <w:t xml:space="preserve"> turnover </w:t>
      </w:r>
      <w:r w:rsidR="00CC1818" w:rsidRPr="00CC1818">
        <w:t>(</w:t>
      </w:r>
      <w:r w:rsidRPr="00CC1818">
        <w:t>(</w:t>
      </w:r>
      <w:r w:rsidR="00CC1818" w:rsidRPr="00CC1818">
        <w:t xml:space="preserve">f) </w:t>
      </w:r>
      <w:r w:rsidRPr="00CC1818">
        <w:rPr>
          <w:i/>
        </w:rPr>
        <w:t>T</w:t>
      </w:r>
      <w:r w:rsidR="00CC1818" w:rsidRPr="00CC1818">
        <w:rPr>
          <w:vertAlign w:val="subscript"/>
        </w:rPr>
        <w:t>H</w:t>
      </w:r>
      <w:r w:rsidRPr="00CC1818">
        <w:rPr>
          <w:vertAlign w:val="subscript"/>
        </w:rPr>
        <w:t>DS</w:t>
      </w:r>
      <w:r w:rsidR="00CC1818" w:rsidRPr="00CC1818">
        <w:t xml:space="preserve"> and (g) </w:t>
      </w:r>
      <w:r w:rsidR="00CC1818" w:rsidRPr="00CC1818">
        <w:rPr>
          <w:i/>
        </w:rPr>
        <w:t>T</w:t>
      </w:r>
      <w:r w:rsidR="00CC1818" w:rsidRPr="00CC1818">
        <w:rPr>
          <w:vertAlign w:val="subscript"/>
        </w:rPr>
        <w:t>QDS</w:t>
      </w:r>
      <w:r w:rsidRPr="00CC1818">
        <w:t>) with contour lines denoting the</w:t>
      </w:r>
      <w:r w:rsidR="00CC1818" w:rsidRPr="00CC1818">
        <w:t xml:space="preserve"> </w:t>
      </w:r>
      <w:r w:rsidR="00CC1818" w:rsidRPr="00CC1818">
        <w:rPr>
          <w:i/>
        </w:rPr>
        <w:t>S</w:t>
      </w:r>
      <w:r w:rsidR="00CC1818" w:rsidRPr="00CC1818">
        <w:rPr>
          <w:vertAlign w:val="subscript"/>
        </w:rPr>
        <w:t>DS</w:t>
      </w:r>
      <w:r w:rsidRPr="00CC1818">
        <w:t xml:space="preserve"> </w:t>
      </w:r>
      <w:r w:rsidR="00CC1818">
        <w:t xml:space="preserve">and </w:t>
      </w:r>
      <w:r w:rsidRPr="00CC1818">
        <w:rPr>
          <w:i/>
        </w:rPr>
        <w:t>S</w:t>
      </w:r>
      <w:r w:rsidRPr="00CC1818">
        <w:rPr>
          <w:vertAlign w:val="subscript"/>
        </w:rPr>
        <w:t>HDS</w:t>
      </w:r>
      <w:r w:rsidRPr="00CC1818">
        <w:t xml:space="preserve"> that arise as their sum</w:t>
      </w:r>
      <w:r w:rsidR="00CC1818">
        <w:t>s</w:t>
      </w:r>
      <w:r w:rsidRPr="00CC1818">
        <w:t>.</w:t>
      </w:r>
    </w:p>
    <w:p w14:paraId="111F05C9" w14:textId="77777777" w:rsidR="00492D72" w:rsidRDefault="00D04776" w:rsidP="009871CA">
      <w:pPr>
        <w:pStyle w:val="BodyText"/>
      </w:pPr>
      <w:r>
        <w:br w:type="page"/>
      </w:r>
    </w:p>
    <w:p w14:paraId="466562C1" w14:textId="4F6C845F" w:rsidR="009871CA" w:rsidRDefault="00E3684D" w:rsidP="009871CA">
      <w:pPr>
        <w:pStyle w:val="BodyText"/>
      </w:pPr>
      <w:r w:rsidRPr="00A805E3">
        <w:rPr>
          <w:rFonts w:ascii="Times New Roman" w:hAnsi="Times New Roman" w:cs="Times New Roman"/>
          <w:b/>
          <w:bCs/>
          <w:noProof/>
          <w:sz w:val="22"/>
          <w:szCs w:val="22"/>
        </w:rPr>
        <w:lastRenderedPageBreak/>
        <w:drawing>
          <wp:inline distT="0" distB="0" distL="0" distR="0" wp14:anchorId="601A8117" wp14:editId="204ADEDB">
            <wp:extent cx="6840000" cy="3908381"/>
            <wp:effectExtent l="0" t="0" r="0" b="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lot-CLE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840000" cy="3908381"/>
                    </a:xfrm>
                    <a:prstGeom prst="rect">
                      <a:avLst/>
                    </a:prstGeom>
                  </pic:spPr>
                </pic:pic>
              </a:graphicData>
            </a:graphic>
          </wp:inline>
        </w:drawing>
      </w:r>
    </w:p>
    <w:p w14:paraId="3A01A5D8" w14:textId="2F313D08" w:rsidR="00E3684D" w:rsidRDefault="009871CA" w:rsidP="009871CA">
      <w:pPr>
        <w:pStyle w:val="BodyText"/>
      </w:pPr>
      <w:r>
        <w:rPr>
          <w:b/>
        </w:rPr>
        <w:t>Figure 3</w:t>
      </w:r>
      <w:r w:rsidRPr="00242181">
        <w:rPr>
          <w:b/>
        </w:rPr>
        <w:t>:</w:t>
      </w:r>
      <w:r>
        <w:t xml:space="preserve"> </w:t>
      </w:r>
      <w:r w:rsidRPr="006A6996">
        <w:t>The common language effect size (</w:t>
      </w:r>
      <w:r w:rsidRPr="008E45A8">
        <w:rPr>
          <w:i/>
        </w:rPr>
        <w:t>CLES</w:t>
      </w:r>
      <w:r w:rsidRPr="006A6996">
        <w:t>) of (a–i) various forms of environmental heterogeneity (log</w:t>
      </w:r>
      <w:r w:rsidRPr="008E45A8">
        <w:rPr>
          <w:vertAlign w:val="subscript"/>
        </w:rPr>
        <w:t>10</w:t>
      </w:r>
      <w:r w:rsidRPr="006A6996">
        <w:t xml:space="preserve">-transformed) and (j) the major axis thereof (PC1) in the GCFR and SWAFR. </w:t>
      </w:r>
      <w:r w:rsidRPr="008E45A8">
        <w:rPr>
          <w:i/>
        </w:rPr>
        <w:t>CLES</w:t>
      </w:r>
      <w:r w:rsidRPr="006A6996">
        <w:t xml:space="preserve"> here is treated as the effect of GCFR relative to SWAFR values. Filled points represent comparisons where the GCFR and SWAFR significantly differed in heterogeneity (</w:t>
      </w:r>
      <w:r w:rsidRPr="00157417">
        <w:rPr>
          <w:i/>
        </w:rPr>
        <w:t>P</w:t>
      </w:r>
      <w:r w:rsidRPr="006A6996">
        <w:t xml:space="preserve"> </w:t>
      </w:r>
      <w:r>
        <w:t>&lt;</w:t>
      </w:r>
      <w:r w:rsidRPr="006A6996">
        <w:t xml:space="preserve"> 0.05</w:t>
      </w:r>
      <w:r>
        <w:t>;</w:t>
      </w:r>
      <w:r w:rsidRPr="006A6996">
        <w:t xml:space="preserve"> </w:t>
      </w:r>
      <w:r>
        <w:t xml:space="preserve">two-sided </w:t>
      </w:r>
      <w:r w:rsidRPr="006A6996">
        <w:t xml:space="preserve">Mann-Whitney </w:t>
      </w:r>
      <w:r w:rsidRPr="00157417">
        <w:rPr>
          <w:i/>
        </w:rPr>
        <w:t>U</w:t>
      </w:r>
      <w:r w:rsidRPr="006A6996">
        <w:t xml:space="preserve">-tests), while unfilled points represent those that were not significant. </w:t>
      </w:r>
      <w:r w:rsidRPr="007138B7">
        <w:t xml:space="preserve">Following simple linear regressions of </w:t>
      </w:r>
      <w:r w:rsidRPr="007138B7">
        <w:rPr>
          <w:i/>
        </w:rPr>
        <w:t>CLES</w:t>
      </w:r>
      <w:r w:rsidRPr="007138B7">
        <w:t xml:space="preserve"> against scale, we found evidence for </w:t>
      </w:r>
      <w:r w:rsidR="007138B7">
        <w:t xml:space="preserve">positive </w:t>
      </w:r>
      <w:r w:rsidR="007138B7" w:rsidRPr="007138B7">
        <w:t>scale-dependence</w:t>
      </w:r>
      <w:r w:rsidRPr="007138B7">
        <w:t xml:space="preserve"> (depicted by lines) for </w:t>
      </w:r>
      <w:r w:rsidR="007138B7">
        <w:t>most variables. Both strongly significant (</w:t>
      </w:r>
      <w:r w:rsidR="007138B7" w:rsidRPr="007138B7">
        <w:rPr>
          <w:i/>
          <w:iCs/>
        </w:rPr>
        <w:t>P</w:t>
      </w:r>
      <w:r w:rsidR="007138B7">
        <w:t xml:space="preserve"> &lt; 0.05; a</w:t>
      </w:r>
      <w:r w:rsidR="00415472" w:rsidRPr="006A6996">
        <w:t>–</w:t>
      </w:r>
      <w:r w:rsidR="007138B7">
        <w:t>c,g,i) and marginally significant</w:t>
      </w:r>
      <w:r w:rsidR="007138B7" w:rsidRPr="007138B7">
        <w:t xml:space="preserve"> </w:t>
      </w:r>
      <w:r w:rsidR="007138B7">
        <w:t>(</w:t>
      </w:r>
      <w:r w:rsidR="007138B7">
        <w:rPr>
          <w:i/>
          <w:iCs/>
        </w:rPr>
        <w:t>P</w:t>
      </w:r>
      <w:r w:rsidR="007138B7">
        <w:t xml:space="preserve"> &lt; 0.1; d,e,h) have been plotted, the latter for illustration. Note, only two forms of heterogeneity were found to be negatively scale-dependent (b,h)</w:t>
      </w:r>
      <w:r w:rsidRPr="006A6996">
        <w:t>. Abbreviations are as in Table</w:t>
      </w:r>
      <w:r>
        <w:t xml:space="preserve"> 1</w:t>
      </w:r>
      <w:r w:rsidRPr="006A6996">
        <w:t>.</w:t>
      </w:r>
    </w:p>
    <w:p w14:paraId="50EEFCC4" w14:textId="4712DEFF" w:rsidR="009871CA" w:rsidRDefault="009871CA" w:rsidP="009871CA">
      <w:pPr>
        <w:pStyle w:val="BodyText"/>
      </w:pPr>
      <w:r>
        <w:br w:type="page"/>
      </w:r>
    </w:p>
    <w:p w14:paraId="6D6BB07F" w14:textId="15738CFB" w:rsidR="00D04776" w:rsidRDefault="00492D72" w:rsidP="0018462C">
      <w:pPr>
        <w:pStyle w:val="CaptionedFigure"/>
        <w:spacing w:line="240" w:lineRule="auto"/>
      </w:pPr>
      <w:r w:rsidRPr="00A805E3">
        <w:rPr>
          <w:rFonts w:ascii="Times New Roman" w:hAnsi="Times New Roman" w:cs="Times New Roman"/>
          <w:b/>
          <w:bCs/>
          <w:noProof/>
          <w:sz w:val="22"/>
          <w:szCs w:val="22"/>
        </w:rPr>
        <w:lastRenderedPageBreak/>
        <w:drawing>
          <wp:inline distT="0" distB="0" distL="0" distR="0" wp14:anchorId="0CF435A7" wp14:editId="1CCACFC2">
            <wp:extent cx="7200000" cy="2699921"/>
            <wp:effectExtent l="0" t="0" r="127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lot-PC1-model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200000" cy="2699921"/>
                    </a:xfrm>
                    <a:prstGeom prst="rect">
                      <a:avLst/>
                    </a:prstGeom>
                  </pic:spPr>
                </pic:pic>
              </a:graphicData>
            </a:graphic>
          </wp:inline>
        </w:drawing>
      </w:r>
    </w:p>
    <w:p w14:paraId="7D1C531A" w14:textId="42AD19D6" w:rsidR="0063566A" w:rsidRDefault="00B02E73" w:rsidP="0063566A">
      <w:pPr>
        <w:pStyle w:val="BodyText"/>
      </w:pPr>
      <w:r>
        <w:rPr>
          <w:b/>
        </w:rPr>
        <w:t xml:space="preserve">Figure </w:t>
      </w:r>
      <w:r w:rsidR="00FF0F3A">
        <w:rPr>
          <w:b/>
        </w:rPr>
        <w:t>4</w:t>
      </w:r>
      <w:r w:rsidR="00D04776" w:rsidRPr="00242181">
        <w:rPr>
          <w:b/>
        </w:rPr>
        <w:t>:</w:t>
      </w:r>
      <w:r w:rsidR="00D04776" w:rsidRPr="000951C2">
        <w:t xml:space="preserve"> </w:t>
      </w:r>
      <w:r w:rsidR="004D7400" w:rsidRPr="000951C2">
        <w:t>S</w:t>
      </w:r>
      <w:r w:rsidR="00D04776" w:rsidRPr="000951C2">
        <w:t xml:space="preserve">imple linear regressions of </w:t>
      </w:r>
      <w:r w:rsidR="00132E42" w:rsidRPr="000951C2">
        <w:t xml:space="preserve">vascular plant species richness as </w:t>
      </w:r>
      <w:r w:rsidR="00D04776" w:rsidRPr="000951C2">
        <w:t xml:space="preserve">(a) </w:t>
      </w:r>
      <w:r w:rsidR="00D04776" w:rsidRPr="000951C2">
        <w:rPr>
          <w:i/>
        </w:rPr>
        <w:t>S</w:t>
      </w:r>
      <w:r w:rsidR="000951C2">
        <w:rPr>
          <w:vertAlign w:val="subscript"/>
        </w:rPr>
        <w:t>Q</w:t>
      </w:r>
      <w:r w:rsidR="00D04776" w:rsidRPr="000951C2">
        <w:rPr>
          <w:vertAlign w:val="subscript"/>
        </w:rPr>
        <w:t>DS</w:t>
      </w:r>
      <w:r w:rsidR="000951C2">
        <w:t xml:space="preserve">, </w:t>
      </w:r>
      <w:r w:rsidR="00D04776" w:rsidRPr="000951C2">
        <w:t xml:space="preserve">(b) </w:t>
      </w:r>
      <w:r w:rsidR="00D04776" w:rsidRPr="000951C2">
        <w:rPr>
          <w:i/>
        </w:rPr>
        <w:t>S</w:t>
      </w:r>
      <w:r w:rsidR="000951C2">
        <w:rPr>
          <w:vertAlign w:val="subscript"/>
        </w:rPr>
        <w:t>H</w:t>
      </w:r>
      <w:r w:rsidR="00D04776" w:rsidRPr="000951C2">
        <w:rPr>
          <w:vertAlign w:val="subscript"/>
        </w:rPr>
        <w:t>DS</w:t>
      </w:r>
      <w:r w:rsidR="00D04776" w:rsidRPr="000951C2">
        <w:t xml:space="preserve"> </w:t>
      </w:r>
      <w:r w:rsidR="000951C2">
        <w:t xml:space="preserve">and (c) </w:t>
      </w:r>
      <w:r w:rsidR="00603141" w:rsidRPr="00603141">
        <w:rPr>
          <w:i/>
        </w:rPr>
        <w:t>S</w:t>
      </w:r>
      <w:r w:rsidR="00603141">
        <w:rPr>
          <w:vertAlign w:val="subscript"/>
        </w:rPr>
        <w:t>DS</w:t>
      </w:r>
      <w:r w:rsidR="00AF3C81">
        <w:t xml:space="preserve"> </w:t>
      </w:r>
      <w:r w:rsidR="00D04776" w:rsidRPr="000951C2">
        <w:t xml:space="preserve">against each respective scale’s </w:t>
      </w:r>
      <w:r w:rsidR="00603141">
        <w:t xml:space="preserve">major axis </w:t>
      </w:r>
      <w:r w:rsidR="00132E42" w:rsidRPr="000951C2">
        <w:t xml:space="preserve">of environmental heterogeneity </w:t>
      </w:r>
      <w:r w:rsidR="006507B4">
        <w:t>(PC1</w:t>
      </w:r>
      <w:r w:rsidR="00D1761D" w:rsidRPr="000951C2">
        <w:t xml:space="preserve">) </w:t>
      </w:r>
      <w:r w:rsidR="00515DC1">
        <w:t>across</w:t>
      </w:r>
      <w:r w:rsidR="00132E42" w:rsidRPr="000951C2">
        <w:t xml:space="preserve"> the</w:t>
      </w:r>
      <w:r w:rsidR="007F2F46">
        <w:t xml:space="preserve"> </w:t>
      </w:r>
      <w:r w:rsidR="00132E42" w:rsidRPr="000951C2">
        <w:t>GCFR</w:t>
      </w:r>
      <w:r w:rsidR="007F2F46">
        <w:t xml:space="preserve"> and </w:t>
      </w:r>
      <w:r w:rsidR="00132E42" w:rsidRPr="000951C2">
        <w:t>SWAFR</w:t>
      </w:r>
      <w:r w:rsidR="00D04776" w:rsidRPr="000951C2">
        <w:t xml:space="preserve">. </w:t>
      </w:r>
      <w:r w:rsidR="0083371B">
        <w:t xml:space="preserve">Grid-cells representing </w:t>
      </w:r>
      <w:r w:rsidR="0083371B" w:rsidRPr="00D031FB">
        <w:t>hotspots</w:t>
      </w:r>
      <w:r w:rsidR="0083371B">
        <w:t xml:space="preserve"> of species richness (identified as having residual </w:t>
      </w:r>
      <w:r w:rsidR="0083371B">
        <w:rPr>
          <w:i/>
        </w:rPr>
        <w:t>S</w:t>
      </w:r>
      <w:r w:rsidR="0083371B">
        <w:t xml:space="preserve"> greater than two standard deviations from the mean) are identified by triangles (black for the GCFR, white for SWAFR, as with round points). </w:t>
      </w:r>
      <w:r w:rsidR="003939AA">
        <w:t xml:space="preserve">These three linear models are presented in Table </w:t>
      </w:r>
      <w:r w:rsidR="008B0E3F">
        <w:t>1</w:t>
      </w:r>
      <w:r w:rsidR="00AA17FE">
        <w:t>, all with highly significant slopes (</w:t>
      </w:r>
      <w:r w:rsidR="00AA17FE" w:rsidRPr="007C06EE">
        <w:rPr>
          <w:i/>
        </w:rPr>
        <w:t>P</w:t>
      </w:r>
      <w:r w:rsidR="00AA17FE">
        <w:t xml:space="preserve"> &lt; 0.001</w:t>
      </w:r>
      <w:r w:rsidR="003E103F">
        <w:t>) and</w:t>
      </w:r>
      <w:r w:rsidR="0083371B">
        <w:t xml:space="preserve"> were fitted including species richness hotspots</w:t>
      </w:r>
      <w:r w:rsidR="003939AA">
        <w:t xml:space="preserve">. </w:t>
      </w:r>
      <w:r w:rsidR="00126FD8">
        <w:t xml:space="preserve">For </w:t>
      </w:r>
      <w:r w:rsidR="00126FD8" w:rsidRPr="00B55EEC">
        <w:rPr>
          <w:i/>
          <w:iCs/>
        </w:rPr>
        <w:t>S</w:t>
      </w:r>
      <w:r w:rsidR="00126FD8" w:rsidRPr="00B55EEC">
        <w:rPr>
          <w:vertAlign w:val="subscript"/>
        </w:rPr>
        <w:t>QDS</w:t>
      </w:r>
      <w:r w:rsidR="00126FD8">
        <w:t xml:space="preserve">, the separate </w:t>
      </w:r>
      <w:r w:rsidR="00561FC0">
        <w:t>fits</w:t>
      </w:r>
      <w:r w:rsidR="00126FD8">
        <w:t xml:space="preserve"> for the GCFR (</w:t>
      </w:r>
      <w:r w:rsidR="00E178D8">
        <w:t>black</w:t>
      </w:r>
      <w:r w:rsidR="00126FD8">
        <w:t>) and SWAFR (</w:t>
      </w:r>
      <w:r w:rsidR="00E178D8">
        <w:t>grey</w:t>
      </w:r>
      <w:r w:rsidR="00126FD8">
        <w:t>) are presented</w:t>
      </w:r>
      <w:r w:rsidR="00884588">
        <w:t xml:space="preserve"> </w:t>
      </w:r>
      <w:r w:rsidR="00674883" w:rsidRPr="00C606F9">
        <w:t>following the best fitting model at th</w:t>
      </w:r>
      <w:r w:rsidR="00674883">
        <w:t>at</w:t>
      </w:r>
      <w:r w:rsidR="00674883" w:rsidRPr="00C606F9">
        <w:t xml:space="preserve"> scale:</w:t>
      </w:r>
      <w:r w:rsidR="00674883">
        <w:t xml:space="preserve"> a</w:t>
      </w:r>
      <w:r w:rsidR="00674883">
        <w:rPr>
          <w:rFonts w:eastAsiaTheme="minorEastAsia"/>
        </w:rPr>
        <w:t xml:space="preserve"> “main effect + region” model (</w:t>
      </w:r>
      <w:r w:rsidR="00674883" w:rsidRPr="00D67CEB">
        <w:rPr>
          <w:rFonts w:eastAsiaTheme="minorEastAsia"/>
          <w:i/>
        </w:rPr>
        <w:t>S</w:t>
      </w:r>
      <w:r w:rsidR="00674883">
        <w:rPr>
          <w:rFonts w:eastAsiaTheme="minorEastAsia"/>
        </w:rPr>
        <w:t xml:space="preserve"> ~ </w:t>
      </w:r>
      <w:r w:rsidR="00674883" w:rsidRPr="003562E3">
        <w:rPr>
          <w:rFonts w:cstheme="majorBidi"/>
          <w:i/>
        </w:rPr>
        <w:t>β</w:t>
      </w:r>
      <w:r w:rsidR="00674883" w:rsidRPr="00D67CEB">
        <w:rPr>
          <w:rFonts w:cstheme="majorBidi"/>
          <w:vertAlign w:val="subscript"/>
        </w:rPr>
        <w:t>0</w:t>
      </w:r>
      <w:r w:rsidR="00674883">
        <w:rPr>
          <w:rFonts w:cstheme="majorBidi"/>
        </w:rPr>
        <w:t xml:space="preserve"> + </w:t>
      </w:r>
      <w:r w:rsidR="00674883" w:rsidRPr="003562E3">
        <w:rPr>
          <w:rFonts w:cstheme="majorBidi"/>
          <w:i/>
        </w:rPr>
        <w:t>β</w:t>
      </w:r>
      <w:r w:rsidR="00674883">
        <w:rPr>
          <w:rFonts w:cstheme="majorBidi"/>
          <w:vertAlign w:val="subscript"/>
        </w:rPr>
        <w:t>1</w:t>
      </w:r>
      <w:r w:rsidR="00674883">
        <w:rPr>
          <w:rFonts w:cstheme="majorBidi"/>
          <w:i/>
        </w:rPr>
        <w:t>X</w:t>
      </w:r>
      <w:r w:rsidR="00674883">
        <w:rPr>
          <w:rFonts w:cstheme="majorBidi"/>
        </w:rPr>
        <w:t xml:space="preserve"> + </w:t>
      </w:r>
      <w:r w:rsidR="00674883" w:rsidRPr="003562E3">
        <w:rPr>
          <w:rFonts w:cstheme="majorBidi"/>
          <w:i/>
        </w:rPr>
        <w:t>β</w:t>
      </w:r>
      <w:r w:rsidR="00674883">
        <w:rPr>
          <w:rFonts w:cstheme="majorBidi"/>
          <w:vertAlign w:val="subscript"/>
        </w:rPr>
        <w:t>2</w:t>
      </w:r>
      <w:r w:rsidR="00674883" w:rsidRPr="00D67CEB">
        <w:rPr>
          <w:rFonts w:cstheme="majorBidi"/>
          <w:i/>
        </w:rPr>
        <w:t>Region</w:t>
      </w:r>
      <w:r w:rsidR="00674883" w:rsidRPr="00674883">
        <w:rPr>
          <w:rFonts w:cstheme="majorBidi"/>
          <w:iCs/>
        </w:rPr>
        <w:t xml:space="preserve">; </w:t>
      </w:r>
      <w:r w:rsidR="00674883">
        <w:t>Table 1a</w:t>
      </w:r>
      <w:r w:rsidR="00674883">
        <w:rPr>
          <w:rFonts w:cstheme="majorBidi"/>
        </w:rPr>
        <w:t>)</w:t>
      </w:r>
      <w:r w:rsidR="00674883">
        <w:t>.</w:t>
      </w:r>
      <w:r w:rsidR="00126FD8">
        <w:t xml:space="preserve"> </w:t>
      </w:r>
      <w:r w:rsidR="005D4530">
        <w:t xml:space="preserve">The </w:t>
      </w:r>
      <w:r w:rsidR="005D4530">
        <w:rPr>
          <w:i/>
        </w:rPr>
        <w:t>R</w:t>
      </w:r>
      <w:r w:rsidR="005D4530">
        <w:rPr>
          <w:vertAlign w:val="superscript"/>
        </w:rPr>
        <w:t>2</w:t>
      </w:r>
      <w:r w:rsidR="005D4530">
        <w:t xml:space="preserve">-values of each model and the variation in environmental heterogeneity explained by </w:t>
      </w:r>
      <w:r w:rsidR="00D12783">
        <w:t xml:space="preserve">PC1 from </w:t>
      </w:r>
      <w:r w:rsidR="005D4530">
        <w:t>each of the three PCAs are noted in parentheses in the panel and horizontal axis headings respectively.</w:t>
      </w:r>
      <w:r w:rsidR="00D5350F">
        <w:t xml:space="preserve"> The e</w:t>
      </w:r>
      <w:r w:rsidR="00E7325B">
        <w:t xml:space="preserve">quivalent results when hotpots </w:t>
      </w:r>
      <w:r w:rsidR="00CA3AC0">
        <w:t>we</w:t>
      </w:r>
      <w:r w:rsidR="00E7325B">
        <w:t>re excluded is available in the online version (</w:t>
      </w:r>
      <w:r w:rsidR="00D8528A">
        <w:t xml:space="preserve">Figure </w:t>
      </w:r>
      <w:r w:rsidR="00152D16">
        <w:t>S7</w:t>
      </w:r>
      <w:r w:rsidR="00E7325B">
        <w:t>).</w:t>
      </w:r>
      <w:r w:rsidR="0063566A" w:rsidRPr="0063566A">
        <w:t xml:space="preserve"> </w:t>
      </w:r>
    </w:p>
    <w:p w14:paraId="7180F251" w14:textId="51C039F4" w:rsidR="00D04776" w:rsidRDefault="00D04776" w:rsidP="0063566A">
      <w:pPr>
        <w:pStyle w:val="ImageCaption"/>
        <w:spacing w:before="240" w:line="240" w:lineRule="auto"/>
      </w:pPr>
      <w:r>
        <w:br w:type="page"/>
      </w:r>
    </w:p>
    <w:p w14:paraId="7ADCF32D" w14:textId="4AC15145" w:rsidR="00D04776" w:rsidRDefault="005D03D0" w:rsidP="0018462C">
      <w:pPr>
        <w:pStyle w:val="CaptionedFigure"/>
        <w:spacing w:line="240" w:lineRule="auto"/>
      </w:pPr>
      <w:commentRangeStart w:id="27"/>
      <w:commentRangeEnd w:id="27"/>
      <w:r>
        <w:rPr>
          <w:rStyle w:val="CommentReference"/>
          <w:rFonts w:ascii="Times New Roman" w:hAnsiTheme="minorHAnsi"/>
        </w:rPr>
        <w:lastRenderedPageBreak/>
        <w:commentReference w:id="27"/>
      </w:r>
      <w:commentRangeStart w:id="28"/>
      <w:r w:rsidR="00557276" w:rsidRPr="00A805E3">
        <w:rPr>
          <w:rFonts w:ascii="Times New Roman" w:hAnsi="Times New Roman" w:cs="Times New Roman"/>
          <w:b/>
          <w:bCs/>
          <w:noProof/>
          <w:sz w:val="22"/>
          <w:szCs w:val="22"/>
        </w:rPr>
        <w:drawing>
          <wp:inline distT="0" distB="0" distL="0" distR="0" wp14:anchorId="7557A2D9" wp14:editId="31B599AC">
            <wp:extent cx="6840000" cy="390876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lot-multivariate-model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840000" cy="3908763"/>
                    </a:xfrm>
                    <a:prstGeom prst="rect">
                      <a:avLst/>
                    </a:prstGeom>
                  </pic:spPr>
                </pic:pic>
              </a:graphicData>
            </a:graphic>
          </wp:inline>
        </w:drawing>
      </w:r>
      <w:commentRangeEnd w:id="28"/>
      <w:r w:rsidR="001E2381">
        <w:rPr>
          <w:rStyle w:val="CommentReference"/>
          <w:rFonts w:ascii="Times New Roman" w:hAnsiTheme="minorHAnsi"/>
        </w:rPr>
        <w:commentReference w:id="28"/>
      </w:r>
    </w:p>
    <w:p w14:paraId="199264AF" w14:textId="31115D89" w:rsidR="0063566A" w:rsidRDefault="008538A7" w:rsidP="0063566A">
      <w:pPr>
        <w:pStyle w:val="BodyText"/>
      </w:pPr>
      <w:r>
        <w:rPr>
          <w:b/>
        </w:rPr>
        <w:t xml:space="preserve">Figure </w:t>
      </w:r>
      <w:r w:rsidR="00977291">
        <w:rPr>
          <w:b/>
        </w:rPr>
        <w:t>5</w:t>
      </w:r>
      <w:r w:rsidR="00D04776" w:rsidRPr="00242181">
        <w:rPr>
          <w:b/>
        </w:rPr>
        <w:t>:</w:t>
      </w:r>
      <w:r w:rsidR="00D04776" w:rsidRPr="00EB7331">
        <w:t xml:space="preserve"> </w:t>
      </w:r>
      <w:r w:rsidR="00475DD1">
        <w:t>Partial effect</w:t>
      </w:r>
      <w:r w:rsidR="00D04776" w:rsidRPr="00EB7331">
        <w:t xml:space="preserve"> estimates </w:t>
      </w:r>
      <w:r w:rsidR="00FD18C0" w:rsidRPr="00EB7331">
        <w:t xml:space="preserve">from </w:t>
      </w:r>
      <w:r w:rsidR="00D04776" w:rsidRPr="00EB7331">
        <w:t xml:space="preserve">multiple linear regressions of </w:t>
      </w:r>
      <w:r w:rsidR="00466172" w:rsidRPr="00EB7331">
        <w:t xml:space="preserve">vascular plant species richness as </w:t>
      </w:r>
      <w:r w:rsidR="00D04776" w:rsidRPr="00EB7331">
        <w:t xml:space="preserve">(a) </w:t>
      </w:r>
      <w:r w:rsidR="00D04776" w:rsidRPr="00EB7331">
        <w:rPr>
          <w:i/>
        </w:rPr>
        <w:t>S</w:t>
      </w:r>
      <w:r w:rsidR="00F53C09">
        <w:rPr>
          <w:vertAlign w:val="subscript"/>
        </w:rPr>
        <w:t>Q</w:t>
      </w:r>
      <w:r w:rsidR="00D04776" w:rsidRPr="00EB7331">
        <w:rPr>
          <w:vertAlign w:val="subscript"/>
        </w:rPr>
        <w:t>DS</w:t>
      </w:r>
      <w:r w:rsidR="00F53C09">
        <w:t>,</w:t>
      </w:r>
      <w:r w:rsidR="00D04776" w:rsidRPr="00EB7331">
        <w:t xml:space="preserve"> (b) </w:t>
      </w:r>
      <w:r w:rsidR="00D04776" w:rsidRPr="00EB7331">
        <w:rPr>
          <w:i/>
        </w:rPr>
        <w:t>S</w:t>
      </w:r>
      <w:r w:rsidR="00F53C09">
        <w:rPr>
          <w:vertAlign w:val="subscript"/>
        </w:rPr>
        <w:t>H</w:t>
      </w:r>
      <w:r w:rsidR="00D04776" w:rsidRPr="00EB7331">
        <w:rPr>
          <w:vertAlign w:val="subscript"/>
        </w:rPr>
        <w:t>DS</w:t>
      </w:r>
      <w:r w:rsidR="00D04776" w:rsidRPr="00EB7331">
        <w:t xml:space="preserve"> </w:t>
      </w:r>
      <w:r w:rsidR="00F53C09">
        <w:t>and (c</w:t>
      </w:r>
      <w:r w:rsidR="00D04776" w:rsidRPr="00EB7331">
        <w:t xml:space="preserve">) </w:t>
      </w:r>
      <w:r w:rsidR="00F53C09" w:rsidRPr="00F53C09">
        <w:rPr>
          <w:i/>
        </w:rPr>
        <w:t>S</w:t>
      </w:r>
      <w:r w:rsidR="00F53C09">
        <w:rPr>
          <w:vertAlign w:val="subscript"/>
        </w:rPr>
        <w:t>DS</w:t>
      </w:r>
      <w:r w:rsidR="00F53C09">
        <w:t xml:space="preserve"> </w:t>
      </w:r>
      <w:r w:rsidR="00D04776" w:rsidRPr="00EB7331">
        <w:t>again</w:t>
      </w:r>
      <w:r w:rsidR="008F0AB7" w:rsidRPr="00EB7331">
        <w:t>s</w:t>
      </w:r>
      <w:r w:rsidR="00D04776" w:rsidRPr="00EB7331">
        <w:t xml:space="preserve">t the various forms of </w:t>
      </w:r>
      <w:r w:rsidR="007948F4" w:rsidRPr="00EB7331">
        <w:t>environmental heterogeneity</w:t>
      </w:r>
      <w:r w:rsidR="001F4B4C" w:rsidRPr="00EB7331">
        <w:t xml:space="preserve"> </w:t>
      </w:r>
      <w:r w:rsidR="004D0D3F">
        <w:t>(log</w:t>
      </w:r>
      <w:r w:rsidR="004D0D3F">
        <w:rPr>
          <w:vertAlign w:val="subscript"/>
        </w:rPr>
        <w:t>10</w:t>
      </w:r>
      <w:r w:rsidR="004D0D3F">
        <w:t xml:space="preserve">-transformed and </w:t>
      </w:r>
      <w:r w:rsidR="00422D50">
        <w:t>re-</w:t>
      </w:r>
      <w:r w:rsidR="004D0D3F">
        <w:t xml:space="preserve">scaled) </w:t>
      </w:r>
      <w:r w:rsidR="00741F6E" w:rsidRPr="00EB7331">
        <w:t>across GCFR</w:t>
      </w:r>
      <w:r w:rsidR="00F53C09">
        <w:t xml:space="preserve"> and </w:t>
      </w:r>
      <w:r w:rsidR="00741F6E" w:rsidRPr="00EB7331">
        <w:t>SWAFR</w:t>
      </w:r>
      <w:r w:rsidR="00D04776" w:rsidRPr="00EB7331">
        <w:t>. Points with error bars denote</w:t>
      </w:r>
      <w:r w:rsidR="00475DD1">
        <w:t xml:space="preserve"> slopes</w:t>
      </w:r>
      <w:r w:rsidR="00D04776" w:rsidRPr="00EB7331">
        <w:t xml:space="preserve"> and their 95% confidence intervals. </w:t>
      </w:r>
      <w:r w:rsidR="00E959AF">
        <w:t xml:space="preserve">Filled and empty points represent effect estimates for the GCFR and </w:t>
      </w:r>
      <w:r w:rsidR="008F3304">
        <w:t xml:space="preserve">the </w:t>
      </w:r>
      <w:r w:rsidR="00E959AF">
        <w:t>SWAFR</w:t>
      </w:r>
      <w:r w:rsidR="008F3304">
        <w:t xml:space="preserve"> relative to the GCFR</w:t>
      </w:r>
      <w:r w:rsidR="00E959AF">
        <w:t xml:space="preserve"> respectively when region-interaction terms were retained during </w:t>
      </w:r>
      <w:r w:rsidR="00E959AF" w:rsidRPr="00EB7331">
        <w:t>stepwise model selection</w:t>
      </w:r>
      <w:r w:rsidR="008F3304">
        <w:t>. C</w:t>
      </w:r>
      <w:r w:rsidR="00E959AF">
        <w:t>rosses represent main effects</w:t>
      </w:r>
      <w:r w:rsidR="00CC531D">
        <w:t xml:space="preserve"> (i.e. no region-interaction term retained)</w:t>
      </w:r>
      <w:r w:rsidR="00E959AF">
        <w:t xml:space="preserve">. </w:t>
      </w:r>
      <w:r w:rsidR="00D04776" w:rsidRPr="00EB7331">
        <w:t>Estimates illustrated in black were significant (</w:t>
      </w:r>
      <w:r w:rsidR="00D04776" w:rsidRPr="00EB7331">
        <w:rPr>
          <w:i/>
        </w:rPr>
        <w:t>P</w:t>
      </w:r>
      <w:r w:rsidR="00D04776" w:rsidRPr="00EB7331">
        <w:t xml:space="preserve"> &lt; 0.05), while those in grey were not</w:t>
      </w:r>
      <w:r w:rsidR="00381E28" w:rsidRPr="00EB7331">
        <w:t>,</w:t>
      </w:r>
      <w:r w:rsidR="00BB3353" w:rsidRPr="00EB7331">
        <w:t xml:space="preserve"> but still retained during stepwise model selection</w:t>
      </w:r>
      <w:r w:rsidR="00D04776" w:rsidRPr="00EB7331">
        <w:t>.</w:t>
      </w:r>
      <w:r w:rsidR="006255A4" w:rsidRPr="00EB7331">
        <w:t xml:space="preserve"> </w:t>
      </w:r>
      <w:r w:rsidR="00663F53">
        <w:t>The</w:t>
      </w:r>
      <w:r w:rsidR="008F386A">
        <w:t xml:space="preserve"> multiple adjusted</w:t>
      </w:r>
      <w:r w:rsidR="00663F53">
        <w:t xml:space="preserve"> </w:t>
      </w:r>
      <w:r w:rsidR="00663F53">
        <w:rPr>
          <w:i/>
        </w:rPr>
        <w:t>R</w:t>
      </w:r>
      <w:r w:rsidR="00663F53">
        <w:rPr>
          <w:vertAlign w:val="superscript"/>
        </w:rPr>
        <w:t>2</w:t>
      </w:r>
      <w:r w:rsidR="00663F53">
        <w:t xml:space="preserve">-values of each model </w:t>
      </w:r>
      <w:r w:rsidR="00240829">
        <w:t>are</w:t>
      </w:r>
      <w:r w:rsidR="00663F53">
        <w:t xml:space="preserve"> noted in parentheses in the panel headings.</w:t>
      </w:r>
      <w:r w:rsidR="00240829">
        <w:t xml:space="preserve"> </w:t>
      </w:r>
      <w:r w:rsidR="006255A4" w:rsidRPr="00EB7331">
        <w:t xml:space="preserve">Abbreviations </w:t>
      </w:r>
      <w:r w:rsidR="00E423C5" w:rsidRPr="00EB7331">
        <w:t xml:space="preserve">of variables are </w:t>
      </w:r>
      <w:r w:rsidR="006255A4" w:rsidRPr="00EB7331">
        <w:t>as in Table</w:t>
      </w:r>
      <w:r w:rsidR="008D7B9E">
        <w:t xml:space="preserve"> </w:t>
      </w:r>
      <w:r w:rsidR="008B0E3F">
        <w:t>1</w:t>
      </w:r>
      <w:r w:rsidR="006255A4" w:rsidRPr="00EB7331">
        <w:t xml:space="preserve"> and </w:t>
      </w:r>
      <w:r w:rsidR="0031751D">
        <w:t>Figure</w:t>
      </w:r>
      <w:r w:rsidR="005C5EBF">
        <w:t xml:space="preserve"> 3</w:t>
      </w:r>
      <w:r w:rsidR="006255A4" w:rsidRPr="00EB7331">
        <w:t>.</w:t>
      </w:r>
      <w:r w:rsidR="00E7325B">
        <w:t xml:space="preserve"> The equivalent results when</w:t>
      </w:r>
      <w:r w:rsidR="000A1ADE">
        <w:t xml:space="preserve"> species richness</w:t>
      </w:r>
      <w:r w:rsidR="00E7325B">
        <w:t xml:space="preserve"> hotpots </w:t>
      </w:r>
      <w:r w:rsidR="00585277">
        <w:t>we</w:t>
      </w:r>
      <w:r w:rsidR="00E7325B">
        <w:t>re excluded is available in the online version (</w:t>
      </w:r>
      <w:r w:rsidR="00200FEE">
        <w:t xml:space="preserve">Figure </w:t>
      </w:r>
      <w:r w:rsidR="008C771A">
        <w:t>S8</w:t>
      </w:r>
      <w:r w:rsidR="00E7325B">
        <w:t>).</w:t>
      </w:r>
      <w:r w:rsidR="0063566A" w:rsidRPr="0063566A">
        <w:t xml:space="preserve"> </w:t>
      </w:r>
    </w:p>
    <w:p w14:paraId="15F44A2F" w14:textId="13F33AAC" w:rsidR="00570649" w:rsidRDefault="00570649" w:rsidP="00911305">
      <w:pPr>
        <w:pStyle w:val="ImageCaption"/>
        <w:spacing w:line="240" w:lineRule="auto"/>
      </w:pPr>
      <w:bookmarkStart w:id="29" w:name="references"/>
      <w:r>
        <w:br w:type="page"/>
      </w:r>
    </w:p>
    <w:p w14:paraId="779CFF39" w14:textId="77777777" w:rsidR="000878A3" w:rsidRDefault="009E59E0" w:rsidP="000878A3">
      <w:pPr>
        <w:pStyle w:val="Heading1"/>
        <w:spacing w:line="240" w:lineRule="auto"/>
      </w:pPr>
      <w:r w:rsidRPr="009E59E0">
        <w:lastRenderedPageBreak/>
        <w:t>Data availability statement</w:t>
      </w:r>
    </w:p>
    <w:p w14:paraId="6743CDCE" w14:textId="590B3C5F" w:rsidR="009E59E0" w:rsidRPr="000878A3" w:rsidRDefault="00C41DBA" w:rsidP="000878A3">
      <w:pPr>
        <w:pStyle w:val="BodyText"/>
      </w:pPr>
      <w:r>
        <w:t xml:space="preserve">The raw vascular plant occurrence records used are available from GBIF (GCFR: </w:t>
      </w:r>
      <w:hyperlink r:id="rId19" w:history="1">
        <w:r w:rsidRPr="000F1325">
          <w:rPr>
            <w:rStyle w:val="Hyperlink"/>
          </w:rPr>
          <w:t>https://doi.org/10.15468/dl.n6u6n0</w:t>
        </w:r>
      </w:hyperlink>
      <w:r>
        <w:t xml:space="preserve">; SWAFR: </w:t>
      </w:r>
      <w:hyperlink r:id="rId20" w:history="1">
        <w:r w:rsidRPr="000F1325">
          <w:rPr>
            <w:rStyle w:val="Hyperlink"/>
          </w:rPr>
          <w:t>https://doi.org/10.15468/dl.46okua</w:t>
        </w:r>
      </w:hyperlink>
      <w:r>
        <w:t>). Analyses in the form of R-scripts, cleaned species lists, r</w:t>
      </w:r>
      <w:r w:rsidR="00DC1038">
        <w:t xml:space="preserve">aster-layers of the nine forms of environmental heterogeneity, the major axis of heterogeneity (PC1) </w:t>
      </w:r>
      <w:r>
        <w:t xml:space="preserve">(at each of the four spatial scales) </w:t>
      </w:r>
      <w:r w:rsidR="00DC1038">
        <w:t>and species richness</w:t>
      </w:r>
      <w:r>
        <w:t xml:space="preserve"> (at the three spatial scales)</w:t>
      </w:r>
      <w:r w:rsidR="00DC1038">
        <w:t xml:space="preserve"> </w:t>
      </w:r>
      <w:r w:rsidR="00DC1038" w:rsidRPr="00C2037C">
        <w:t>are available in the DRYAD Digital Repository</w:t>
      </w:r>
      <w:r w:rsidR="00C2037C" w:rsidRPr="00C2037C">
        <w:t>:</w:t>
      </w:r>
      <w:r w:rsidR="00DC1038" w:rsidRPr="00C2037C">
        <w:t xml:space="preserve"> </w:t>
      </w:r>
      <w:r w:rsidR="00C2037C" w:rsidRPr="00C2037C">
        <w:t>[</w:t>
      </w:r>
      <w:r w:rsidR="00DC1038" w:rsidRPr="00C2037C">
        <w:rPr>
          <w:highlight w:val="yellow"/>
        </w:rPr>
        <w:t>UR</w:t>
      </w:r>
      <w:r w:rsidR="00C2037C" w:rsidRPr="00C2037C">
        <w:rPr>
          <w:highlight w:val="yellow"/>
        </w:rPr>
        <w:t>L</w:t>
      </w:r>
      <w:r w:rsidR="00C2037C">
        <w:t>]</w:t>
      </w:r>
      <w:r w:rsidR="00DC1038">
        <w:t>.</w:t>
      </w:r>
    </w:p>
    <w:p w14:paraId="3FB275CB" w14:textId="782BA677" w:rsidR="00DD2348" w:rsidRDefault="005F0FFB" w:rsidP="0018462C">
      <w:pPr>
        <w:pStyle w:val="Heading1"/>
      </w:pPr>
      <w:commentRangeStart w:id="30"/>
      <w:r w:rsidRPr="002C20EB">
        <w:t>References</w:t>
      </w:r>
      <w:bookmarkEnd w:id="29"/>
      <w:commentRangeEnd w:id="30"/>
      <w:r w:rsidR="00CF1A93">
        <w:rPr>
          <w:rStyle w:val="CommentReference"/>
          <w:rFonts w:ascii="Times New Roman" w:eastAsiaTheme="minorHAnsi" w:hAnsiTheme="minorHAnsi" w:cstheme="minorBidi"/>
          <w:b w:val="0"/>
          <w:bCs w:val="0"/>
          <w:color w:val="auto"/>
        </w:rPr>
        <w:commentReference w:id="30"/>
      </w:r>
    </w:p>
    <w:p w14:paraId="5DD23384" w14:textId="62849F82" w:rsidR="006A50EF" w:rsidRPr="006A50EF" w:rsidRDefault="008E0DFC" w:rsidP="006A50EF">
      <w:pPr>
        <w:widowControl w:val="0"/>
        <w:autoSpaceDE w:val="0"/>
        <w:autoSpaceDN w:val="0"/>
        <w:adjustRightInd w:val="0"/>
        <w:spacing w:after="180"/>
        <w:ind w:left="480" w:hanging="480"/>
        <w:rPr>
          <w:rFonts w:hAnsi="Times New Roman" w:cs="Times New Roman"/>
          <w:noProof/>
          <w:lang w:val="en-GB"/>
        </w:rPr>
      </w:pPr>
      <w:r>
        <w:fldChar w:fldCharType="begin" w:fldLock="1"/>
      </w:r>
      <w:r>
        <w:instrText xml:space="preserve">ADDIN Mendeley Bibliography CSL_BIBLIOGRAPHY </w:instrText>
      </w:r>
      <w:r>
        <w:fldChar w:fldCharType="separate"/>
      </w:r>
      <w:r w:rsidR="006A50EF" w:rsidRPr="006A50EF">
        <w:rPr>
          <w:rFonts w:hAnsi="Times New Roman" w:cs="Times New Roman"/>
          <w:noProof/>
          <w:lang w:val="en-GB"/>
        </w:rPr>
        <w:t xml:space="preserve">Ackerly, D. D. (2009). Evolution, origin and age of lineages in the Californian and Mediterranean floras. </w:t>
      </w:r>
      <w:r w:rsidR="006A50EF" w:rsidRPr="006A50EF">
        <w:rPr>
          <w:rFonts w:hAnsi="Times New Roman" w:cs="Times New Roman"/>
          <w:i/>
          <w:iCs/>
          <w:noProof/>
          <w:lang w:val="en-GB"/>
        </w:rPr>
        <w:t>Journal of Biogeography</w:t>
      </w:r>
      <w:r w:rsidR="006A50EF" w:rsidRPr="006A50EF">
        <w:rPr>
          <w:rFonts w:hAnsi="Times New Roman" w:cs="Times New Roman"/>
          <w:noProof/>
          <w:lang w:val="en-GB"/>
        </w:rPr>
        <w:t xml:space="preserve">, </w:t>
      </w:r>
      <w:r w:rsidR="006A50EF" w:rsidRPr="006A50EF">
        <w:rPr>
          <w:rFonts w:hAnsi="Times New Roman" w:cs="Times New Roman"/>
          <w:i/>
          <w:iCs/>
          <w:noProof/>
          <w:lang w:val="en-GB"/>
        </w:rPr>
        <w:t>36</w:t>
      </w:r>
      <w:r w:rsidR="006A50EF" w:rsidRPr="006A50EF">
        <w:rPr>
          <w:rFonts w:hAnsi="Times New Roman" w:cs="Times New Roman"/>
          <w:noProof/>
          <w:lang w:val="en-GB"/>
        </w:rPr>
        <w:t>(7), 1221–1233. https://doi.org/10.1111/j.1365-2699.2009.02097.x</w:t>
      </w:r>
    </w:p>
    <w:p w14:paraId="640F347B" w14:textId="77777777" w:rsidR="006A50EF" w:rsidRPr="006A50EF" w:rsidRDefault="006A50EF" w:rsidP="006A50EF">
      <w:pPr>
        <w:widowControl w:val="0"/>
        <w:autoSpaceDE w:val="0"/>
        <w:autoSpaceDN w:val="0"/>
        <w:adjustRightInd w:val="0"/>
        <w:spacing w:after="180"/>
        <w:ind w:left="480" w:hanging="480"/>
        <w:rPr>
          <w:rFonts w:hAnsi="Times New Roman" w:cs="Times New Roman"/>
          <w:noProof/>
          <w:lang w:val="en-GB"/>
        </w:rPr>
      </w:pPr>
      <w:r w:rsidRPr="006A50EF">
        <w:rPr>
          <w:rFonts w:hAnsi="Times New Roman" w:cs="Times New Roman"/>
          <w:noProof/>
          <w:lang w:val="en-GB"/>
        </w:rPr>
        <w:t xml:space="preserve">Allouche, O., Kalyuzhny, M., Moreno-Rueda, G., Pizarro, M., &amp; Kadmon, R. (2012). Area-heterogeneity tradeoff and the diversity of ecological communities. </w:t>
      </w:r>
      <w:r w:rsidRPr="006A50EF">
        <w:rPr>
          <w:rFonts w:hAnsi="Times New Roman" w:cs="Times New Roman"/>
          <w:i/>
          <w:iCs/>
          <w:noProof/>
          <w:lang w:val="en-GB"/>
        </w:rPr>
        <w:t>Proceedings of the National Academy of Sciences</w:t>
      </w:r>
      <w:r w:rsidRPr="006A50EF">
        <w:rPr>
          <w:rFonts w:hAnsi="Times New Roman" w:cs="Times New Roman"/>
          <w:noProof/>
          <w:lang w:val="en-GB"/>
        </w:rPr>
        <w:t xml:space="preserve">, </w:t>
      </w:r>
      <w:r w:rsidRPr="006A50EF">
        <w:rPr>
          <w:rFonts w:hAnsi="Times New Roman" w:cs="Times New Roman"/>
          <w:i/>
          <w:iCs/>
          <w:noProof/>
          <w:lang w:val="en-GB"/>
        </w:rPr>
        <w:t>109</w:t>
      </w:r>
      <w:r w:rsidRPr="006A50EF">
        <w:rPr>
          <w:rFonts w:hAnsi="Times New Roman" w:cs="Times New Roman"/>
          <w:noProof/>
          <w:lang w:val="en-GB"/>
        </w:rPr>
        <w:t>(43), 17495–17500.</w:t>
      </w:r>
    </w:p>
    <w:p w14:paraId="365D313E" w14:textId="77777777" w:rsidR="006A50EF" w:rsidRPr="006A50EF" w:rsidRDefault="006A50EF" w:rsidP="006A50EF">
      <w:pPr>
        <w:widowControl w:val="0"/>
        <w:autoSpaceDE w:val="0"/>
        <w:autoSpaceDN w:val="0"/>
        <w:adjustRightInd w:val="0"/>
        <w:spacing w:after="180"/>
        <w:ind w:left="480" w:hanging="480"/>
        <w:rPr>
          <w:rFonts w:hAnsi="Times New Roman" w:cs="Times New Roman"/>
          <w:noProof/>
          <w:lang w:val="en-GB"/>
        </w:rPr>
      </w:pPr>
      <w:r w:rsidRPr="006A50EF">
        <w:rPr>
          <w:rFonts w:hAnsi="Times New Roman" w:cs="Times New Roman"/>
          <w:noProof/>
          <w:lang w:val="en-GB"/>
        </w:rPr>
        <w:t xml:space="preserve">Barron, O., Froend, R., Hodgson, G., Ali, R., Dawes, W., Davies, P., &amp; McFarlane, D. (2014). Projected risks to groundwater-dependent terrestrial vegetation caused by changing climate and groundwater abstraction in the Central Perth Basin, Western Australia. </w:t>
      </w:r>
      <w:r w:rsidRPr="006A50EF">
        <w:rPr>
          <w:rFonts w:hAnsi="Times New Roman" w:cs="Times New Roman"/>
          <w:i/>
          <w:iCs/>
          <w:noProof/>
          <w:lang w:val="en-GB"/>
        </w:rPr>
        <w:t>Hydrological Processes</w:t>
      </w:r>
      <w:r w:rsidRPr="006A50EF">
        <w:rPr>
          <w:rFonts w:hAnsi="Times New Roman" w:cs="Times New Roman"/>
          <w:noProof/>
          <w:lang w:val="en-GB"/>
        </w:rPr>
        <w:t xml:space="preserve">, </w:t>
      </w:r>
      <w:r w:rsidRPr="006A50EF">
        <w:rPr>
          <w:rFonts w:hAnsi="Times New Roman" w:cs="Times New Roman"/>
          <w:i/>
          <w:iCs/>
          <w:noProof/>
          <w:lang w:val="en-GB"/>
        </w:rPr>
        <w:t>28</w:t>
      </w:r>
      <w:r w:rsidRPr="006A50EF">
        <w:rPr>
          <w:rFonts w:hAnsi="Times New Roman" w:cs="Times New Roman"/>
          <w:noProof/>
          <w:lang w:val="en-GB"/>
        </w:rPr>
        <w:t>(22), 5513–5529.</w:t>
      </w:r>
    </w:p>
    <w:p w14:paraId="3036FA35" w14:textId="77777777" w:rsidR="006A50EF" w:rsidRPr="006A50EF" w:rsidRDefault="006A50EF" w:rsidP="006A50EF">
      <w:pPr>
        <w:widowControl w:val="0"/>
        <w:autoSpaceDE w:val="0"/>
        <w:autoSpaceDN w:val="0"/>
        <w:adjustRightInd w:val="0"/>
        <w:spacing w:after="180"/>
        <w:ind w:left="480" w:hanging="480"/>
        <w:rPr>
          <w:rFonts w:hAnsi="Times New Roman" w:cs="Times New Roman"/>
          <w:noProof/>
          <w:lang w:val="en-GB"/>
        </w:rPr>
      </w:pPr>
      <w:r w:rsidRPr="006A50EF">
        <w:rPr>
          <w:rFonts w:hAnsi="Times New Roman" w:cs="Times New Roman"/>
          <w:noProof/>
          <w:lang w:val="en-GB"/>
        </w:rPr>
        <w:t xml:space="preserve">Beard, J. S., Chapman, A. R., &amp; Gioia, P. (2000). Species richness and endemism in the Western Australian flora. </w:t>
      </w:r>
      <w:r w:rsidRPr="006A50EF">
        <w:rPr>
          <w:rFonts w:hAnsi="Times New Roman" w:cs="Times New Roman"/>
          <w:i/>
          <w:iCs/>
          <w:noProof/>
          <w:lang w:val="en-GB"/>
        </w:rPr>
        <w:t>Journal of Biogeography</w:t>
      </w:r>
      <w:r w:rsidRPr="006A50EF">
        <w:rPr>
          <w:rFonts w:hAnsi="Times New Roman" w:cs="Times New Roman"/>
          <w:noProof/>
          <w:lang w:val="en-GB"/>
        </w:rPr>
        <w:t xml:space="preserve">, </w:t>
      </w:r>
      <w:r w:rsidRPr="006A50EF">
        <w:rPr>
          <w:rFonts w:hAnsi="Times New Roman" w:cs="Times New Roman"/>
          <w:i/>
          <w:iCs/>
          <w:noProof/>
          <w:lang w:val="en-GB"/>
        </w:rPr>
        <w:t>27</w:t>
      </w:r>
      <w:r w:rsidRPr="006A50EF">
        <w:rPr>
          <w:rFonts w:hAnsi="Times New Roman" w:cs="Times New Roman"/>
          <w:noProof/>
          <w:lang w:val="en-GB"/>
        </w:rPr>
        <w:t>(6), 1257–1268. https://doi.org/10.1046/j.1365-2699.2000.00509.x</w:t>
      </w:r>
    </w:p>
    <w:p w14:paraId="48297F32" w14:textId="77777777" w:rsidR="006A50EF" w:rsidRPr="006A50EF" w:rsidRDefault="006A50EF" w:rsidP="006A50EF">
      <w:pPr>
        <w:widowControl w:val="0"/>
        <w:autoSpaceDE w:val="0"/>
        <w:autoSpaceDN w:val="0"/>
        <w:adjustRightInd w:val="0"/>
        <w:spacing w:after="180"/>
        <w:ind w:left="480" w:hanging="480"/>
        <w:rPr>
          <w:rFonts w:hAnsi="Times New Roman" w:cs="Times New Roman"/>
          <w:noProof/>
          <w:lang w:val="en-GB"/>
        </w:rPr>
      </w:pPr>
      <w:r w:rsidRPr="006A50EF">
        <w:rPr>
          <w:rFonts w:hAnsi="Times New Roman" w:cs="Times New Roman"/>
          <w:noProof/>
          <w:lang w:val="en-GB"/>
        </w:rPr>
        <w:t xml:space="preserve">Belda, M., Holtanová, E., Halenka, T., &amp; Kalvová, J. (2014). Climate classification revisited: from Köppen to Trewartha. </w:t>
      </w:r>
      <w:r w:rsidRPr="006A50EF">
        <w:rPr>
          <w:rFonts w:hAnsi="Times New Roman" w:cs="Times New Roman"/>
          <w:i/>
          <w:iCs/>
          <w:noProof/>
          <w:lang w:val="en-GB"/>
        </w:rPr>
        <w:t>Climate Research</w:t>
      </w:r>
      <w:r w:rsidRPr="006A50EF">
        <w:rPr>
          <w:rFonts w:hAnsi="Times New Roman" w:cs="Times New Roman"/>
          <w:noProof/>
          <w:lang w:val="en-GB"/>
        </w:rPr>
        <w:t xml:space="preserve">, </w:t>
      </w:r>
      <w:r w:rsidRPr="006A50EF">
        <w:rPr>
          <w:rFonts w:hAnsi="Times New Roman" w:cs="Times New Roman"/>
          <w:i/>
          <w:iCs/>
          <w:noProof/>
          <w:lang w:val="en-GB"/>
        </w:rPr>
        <w:t>59</w:t>
      </w:r>
      <w:r w:rsidRPr="006A50EF">
        <w:rPr>
          <w:rFonts w:hAnsi="Times New Roman" w:cs="Times New Roman"/>
          <w:noProof/>
          <w:lang w:val="en-GB"/>
        </w:rPr>
        <w:t>(1), 1–13.</w:t>
      </w:r>
    </w:p>
    <w:p w14:paraId="7B0186FD" w14:textId="77777777" w:rsidR="006A50EF" w:rsidRPr="006A50EF" w:rsidRDefault="006A50EF" w:rsidP="006A50EF">
      <w:pPr>
        <w:widowControl w:val="0"/>
        <w:autoSpaceDE w:val="0"/>
        <w:autoSpaceDN w:val="0"/>
        <w:adjustRightInd w:val="0"/>
        <w:spacing w:after="180"/>
        <w:ind w:left="480" w:hanging="480"/>
        <w:rPr>
          <w:rFonts w:hAnsi="Times New Roman" w:cs="Times New Roman"/>
          <w:noProof/>
          <w:lang w:val="en-GB"/>
        </w:rPr>
      </w:pPr>
      <w:r w:rsidRPr="006A50EF">
        <w:rPr>
          <w:rFonts w:hAnsi="Times New Roman" w:cs="Times New Roman"/>
          <w:noProof/>
          <w:lang w:val="en-GB"/>
        </w:rPr>
        <w:t xml:space="preserve">Bergh, N. G., &amp; Linder, H. P. (2009). Cape diversification and repeated out-of-southern-Africa dispersal in paper daisies (Asteraceae--Gnaphalieae). </w:t>
      </w:r>
      <w:r w:rsidRPr="006A50EF">
        <w:rPr>
          <w:rFonts w:hAnsi="Times New Roman" w:cs="Times New Roman"/>
          <w:i/>
          <w:iCs/>
          <w:noProof/>
          <w:lang w:val="en-GB"/>
        </w:rPr>
        <w:t>Molecular Phylogenetics and Evolution</w:t>
      </w:r>
      <w:r w:rsidRPr="006A50EF">
        <w:rPr>
          <w:rFonts w:hAnsi="Times New Roman" w:cs="Times New Roman"/>
          <w:noProof/>
          <w:lang w:val="en-GB"/>
        </w:rPr>
        <w:t xml:space="preserve">, </w:t>
      </w:r>
      <w:r w:rsidRPr="006A50EF">
        <w:rPr>
          <w:rFonts w:hAnsi="Times New Roman" w:cs="Times New Roman"/>
          <w:i/>
          <w:iCs/>
          <w:noProof/>
          <w:lang w:val="en-GB"/>
        </w:rPr>
        <w:t>51</w:t>
      </w:r>
      <w:r w:rsidRPr="006A50EF">
        <w:rPr>
          <w:rFonts w:hAnsi="Times New Roman" w:cs="Times New Roman"/>
          <w:noProof/>
          <w:lang w:val="en-GB"/>
        </w:rPr>
        <w:t>(1), 5–18.</w:t>
      </w:r>
    </w:p>
    <w:p w14:paraId="04A49259" w14:textId="77777777" w:rsidR="006A50EF" w:rsidRPr="006A50EF" w:rsidRDefault="006A50EF" w:rsidP="006A50EF">
      <w:pPr>
        <w:widowControl w:val="0"/>
        <w:autoSpaceDE w:val="0"/>
        <w:autoSpaceDN w:val="0"/>
        <w:adjustRightInd w:val="0"/>
        <w:spacing w:after="180"/>
        <w:ind w:left="480" w:hanging="480"/>
        <w:rPr>
          <w:rFonts w:hAnsi="Times New Roman" w:cs="Times New Roman"/>
          <w:noProof/>
          <w:lang w:val="en-GB"/>
        </w:rPr>
      </w:pPr>
      <w:r w:rsidRPr="006A50EF">
        <w:rPr>
          <w:rFonts w:hAnsi="Times New Roman" w:cs="Times New Roman"/>
          <w:noProof/>
          <w:lang w:val="en-GB"/>
        </w:rPr>
        <w:t xml:space="preserve">Bivand, R., Keitt, T., &amp; Rowlingson, B. (2017). </w:t>
      </w:r>
      <w:r w:rsidRPr="006A50EF">
        <w:rPr>
          <w:rFonts w:hAnsi="Times New Roman" w:cs="Times New Roman"/>
          <w:i/>
          <w:iCs/>
          <w:noProof/>
          <w:lang w:val="en-GB"/>
        </w:rPr>
        <w:t>rgdal: Bindings for the Geospatial Data Abstraction Library. R package version 1.2-7</w:t>
      </w:r>
      <w:r w:rsidRPr="006A50EF">
        <w:rPr>
          <w:rFonts w:hAnsi="Times New Roman" w:cs="Times New Roman"/>
          <w:noProof/>
          <w:lang w:val="en-GB"/>
        </w:rPr>
        <w:t>. https://cran.r-project.org/package=rgdal</w:t>
      </w:r>
    </w:p>
    <w:p w14:paraId="388F0C51" w14:textId="77777777" w:rsidR="006A50EF" w:rsidRPr="006A50EF" w:rsidRDefault="006A50EF" w:rsidP="006A50EF">
      <w:pPr>
        <w:widowControl w:val="0"/>
        <w:autoSpaceDE w:val="0"/>
        <w:autoSpaceDN w:val="0"/>
        <w:adjustRightInd w:val="0"/>
        <w:spacing w:after="180"/>
        <w:ind w:left="480" w:hanging="480"/>
        <w:rPr>
          <w:rFonts w:hAnsi="Times New Roman" w:cs="Times New Roman"/>
          <w:noProof/>
          <w:lang w:val="en-GB"/>
        </w:rPr>
      </w:pPr>
      <w:r w:rsidRPr="006A50EF">
        <w:rPr>
          <w:rFonts w:hAnsi="Times New Roman" w:cs="Times New Roman"/>
          <w:noProof/>
          <w:lang w:val="en-GB"/>
        </w:rPr>
        <w:t xml:space="preserve">Bøhn, T., &amp; Amundsen, P.-A. (2004). Ecological interactions and evolution: forgotten parts of biodiversity? </w:t>
      </w:r>
      <w:r w:rsidRPr="006A50EF">
        <w:rPr>
          <w:rFonts w:hAnsi="Times New Roman" w:cs="Times New Roman"/>
          <w:i/>
          <w:iCs/>
          <w:noProof/>
          <w:lang w:val="en-GB"/>
        </w:rPr>
        <w:t>BioScience</w:t>
      </w:r>
      <w:r w:rsidRPr="006A50EF">
        <w:rPr>
          <w:rFonts w:hAnsi="Times New Roman" w:cs="Times New Roman"/>
          <w:noProof/>
          <w:lang w:val="en-GB"/>
        </w:rPr>
        <w:t xml:space="preserve">, </w:t>
      </w:r>
      <w:r w:rsidRPr="006A50EF">
        <w:rPr>
          <w:rFonts w:hAnsi="Times New Roman" w:cs="Times New Roman"/>
          <w:i/>
          <w:iCs/>
          <w:noProof/>
          <w:lang w:val="en-GB"/>
        </w:rPr>
        <w:t>54</w:t>
      </w:r>
      <w:r w:rsidRPr="006A50EF">
        <w:rPr>
          <w:rFonts w:hAnsi="Times New Roman" w:cs="Times New Roman"/>
          <w:noProof/>
          <w:lang w:val="en-GB"/>
        </w:rPr>
        <w:t>(9), 804–805.</w:t>
      </w:r>
    </w:p>
    <w:p w14:paraId="62D84ACD" w14:textId="77777777" w:rsidR="006A50EF" w:rsidRPr="006A50EF" w:rsidRDefault="006A50EF" w:rsidP="006A50EF">
      <w:pPr>
        <w:widowControl w:val="0"/>
        <w:autoSpaceDE w:val="0"/>
        <w:autoSpaceDN w:val="0"/>
        <w:adjustRightInd w:val="0"/>
        <w:spacing w:after="180"/>
        <w:ind w:left="480" w:hanging="480"/>
        <w:rPr>
          <w:rFonts w:hAnsi="Times New Roman" w:cs="Times New Roman"/>
          <w:noProof/>
          <w:lang w:val="en-GB"/>
        </w:rPr>
      </w:pPr>
      <w:r w:rsidRPr="006A50EF">
        <w:rPr>
          <w:rFonts w:hAnsi="Times New Roman" w:cs="Times New Roman"/>
          <w:noProof/>
          <w:lang w:val="en-GB"/>
        </w:rPr>
        <w:t xml:space="preserve">Born, J., Linder, H. P., &amp; Desmet, P. (2007). The Greater Cape Floristic Region. </w:t>
      </w:r>
      <w:r w:rsidRPr="006A50EF">
        <w:rPr>
          <w:rFonts w:hAnsi="Times New Roman" w:cs="Times New Roman"/>
          <w:i/>
          <w:iCs/>
          <w:noProof/>
          <w:lang w:val="en-GB"/>
        </w:rPr>
        <w:t>Journal of Biogeography</w:t>
      </w:r>
      <w:r w:rsidRPr="006A50EF">
        <w:rPr>
          <w:rFonts w:hAnsi="Times New Roman" w:cs="Times New Roman"/>
          <w:noProof/>
          <w:lang w:val="en-GB"/>
        </w:rPr>
        <w:t xml:space="preserve">, </w:t>
      </w:r>
      <w:r w:rsidRPr="006A50EF">
        <w:rPr>
          <w:rFonts w:hAnsi="Times New Roman" w:cs="Times New Roman"/>
          <w:i/>
          <w:iCs/>
          <w:noProof/>
          <w:lang w:val="en-GB"/>
        </w:rPr>
        <w:t>34</w:t>
      </w:r>
      <w:r w:rsidRPr="006A50EF">
        <w:rPr>
          <w:rFonts w:hAnsi="Times New Roman" w:cs="Times New Roman"/>
          <w:noProof/>
          <w:lang w:val="en-GB"/>
        </w:rPr>
        <w:t>(1), 147–162. https://doi.org/10.1111/j.1365-2699.2006.01595.x</w:t>
      </w:r>
    </w:p>
    <w:p w14:paraId="1EBA9056" w14:textId="77777777" w:rsidR="006A50EF" w:rsidRPr="006A50EF" w:rsidRDefault="006A50EF" w:rsidP="006A50EF">
      <w:pPr>
        <w:widowControl w:val="0"/>
        <w:autoSpaceDE w:val="0"/>
        <w:autoSpaceDN w:val="0"/>
        <w:adjustRightInd w:val="0"/>
        <w:spacing w:after="180"/>
        <w:ind w:left="480" w:hanging="480"/>
        <w:rPr>
          <w:rFonts w:hAnsi="Times New Roman" w:cs="Times New Roman"/>
          <w:noProof/>
          <w:lang w:val="en-GB"/>
        </w:rPr>
      </w:pPr>
      <w:r w:rsidRPr="006A50EF">
        <w:rPr>
          <w:rFonts w:hAnsi="Times New Roman" w:cs="Times New Roman"/>
          <w:noProof/>
          <w:lang w:val="en-GB"/>
        </w:rPr>
        <w:t xml:space="preserve">Born, Julia, &amp; Linder, H. P. (2018). Water availability, fundamental niches and realized niches: A case study from the Cape flora. </w:t>
      </w:r>
      <w:r w:rsidRPr="006A50EF">
        <w:rPr>
          <w:rFonts w:hAnsi="Times New Roman" w:cs="Times New Roman"/>
          <w:i/>
          <w:iCs/>
          <w:noProof/>
          <w:lang w:val="en-GB"/>
        </w:rPr>
        <w:t>Austral Ecology</w:t>
      </w:r>
      <w:r w:rsidRPr="006A50EF">
        <w:rPr>
          <w:rFonts w:hAnsi="Times New Roman" w:cs="Times New Roman"/>
          <w:noProof/>
          <w:lang w:val="en-GB"/>
        </w:rPr>
        <w:t xml:space="preserve">, </w:t>
      </w:r>
      <w:r w:rsidRPr="006A50EF">
        <w:rPr>
          <w:rFonts w:hAnsi="Times New Roman" w:cs="Times New Roman"/>
          <w:i/>
          <w:iCs/>
          <w:noProof/>
          <w:lang w:val="en-GB"/>
        </w:rPr>
        <w:t>43</w:t>
      </w:r>
      <w:r w:rsidRPr="006A50EF">
        <w:rPr>
          <w:rFonts w:hAnsi="Times New Roman" w:cs="Times New Roman"/>
          <w:noProof/>
          <w:lang w:val="en-GB"/>
        </w:rPr>
        <w:t>(6), 696–705. https://doi.org/10.1111/aec.12616</w:t>
      </w:r>
    </w:p>
    <w:p w14:paraId="7640025D" w14:textId="77777777" w:rsidR="006A50EF" w:rsidRPr="006A50EF" w:rsidRDefault="006A50EF" w:rsidP="006A50EF">
      <w:pPr>
        <w:widowControl w:val="0"/>
        <w:autoSpaceDE w:val="0"/>
        <w:autoSpaceDN w:val="0"/>
        <w:adjustRightInd w:val="0"/>
        <w:spacing w:after="180"/>
        <w:ind w:left="480" w:hanging="480"/>
        <w:rPr>
          <w:rFonts w:hAnsi="Times New Roman" w:cs="Times New Roman"/>
          <w:noProof/>
          <w:lang w:val="en-GB"/>
        </w:rPr>
      </w:pPr>
      <w:r w:rsidRPr="006A50EF">
        <w:rPr>
          <w:rFonts w:hAnsi="Times New Roman" w:cs="Times New Roman"/>
          <w:noProof/>
          <w:lang w:val="en-GB"/>
        </w:rPr>
        <w:t xml:space="preserve">Bradshaw, P. L., &amp; Cowling, R. M. (2014). Landscapes, rock types, and climate of the Greater Cape Floristic Region. In N. Allsopp, J. F. Colville, &amp; G. A. Verboom (Eds.), </w:t>
      </w:r>
      <w:r w:rsidRPr="006A50EF">
        <w:rPr>
          <w:rFonts w:hAnsi="Times New Roman" w:cs="Times New Roman"/>
          <w:i/>
          <w:iCs/>
          <w:noProof/>
          <w:lang w:val="en-GB"/>
        </w:rPr>
        <w:t>Fynbos: Ecology, Evolution and Conservation of a Megadiverse Region</w:t>
      </w:r>
      <w:r w:rsidRPr="006A50EF">
        <w:rPr>
          <w:rFonts w:hAnsi="Times New Roman" w:cs="Times New Roman"/>
          <w:noProof/>
          <w:lang w:val="en-GB"/>
        </w:rPr>
        <w:t xml:space="preserve"> (pp. 26–46). Oxford University Press. https://doi.org/oso/9780199679584.003.0002</w:t>
      </w:r>
    </w:p>
    <w:p w14:paraId="10A7A2CC" w14:textId="77777777" w:rsidR="006A50EF" w:rsidRPr="006A50EF" w:rsidRDefault="006A50EF" w:rsidP="006A50EF">
      <w:pPr>
        <w:widowControl w:val="0"/>
        <w:autoSpaceDE w:val="0"/>
        <w:autoSpaceDN w:val="0"/>
        <w:adjustRightInd w:val="0"/>
        <w:spacing w:after="180"/>
        <w:ind w:left="480" w:hanging="480"/>
        <w:rPr>
          <w:rFonts w:hAnsi="Times New Roman" w:cs="Times New Roman"/>
          <w:noProof/>
          <w:lang w:val="en-GB"/>
        </w:rPr>
      </w:pPr>
      <w:r w:rsidRPr="006A50EF">
        <w:rPr>
          <w:rFonts w:hAnsi="Times New Roman" w:cs="Times New Roman"/>
          <w:noProof/>
          <w:lang w:val="en-GB"/>
        </w:rPr>
        <w:lastRenderedPageBreak/>
        <w:t xml:space="preserve">Byrne, M. (2008). Evidence for multiple refugia at different time scales during Pleistocene climatic oscillations in southern Australia inferred from phylogeography. </w:t>
      </w:r>
      <w:r w:rsidRPr="006A50EF">
        <w:rPr>
          <w:rFonts w:hAnsi="Times New Roman" w:cs="Times New Roman"/>
          <w:i/>
          <w:iCs/>
          <w:noProof/>
          <w:lang w:val="en-GB"/>
        </w:rPr>
        <w:t>Quaternary Science Reviews</w:t>
      </w:r>
      <w:r w:rsidRPr="006A50EF">
        <w:rPr>
          <w:rFonts w:hAnsi="Times New Roman" w:cs="Times New Roman"/>
          <w:noProof/>
          <w:lang w:val="en-GB"/>
        </w:rPr>
        <w:t xml:space="preserve">, </w:t>
      </w:r>
      <w:r w:rsidRPr="006A50EF">
        <w:rPr>
          <w:rFonts w:hAnsi="Times New Roman" w:cs="Times New Roman"/>
          <w:i/>
          <w:iCs/>
          <w:noProof/>
          <w:lang w:val="en-GB"/>
        </w:rPr>
        <w:t>27</w:t>
      </w:r>
      <w:r w:rsidRPr="006A50EF">
        <w:rPr>
          <w:rFonts w:hAnsi="Times New Roman" w:cs="Times New Roman"/>
          <w:noProof/>
          <w:lang w:val="en-GB"/>
        </w:rPr>
        <w:t>(27–28), 2576–2585. https://doi.org/10.1016/j.quascirev.2008.08.032</w:t>
      </w:r>
    </w:p>
    <w:p w14:paraId="0A1D2D13" w14:textId="77777777" w:rsidR="006A50EF" w:rsidRPr="006A50EF" w:rsidRDefault="006A50EF" w:rsidP="006A50EF">
      <w:pPr>
        <w:widowControl w:val="0"/>
        <w:autoSpaceDE w:val="0"/>
        <w:autoSpaceDN w:val="0"/>
        <w:adjustRightInd w:val="0"/>
        <w:spacing w:after="180"/>
        <w:ind w:left="480" w:hanging="480"/>
        <w:rPr>
          <w:rFonts w:hAnsi="Times New Roman" w:cs="Times New Roman"/>
          <w:noProof/>
          <w:lang w:val="en-GB"/>
        </w:rPr>
      </w:pPr>
      <w:r w:rsidRPr="006A50EF">
        <w:rPr>
          <w:rFonts w:hAnsi="Times New Roman" w:cs="Times New Roman"/>
          <w:noProof/>
          <w:lang w:val="en-GB"/>
        </w:rPr>
        <w:t xml:space="preserve">Byrne, M., &amp; Hines, B. (2004). Phylogeographical analysis of cpDNA variation in Eucalyptus loxophleba (Myrtaceae). </w:t>
      </w:r>
      <w:r w:rsidRPr="006A50EF">
        <w:rPr>
          <w:rFonts w:hAnsi="Times New Roman" w:cs="Times New Roman"/>
          <w:i/>
          <w:iCs/>
          <w:noProof/>
          <w:lang w:val="en-GB"/>
        </w:rPr>
        <w:t>Australian Journal of Botany</w:t>
      </w:r>
      <w:r w:rsidRPr="006A50EF">
        <w:rPr>
          <w:rFonts w:hAnsi="Times New Roman" w:cs="Times New Roman"/>
          <w:noProof/>
          <w:lang w:val="en-GB"/>
        </w:rPr>
        <w:t xml:space="preserve">, </w:t>
      </w:r>
      <w:r w:rsidRPr="006A50EF">
        <w:rPr>
          <w:rFonts w:hAnsi="Times New Roman" w:cs="Times New Roman"/>
          <w:i/>
          <w:iCs/>
          <w:noProof/>
          <w:lang w:val="en-GB"/>
        </w:rPr>
        <w:t>52</w:t>
      </w:r>
      <w:r w:rsidRPr="006A50EF">
        <w:rPr>
          <w:rFonts w:hAnsi="Times New Roman" w:cs="Times New Roman"/>
          <w:noProof/>
          <w:lang w:val="en-GB"/>
        </w:rPr>
        <w:t>(4), 459–470.</w:t>
      </w:r>
    </w:p>
    <w:p w14:paraId="1C56F7E3" w14:textId="77777777" w:rsidR="006A50EF" w:rsidRPr="006A50EF" w:rsidRDefault="006A50EF" w:rsidP="006A50EF">
      <w:pPr>
        <w:widowControl w:val="0"/>
        <w:autoSpaceDE w:val="0"/>
        <w:autoSpaceDN w:val="0"/>
        <w:adjustRightInd w:val="0"/>
        <w:spacing w:after="180"/>
        <w:ind w:left="480" w:hanging="480"/>
        <w:rPr>
          <w:rFonts w:hAnsi="Times New Roman" w:cs="Times New Roman"/>
          <w:noProof/>
          <w:lang w:val="en-GB"/>
        </w:rPr>
      </w:pPr>
      <w:r w:rsidRPr="006A50EF">
        <w:rPr>
          <w:rFonts w:hAnsi="Times New Roman" w:cs="Times New Roman"/>
          <w:noProof/>
          <w:lang w:val="en-GB"/>
        </w:rPr>
        <w:t xml:space="preserve">Carnicer, J., Brotons, L., Herrando, S., &amp; Sol, D. (2013). Improved empirical tests of area-heterogeneity tradeoffs. </w:t>
      </w:r>
      <w:r w:rsidRPr="006A50EF">
        <w:rPr>
          <w:rFonts w:hAnsi="Times New Roman" w:cs="Times New Roman"/>
          <w:i/>
          <w:iCs/>
          <w:noProof/>
          <w:lang w:val="en-GB"/>
        </w:rPr>
        <w:t>Proceedings of the National Academy of Sciences</w:t>
      </w:r>
      <w:r w:rsidRPr="006A50EF">
        <w:rPr>
          <w:rFonts w:hAnsi="Times New Roman" w:cs="Times New Roman"/>
          <w:noProof/>
          <w:lang w:val="en-GB"/>
        </w:rPr>
        <w:t xml:space="preserve">, </w:t>
      </w:r>
      <w:r w:rsidRPr="006A50EF">
        <w:rPr>
          <w:rFonts w:hAnsi="Times New Roman" w:cs="Times New Roman"/>
          <w:i/>
          <w:iCs/>
          <w:noProof/>
          <w:lang w:val="en-GB"/>
        </w:rPr>
        <w:t>110</w:t>
      </w:r>
      <w:r w:rsidRPr="006A50EF">
        <w:rPr>
          <w:rFonts w:hAnsi="Times New Roman" w:cs="Times New Roman"/>
          <w:noProof/>
          <w:lang w:val="en-GB"/>
        </w:rPr>
        <w:t>(31), E2858--E2860.</w:t>
      </w:r>
    </w:p>
    <w:p w14:paraId="4F708BF7" w14:textId="77777777" w:rsidR="006A50EF" w:rsidRPr="006A50EF" w:rsidRDefault="006A50EF" w:rsidP="006A50EF">
      <w:pPr>
        <w:widowControl w:val="0"/>
        <w:autoSpaceDE w:val="0"/>
        <w:autoSpaceDN w:val="0"/>
        <w:adjustRightInd w:val="0"/>
        <w:spacing w:after="180"/>
        <w:ind w:left="480" w:hanging="480"/>
        <w:rPr>
          <w:rFonts w:hAnsi="Times New Roman" w:cs="Times New Roman"/>
          <w:noProof/>
          <w:lang w:val="en-GB"/>
        </w:rPr>
      </w:pPr>
      <w:r w:rsidRPr="006A50EF">
        <w:rPr>
          <w:rFonts w:hAnsi="Times New Roman" w:cs="Times New Roman"/>
          <w:noProof/>
          <w:lang w:val="en-GB"/>
        </w:rPr>
        <w:t xml:space="preserve">Chamberlain, S., Szocs, E., Boettiger, C., Ram, K., Bartomeus, I., Baumgartner, J., Foster, Z., &amp; O’Donnell, J. (2016). </w:t>
      </w:r>
      <w:r w:rsidRPr="006A50EF">
        <w:rPr>
          <w:rFonts w:hAnsi="Times New Roman" w:cs="Times New Roman"/>
          <w:i/>
          <w:iCs/>
          <w:noProof/>
          <w:lang w:val="en-GB"/>
        </w:rPr>
        <w:t>taxize: Taxonomic information from around the web. R package version 0.7.8</w:t>
      </w:r>
      <w:r w:rsidRPr="006A50EF">
        <w:rPr>
          <w:rFonts w:hAnsi="Times New Roman" w:cs="Times New Roman"/>
          <w:noProof/>
          <w:lang w:val="en-GB"/>
        </w:rPr>
        <w:t>. https://github.com/ropensci/taxize</w:t>
      </w:r>
    </w:p>
    <w:p w14:paraId="2BB66E08" w14:textId="77777777" w:rsidR="006A50EF" w:rsidRPr="006A50EF" w:rsidRDefault="006A50EF" w:rsidP="006A50EF">
      <w:pPr>
        <w:widowControl w:val="0"/>
        <w:autoSpaceDE w:val="0"/>
        <w:autoSpaceDN w:val="0"/>
        <w:adjustRightInd w:val="0"/>
        <w:spacing w:after="180"/>
        <w:ind w:left="480" w:hanging="480"/>
        <w:rPr>
          <w:rFonts w:hAnsi="Times New Roman" w:cs="Times New Roman"/>
          <w:noProof/>
          <w:lang w:val="en-GB"/>
        </w:rPr>
      </w:pPr>
      <w:r w:rsidRPr="006A50EF">
        <w:rPr>
          <w:rFonts w:hAnsi="Times New Roman" w:cs="Times New Roman"/>
          <w:noProof/>
          <w:lang w:val="en-GB"/>
        </w:rPr>
        <w:t xml:space="preserve">Chao, A., &amp; Jost, L. (2012). Coverage-based rarefaction and extrapolation: standardizing samples by completeness rather than size. </w:t>
      </w:r>
      <w:r w:rsidRPr="006A50EF">
        <w:rPr>
          <w:rFonts w:hAnsi="Times New Roman" w:cs="Times New Roman"/>
          <w:i/>
          <w:iCs/>
          <w:noProof/>
          <w:lang w:val="en-GB"/>
        </w:rPr>
        <w:t>Ecology</w:t>
      </w:r>
      <w:r w:rsidRPr="006A50EF">
        <w:rPr>
          <w:rFonts w:hAnsi="Times New Roman" w:cs="Times New Roman"/>
          <w:noProof/>
          <w:lang w:val="en-GB"/>
        </w:rPr>
        <w:t xml:space="preserve">, </w:t>
      </w:r>
      <w:r w:rsidRPr="006A50EF">
        <w:rPr>
          <w:rFonts w:hAnsi="Times New Roman" w:cs="Times New Roman"/>
          <w:i/>
          <w:iCs/>
          <w:noProof/>
          <w:lang w:val="en-GB"/>
        </w:rPr>
        <w:t>93</w:t>
      </w:r>
      <w:r w:rsidRPr="006A50EF">
        <w:rPr>
          <w:rFonts w:hAnsi="Times New Roman" w:cs="Times New Roman"/>
          <w:noProof/>
          <w:lang w:val="en-GB"/>
        </w:rPr>
        <w:t>(12), 2533–2547.</w:t>
      </w:r>
    </w:p>
    <w:p w14:paraId="10A7E095" w14:textId="77777777" w:rsidR="006A50EF" w:rsidRPr="006A50EF" w:rsidRDefault="006A50EF" w:rsidP="006A50EF">
      <w:pPr>
        <w:widowControl w:val="0"/>
        <w:autoSpaceDE w:val="0"/>
        <w:autoSpaceDN w:val="0"/>
        <w:adjustRightInd w:val="0"/>
        <w:spacing w:after="180"/>
        <w:ind w:left="480" w:hanging="480"/>
        <w:rPr>
          <w:rFonts w:hAnsi="Times New Roman" w:cs="Times New Roman"/>
          <w:noProof/>
          <w:lang w:val="en-GB"/>
        </w:rPr>
      </w:pPr>
      <w:r w:rsidRPr="006A50EF">
        <w:rPr>
          <w:rFonts w:hAnsi="Times New Roman" w:cs="Times New Roman"/>
          <w:noProof/>
          <w:lang w:val="en-GB"/>
        </w:rPr>
        <w:t xml:space="preserve">Cowling, R. M., &amp; Lombard, A. T. (2002). Heterogeneity, speciation/extinction history and climate: explaining regional plant diversity patterns in the Cape Floristic Region. </w:t>
      </w:r>
      <w:r w:rsidRPr="006A50EF">
        <w:rPr>
          <w:rFonts w:hAnsi="Times New Roman" w:cs="Times New Roman"/>
          <w:i/>
          <w:iCs/>
          <w:noProof/>
          <w:lang w:val="en-GB"/>
        </w:rPr>
        <w:t>Diversity and Distributions</w:t>
      </w:r>
      <w:r w:rsidRPr="006A50EF">
        <w:rPr>
          <w:rFonts w:hAnsi="Times New Roman" w:cs="Times New Roman"/>
          <w:noProof/>
          <w:lang w:val="en-GB"/>
        </w:rPr>
        <w:t xml:space="preserve">, </w:t>
      </w:r>
      <w:r w:rsidRPr="006A50EF">
        <w:rPr>
          <w:rFonts w:hAnsi="Times New Roman" w:cs="Times New Roman"/>
          <w:i/>
          <w:iCs/>
          <w:noProof/>
          <w:lang w:val="en-GB"/>
        </w:rPr>
        <w:t>8</w:t>
      </w:r>
      <w:r w:rsidRPr="006A50EF">
        <w:rPr>
          <w:rFonts w:hAnsi="Times New Roman" w:cs="Times New Roman"/>
          <w:noProof/>
          <w:lang w:val="en-GB"/>
        </w:rPr>
        <w:t>(3), 163–179.</w:t>
      </w:r>
    </w:p>
    <w:p w14:paraId="135F6609" w14:textId="77777777" w:rsidR="006A50EF" w:rsidRPr="006A50EF" w:rsidRDefault="006A50EF" w:rsidP="006A50EF">
      <w:pPr>
        <w:widowControl w:val="0"/>
        <w:autoSpaceDE w:val="0"/>
        <w:autoSpaceDN w:val="0"/>
        <w:adjustRightInd w:val="0"/>
        <w:spacing w:after="180"/>
        <w:ind w:left="480" w:hanging="480"/>
        <w:rPr>
          <w:rFonts w:hAnsi="Times New Roman" w:cs="Times New Roman"/>
          <w:noProof/>
          <w:lang w:val="en-GB"/>
        </w:rPr>
      </w:pPr>
      <w:r w:rsidRPr="006A50EF">
        <w:rPr>
          <w:rFonts w:hAnsi="Times New Roman" w:cs="Times New Roman"/>
          <w:noProof/>
          <w:lang w:val="en-GB"/>
        </w:rPr>
        <w:t xml:space="preserve">Cowling, R. M., Witkowski, E. T. F., Milewski, A. V., &amp; Newbey, K. R. (1994). Taxonomic, Edaphic and Biological Aspects of Narrow Plant Endemism on Matched Sites in Mediterranean South Africa and Australia. </w:t>
      </w:r>
      <w:r w:rsidRPr="006A50EF">
        <w:rPr>
          <w:rFonts w:hAnsi="Times New Roman" w:cs="Times New Roman"/>
          <w:i/>
          <w:iCs/>
          <w:noProof/>
          <w:lang w:val="en-GB"/>
        </w:rPr>
        <w:t>Journal of Biogeography</w:t>
      </w:r>
      <w:r w:rsidRPr="006A50EF">
        <w:rPr>
          <w:rFonts w:hAnsi="Times New Roman" w:cs="Times New Roman"/>
          <w:noProof/>
          <w:lang w:val="en-GB"/>
        </w:rPr>
        <w:t xml:space="preserve">, </w:t>
      </w:r>
      <w:r w:rsidRPr="006A50EF">
        <w:rPr>
          <w:rFonts w:hAnsi="Times New Roman" w:cs="Times New Roman"/>
          <w:i/>
          <w:iCs/>
          <w:noProof/>
          <w:lang w:val="en-GB"/>
        </w:rPr>
        <w:t>21</w:t>
      </w:r>
      <w:r w:rsidRPr="006A50EF">
        <w:rPr>
          <w:rFonts w:hAnsi="Times New Roman" w:cs="Times New Roman"/>
          <w:noProof/>
          <w:lang w:val="en-GB"/>
        </w:rPr>
        <w:t>(6), 651. https://doi.org/10.2307/2846038</w:t>
      </w:r>
    </w:p>
    <w:p w14:paraId="4DDA19B2" w14:textId="77777777" w:rsidR="006A50EF" w:rsidRPr="006A50EF" w:rsidRDefault="006A50EF" w:rsidP="006A50EF">
      <w:pPr>
        <w:widowControl w:val="0"/>
        <w:autoSpaceDE w:val="0"/>
        <w:autoSpaceDN w:val="0"/>
        <w:adjustRightInd w:val="0"/>
        <w:spacing w:after="180"/>
        <w:ind w:left="480" w:hanging="480"/>
        <w:rPr>
          <w:rFonts w:hAnsi="Times New Roman" w:cs="Times New Roman"/>
          <w:noProof/>
          <w:lang w:val="en-GB"/>
        </w:rPr>
      </w:pPr>
      <w:r w:rsidRPr="006A50EF">
        <w:rPr>
          <w:rFonts w:hAnsi="Times New Roman" w:cs="Times New Roman"/>
          <w:noProof/>
          <w:lang w:val="en-GB"/>
        </w:rPr>
        <w:t xml:space="preserve">Cowling, Richard M., Potts, A. J., Bradshaw, P. L., Colville, J., Arianoutsou, M., Ferrier, S., Forest, F., Fyllas, N. M., Hopper, S. D., Ojeda, F., Procheş, Ş., Smith, R. J., Rundel, P. W., Vassilakis, E., &amp; Zutta, B. R. (2015). Variation in plant diversity in mediterranean-climate ecosystems: The role of climatic and topographical stability. </w:t>
      </w:r>
      <w:r w:rsidRPr="006A50EF">
        <w:rPr>
          <w:rFonts w:hAnsi="Times New Roman" w:cs="Times New Roman"/>
          <w:i/>
          <w:iCs/>
          <w:noProof/>
          <w:lang w:val="en-GB"/>
        </w:rPr>
        <w:t>Journal of Biogeography</w:t>
      </w:r>
      <w:r w:rsidRPr="006A50EF">
        <w:rPr>
          <w:rFonts w:hAnsi="Times New Roman" w:cs="Times New Roman"/>
          <w:noProof/>
          <w:lang w:val="en-GB"/>
        </w:rPr>
        <w:t xml:space="preserve">, </w:t>
      </w:r>
      <w:r w:rsidRPr="006A50EF">
        <w:rPr>
          <w:rFonts w:hAnsi="Times New Roman" w:cs="Times New Roman"/>
          <w:i/>
          <w:iCs/>
          <w:noProof/>
          <w:lang w:val="en-GB"/>
        </w:rPr>
        <w:t>42</w:t>
      </w:r>
      <w:r w:rsidRPr="006A50EF">
        <w:rPr>
          <w:rFonts w:hAnsi="Times New Roman" w:cs="Times New Roman"/>
          <w:noProof/>
          <w:lang w:val="en-GB"/>
        </w:rPr>
        <w:t>(3), 552–564. https://doi.org/10.1111/jbi.12429</w:t>
      </w:r>
    </w:p>
    <w:p w14:paraId="4318A4DF" w14:textId="77777777" w:rsidR="006A50EF" w:rsidRPr="006A50EF" w:rsidRDefault="006A50EF" w:rsidP="006A50EF">
      <w:pPr>
        <w:widowControl w:val="0"/>
        <w:autoSpaceDE w:val="0"/>
        <w:autoSpaceDN w:val="0"/>
        <w:adjustRightInd w:val="0"/>
        <w:spacing w:after="180"/>
        <w:ind w:left="480" w:hanging="480"/>
        <w:rPr>
          <w:rFonts w:hAnsi="Times New Roman" w:cs="Times New Roman"/>
          <w:noProof/>
          <w:lang w:val="en-GB"/>
        </w:rPr>
      </w:pPr>
      <w:r w:rsidRPr="006A50EF">
        <w:rPr>
          <w:rFonts w:hAnsi="Times New Roman" w:cs="Times New Roman"/>
          <w:noProof/>
          <w:lang w:val="en-GB"/>
        </w:rPr>
        <w:t xml:space="preserve">Cowling, Richard M., Rundel, P. W., Lamont, B. B., Arroyo, M. K., &amp; Arianoutsou, M. (1996). Plant diversity in mediterranean-climate regions. </w:t>
      </w:r>
      <w:r w:rsidRPr="006A50EF">
        <w:rPr>
          <w:rFonts w:hAnsi="Times New Roman" w:cs="Times New Roman"/>
          <w:i/>
          <w:iCs/>
          <w:noProof/>
          <w:lang w:val="en-GB"/>
        </w:rPr>
        <w:t>Trends in Ecology and Evolution</w:t>
      </w:r>
      <w:r w:rsidRPr="006A50EF">
        <w:rPr>
          <w:rFonts w:hAnsi="Times New Roman" w:cs="Times New Roman"/>
          <w:noProof/>
          <w:lang w:val="en-GB"/>
        </w:rPr>
        <w:t xml:space="preserve">, </w:t>
      </w:r>
      <w:r w:rsidRPr="006A50EF">
        <w:rPr>
          <w:rFonts w:hAnsi="Times New Roman" w:cs="Times New Roman"/>
          <w:i/>
          <w:iCs/>
          <w:noProof/>
          <w:lang w:val="en-GB"/>
        </w:rPr>
        <w:t>11</w:t>
      </w:r>
      <w:r w:rsidRPr="006A50EF">
        <w:rPr>
          <w:rFonts w:hAnsi="Times New Roman" w:cs="Times New Roman"/>
          <w:noProof/>
          <w:lang w:val="en-GB"/>
        </w:rPr>
        <w:t>(9), 362–366. https://doi.org/10.1016/0169-5347(96)10044-6</w:t>
      </w:r>
    </w:p>
    <w:p w14:paraId="2379C55F" w14:textId="77777777" w:rsidR="006A50EF" w:rsidRPr="006A50EF" w:rsidRDefault="006A50EF" w:rsidP="006A50EF">
      <w:pPr>
        <w:widowControl w:val="0"/>
        <w:autoSpaceDE w:val="0"/>
        <w:autoSpaceDN w:val="0"/>
        <w:adjustRightInd w:val="0"/>
        <w:spacing w:after="180"/>
        <w:ind w:left="480" w:hanging="480"/>
        <w:rPr>
          <w:rFonts w:hAnsi="Times New Roman" w:cs="Times New Roman"/>
          <w:noProof/>
          <w:lang w:val="en-GB"/>
        </w:rPr>
      </w:pPr>
      <w:r w:rsidRPr="006A50EF">
        <w:rPr>
          <w:rFonts w:hAnsi="Times New Roman" w:cs="Times New Roman"/>
          <w:noProof/>
          <w:lang w:val="en-GB"/>
        </w:rPr>
        <w:t xml:space="preserve">Cowling, Richard M, Bradshaw, P. L., Colville, J. F., &amp; Forest, F. (2017). Levyns’ Law: explaining the evolution of a remarkable longitudinal gradient in Cape plant diversity. </w:t>
      </w:r>
      <w:r w:rsidRPr="006A50EF">
        <w:rPr>
          <w:rFonts w:hAnsi="Times New Roman" w:cs="Times New Roman"/>
          <w:i/>
          <w:iCs/>
          <w:noProof/>
          <w:lang w:val="en-GB"/>
        </w:rPr>
        <w:t>Transactions of the Royal Society of South Africa</w:t>
      </w:r>
      <w:r w:rsidRPr="006A50EF">
        <w:rPr>
          <w:rFonts w:hAnsi="Times New Roman" w:cs="Times New Roman"/>
          <w:noProof/>
          <w:lang w:val="en-GB"/>
        </w:rPr>
        <w:t xml:space="preserve">, </w:t>
      </w:r>
      <w:r w:rsidRPr="006A50EF">
        <w:rPr>
          <w:rFonts w:hAnsi="Times New Roman" w:cs="Times New Roman"/>
          <w:i/>
          <w:iCs/>
          <w:noProof/>
          <w:lang w:val="en-GB"/>
        </w:rPr>
        <w:t>72</w:t>
      </w:r>
      <w:r w:rsidRPr="006A50EF">
        <w:rPr>
          <w:rFonts w:hAnsi="Times New Roman" w:cs="Times New Roman"/>
          <w:noProof/>
          <w:lang w:val="en-GB"/>
        </w:rPr>
        <w:t>(2), 184–201.</w:t>
      </w:r>
    </w:p>
    <w:p w14:paraId="1195967F" w14:textId="77777777" w:rsidR="006A50EF" w:rsidRPr="006A50EF" w:rsidRDefault="006A50EF" w:rsidP="006A50EF">
      <w:pPr>
        <w:widowControl w:val="0"/>
        <w:autoSpaceDE w:val="0"/>
        <w:autoSpaceDN w:val="0"/>
        <w:adjustRightInd w:val="0"/>
        <w:spacing w:after="180"/>
        <w:ind w:left="480" w:hanging="480"/>
        <w:rPr>
          <w:rFonts w:hAnsi="Times New Roman" w:cs="Times New Roman"/>
          <w:noProof/>
          <w:lang w:val="en-GB"/>
        </w:rPr>
      </w:pPr>
      <w:r w:rsidRPr="006A50EF">
        <w:rPr>
          <w:rFonts w:hAnsi="Times New Roman" w:cs="Times New Roman"/>
          <w:noProof/>
          <w:lang w:val="en-GB"/>
        </w:rPr>
        <w:t xml:space="preserve">Cramer, M. D., &amp; Verboom, G. A. (2016). Measures of biologically relevant environmental heterogeneity improve prediction of regional plant species richness. </w:t>
      </w:r>
      <w:r w:rsidRPr="006A50EF">
        <w:rPr>
          <w:rFonts w:hAnsi="Times New Roman" w:cs="Times New Roman"/>
          <w:i/>
          <w:iCs/>
          <w:noProof/>
          <w:lang w:val="en-GB"/>
        </w:rPr>
        <w:t>Journal of Biogeography</w:t>
      </w:r>
      <w:r w:rsidRPr="006A50EF">
        <w:rPr>
          <w:rFonts w:hAnsi="Times New Roman" w:cs="Times New Roman"/>
          <w:noProof/>
          <w:lang w:val="en-GB"/>
        </w:rPr>
        <w:t xml:space="preserve">, </w:t>
      </w:r>
      <w:r w:rsidRPr="006A50EF">
        <w:rPr>
          <w:rFonts w:hAnsi="Times New Roman" w:cs="Times New Roman"/>
          <w:i/>
          <w:iCs/>
          <w:noProof/>
          <w:lang w:val="en-GB"/>
        </w:rPr>
        <w:t>44</w:t>
      </w:r>
      <w:r w:rsidRPr="006A50EF">
        <w:rPr>
          <w:rFonts w:hAnsi="Times New Roman" w:cs="Times New Roman"/>
          <w:noProof/>
          <w:lang w:val="en-GB"/>
        </w:rPr>
        <w:t>(3), 1–13. https://doi.org/10.1111/jbi.12911</w:t>
      </w:r>
    </w:p>
    <w:p w14:paraId="32BB3677" w14:textId="77777777" w:rsidR="006A50EF" w:rsidRPr="006A50EF" w:rsidRDefault="006A50EF" w:rsidP="006A50EF">
      <w:pPr>
        <w:widowControl w:val="0"/>
        <w:autoSpaceDE w:val="0"/>
        <w:autoSpaceDN w:val="0"/>
        <w:adjustRightInd w:val="0"/>
        <w:spacing w:after="180"/>
        <w:ind w:left="480" w:hanging="480"/>
        <w:rPr>
          <w:rFonts w:hAnsi="Times New Roman" w:cs="Times New Roman"/>
          <w:noProof/>
          <w:lang w:val="en-GB"/>
        </w:rPr>
      </w:pPr>
      <w:r w:rsidRPr="006A50EF">
        <w:rPr>
          <w:rFonts w:hAnsi="Times New Roman" w:cs="Times New Roman"/>
          <w:noProof/>
          <w:lang w:val="en-GB"/>
        </w:rPr>
        <w:t xml:space="preserve">Cramer, M. D., West, A. G., Power, S. C., Skelton, R., &amp; Stock, W. D. (2014). Plant ecophysiological diversity. In </w:t>
      </w:r>
      <w:r w:rsidRPr="006A50EF">
        <w:rPr>
          <w:rFonts w:hAnsi="Times New Roman" w:cs="Times New Roman"/>
          <w:i/>
          <w:iCs/>
          <w:noProof/>
          <w:lang w:val="en-GB"/>
        </w:rPr>
        <w:t>Fynbos: Ecology, Evolution and Conservation of a Megadiverse Region</w:t>
      </w:r>
      <w:r w:rsidRPr="006A50EF">
        <w:rPr>
          <w:rFonts w:hAnsi="Times New Roman" w:cs="Times New Roman"/>
          <w:noProof/>
          <w:lang w:val="en-GB"/>
        </w:rPr>
        <w:t xml:space="preserve"> (pp. 248–272). Oxford University Press. https://doi.org/oso/9780199679584.003.0011</w:t>
      </w:r>
    </w:p>
    <w:p w14:paraId="53255323" w14:textId="77777777" w:rsidR="006A50EF" w:rsidRPr="006A50EF" w:rsidRDefault="006A50EF" w:rsidP="006A50EF">
      <w:pPr>
        <w:widowControl w:val="0"/>
        <w:autoSpaceDE w:val="0"/>
        <w:autoSpaceDN w:val="0"/>
        <w:adjustRightInd w:val="0"/>
        <w:spacing w:after="180"/>
        <w:ind w:left="480" w:hanging="480"/>
        <w:rPr>
          <w:rFonts w:hAnsi="Times New Roman" w:cs="Times New Roman"/>
          <w:noProof/>
          <w:lang w:val="en-GB"/>
        </w:rPr>
      </w:pPr>
      <w:r w:rsidRPr="006A50EF">
        <w:rPr>
          <w:rFonts w:hAnsi="Times New Roman" w:cs="Times New Roman"/>
          <w:noProof/>
          <w:lang w:val="en-GB"/>
        </w:rPr>
        <w:t xml:space="preserve">Cramer, M. D., Wootton, L. M., van Mazijk, R., &amp; Verboom, G. A. (2019). New regionally modelled soil layers improve prediction of vegetation type relative to that based on global soil models. </w:t>
      </w:r>
      <w:r w:rsidRPr="006A50EF">
        <w:rPr>
          <w:rFonts w:hAnsi="Times New Roman" w:cs="Times New Roman"/>
          <w:i/>
          <w:iCs/>
          <w:noProof/>
          <w:lang w:val="en-GB"/>
        </w:rPr>
        <w:t>Diversity and Distributions</w:t>
      </w:r>
      <w:r w:rsidRPr="006A50EF">
        <w:rPr>
          <w:rFonts w:hAnsi="Times New Roman" w:cs="Times New Roman"/>
          <w:noProof/>
          <w:lang w:val="en-GB"/>
        </w:rPr>
        <w:t xml:space="preserve">, </w:t>
      </w:r>
      <w:r w:rsidRPr="006A50EF">
        <w:rPr>
          <w:rFonts w:hAnsi="Times New Roman" w:cs="Times New Roman"/>
          <w:i/>
          <w:iCs/>
          <w:noProof/>
          <w:lang w:val="en-GB"/>
        </w:rPr>
        <w:t>25</w:t>
      </w:r>
      <w:r w:rsidRPr="006A50EF">
        <w:rPr>
          <w:rFonts w:hAnsi="Times New Roman" w:cs="Times New Roman"/>
          <w:noProof/>
          <w:lang w:val="en-GB"/>
        </w:rPr>
        <w:t>(11), 1736–1750.</w:t>
      </w:r>
    </w:p>
    <w:p w14:paraId="59F352BC" w14:textId="77777777" w:rsidR="006A50EF" w:rsidRPr="006A50EF" w:rsidRDefault="006A50EF" w:rsidP="006A50EF">
      <w:pPr>
        <w:widowControl w:val="0"/>
        <w:autoSpaceDE w:val="0"/>
        <w:autoSpaceDN w:val="0"/>
        <w:adjustRightInd w:val="0"/>
        <w:spacing w:after="180"/>
        <w:ind w:left="480" w:hanging="480"/>
        <w:rPr>
          <w:rFonts w:hAnsi="Times New Roman" w:cs="Times New Roman"/>
          <w:noProof/>
          <w:lang w:val="en-GB"/>
        </w:rPr>
      </w:pPr>
      <w:r w:rsidRPr="006A50EF">
        <w:rPr>
          <w:rFonts w:hAnsi="Times New Roman" w:cs="Times New Roman"/>
          <w:noProof/>
          <w:lang w:val="en-GB"/>
        </w:rPr>
        <w:lastRenderedPageBreak/>
        <w:t xml:space="preserve">Crisp, M. D., Arroyo, M. T. K., Cook, L. G., Gandolfo, M. A., Jordan, G. J., McGlone, M. S., Weston, P. H., Westoby, M., Wilf, P., &amp; Linder, H. P. (2009). Phylogenetic biome conservatism on a global scale. </w:t>
      </w:r>
      <w:r w:rsidRPr="006A50EF">
        <w:rPr>
          <w:rFonts w:hAnsi="Times New Roman" w:cs="Times New Roman"/>
          <w:i/>
          <w:iCs/>
          <w:noProof/>
          <w:lang w:val="en-GB"/>
        </w:rPr>
        <w:t>Nature</w:t>
      </w:r>
      <w:r w:rsidRPr="006A50EF">
        <w:rPr>
          <w:rFonts w:hAnsi="Times New Roman" w:cs="Times New Roman"/>
          <w:noProof/>
          <w:lang w:val="en-GB"/>
        </w:rPr>
        <w:t xml:space="preserve">, </w:t>
      </w:r>
      <w:r w:rsidRPr="006A50EF">
        <w:rPr>
          <w:rFonts w:hAnsi="Times New Roman" w:cs="Times New Roman"/>
          <w:i/>
          <w:iCs/>
          <w:noProof/>
          <w:lang w:val="en-GB"/>
        </w:rPr>
        <w:t>458</w:t>
      </w:r>
      <w:r w:rsidRPr="006A50EF">
        <w:rPr>
          <w:rFonts w:hAnsi="Times New Roman" w:cs="Times New Roman"/>
          <w:noProof/>
          <w:lang w:val="en-GB"/>
        </w:rPr>
        <w:t>(7239), 754–756. https://doi.org/10.1038/nature07764</w:t>
      </w:r>
    </w:p>
    <w:p w14:paraId="66B9DB26" w14:textId="77777777" w:rsidR="006A50EF" w:rsidRPr="006A50EF" w:rsidRDefault="006A50EF" w:rsidP="006A50EF">
      <w:pPr>
        <w:widowControl w:val="0"/>
        <w:autoSpaceDE w:val="0"/>
        <w:autoSpaceDN w:val="0"/>
        <w:adjustRightInd w:val="0"/>
        <w:spacing w:after="180"/>
        <w:ind w:left="480" w:hanging="480"/>
        <w:rPr>
          <w:rFonts w:hAnsi="Times New Roman" w:cs="Times New Roman"/>
          <w:noProof/>
          <w:lang w:val="en-GB"/>
        </w:rPr>
      </w:pPr>
      <w:r w:rsidRPr="006A50EF">
        <w:rPr>
          <w:rFonts w:hAnsi="Times New Roman" w:cs="Times New Roman"/>
          <w:noProof/>
          <w:lang w:val="en-GB"/>
        </w:rPr>
        <w:t xml:space="preserve">Currie, D. J. (1991). Energy and large-scale patterns of animal-and plant-species richness. </w:t>
      </w:r>
      <w:r w:rsidRPr="006A50EF">
        <w:rPr>
          <w:rFonts w:hAnsi="Times New Roman" w:cs="Times New Roman"/>
          <w:i/>
          <w:iCs/>
          <w:noProof/>
          <w:lang w:val="en-GB"/>
        </w:rPr>
        <w:t>The American Naturalist</w:t>
      </w:r>
      <w:r w:rsidRPr="006A50EF">
        <w:rPr>
          <w:rFonts w:hAnsi="Times New Roman" w:cs="Times New Roman"/>
          <w:noProof/>
          <w:lang w:val="en-GB"/>
        </w:rPr>
        <w:t xml:space="preserve">, </w:t>
      </w:r>
      <w:r w:rsidRPr="006A50EF">
        <w:rPr>
          <w:rFonts w:hAnsi="Times New Roman" w:cs="Times New Roman"/>
          <w:i/>
          <w:iCs/>
          <w:noProof/>
          <w:lang w:val="en-GB"/>
        </w:rPr>
        <w:t>137</w:t>
      </w:r>
      <w:r w:rsidRPr="006A50EF">
        <w:rPr>
          <w:rFonts w:hAnsi="Times New Roman" w:cs="Times New Roman"/>
          <w:noProof/>
          <w:lang w:val="en-GB"/>
        </w:rPr>
        <w:t>(1), 27–49.</w:t>
      </w:r>
    </w:p>
    <w:p w14:paraId="03192D61" w14:textId="77777777" w:rsidR="006A50EF" w:rsidRPr="006A50EF" w:rsidRDefault="006A50EF" w:rsidP="006A50EF">
      <w:pPr>
        <w:widowControl w:val="0"/>
        <w:autoSpaceDE w:val="0"/>
        <w:autoSpaceDN w:val="0"/>
        <w:adjustRightInd w:val="0"/>
        <w:spacing w:after="180"/>
        <w:ind w:left="480" w:hanging="480"/>
        <w:rPr>
          <w:rFonts w:hAnsi="Times New Roman" w:cs="Times New Roman"/>
          <w:noProof/>
          <w:lang w:val="en-GB"/>
        </w:rPr>
      </w:pPr>
      <w:r w:rsidRPr="006A50EF">
        <w:rPr>
          <w:rFonts w:hAnsi="Times New Roman" w:cs="Times New Roman"/>
          <w:noProof/>
          <w:lang w:val="en-GB"/>
        </w:rPr>
        <w:t xml:space="preserve">Donoghue, M. J. (2008). A phylogenetic perspective on the distribution of plant diversity. </w:t>
      </w:r>
      <w:r w:rsidRPr="006A50EF">
        <w:rPr>
          <w:rFonts w:hAnsi="Times New Roman" w:cs="Times New Roman"/>
          <w:i/>
          <w:iCs/>
          <w:noProof/>
          <w:lang w:val="en-GB"/>
        </w:rPr>
        <w:t>Proceedings of the National Academy of Sciences</w:t>
      </w:r>
      <w:r w:rsidRPr="006A50EF">
        <w:rPr>
          <w:rFonts w:hAnsi="Times New Roman" w:cs="Times New Roman"/>
          <w:noProof/>
          <w:lang w:val="en-GB"/>
        </w:rPr>
        <w:t xml:space="preserve">, </w:t>
      </w:r>
      <w:r w:rsidRPr="006A50EF">
        <w:rPr>
          <w:rFonts w:hAnsi="Times New Roman" w:cs="Times New Roman"/>
          <w:i/>
          <w:iCs/>
          <w:noProof/>
          <w:lang w:val="en-GB"/>
        </w:rPr>
        <w:t>105</w:t>
      </w:r>
      <w:r w:rsidRPr="006A50EF">
        <w:rPr>
          <w:rFonts w:hAnsi="Times New Roman" w:cs="Times New Roman"/>
          <w:noProof/>
          <w:lang w:val="en-GB"/>
        </w:rPr>
        <w:t>(Supplement 1), 11549–11555. https://doi.org/10.1073/pnas.0801962105</w:t>
      </w:r>
    </w:p>
    <w:p w14:paraId="77EE9D47" w14:textId="77777777" w:rsidR="006A50EF" w:rsidRPr="006A50EF" w:rsidRDefault="006A50EF" w:rsidP="006A50EF">
      <w:pPr>
        <w:widowControl w:val="0"/>
        <w:autoSpaceDE w:val="0"/>
        <w:autoSpaceDN w:val="0"/>
        <w:adjustRightInd w:val="0"/>
        <w:spacing w:after="180"/>
        <w:ind w:left="480" w:hanging="480"/>
        <w:rPr>
          <w:rFonts w:hAnsi="Times New Roman" w:cs="Times New Roman"/>
          <w:noProof/>
          <w:lang w:val="en-GB"/>
        </w:rPr>
      </w:pPr>
      <w:r w:rsidRPr="006A50EF">
        <w:rPr>
          <w:rFonts w:hAnsi="Times New Roman" w:cs="Times New Roman"/>
          <w:noProof/>
          <w:lang w:val="en-GB"/>
        </w:rPr>
        <w:t xml:space="preserve">Engemann, K., Enquist, B. J., Sandel, B., Boyle, B., Jørgensen, P. M., Morueta-Holme, N., Peet, R. K., Violle, C., &amp; Svenning, J.-C. (2015). Limited sampling hampers “big data” estimation of species richness in a tropical biodiversity hotspot. </w:t>
      </w:r>
      <w:r w:rsidRPr="006A50EF">
        <w:rPr>
          <w:rFonts w:hAnsi="Times New Roman" w:cs="Times New Roman"/>
          <w:i/>
          <w:iCs/>
          <w:noProof/>
          <w:lang w:val="en-GB"/>
        </w:rPr>
        <w:t>Ecology and Evolution</w:t>
      </w:r>
      <w:r w:rsidRPr="006A50EF">
        <w:rPr>
          <w:rFonts w:hAnsi="Times New Roman" w:cs="Times New Roman"/>
          <w:noProof/>
          <w:lang w:val="en-GB"/>
        </w:rPr>
        <w:t xml:space="preserve">, </w:t>
      </w:r>
      <w:r w:rsidRPr="006A50EF">
        <w:rPr>
          <w:rFonts w:hAnsi="Times New Roman" w:cs="Times New Roman"/>
          <w:i/>
          <w:iCs/>
          <w:noProof/>
          <w:lang w:val="en-GB"/>
        </w:rPr>
        <w:t>5</w:t>
      </w:r>
      <w:r w:rsidRPr="006A50EF">
        <w:rPr>
          <w:rFonts w:hAnsi="Times New Roman" w:cs="Times New Roman"/>
          <w:noProof/>
          <w:lang w:val="en-GB"/>
        </w:rPr>
        <w:t>(3), 807–820.</w:t>
      </w:r>
    </w:p>
    <w:p w14:paraId="1814B218" w14:textId="77777777" w:rsidR="006A50EF" w:rsidRPr="006A50EF" w:rsidRDefault="006A50EF" w:rsidP="006A50EF">
      <w:pPr>
        <w:widowControl w:val="0"/>
        <w:autoSpaceDE w:val="0"/>
        <w:autoSpaceDN w:val="0"/>
        <w:adjustRightInd w:val="0"/>
        <w:spacing w:after="180"/>
        <w:ind w:left="480" w:hanging="480"/>
        <w:rPr>
          <w:rFonts w:hAnsi="Times New Roman" w:cs="Times New Roman"/>
          <w:noProof/>
          <w:lang w:val="en-GB"/>
        </w:rPr>
      </w:pPr>
      <w:r w:rsidRPr="006A50EF">
        <w:rPr>
          <w:rFonts w:hAnsi="Times New Roman" w:cs="Times New Roman"/>
          <w:noProof/>
          <w:lang w:val="en-GB"/>
        </w:rPr>
        <w:t xml:space="preserve">Figueiredo, F. O. G., Zuquim, G., Tuomisto, H., Moulatlet, G. M., Balslev, H., &amp; Costa, F. R. C. (2018). Beyond climate control on species range: The importance of soil data to predict distribution of Amazonian plant species. </w:t>
      </w:r>
      <w:r w:rsidRPr="006A50EF">
        <w:rPr>
          <w:rFonts w:hAnsi="Times New Roman" w:cs="Times New Roman"/>
          <w:i/>
          <w:iCs/>
          <w:noProof/>
          <w:lang w:val="en-GB"/>
        </w:rPr>
        <w:t>Journal of Biogeography</w:t>
      </w:r>
      <w:r w:rsidRPr="006A50EF">
        <w:rPr>
          <w:rFonts w:hAnsi="Times New Roman" w:cs="Times New Roman"/>
          <w:noProof/>
          <w:lang w:val="en-GB"/>
        </w:rPr>
        <w:t xml:space="preserve">, </w:t>
      </w:r>
      <w:r w:rsidRPr="006A50EF">
        <w:rPr>
          <w:rFonts w:hAnsi="Times New Roman" w:cs="Times New Roman"/>
          <w:i/>
          <w:iCs/>
          <w:noProof/>
          <w:lang w:val="en-GB"/>
        </w:rPr>
        <w:t>45</w:t>
      </w:r>
      <w:r w:rsidRPr="006A50EF">
        <w:rPr>
          <w:rFonts w:hAnsi="Times New Roman" w:cs="Times New Roman"/>
          <w:noProof/>
          <w:lang w:val="en-GB"/>
        </w:rPr>
        <w:t>(1), 190–200. https://doi.org/10.1111/jbi.13104</w:t>
      </w:r>
    </w:p>
    <w:p w14:paraId="6D011284" w14:textId="77777777" w:rsidR="006A50EF" w:rsidRPr="006A50EF" w:rsidRDefault="006A50EF" w:rsidP="006A50EF">
      <w:pPr>
        <w:widowControl w:val="0"/>
        <w:autoSpaceDE w:val="0"/>
        <w:autoSpaceDN w:val="0"/>
        <w:adjustRightInd w:val="0"/>
        <w:spacing w:after="180"/>
        <w:ind w:left="480" w:hanging="480"/>
        <w:rPr>
          <w:rFonts w:hAnsi="Times New Roman" w:cs="Times New Roman"/>
          <w:noProof/>
          <w:lang w:val="en-GB"/>
        </w:rPr>
      </w:pPr>
      <w:r w:rsidRPr="006A50EF">
        <w:rPr>
          <w:rFonts w:hAnsi="Times New Roman" w:cs="Times New Roman"/>
          <w:noProof/>
          <w:lang w:val="en-GB"/>
        </w:rPr>
        <w:t xml:space="preserve">Froend, R., &amp; Sommer, B. (2010). Phreatophytic vegetation response to climatic and abstraction-induced groundwater drawdown: examples of long-term spatial and temporal variability in community response. </w:t>
      </w:r>
      <w:r w:rsidRPr="006A50EF">
        <w:rPr>
          <w:rFonts w:hAnsi="Times New Roman" w:cs="Times New Roman"/>
          <w:i/>
          <w:iCs/>
          <w:noProof/>
          <w:lang w:val="en-GB"/>
        </w:rPr>
        <w:t>Ecological Engineering</w:t>
      </w:r>
      <w:r w:rsidRPr="006A50EF">
        <w:rPr>
          <w:rFonts w:hAnsi="Times New Roman" w:cs="Times New Roman"/>
          <w:noProof/>
          <w:lang w:val="en-GB"/>
        </w:rPr>
        <w:t xml:space="preserve">, </w:t>
      </w:r>
      <w:r w:rsidRPr="006A50EF">
        <w:rPr>
          <w:rFonts w:hAnsi="Times New Roman" w:cs="Times New Roman"/>
          <w:i/>
          <w:iCs/>
          <w:noProof/>
          <w:lang w:val="en-GB"/>
        </w:rPr>
        <w:t>36</w:t>
      </w:r>
      <w:r w:rsidRPr="006A50EF">
        <w:rPr>
          <w:rFonts w:hAnsi="Times New Roman" w:cs="Times New Roman"/>
          <w:noProof/>
          <w:lang w:val="en-GB"/>
        </w:rPr>
        <w:t>(9), 1191–1200.</w:t>
      </w:r>
    </w:p>
    <w:p w14:paraId="5D303CF3" w14:textId="77777777" w:rsidR="006A50EF" w:rsidRPr="006A50EF" w:rsidRDefault="006A50EF" w:rsidP="006A50EF">
      <w:pPr>
        <w:widowControl w:val="0"/>
        <w:autoSpaceDE w:val="0"/>
        <w:autoSpaceDN w:val="0"/>
        <w:adjustRightInd w:val="0"/>
        <w:spacing w:after="180"/>
        <w:ind w:left="480" w:hanging="480"/>
        <w:rPr>
          <w:rFonts w:hAnsi="Times New Roman" w:cs="Times New Roman"/>
          <w:noProof/>
          <w:lang w:val="en-GB"/>
        </w:rPr>
      </w:pPr>
      <w:r w:rsidRPr="006A50EF">
        <w:rPr>
          <w:rFonts w:hAnsi="Times New Roman" w:cs="Times New Roman"/>
          <w:noProof/>
          <w:lang w:val="en-GB"/>
        </w:rPr>
        <w:t xml:space="preserve">Gioia, P., &amp; Hopper, S. D. (2017). A new phytogeographic map for the Southwest Australian Floristic Region after an exceptional decade of collection and discovery. </w:t>
      </w:r>
      <w:r w:rsidRPr="006A50EF">
        <w:rPr>
          <w:rFonts w:hAnsi="Times New Roman" w:cs="Times New Roman"/>
          <w:i/>
          <w:iCs/>
          <w:noProof/>
          <w:lang w:val="en-GB"/>
        </w:rPr>
        <w:t>Botanical Journal of the Linnean Society</w:t>
      </w:r>
      <w:r w:rsidRPr="006A50EF">
        <w:rPr>
          <w:rFonts w:hAnsi="Times New Roman" w:cs="Times New Roman"/>
          <w:noProof/>
          <w:lang w:val="en-GB"/>
        </w:rPr>
        <w:t xml:space="preserve">, </w:t>
      </w:r>
      <w:r w:rsidRPr="006A50EF">
        <w:rPr>
          <w:rFonts w:hAnsi="Times New Roman" w:cs="Times New Roman"/>
          <w:i/>
          <w:iCs/>
          <w:noProof/>
          <w:lang w:val="en-GB"/>
        </w:rPr>
        <w:t>184</w:t>
      </w:r>
      <w:r w:rsidRPr="006A50EF">
        <w:rPr>
          <w:rFonts w:hAnsi="Times New Roman" w:cs="Times New Roman"/>
          <w:noProof/>
          <w:lang w:val="en-GB"/>
        </w:rPr>
        <w:t>(1), 1–15. https://doi.org/10.1093/botlinnean/box010</w:t>
      </w:r>
    </w:p>
    <w:p w14:paraId="1E9F1ECE" w14:textId="77777777" w:rsidR="006A50EF" w:rsidRPr="006A50EF" w:rsidRDefault="006A50EF" w:rsidP="006A50EF">
      <w:pPr>
        <w:widowControl w:val="0"/>
        <w:autoSpaceDE w:val="0"/>
        <w:autoSpaceDN w:val="0"/>
        <w:adjustRightInd w:val="0"/>
        <w:spacing w:after="180"/>
        <w:ind w:left="480" w:hanging="480"/>
        <w:rPr>
          <w:rFonts w:hAnsi="Times New Roman" w:cs="Times New Roman"/>
          <w:noProof/>
          <w:lang w:val="en-GB"/>
        </w:rPr>
      </w:pPr>
      <w:r w:rsidRPr="006A50EF">
        <w:rPr>
          <w:rFonts w:hAnsi="Times New Roman" w:cs="Times New Roman"/>
          <w:noProof/>
          <w:lang w:val="en-GB"/>
        </w:rPr>
        <w:t xml:space="preserve">Goldblatt, P. (1978). An analysis of the flora of Southern Africa: its characteristics, relationships abd origins. </w:t>
      </w:r>
      <w:r w:rsidRPr="006A50EF">
        <w:rPr>
          <w:rFonts w:hAnsi="Times New Roman" w:cs="Times New Roman"/>
          <w:i/>
          <w:iCs/>
          <w:noProof/>
          <w:lang w:val="en-GB"/>
        </w:rPr>
        <w:t>Annals of the Missouri Botanical Garden</w:t>
      </w:r>
      <w:r w:rsidRPr="006A50EF">
        <w:rPr>
          <w:rFonts w:hAnsi="Times New Roman" w:cs="Times New Roman"/>
          <w:noProof/>
          <w:lang w:val="en-GB"/>
        </w:rPr>
        <w:t xml:space="preserve">, </w:t>
      </w:r>
      <w:r w:rsidRPr="006A50EF">
        <w:rPr>
          <w:rFonts w:hAnsi="Times New Roman" w:cs="Times New Roman"/>
          <w:i/>
          <w:iCs/>
          <w:noProof/>
          <w:lang w:val="en-GB"/>
        </w:rPr>
        <w:t>65</w:t>
      </w:r>
      <w:r w:rsidRPr="006A50EF">
        <w:rPr>
          <w:rFonts w:hAnsi="Times New Roman" w:cs="Times New Roman"/>
          <w:noProof/>
          <w:lang w:val="en-GB"/>
        </w:rPr>
        <w:t>, 369–436.</w:t>
      </w:r>
    </w:p>
    <w:p w14:paraId="596D8739" w14:textId="77777777" w:rsidR="006A50EF" w:rsidRPr="006A50EF" w:rsidRDefault="006A50EF" w:rsidP="006A50EF">
      <w:pPr>
        <w:widowControl w:val="0"/>
        <w:autoSpaceDE w:val="0"/>
        <w:autoSpaceDN w:val="0"/>
        <w:adjustRightInd w:val="0"/>
        <w:spacing w:after="180"/>
        <w:ind w:left="480" w:hanging="480"/>
        <w:rPr>
          <w:rFonts w:hAnsi="Times New Roman" w:cs="Times New Roman"/>
          <w:noProof/>
          <w:lang w:val="en-GB"/>
        </w:rPr>
      </w:pPr>
      <w:r w:rsidRPr="006A50EF">
        <w:rPr>
          <w:rFonts w:hAnsi="Times New Roman" w:cs="Times New Roman"/>
          <w:noProof/>
          <w:lang w:val="en-GB"/>
        </w:rPr>
        <w:t xml:space="preserve">Gotelli, N. J., &amp; Colwell, R. K. (2001). Quantifying biodiversity: procedures and pitfalls in the measurement and comparison of species richness. </w:t>
      </w:r>
      <w:r w:rsidRPr="006A50EF">
        <w:rPr>
          <w:rFonts w:hAnsi="Times New Roman" w:cs="Times New Roman"/>
          <w:i/>
          <w:iCs/>
          <w:noProof/>
          <w:lang w:val="en-GB"/>
        </w:rPr>
        <w:t>Ecology Letters</w:t>
      </w:r>
      <w:r w:rsidRPr="006A50EF">
        <w:rPr>
          <w:rFonts w:hAnsi="Times New Roman" w:cs="Times New Roman"/>
          <w:noProof/>
          <w:lang w:val="en-GB"/>
        </w:rPr>
        <w:t xml:space="preserve">, </w:t>
      </w:r>
      <w:r w:rsidRPr="006A50EF">
        <w:rPr>
          <w:rFonts w:hAnsi="Times New Roman" w:cs="Times New Roman"/>
          <w:i/>
          <w:iCs/>
          <w:noProof/>
          <w:lang w:val="en-GB"/>
        </w:rPr>
        <w:t>4</w:t>
      </w:r>
      <w:r w:rsidRPr="006A50EF">
        <w:rPr>
          <w:rFonts w:hAnsi="Times New Roman" w:cs="Times New Roman"/>
          <w:noProof/>
          <w:lang w:val="en-GB"/>
        </w:rPr>
        <w:t>(4), 379–391. https://doi.org/10.1046/j.1461-0248.2001.00230.x</w:t>
      </w:r>
    </w:p>
    <w:p w14:paraId="59E96CFF" w14:textId="77777777" w:rsidR="006A50EF" w:rsidRPr="006A50EF" w:rsidRDefault="006A50EF" w:rsidP="006A50EF">
      <w:pPr>
        <w:widowControl w:val="0"/>
        <w:autoSpaceDE w:val="0"/>
        <w:autoSpaceDN w:val="0"/>
        <w:adjustRightInd w:val="0"/>
        <w:spacing w:after="180"/>
        <w:ind w:left="480" w:hanging="480"/>
        <w:rPr>
          <w:rFonts w:hAnsi="Times New Roman" w:cs="Times New Roman"/>
          <w:noProof/>
          <w:lang w:val="en-GB"/>
        </w:rPr>
      </w:pPr>
      <w:r w:rsidRPr="006A50EF">
        <w:rPr>
          <w:rFonts w:hAnsi="Times New Roman" w:cs="Times New Roman"/>
          <w:noProof/>
          <w:lang w:val="en-GB"/>
        </w:rPr>
        <w:t xml:space="preserve">Hart, S. P., Usinowicz, J., &amp; Levine, J. M. (2017). The spatial scales of species coexistence. </w:t>
      </w:r>
      <w:r w:rsidRPr="006A50EF">
        <w:rPr>
          <w:rFonts w:hAnsi="Times New Roman" w:cs="Times New Roman"/>
          <w:i/>
          <w:iCs/>
          <w:noProof/>
          <w:lang w:val="en-GB"/>
        </w:rPr>
        <w:t>Nature Ecology &amp; Evolution</w:t>
      </w:r>
      <w:r w:rsidRPr="006A50EF">
        <w:rPr>
          <w:rFonts w:hAnsi="Times New Roman" w:cs="Times New Roman"/>
          <w:noProof/>
          <w:lang w:val="en-GB"/>
        </w:rPr>
        <w:t xml:space="preserve">, </w:t>
      </w:r>
      <w:r w:rsidRPr="006A50EF">
        <w:rPr>
          <w:rFonts w:hAnsi="Times New Roman" w:cs="Times New Roman"/>
          <w:i/>
          <w:iCs/>
          <w:noProof/>
          <w:lang w:val="en-GB"/>
        </w:rPr>
        <w:t>1</w:t>
      </w:r>
      <w:r w:rsidRPr="006A50EF">
        <w:rPr>
          <w:rFonts w:hAnsi="Times New Roman" w:cs="Times New Roman"/>
          <w:noProof/>
          <w:lang w:val="en-GB"/>
        </w:rPr>
        <w:t>(8), 1066–1073. https://doi.org/10.1038/s41559-017-0230-7</w:t>
      </w:r>
    </w:p>
    <w:p w14:paraId="6B0763ED" w14:textId="77777777" w:rsidR="006A50EF" w:rsidRPr="006A50EF" w:rsidRDefault="006A50EF" w:rsidP="006A50EF">
      <w:pPr>
        <w:widowControl w:val="0"/>
        <w:autoSpaceDE w:val="0"/>
        <w:autoSpaceDN w:val="0"/>
        <w:adjustRightInd w:val="0"/>
        <w:spacing w:after="180"/>
        <w:ind w:left="480" w:hanging="480"/>
        <w:rPr>
          <w:rFonts w:hAnsi="Times New Roman" w:cs="Times New Roman"/>
          <w:noProof/>
          <w:lang w:val="en-GB"/>
        </w:rPr>
      </w:pPr>
      <w:r w:rsidRPr="006A50EF">
        <w:rPr>
          <w:rFonts w:hAnsi="Times New Roman" w:cs="Times New Roman"/>
          <w:noProof/>
          <w:lang w:val="en-GB"/>
        </w:rPr>
        <w:t xml:space="preserve">Hawkins, B. A., Field, R., Cornell, H. V, Currie, D. J., Guégan, J.-F., Kaufman, D. M., Kerr, J. T., Mittelbach, G. G., Oberdorff, T., O’Brien, E. M., &amp; others. (2003). Energy, water, and broad-scale geographic patterns of species richness. </w:t>
      </w:r>
      <w:r w:rsidRPr="006A50EF">
        <w:rPr>
          <w:rFonts w:hAnsi="Times New Roman" w:cs="Times New Roman"/>
          <w:i/>
          <w:iCs/>
          <w:noProof/>
          <w:lang w:val="en-GB"/>
        </w:rPr>
        <w:t>Ecology</w:t>
      </w:r>
      <w:r w:rsidRPr="006A50EF">
        <w:rPr>
          <w:rFonts w:hAnsi="Times New Roman" w:cs="Times New Roman"/>
          <w:noProof/>
          <w:lang w:val="en-GB"/>
        </w:rPr>
        <w:t xml:space="preserve">, </w:t>
      </w:r>
      <w:r w:rsidRPr="006A50EF">
        <w:rPr>
          <w:rFonts w:hAnsi="Times New Roman" w:cs="Times New Roman"/>
          <w:i/>
          <w:iCs/>
          <w:noProof/>
          <w:lang w:val="en-GB"/>
        </w:rPr>
        <w:t>84</w:t>
      </w:r>
      <w:r w:rsidRPr="006A50EF">
        <w:rPr>
          <w:rFonts w:hAnsi="Times New Roman" w:cs="Times New Roman"/>
          <w:noProof/>
          <w:lang w:val="en-GB"/>
        </w:rPr>
        <w:t>(12), 3105–3117.</w:t>
      </w:r>
    </w:p>
    <w:p w14:paraId="15916D84" w14:textId="77777777" w:rsidR="006A50EF" w:rsidRPr="006A50EF" w:rsidRDefault="006A50EF" w:rsidP="006A50EF">
      <w:pPr>
        <w:widowControl w:val="0"/>
        <w:autoSpaceDE w:val="0"/>
        <w:autoSpaceDN w:val="0"/>
        <w:adjustRightInd w:val="0"/>
        <w:spacing w:after="180"/>
        <w:ind w:left="480" w:hanging="480"/>
        <w:rPr>
          <w:rFonts w:hAnsi="Times New Roman" w:cs="Times New Roman"/>
          <w:noProof/>
          <w:lang w:val="en-GB"/>
        </w:rPr>
      </w:pPr>
      <w:r w:rsidRPr="006A50EF">
        <w:rPr>
          <w:rFonts w:hAnsi="Times New Roman" w:cs="Times New Roman"/>
          <w:noProof/>
          <w:lang w:val="en-GB"/>
        </w:rPr>
        <w:t xml:space="preserve">Hijmans, R. J. (2016). </w:t>
      </w:r>
      <w:r w:rsidRPr="006A50EF">
        <w:rPr>
          <w:rFonts w:hAnsi="Times New Roman" w:cs="Times New Roman"/>
          <w:i/>
          <w:iCs/>
          <w:noProof/>
          <w:lang w:val="en-GB"/>
        </w:rPr>
        <w:t>raster: Geographic Data Analysis and Modeling. R package version 2.5-8</w:t>
      </w:r>
      <w:r w:rsidRPr="006A50EF">
        <w:rPr>
          <w:rFonts w:hAnsi="Times New Roman" w:cs="Times New Roman"/>
          <w:noProof/>
          <w:lang w:val="en-GB"/>
        </w:rPr>
        <w:t>. https://cran.r-project.org/package=raster</w:t>
      </w:r>
    </w:p>
    <w:p w14:paraId="07232285" w14:textId="77777777" w:rsidR="006A50EF" w:rsidRPr="006A50EF" w:rsidRDefault="006A50EF" w:rsidP="006A50EF">
      <w:pPr>
        <w:widowControl w:val="0"/>
        <w:autoSpaceDE w:val="0"/>
        <w:autoSpaceDN w:val="0"/>
        <w:adjustRightInd w:val="0"/>
        <w:spacing w:after="180"/>
        <w:ind w:left="480" w:hanging="480"/>
        <w:rPr>
          <w:rFonts w:hAnsi="Times New Roman" w:cs="Times New Roman"/>
          <w:noProof/>
          <w:lang w:val="en-GB"/>
        </w:rPr>
      </w:pPr>
      <w:r w:rsidRPr="006A50EF">
        <w:rPr>
          <w:rFonts w:hAnsi="Times New Roman" w:cs="Times New Roman"/>
          <w:noProof/>
          <w:lang w:val="en-GB"/>
        </w:rPr>
        <w:t xml:space="preserve">Hopper, S. D. (1979). Biogeographical Aspects of Speciation in the Southwest Australian Flora. </w:t>
      </w:r>
      <w:r w:rsidRPr="006A50EF">
        <w:rPr>
          <w:rFonts w:hAnsi="Times New Roman" w:cs="Times New Roman"/>
          <w:i/>
          <w:iCs/>
          <w:noProof/>
          <w:lang w:val="en-GB"/>
        </w:rPr>
        <w:t>Annual Review of Ecology and Systematics</w:t>
      </w:r>
      <w:r w:rsidRPr="006A50EF">
        <w:rPr>
          <w:rFonts w:hAnsi="Times New Roman" w:cs="Times New Roman"/>
          <w:noProof/>
          <w:lang w:val="en-GB"/>
        </w:rPr>
        <w:t xml:space="preserve">, </w:t>
      </w:r>
      <w:r w:rsidRPr="006A50EF">
        <w:rPr>
          <w:rFonts w:hAnsi="Times New Roman" w:cs="Times New Roman"/>
          <w:i/>
          <w:iCs/>
          <w:noProof/>
          <w:lang w:val="en-GB"/>
        </w:rPr>
        <w:t>10</w:t>
      </w:r>
      <w:r w:rsidRPr="006A50EF">
        <w:rPr>
          <w:rFonts w:hAnsi="Times New Roman" w:cs="Times New Roman"/>
          <w:noProof/>
          <w:lang w:val="en-GB"/>
        </w:rPr>
        <w:t>, 399–422. http://www.jstor.org/stable/2096798</w:t>
      </w:r>
    </w:p>
    <w:p w14:paraId="69EFF951" w14:textId="77777777" w:rsidR="006A50EF" w:rsidRPr="006A50EF" w:rsidRDefault="006A50EF" w:rsidP="006A50EF">
      <w:pPr>
        <w:widowControl w:val="0"/>
        <w:autoSpaceDE w:val="0"/>
        <w:autoSpaceDN w:val="0"/>
        <w:adjustRightInd w:val="0"/>
        <w:spacing w:after="180"/>
        <w:ind w:left="480" w:hanging="480"/>
        <w:rPr>
          <w:rFonts w:hAnsi="Times New Roman" w:cs="Times New Roman"/>
          <w:noProof/>
          <w:lang w:val="en-GB"/>
        </w:rPr>
      </w:pPr>
      <w:r w:rsidRPr="006A50EF">
        <w:rPr>
          <w:rFonts w:hAnsi="Times New Roman" w:cs="Times New Roman"/>
          <w:noProof/>
          <w:lang w:val="en-GB"/>
        </w:rPr>
        <w:t xml:space="preserve">Hopper, S. D. (2009). OCBIL theory: Towards an integrated understanding of the evolution, ecology and conservation of biodiversity on old, climatically buffered, infertile landscapes. </w:t>
      </w:r>
      <w:r w:rsidRPr="006A50EF">
        <w:rPr>
          <w:rFonts w:hAnsi="Times New Roman" w:cs="Times New Roman"/>
          <w:i/>
          <w:iCs/>
          <w:noProof/>
          <w:lang w:val="en-GB"/>
        </w:rPr>
        <w:t>Plant and Soil</w:t>
      </w:r>
      <w:r w:rsidRPr="006A50EF">
        <w:rPr>
          <w:rFonts w:hAnsi="Times New Roman" w:cs="Times New Roman"/>
          <w:noProof/>
          <w:lang w:val="en-GB"/>
        </w:rPr>
        <w:t xml:space="preserve">, </w:t>
      </w:r>
      <w:r w:rsidRPr="006A50EF">
        <w:rPr>
          <w:rFonts w:hAnsi="Times New Roman" w:cs="Times New Roman"/>
          <w:i/>
          <w:iCs/>
          <w:noProof/>
          <w:lang w:val="en-GB"/>
        </w:rPr>
        <w:t>322</w:t>
      </w:r>
      <w:r w:rsidRPr="006A50EF">
        <w:rPr>
          <w:rFonts w:hAnsi="Times New Roman" w:cs="Times New Roman"/>
          <w:noProof/>
          <w:lang w:val="en-GB"/>
        </w:rPr>
        <w:t>(1), 49–86. https://doi.org/10.1007/s11104-009-0068-0</w:t>
      </w:r>
    </w:p>
    <w:p w14:paraId="363C90B0" w14:textId="77777777" w:rsidR="006A50EF" w:rsidRPr="006A50EF" w:rsidRDefault="006A50EF" w:rsidP="006A50EF">
      <w:pPr>
        <w:widowControl w:val="0"/>
        <w:autoSpaceDE w:val="0"/>
        <w:autoSpaceDN w:val="0"/>
        <w:adjustRightInd w:val="0"/>
        <w:spacing w:after="180"/>
        <w:ind w:left="480" w:hanging="480"/>
        <w:rPr>
          <w:rFonts w:hAnsi="Times New Roman" w:cs="Times New Roman"/>
          <w:noProof/>
          <w:lang w:val="en-GB"/>
        </w:rPr>
      </w:pPr>
      <w:r w:rsidRPr="006A50EF">
        <w:rPr>
          <w:rFonts w:hAnsi="Times New Roman" w:cs="Times New Roman"/>
          <w:noProof/>
          <w:lang w:val="en-GB"/>
        </w:rPr>
        <w:lastRenderedPageBreak/>
        <w:t xml:space="preserve">Hopper, S. D., &amp; Gioia, P. (2004a). The Southwest Australian floristic region: Evolution and conservation of a global hot spot of biodiversity. </w:t>
      </w:r>
      <w:r w:rsidRPr="006A50EF">
        <w:rPr>
          <w:rFonts w:hAnsi="Times New Roman" w:cs="Times New Roman"/>
          <w:i/>
          <w:iCs/>
          <w:noProof/>
          <w:lang w:val="en-GB"/>
        </w:rPr>
        <w:t>Annual Review of Ecology, Evolution, and Systematics</w:t>
      </w:r>
      <w:r w:rsidRPr="006A50EF">
        <w:rPr>
          <w:rFonts w:hAnsi="Times New Roman" w:cs="Times New Roman"/>
          <w:noProof/>
          <w:lang w:val="en-GB"/>
        </w:rPr>
        <w:t xml:space="preserve">, </w:t>
      </w:r>
      <w:r w:rsidRPr="006A50EF">
        <w:rPr>
          <w:rFonts w:hAnsi="Times New Roman" w:cs="Times New Roman"/>
          <w:i/>
          <w:iCs/>
          <w:noProof/>
          <w:lang w:val="en-GB"/>
        </w:rPr>
        <w:t>35</w:t>
      </w:r>
      <w:r w:rsidRPr="006A50EF">
        <w:rPr>
          <w:rFonts w:hAnsi="Times New Roman" w:cs="Times New Roman"/>
          <w:noProof/>
          <w:lang w:val="en-GB"/>
        </w:rPr>
        <w:t>, 623–650. https://doi.org/10.1146/annurev.ecolsys.35.112202.130201</w:t>
      </w:r>
    </w:p>
    <w:p w14:paraId="4C8777DE" w14:textId="77777777" w:rsidR="006A50EF" w:rsidRPr="006A50EF" w:rsidRDefault="006A50EF" w:rsidP="006A50EF">
      <w:pPr>
        <w:widowControl w:val="0"/>
        <w:autoSpaceDE w:val="0"/>
        <w:autoSpaceDN w:val="0"/>
        <w:adjustRightInd w:val="0"/>
        <w:spacing w:after="180"/>
        <w:ind w:left="480" w:hanging="480"/>
        <w:rPr>
          <w:rFonts w:hAnsi="Times New Roman" w:cs="Times New Roman"/>
          <w:noProof/>
          <w:lang w:val="en-GB"/>
        </w:rPr>
      </w:pPr>
      <w:r w:rsidRPr="006A50EF">
        <w:rPr>
          <w:rFonts w:hAnsi="Times New Roman" w:cs="Times New Roman"/>
          <w:noProof/>
          <w:lang w:val="en-GB"/>
        </w:rPr>
        <w:t xml:space="preserve">Hopper, S. D., &amp; Gioia, P. (2004b). The Southwest Australian Floristic Region : Evolution and Conservation of a Global Hot Spot of Biodiversity. </w:t>
      </w:r>
      <w:r w:rsidRPr="006A50EF">
        <w:rPr>
          <w:rFonts w:hAnsi="Times New Roman" w:cs="Times New Roman"/>
          <w:i/>
          <w:iCs/>
          <w:noProof/>
          <w:lang w:val="en-GB"/>
        </w:rPr>
        <w:t>Annual Review of Ecology, Evolution, and Systematics</w:t>
      </w:r>
      <w:r w:rsidRPr="006A50EF">
        <w:rPr>
          <w:rFonts w:hAnsi="Times New Roman" w:cs="Times New Roman"/>
          <w:noProof/>
          <w:lang w:val="en-GB"/>
        </w:rPr>
        <w:t xml:space="preserve">, </w:t>
      </w:r>
      <w:r w:rsidRPr="006A50EF">
        <w:rPr>
          <w:rFonts w:hAnsi="Times New Roman" w:cs="Times New Roman"/>
          <w:i/>
          <w:iCs/>
          <w:noProof/>
          <w:lang w:val="en-GB"/>
        </w:rPr>
        <w:t>35</w:t>
      </w:r>
      <w:r w:rsidRPr="006A50EF">
        <w:rPr>
          <w:rFonts w:hAnsi="Times New Roman" w:cs="Times New Roman"/>
          <w:noProof/>
          <w:lang w:val="en-GB"/>
        </w:rPr>
        <w:t>(1), 623–650. https://doi.org/10.1146/annurev.ecolsys.35.112202.130201</w:t>
      </w:r>
    </w:p>
    <w:p w14:paraId="040E67E1" w14:textId="77777777" w:rsidR="006A50EF" w:rsidRPr="006A50EF" w:rsidRDefault="006A50EF" w:rsidP="006A50EF">
      <w:pPr>
        <w:widowControl w:val="0"/>
        <w:autoSpaceDE w:val="0"/>
        <w:autoSpaceDN w:val="0"/>
        <w:adjustRightInd w:val="0"/>
        <w:spacing w:after="180"/>
        <w:ind w:left="480" w:hanging="480"/>
        <w:rPr>
          <w:rFonts w:hAnsi="Times New Roman" w:cs="Times New Roman"/>
          <w:noProof/>
          <w:lang w:val="en-GB"/>
        </w:rPr>
      </w:pPr>
      <w:r w:rsidRPr="006A50EF">
        <w:rPr>
          <w:rFonts w:hAnsi="Times New Roman" w:cs="Times New Roman"/>
          <w:noProof/>
          <w:lang w:val="en-GB"/>
        </w:rPr>
        <w:t xml:space="preserve">Jiménez, I., &amp; Ricklefs, R. E. (2014). Diversity anomalies and spatial climate heterogeneity. </w:t>
      </w:r>
      <w:r w:rsidRPr="006A50EF">
        <w:rPr>
          <w:rFonts w:hAnsi="Times New Roman" w:cs="Times New Roman"/>
          <w:i/>
          <w:iCs/>
          <w:noProof/>
          <w:lang w:val="en-GB"/>
        </w:rPr>
        <w:t>Global Ecology and Biogeography</w:t>
      </w:r>
      <w:r w:rsidRPr="006A50EF">
        <w:rPr>
          <w:rFonts w:hAnsi="Times New Roman" w:cs="Times New Roman"/>
          <w:noProof/>
          <w:lang w:val="en-GB"/>
        </w:rPr>
        <w:t>. https://doi.org/10.1111/geb.12181</w:t>
      </w:r>
    </w:p>
    <w:p w14:paraId="37B3C941" w14:textId="77777777" w:rsidR="006A50EF" w:rsidRPr="006A50EF" w:rsidRDefault="006A50EF" w:rsidP="006A50EF">
      <w:pPr>
        <w:widowControl w:val="0"/>
        <w:autoSpaceDE w:val="0"/>
        <w:autoSpaceDN w:val="0"/>
        <w:adjustRightInd w:val="0"/>
        <w:spacing w:after="180"/>
        <w:ind w:left="480" w:hanging="480"/>
        <w:rPr>
          <w:rFonts w:hAnsi="Times New Roman" w:cs="Times New Roman"/>
          <w:noProof/>
          <w:lang w:val="en-GB"/>
        </w:rPr>
      </w:pPr>
      <w:r w:rsidRPr="006A50EF">
        <w:rPr>
          <w:rFonts w:hAnsi="Times New Roman" w:cs="Times New Roman"/>
          <w:noProof/>
          <w:lang w:val="en-GB"/>
        </w:rPr>
        <w:t xml:space="preserve">Keppel, G., Robinson, T. P., Wardell-Johnson, G. W., Yates, C. J., Van Niel, K. P., Byrne, M., &amp; Schut, A. G. T. (2017). A low-altitude mountain range as an important refugium for two narrow endemics in the Southwest Australian Floristic Region biodiversity hotspot. </w:t>
      </w:r>
      <w:r w:rsidRPr="006A50EF">
        <w:rPr>
          <w:rFonts w:hAnsi="Times New Roman" w:cs="Times New Roman"/>
          <w:i/>
          <w:iCs/>
          <w:noProof/>
          <w:lang w:val="en-GB"/>
        </w:rPr>
        <w:t>Annals of Botany</w:t>
      </w:r>
      <w:r w:rsidRPr="006A50EF">
        <w:rPr>
          <w:rFonts w:hAnsi="Times New Roman" w:cs="Times New Roman"/>
          <w:noProof/>
          <w:lang w:val="en-GB"/>
        </w:rPr>
        <w:t xml:space="preserve">, </w:t>
      </w:r>
      <w:r w:rsidRPr="006A50EF">
        <w:rPr>
          <w:rFonts w:hAnsi="Times New Roman" w:cs="Times New Roman"/>
          <w:i/>
          <w:iCs/>
          <w:noProof/>
          <w:lang w:val="en-GB"/>
        </w:rPr>
        <w:t>119</w:t>
      </w:r>
      <w:r w:rsidRPr="006A50EF">
        <w:rPr>
          <w:rFonts w:hAnsi="Times New Roman" w:cs="Times New Roman"/>
          <w:noProof/>
          <w:lang w:val="en-GB"/>
        </w:rPr>
        <w:t>(2), 289–300. https://doi.org/10.1093/aob/mcw182</w:t>
      </w:r>
    </w:p>
    <w:p w14:paraId="073C8408" w14:textId="77777777" w:rsidR="006A50EF" w:rsidRPr="006A50EF" w:rsidRDefault="006A50EF" w:rsidP="006A50EF">
      <w:pPr>
        <w:widowControl w:val="0"/>
        <w:autoSpaceDE w:val="0"/>
        <w:autoSpaceDN w:val="0"/>
        <w:adjustRightInd w:val="0"/>
        <w:spacing w:after="180"/>
        <w:ind w:left="480" w:hanging="480"/>
        <w:rPr>
          <w:rFonts w:hAnsi="Times New Roman" w:cs="Times New Roman"/>
          <w:noProof/>
          <w:lang w:val="en-GB"/>
        </w:rPr>
      </w:pPr>
      <w:r w:rsidRPr="006A50EF">
        <w:rPr>
          <w:rFonts w:hAnsi="Times New Roman" w:cs="Times New Roman"/>
          <w:noProof/>
          <w:lang w:val="en-GB"/>
        </w:rPr>
        <w:t xml:space="preserve">Kreft, H., &amp; Jetz, W. (2007). Global patterns and determinants of vascular plant diversity. </w:t>
      </w:r>
      <w:r w:rsidRPr="006A50EF">
        <w:rPr>
          <w:rFonts w:hAnsi="Times New Roman" w:cs="Times New Roman"/>
          <w:i/>
          <w:iCs/>
          <w:noProof/>
          <w:lang w:val="en-GB"/>
        </w:rPr>
        <w:t>Proceedings of the National Academy of Sciences</w:t>
      </w:r>
      <w:r w:rsidRPr="006A50EF">
        <w:rPr>
          <w:rFonts w:hAnsi="Times New Roman" w:cs="Times New Roman"/>
          <w:noProof/>
          <w:lang w:val="en-GB"/>
        </w:rPr>
        <w:t xml:space="preserve">, </w:t>
      </w:r>
      <w:r w:rsidRPr="006A50EF">
        <w:rPr>
          <w:rFonts w:hAnsi="Times New Roman" w:cs="Times New Roman"/>
          <w:i/>
          <w:iCs/>
          <w:noProof/>
          <w:lang w:val="en-GB"/>
        </w:rPr>
        <w:t>104</w:t>
      </w:r>
      <w:r w:rsidRPr="006A50EF">
        <w:rPr>
          <w:rFonts w:hAnsi="Times New Roman" w:cs="Times New Roman"/>
          <w:noProof/>
          <w:lang w:val="en-GB"/>
        </w:rPr>
        <w:t>(14), 5925–5930. https://doi.org/10.1073/pnas.0608361104</w:t>
      </w:r>
    </w:p>
    <w:p w14:paraId="37A1C9F9" w14:textId="77777777" w:rsidR="006A50EF" w:rsidRPr="006A50EF" w:rsidRDefault="006A50EF" w:rsidP="006A50EF">
      <w:pPr>
        <w:widowControl w:val="0"/>
        <w:autoSpaceDE w:val="0"/>
        <w:autoSpaceDN w:val="0"/>
        <w:adjustRightInd w:val="0"/>
        <w:spacing w:after="180"/>
        <w:ind w:left="480" w:hanging="480"/>
        <w:rPr>
          <w:rFonts w:hAnsi="Times New Roman" w:cs="Times New Roman"/>
          <w:noProof/>
          <w:lang w:val="en-GB"/>
        </w:rPr>
      </w:pPr>
      <w:r w:rsidRPr="006A50EF">
        <w:rPr>
          <w:rFonts w:hAnsi="Times New Roman" w:cs="Times New Roman"/>
          <w:noProof/>
          <w:lang w:val="en-GB"/>
        </w:rPr>
        <w:t xml:space="preserve">Laliberte, E., Zemunik, G., &amp; Turner, B. L. (2014). Environmental filtering explains variation in plant diversity along resource gradients. </w:t>
      </w:r>
      <w:r w:rsidRPr="006A50EF">
        <w:rPr>
          <w:rFonts w:hAnsi="Times New Roman" w:cs="Times New Roman"/>
          <w:i/>
          <w:iCs/>
          <w:noProof/>
          <w:lang w:val="en-GB"/>
        </w:rPr>
        <w:t>Science</w:t>
      </w:r>
      <w:r w:rsidRPr="006A50EF">
        <w:rPr>
          <w:rFonts w:hAnsi="Times New Roman" w:cs="Times New Roman"/>
          <w:noProof/>
          <w:lang w:val="en-GB"/>
        </w:rPr>
        <w:t xml:space="preserve">, </w:t>
      </w:r>
      <w:r w:rsidRPr="006A50EF">
        <w:rPr>
          <w:rFonts w:hAnsi="Times New Roman" w:cs="Times New Roman"/>
          <w:i/>
          <w:iCs/>
          <w:noProof/>
          <w:lang w:val="en-GB"/>
        </w:rPr>
        <w:t>345</w:t>
      </w:r>
      <w:r w:rsidRPr="006A50EF">
        <w:rPr>
          <w:rFonts w:hAnsi="Times New Roman" w:cs="Times New Roman"/>
          <w:noProof/>
          <w:lang w:val="en-GB"/>
        </w:rPr>
        <w:t>(6204), 1602–1605. https://doi.org/Doi 10.1126/Science.1256330</w:t>
      </w:r>
    </w:p>
    <w:p w14:paraId="54CE2F98" w14:textId="77777777" w:rsidR="006A50EF" w:rsidRPr="006A50EF" w:rsidRDefault="006A50EF" w:rsidP="006A50EF">
      <w:pPr>
        <w:widowControl w:val="0"/>
        <w:autoSpaceDE w:val="0"/>
        <w:autoSpaceDN w:val="0"/>
        <w:adjustRightInd w:val="0"/>
        <w:spacing w:after="180"/>
        <w:ind w:left="480" w:hanging="480"/>
        <w:rPr>
          <w:rFonts w:hAnsi="Times New Roman" w:cs="Times New Roman"/>
          <w:noProof/>
          <w:lang w:val="en-GB"/>
        </w:rPr>
      </w:pPr>
      <w:r w:rsidRPr="006A50EF">
        <w:rPr>
          <w:rFonts w:hAnsi="Times New Roman" w:cs="Times New Roman"/>
          <w:noProof/>
          <w:lang w:val="en-GB"/>
        </w:rPr>
        <w:t xml:space="preserve">Lambers, H., Brundrett, M. C., Raven, J. A., &amp; Hopper, S. D. (2010). Plant mineral nutrition in ancient landscapes: high plant species diversity on infertile soils is linked to functional diversity for nutritional strategies. </w:t>
      </w:r>
      <w:r w:rsidRPr="006A50EF">
        <w:rPr>
          <w:rFonts w:hAnsi="Times New Roman" w:cs="Times New Roman"/>
          <w:i/>
          <w:iCs/>
          <w:noProof/>
          <w:lang w:val="en-GB"/>
        </w:rPr>
        <w:t>Plant and Soil</w:t>
      </w:r>
      <w:r w:rsidRPr="006A50EF">
        <w:rPr>
          <w:rFonts w:hAnsi="Times New Roman" w:cs="Times New Roman"/>
          <w:noProof/>
          <w:lang w:val="en-GB"/>
        </w:rPr>
        <w:t xml:space="preserve">, </w:t>
      </w:r>
      <w:r w:rsidRPr="006A50EF">
        <w:rPr>
          <w:rFonts w:hAnsi="Times New Roman" w:cs="Times New Roman"/>
          <w:i/>
          <w:iCs/>
          <w:noProof/>
          <w:lang w:val="en-GB"/>
        </w:rPr>
        <w:t>334</w:t>
      </w:r>
      <w:r w:rsidRPr="006A50EF">
        <w:rPr>
          <w:rFonts w:hAnsi="Times New Roman" w:cs="Times New Roman"/>
          <w:noProof/>
          <w:lang w:val="en-GB"/>
        </w:rPr>
        <w:t>(1–2), 11–31. https://doi.org/10.1007/s11104-010-0444-9</w:t>
      </w:r>
    </w:p>
    <w:p w14:paraId="0504C7C5" w14:textId="77777777" w:rsidR="006A50EF" w:rsidRPr="006A50EF" w:rsidRDefault="006A50EF" w:rsidP="006A50EF">
      <w:pPr>
        <w:widowControl w:val="0"/>
        <w:autoSpaceDE w:val="0"/>
        <w:autoSpaceDN w:val="0"/>
        <w:adjustRightInd w:val="0"/>
        <w:spacing w:after="180"/>
        <w:ind w:left="480" w:hanging="480"/>
        <w:rPr>
          <w:rFonts w:hAnsi="Times New Roman" w:cs="Times New Roman"/>
          <w:noProof/>
          <w:lang w:val="en-GB"/>
        </w:rPr>
      </w:pPr>
      <w:r w:rsidRPr="006A50EF">
        <w:rPr>
          <w:rFonts w:hAnsi="Times New Roman" w:cs="Times New Roman"/>
          <w:noProof/>
          <w:lang w:val="en-GB"/>
        </w:rPr>
        <w:t xml:space="preserve">Lambers, H., Shane, M. W., Cramer, M. D., Pearse, S. J., &amp; Veneklaas, E. J. (2006). Root structure and functioning for efficient acquisition of phosphorus: Matching morphological and physiological traits. </w:t>
      </w:r>
      <w:r w:rsidRPr="006A50EF">
        <w:rPr>
          <w:rFonts w:hAnsi="Times New Roman" w:cs="Times New Roman"/>
          <w:i/>
          <w:iCs/>
          <w:noProof/>
          <w:lang w:val="en-GB"/>
        </w:rPr>
        <w:t>Annals of Botany</w:t>
      </w:r>
      <w:r w:rsidRPr="006A50EF">
        <w:rPr>
          <w:rFonts w:hAnsi="Times New Roman" w:cs="Times New Roman"/>
          <w:noProof/>
          <w:lang w:val="en-GB"/>
        </w:rPr>
        <w:t xml:space="preserve">, </w:t>
      </w:r>
      <w:r w:rsidRPr="006A50EF">
        <w:rPr>
          <w:rFonts w:hAnsi="Times New Roman" w:cs="Times New Roman"/>
          <w:i/>
          <w:iCs/>
          <w:noProof/>
          <w:lang w:val="en-GB"/>
        </w:rPr>
        <w:t>98</w:t>
      </w:r>
      <w:r w:rsidRPr="006A50EF">
        <w:rPr>
          <w:rFonts w:hAnsi="Times New Roman" w:cs="Times New Roman"/>
          <w:noProof/>
          <w:lang w:val="en-GB"/>
        </w:rPr>
        <w:t>(4), 693–713. https://doi.org/10.1093/aob/mcl114</w:t>
      </w:r>
    </w:p>
    <w:p w14:paraId="2370731C" w14:textId="77777777" w:rsidR="006A50EF" w:rsidRPr="006A50EF" w:rsidRDefault="006A50EF" w:rsidP="006A50EF">
      <w:pPr>
        <w:widowControl w:val="0"/>
        <w:autoSpaceDE w:val="0"/>
        <w:autoSpaceDN w:val="0"/>
        <w:adjustRightInd w:val="0"/>
        <w:spacing w:after="180"/>
        <w:ind w:left="480" w:hanging="480"/>
        <w:rPr>
          <w:rFonts w:hAnsi="Times New Roman" w:cs="Times New Roman"/>
          <w:noProof/>
          <w:lang w:val="en-GB"/>
        </w:rPr>
      </w:pPr>
      <w:r w:rsidRPr="006A50EF">
        <w:rPr>
          <w:rFonts w:hAnsi="Times New Roman" w:cs="Times New Roman"/>
          <w:noProof/>
          <w:lang w:val="en-GB"/>
        </w:rPr>
        <w:t xml:space="preserve">Lamont, B. B., &amp; He, T. (2017). When did a Mediterranean-type climate originate in southwestern Australia? </w:t>
      </w:r>
      <w:r w:rsidRPr="006A50EF">
        <w:rPr>
          <w:rFonts w:hAnsi="Times New Roman" w:cs="Times New Roman"/>
          <w:i/>
          <w:iCs/>
          <w:noProof/>
          <w:lang w:val="en-GB"/>
        </w:rPr>
        <w:t>Global and Planetary Change</w:t>
      </w:r>
      <w:r w:rsidRPr="006A50EF">
        <w:rPr>
          <w:rFonts w:hAnsi="Times New Roman" w:cs="Times New Roman"/>
          <w:noProof/>
          <w:lang w:val="en-GB"/>
        </w:rPr>
        <w:t xml:space="preserve">, </w:t>
      </w:r>
      <w:r w:rsidRPr="006A50EF">
        <w:rPr>
          <w:rFonts w:hAnsi="Times New Roman" w:cs="Times New Roman"/>
          <w:i/>
          <w:iCs/>
          <w:noProof/>
          <w:lang w:val="en-GB"/>
        </w:rPr>
        <w:t>156</w:t>
      </w:r>
      <w:r w:rsidRPr="006A50EF">
        <w:rPr>
          <w:rFonts w:hAnsi="Times New Roman" w:cs="Times New Roman"/>
          <w:noProof/>
          <w:lang w:val="en-GB"/>
        </w:rPr>
        <w:t>, 46–58. https://doi.org/10.1016/j.gloplacha.2017.08.004</w:t>
      </w:r>
    </w:p>
    <w:p w14:paraId="2BFCC8E6" w14:textId="77777777" w:rsidR="006A50EF" w:rsidRPr="006A50EF" w:rsidRDefault="006A50EF" w:rsidP="006A50EF">
      <w:pPr>
        <w:widowControl w:val="0"/>
        <w:autoSpaceDE w:val="0"/>
        <w:autoSpaceDN w:val="0"/>
        <w:adjustRightInd w:val="0"/>
        <w:spacing w:after="180"/>
        <w:ind w:left="480" w:hanging="480"/>
        <w:rPr>
          <w:rFonts w:hAnsi="Times New Roman" w:cs="Times New Roman"/>
          <w:noProof/>
          <w:lang w:val="en-GB"/>
        </w:rPr>
      </w:pPr>
      <w:r w:rsidRPr="006A50EF">
        <w:rPr>
          <w:rFonts w:hAnsi="Times New Roman" w:cs="Times New Roman"/>
          <w:noProof/>
          <w:lang w:val="en-GB"/>
        </w:rPr>
        <w:t xml:space="preserve">Larsen, R., Holmern, T., Prager, S. D., Maliti, H., &amp; Røskaft, E. (2009). Using the extended quarter degree grid cell system to unify mapping and sharing of biodiversity data. </w:t>
      </w:r>
      <w:r w:rsidRPr="006A50EF">
        <w:rPr>
          <w:rFonts w:hAnsi="Times New Roman" w:cs="Times New Roman"/>
          <w:i/>
          <w:iCs/>
          <w:noProof/>
          <w:lang w:val="en-GB"/>
        </w:rPr>
        <w:t>African Journal of Ecology</w:t>
      </w:r>
      <w:r w:rsidRPr="006A50EF">
        <w:rPr>
          <w:rFonts w:hAnsi="Times New Roman" w:cs="Times New Roman"/>
          <w:noProof/>
          <w:lang w:val="en-GB"/>
        </w:rPr>
        <w:t xml:space="preserve">, </w:t>
      </w:r>
      <w:r w:rsidRPr="006A50EF">
        <w:rPr>
          <w:rFonts w:hAnsi="Times New Roman" w:cs="Times New Roman"/>
          <w:i/>
          <w:iCs/>
          <w:noProof/>
          <w:lang w:val="en-GB"/>
        </w:rPr>
        <w:t>47</w:t>
      </w:r>
      <w:r w:rsidRPr="006A50EF">
        <w:rPr>
          <w:rFonts w:hAnsi="Times New Roman" w:cs="Times New Roman"/>
          <w:noProof/>
          <w:lang w:val="en-GB"/>
        </w:rPr>
        <w:t>(3), 382–392. https://doi.org/10.1111/j.1365-2028.2008.00997.x</w:t>
      </w:r>
    </w:p>
    <w:p w14:paraId="1BB3DD39" w14:textId="77777777" w:rsidR="006A50EF" w:rsidRPr="006A50EF" w:rsidRDefault="006A50EF" w:rsidP="006A50EF">
      <w:pPr>
        <w:widowControl w:val="0"/>
        <w:autoSpaceDE w:val="0"/>
        <w:autoSpaceDN w:val="0"/>
        <w:adjustRightInd w:val="0"/>
        <w:spacing w:after="180"/>
        <w:ind w:left="480" w:hanging="480"/>
        <w:rPr>
          <w:rFonts w:hAnsi="Times New Roman" w:cs="Times New Roman"/>
          <w:noProof/>
          <w:lang w:val="en-GB"/>
        </w:rPr>
      </w:pPr>
      <w:r w:rsidRPr="006A50EF">
        <w:rPr>
          <w:rFonts w:hAnsi="Times New Roman" w:cs="Times New Roman"/>
          <w:noProof/>
          <w:lang w:val="en-GB"/>
        </w:rPr>
        <w:t xml:space="preserve">Levin, L. A., Sibuet, M., Gooday, A. J., Smith, C. R., &amp; Vanreusel, A. (2010). The roles of habitat heterogeneity in generating and maintaining biodiversity on continental margins: an introduction. </w:t>
      </w:r>
      <w:r w:rsidRPr="006A50EF">
        <w:rPr>
          <w:rFonts w:hAnsi="Times New Roman" w:cs="Times New Roman"/>
          <w:i/>
          <w:iCs/>
          <w:noProof/>
          <w:lang w:val="en-GB"/>
        </w:rPr>
        <w:t>Marine Ecology</w:t>
      </w:r>
      <w:r w:rsidRPr="006A50EF">
        <w:rPr>
          <w:rFonts w:hAnsi="Times New Roman" w:cs="Times New Roman"/>
          <w:noProof/>
          <w:lang w:val="en-GB"/>
        </w:rPr>
        <w:t xml:space="preserve">, </w:t>
      </w:r>
      <w:r w:rsidRPr="006A50EF">
        <w:rPr>
          <w:rFonts w:hAnsi="Times New Roman" w:cs="Times New Roman"/>
          <w:i/>
          <w:iCs/>
          <w:noProof/>
          <w:lang w:val="en-GB"/>
        </w:rPr>
        <w:t>31</w:t>
      </w:r>
      <w:r w:rsidRPr="006A50EF">
        <w:rPr>
          <w:rFonts w:hAnsi="Times New Roman" w:cs="Times New Roman"/>
          <w:noProof/>
          <w:lang w:val="en-GB"/>
        </w:rPr>
        <w:t>, 1–5. https://doi.org/10.1111/j.1439-0485.2009.00358.x</w:t>
      </w:r>
    </w:p>
    <w:p w14:paraId="5E3A99FD" w14:textId="77777777" w:rsidR="006A50EF" w:rsidRPr="006A50EF" w:rsidRDefault="006A50EF" w:rsidP="006A50EF">
      <w:pPr>
        <w:widowControl w:val="0"/>
        <w:autoSpaceDE w:val="0"/>
        <w:autoSpaceDN w:val="0"/>
        <w:adjustRightInd w:val="0"/>
        <w:spacing w:after="180"/>
        <w:ind w:left="480" w:hanging="480"/>
        <w:rPr>
          <w:rFonts w:hAnsi="Times New Roman" w:cs="Times New Roman"/>
          <w:noProof/>
          <w:lang w:val="en-GB"/>
        </w:rPr>
      </w:pPr>
      <w:r w:rsidRPr="006A50EF">
        <w:rPr>
          <w:rFonts w:hAnsi="Times New Roman" w:cs="Times New Roman"/>
          <w:noProof/>
          <w:lang w:val="en-GB"/>
        </w:rPr>
        <w:t xml:space="preserve">Linder, H. P. (2019). Rare species, Restionaceae, and the Cape flora. </w:t>
      </w:r>
      <w:r w:rsidRPr="006A50EF">
        <w:rPr>
          <w:rFonts w:hAnsi="Times New Roman" w:cs="Times New Roman"/>
          <w:i/>
          <w:iCs/>
          <w:noProof/>
          <w:lang w:val="en-GB"/>
        </w:rPr>
        <w:t>Journal of Biogeography</w:t>
      </w:r>
      <w:r w:rsidRPr="006A50EF">
        <w:rPr>
          <w:rFonts w:hAnsi="Times New Roman" w:cs="Times New Roman"/>
          <w:noProof/>
          <w:lang w:val="en-GB"/>
        </w:rPr>
        <w:t>, 1–14. https://doi.org/10.1111/jbi.13709</w:t>
      </w:r>
    </w:p>
    <w:p w14:paraId="0932674A" w14:textId="77777777" w:rsidR="006A50EF" w:rsidRPr="006A50EF" w:rsidRDefault="006A50EF" w:rsidP="006A50EF">
      <w:pPr>
        <w:widowControl w:val="0"/>
        <w:autoSpaceDE w:val="0"/>
        <w:autoSpaceDN w:val="0"/>
        <w:adjustRightInd w:val="0"/>
        <w:spacing w:after="180"/>
        <w:ind w:left="480" w:hanging="480"/>
        <w:rPr>
          <w:rFonts w:hAnsi="Times New Roman" w:cs="Times New Roman"/>
          <w:noProof/>
          <w:lang w:val="en-GB"/>
        </w:rPr>
      </w:pPr>
      <w:r w:rsidRPr="006A50EF">
        <w:rPr>
          <w:rFonts w:hAnsi="Times New Roman" w:cs="Times New Roman"/>
          <w:noProof/>
          <w:lang w:val="en-GB"/>
        </w:rPr>
        <w:t xml:space="preserve">McLaughlin, B. C., Ackerly, D. D., Klos, P. Z., Natali, J., Dawson, T. E., &amp; Thompson, S. E. (2017). Hydrologic refugia, plants, and climate change. </w:t>
      </w:r>
      <w:r w:rsidRPr="006A50EF">
        <w:rPr>
          <w:rFonts w:hAnsi="Times New Roman" w:cs="Times New Roman"/>
          <w:i/>
          <w:iCs/>
          <w:noProof/>
          <w:lang w:val="en-GB"/>
        </w:rPr>
        <w:t>Global Change Biology</w:t>
      </w:r>
      <w:r w:rsidRPr="006A50EF">
        <w:rPr>
          <w:rFonts w:hAnsi="Times New Roman" w:cs="Times New Roman"/>
          <w:noProof/>
          <w:lang w:val="en-GB"/>
        </w:rPr>
        <w:t xml:space="preserve">, </w:t>
      </w:r>
      <w:r w:rsidRPr="006A50EF">
        <w:rPr>
          <w:rFonts w:hAnsi="Times New Roman" w:cs="Times New Roman"/>
          <w:i/>
          <w:iCs/>
          <w:noProof/>
          <w:lang w:val="en-GB"/>
        </w:rPr>
        <w:t>23</w:t>
      </w:r>
      <w:r w:rsidRPr="006A50EF">
        <w:rPr>
          <w:rFonts w:hAnsi="Times New Roman" w:cs="Times New Roman"/>
          <w:noProof/>
          <w:lang w:val="en-GB"/>
        </w:rPr>
        <w:t>(8), 2941–2961.</w:t>
      </w:r>
    </w:p>
    <w:p w14:paraId="6DB13655" w14:textId="77777777" w:rsidR="006A50EF" w:rsidRPr="006A50EF" w:rsidRDefault="006A50EF" w:rsidP="006A50EF">
      <w:pPr>
        <w:widowControl w:val="0"/>
        <w:autoSpaceDE w:val="0"/>
        <w:autoSpaceDN w:val="0"/>
        <w:adjustRightInd w:val="0"/>
        <w:spacing w:after="180"/>
        <w:ind w:left="480" w:hanging="480"/>
        <w:rPr>
          <w:rFonts w:hAnsi="Times New Roman" w:cs="Times New Roman"/>
          <w:noProof/>
          <w:lang w:val="en-GB"/>
        </w:rPr>
      </w:pPr>
      <w:r w:rsidRPr="006A50EF">
        <w:rPr>
          <w:rFonts w:hAnsi="Times New Roman" w:cs="Times New Roman"/>
          <w:noProof/>
          <w:lang w:val="en-GB"/>
        </w:rPr>
        <w:lastRenderedPageBreak/>
        <w:t xml:space="preserve">Meadows, M E, Chase, B. M., &amp; Seliane, M. (2010). Holocene palaeoenvironments of the Cederberg and Swartruggens mountains, Western Cape, South Africa: pollen and stable isotope evidence from hyrax dung middens. </w:t>
      </w:r>
      <w:r w:rsidRPr="006A50EF">
        <w:rPr>
          <w:rFonts w:hAnsi="Times New Roman" w:cs="Times New Roman"/>
          <w:i/>
          <w:iCs/>
          <w:noProof/>
          <w:lang w:val="en-GB"/>
        </w:rPr>
        <w:t>Journal of Arid Environments</w:t>
      </w:r>
      <w:r w:rsidRPr="006A50EF">
        <w:rPr>
          <w:rFonts w:hAnsi="Times New Roman" w:cs="Times New Roman"/>
          <w:noProof/>
          <w:lang w:val="en-GB"/>
        </w:rPr>
        <w:t xml:space="preserve">, </w:t>
      </w:r>
      <w:r w:rsidRPr="006A50EF">
        <w:rPr>
          <w:rFonts w:hAnsi="Times New Roman" w:cs="Times New Roman"/>
          <w:i/>
          <w:iCs/>
          <w:noProof/>
          <w:lang w:val="en-GB"/>
        </w:rPr>
        <w:t>74</w:t>
      </w:r>
      <w:r w:rsidRPr="006A50EF">
        <w:rPr>
          <w:rFonts w:hAnsi="Times New Roman" w:cs="Times New Roman"/>
          <w:noProof/>
          <w:lang w:val="en-GB"/>
        </w:rPr>
        <w:t>(7), 786–793.</w:t>
      </w:r>
    </w:p>
    <w:p w14:paraId="427E3A6A" w14:textId="77777777" w:rsidR="006A50EF" w:rsidRPr="006A50EF" w:rsidRDefault="006A50EF" w:rsidP="006A50EF">
      <w:pPr>
        <w:widowControl w:val="0"/>
        <w:autoSpaceDE w:val="0"/>
        <w:autoSpaceDN w:val="0"/>
        <w:adjustRightInd w:val="0"/>
        <w:spacing w:after="180"/>
        <w:ind w:left="480" w:hanging="480"/>
        <w:rPr>
          <w:rFonts w:hAnsi="Times New Roman" w:cs="Times New Roman"/>
          <w:noProof/>
          <w:lang w:val="en-GB"/>
        </w:rPr>
      </w:pPr>
      <w:r w:rsidRPr="006A50EF">
        <w:rPr>
          <w:rFonts w:hAnsi="Times New Roman" w:cs="Times New Roman"/>
          <w:noProof/>
          <w:lang w:val="en-GB"/>
        </w:rPr>
        <w:t xml:space="preserve">Meadows, M E, &amp; Sugden, J. M. (1991). A vegetation history of the last 14,500 years on the Cederberg, SW Cape, South Africa. </w:t>
      </w:r>
      <w:r w:rsidRPr="006A50EF">
        <w:rPr>
          <w:rFonts w:hAnsi="Times New Roman" w:cs="Times New Roman"/>
          <w:i/>
          <w:iCs/>
          <w:noProof/>
          <w:lang w:val="en-GB"/>
        </w:rPr>
        <w:t>South African Journal of Science</w:t>
      </w:r>
      <w:r w:rsidRPr="006A50EF">
        <w:rPr>
          <w:rFonts w:hAnsi="Times New Roman" w:cs="Times New Roman"/>
          <w:noProof/>
          <w:lang w:val="en-GB"/>
        </w:rPr>
        <w:t xml:space="preserve">, </w:t>
      </w:r>
      <w:r w:rsidRPr="006A50EF">
        <w:rPr>
          <w:rFonts w:hAnsi="Times New Roman" w:cs="Times New Roman"/>
          <w:i/>
          <w:iCs/>
          <w:noProof/>
          <w:lang w:val="en-GB"/>
        </w:rPr>
        <w:t>87</w:t>
      </w:r>
      <w:r w:rsidRPr="006A50EF">
        <w:rPr>
          <w:rFonts w:hAnsi="Times New Roman" w:cs="Times New Roman"/>
          <w:noProof/>
          <w:lang w:val="en-GB"/>
        </w:rPr>
        <w:t>(3).</w:t>
      </w:r>
    </w:p>
    <w:p w14:paraId="7F93BEC2" w14:textId="77777777" w:rsidR="006A50EF" w:rsidRPr="006A50EF" w:rsidRDefault="006A50EF" w:rsidP="006A50EF">
      <w:pPr>
        <w:widowControl w:val="0"/>
        <w:autoSpaceDE w:val="0"/>
        <w:autoSpaceDN w:val="0"/>
        <w:adjustRightInd w:val="0"/>
        <w:spacing w:after="180"/>
        <w:ind w:left="480" w:hanging="480"/>
        <w:rPr>
          <w:rFonts w:hAnsi="Times New Roman" w:cs="Times New Roman"/>
          <w:noProof/>
          <w:lang w:val="en-GB"/>
        </w:rPr>
      </w:pPr>
      <w:r w:rsidRPr="006A50EF">
        <w:rPr>
          <w:rFonts w:hAnsi="Times New Roman" w:cs="Times New Roman"/>
          <w:noProof/>
          <w:lang w:val="en-GB"/>
        </w:rPr>
        <w:t xml:space="preserve">Meadows, Michael E, &amp; Sugden, J. M. (1993). The late Quaternary palaeoecology of a floristic kingdom: the southwestern Cape South Africa. </w:t>
      </w:r>
      <w:r w:rsidRPr="006A50EF">
        <w:rPr>
          <w:rFonts w:hAnsi="Times New Roman" w:cs="Times New Roman"/>
          <w:i/>
          <w:iCs/>
          <w:noProof/>
          <w:lang w:val="en-GB"/>
        </w:rPr>
        <w:t>Palaeogeography, Palaeoclimatology, Palaeoecology</w:t>
      </w:r>
      <w:r w:rsidRPr="006A50EF">
        <w:rPr>
          <w:rFonts w:hAnsi="Times New Roman" w:cs="Times New Roman"/>
          <w:noProof/>
          <w:lang w:val="en-GB"/>
        </w:rPr>
        <w:t xml:space="preserve">, </w:t>
      </w:r>
      <w:r w:rsidRPr="006A50EF">
        <w:rPr>
          <w:rFonts w:hAnsi="Times New Roman" w:cs="Times New Roman"/>
          <w:i/>
          <w:iCs/>
          <w:noProof/>
          <w:lang w:val="en-GB"/>
        </w:rPr>
        <w:t>101</w:t>
      </w:r>
      <w:r w:rsidRPr="006A50EF">
        <w:rPr>
          <w:rFonts w:hAnsi="Times New Roman" w:cs="Times New Roman"/>
          <w:noProof/>
          <w:lang w:val="en-GB"/>
        </w:rPr>
        <w:t>(3–4), 271–281.</w:t>
      </w:r>
    </w:p>
    <w:p w14:paraId="620A18E7" w14:textId="77777777" w:rsidR="006A50EF" w:rsidRPr="006A50EF" w:rsidRDefault="006A50EF" w:rsidP="006A50EF">
      <w:pPr>
        <w:widowControl w:val="0"/>
        <w:autoSpaceDE w:val="0"/>
        <w:autoSpaceDN w:val="0"/>
        <w:adjustRightInd w:val="0"/>
        <w:spacing w:after="180"/>
        <w:ind w:left="480" w:hanging="480"/>
        <w:rPr>
          <w:rFonts w:hAnsi="Times New Roman" w:cs="Times New Roman"/>
          <w:noProof/>
          <w:lang w:val="en-GB"/>
        </w:rPr>
      </w:pPr>
      <w:r w:rsidRPr="006A50EF">
        <w:rPr>
          <w:rFonts w:hAnsi="Times New Roman" w:cs="Times New Roman"/>
          <w:noProof/>
          <w:lang w:val="en-GB"/>
        </w:rPr>
        <w:t xml:space="preserve">Merow, C., Smith, M. J., &amp; Silander, J. A. (2013). A practical guide to MaxEnt for modeling species’ distributions: what it does, and why inputs and settings matter. </w:t>
      </w:r>
      <w:r w:rsidRPr="006A50EF">
        <w:rPr>
          <w:rFonts w:hAnsi="Times New Roman" w:cs="Times New Roman"/>
          <w:i/>
          <w:iCs/>
          <w:noProof/>
          <w:lang w:val="en-GB"/>
        </w:rPr>
        <w:t>Ecography</w:t>
      </w:r>
      <w:r w:rsidRPr="006A50EF">
        <w:rPr>
          <w:rFonts w:hAnsi="Times New Roman" w:cs="Times New Roman"/>
          <w:noProof/>
          <w:lang w:val="en-GB"/>
        </w:rPr>
        <w:t xml:space="preserve">, </w:t>
      </w:r>
      <w:r w:rsidRPr="006A50EF">
        <w:rPr>
          <w:rFonts w:hAnsi="Times New Roman" w:cs="Times New Roman"/>
          <w:i/>
          <w:iCs/>
          <w:noProof/>
          <w:lang w:val="en-GB"/>
        </w:rPr>
        <w:t>36</w:t>
      </w:r>
      <w:r w:rsidRPr="006A50EF">
        <w:rPr>
          <w:rFonts w:hAnsi="Times New Roman" w:cs="Times New Roman"/>
          <w:noProof/>
          <w:lang w:val="en-GB"/>
        </w:rPr>
        <w:t>(10), 1058–1069.</w:t>
      </w:r>
    </w:p>
    <w:p w14:paraId="386A3CA5" w14:textId="77777777" w:rsidR="006A50EF" w:rsidRPr="006A50EF" w:rsidRDefault="006A50EF" w:rsidP="006A50EF">
      <w:pPr>
        <w:widowControl w:val="0"/>
        <w:autoSpaceDE w:val="0"/>
        <w:autoSpaceDN w:val="0"/>
        <w:adjustRightInd w:val="0"/>
        <w:spacing w:after="180"/>
        <w:ind w:left="480" w:hanging="480"/>
        <w:rPr>
          <w:rFonts w:hAnsi="Times New Roman" w:cs="Times New Roman"/>
          <w:noProof/>
          <w:lang w:val="en-GB"/>
        </w:rPr>
      </w:pPr>
      <w:r w:rsidRPr="006A50EF">
        <w:rPr>
          <w:rFonts w:hAnsi="Times New Roman" w:cs="Times New Roman"/>
          <w:noProof/>
          <w:lang w:val="en-GB"/>
        </w:rPr>
        <w:t xml:space="preserve">Milewski, A. V. (1981). A comparison of vegetation height in relation to the effectiveness of rainfall in the mediterranean and adjacent arid parts of Australia and South Africa. </w:t>
      </w:r>
      <w:r w:rsidRPr="006A50EF">
        <w:rPr>
          <w:rFonts w:hAnsi="Times New Roman" w:cs="Times New Roman"/>
          <w:i/>
          <w:iCs/>
          <w:noProof/>
          <w:lang w:val="en-GB"/>
        </w:rPr>
        <w:t>Journal of Biogeography</w:t>
      </w:r>
      <w:r w:rsidRPr="006A50EF">
        <w:rPr>
          <w:rFonts w:hAnsi="Times New Roman" w:cs="Times New Roman"/>
          <w:noProof/>
          <w:lang w:val="en-GB"/>
        </w:rPr>
        <w:t xml:space="preserve">, </w:t>
      </w:r>
      <w:r w:rsidRPr="006A50EF">
        <w:rPr>
          <w:rFonts w:hAnsi="Times New Roman" w:cs="Times New Roman"/>
          <w:i/>
          <w:iCs/>
          <w:noProof/>
          <w:lang w:val="en-GB"/>
        </w:rPr>
        <w:t>8</w:t>
      </w:r>
      <w:r w:rsidRPr="006A50EF">
        <w:rPr>
          <w:rFonts w:hAnsi="Times New Roman" w:cs="Times New Roman"/>
          <w:noProof/>
          <w:lang w:val="en-GB"/>
        </w:rPr>
        <w:t>(2), 107. https://doi.org/10.2307/2844553</w:t>
      </w:r>
    </w:p>
    <w:p w14:paraId="5EA560E7" w14:textId="77777777" w:rsidR="006A50EF" w:rsidRPr="006A50EF" w:rsidRDefault="006A50EF" w:rsidP="006A50EF">
      <w:pPr>
        <w:widowControl w:val="0"/>
        <w:autoSpaceDE w:val="0"/>
        <w:autoSpaceDN w:val="0"/>
        <w:adjustRightInd w:val="0"/>
        <w:spacing w:after="180"/>
        <w:ind w:left="480" w:hanging="480"/>
        <w:rPr>
          <w:rFonts w:hAnsi="Times New Roman" w:cs="Times New Roman"/>
          <w:noProof/>
          <w:lang w:val="en-GB"/>
        </w:rPr>
      </w:pPr>
      <w:r w:rsidRPr="006A50EF">
        <w:rPr>
          <w:rFonts w:hAnsi="Times New Roman" w:cs="Times New Roman"/>
          <w:noProof/>
          <w:lang w:val="en-GB"/>
        </w:rPr>
        <w:t xml:space="preserve">Mouchet, M., Levers, C., Zupan, L., Kuemmerle, T., Plutzar, C., Erb, K., Lavorel, S., Thuiller, W., &amp; Haberl, H. (2015). Testing the effectiveness of environmental variables to explain European terrestrial vertebrate species richness across biogeographical scales. </w:t>
      </w:r>
      <w:r w:rsidRPr="006A50EF">
        <w:rPr>
          <w:rFonts w:hAnsi="Times New Roman" w:cs="Times New Roman"/>
          <w:i/>
          <w:iCs/>
          <w:noProof/>
          <w:lang w:val="en-GB"/>
        </w:rPr>
        <w:t>PLoS ONE</w:t>
      </w:r>
      <w:r w:rsidRPr="006A50EF">
        <w:rPr>
          <w:rFonts w:hAnsi="Times New Roman" w:cs="Times New Roman"/>
          <w:noProof/>
          <w:lang w:val="en-GB"/>
        </w:rPr>
        <w:t xml:space="preserve">, </w:t>
      </w:r>
      <w:r w:rsidRPr="006A50EF">
        <w:rPr>
          <w:rFonts w:hAnsi="Times New Roman" w:cs="Times New Roman"/>
          <w:i/>
          <w:iCs/>
          <w:noProof/>
          <w:lang w:val="en-GB"/>
        </w:rPr>
        <w:t>10</w:t>
      </w:r>
      <w:r w:rsidRPr="006A50EF">
        <w:rPr>
          <w:rFonts w:hAnsi="Times New Roman" w:cs="Times New Roman"/>
          <w:noProof/>
          <w:lang w:val="en-GB"/>
        </w:rPr>
        <w:t>(7), 1–16. https://doi.org/10.1371/journal.pone.0131924</w:t>
      </w:r>
    </w:p>
    <w:p w14:paraId="09836B64" w14:textId="77777777" w:rsidR="006A50EF" w:rsidRPr="006A50EF" w:rsidRDefault="006A50EF" w:rsidP="006A50EF">
      <w:pPr>
        <w:widowControl w:val="0"/>
        <w:autoSpaceDE w:val="0"/>
        <w:autoSpaceDN w:val="0"/>
        <w:adjustRightInd w:val="0"/>
        <w:spacing w:after="180"/>
        <w:ind w:left="480" w:hanging="480"/>
        <w:rPr>
          <w:rFonts w:hAnsi="Times New Roman" w:cs="Times New Roman"/>
          <w:noProof/>
          <w:lang w:val="en-GB"/>
        </w:rPr>
      </w:pPr>
      <w:r w:rsidRPr="006A50EF">
        <w:rPr>
          <w:rFonts w:hAnsi="Times New Roman" w:cs="Times New Roman"/>
          <w:noProof/>
          <w:lang w:val="en-GB"/>
        </w:rPr>
        <w:t xml:space="preserve">Mucina, L., &amp; Rutherford, M. C. (2006). </w:t>
      </w:r>
      <w:r w:rsidRPr="006A50EF">
        <w:rPr>
          <w:rFonts w:hAnsi="Times New Roman" w:cs="Times New Roman"/>
          <w:i/>
          <w:iCs/>
          <w:noProof/>
          <w:lang w:val="en-GB"/>
        </w:rPr>
        <w:t>The vegetation of South Africa, Lesotho and Swaziland.</w:t>
      </w:r>
      <w:r w:rsidRPr="006A50EF">
        <w:rPr>
          <w:rFonts w:hAnsi="Times New Roman" w:cs="Times New Roman"/>
          <w:noProof/>
          <w:lang w:val="en-GB"/>
        </w:rPr>
        <w:t xml:space="preserve"> South African National Biodiversity Institute.</w:t>
      </w:r>
    </w:p>
    <w:p w14:paraId="11BB9D45" w14:textId="77777777" w:rsidR="006A50EF" w:rsidRPr="006A50EF" w:rsidRDefault="006A50EF" w:rsidP="006A50EF">
      <w:pPr>
        <w:widowControl w:val="0"/>
        <w:autoSpaceDE w:val="0"/>
        <w:autoSpaceDN w:val="0"/>
        <w:adjustRightInd w:val="0"/>
        <w:spacing w:after="180"/>
        <w:ind w:left="480" w:hanging="480"/>
        <w:rPr>
          <w:rFonts w:hAnsi="Times New Roman" w:cs="Times New Roman"/>
          <w:noProof/>
          <w:lang w:val="en-GB"/>
        </w:rPr>
      </w:pPr>
      <w:r w:rsidRPr="006A50EF">
        <w:rPr>
          <w:rFonts w:hAnsi="Times New Roman" w:cs="Times New Roman"/>
          <w:noProof/>
          <w:lang w:val="en-GB"/>
        </w:rPr>
        <w:t xml:space="preserve">Oliver, E. G. H., Linder, H. P., &amp; Rourke, J. P. (1983). Geographical distribution of present-day Cape taxa and their phytogeographical significance. </w:t>
      </w:r>
      <w:r w:rsidRPr="006A50EF">
        <w:rPr>
          <w:rFonts w:hAnsi="Times New Roman" w:cs="Times New Roman"/>
          <w:i/>
          <w:iCs/>
          <w:noProof/>
          <w:lang w:val="en-GB"/>
        </w:rPr>
        <w:t>Bothalia</w:t>
      </w:r>
      <w:r w:rsidRPr="006A50EF">
        <w:rPr>
          <w:rFonts w:hAnsi="Times New Roman" w:cs="Times New Roman"/>
          <w:noProof/>
          <w:lang w:val="en-GB"/>
        </w:rPr>
        <w:t xml:space="preserve">, </w:t>
      </w:r>
      <w:r w:rsidRPr="006A50EF">
        <w:rPr>
          <w:rFonts w:hAnsi="Times New Roman" w:cs="Times New Roman"/>
          <w:i/>
          <w:iCs/>
          <w:noProof/>
          <w:lang w:val="en-GB"/>
        </w:rPr>
        <w:t>14</w:t>
      </w:r>
      <w:r w:rsidRPr="006A50EF">
        <w:rPr>
          <w:rFonts w:hAnsi="Times New Roman" w:cs="Times New Roman"/>
          <w:noProof/>
          <w:lang w:val="en-GB"/>
        </w:rPr>
        <w:t>(3/4), 427–440.</w:t>
      </w:r>
    </w:p>
    <w:p w14:paraId="658D0D8C" w14:textId="77777777" w:rsidR="006A50EF" w:rsidRPr="006A50EF" w:rsidRDefault="006A50EF" w:rsidP="006A50EF">
      <w:pPr>
        <w:widowControl w:val="0"/>
        <w:autoSpaceDE w:val="0"/>
        <w:autoSpaceDN w:val="0"/>
        <w:adjustRightInd w:val="0"/>
        <w:spacing w:after="180"/>
        <w:ind w:left="480" w:hanging="480"/>
        <w:rPr>
          <w:rFonts w:hAnsi="Times New Roman" w:cs="Times New Roman"/>
          <w:noProof/>
          <w:lang w:val="en-GB"/>
        </w:rPr>
      </w:pPr>
      <w:r w:rsidRPr="006A50EF">
        <w:rPr>
          <w:rFonts w:hAnsi="Times New Roman" w:cs="Times New Roman"/>
          <w:noProof/>
          <w:lang w:val="en-GB"/>
        </w:rPr>
        <w:t xml:space="preserve">Olson, D. M., Dinerstein, E., Wikramanayake, E. D., Burgess, N. D., Powell, G. V. N., Underwood, E. C., D’amico, J. A., Itoua, I., Strand, H. E., Morrison, J. C., &amp; others. (2001). Terrestrial Ecoregions of the World: A New Map of Life on Earth: A new global map of terrestrial ecoregions provides an innovative tool for conserving biodiversity. </w:t>
      </w:r>
      <w:r w:rsidRPr="006A50EF">
        <w:rPr>
          <w:rFonts w:hAnsi="Times New Roman" w:cs="Times New Roman"/>
          <w:i/>
          <w:iCs/>
          <w:noProof/>
          <w:lang w:val="en-GB"/>
        </w:rPr>
        <w:t>BioScience</w:t>
      </w:r>
      <w:r w:rsidRPr="006A50EF">
        <w:rPr>
          <w:rFonts w:hAnsi="Times New Roman" w:cs="Times New Roman"/>
          <w:noProof/>
          <w:lang w:val="en-GB"/>
        </w:rPr>
        <w:t xml:space="preserve">, </w:t>
      </w:r>
      <w:r w:rsidRPr="006A50EF">
        <w:rPr>
          <w:rFonts w:hAnsi="Times New Roman" w:cs="Times New Roman"/>
          <w:i/>
          <w:iCs/>
          <w:noProof/>
          <w:lang w:val="en-GB"/>
        </w:rPr>
        <w:t>51</w:t>
      </w:r>
      <w:r w:rsidRPr="006A50EF">
        <w:rPr>
          <w:rFonts w:hAnsi="Times New Roman" w:cs="Times New Roman"/>
          <w:noProof/>
          <w:lang w:val="en-GB"/>
        </w:rPr>
        <w:t>(11), 933–938.</w:t>
      </w:r>
    </w:p>
    <w:p w14:paraId="6F4D9783" w14:textId="77777777" w:rsidR="006A50EF" w:rsidRPr="006A50EF" w:rsidRDefault="006A50EF" w:rsidP="006A50EF">
      <w:pPr>
        <w:widowControl w:val="0"/>
        <w:autoSpaceDE w:val="0"/>
        <w:autoSpaceDN w:val="0"/>
        <w:adjustRightInd w:val="0"/>
        <w:spacing w:after="180"/>
        <w:ind w:left="480" w:hanging="480"/>
        <w:rPr>
          <w:rFonts w:hAnsi="Times New Roman" w:cs="Times New Roman"/>
          <w:noProof/>
          <w:lang w:val="en-GB"/>
        </w:rPr>
      </w:pPr>
      <w:r w:rsidRPr="006A50EF">
        <w:rPr>
          <w:rFonts w:hAnsi="Times New Roman" w:cs="Times New Roman"/>
          <w:noProof/>
          <w:lang w:val="en-GB"/>
        </w:rPr>
        <w:t xml:space="preserve">R Core Team. (2019). </w:t>
      </w:r>
      <w:r w:rsidRPr="006A50EF">
        <w:rPr>
          <w:rFonts w:hAnsi="Times New Roman" w:cs="Times New Roman"/>
          <w:i/>
          <w:iCs/>
          <w:noProof/>
          <w:lang w:val="en-GB"/>
        </w:rPr>
        <w:t>R: A Language and Environment for Statistical Computing</w:t>
      </w:r>
      <w:r w:rsidRPr="006A50EF">
        <w:rPr>
          <w:rFonts w:hAnsi="Times New Roman" w:cs="Times New Roman"/>
          <w:noProof/>
          <w:lang w:val="en-GB"/>
        </w:rPr>
        <w:t>. https://www.r-project.org/</w:t>
      </w:r>
    </w:p>
    <w:p w14:paraId="0EBA6CC3" w14:textId="77777777" w:rsidR="006A50EF" w:rsidRPr="006A50EF" w:rsidRDefault="006A50EF" w:rsidP="006A50EF">
      <w:pPr>
        <w:widowControl w:val="0"/>
        <w:autoSpaceDE w:val="0"/>
        <w:autoSpaceDN w:val="0"/>
        <w:adjustRightInd w:val="0"/>
        <w:spacing w:after="180"/>
        <w:ind w:left="480" w:hanging="480"/>
        <w:rPr>
          <w:rFonts w:hAnsi="Times New Roman" w:cs="Times New Roman"/>
          <w:noProof/>
          <w:lang w:val="en-GB"/>
        </w:rPr>
      </w:pPr>
      <w:r w:rsidRPr="006A50EF">
        <w:rPr>
          <w:rFonts w:hAnsi="Times New Roman" w:cs="Times New Roman"/>
          <w:noProof/>
          <w:lang w:val="en-GB"/>
        </w:rPr>
        <w:t xml:space="preserve">Rebelo, T. G. (2001). </w:t>
      </w:r>
      <w:r w:rsidRPr="006A50EF">
        <w:rPr>
          <w:rFonts w:hAnsi="Times New Roman" w:cs="Times New Roman"/>
          <w:i/>
          <w:iCs/>
          <w:noProof/>
          <w:lang w:val="en-GB"/>
        </w:rPr>
        <w:t>A field guide to the proteas of South Africa</w:t>
      </w:r>
      <w:r w:rsidRPr="006A50EF">
        <w:rPr>
          <w:rFonts w:hAnsi="Times New Roman" w:cs="Times New Roman"/>
          <w:noProof/>
          <w:lang w:val="en-GB"/>
        </w:rPr>
        <w:t>. Fernwood.</w:t>
      </w:r>
    </w:p>
    <w:p w14:paraId="20EB252C" w14:textId="77777777" w:rsidR="006A50EF" w:rsidRPr="006A50EF" w:rsidRDefault="006A50EF" w:rsidP="006A50EF">
      <w:pPr>
        <w:widowControl w:val="0"/>
        <w:autoSpaceDE w:val="0"/>
        <w:autoSpaceDN w:val="0"/>
        <w:adjustRightInd w:val="0"/>
        <w:spacing w:after="180"/>
        <w:ind w:left="480" w:hanging="480"/>
        <w:rPr>
          <w:rFonts w:hAnsi="Times New Roman" w:cs="Times New Roman"/>
          <w:noProof/>
          <w:lang w:val="en-GB"/>
        </w:rPr>
      </w:pPr>
      <w:r w:rsidRPr="006A50EF">
        <w:rPr>
          <w:rFonts w:hAnsi="Times New Roman" w:cs="Times New Roman"/>
          <w:noProof/>
          <w:lang w:val="en-GB"/>
        </w:rPr>
        <w:t xml:space="preserve">Ricklefs, R. E. (1987). Community diversity: relative roles of local and regional processes. </w:t>
      </w:r>
      <w:r w:rsidRPr="006A50EF">
        <w:rPr>
          <w:rFonts w:hAnsi="Times New Roman" w:cs="Times New Roman"/>
          <w:i/>
          <w:iCs/>
          <w:noProof/>
          <w:lang w:val="en-GB"/>
        </w:rPr>
        <w:t>Science, New Series</w:t>
      </w:r>
      <w:r w:rsidRPr="006A50EF">
        <w:rPr>
          <w:rFonts w:hAnsi="Times New Roman" w:cs="Times New Roman"/>
          <w:noProof/>
          <w:lang w:val="en-GB"/>
        </w:rPr>
        <w:t xml:space="preserve">, </w:t>
      </w:r>
      <w:r w:rsidRPr="006A50EF">
        <w:rPr>
          <w:rFonts w:hAnsi="Times New Roman" w:cs="Times New Roman"/>
          <w:i/>
          <w:iCs/>
          <w:noProof/>
          <w:lang w:val="en-GB"/>
        </w:rPr>
        <w:t>235</w:t>
      </w:r>
      <w:r w:rsidRPr="006A50EF">
        <w:rPr>
          <w:rFonts w:hAnsi="Times New Roman" w:cs="Times New Roman"/>
          <w:noProof/>
          <w:lang w:val="en-GB"/>
        </w:rPr>
        <w:t>(4785), 167–171.</w:t>
      </w:r>
    </w:p>
    <w:p w14:paraId="77FDC287" w14:textId="77777777" w:rsidR="006A50EF" w:rsidRPr="006A50EF" w:rsidRDefault="006A50EF" w:rsidP="006A50EF">
      <w:pPr>
        <w:widowControl w:val="0"/>
        <w:autoSpaceDE w:val="0"/>
        <w:autoSpaceDN w:val="0"/>
        <w:adjustRightInd w:val="0"/>
        <w:spacing w:after="180"/>
        <w:ind w:left="480" w:hanging="480"/>
        <w:rPr>
          <w:rFonts w:hAnsi="Times New Roman" w:cs="Times New Roman"/>
          <w:noProof/>
          <w:lang w:val="en-GB"/>
        </w:rPr>
      </w:pPr>
      <w:r w:rsidRPr="006A50EF">
        <w:rPr>
          <w:rFonts w:hAnsi="Times New Roman" w:cs="Times New Roman"/>
          <w:noProof/>
          <w:lang w:val="en-GB"/>
        </w:rPr>
        <w:t xml:space="preserve">Ricklefs, R. E. (2004). A comprehensive framework for global patterns in biodiversity. </w:t>
      </w:r>
      <w:r w:rsidRPr="006A50EF">
        <w:rPr>
          <w:rFonts w:hAnsi="Times New Roman" w:cs="Times New Roman"/>
          <w:i/>
          <w:iCs/>
          <w:noProof/>
          <w:lang w:val="en-GB"/>
        </w:rPr>
        <w:t>Ecology Letters</w:t>
      </w:r>
      <w:r w:rsidRPr="006A50EF">
        <w:rPr>
          <w:rFonts w:hAnsi="Times New Roman" w:cs="Times New Roman"/>
          <w:noProof/>
          <w:lang w:val="en-GB"/>
        </w:rPr>
        <w:t xml:space="preserve">, </w:t>
      </w:r>
      <w:r w:rsidRPr="006A50EF">
        <w:rPr>
          <w:rFonts w:hAnsi="Times New Roman" w:cs="Times New Roman"/>
          <w:i/>
          <w:iCs/>
          <w:noProof/>
          <w:lang w:val="en-GB"/>
        </w:rPr>
        <w:t>7</w:t>
      </w:r>
      <w:r w:rsidRPr="006A50EF">
        <w:rPr>
          <w:rFonts w:hAnsi="Times New Roman" w:cs="Times New Roman"/>
          <w:noProof/>
          <w:lang w:val="en-GB"/>
        </w:rPr>
        <w:t>(1), 1–15.</w:t>
      </w:r>
    </w:p>
    <w:p w14:paraId="5D1CA210" w14:textId="77777777" w:rsidR="006A50EF" w:rsidRPr="006A50EF" w:rsidRDefault="006A50EF" w:rsidP="006A50EF">
      <w:pPr>
        <w:widowControl w:val="0"/>
        <w:autoSpaceDE w:val="0"/>
        <w:autoSpaceDN w:val="0"/>
        <w:adjustRightInd w:val="0"/>
        <w:spacing w:after="180"/>
        <w:ind w:left="480" w:hanging="480"/>
        <w:rPr>
          <w:rFonts w:hAnsi="Times New Roman" w:cs="Times New Roman"/>
          <w:noProof/>
          <w:lang w:val="en-GB"/>
        </w:rPr>
      </w:pPr>
      <w:r w:rsidRPr="006A50EF">
        <w:rPr>
          <w:rFonts w:hAnsi="Times New Roman" w:cs="Times New Roman"/>
          <w:noProof/>
          <w:lang w:val="en-GB"/>
        </w:rPr>
        <w:t xml:space="preserve">Shane, M. W., Cramer, M. D., &amp; Lambers, H. (2008). Root of edaphically controlled Proteaceae turnover on the Agulhas Plain, South Africa: phosphate uptake regulation and growth. </w:t>
      </w:r>
      <w:r w:rsidRPr="006A50EF">
        <w:rPr>
          <w:rFonts w:hAnsi="Times New Roman" w:cs="Times New Roman"/>
          <w:i/>
          <w:iCs/>
          <w:noProof/>
          <w:lang w:val="en-GB"/>
        </w:rPr>
        <w:t>Plant, Cell &amp; Environment</w:t>
      </w:r>
      <w:r w:rsidRPr="006A50EF">
        <w:rPr>
          <w:rFonts w:hAnsi="Times New Roman" w:cs="Times New Roman"/>
          <w:noProof/>
          <w:lang w:val="en-GB"/>
        </w:rPr>
        <w:t xml:space="preserve">, </w:t>
      </w:r>
      <w:r w:rsidRPr="006A50EF">
        <w:rPr>
          <w:rFonts w:hAnsi="Times New Roman" w:cs="Times New Roman"/>
          <w:i/>
          <w:iCs/>
          <w:noProof/>
          <w:lang w:val="en-GB"/>
        </w:rPr>
        <w:t>31</w:t>
      </w:r>
      <w:r w:rsidRPr="006A50EF">
        <w:rPr>
          <w:rFonts w:hAnsi="Times New Roman" w:cs="Times New Roman"/>
          <w:noProof/>
          <w:lang w:val="en-GB"/>
        </w:rPr>
        <w:t>(12), 1825–1833.</w:t>
      </w:r>
    </w:p>
    <w:p w14:paraId="2E8224BE" w14:textId="77777777" w:rsidR="006A50EF" w:rsidRPr="006A50EF" w:rsidRDefault="006A50EF" w:rsidP="006A50EF">
      <w:pPr>
        <w:widowControl w:val="0"/>
        <w:autoSpaceDE w:val="0"/>
        <w:autoSpaceDN w:val="0"/>
        <w:adjustRightInd w:val="0"/>
        <w:spacing w:after="180"/>
        <w:ind w:left="480" w:hanging="480"/>
        <w:rPr>
          <w:rFonts w:hAnsi="Times New Roman" w:cs="Times New Roman"/>
          <w:noProof/>
          <w:lang w:val="en-GB"/>
        </w:rPr>
      </w:pPr>
      <w:r w:rsidRPr="006A50EF">
        <w:rPr>
          <w:rFonts w:hAnsi="Times New Roman" w:cs="Times New Roman"/>
          <w:noProof/>
          <w:lang w:val="en-GB"/>
        </w:rPr>
        <w:t xml:space="preserve">Slingsby, J. A., February, E. C., &amp; Rebelo, T. G. (2018). Water: at what cost to our unique flora? </w:t>
      </w:r>
      <w:r w:rsidRPr="006A50EF">
        <w:rPr>
          <w:rFonts w:hAnsi="Times New Roman" w:cs="Times New Roman"/>
          <w:i/>
          <w:iCs/>
          <w:noProof/>
          <w:lang w:val="en-GB"/>
        </w:rPr>
        <w:t>Veld &amp; Flora</w:t>
      </w:r>
      <w:r w:rsidRPr="006A50EF">
        <w:rPr>
          <w:rFonts w:hAnsi="Times New Roman" w:cs="Times New Roman"/>
          <w:noProof/>
          <w:lang w:val="en-GB"/>
        </w:rPr>
        <w:t xml:space="preserve">, </w:t>
      </w:r>
      <w:r w:rsidRPr="006A50EF">
        <w:rPr>
          <w:rFonts w:hAnsi="Times New Roman" w:cs="Times New Roman"/>
          <w:i/>
          <w:iCs/>
          <w:noProof/>
          <w:lang w:val="en-GB"/>
        </w:rPr>
        <w:t>June</w:t>
      </w:r>
      <w:r w:rsidRPr="006A50EF">
        <w:rPr>
          <w:rFonts w:hAnsi="Times New Roman" w:cs="Times New Roman"/>
          <w:noProof/>
          <w:lang w:val="en-GB"/>
        </w:rPr>
        <w:t>, 72–75.</w:t>
      </w:r>
    </w:p>
    <w:p w14:paraId="51C85A33" w14:textId="77777777" w:rsidR="006A50EF" w:rsidRPr="006A50EF" w:rsidRDefault="006A50EF" w:rsidP="006A50EF">
      <w:pPr>
        <w:widowControl w:val="0"/>
        <w:autoSpaceDE w:val="0"/>
        <w:autoSpaceDN w:val="0"/>
        <w:adjustRightInd w:val="0"/>
        <w:spacing w:after="180"/>
        <w:ind w:left="480" w:hanging="480"/>
        <w:rPr>
          <w:rFonts w:hAnsi="Times New Roman" w:cs="Times New Roman"/>
          <w:noProof/>
          <w:lang w:val="en-GB"/>
        </w:rPr>
      </w:pPr>
      <w:r w:rsidRPr="006A50EF">
        <w:rPr>
          <w:rFonts w:hAnsi="Times New Roman" w:cs="Times New Roman"/>
          <w:noProof/>
          <w:lang w:val="en-GB"/>
        </w:rPr>
        <w:lastRenderedPageBreak/>
        <w:t xml:space="preserve">Snijman, D. A. (2013). </w:t>
      </w:r>
      <w:r w:rsidRPr="006A50EF">
        <w:rPr>
          <w:rFonts w:hAnsi="Times New Roman" w:cs="Times New Roman"/>
          <w:i/>
          <w:iCs/>
          <w:noProof/>
          <w:lang w:val="en-GB"/>
        </w:rPr>
        <w:t>Plants of the Greater Cape Floristic Region. 2: The Extra Cape flora</w:t>
      </w:r>
      <w:r w:rsidRPr="006A50EF">
        <w:rPr>
          <w:rFonts w:hAnsi="Times New Roman" w:cs="Times New Roman"/>
          <w:noProof/>
          <w:lang w:val="en-GB"/>
        </w:rPr>
        <w:t>. South African National Biodiversity Institute.</w:t>
      </w:r>
    </w:p>
    <w:p w14:paraId="0E3933D1" w14:textId="77777777" w:rsidR="006A50EF" w:rsidRPr="006A50EF" w:rsidRDefault="006A50EF" w:rsidP="006A50EF">
      <w:pPr>
        <w:widowControl w:val="0"/>
        <w:autoSpaceDE w:val="0"/>
        <w:autoSpaceDN w:val="0"/>
        <w:adjustRightInd w:val="0"/>
        <w:spacing w:after="180"/>
        <w:ind w:left="480" w:hanging="480"/>
        <w:rPr>
          <w:rFonts w:hAnsi="Times New Roman" w:cs="Times New Roman"/>
          <w:noProof/>
          <w:lang w:val="en-GB"/>
        </w:rPr>
      </w:pPr>
      <w:r w:rsidRPr="006A50EF">
        <w:rPr>
          <w:rFonts w:hAnsi="Times New Roman" w:cs="Times New Roman"/>
          <w:noProof/>
          <w:lang w:val="en-GB"/>
        </w:rPr>
        <w:t xml:space="preserve">Sobel, J. M., Chen, G. F., Watt, L. R., &amp; Schemske, D. W. (2010). The biology of speciation. </w:t>
      </w:r>
      <w:r w:rsidRPr="006A50EF">
        <w:rPr>
          <w:rFonts w:hAnsi="Times New Roman" w:cs="Times New Roman"/>
          <w:i/>
          <w:iCs/>
          <w:noProof/>
          <w:lang w:val="en-GB"/>
        </w:rPr>
        <w:t>Evolution</w:t>
      </w:r>
      <w:r w:rsidRPr="006A50EF">
        <w:rPr>
          <w:rFonts w:hAnsi="Times New Roman" w:cs="Times New Roman"/>
          <w:noProof/>
          <w:lang w:val="en-GB"/>
        </w:rPr>
        <w:t xml:space="preserve">, </w:t>
      </w:r>
      <w:r w:rsidRPr="006A50EF">
        <w:rPr>
          <w:rFonts w:hAnsi="Times New Roman" w:cs="Times New Roman"/>
          <w:i/>
          <w:iCs/>
          <w:noProof/>
          <w:lang w:val="en-GB"/>
        </w:rPr>
        <w:t>64</w:t>
      </w:r>
      <w:r w:rsidRPr="006A50EF">
        <w:rPr>
          <w:rFonts w:hAnsi="Times New Roman" w:cs="Times New Roman"/>
          <w:noProof/>
          <w:lang w:val="en-GB"/>
        </w:rPr>
        <w:t>(2), 295–315. https://doi.org/10.1111/j.1558-5646.2009.00877.x</w:t>
      </w:r>
    </w:p>
    <w:p w14:paraId="438591DF" w14:textId="77777777" w:rsidR="006A50EF" w:rsidRPr="006A50EF" w:rsidRDefault="006A50EF" w:rsidP="006A50EF">
      <w:pPr>
        <w:widowControl w:val="0"/>
        <w:autoSpaceDE w:val="0"/>
        <w:autoSpaceDN w:val="0"/>
        <w:adjustRightInd w:val="0"/>
        <w:spacing w:after="180"/>
        <w:ind w:left="480" w:hanging="480"/>
        <w:rPr>
          <w:rFonts w:hAnsi="Times New Roman" w:cs="Times New Roman"/>
          <w:noProof/>
          <w:lang w:val="en-GB"/>
        </w:rPr>
      </w:pPr>
      <w:r w:rsidRPr="006A50EF">
        <w:rPr>
          <w:rFonts w:hAnsi="Times New Roman" w:cs="Times New Roman"/>
          <w:noProof/>
          <w:lang w:val="en-GB"/>
        </w:rPr>
        <w:t xml:space="preserve">Stein, A., Gerstner, K., &amp; Kreft, H. (2014). Environmental heterogeneity as a universal driver of species richness across taxa, biomes and spatial scales. </w:t>
      </w:r>
      <w:r w:rsidRPr="006A50EF">
        <w:rPr>
          <w:rFonts w:hAnsi="Times New Roman" w:cs="Times New Roman"/>
          <w:i/>
          <w:iCs/>
          <w:noProof/>
          <w:lang w:val="en-GB"/>
        </w:rPr>
        <w:t>Ecology Letters</w:t>
      </w:r>
      <w:r w:rsidRPr="006A50EF">
        <w:rPr>
          <w:rFonts w:hAnsi="Times New Roman" w:cs="Times New Roman"/>
          <w:noProof/>
          <w:lang w:val="en-GB"/>
        </w:rPr>
        <w:t xml:space="preserve">, </w:t>
      </w:r>
      <w:r w:rsidRPr="006A50EF">
        <w:rPr>
          <w:rFonts w:hAnsi="Times New Roman" w:cs="Times New Roman"/>
          <w:i/>
          <w:iCs/>
          <w:noProof/>
          <w:lang w:val="en-GB"/>
        </w:rPr>
        <w:t>17</w:t>
      </w:r>
      <w:r w:rsidRPr="006A50EF">
        <w:rPr>
          <w:rFonts w:hAnsi="Times New Roman" w:cs="Times New Roman"/>
          <w:noProof/>
          <w:lang w:val="en-GB"/>
        </w:rPr>
        <w:t>(7), 866–880. https://doi.org/10.1111/ele.12277</w:t>
      </w:r>
    </w:p>
    <w:p w14:paraId="7639F3A5" w14:textId="77777777" w:rsidR="006A50EF" w:rsidRPr="006A50EF" w:rsidRDefault="006A50EF" w:rsidP="006A50EF">
      <w:pPr>
        <w:widowControl w:val="0"/>
        <w:autoSpaceDE w:val="0"/>
        <w:autoSpaceDN w:val="0"/>
        <w:adjustRightInd w:val="0"/>
        <w:spacing w:after="180"/>
        <w:ind w:left="480" w:hanging="480"/>
        <w:rPr>
          <w:rFonts w:hAnsi="Times New Roman" w:cs="Times New Roman"/>
          <w:noProof/>
          <w:lang w:val="en-GB"/>
        </w:rPr>
      </w:pPr>
      <w:r w:rsidRPr="006A50EF">
        <w:rPr>
          <w:rFonts w:hAnsi="Times New Roman" w:cs="Times New Roman"/>
          <w:noProof/>
          <w:lang w:val="en-GB"/>
        </w:rPr>
        <w:t xml:space="preserve">Stock, W. D., &amp; Verboom, G. A. (2012). Phylogenetic ecology of foliar N and P concentrations and N: P ratios across mediterranean-type ecosystems. </w:t>
      </w:r>
      <w:r w:rsidRPr="006A50EF">
        <w:rPr>
          <w:rFonts w:hAnsi="Times New Roman" w:cs="Times New Roman"/>
          <w:i/>
          <w:iCs/>
          <w:noProof/>
          <w:lang w:val="en-GB"/>
        </w:rPr>
        <w:t>Global Ecology and Biogeography</w:t>
      </w:r>
      <w:r w:rsidRPr="006A50EF">
        <w:rPr>
          <w:rFonts w:hAnsi="Times New Roman" w:cs="Times New Roman"/>
          <w:noProof/>
          <w:lang w:val="en-GB"/>
        </w:rPr>
        <w:t xml:space="preserve">, </w:t>
      </w:r>
      <w:r w:rsidRPr="006A50EF">
        <w:rPr>
          <w:rFonts w:hAnsi="Times New Roman" w:cs="Times New Roman"/>
          <w:i/>
          <w:iCs/>
          <w:noProof/>
          <w:lang w:val="en-GB"/>
        </w:rPr>
        <w:t>21</w:t>
      </w:r>
      <w:r w:rsidRPr="006A50EF">
        <w:rPr>
          <w:rFonts w:hAnsi="Times New Roman" w:cs="Times New Roman"/>
          <w:noProof/>
          <w:lang w:val="en-GB"/>
        </w:rPr>
        <w:t>(12), 1147–1156.</w:t>
      </w:r>
    </w:p>
    <w:p w14:paraId="284506C4" w14:textId="77777777" w:rsidR="006A50EF" w:rsidRPr="006A50EF" w:rsidRDefault="006A50EF" w:rsidP="006A50EF">
      <w:pPr>
        <w:widowControl w:val="0"/>
        <w:autoSpaceDE w:val="0"/>
        <w:autoSpaceDN w:val="0"/>
        <w:adjustRightInd w:val="0"/>
        <w:spacing w:after="180"/>
        <w:ind w:left="480" w:hanging="480"/>
        <w:rPr>
          <w:rFonts w:hAnsi="Times New Roman" w:cs="Times New Roman"/>
          <w:noProof/>
          <w:lang w:val="en-GB"/>
        </w:rPr>
      </w:pPr>
      <w:r w:rsidRPr="006A50EF">
        <w:rPr>
          <w:rFonts w:hAnsi="Times New Roman" w:cs="Times New Roman"/>
          <w:noProof/>
          <w:lang w:val="en-GB"/>
        </w:rPr>
        <w:t xml:space="preserve">Thuiller, W., Midgley, G. F., Rouget, M., Cowling, R. M., F. Midgley, G., Rougeti, M., &amp; M. Cowling, R. (2006). Predicting patterns of plant species richness in megadiverse South Africa. </w:t>
      </w:r>
      <w:r w:rsidRPr="006A50EF">
        <w:rPr>
          <w:rFonts w:hAnsi="Times New Roman" w:cs="Times New Roman"/>
          <w:i/>
          <w:iCs/>
          <w:noProof/>
          <w:lang w:val="en-GB"/>
        </w:rPr>
        <w:t>Ecography</w:t>
      </w:r>
      <w:r w:rsidRPr="006A50EF">
        <w:rPr>
          <w:rFonts w:hAnsi="Times New Roman" w:cs="Times New Roman"/>
          <w:noProof/>
          <w:lang w:val="en-GB"/>
        </w:rPr>
        <w:t xml:space="preserve">, </w:t>
      </w:r>
      <w:r w:rsidRPr="006A50EF">
        <w:rPr>
          <w:rFonts w:hAnsi="Times New Roman" w:cs="Times New Roman"/>
          <w:i/>
          <w:iCs/>
          <w:noProof/>
          <w:lang w:val="en-GB"/>
        </w:rPr>
        <w:t>29</w:t>
      </w:r>
      <w:r w:rsidRPr="006A50EF">
        <w:rPr>
          <w:rFonts w:hAnsi="Times New Roman" w:cs="Times New Roman"/>
          <w:noProof/>
          <w:lang w:val="en-GB"/>
        </w:rPr>
        <w:t>(5), 733–744. https://doi.org/10.1111/j.0906-7590.2006.04674.x</w:t>
      </w:r>
    </w:p>
    <w:p w14:paraId="7B21508F" w14:textId="77777777" w:rsidR="006A50EF" w:rsidRPr="006A50EF" w:rsidRDefault="006A50EF" w:rsidP="006A50EF">
      <w:pPr>
        <w:widowControl w:val="0"/>
        <w:autoSpaceDE w:val="0"/>
        <w:autoSpaceDN w:val="0"/>
        <w:adjustRightInd w:val="0"/>
        <w:spacing w:after="180"/>
        <w:ind w:left="480" w:hanging="480"/>
        <w:rPr>
          <w:rFonts w:hAnsi="Times New Roman" w:cs="Times New Roman"/>
          <w:noProof/>
          <w:lang w:val="en-GB"/>
        </w:rPr>
      </w:pPr>
      <w:r w:rsidRPr="006A50EF">
        <w:rPr>
          <w:rFonts w:hAnsi="Times New Roman" w:cs="Times New Roman"/>
          <w:noProof/>
          <w:lang w:val="en-GB"/>
        </w:rPr>
        <w:t xml:space="preserve">van Rensburg, B. J., Chown, S. L., &amp; Gaston, K. J. (2002). Species richness, environmental correlates, and spatial scale: a test esing South African birds. </w:t>
      </w:r>
      <w:r w:rsidRPr="006A50EF">
        <w:rPr>
          <w:rFonts w:hAnsi="Times New Roman" w:cs="Times New Roman"/>
          <w:i/>
          <w:iCs/>
          <w:noProof/>
          <w:lang w:val="en-GB"/>
        </w:rPr>
        <w:t>The American Naturalist</w:t>
      </w:r>
      <w:r w:rsidRPr="006A50EF">
        <w:rPr>
          <w:rFonts w:hAnsi="Times New Roman" w:cs="Times New Roman"/>
          <w:noProof/>
          <w:lang w:val="en-GB"/>
        </w:rPr>
        <w:t xml:space="preserve">, </w:t>
      </w:r>
      <w:r w:rsidRPr="006A50EF">
        <w:rPr>
          <w:rFonts w:hAnsi="Times New Roman" w:cs="Times New Roman"/>
          <w:i/>
          <w:iCs/>
          <w:noProof/>
          <w:lang w:val="en-GB"/>
        </w:rPr>
        <w:t>159</w:t>
      </w:r>
      <w:r w:rsidRPr="006A50EF">
        <w:rPr>
          <w:rFonts w:hAnsi="Times New Roman" w:cs="Times New Roman"/>
          <w:noProof/>
          <w:lang w:val="en-GB"/>
        </w:rPr>
        <w:t>(5), 566–577. https://doi.org/10.1086/339464</w:t>
      </w:r>
    </w:p>
    <w:p w14:paraId="481C8977" w14:textId="77777777" w:rsidR="006A50EF" w:rsidRPr="006A50EF" w:rsidRDefault="006A50EF" w:rsidP="006A50EF">
      <w:pPr>
        <w:widowControl w:val="0"/>
        <w:autoSpaceDE w:val="0"/>
        <w:autoSpaceDN w:val="0"/>
        <w:adjustRightInd w:val="0"/>
        <w:spacing w:after="180"/>
        <w:ind w:left="480" w:hanging="480"/>
        <w:rPr>
          <w:rFonts w:hAnsi="Times New Roman" w:cs="Times New Roman"/>
          <w:noProof/>
          <w:lang w:val="en-GB"/>
        </w:rPr>
      </w:pPr>
      <w:r w:rsidRPr="006A50EF">
        <w:rPr>
          <w:rFonts w:hAnsi="Times New Roman" w:cs="Times New Roman"/>
          <w:noProof/>
          <w:lang w:val="en-GB"/>
        </w:rPr>
        <w:t xml:space="preserve">Veech, J. A., Summerville, K. S., Crist, T. O., &amp; Gering, J. C. (2002). The additive partitioning of species diversity: recent revival of an old idea. </w:t>
      </w:r>
      <w:r w:rsidRPr="006A50EF">
        <w:rPr>
          <w:rFonts w:hAnsi="Times New Roman" w:cs="Times New Roman"/>
          <w:i/>
          <w:iCs/>
          <w:noProof/>
          <w:lang w:val="en-GB"/>
        </w:rPr>
        <w:t>Oikos</w:t>
      </w:r>
      <w:r w:rsidRPr="006A50EF">
        <w:rPr>
          <w:rFonts w:hAnsi="Times New Roman" w:cs="Times New Roman"/>
          <w:noProof/>
          <w:lang w:val="en-GB"/>
        </w:rPr>
        <w:t xml:space="preserve">, </w:t>
      </w:r>
      <w:r w:rsidRPr="006A50EF">
        <w:rPr>
          <w:rFonts w:hAnsi="Times New Roman" w:cs="Times New Roman"/>
          <w:i/>
          <w:iCs/>
          <w:noProof/>
          <w:lang w:val="en-GB"/>
        </w:rPr>
        <w:t>99</w:t>
      </w:r>
      <w:r w:rsidRPr="006A50EF">
        <w:rPr>
          <w:rFonts w:hAnsi="Times New Roman" w:cs="Times New Roman"/>
          <w:noProof/>
          <w:lang w:val="en-GB"/>
        </w:rPr>
        <w:t>(1), 3–9.</w:t>
      </w:r>
    </w:p>
    <w:p w14:paraId="09D27C77" w14:textId="77777777" w:rsidR="006A50EF" w:rsidRPr="006A50EF" w:rsidRDefault="006A50EF" w:rsidP="006A50EF">
      <w:pPr>
        <w:widowControl w:val="0"/>
        <w:autoSpaceDE w:val="0"/>
        <w:autoSpaceDN w:val="0"/>
        <w:adjustRightInd w:val="0"/>
        <w:spacing w:after="180"/>
        <w:ind w:left="480" w:hanging="480"/>
        <w:rPr>
          <w:rFonts w:hAnsi="Times New Roman" w:cs="Times New Roman"/>
          <w:noProof/>
          <w:lang w:val="en-GB"/>
        </w:rPr>
      </w:pPr>
      <w:r w:rsidRPr="006A50EF">
        <w:rPr>
          <w:rFonts w:hAnsi="Times New Roman" w:cs="Times New Roman"/>
          <w:noProof/>
          <w:lang w:val="en-GB"/>
        </w:rPr>
        <w:t xml:space="preserve">Verboom, G. A., Linder, H. P., Forest, F., Hoffmann, V., Bergh, N. G., &amp; Cowling, R. M. (2014). Cenozoic assembly of the Greater Cape flora. In N. Allsopp, J. F. Colville, &amp; G. A. Verboom (Eds.), </w:t>
      </w:r>
      <w:r w:rsidRPr="006A50EF">
        <w:rPr>
          <w:rFonts w:hAnsi="Times New Roman" w:cs="Times New Roman"/>
          <w:i/>
          <w:iCs/>
          <w:noProof/>
          <w:lang w:val="en-GB"/>
        </w:rPr>
        <w:t>Fynbos: Ecology, Evolution and Conservation of a Megadiverse Region</w:t>
      </w:r>
      <w:r w:rsidRPr="006A50EF">
        <w:rPr>
          <w:rFonts w:hAnsi="Times New Roman" w:cs="Times New Roman"/>
          <w:noProof/>
          <w:lang w:val="en-GB"/>
        </w:rPr>
        <w:t>. Oxford University Press. http://www.oxfordscholarship.com/view/10.1093/acprof:oso/9780199679584.001.0001/acprof-9780199679584</w:t>
      </w:r>
    </w:p>
    <w:p w14:paraId="6AFD99B9" w14:textId="77777777" w:rsidR="006A50EF" w:rsidRPr="006A50EF" w:rsidRDefault="006A50EF" w:rsidP="006A50EF">
      <w:pPr>
        <w:widowControl w:val="0"/>
        <w:autoSpaceDE w:val="0"/>
        <w:autoSpaceDN w:val="0"/>
        <w:adjustRightInd w:val="0"/>
        <w:spacing w:after="180"/>
        <w:ind w:left="480" w:hanging="480"/>
        <w:rPr>
          <w:rFonts w:hAnsi="Times New Roman" w:cs="Times New Roman"/>
          <w:noProof/>
          <w:lang w:val="en-GB"/>
        </w:rPr>
      </w:pPr>
      <w:r w:rsidRPr="006A50EF">
        <w:rPr>
          <w:rFonts w:hAnsi="Times New Roman" w:cs="Times New Roman"/>
          <w:noProof/>
          <w:lang w:val="en-GB"/>
        </w:rPr>
        <w:t xml:space="preserve">Whittaker, R. H. (1960). Vegetation of the Siskiyou mountains, Oregon and California. </w:t>
      </w:r>
      <w:r w:rsidRPr="006A50EF">
        <w:rPr>
          <w:rFonts w:hAnsi="Times New Roman" w:cs="Times New Roman"/>
          <w:i/>
          <w:iCs/>
          <w:noProof/>
          <w:lang w:val="en-GB"/>
        </w:rPr>
        <w:t>Ecological Monographs</w:t>
      </w:r>
      <w:r w:rsidRPr="006A50EF">
        <w:rPr>
          <w:rFonts w:hAnsi="Times New Roman" w:cs="Times New Roman"/>
          <w:noProof/>
          <w:lang w:val="en-GB"/>
        </w:rPr>
        <w:t xml:space="preserve">, </w:t>
      </w:r>
      <w:r w:rsidRPr="006A50EF">
        <w:rPr>
          <w:rFonts w:hAnsi="Times New Roman" w:cs="Times New Roman"/>
          <w:i/>
          <w:iCs/>
          <w:noProof/>
          <w:lang w:val="en-GB"/>
        </w:rPr>
        <w:t>30</w:t>
      </w:r>
      <w:r w:rsidRPr="006A50EF">
        <w:rPr>
          <w:rFonts w:hAnsi="Times New Roman" w:cs="Times New Roman"/>
          <w:noProof/>
          <w:lang w:val="en-GB"/>
        </w:rPr>
        <w:t>(3), 279–338.</w:t>
      </w:r>
    </w:p>
    <w:p w14:paraId="1DFF4CC3" w14:textId="77777777" w:rsidR="006A50EF" w:rsidRPr="006A50EF" w:rsidRDefault="006A50EF" w:rsidP="006A50EF">
      <w:pPr>
        <w:widowControl w:val="0"/>
        <w:autoSpaceDE w:val="0"/>
        <w:autoSpaceDN w:val="0"/>
        <w:adjustRightInd w:val="0"/>
        <w:spacing w:after="180"/>
        <w:ind w:left="480" w:hanging="480"/>
        <w:rPr>
          <w:rFonts w:hAnsi="Times New Roman" w:cs="Times New Roman"/>
          <w:noProof/>
          <w:lang w:val="en-GB"/>
        </w:rPr>
      </w:pPr>
      <w:r w:rsidRPr="006A50EF">
        <w:rPr>
          <w:rFonts w:hAnsi="Times New Roman" w:cs="Times New Roman"/>
          <w:noProof/>
          <w:lang w:val="en-GB"/>
        </w:rPr>
        <w:t xml:space="preserve">Wickham, H., Averick, M., Bryan, J., Chang, W., McGowan, L. D., François, R., Grolemund, G., Hayes, A., Henry, L., Hester, J., Kuhn, M., Pedersen, T. L., Miller, E., Bache, S. M., Müller, K., Ooms, J., Robinson, D., Seidel, D. P., Spinu, V., … Yutani, H. (2019). Welcome to the {tidyverse}. </w:t>
      </w:r>
      <w:r w:rsidRPr="006A50EF">
        <w:rPr>
          <w:rFonts w:hAnsi="Times New Roman" w:cs="Times New Roman"/>
          <w:i/>
          <w:iCs/>
          <w:noProof/>
          <w:lang w:val="en-GB"/>
        </w:rPr>
        <w:t>Journal of Open Source Software</w:t>
      </w:r>
      <w:r w:rsidRPr="006A50EF">
        <w:rPr>
          <w:rFonts w:hAnsi="Times New Roman" w:cs="Times New Roman"/>
          <w:noProof/>
          <w:lang w:val="en-GB"/>
        </w:rPr>
        <w:t xml:space="preserve">, </w:t>
      </w:r>
      <w:r w:rsidRPr="006A50EF">
        <w:rPr>
          <w:rFonts w:hAnsi="Times New Roman" w:cs="Times New Roman"/>
          <w:i/>
          <w:iCs/>
          <w:noProof/>
          <w:lang w:val="en-GB"/>
        </w:rPr>
        <w:t>4</w:t>
      </w:r>
      <w:r w:rsidRPr="006A50EF">
        <w:rPr>
          <w:rFonts w:hAnsi="Times New Roman" w:cs="Times New Roman"/>
          <w:noProof/>
          <w:lang w:val="en-GB"/>
        </w:rPr>
        <w:t>(43), 1686. https://doi.org/10.21105/joss.01686</w:t>
      </w:r>
    </w:p>
    <w:p w14:paraId="6630A6BC" w14:textId="77777777" w:rsidR="006A50EF" w:rsidRPr="006A50EF" w:rsidRDefault="006A50EF" w:rsidP="006A50EF">
      <w:pPr>
        <w:widowControl w:val="0"/>
        <w:autoSpaceDE w:val="0"/>
        <w:autoSpaceDN w:val="0"/>
        <w:adjustRightInd w:val="0"/>
        <w:spacing w:after="180"/>
        <w:ind w:left="480" w:hanging="480"/>
        <w:rPr>
          <w:rFonts w:hAnsi="Times New Roman" w:cs="Times New Roman"/>
          <w:noProof/>
          <w:lang w:val="en-GB"/>
        </w:rPr>
      </w:pPr>
      <w:r w:rsidRPr="006A50EF">
        <w:rPr>
          <w:rFonts w:hAnsi="Times New Roman" w:cs="Times New Roman"/>
          <w:noProof/>
          <w:lang w:val="en-GB"/>
        </w:rPr>
        <w:t xml:space="preserve">Wiens, J. J. (2004a). Speciation and ecology revisited: phylogenetic niche conservatism and the origin of species. </w:t>
      </w:r>
      <w:r w:rsidRPr="006A50EF">
        <w:rPr>
          <w:rFonts w:hAnsi="Times New Roman" w:cs="Times New Roman"/>
          <w:i/>
          <w:iCs/>
          <w:noProof/>
          <w:lang w:val="en-GB"/>
        </w:rPr>
        <w:t>Evolution</w:t>
      </w:r>
      <w:r w:rsidRPr="006A50EF">
        <w:rPr>
          <w:rFonts w:hAnsi="Times New Roman" w:cs="Times New Roman"/>
          <w:noProof/>
          <w:lang w:val="en-GB"/>
        </w:rPr>
        <w:t xml:space="preserve">, </w:t>
      </w:r>
      <w:r w:rsidRPr="006A50EF">
        <w:rPr>
          <w:rFonts w:hAnsi="Times New Roman" w:cs="Times New Roman"/>
          <w:i/>
          <w:iCs/>
          <w:noProof/>
          <w:lang w:val="en-GB"/>
        </w:rPr>
        <w:t>58</w:t>
      </w:r>
      <w:r w:rsidRPr="006A50EF">
        <w:rPr>
          <w:rFonts w:hAnsi="Times New Roman" w:cs="Times New Roman"/>
          <w:noProof/>
          <w:lang w:val="en-GB"/>
        </w:rPr>
        <w:t>(1), 193–197.</w:t>
      </w:r>
    </w:p>
    <w:p w14:paraId="73796897" w14:textId="77777777" w:rsidR="006A50EF" w:rsidRPr="006A50EF" w:rsidRDefault="006A50EF" w:rsidP="006A50EF">
      <w:pPr>
        <w:widowControl w:val="0"/>
        <w:autoSpaceDE w:val="0"/>
        <w:autoSpaceDN w:val="0"/>
        <w:adjustRightInd w:val="0"/>
        <w:spacing w:after="180"/>
        <w:ind w:left="480" w:hanging="480"/>
        <w:rPr>
          <w:rFonts w:hAnsi="Times New Roman" w:cs="Times New Roman"/>
          <w:noProof/>
          <w:lang w:val="en-GB"/>
        </w:rPr>
      </w:pPr>
      <w:r w:rsidRPr="006A50EF">
        <w:rPr>
          <w:rFonts w:hAnsi="Times New Roman" w:cs="Times New Roman"/>
          <w:noProof/>
          <w:lang w:val="en-GB"/>
        </w:rPr>
        <w:t xml:space="preserve">Wiens, J. J. (2004b). What is speciation and how should we study it? </w:t>
      </w:r>
      <w:r w:rsidRPr="006A50EF">
        <w:rPr>
          <w:rFonts w:hAnsi="Times New Roman" w:cs="Times New Roman"/>
          <w:i/>
          <w:iCs/>
          <w:noProof/>
          <w:lang w:val="en-GB"/>
        </w:rPr>
        <w:t>The American Naturalist</w:t>
      </w:r>
      <w:r w:rsidRPr="006A50EF">
        <w:rPr>
          <w:rFonts w:hAnsi="Times New Roman" w:cs="Times New Roman"/>
          <w:noProof/>
          <w:lang w:val="en-GB"/>
        </w:rPr>
        <w:t xml:space="preserve">, </w:t>
      </w:r>
      <w:r w:rsidRPr="006A50EF">
        <w:rPr>
          <w:rFonts w:hAnsi="Times New Roman" w:cs="Times New Roman"/>
          <w:i/>
          <w:iCs/>
          <w:noProof/>
          <w:lang w:val="en-GB"/>
        </w:rPr>
        <w:t>163</w:t>
      </w:r>
      <w:r w:rsidRPr="006A50EF">
        <w:rPr>
          <w:rFonts w:hAnsi="Times New Roman" w:cs="Times New Roman"/>
          <w:noProof/>
          <w:lang w:val="en-GB"/>
        </w:rPr>
        <w:t>(6), 914–923.</w:t>
      </w:r>
    </w:p>
    <w:p w14:paraId="13AE5115" w14:textId="77777777" w:rsidR="006A50EF" w:rsidRPr="006A50EF" w:rsidRDefault="006A50EF" w:rsidP="006A50EF">
      <w:pPr>
        <w:widowControl w:val="0"/>
        <w:autoSpaceDE w:val="0"/>
        <w:autoSpaceDN w:val="0"/>
        <w:adjustRightInd w:val="0"/>
        <w:spacing w:after="180"/>
        <w:ind w:left="480" w:hanging="480"/>
        <w:rPr>
          <w:rFonts w:hAnsi="Times New Roman" w:cs="Times New Roman"/>
          <w:noProof/>
        </w:rPr>
      </w:pPr>
      <w:r w:rsidRPr="006A50EF">
        <w:rPr>
          <w:rFonts w:hAnsi="Times New Roman" w:cs="Times New Roman"/>
          <w:noProof/>
          <w:lang w:val="en-GB"/>
        </w:rPr>
        <w:t xml:space="preserve">Wüest, R. O., Boucher, F. C., Bouchenak-Khelladi, Y., Karger, D. N., &amp; Linder, H. P. (2019). Dissecting biodiversity in a global hotspot: Uneven dynamics of immigration and diversification within the Cape Floristic Region of South Africa. </w:t>
      </w:r>
      <w:r w:rsidRPr="006A50EF">
        <w:rPr>
          <w:rFonts w:hAnsi="Times New Roman" w:cs="Times New Roman"/>
          <w:i/>
          <w:iCs/>
          <w:noProof/>
          <w:lang w:val="en-GB"/>
        </w:rPr>
        <w:t>Journal of Biogeography</w:t>
      </w:r>
      <w:r w:rsidRPr="006A50EF">
        <w:rPr>
          <w:rFonts w:hAnsi="Times New Roman" w:cs="Times New Roman"/>
          <w:noProof/>
          <w:lang w:val="en-GB"/>
        </w:rPr>
        <w:t xml:space="preserve">, </w:t>
      </w:r>
      <w:r w:rsidRPr="006A50EF">
        <w:rPr>
          <w:rFonts w:hAnsi="Times New Roman" w:cs="Times New Roman"/>
          <w:i/>
          <w:iCs/>
          <w:noProof/>
          <w:lang w:val="en-GB"/>
        </w:rPr>
        <w:t>46</w:t>
      </w:r>
      <w:r w:rsidRPr="006A50EF">
        <w:rPr>
          <w:rFonts w:hAnsi="Times New Roman" w:cs="Times New Roman"/>
          <w:noProof/>
          <w:lang w:val="en-GB"/>
        </w:rPr>
        <w:t>(9), 1936–1947. https://doi.org/10.1111/jbi.13625</w:t>
      </w:r>
    </w:p>
    <w:p w14:paraId="00640205" w14:textId="21695F95" w:rsidR="00112BB0" w:rsidRDefault="008E0DFC" w:rsidP="006A50EF">
      <w:pPr>
        <w:widowControl w:val="0"/>
        <w:autoSpaceDE w:val="0"/>
        <w:autoSpaceDN w:val="0"/>
        <w:adjustRightInd w:val="0"/>
        <w:spacing w:after="180"/>
        <w:ind w:left="480" w:hanging="480"/>
        <w:rPr>
          <w:b/>
          <w:bCs/>
        </w:rPr>
      </w:pPr>
      <w:r>
        <w:rPr>
          <w:b/>
          <w:bCs/>
        </w:rPr>
        <w:fldChar w:fldCharType="end"/>
      </w:r>
      <w:r w:rsidR="00112BB0">
        <w:rPr>
          <w:b/>
          <w:bCs/>
        </w:rPr>
        <w:br w:type="page"/>
      </w:r>
    </w:p>
    <w:p w14:paraId="48A13E83" w14:textId="33041BAD" w:rsidR="00EF41C1" w:rsidRDefault="004D4AE1" w:rsidP="006F5855">
      <w:pPr>
        <w:pStyle w:val="Heading1"/>
      </w:pPr>
      <w:r w:rsidRPr="004D4AE1">
        <w:lastRenderedPageBreak/>
        <w:t>Biosketch</w:t>
      </w:r>
      <w:r>
        <w:t>es</w:t>
      </w:r>
    </w:p>
    <w:p w14:paraId="540FBFB2" w14:textId="5430565A" w:rsidR="00EF41C1" w:rsidRDefault="00F3256A" w:rsidP="002C20EB">
      <w:pPr>
        <w:pStyle w:val="BodyText"/>
        <w:spacing w:before="0"/>
      </w:pPr>
      <w:r>
        <w:rPr>
          <w:b/>
        </w:rPr>
        <w:t>Ruan v</w:t>
      </w:r>
      <w:r w:rsidR="00EF41C1" w:rsidRPr="00F3256A">
        <w:rPr>
          <w:b/>
        </w:rPr>
        <w:t>an Mazijk</w:t>
      </w:r>
      <w:r w:rsidR="00EF41C1">
        <w:t xml:space="preserve"> is </w:t>
      </w:r>
      <w:r w:rsidR="005F4B28">
        <w:t xml:space="preserve">a </w:t>
      </w:r>
      <w:r w:rsidR="00365CC9">
        <w:t>graduate student interested in</w:t>
      </w:r>
      <w:r w:rsidR="005F4B28">
        <w:t xml:space="preserve"> macroevolution, macroecology and phylogenetic comparative biology, primarily focusing on plants.</w:t>
      </w:r>
    </w:p>
    <w:p w14:paraId="699B3AEF" w14:textId="54E0D1B2" w:rsidR="00E34369" w:rsidRDefault="00F3256A" w:rsidP="002F3B3B">
      <w:pPr>
        <w:pStyle w:val="BodyText"/>
      </w:pPr>
      <w:r>
        <w:rPr>
          <w:b/>
        </w:rPr>
        <w:t xml:space="preserve">Michael D. </w:t>
      </w:r>
      <w:r w:rsidR="00EF41C1" w:rsidRPr="00F3256A">
        <w:rPr>
          <w:b/>
        </w:rPr>
        <w:t>Cramer</w:t>
      </w:r>
      <w:r w:rsidR="00EF41C1" w:rsidRPr="00EF41C1">
        <w:t xml:space="preserve"> is an ecophysiologist interested in physiological specialization in the hyper‐diverse Cape flora and the link between nutrient‐impoverished soils and </w:t>
      </w:r>
      <w:r w:rsidR="005F4B28">
        <w:t xml:space="preserve">plant </w:t>
      </w:r>
      <w:r w:rsidR="00EF41C1" w:rsidRPr="00EF41C1">
        <w:t>species richness.</w:t>
      </w:r>
    </w:p>
    <w:p w14:paraId="723E8390" w14:textId="19AFCAE2" w:rsidR="00EF41C1" w:rsidRPr="00EF41C1" w:rsidRDefault="00F3256A" w:rsidP="002F3B3B">
      <w:pPr>
        <w:pStyle w:val="BodyText"/>
        <w:rPr>
          <w:rFonts w:eastAsiaTheme="majorEastAsia" w:cstheme="majorBidi"/>
          <w:b/>
          <w:bCs/>
          <w:color w:val="000000" w:themeColor="text1"/>
          <w:sz w:val="32"/>
          <w:szCs w:val="32"/>
        </w:rPr>
      </w:pPr>
      <w:r>
        <w:rPr>
          <w:b/>
        </w:rPr>
        <w:t xml:space="preserve">G. Anthony </w:t>
      </w:r>
      <w:r w:rsidR="00EF41C1" w:rsidRPr="00F3256A">
        <w:rPr>
          <w:b/>
        </w:rPr>
        <w:t>Verboom</w:t>
      </w:r>
      <w:r w:rsidR="00EF41C1" w:rsidRPr="00EF41C1">
        <w:t xml:space="preserve"> works on the assembly of the hyper‐diverse Cape flora, its ve</w:t>
      </w:r>
      <w:r w:rsidR="002C6230">
        <w:t>g</w:t>
      </w:r>
      <w:r w:rsidR="00EF41C1" w:rsidRPr="00EF41C1">
        <w:t>etation organization and the role of speciation and extinction in its radiation.</w:t>
      </w:r>
    </w:p>
    <w:p w14:paraId="5FCEE1EB" w14:textId="713AA7A6" w:rsidR="006F043C" w:rsidRDefault="006F043C" w:rsidP="001453CD">
      <w:pPr>
        <w:pStyle w:val="Heading1"/>
        <w:spacing w:line="240" w:lineRule="auto"/>
      </w:pPr>
      <w:r>
        <w:t>Author contributions</w:t>
      </w:r>
    </w:p>
    <w:p w14:paraId="49141B2C" w14:textId="53FE1154" w:rsidR="00DC6978" w:rsidRDefault="006F043C" w:rsidP="002C20EB">
      <w:pPr>
        <w:pStyle w:val="BodyText"/>
        <w:rPr>
          <w:highlight w:val="yellow"/>
        </w:rPr>
      </w:pPr>
      <w:r>
        <w:t xml:space="preserve">MDC and GAV conceived the study question, which RvM investigated </w:t>
      </w:r>
      <w:r w:rsidR="00910BDE">
        <w:t xml:space="preserve">and developed </w:t>
      </w:r>
      <w:r>
        <w:t xml:space="preserve">under their supervision for his BSc Hons project. </w:t>
      </w:r>
      <w:r w:rsidR="00F80AE8">
        <w:t>RvM collated the data and carried out the</w:t>
      </w:r>
      <w:r>
        <w:t xml:space="preserve"> </w:t>
      </w:r>
      <w:r w:rsidR="00EF33BB">
        <w:t xml:space="preserve">GIS </w:t>
      </w:r>
      <w:r w:rsidR="00F80AE8">
        <w:t xml:space="preserve">work. All authors contributed to the analyses, which were </w:t>
      </w:r>
      <w:r w:rsidR="00D24377">
        <w:t xml:space="preserve">then </w:t>
      </w:r>
      <w:r w:rsidR="00F80AE8">
        <w:t>carried out by RvM</w:t>
      </w:r>
      <w:r w:rsidR="00D24377">
        <w:t xml:space="preserve">, who </w:t>
      </w:r>
      <w:r w:rsidR="00D2755D">
        <w:t xml:space="preserve">then </w:t>
      </w:r>
      <w:r>
        <w:t>wrote the first draft of the manuscript</w:t>
      </w:r>
      <w:r w:rsidR="00D24377">
        <w:t xml:space="preserve">. </w:t>
      </w:r>
      <w:r w:rsidR="00D24377" w:rsidRPr="00D13B49">
        <w:t>A</w:t>
      </w:r>
      <w:r w:rsidRPr="00D13B49">
        <w:t xml:space="preserve">ll authors contributed equally </w:t>
      </w:r>
      <w:r w:rsidR="00DE68BB" w:rsidRPr="00D13B49">
        <w:t>to the writing thereafter</w:t>
      </w:r>
      <w:r w:rsidRPr="00D13B49">
        <w:t>.</w:t>
      </w:r>
    </w:p>
    <w:p w14:paraId="1A12FE4F" w14:textId="77777777" w:rsidR="00B46208" w:rsidRPr="003C085D" w:rsidRDefault="00B46208" w:rsidP="00B46208">
      <w:pPr>
        <w:pStyle w:val="Heading1"/>
      </w:pPr>
      <w:r w:rsidRPr="003C085D">
        <w:t>ORCID</w:t>
      </w:r>
    </w:p>
    <w:p w14:paraId="65B2E59A" w14:textId="77777777" w:rsidR="00B46208" w:rsidRPr="002B2755" w:rsidRDefault="00B46208" w:rsidP="00B46208">
      <w:r w:rsidRPr="002B2755">
        <w:t>R</w:t>
      </w:r>
      <w:r w:rsidRPr="002C20EB">
        <w:t xml:space="preserve">uan van Mazijk: </w:t>
      </w:r>
      <w:hyperlink r:id="rId21" w:history="1">
        <w:r w:rsidRPr="002C20EB">
          <w:rPr>
            <w:rStyle w:val="Hyperlink"/>
          </w:rPr>
          <w:t>https://orcid.org/0000-0003-2659-6909</w:t>
        </w:r>
      </w:hyperlink>
    </w:p>
    <w:p w14:paraId="1B1F3B09" w14:textId="77777777" w:rsidR="00B46208" w:rsidRPr="002B2755" w:rsidRDefault="00B46208" w:rsidP="00B46208">
      <w:r w:rsidRPr="002C20EB">
        <w:t xml:space="preserve">Michael D. Cramer: </w:t>
      </w:r>
      <w:hyperlink r:id="rId22" w:history="1">
        <w:r w:rsidRPr="002C20EB">
          <w:rPr>
            <w:rStyle w:val="Hyperlink"/>
          </w:rPr>
          <w:t>https://orcid.org/0000-0003-0989-3266</w:t>
        </w:r>
      </w:hyperlink>
    </w:p>
    <w:p w14:paraId="54EBA765" w14:textId="4AB34602" w:rsidR="00B46208" w:rsidRPr="00B46208" w:rsidRDefault="00B46208" w:rsidP="00B46208">
      <w:r w:rsidRPr="002C20EB">
        <w:t xml:space="preserve">G. Anthony Verboom: </w:t>
      </w:r>
      <w:hyperlink r:id="rId23" w:history="1">
        <w:r w:rsidRPr="002C20EB">
          <w:rPr>
            <w:rStyle w:val="Hyperlink"/>
          </w:rPr>
          <w:t>https://orcid.org/0000-0002-1363-9781</w:t>
        </w:r>
      </w:hyperlink>
    </w:p>
    <w:sectPr w:rsidR="00B46208" w:rsidRPr="00B46208" w:rsidSect="009C2F09">
      <w:footerReference w:type="default" r:id="rId24"/>
      <w:pgSz w:w="12240" w:h="15840" w:code="1"/>
      <w:pgMar w:top="709"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3" w:author="Michael Cramer" w:date="2020-01-29T14:55:00Z" w:initials="MC">
    <w:p w14:paraId="7D6E1E8C" w14:textId="72377C6B" w:rsidR="00AD5B6C" w:rsidRDefault="00AD5B6C">
      <w:pPr>
        <w:pStyle w:val="CommentText"/>
      </w:pPr>
      <w:r>
        <w:rPr>
          <w:rStyle w:val="CommentReference"/>
        </w:rPr>
        <w:annotationRef/>
      </w:r>
      <w:r>
        <w:t xml:space="preserve">Students and I have previously commented on multiple referencing. Please confine to circumstances where necessary. </w:t>
      </w:r>
    </w:p>
  </w:comment>
  <w:comment w:id="8" w:author="Ruan Van Mazijk" w:date="2020-04-23T12:04:00Z" w:initials="RVM">
    <w:p w14:paraId="27103414" w14:textId="32AD354E" w:rsidR="00AD5B6C" w:rsidRDefault="00AD5B6C">
      <w:pPr>
        <w:pStyle w:val="CommentText"/>
      </w:pPr>
      <w:r>
        <w:rPr>
          <w:rStyle w:val="CommentReference"/>
        </w:rPr>
        <w:annotationRef/>
      </w:r>
      <w:r>
        <w:rPr>
          <w:rStyle w:val="CommentReference"/>
        </w:rPr>
        <w:annotationRef/>
      </w:r>
      <w:r>
        <w:t>Address these more</w:t>
      </w:r>
      <w:r w:rsidR="00E22B64">
        <w:t>?</w:t>
      </w:r>
    </w:p>
  </w:comment>
  <w:comment w:id="9" w:author="Ruan Van Mazijk [2]" w:date="2020-02-28T14:10:00Z" w:initials="RVM">
    <w:p w14:paraId="3F4DA4D2" w14:textId="2DD7C931" w:rsidR="00AD5B6C" w:rsidRDefault="00AD5B6C">
      <w:pPr>
        <w:pStyle w:val="CommentText"/>
      </w:pPr>
      <w:r>
        <w:rPr>
          <w:rStyle w:val="CommentReference"/>
        </w:rPr>
        <w:annotationRef/>
      </w:r>
      <w:r>
        <w:t>Still needed?</w:t>
      </w:r>
    </w:p>
  </w:comment>
  <w:comment w:id="10" w:author="Ruan Van Mazijk" w:date="2020-04-24T14:39:00Z" w:initials="RVM">
    <w:p w14:paraId="14CDB4FD" w14:textId="630F1E2C" w:rsidR="00EA17AA" w:rsidRDefault="00EA17AA">
      <w:pPr>
        <w:pStyle w:val="CommentText"/>
      </w:pPr>
      <w:r>
        <w:rPr>
          <w:rStyle w:val="CommentReference"/>
        </w:rPr>
        <w:annotationRef/>
      </w:r>
      <w:r>
        <w:t>Reword</w:t>
      </w:r>
    </w:p>
  </w:comment>
  <w:comment w:id="11" w:author="Ruan Van Mazijk" w:date="2020-04-23T12:05:00Z" w:initials="RVM">
    <w:p w14:paraId="6F6319F4" w14:textId="77777777" w:rsidR="00E22B64" w:rsidRDefault="00E22B64" w:rsidP="00E22B64">
      <w:pPr>
        <w:pStyle w:val="CommentText"/>
      </w:pPr>
      <w:r>
        <w:rPr>
          <w:rStyle w:val="CommentReference"/>
        </w:rPr>
        <w:annotationRef/>
      </w:r>
      <w:r>
        <w:t>Comment on those that are negative (though partial) and cf. univariate effects that are negative</w:t>
      </w:r>
    </w:p>
  </w:comment>
  <w:comment w:id="12" w:author="Ruan Van Mazijk" w:date="2020-04-24T09:51:00Z" w:initials="RVM">
    <w:p w14:paraId="73E9BC89" w14:textId="77777777" w:rsidR="000065E8" w:rsidRDefault="000065E8">
      <w:pPr>
        <w:pStyle w:val="CommentText"/>
      </w:pPr>
      <w:r>
        <w:rPr>
          <w:rStyle w:val="CommentReference"/>
        </w:rPr>
        <w:annotationRef/>
      </w:r>
      <w:r>
        <w:t>Alternative:</w:t>
      </w:r>
    </w:p>
    <w:p w14:paraId="667B5653" w14:textId="77777777" w:rsidR="000065E8" w:rsidRDefault="000065E8">
      <w:pPr>
        <w:pStyle w:val="CommentText"/>
      </w:pPr>
    </w:p>
    <w:p w14:paraId="200003C1" w14:textId="7976F230" w:rsidR="000065E8" w:rsidRDefault="00CC2DB6">
      <w:pPr>
        <w:pStyle w:val="CommentText"/>
      </w:pPr>
      <w:r>
        <w:t>“</w:t>
      </w:r>
      <w:r>
        <w:t>heterogeneity in PDQ, CEC and pH at the QDS-scale, pH at the HDS-scale and elevation, PDQ and CEC at the DS-scale</w:t>
      </w:r>
      <w:r>
        <w:t>”</w:t>
      </w:r>
    </w:p>
  </w:comment>
  <w:comment w:id="13" w:author="Ruan Van Mazijk" w:date="2020-04-22T13:41:00Z" w:initials="RVM">
    <w:p w14:paraId="640EFBEC" w14:textId="21B2016F" w:rsidR="00AD5B6C" w:rsidRDefault="00AD5B6C">
      <w:pPr>
        <w:pStyle w:val="CommentText"/>
      </w:pPr>
      <w:r>
        <w:rPr>
          <w:rStyle w:val="CommentReference"/>
        </w:rPr>
        <w:annotationRef/>
      </w:r>
      <w:r>
        <w:t>Reword</w:t>
      </w:r>
    </w:p>
  </w:comment>
  <w:comment w:id="14" w:author="Ruan Van Mazijk [2]" w:date="2020-02-27T16:15:00Z" w:initials="RVM">
    <w:p w14:paraId="4B02A409" w14:textId="5D217374" w:rsidR="00AD5B6C" w:rsidRDefault="00AD5B6C">
      <w:pPr>
        <w:pStyle w:val="CommentText"/>
      </w:pPr>
      <w:r>
        <w:rPr>
          <w:rStyle w:val="CommentReference"/>
        </w:rPr>
        <w:annotationRef/>
      </w:r>
      <w:r>
        <w:t>Still relevant?</w:t>
      </w:r>
    </w:p>
  </w:comment>
  <w:comment w:id="15" w:author="Ruan Van Mazijk [2]" w:date="2020-02-27T18:23:00Z" w:initials="RVM">
    <w:p w14:paraId="5CBACEA6" w14:textId="0FD1865A" w:rsidR="00AD5B6C" w:rsidRDefault="00AD5B6C">
      <w:pPr>
        <w:pStyle w:val="CommentText"/>
      </w:pPr>
      <w:r>
        <w:rPr>
          <w:rStyle w:val="CommentReference"/>
        </w:rPr>
        <w:annotationRef/>
      </w:r>
      <w:r>
        <w:t>Reference W</w:t>
      </w:r>
      <w:r>
        <w:t>ü</w:t>
      </w:r>
      <w:r>
        <w:t xml:space="preserve">est et al. (2018. </w:t>
      </w:r>
      <w:r>
        <w:rPr>
          <w:i/>
          <w:iCs/>
        </w:rPr>
        <w:t>J. Biogeog.</w:t>
      </w:r>
      <w:r>
        <w:t>)</w:t>
      </w:r>
    </w:p>
  </w:comment>
  <w:comment w:id="16" w:author="Ruan Van Mazijk" w:date="2020-04-23T12:06:00Z" w:initials="RVM">
    <w:p w14:paraId="4C47FD51" w14:textId="7CD782E3" w:rsidR="00AD5B6C" w:rsidRDefault="00AD5B6C">
      <w:pPr>
        <w:pStyle w:val="CommentText"/>
      </w:pPr>
      <w:r>
        <w:rPr>
          <w:rStyle w:val="CommentReference"/>
        </w:rPr>
        <w:annotationRef/>
      </w:r>
      <w:r>
        <w:t xml:space="preserve">Smooth over w.r.t. </w:t>
      </w:r>
      <w:r>
        <w:t>“</w:t>
      </w:r>
      <w:r>
        <w:t>new</w:t>
      </w:r>
      <w:r>
        <w:t>”</w:t>
      </w:r>
      <w:r>
        <w:t xml:space="preserve"> results</w:t>
      </w:r>
    </w:p>
  </w:comment>
  <w:comment w:id="18" w:author="Ruan Van Mazijk" w:date="2020-04-24T14:27:00Z" w:initials="RVM">
    <w:p w14:paraId="1AB66A37" w14:textId="3F32CC6B" w:rsidR="001155C0" w:rsidRDefault="001155C0">
      <w:pPr>
        <w:pStyle w:val="CommentText"/>
      </w:pPr>
      <w:r>
        <w:rPr>
          <w:rStyle w:val="CommentReference"/>
        </w:rPr>
        <w:annotationRef/>
      </w:r>
      <w:r>
        <w:t>Reword</w:t>
      </w:r>
      <w:r w:rsidR="00880860">
        <w:t>?</w:t>
      </w:r>
    </w:p>
    <w:p w14:paraId="66B2E3BB" w14:textId="5888FF49" w:rsidR="001155C0" w:rsidRDefault="001155C0">
      <w:pPr>
        <w:pStyle w:val="CommentText"/>
      </w:pPr>
    </w:p>
  </w:comment>
  <w:comment w:id="19" w:author="Michael Cramer" w:date="2020-01-21T18:33:00Z" w:initials="MC">
    <w:p w14:paraId="6630E98D" w14:textId="63ADB3E1" w:rsidR="00AD5B6C" w:rsidRDefault="00AD5B6C">
      <w:pPr>
        <w:pStyle w:val="CommentText"/>
      </w:pPr>
      <w:r>
        <w:rPr>
          <w:rStyle w:val="CommentReference"/>
        </w:rPr>
        <w:annotationRef/>
      </w:r>
      <w:r>
        <w:t>I think this is such a well known phenomenon that the original citation must predate this considerably!</w:t>
      </w:r>
    </w:p>
  </w:comment>
  <w:comment w:id="20" w:author="Michael Cramer" w:date="2020-01-21T18:42:00Z" w:initials="MC">
    <w:p w14:paraId="1AF6D68F" w14:textId="4F8ED442" w:rsidR="00AD5B6C" w:rsidRDefault="00AD5B6C">
      <w:pPr>
        <w:pStyle w:val="CommentText"/>
      </w:pPr>
      <w:r>
        <w:rPr>
          <w:rStyle w:val="CommentReference"/>
        </w:rPr>
        <w:annotationRef/>
      </w:r>
      <w:r>
        <w:t>Fine, but there are also other considerations of why the hotspots occur that need to be addressed, I think. I see that this comes up later, but a (see below) might help here</w:t>
      </w:r>
      <w:r>
        <w:t>…</w:t>
      </w:r>
    </w:p>
  </w:comment>
  <w:comment w:id="21" w:author="Michael Cramer" w:date="2020-01-21T18:44:00Z" w:initials="MC">
    <w:p w14:paraId="1EF10457" w14:textId="06919D9E" w:rsidR="00AD5B6C" w:rsidRDefault="00AD5B6C">
      <w:pPr>
        <w:pStyle w:val="CommentText"/>
      </w:pPr>
      <w:r>
        <w:rPr>
          <w:rStyle w:val="CommentReference"/>
        </w:rPr>
        <w:annotationRef/>
      </w:r>
      <w:r>
        <w:t>This was a review? Best source?</w:t>
      </w:r>
    </w:p>
  </w:comment>
  <w:comment w:id="22" w:author="Michael Cramer" w:date="2020-01-21T18:58:00Z" w:initials="MC">
    <w:p w14:paraId="7FA66952" w14:textId="2EE07ABC" w:rsidR="00AD5B6C" w:rsidRDefault="00AD5B6C">
      <w:pPr>
        <w:pStyle w:val="CommentText"/>
      </w:pPr>
      <w:r>
        <w:rPr>
          <w:rStyle w:val="CommentReference"/>
        </w:rPr>
        <w:annotationRef/>
      </w:r>
      <w:r>
        <w:t>I really think Hopper</w:t>
      </w:r>
      <w:r>
        <w:t>’</w:t>
      </w:r>
      <w:r>
        <w:t>s paper should get comment here too</w:t>
      </w:r>
      <w:r>
        <w:t>…</w:t>
      </w:r>
      <w:r>
        <w:t xml:space="preserve"> His strange decision to trust rarefaction rather than the raw species richness..</w:t>
      </w:r>
    </w:p>
  </w:comment>
  <w:comment w:id="23" w:author="Ruan Van Mazijk" w:date="2020-04-21T17:47:00Z" w:initials="RVM">
    <w:p w14:paraId="6FFC3CB1" w14:textId="4B19E056" w:rsidR="00AD5B6C" w:rsidRDefault="00AD5B6C">
      <w:pPr>
        <w:pStyle w:val="CommentText"/>
      </w:pPr>
      <w:r>
        <w:rPr>
          <w:rStyle w:val="CommentReference"/>
        </w:rPr>
        <w:annotationRef/>
      </w:r>
      <w:r>
        <w:t>Mention how these are spatially autocorrelated</w:t>
      </w:r>
    </w:p>
  </w:comment>
  <w:comment w:id="24" w:author="Ruan Van Mazijk" w:date="2020-04-23T11:44:00Z" w:initials="RVM">
    <w:p w14:paraId="639FF76F" w14:textId="7CB9B457" w:rsidR="00AD5B6C" w:rsidRDefault="00AD5B6C">
      <w:pPr>
        <w:pStyle w:val="CommentText"/>
      </w:pPr>
      <w:r>
        <w:rPr>
          <w:rStyle w:val="CommentReference"/>
        </w:rPr>
        <w:annotationRef/>
      </w:r>
      <w:r>
        <w:t>Proof read captions</w:t>
      </w:r>
    </w:p>
  </w:comment>
  <w:comment w:id="26" w:author="Ruan Van Mazijk" w:date="2020-04-23T11:43:00Z" w:initials="RVM">
    <w:p w14:paraId="27BA308F" w14:textId="17446893" w:rsidR="00AD5B6C" w:rsidRDefault="00AD5B6C">
      <w:pPr>
        <w:pStyle w:val="CommentText"/>
      </w:pPr>
      <w:r>
        <w:rPr>
          <w:rStyle w:val="CommentReference"/>
        </w:rPr>
        <w:annotationRef/>
      </w:r>
      <w:r>
        <w:t>Proof read captions</w:t>
      </w:r>
    </w:p>
  </w:comment>
  <w:comment w:id="27" w:author="Ruan Van Mazijk" w:date="2020-04-23T12:10:00Z" w:initials="RVM">
    <w:p w14:paraId="24D66ED1" w14:textId="0EB1DDFA" w:rsidR="00AD5B6C" w:rsidRDefault="00AD5B6C">
      <w:pPr>
        <w:pStyle w:val="CommentText"/>
      </w:pPr>
      <w:r>
        <w:rPr>
          <w:rStyle w:val="CommentReference"/>
        </w:rPr>
        <w:annotationRef/>
      </w:r>
      <w:r>
        <w:t>Redo w/ alternative parameterization (i.e. GCFR &amp; SWAFR s.s.)?</w:t>
      </w:r>
    </w:p>
  </w:comment>
  <w:comment w:id="28" w:author="Ruan Van Mazijk [2]" w:date="2020-02-27T17:27:00Z" w:initials="RVM">
    <w:p w14:paraId="030E1ECF" w14:textId="44923FD3" w:rsidR="00AD5B6C" w:rsidRDefault="00AD5B6C">
      <w:pPr>
        <w:pStyle w:val="CommentText"/>
      </w:pPr>
      <w:r>
        <w:rPr>
          <w:rStyle w:val="CommentReference"/>
        </w:rPr>
        <w:annotationRef/>
      </w:r>
      <w:r>
        <w:t>Add manual part of P_Effect legend</w:t>
      </w:r>
    </w:p>
  </w:comment>
  <w:comment w:id="30" w:author="Ruan Van Mazijk" w:date="2020-04-23T11:43:00Z" w:initials="RVM">
    <w:p w14:paraId="7E3B56E8" w14:textId="4A300D2D" w:rsidR="00AD5B6C" w:rsidRDefault="00AD5B6C">
      <w:pPr>
        <w:pStyle w:val="CommentText"/>
      </w:pPr>
      <w:r>
        <w:rPr>
          <w:rStyle w:val="CommentReference"/>
        </w:rPr>
        <w:annotationRef/>
      </w:r>
      <w:r>
        <w:t>Double check all formatted correctly in text and here (perhaps manually after a final Mendeley sync)</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D6E1E8C" w15:done="0"/>
  <w15:commentEx w15:paraId="27103414" w15:done="0"/>
  <w15:commentEx w15:paraId="3F4DA4D2" w15:done="0"/>
  <w15:commentEx w15:paraId="14CDB4FD" w15:done="0"/>
  <w15:commentEx w15:paraId="6F6319F4" w15:done="0"/>
  <w15:commentEx w15:paraId="200003C1" w15:done="0"/>
  <w15:commentEx w15:paraId="640EFBEC" w15:done="0"/>
  <w15:commentEx w15:paraId="4B02A409" w15:done="0"/>
  <w15:commentEx w15:paraId="5CBACEA6" w15:done="0"/>
  <w15:commentEx w15:paraId="4C47FD51" w15:done="0"/>
  <w15:commentEx w15:paraId="66B2E3BB" w15:done="0"/>
  <w15:commentEx w15:paraId="6630E98D" w15:done="0"/>
  <w15:commentEx w15:paraId="1AF6D68F" w15:done="0"/>
  <w15:commentEx w15:paraId="1EF10457" w15:done="0"/>
  <w15:commentEx w15:paraId="7FA66952" w15:done="0"/>
  <w15:commentEx w15:paraId="6FFC3CB1" w15:done="0"/>
  <w15:commentEx w15:paraId="639FF76F" w15:done="0"/>
  <w15:commentEx w15:paraId="27BA308F" w15:done="0"/>
  <w15:commentEx w15:paraId="24D66ED1" w15:done="0"/>
  <w15:commentEx w15:paraId="030E1ECF" w15:done="0"/>
  <w15:commentEx w15:paraId="7E3B56E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4C02D0" w16cex:dateUtc="2020-04-23T10:04:00Z"/>
  <w16cex:commentExtensible w16cex:durableId="224D789D" w16cex:dateUtc="2020-04-24T12:39:00Z"/>
  <w16cex:commentExtensible w16cex:durableId="224C0314" w16cex:dateUtc="2020-04-23T10:05:00Z"/>
  <w16cex:commentExtensible w16cex:durableId="224D3510" w16cex:dateUtc="2020-04-24T07:51:00Z"/>
  <w16cex:commentExtensible w16cex:durableId="224AC809" w16cex:dateUtc="2020-04-22T11:41:00Z"/>
  <w16cex:commentExtensible w16cex:durableId="224C034A" w16cex:dateUtc="2020-04-23T10:06:00Z"/>
  <w16cex:commentExtensible w16cex:durableId="224D75E1" w16cex:dateUtc="2020-04-24T12:27:00Z"/>
  <w16cex:commentExtensible w16cex:durableId="2249B035" w16cex:dateUtc="2020-04-21T15:47:00Z"/>
  <w16cex:commentExtensible w16cex:durableId="224BFE05" w16cex:dateUtc="2020-04-23T09:44:00Z"/>
  <w16cex:commentExtensible w16cex:durableId="224BFDFD" w16cex:dateUtc="2020-04-23T09:43:00Z"/>
  <w16cex:commentExtensible w16cex:durableId="224C0439" w16cex:dateUtc="2020-04-23T10:10:00Z"/>
  <w16cex:commentExtensible w16cex:durableId="224BFDD8" w16cex:dateUtc="2020-04-23T09:4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D6E1E8C" w16cid:durableId="21DC1B5A"/>
  <w16cid:commentId w16cid:paraId="27103414" w16cid:durableId="224C02D0"/>
  <w16cid:commentId w16cid:paraId="3F4DA4D2" w16cid:durableId="22039DE2"/>
  <w16cid:commentId w16cid:paraId="14CDB4FD" w16cid:durableId="224D789D"/>
  <w16cid:commentId w16cid:paraId="6F6319F4" w16cid:durableId="224C0314"/>
  <w16cid:commentId w16cid:paraId="200003C1" w16cid:durableId="224D3510"/>
  <w16cid:commentId w16cid:paraId="640EFBEC" w16cid:durableId="224AC809"/>
  <w16cid:commentId w16cid:paraId="4B02A409" w16cid:durableId="220269B8"/>
  <w16cid:commentId w16cid:paraId="5CBACEA6" w16cid:durableId="220287BA"/>
  <w16cid:commentId w16cid:paraId="4C47FD51" w16cid:durableId="224C034A"/>
  <w16cid:commentId w16cid:paraId="66B2E3BB" w16cid:durableId="224D75E1"/>
  <w16cid:commentId w16cid:paraId="6630E98D" w16cid:durableId="21D1C278"/>
  <w16cid:commentId w16cid:paraId="1AF6D68F" w16cid:durableId="21D1C49C"/>
  <w16cid:commentId w16cid:paraId="1EF10457" w16cid:durableId="21D1C50D"/>
  <w16cid:commentId w16cid:paraId="7FA66952" w16cid:durableId="21D1C83B"/>
  <w16cid:commentId w16cid:paraId="6FFC3CB1" w16cid:durableId="2249B035"/>
  <w16cid:commentId w16cid:paraId="639FF76F" w16cid:durableId="224BFE05"/>
  <w16cid:commentId w16cid:paraId="27BA308F" w16cid:durableId="224BFDFD"/>
  <w16cid:commentId w16cid:paraId="24D66ED1" w16cid:durableId="224C0439"/>
  <w16cid:commentId w16cid:paraId="030E1ECF" w16cid:durableId="22027A95"/>
  <w16cid:commentId w16cid:paraId="7E3B56E8" w16cid:durableId="224BFDD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F5C468B" w14:textId="77777777" w:rsidR="00F351D8" w:rsidRDefault="00F351D8">
      <w:pPr>
        <w:spacing w:after="0"/>
      </w:pPr>
      <w:r>
        <w:separator/>
      </w:r>
    </w:p>
  </w:endnote>
  <w:endnote w:type="continuationSeparator" w:id="0">
    <w:p w14:paraId="1113EC5B" w14:textId="77777777" w:rsidR="00F351D8" w:rsidRDefault="00F351D8">
      <w:pPr>
        <w:spacing w:after="0"/>
      </w:pPr>
      <w:r>
        <w:continuationSeparator/>
      </w:r>
    </w:p>
  </w:endnote>
  <w:endnote w:type="continuationNotice" w:id="1">
    <w:p w14:paraId="0DCFC986" w14:textId="77777777" w:rsidR="00F351D8" w:rsidRDefault="00F351D8">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6830354"/>
      <w:docPartObj>
        <w:docPartGallery w:val="Page Numbers (Bottom of Page)"/>
        <w:docPartUnique/>
      </w:docPartObj>
    </w:sdtPr>
    <w:sdtEndPr>
      <w:rPr>
        <w:noProof/>
      </w:rPr>
    </w:sdtEndPr>
    <w:sdtContent>
      <w:p w14:paraId="2310A7E4" w14:textId="5C7FA65C" w:rsidR="00AD5B6C" w:rsidRDefault="00AD5B6C">
        <w:pPr>
          <w:pStyle w:val="Footer"/>
          <w:jc w:val="center"/>
        </w:pPr>
        <w:r>
          <w:fldChar w:fldCharType="begin"/>
        </w:r>
        <w:r>
          <w:instrText xml:space="preserve"> PAGE   \* MERGEFORMAT </w:instrText>
        </w:r>
        <w:r>
          <w:fldChar w:fldCharType="separate"/>
        </w:r>
        <w:r>
          <w:rPr>
            <w:noProof/>
          </w:rPr>
          <w:t>22</w:t>
        </w:r>
        <w:r>
          <w:rPr>
            <w:noProof/>
          </w:rPr>
          <w:fldChar w:fldCharType="end"/>
        </w:r>
      </w:p>
    </w:sdtContent>
  </w:sdt>
  <w:p w14:paraId="1D5C85C2" w14:textId="77777777" w:rsidR="00AD5B6C" w:rsidRDefault="00AD5B6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5026022" w14:textId="77777777" w:rsidR="00F351D8" w:rsidRDefault="00F351D8">
      <w:r>
        <w:separator/>
      </w:r>
    </w:p>
  </w:footnote>
  <w:footnote w:type="continuationSeparator" w:id="0">
    <w:p w14:paraId="064BC121" w14:textId="77777777" w:rsidR="00F351D8" w:rsidRDefault="00F351D8">
      <w:r>
        <w:continuationSeparator/>
      </w:r>
    </w:p>
  </w:footnote>
  <w:footnote w:type="continuationNotice" w:id="1">
    <w:p w14:paraId="6C7606FA" w14:textId="77777777" w:rsidR="00F351D8" w:rsidRDefault="00F351D8">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6DF4A27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15E953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AAEAD5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2364B1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164C8C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4642B1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4AAD34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2E4120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EF23C0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1EAC81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C517A2"/>
    <w:multiLevelType w:val="hybridMultilevel"/>
    <w:tmpl w:val="923C835C"/>
    <w:lvl w:ilvl="0" w:tplc="1C09000F">
      <w:start w:val="1"/>
      <w:numFmt w:val="decimal"/>
      <w:lvlText w:val="%1."/>
      <w:lvlJc w:val="left"/>
      <w:pPr>
        <w:ind w:left="720" w:hanging="360"/>
      </w:pPr>
      <w:rPr>
        <w:rFonts w:hint="default"/>
      </w:rPr>
    </w:lvl>
    <w:lvl w:ilvl="1" w:tplc="1C090001">
      <w:start w:val="1"/>
      <w:numFmt w:val="bullet"/>
      <w:lvlText w:val=""/>
      <w:lvlJc w:val="left"/>
      <w:pPr>
        <w:ind w:left="1440" w:hanging="360"/>
      </w:pPr>
      <w:rPr>
        <w:rFonts w:ascii="Symbol" w:hAnsi="Symbol" w:hint="default"/>
      </w:r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0BF60A10"/>
    <w:multiLevelType w:val="hybridMultilevel"/>
    <w:tmpl w:val="6712AEB4"/>
    <w:lvl w:ilvl="0" w:tplc="1C09000F">
      <w:start w:val="1"/>
      <w:numFmt w:val="decimal"/>
      <w:lvlText w:val="%1."/>
      <w:lvlJc w:val="left"/>
      <w:pPr>
        <w:ind w:left="720" w:hanging="360"/>
      </w:pPr>
      <w:rPr>
        <w:rFont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166017B5"/>
    <w:multiLevelType w:val="hybridMultilevel"/>
    <w:tmpl w:val="AC5847EC"/>
    <w:lvl w:ilvl="0" w:tplc="1C09000F">
      <w:start w:val="1"/>
      <w:numFmt w:val="decimal"/>
      <w:lvlText w:val="%1."/>
      <w:lvlJc w:val="left"/>
      <w:pPr>
        <w:ind w:left="720" w:hanging="360"/>
      </w:pPr>
      <w:rPr>
        <w:rFonts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170CD2DE"/>
    <w:multiLevelType w:val="multilevel"/>
    <w:tmpl w:val="0896DC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0B5FB8"/>
    <w:multiLevelType w:val="hybridMultilevel"/>
    <w:tmpl w:val="ACEC5BA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2C1AE401"/>
    <w:multiLevelType w:val="multilevel"/>
    <w:tmpl w:val="A71A1A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6" w15:restartNumberingAfterBreak="0">
    <w:nsid w:val="33371449"/>
    <w:multiLevelType w:val="hybridMultilevel"/>
    <w:tmpl w:val="C0A4FDDA"/>
    <w:lvl w:ilvl="0" w:tplc="1C090001">
      <w:start w:val="1"/>
      <w:numFmt w:val="bullet"/>
      <w:lvlText w:val=""/>
      <w:lvlJc w:val="left"/>
      <w:pPr>
        <w:ind w:left="720" w:hanging="360"/>
      </w:pPr>
      <w:rPr>
        <w:rFonts w:ascii="Symbol" w:hAnsi="Symbol" w:hint="default"/>
      </w:rPr>
    </w:lvl>
    <w:lvl w:ilvl="1" w:tplc="854C5E9C">
      <w:numFmt w:val="bullet"/>
      <w:lvlText w:val="-"/>
      <w:lvlJc w:val="left"/>
      <w:pPr>
        <w:ind w:left="1440" w:hanging="360"/>
      </w:pPr>
      <w:rPr>
        <w:rFonts w:ascii="Times New Roman" w:eastAsiaTheme="minorHAnsi" w:hAnsi="Times New Roman" w:cs="Times New Roman"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36C73417"/>
    <w:multiLevelType w:val="multilevel"/>
    <w:tmpl w:val="4AF2B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C486616"/>
    <w:multiLevelType w:val="hybridMultilevel"/>
    <w:tmpl w:val="2EA8678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44117CD3"/>
    <w:multiLevelType w:val="hybridMultilevel"/>
    <w:tmpl w:val="1DFA84E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44470908"/>
    <w:multiLevelType w:val="multilevel"/>
    <w:tmpl w:val="D9367D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7A70AB2"/>
    <w:multiLevelType w:val="hybridMultilevel"/>
    <w:tmpl w:val="C0D8D88E"/>
    <w:lvl w:ilvl="0" w:tplc="5F4EA0C8">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2" w15:restartNumberingAfterBreak="0">
    <w:nsid w:val="52CB00DA"/>
    <w:multiLevelType w:val="multilevel"/>
    <w:tmpl w:val="CDD626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66A6868"/>
    <w:multiLevelType w:val="hybridMultilevel"/>
    <w:tmpl w:val="2C38C3EA"/>
    <w:lvl w:ilvl="0" w:tplc="83F82C70">
      <w:numFmt w:val="bullet"/>
      <w:lvlText w:val="-"/>
      <w:lvlJc w:val="left"/>
      <w:pPr>
        <w:ind w:left="720" w:hanging="360"/>
      </w:pPr>
      <w:rPr>
        <w:rFonts w:ascii="Times New Roman" w:eastAsiaTheme="minorHAnsi" w:hAnsi="Times New Roman" w:cs="Times New Roman"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4" w15:restartNumberingAfterBreak="0">
    <w:nsid w:val="6774128D"/>
    <w:multiLevelType w:val="hybridMultilevel"/>
    <w:tmpl w:val="E43200EE"/>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5" w15:restartNumberingAfterBreak="0">
    <w:nsid w:val="7D31024B"/>
    <w:multiLevelType w:val="hybridMultilevel"/>
    <w:tmpl w:val="15C68F70"/>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13"/>
  </w:num>
  <w:num w:numId="2">
    <w:abstractNumId w:val="13"/>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 w:numId="13">
    <w:abstractNumId w:val="15"/>
  </w:num>
  <w:num w:numId="14">
    <w:abstractNumId w:val="16"/>
  </w:num>
  <w:num w:numId="15">
    <w:abstractNumId w:val="12"/>
  </w:num>
  <w:num w:numId="16">
    <w:abstractNumId w:val="25"/>
  </w:num>
  <w:num w:numId="17">
    <w:abstractNumId w:val="14"/>
  </w:num>
  <w:num w:numId="18">
    <w:abstractNumId w:val="11"/>
  </w:num>
  <w:num w:numId="19">
    <w:abstractNumId w:val="24"/>
  </w:num>
  <w:num w:numId="20">
    <w:abstractNumId w:val="20"/>
  </w:num>
  <w:num w:numId="21">
    <w:abstractNumId w:val="17"/>
  </w:num>
  <w:num w:numId="22">
    <w:abstractNumId w:val="22"/>
  </w:num>
  <w:num w:numId="23">
    <w:abstractNumId w:val="10"/>
  </w:num>
  <w:num w:numId="24">
    <w:abstractNumId w:val="19"/>
  </w:num>
  <w:num w:numId="25">
    <w:abstractNumId w:val="18"/>
  </w:num>
  <w:num w:numId="26">
    <w:abstractNumId w:val="21"/>
  </w:num>
  <w:num w:numId="27">
    <w:abstractNumId w:val="2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ichael Cramer">
    <w15:presenceInfo w15:providerId="AD" w15:userId="S::01400822@wf.uct.ac.za::42384198-234c-4b6a-8489-2a3f7d296e81"/>
  </w15:person>
  <w15:person w15:author="Ruan Van Mazijk">
    <w15:presenceInfo w15:providerId="AD" w15:userId="S::vmzrua001@myuct.ac.za::f50431c7-080a-4259-97ee-a4bb5c336639"/>
  </w15:person>
  <w15:person w15:author="Ruan Van Mazijk [2]">
    <w15:presenceInfo w15:providerId="AD" w15:userId="S::VMZRUA001@myuct.ac.za::f50431c7-080a-4259-97ee-a4bb5c33663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3"/>
  <w:embedSystemFonts/>
  <w:activeWritingStyle w:appName="MSWord" w:lang="en-US" w:vendorID="64" w:dllVersion="4096" w:nlCheck="1" w:checkStyle="0"/>
  <w:activeWritingStyle w:appName="MSWord" w:lang="en-US" w:vendorID="64" w:dllVersion="0" w:nlCheck="1" w:checkStyle="0"/>
  <w:activeWritingStyle w:appName="MSWord" w:lang="en-ZA" w:vendorID="64" w:dllVersion="0" w:nlCheck="1" w:checkStyle="0"/>
  <w:activeWritingStyle w:appName="MSWord" w:lang="en-US" w:vendorID="64" w:dllVersion="6" w:nlCheck="1" w:checkStyle="1"/>
  <w:activeWritingStyle w:appName="MSWord" w:lang="en-ZA" w:vendorID="64" w:dllVersion="6" w:nlCheck="1" w:checkStyle="1"/>
  <w:activeWritingStyle w:appName="MSWord" w:lang="en-GB" w:vendorID="64" w:dllVersion="4096" w:nlCheck="1" w:checkStyle="0"/>
  <w:activeWritingStyle w:appName="MSWord" w:lang="en-GB" w:vendorID="64" w:dllVersion="0" w:nlCheck="1" w:checkStyle="0"/>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2FFF"/>
    <w:rsid w:val="0000489E"/>
    <w:rsid w:val="00004BFE"/>
    <w:rsid w:val="000058F5"/>
    <w:rsid w:val="00005B58"/>
    <w:rsid w:val="00005DF9"/>
    <w:rsid w:val="000065E8"/>
    <w:rsid w:val="00006E29"/>
    <w:rsid w:val="00007536"/>
    <w:rsid w:val="000075FC"/>
    <w:rsid w:val="00007FFD"/>
    <w:rsid w:val="00010D0D"/>
    <w:rsid w:val="00011C8B"/>
    <w:rsid w:val="00012F66"/>
    <w:rsid w:val="000134E5"/>
    <w:rsid w:val="00015987"/>
    <w:rsid w:val="0001614C"/>
    <w:rsid w:val="00017062"/>
    <w:rsid w:val="0001735B"/>
    <w:rsid w:val="0001739B"/>
    <w:rsid w:val="00017496"/>
    <w:rsid w:val="00017D5E"/>
    <w:rsid w:val="00017E2E"/>
    <w:rsid w:val="000202B4"/>
    <w:rsid w:val="00020DE2"/>
    <w:rsid w:val="00020F42"/>
    <w:rsid w:val="000217F9"/>
    <w:rsid w:val="00022A4F"/>
    <w:rsid w:val="000235F3"/>
    <w:rsid w:val="00023612"/>
    <w:rsid w:val="00023792"/>
    <w:rsid w:val="00023A41"/>
    <w:rsid w:val="00024506"/>
    <w:rsid w:val="00024A7B"/>
    <w:rsid w:val="00024E99"/>
    <w:rsid w:val="00025737"/>
    <w:rsid w:val="00026A23"/>
    <w:rsid w:val="00030A46"/>
    <w:rsid w:val="00030FA3"/>
    <w:rsid w:val="00031229"/>
    <w:rsid w:val="00031A1D"/>
    <w:rsid w:val="00032420"/>
    <w:rsid w:val="00032731"/>
    <w:rsid w:val="000330D1"/>
    <w:rsid w:val="000333A2"/>
    <w:rsid w:val="00034583"/>
    <w:rsid w:val="0003459E"/>
    <w:rsid w:val="0003473B"/>
    <w:rsid w:val="000351FF"/>
    <w:rsid w:val="00035BBD"/>
    <w:rsid w:val="000362A6"/>
    <w:rsid w:val="00036460"/>
    <w:rsid w:val="00036900"/>
    <w:rsid w:val="00037267"/>
    <w:rsid w:val="00037D6D"/>
    <w:rsid w:val="000404E6"/>
    <w:rsid w:val="00041BB5"/>
    <w:rsid w:val="00042E25"/>
    <w:rsid w:val="00043102"/>
    <w:rsid w:val="000433A9"/>
    <w:rsid w:val="00043988"/>
    <w:rsid w:val="00043D4E"/>
    <w:rsid w:val="00044150"/>
    <w:rsid w:val="00045DE9"/>
    <w:rsid w:val="000469ED"/>
    <w:rsid w:val="00046D81"/>
    <w:rsid w:val="0004779B"/>
    <w:rsid w:val="00047D3A"/>
    <w:rsid w:val="0005005D"/>
    <w:rsid w:val="00050E44"/>
    <w:rsid w:val="00050E78"/>
    <w:rsid w:val="000519A1"/>
    <w:rsid w:val="00053ADB"/>
    <w:rsid w:val="00054A9F"/>
    <w:rsid w:val="00054E1D"/>
    <w:rsid w:val="0005522C"/>
    <w:rsid w:val="000558A9"/>
    <w:rsid w:val="000559BF"/>
    <w:rsid w:val="000563E6"/>
    <w:rsid w:val="00056A5E"/>
    <w:rsid w:val="0005751E"/>
    <w:rsid w:val="00060308"/>
    <w:rsid w:val="00060510"/>
    <w:rsid w:val="00060E27"/>
    <w:rsid w:val="000611F5"/>
    <w:rsid w:val="000620F9"/>
    <w:rsid w:val="000621D6"/>
    <w:rsid w:val="000622E8"/>
    <w:rsid w:val="00062A2B"/>
    <w:rsid w:val="0006360F"/>
    <w:rsid w:val="00063BFC"/>
    <w:rsid w:val="00064E62"/>
    <w:rsid w:val="00065128"/>
    <w:rsid w:val="000657EC"/>
    <w:rsid w:val="00066121"/>
    <w:rsid w:val="00066CC6"/>
    <w:rsid w:val="0006708C"/>
    <w:rsid w:val="00067826"/>
    <w:rsid w:val="00067982"/>
    <w:rsid w:val="00070A7B"/>
    <w:rsid w:val="00070D03"/>
    <w:rsid w:val="000714AC"/>
    <w:rsid w:val="000717D3"/>
    <w:rsid w:val="00072164"/>
    <w:rsid w:val="00072A60"/>
    <w:rsid w:val="0007372B"/>
    <w:rsid w:val="00073C4B"/>
    <w:rsid w:val="00074006"/>
    <w:rsid w:val="000740CB"/>
    <w:rsid w:val="000742FC"/>
    <w:rsid w:val="000747BD"/>
    <w:rsid w:val="000764C7"/>
    <w:rsid w:val="00076E7A"/>
    <w:rsid w:val="00077059"/>
    <w:rsid w:val="00077320"/>
    <w:rsid w:val="00077A58"/>
    <w:rsid w:val="00077FB5"/>
    <w:rsid w:val="00080450"/>
    <w:rsid w:val="000804E8"/>
    <w:rsid w:val="000811CB"/>
    <w:rsid w:val="000826DE"/>
    <w:rsid w:val="00083308"/>
    <w:rsid w:val="00083701"/>
    <w:rsid w:val="00083DD4"/>
    <w:rsid w:val="000847C4"/>
    <w:rsid w:val="00084808"/>
    <w:rsid w:val="00086052"/>
    <w:rsid w:val="00086273"/>
    <w:rsid w:val="00086992"/>
    <w:rsid w:val="00086D10"/>
    <w:rsid w:val="00086D19"/>
    <w:rsid w:val="000878A3"/>
    <w:rsid w:val="00087B3B"/>
    <w:rsid w:val="00091200"/>
    <w:rsid w:val="0009179A"/>
    <w:rsid w:val="00091AE9"/>
    <w:rsid w:val="00093051"/>
    <w:rsid w:val="00093309"/>
    <w:rsid w:val="000941A5"/>
    <w:rsid w:val="0009498D"/>
    <w:rsid w:val="00094CB2"/>
    <w:rsid w:val="000951C2"/>
    <w:rsid w:val="00095788"/>
    <w:rsid w:val="00095A50"/>
    <w:rsid w:val="0009612B"/>
    <w:rsid w:val="000962CB"/>
    <w:rsid w:val="000965D5"/>
    <w:rsid w:val="00096A38"/>
    <w:rsid w:val="0009756C"/>
    <w:rsid w:val="000A1ADE"/>
    <w:rsid w:val="000A2014"/>
    <w:rsid w:val="000A2EAE"/>
    <w:rsid w:val="000A3255"/>
    <w:rsid w:val="000A44BE"/>
    <w:rsid w:val="000A737C"/>
    <w:rsid w:val="000A7820"/>
    <w:rsid w:val="000A7C66"/>
    <w:rsid w:val="000B1C91"/>
    <w:rsid w:val="000B2398"/>
    <w:rsid w:val="000B2FED"/>
    <w:rsid w:val="000B6E01"/>
    <w:rsid w:val="000B6F4D"/>
    <w:rsid w:val="000B7C42"/>
    <w:rsid w:val="000C0A63"/>
    <w:rsid w:val="000C126B"/>
    <w:rsid w:val="000C16A6"/>
    <w:rsid w:val="000C16E4"/>
    <w:rsid w:val="000C1B2A"/>
    <w:rsid w:val="000C1DFD"/>
    <w:rsid w:val="000C2B76"/>
    <w:rsid w:val="000C2BA8"/>
    <w:rsid w:val="000C33EC"/>
    <w:rsid w:val="000C3D30"/>
    <w:rsid w:val="000C4BE0"/>
    <w:rsid w:val="000C4C83"/>
    <w:rsid w:val="000C57CB"/>
    <w:rsid w:val="000C58EB"/>
    <w:rsid w:val="000C5AAD"/>
    <w:rsid w:val="000C5BB8"/>
    <w:rsid w:val="000C6E98"/>
    <w:rsid w:val="000C780A"/>
    <w:rsid w:val="000C78F5"/>
    <w:rsid w:val="000D014B"/>
    <w:rsid w:val="000D147E"/>
    <w:rsid w:val="000D1A3D"/>
    <w:rsid w:val="000D24A1"/>
    <w:rsid w:val="000D3247"/>
    <w:rsid w:val="000D32D5"/>
    <w:rsid w:val="000D5262"/>
    <w:rsid w:val="000D5988"/>
    <w:rsid w:val="000D5F0A"/>
    <w:rsid w:val="000D698A"/>
    <w:rsid w:val="000D6AB1"/>
    <w:rsid w:val="000D6FAE"/>
    <w:rsid w:val="000D78B0"/>
    <w:rsid w:val="000E0454"/>
    <w:rsid w:val="000E04C6"/>
    <w:rsid w:val="000E0E58"/>
    <w:rsid w:val="000E1B64"/>
    <w:rsid w:val="000E2006"/>
    <w:rsid w:val="000E33FD"/>
    <w:rsid w:val="000E4213"/>
    <w:rsid w:val="000E5000"/>
    <w:rsid w:val="000E72CC"/>
    <w:rsid w:val="000E7EAD"/>
    <w:rsid w:val="000E7F00"/>
    <w:rsid w:val="000F117A"/>
    <w:rsid w:val="000F24B3"/>
    <w:rsid w:val="000F2560"/>
    <w:rsid w:val="000F2FAD"/>
    <w:rsid w:val="000F3C79"/>
    <w:rsid w:val="000F419D"/>
    <w:rsid w:val="000F5594"/>
    <w:rsid w:val="000F55E1"/>
    <w:rsid w:val="000F591F"/>
    <w:rsid w:val="000F59F5"/>
    <w:rsid w:val="000F63D7"/>
    <w:rsid w:val="000F6938"/>
    <w:rsid w:val="000F699D"/>
    <w:rsid w:val="000F7FB0"/>
    <w:rsid w:val="001002B2"/>
    <w:rsid w:val="0010066C"/>
    <w:rsid w:val="00101936"/>
    <w:rsid w:val="001031DA"/>
    <w:rsid w:val="00103D7E"/>
    <w:rsid w:val="00104482"/>
    <w:rsid w:val="00104ADF"/>
    <w:rsid w:val="001054C3"/>
    <w:rsid w:val="00105FAF"/>
    <w:rsid w:val="00106E88"/>
    <w:rsid w:val="0010729C"/>
    <w:rsid w:val="0010737E"/>
    <w:rsid w:val="001114A8"/>
    <w:rsid w:val="00112BB0"/>
    <w:rsid w:val="00114867"/>
    <w:rsid w:val="001149F3"/>
    <w:rsid w:val="00114B76"/>
    <w:rsid w:val="001155C0"/>
    <w:rsid w:val="00115FA8"/>
    <w:rsid w:val="00117505"/>
    <w:rsid w:val="0012073A"/>
    <w:rsid w:val="00120FD9"/>
    <w:rsid w:val="0012344F"/>
    <w:rsid w:val="00123A7A"/>
    <w:rsid w:val="00123B47"/>
    <w:rsid w:val="00124716"/>
    <w:rsid w:val="001259A9"/>
    <w:rsid w:val="00125C57"/>
    <w:rsid w:val="0012609C"/>
    <w:rsid w:val="00126571"/>
    <w:rsid w:val="00126A24"/>
    <w:rsid w:val="00126FD8"/>
    <w:rsid w:val="00127033"/>
    <w:rsid w:val="0012736A"/>
    <w:rsid w:val="00131684"/>
    <w:rsid w:val="0013198F"/>
    <w:rsid w:val="00131E2D"/>
    <w:rsid w:val="001320BF"/>
    <w:rsid w:val="00132E42"/>
    <w:rsid w:val="00134555"/>
    <w:rsid w:val="0013487E"/>
    <w:rsid w:val="00134D39"/>
    <w:rsid w:val="00137475"/>
    <w:rsid w:val="00137BA5"/>
    <w:rsid w:val="00137C32"/>
    <w:rsid w:val="001405E1"/>
    <w:rsid w:val="0014092A"/>
    <w:rsid w:val="00142208"/>
    <w:rsid w:val="00142261"/>
    <w:rsid w:val="0014233A"/>
    <w:rsid w:val="0014323A"/>
    <w:rsid w:val="0014333C"/>
    <w:rsid w:val="001434FE"/>
    <w:rsid w:val="00143DC1"/>
    <w:rsid w:val="00144519"/>
    <w:rsid w:val="001453CD"/>
    <w:rsid w:val="00145581"/>
    <w:rsid w:val="001462B5"/>
    <w:rsid w:val="0014631A"/>
    <w:rsid w:val="00146F57"/>
    <w:rsid w:val="00147214"/>
    <w:rsid w:val="00147258"/>
    <w:rsid w:val="001506B6"/>
    <w:rsid w:val="001508F3"/>
    <w:rsid w:val="00150BF0"/>
    <w:rsid w:val="00152374"/>
    <w:rsid w:val="00152A7B"/>
    <w:rsid w:val="00152B31"/>
    <w:rsid w:val="00152D16"/>
    <w:rsid w:val="001530FE"/>
    <w:rsid w:val="00153824"/>
    <w:rsid w:val="00153B86"/>
    <w:rsid w:val="001541B2"/>
    <w:rsid w:val="001545EB"/>
    <w:rsid w:val="0015465B"/>
    <w:rsid w:val="001548E4"/>
    <w:rsid w:val="001564B7"/>
    <w:rsid w:val="00157417"/>
    <w:rsid w:val="001576DD"/>
    <w:rsid w:val="00157A68"/>
    <w:rsid w:val="0016016F"/>
    <w:rsid w:val="00160C41"/>
    <w:rsid w:val="001617DD"/>
    <w:rsid w:val="00161FEB"/>
    <w:rsid w:val="001626C2"/>
    <w:rsid w:val="00162B7A"/>
    <w:rsid w:val="00163122"/>
    <w:rsid w:val="001640D1"/>
    <w:rsid w:val="00164E10"/>
    <w:rsid w:val="00165181"/>
    <w:rsid w:val="00166053"/>
    <w:rsid w:val="001666F2"/>
    <w:rsid w:val="00166C5E"/>
    <w:rsid w:val="0016731D"/>
    <w:rsid w:val="0016754C"/>
    <w:rsid w:val="00170800"/>
    <w:rsid w:val="001713AC"/>
    <w:rsid w:val="0017188B"/>
    <w:rsid w:val="001729D4"/>
    <w:rsid w:val="00172C85"/>
    <w:rsid w:val="001739C8"/>
    <w:rsid w:val="00174C2A"/>
    <w:rsid w:val="00175240"/>
    <w:rsid w:val="001755D7"/>
    <w:rsid w:val="001758FD"/>
    <w:rsid w:val="0017651E"/>
    <w:rsid w:val="00176B1A"/>
    <w:rsid w:val="00176C59"/>
    <w:rsid w:val="00176E4F"/>
    <w:rsid w:val="00177EA0"/>
    <w:rsid w:val="00180D4A"/>
    <w:rsid w:val="00181A68"/>
    <w:rsid w:val="00182898"/>
    <w:rsid w:val="00182CB9"/>
    <w:rsid w:val="00182FC5"/>
    <w:rsid w:val="00183126"/>
    <w:rsid w:val="00184015"/>
    <w:rsid w:val="001841EC"/>
    <w:rsid w:val="0018462C"/>
    <w:rsid w:val="001848E8"/>
    <w:rsid w:val="00184A95"/>
    <w:rsid w:val="00184EFF"/>
    <w:rsid w:val="001851C2"/>
    <w:rsid w:val="00185A50"/>
    <w:rsid w:val="00185C4C"/>
    <w:rsid w:val="00185E84"/>
    <w:rsid w:val="001860D1"/>
    <w:rsid w:val="00186541"/>
    <w:rsid w:val="001874F1"/>
    <w:rsid w:val="0018771F"/>
    <w:rsid w:val="00187A84"/>
    <w:rsid w:val="001903BD"/>
    <w:rsid w:val="00190668"/>
    <w:rsid w:val="00190D4A"/>
    <w:rsid w:val="0019107E"/>
    <w:rsid w:val="00191261"/>
    <w:rsid w:val="0019274F"/>
    <w:rsid w:val="0019466D"/>
    <w:rsid w:val="00194D75"/>
    <w:rsid w:val="00195211"/>
    <w:rsid w:val="0019553F"/>
    <w:rsid w:val="001955B7"/>
    <w:rsid w:val="00195C63"/>
    <w:rsid w:val="001A0AB2"/>
    <w:rsid w:val="001A123A"/>
    <w:rsid w:val="001A150C"/>
    <w:rsid w:val="001A1879"/>
    <w:rsid w:val="001A20FA"/>
    <w:rsid w:val="001A23A6"/>
    <w:rsid w:val="001A29B8"/>
    <w:rsid w:val="001A29C6"/>
    <w:rsid w:val="001A2E97"/>
    <w:rsid w:val="001A3128"/>
    <w:rsid w:val="001A3272"/>
    <w:rsid w:val="001A41BA"/>
    <w:rsid w:val="001A4312"/>
    <w:rsid w:val="001A4B06"/>
    <w:rsid w:val="001A6185"/>
    <w:rsid w:val="001A6192"/>
    <w:rsid w:val="001A61A1"/>
    <w:rsid w:val="001A7D58"/>
    <w:rsid w:val="001B0693"/>
    <w:rsid w:val="001B0959"/>
    <w:rsid w:val="001B0A3C"/>
    <w:rsid w:val="001B1266"/>
    <w:rsid w:val="001B34DA"/>
    <w:rsid w:val="001B3692"/>
    <w:rsid w:val="001B40A9"/>
    <w:rsid w:val="001B40FF"/>
    <w:rsid w:val="001B412D"/>
    <w:rsid w:val="001B4B9F"/>
    <w:rsid w:val="001B5E7E"/>
    <w:rsid w:val="001B6D6F"/>
    <w:rsid w:val="001B750B"/>
    <w:rsid w:val="001B7AF6"/>
    <w:rsid w:val="001C1E9D"/>
    <w:rsid w:val="001C20C8"/>
    <w:rsid w:val="001C27F6"/>
    <w:rsid w:val="001C321C"/>
    <w:rsid w:val="001C3B54"/>
    <w:rsid w:val="001C4D68"/>
    <w:rsid w:val="001C5D8A"/>
    <w:rsid w:val="001C64D6"/>
    <w:rsid w:val="001C6FE5"/>
    <w:rsid w:val="001C7670"/>
    <w:rsid w:val="001D1DD4"/>
    <w:rsid w:val="001D3D4C"/>
    <w:rsid w:val="001D4356"/>
    <w:rsid w:val="001D4BC0"/>
    <w:rsid w:val="001D58D6"/>
    <w:rsid w:val="001D7221"/>
    <w:rsid w:val="001D7DD1"/>
    <w:rsid w:val="001E00BF"/>
    <w:rsid w:val="001E0C75"/>
    <w:rsid w:val="001E12DB"/>
    <w:rsid w:val="001E1442"/>
    <w:rsid w:val="001E2381"/>
    <w:rsid w:val="001E2A3C"/>
    <w:rsid w:val="001E414D"/>
    <w:rsid w:val="001E4787"/>
    <w:rsid w:val="001E723F"/>
    <w:rsid w:val="001E7A2D"/>
    <w:rsid w:val="001F0A16"/>
    <w:rsid w:val="001F1053"/>
    <w:rsid w:val="001F13D1"/>
    <w:rsid w:val="001F21E6"/>
    <w:rsid w:val="001F2359"/>
    <w:rsid w:val="001F2B69"/>
    <w:rsid w:val="001F3585"/>
    <w:rsid w:val="001F389D"/>
    <w:rsid w:val="001F3AA2"/>
    <w:rsid w:val="001F3C80"/>
    <w:rsid w:val="001F48A1"/>
    <w:rsid w:val="001F4B4C"/>
    <w:rsid w:val="001F70EF"/>
    <w:rsid w:val="002007E7"/>
    <w:rsid w:val="00200991"/>
    <w:rsid w:val="00200A28"/>
    <w:rsid w:val="00200C02"/>
    <w:rsid w:val="00200FEE"/>
    <w:rsid w:val="002011C9"/>
    <w:rsid w:val="0020179E"/>
    <w:rsid w:val="00201A80"/>
    <w:rsid w:val="00201AE3"/>
    <w:rsid w:val="0020209D"/>
    <w:rsid w:val="00202291"/>
    <w:rsid w:val="00202A32"/>
    <w:rsid w:val="00203A2D"/>
    <w:rsid w:val="00204D2C"/>
    <w:rsid w:val="00205DC2"/>
    <w:rsid w:val="00205FB5"/>
    <w:rsid w:val="002065E6"/>
    <w:rsid w:val="002066AB"/>
    <w:rsid w:val="0020680A"/>
    <w:rsid w:val="002071E8"/>
    <w:rsid w:val="00210CA7"/>
    <w:rsid w:val="00211350"/>
    <w:rsid w:val="0021176B"/>
    <w:rsid w:val="00211A46"/>
    <w:rsid w:val="00211FC5"/>
    <w:rsid w:val="00212118"/>
    <w:rsid w:val="002121A7"/>
    <w:rsid w:val="00212EAF"/>
    <w:rsid w:val="00213749"/>
    <w:rsid w:val="00213D02"/>
    <w:rsid w:val="0021685A"/>
    <w:rsid w:val="00217498"/>
    <w:rsid w:val="00217AAC"/>
    <w:rsid w:val="00220A65"/>
    <w:rsid w:val="00220D2B"/>
    <w:rsid w:val="00221518"/>
    <w:rsid w:val="00221BC9"/>
    <w:rsid w:val="00221C0F"/>
    <w:rsid w:val="002234E3"/>
    <w:rsid w:val="00223948"/>
    <w:rsid w:val="00226569"/>
    <w:rsid w:val="00230147"/>
    <w:rsid w:val="00230ABA"/>
    <w:rsid w:val="00230AF5"/>
    <w:rsid w:val="00230C87"/>
    <w:rsid w:val="00230DBA"/>
    <w:rsid w:val="002314C2"/>
    <w:rsid w:val="00231B2B"/>
    <w:rsid w:val="002333AE"/>
    <w:rsid w:val="00233C17"/>
    <w:rsid w:val="00234AAB"/>
    <w:rsid w:val="0023532B"/>
    <w:rsid w:val="00235637"/>
    <w:rsid w:val="00236CF0"/>
    <w:rsid w:val="00237525"/>
    <w:rsid w:val="002376C5"/>
    <w:rsid w:val="00240829"/>
    <w:rsid w:val="00240FF6"/>
    <w:rsid w:val="00241435"/>
    <w:rsid w:val="00242181"/>
    <w:rsid w:val="00242EDD"/>
    <w:rsid w:val="002433F4"/>
    <w:rsid w:val="0024363A"/>
    <w:rsid w:val="002448E4"/>
    <w:rsid w:val="00244E17"/>
    <w:rsid w:val="00245739"/>
    <w:rsid w:val="00246296"/>
    <w:rsid w:val="002465B9"/>
    <w:rsid w:val="00246D04"/>
    <w:rsid w:val="0024759A"/>
    <w:rsid w:val="0024778C"/>
    <w:rsid w:val="00250011"/>
    <w:rsid w:val="00250568"/>
    <w:rsid w:val="00251338"/>
    <w:rsid w:val="002513DB"/>
    <w:rsid w:val="00251E50"/>
    <w:rsid w:val="00251ECF"/>
    <w:rsid w:val="00252DA8"/>
    <w:rsid w:val="002531F6"/>
    <w:rsid w:val="002536E4"/>
    <w:rsid w:val="00253F7E"/>
    <w:rsid w:val="00254120"/>
    <w:rsid w:val="00254BC0"/>
    <w:rsid w:val="00254F18"/>
    <w:rsid w:val="002565DD"/>
    <w:rsid w:val="002566BD"/>
    <w:rsid w:val="00256EF4"/>
    <w:rsid w:val="00257896"/>
    <w:rsid w:val="00257D86"/>
    <w:rsid w:val="002604CE"/>
    <w:rsid w:val="00261A54"/>
    <w:rsid w:val="0026216D"/>
    <w:rsid w:val="002624D4"/>
    <w:rsid w:val="002626CC"/>
    <w:rsid w:val="00262EF2"/>
    <w:rsid w:val="00262F02"/>
    <w:rsid w:val="002644D2"/>
    <w:rsid w:val="002644F5"/>
    <w:rsid w:val="00264FBF"/>
    <w:rsid w:val="002658EC"/>
    <w:rsid w:val="00265947"/>
    <w:rsid w:val="002668F3"/>
    <w:rsid w:val="00267348"/>
    <w:rsid w:val="002679FF"/>
    <w:rsid w:val="00270A25"/>
    <w:rsid w:val="00270B4B"/>
    <w:rsid w:val="002711B7"/>
    <w:rsid w:val="00271377"/>
    <w:rsid w:val="00271842"/>
    <w:rsid w:val="0027221A"/>
    <w:rsid w:val="002722FB"/>
    <w:rsid w:val="00272E07"/>
    <w:rsid w:val="00272EF5"/>
    <w:rsid w:val="00273150"/>
    <w:rsid w:val="002736BC"/>
    <w:rsid w:val="00273B1A"/>
    <w:rsid w:val="00273E3C"/>
    <w:rsid w:val="00273FF6"/>
    <w:rsid w:val="00274581"/>
    <w:rsid w:val="0027541F"/>
    <w:rsid w:val="00275CEB"/>
    <w:rsid w:val="002766E7"/>
    <w:rsid w:val="002779ED"/>
    <w:rsid w:val="00277C9E"/>
    <w:rsid w:val="002808AF"/>
    <w:rsid w:val="002810B1"/>
    <w:rsid w:val="00281A14"/>
    <w:rsid w:val="0028317D"/>
    <w:rsid w:val="0028331C"/>
    <w:rsid w:val="0028338C"/>
    <w:rsid w:val="00284163"/>
    <w:rsid w:val="0028496B"/>
    <w:rsid w:val="00285784"/>
    <w:rsid w:val="00286EA7"/>
    <w:rsid w:val="002870DB"/>
    <w:rsid w:val="00290F74"/>
    <w:rsid w:val="00290FB9"/>
    <w:rsid w:val="002919EA"/>
    <w:rsid w:val="002930EF"/>
    <w:rsid w:val="002930F3"/>
    <w:rsid w:val="002935C5"/>
    <w:rsid w:val="00293721"/>
    <w:rsid w:val="002937DD"/>
    <w:rsid w:val="00293893"/>
    <w:rsid w:val="00293C78"/>
    <w:rsid w:val="00293F2E"/>
    <w:rsid w:val="002940F1"/>
    <w:rsid w:val="00295CD3"/>
    <w:rsid w:val="00295EF3"/>
    <w:rsid w:val="0029673C"/>
    <w:rsid w:val="00296DBE"/>
    <w:rsid w:val="00296FD9"/>
    <w:rsid w:val="002974E6"/>
    <w:rsid w:val="00297603"/>
    <w:rsid w:val="0029777A"/>
    <w:rsid w:val="002A0204"/>
    <w:rsid w:val="002A0395"/>
    <w:rsid w:val="002A0480"/>
    <w:rsid w:val="002A0921"/>
    <w:rsid w:val="002A1003"/>
    <w:rsid w:val="002A25AB"/>
    <w:rsid w:val="002A329D"/>
    <w:rsid w:val="002A4516"/>
    <w:rsid w:val="002A4AB7"/>
    <w:rsid w:val="002A4F17"/>
    <w:rsid w:val="002A71E0"/>
    <w:rsid w:val="002A76BE"/>
    <w:rsid w:val="002A7DA8"/>
    <w:rsid w:val="002A7F32"/>
    <w:rsid w:val="002B028E"/>
    <w:rsid w:val="002B0B88"/>
    <w:rsid w:val="002B0F5B"/>
    <w:rsid w:val="002B25F9"/>
    <w:rsid w:val="002B270F"/>
    <w:rsid w:val="002B2755"/>
    <w:rsid w:val="002B3741"/>
    <w:rsid w:val="002B390D"/>
    <w:rsid w:val="002B49E3"/>
    <w:rsid w:val="002B4C08"/>
    <w:rsid w:val="002B54C7"/>
    <w:rsid w:val="002B5DBF"/>
    <w:rsid w:val="002B619B"/>
    <w:rsid w:val="002B7732"/>
    <w:rsid w:val="002B7852"/>
    <w:rsid w:val="002B792D"/>
    <w:rsid w:val="002B7EF8"/>
    <w:rsid w:val="002C0152"/>
    <w:rsid w:val="002C016E"/>
    <w:rsid w:val="002C037D"/>
    <w:rsid w:val="002C08A1"/>
    <w:rsid w:val="002C1A2E"/>
    <w:rsid w:val="002C1C6A"/>
    <w:rsid w:val="002C20EB"/>
    <w:rsid w:val="002C22CA"/>
    <w:rsid w:val="002C2E2E"/>
    <w:rsid w:val="002C32D6"/>
    <w:rsid w:val="002C4EEB"/>
    <w:rsid w:val="002C5C96"/>
    <w:rsid w:val="002C6230"/>
    <w:rsid w:val="002C7612"/>
    <w:rsid w:val="002C7938"/>
    <w:rsid w:val="002D0B56"/>
    <w:rsid w:val="002D0C5E"/>
    <w:rsid w:val="002D1220"/>
    <w:rsid w:val="002D1301"/>
    <w:rsid w:val="002D283F"/>
    <w:rsid w:val="002D2E24"/>
    <w:rsid w:val="002D35E5"/>
    <w:rsid w:val="002D4267"/>
    <w:rsid w:val="002D4FA9"/>
    <w:rsid w:val="002D5B3F"/>
    <w:rsid w:val="002D7223"/>
    <w:rsid w:val="002E03CA"/>
    <w:rsid w:val="002E09CD"/>
    <w:rsid w:val="002E16AA"/>
    <w:rsid w:val="002E231B"/>
    <w:rsid w:val="002E3E0A"/>
    <w:rsid w:val="002E3FF8"/>
    <w:rsid w:val="002E41C7"/>
    <w:rsid w:val="002E4420"/>
    <w:rsid w:val="002E4442"/>
    <w:rsid w:val="002E4631"/>
    <w:rsid w:val="002E5FF3"/>
    <w:rsid w:val="002E6995"/>
    <w:rsid w:val="002E6AC4"/>
    <w:rsid w:val="002E6BEC"/>
    <w:rsid w:val="002F08B0"/>
    <w:rsid w:val="002F092D"/>
    <w:rsid w:val="002F32A1"/>
    <w:rsid w:val="002F370B"/>
    <w:rsid w:val="002F3914"/>
    <w:rsid w:val="002F3B3B"/>
    <w:rsid w:val="002F3B4F"/>
    <w:rsid w:val="002F3E6D"/>
    <w:rsid w:val="002F40D7"/>
    <w:rsid w:val="002F5AB6"/>
    <w:rsid w:val="002F5DB0"/>
    <w:rsid w:val="002F60C8"/>
    <w:rsid w:val="002F7183"/>
    <w:rsid w:val="002F7AE1"/>
    <w:rsid w:val="00300363"/>
    <w:rsid w:val="00300828"/>
    <w:rsid w:val="00300D68"/>
    <w:rsid w:val="00301369"/>
    <w:rsid w:val="00301A4F"/>
    <w:rsid w:val="00303501"/>
    <w:rsid w:val="00304086"/>
    <w:rsid w:val="003040D9"/>
    <w:rsid w:val="003047D0"/>
    <w:rsid w:val="00304EA1"/>
    <w:rsid w:val="003055F8"/>
    <w:rsid w:val="00305C02"/>
    <w:rsid w:val="00305F60"/>
    <w:rsid w:val="00306123"/>
    <w:rsid w:val="003061B2"/>
    <w:rsid w:val="003063F7"/>
    <w:rsid w:val="003067AF"/>
    <w:rsid w:val="00306A3A"/>
    <w:rsid w:val="00307282"/>
    <w:rsid w:val="003103A8"/>
    <w:rsid w:val="00310608"/>
    <w:rsid w:val="00310871"/>
    <w:rsid w:val="003115F6"/>
    <w:rsid w:val="00311E35"/>
    <w:rsid w:val="00312AA7"/>
    <w:rsid w:val="00314A7A"/>
    <w:rsid w:val="00314D2C"/>
    <w:rsid w:val="00317018"/>
    <w:rsid w:val="0031751D"/>
    <w:rsid w:val="00317DAF"/>
    <w:rsid w:val="003209CF"/>
    <w:rsid w:val="00321C77"/>
    <w:rsid w:val="003226B9"/>
    <w:rsid w:val="00323509"/>
    <w:rsid w:val="003249DF"/>
    <w:rsid w:val="00324E0A"/>
    <w:rsid w:val="003251C7"/>
    <w:rsid w:val="003252BC"/>
    <w:rsid w:val="0032532C"/>
    <w:rsid w:val="0032574D"/>
    <w:rsid w:val="00325EB1"/>
    <w:rsid w:val="003264AF"/>
    <w:rsid w:val="0032680E"/>
    <w:rsid w:val="003302D7"/>
    <w:rsid w:val="0033030D"/>
    <w:rsid w:val="0033192D"/>
    <w:rsid w:val="0033197F"/>
    <w:rsid w:val="00331A15"/>
    <w:rsid w:val="00331CEC"/>
    <w:rsid w:val="00331D2E"/>
    <w:rsid w:val="0033206A"/>
    <w:rsid w:val="00332470"/>
    <w:rsid w:val="003328C5"/>
    <w:rsid w:val="00332DA6"/>
    <w:rsid w:val="00333A69"/>
    <w:rsid w:val="00333F46"/>
    <w:rsid w:val="00334811"/>
    <w:rsid w:val="0033486D"/>
    <w:rsid w:val="00334B9B"/>
    <w:rsid w:val="00335431"/>
    <w:rsid w:val="00335E0E"/>
    <w:rsid w:val="00336022"/>
    <w:rsid w:val="003362FE"/>
    <w:rsid w:val="0033651B"/>
    <w:rsid w:val="003368AB"/>
    <w:rsid w:val="00336EF5"/>
    <w:rsid w:val="0033748B"/>
    <w:rsid w:val="00340481"/>
    <w:rsid w:val="0034157B"/>
    <w:rsid w:val="00342111"/>
    <w:rsid w:val="00342EA6"/>
    <w:rsid w:val="00343252"/>
    <w:rsid w:val="00343FAF"/>
    <w:rsid w:val="003450F4"/>
    <w:rsid w:val="00345466"/>
    <w:rsid w:val="00346C28"/>
    <w:rsid w:val="003475E6"/>
    <w:rsid w:val="003477B2"/>
    <w:rsid w:val="0035011F"/>
    <w:rsid w:val="00350AEA"/>
    <w:rsid w:val="00350FE5"/>
    <w:rsid w:val="003510DE"/>
    <w:rsid w:val="0035130F"/>
    <w:rsid w:val="0035175F"/>
    <w:rsid w:val="00352039"/>
    <w:rsid w:val="00352382"/>
    <w:rsid w:val="00352767"/>
    <w:rsid w:val="00352AF2"/>
    <w:rsid w:val="00352C55"/>
    <w:rsid w:val="003543A7"/>
    <w:rsid w:val="00354D6F"/>
    <w:rsid w:val="00354D9C"/>
    <w:rsid w:val="00354DF0"/>
    <w:rsid w:val="003556C4"/>
    <w:rsid w:val="00355D02"/>
    <w:rsid w:val="003562E3"/>
    <w:rsid w:val="003563D1"/>
    <w:rsid w:val="00357472"/>
    <w:rsid w:val="003601A9"/>
    <w:rsid w:val="00360716"/>
    <w:rsid w:val="00361152"/>
    <w:rsid w:val="003613FC"/>
    <w:rsid w:val="003617CF"/>
    <w:rsid w:val="00361BC1"/>
    <w:rsid w:val="00363038"/>
    <w:rsid w:val="00364F0A"/>
    <w:rsid w:val="00365CC9"/>
    <w:rsid w:val="0036643B"/>
    <w:rsid w:val="0036753D"/>
    <w:rsid w:val="0036760E"/>
    <w:rsid w:val="00367CC6"/>
    <w:rsid w:val="00371EA1"/>
    <w:rsid w:val="00372023"/>
    <w:rsid w:val="00372978"/>
    <w:rsid w:val="00374287"/>
    <w:rsid w:val="0037447E"/>
    <w:rsid w:val="003745E1"/>
    <w:rsid w:val="00375621"/>
    <w:rsid w:val="00375BB9"/>
    <w:rsid w:val="003776EF"/>
    <w:rsid w:val="00377F87"/>
    <w:rsid w:val="003801F6"/>
    <w:rsid w:val="003819DB"/>
    <w:rsid w:val="00381AA9"/>
    <w:rsid w:val="00381E28"/>
    <w:rsid w:val="00381ECD"/>
    <w:rsid w:val="0038260D"/>
    <w:rsid w:val="0038290C"/>
    <w:rsid w:val="00382BBB"/>
    <w:rsid w:val="00382BC5"/>
    <w:rsid w:val="00382E74"/>
    <w:rsid w:val="0038369B"/>
    <w:rsid w:val="00384049"/>
    <w:rsid w:val="003847BF"/>
    <w:rsid w:val="00385BA5"/>
    <w:rsid w:val="00387230"/>
    <w:rsid w:val="00390292"/>
    <w:rsid w:val="00390307"/>
    <w:rsid w:val="00390A5D"/>
    <w:rsid w:val="00390D5E"/>
    <w:rsid w:val="00390D6B"/>
    <w:rsid w:val="003912CF"/>
    <w:rsid w:val="003913A0"/>
    <w:rsid w:val="003928B1"/>
    <w:rsid w:val="003939AA"/>
    <w:rsid w:val="00393AAD"/>
    <w:rsid w:val="0039482B"/>
    <w:rsid w:val="00395282"/>
    <w:rsid w:val="00396132"/>
    <w:rsid w:val="003A0E03"/>
    <w:rsid w:val="003A1338"/>
    <w:rsid w:val="003A1781"/>
    <w:rsid w:val="003A1AC2"/>
    <w:rsid w:val="003A378D"/>
    <w:rsid w:val="003A3FB7"/>
    <w:rsid w:val="003A587C"/>
    <w:rsid w:val="003A5B50"/>
    <w:rsid w:val="003A5E82"/>
    <w:rsid w:val="003A604B"/>
    <w:rsid w:val="003A63A6"/>
    <w:rsid w:val="003A6BDD"/>
    <w:rsid w:val="003B08CE"/>
    <w:rsid w:val="003B0B06"/>
    <w:rsid w:val="003B10FC"/>
    <w:rsid w:val="003B1612"/>
    <w:rsid w:val="003B1E59"/>
    <w:rsid w:val="003B2885"/>
    <w:rsid w:val="003B2B0D"/>
    <w:rsid w:val="003B38F6"/>
    <w:rsid w:val="003B49FB"/>
    <w:rsid w:val="003B557D"/>
    <w:rsid w:val="003B6813"/>
    <w:rsid w:val="003B7C89"/>
    <w:rsid w:val="003B7DC8"/>
    <w:rsid w:val="003B7DEF"/>
    <w:rsid w:val="003C085D"/>
    <w:rsid w:val="003C1C5A"/>
    <w:rsid w:val="003C1D3C"/>
    <w:rsid w:val="003C30C4"/>
    <w:rsid w:val="003C34D2"/>
    <w:rsid w:val="003C35C8"/>
    <w:rsid w:val="003C37E1"/>
    <w:rsid w:val="003C3B67"/>
    <w:rsid w:val="003C3E31"/>
    <w:rsid w:val="003C430F"/>
    <w:rsid w:val="003C47B0"/>
    <w:rsid w:val="003C533D"/>
    <w:rsid w:val="003C58E2"/>
    <w:rsid w:val="003C666B"/>
    <w:rsid w:val="003C6BD9"/>
    <w:rsid w:val="003C7229"/>
    <w:rsid w:val="003C74FE"/>
    <w:rsid w:val="003C7780"/>
    <w:rsid w:val="003C7B0D"/>
    <w:rsid w:val="003D0006"/>
    <w:rsid w:val="003D0572"/>
    <w:rsid w:val="003D0E54"/>
    <w:rsid w:val="003D18CE"/>
    <w:rsid w:val="003D2B4F"/>
    <w:rsid w:val="003D2C85"/>
    <w:rsid w:val="003D3340"/>
    <w:rsid w:val="003D3654"/>
    <w:rsid w:val="003D414F"/>
    <w:rsid w:val="003D61EB"/>
    <w:rsid w:val="003D65D2"/>
    <w:rsid w:val="003D6DA0"/>
    <w:rsid w:val="003E103F"/>
    <w:rsid w:val="003E1A40"/>
    <w:rsid w:val="003E1A90"/>
    <w:rsid w:val="003E2166"/>
    <w:rsid w:val="003E2E7B"/>
    <w:rsid w:val="003E3177"/>
    <w:rsid w:val="003E3635"/>
    <w:rsid w:val="003E46DC"/>
    <w:rsid w:val="003E4723"/>
    <w:rsid w:val="003E4941"/>
    <w:rsid w:val="003E5397"/>
    <w:rsid w:val="003E55A4"/>
    <w:rsid w:val="003E5F41"/>
    <w:rsid w:val="003E656B"/>
    <w:rsid w:val="003E6B88"/>
    <w:rsid w:val="003E7233"/>
    <w:rsid w:val="003E7786"/>
    <w:rsid w:val="003E77D9"/>
    <w:rsid w:val="003F0EAA"/>
    <w:rsid w:val="003F1CDD"/>
    <w:rsid w:val="003F2156"/>
    <w:rsid w:val="003F41EA"/>
    <w:rsid w:val="003F51C0"/>
    <w:rsid w:val="003F5B2B"/>
    <w:rsid w:val="003F6977"/>
    <w:rsid w:val="003F76AF"/>
    <w:rsid w:val="003F774D"/>
    <w:rsid w:val="003F7873"/>
    <w:rsid w:val="003F7A46"/>
    <w:rsid w:val="0040096C"/>
    <w:rsid w:val="00401338"/>
    <w:rsid w:val="00401CC9"/>
    <w:rsid w:val="0040220B"/>
    <w:rsid w:val="004022C1"/>
    <w:rsid w:val="0040353B"/>
    <w:rsid w:val="004037DF"/>
    <w:rsid w:val="0040493A"/>
    <w:rsid w:val="00404BDD"/>
    <w:rsid w:val="00404D2B"/>
    <w:rsid w:val="00404D92"/>
    <w:rsid w:val="00404DA4"/>
    <w:rsid w:val="0040528B"/>
    <w:rsid w:val="00405952"/>
    <w:rsid w:val="00405B29"/>
    <w:rsid w:val="004063C5"/>
    <w:rsid w:val="004064DB"/>
    <w:rsid w:val="004066C3"/>
    <w:rsid w:val="0040717E"/>
    <w:rsid w:val="00407945"/>
    <w:rsid w:val="00407D70"/>
    <w:rsid w:val="00411C29"/>
    <w:rsid w:val="004121C0"/>
    <w:rsid w:val="00412F61"/>
    <w:rsid w:val="004134AA"/>
    <w:rsid w:val="00415472"/>
    <w:rsid w:val="00415D41"/>
    <w:rsid w:val="0041655F"/>
    <w:rsid w:val="00420576"/>
    <w:rsid w:val="0042088C"/>
    <w:rsid w:val="00421309"/>
    <w:rsid w:val="004218EE"/>
    <w:rsid w:val="004223FF"/>
    <w:rsid w:val="00422D50"/>
    <w:rsid w:val="00422E7C"/>
    <w:rsid w:val="00422FC1"/>
    <w:rsid w:val="00424221"/>
    <w:rsid w:val="00426D59"/>
    <w:rsid w:val="00426DD1"/>
    <w:rsid w:val="00427A07"/>
    <w:rsid w:val="004307E2"/>
    <w:rsid w:val="004318FF"/>
    <w:rsid w:val="00431FDE"/>
    <w:rsid w:val="004330F5"/>
    <w:rsid w:val="00433400"/>
    <w:rsid w:val="0043502F"/>
    <w:rsid w:val="0044052A"/>
    <w:rsid w:val="004417B3"/>
    <w:rsid w:val="00441AEC"/>
    <w:rsid w:val="00442282"/>
    <w:rsid w:val="00443762"/>
    <w:rsid w:val="00444475"/>
    <w:rsid w:val="0044466E"/>
    <w:rsid w:val="00444B5F"/>
    <w:rsid w:val="00445473"/>
    <w:rsid w:val="0044606A"/>
    <w:rsid w:val="00446EF7"/>
    <w:rsid w:val="00446F26"/>
    <w:rsid w:val="004502F4"/>
    <w:rsid w:val="004511B3"/>
    <w:rsid w:val="0045124F"/>
    <w:rsid w:val="00452B2E"/>
    <w:rsid w:val="00455488"/>
    <w:rsid w:val="00455694"/>
    <w:rsid w:val="004560F2"/>
    <w:rsid w:val="004570D3"/>
    <w:rsid w:val="00457659"/>
    <w:rsid w:val="00461C06"/>
    <w:rsid w:val="00461E25"/>
    <w:rsid w:val="00462611"/>
    <w:rsid w:val="0046296E"/>
    <w:rsid w:val="00462E55"/>
    <w:rsid w:val="004632FE"/>
    <w:rsid w:val="00463F34"/>
    <w:rsid w:val="00463F72"/>
    <w:rsid w:val="00464107"/>
    <w:rsid w:val="00464662"/>
    <w:rsid w:val="00464949"/>
    <w:rsid w:val="00465238"/>
    <w:rsid w:val="00465922"/>
    <w:rsid w:val="00465E7E"/>
    <w:rsid w:val="00466013"/>
    <w:rsid w:val="00466172"/>
    <w:rsid w:val="0047008D"/>
    <w:rsid w:val="00472407"/>
    <w:rsid w:val="00472798"/>
    <w:rsid w:val="00472BBD"/>
    <w:rsid w:val="00473F34"/>
    <w:rsid w:val="00474B3E"/>
    <w:rsid w:val="00474DE5"/>
    <w:rsid w:val="004752AA"/>
    <w:rsid w:val="0047555C"/>
    <w:rsid w:val="00475DD1"/>
    <w:rsid w:val="0047615F"/>
    <w:rsid w:val="004769C5"/>
    <w:rsid w:val="004816AD"/>
    <w:rsid w:val="00481C6F"/>
    <w:rsid w:val="00482491"/>
    <w:rsid w:val="00482DF7"/>
    <w:rsid w:val="00483556"/>
    <w:rsid w:val="00484C8F"/>
    <w:rsid w:val="00485163"/>
    <w:rsid w:val="00485174"/>
    <w:rsid w:val="00485517"/>
    <w:rsid w:val="00485879"/>
    <w:rsid w:val="00486861"/>
    <w:rsid w:val="0048699D"/>
    <w:rsid w:val="00486DF3"/>
    <w:rsid w:val="00486E0D"/>
    <w:rsid w:val="0049005E"/>
    <w:rsid w:val="00490248"/>
    <w:rsid w:val="004910F0"/>
    <w:rsid w:val="0049156B"/>
    <w:rsid w:val="004915CE"/>
    <w:rsid w:val="00491A7B"/>
    <w:rsid w:val="00491E5D"/>
    <w:rsid w:val="0049206F"/>
    <w:rsid w:val="004921D6"/>
    <w:rsid w:val="00492D72"/>
    <w:rsid w:val="00493CCF"/>
    <w:rsid w:val="004940AD"/>
    <w:rsid w:val="00494396"/>
    <w:rsid w:val="00494991"/>
    <w:rsid w:val="0049586B"/>
    <w:rsid w:val="00496FAE"/>
    <w:rsid w:val="00496FD1"/>
    <w:rsid w:val="004A14DD"/>
    <w:rsid w:val="004A2285"/>
    <w:rsid w:val="004A2BCB"/>
    <w:rsid w:val="004A477C"/>
    <w:rsid w:val="004A47FC"/>
    <w:rsid w:val="004A4D21"/>
    <w:rsid w:val="004A4FEC"/>
    <w:rsid w:val="004A6E9B"/>
    <w:rsid w:val="004A7D75"/>
    <w:rsid w:val="004B1727"/>
    <w:rsid w:val="004B237D"/>
    <w:rsid w:val="004B3081"/>
    <w:rsid w:val="004B3293"/>
    <w:rsid w:val="004B3654"/>
    <w:rsid w:val="004B3752"/>
    <w:rsid w:val="004B3DF5"/>
    <w:rsid w:val="004B48F7"/>
    <w:rsid w:val="004B537C"/>
    <w:rsid w:val="004B5684"/>
    <w:rsid w:val="004B5BA7"/>
    <w:rsid w:val="004C0071"/>
    <w:rsid w:val="004C00F7"/>
    <w:rsid w:val="004C00F9"/>
    <w:rsid w:val="004C11B5"/>
    <w:rsid w:val="004C1499"/>
    <w:rsid w:val="004C1D81"/>
    <w:rsid w:val="004C28BF"/>
    <w:rsid w:val="004C2D17"/>
    <w:rsid w:val="004C30F1"/>
    <w:rsid w:val="004C331B"/>
    <w:rsid w:val="004C36B8"/>
    <w:rsid w:val="004C4C3A"/>
    <w:rsid w:val="004C6C44"/>
    <w:rsid w:val="004D0D3F"/>
    <w:rsid w:val="004D0F24"/>
    <w:rsid w:val="004D13EA"/>
    <w:rsid w:val="004D1EB8"/>
    <w:rsid w:val="004D2893"/>
    <w:rsid w:val="004D38A3"/>
    <w:rsid w:val="004D44BC"/>
    <w:rsid w:val="004D4AE1"/>
    <w:rsid w:val="004D5D8A"/>
    <w:rsid w:val="004D7400"/>
    <w:rsid w:val="004D7521"/>
    <w:rsid w:val="004D7B16"/>
    <w:rsid w:val="004D7B30"/>
    <w:rsid w:val="004E1D08"/>
    <w:rsid w:val="004E29B3"/>
    <w:rsid w:val="004E2D58"/>
    <w:rsid w:val="004E2E1A"/>
    <w:rsid w:val="004E312F"/>
    <w:rsid w:val="004E394A"/>
    <w:rsid w:val="004E4117"/>
    <w:rsid w:val="004E467E"/>
    <w:rsid w:val="004E4685"/>
    <w:rsid w:val="004E5115"/>
    <w:rsid w:val="004E578F"/>
    <w:rsid w:val="004E6B1C"/>
    <w:rsid w:val="004E6FFF"/>
    <w:rsid w:val="004E7A80"/>
    <w:rsid w:val="004F08CD"/>
    <w:rsid w:val="004F0DF9"/>
    <w:rsid w:val="004F1DC1"/>
    <w:rsid w:val="004F2596"/>
    <w:rsid w:val="004F2756"/>
    <w:rsid w:val="004F3D87"/>
    <w:rsid w:val="004F4894"/>
    <w:rsid w:val="004F489F"/>
    <w:rsid w:val="004F4B46"/>
    <w:rsid w:val="004F61BD"/>
    <w:rsid w:val="004F61C5"/>
    <w:rsid w:val="004F6F8D"/>
    <w:rsid w:val="004F7B03"/>
    <w:rsid w:val="0050017D"/>
    <w:rsid w:val="005007E6"/>
    <w:rsid w:val="00500890"/>
    <w:rsid w:val="00500FC9"/>
    <w:rsid w:val="00502524"/>
    <w:rsid w:val="00502648"/>
    <w:rsid w:val="00502FAF"/>
    <w:rsid w:val="0050384E"/>
    <w:rsid w:val="00503D20"/>
    <w:rsid w:val="005042D0"/>
    <w:rsid w:val="005042E3"/>
    <w:rsid w:val="0050465B"/>
    <w:rsid w:val="005048A3"/>
    <w:rsid w:val="00505F87"/>
    <w:rsid w:val="0050654E"/>
    <w:rsid w:val="00506573"/>
    <w:rsid w:val="00506692"/>
    <w:rsid w:val="00506F78"/>
    <w:rsid w:val="00510832"/>
    <w:rsid w:val="00513A76"/>
    <w:rsid w:val="00513AF7"/>
    <w:rsid w:val="005143E0"/>
    <w:rsid w:val="0051498F"/>
    <w:rsid w:val="00514C5C"/>
    <w:rsid w:val="005155E1"/>
    <w:rsid w:val="005157B1"/>
    <w:rsid w:val="00515DC1"/>
    <w:rsid w:val="00516EAF"/>
    <w:rsid w:val="00516F90"/>
    <w:rsid w:val="0051711C"/>
    <w:rsid w:val="005171EA"/>
    <w:rsid w:val="005201A5"/>
    <w:rsid w:val="00520289"/>
    <w:rsid w:val="00520D38"/>
    <w:rsid w:val="005215DC"/>
    <w:rsid w:val="005216AD"/>
    <w:rsid w:val="00522466"/>
    <w:rsid w:val="005230B7"/>
    <w:rsid w:val="0052384E"/>
    <w:rsid w:val="00524295"/>
    <w:rsid w:val="005249FD"/>
    <w:rsid w:val="00524DDF"/>
    <w:rsid w:val="00524E25"/>
    <w:rsid w:val="0052574B"/>
    <w:rsid w:val="00526608"/>
    <w:rsid w:val="005267E6"/>
    <w:rsid w:val="00526A7C"/>
    <w:rsid w:val="00527DAB"/>
    <w:rsid w:val="00531FB3"/>
    <w:rsid w:val="00531FF2"/>
    <w:rsid w:val="00532A81"/>
    <w:rsid w:val="00532F79"/>
    <w:rsid w:val="005341EC"/>
    <w:rsid w:val="0053496F"/>
    <w:rsid w:val="00534FEC"/>
    <w:rsid w:val="005350C1"/>
    <w:rsid w:val="0053552E"/>
    <w:rsid w:val="005358D9"/>
    <w:rsid w:val="005367B4"/>
    <w:rsid w:val="00537B9C"/>
    <w:rsid w:val="00540260"/>
    <w:rsid w:val="005402C8"/>
    <w:rsid w:val="00541DE5"/>
    <w:rsid w:val="00543DA2"/>
    <w:rsid w:val="005446B2"/>
    <w:rsid w:val="00544C0F"/>
    <w:rsid w:val="0054528F"/>
    <w:rsid w:val="005454DD"/>
    <w:rsid w:val="00547291"/>
    <w:rsid w:val="00547693"/>
    <w:rsid w:val="00547C58"/>
    <w:rsid w:val="0055026D"/>
    <w:rsid w:val="00550A5A"/>
    <w:rsid w:val="00550B78"/>
    <w:rsid w:val="0055258A"/>
    <w:rsid w:val="005527B5"/>
    <w:rsid w:val="00552D77"/>
    <w:rsid w:val="0055362D"/>
    <w:rsid w:val="005547C0"/>
    <w:rsid w:val="00556DCB"/>
    <w:rsid w:val="005571AB"/>
    <w:rsid w:val="00557276"/>
    <w:rsid w:val="00557805"/>
    <w:rsid w:val="00557906"/>
    <w:rsid w:val="0056012D"/>
    <w:rsid w:val="0056013D"/>
    <w:rsid w:val="0056017E"/>
    <w:rsid w:val="00560AF9"/>
    <w:rsid w:val="00561A45"/>
    <w:rsid w:val="00561FC0"/>
    <w:rsid w:val="005635C7"/>
    <w:rsid w:val="005637B6"/>
    <w:rsid w:val="00563A70"/>
    <w:rsid w:val="0056429B"/>
    <w:rsid w:val="005649C9"/>
    <w:rsid w:val="00565039"/>
    <w:rsid w:val="0056568D"/>
    <w:rsid w:val="00565EFE"/>
    <w:rsid w:val="00565F05"/>
    <w:rsid w:val="0056633D"/>
    <w:rsid w:val="005663A8"/>
    <w:rsid w:val="00566C29"/>
    <w:rsid w:val="00570649"/>
    <w:rsid w:val="00570BEE"/>
    <w:rsid w:val="0057212C"/>
    <w:rsid w:val="005732D5"/>
    <w:rsid w:val="00573ACA"/>
    <w:rsid w:val="005746E0"/>
    <w:rsid w:val="00574970"/>
    <w:rsid w:val="0057538E"/>
    <w:rsid w:val="0057611C"/>
    <w:rsid w:val="00576C2F"/>
    <w:rsid w:val="0057720E"/>
    <w:rsid w:val="005774DE"/>
    <w:rsid w:val="0058069B"/>
    <w:rsid w:val="00580CBB"/>
    <w:rsid w:val="00580D25"/>
    <w:rsid w:val="00581125"/>
    <w:rsid w:val="00581450"/>
    <w:rsid w:val="00581496"/>
    <w:rsid w:val="00582362"/>
    <w:rsid w:val="00582449"/>
    <w:rsid w:val="00582CFA"/>
    <w:rsid w:val="00583EAA"/>
    <w:rsid w:val="005845A2"/>
    <w:rsid w:val="00584748"/>
    <w:rsid w:val="00585277"/>
    <w:rsid w:val="00585F8F"/>
    <w:rsid w:val="0058659A"/>
    <w:rsid w:val="0058677B"/>
    <w:rsid w:val="005876BE"/>
    <w:rsid w:val="00590D07"/>
    <w:rsid w:val="00591456"/>
    <w:rsid w:val="00592452"/>
    <w:rsid w:val="00592514"/>
    <w:rsid w:val="0059394E"/>
    <w:rsid w:val="0059446D"/>
    <w:rsid w:val="005950B9"/>
    <w:rsid w:val="005956CA"/>
    <w:rsid w:val="00595B0A"/>
    <w:rsid w:val="00595C4E"/>
    <w:rsid w:val="0059637F"/>
    <w:rsid w:val="00596AC4"/>
    <w:rsid w:val="005A134B"/>
    <w:rsid w:val="005A13D0"/>
    <w:rsid w:val="005A1608"/>
    <w:rsid w:val="005A1AF0"/>
    <w:rsid w:val="005A1B4C"/>
    <w:rsid w:val="005A23E9"/>
    <w:rsid w:val="005A3FC0"/>
    <w:rsid w:val="005A4388"/>
    <w:rsid w:val="005A4616"/>
    <w:rsid w:val="005A4E2A"/>
    <w:rsid w:val="005A5407"/>
    <w:rsid w:val="005A5913"/>
    <w:rsid w:val="005A6B10"/>
    <w:rsid w:val="005A71D2"/>
    <w:rsid w:val="005A72A8"/>
    <w:rsid w:val="005A7B39"/>
    <w:rsid w:val="005A7E8B"/>
    <w:rsid w:val="005B0BD6"/>
    <w:rsid w:val="005B0DBE"/>
    <w:rsid w:val="005B127F"/>
    <w:rsid w:val="005B1454"/>
    <w:rsid w:val="005B15A2"/>
    <w:rsid w:val="005B1C53"/>
    <w:rsid w:val="005B22E7"/>
    <w:rsid w:val="005B332E"/>
    <w:rsid w:val="005B39FE"/>
    <w:rsid w:val="005B4261"/>
    <w:rsid w:val="005B4495"/>
    <w:rsid w:val="005B4839"/>
    <w:rsid w:val="005B53CF"/>
    <w:rsid w:val="005B56E1"/>
    <w:rsid w:val="005B572A"/>
    <w:rsid w:val="005B5B14"/>
    <w:rsid w:val="005B5F80"/>
    <w:rsid w:val="005B5F97"/>
    <w:rsid w:val="005B687B"/>
    <w:rsid w:val="005B6901"/>
    <w:rsid w:val="005B76B1"/>
    <w:rsid w:val="005C0E41"/>
    <w:rsid w:val="005C122F"/>
    <w:rsid w:val="005C192F"/>
    <w:rsid w:val="005C1994"/>
    <w:rsid w:val="005C1FC1"/>
    <w:rsid w:val="005C24B1"/>
    <w:rsid w:val="005C2645"/>
    <w:rsid w:val="005C2A1A"/>
    <w:rsid w:val="005C59DE"/>
    <w:rsid w:val="005C5C96"/>
    <w:rsid w:val="005C5EBF"/>
    <w:rsid w:val="005C63D0"/>
    <w:rsid w:val="005C752F"/>
    <w:rsid w:val="005C7537"/>
    <w:rsid w:val="005D03D0"/>
    <w:rsid w:val="005D0A2D"/>
    <w:rsid w:val="005D0D23"/>
    <w:rsid w:val="005D1374"/>
    <w:rsid w:val="005D140C"/>
    <w:rsid w:val="005D1597"/>
    <w:rsid w:val="005D24D5"/>
    <w:rsid w:val="005D2F5F"/>
    <w:rsid w:val="005D307E"/>
    <w:rsid w:val="005D31A4"/>
    <w:rsid w:val="005D33A7"/>
    <w:rsid w:val="005D3EDD"/>
    <w:rsid w:val="005D4530"/>
    <w:rsid w:val="005D57EA"/>
    <w:rsid w:val="005D59E8"/>
    <w:rsid w:val="005D74C8"/>
    <w:rsid w:val="005E135C"/>
    <w:rsid w:val="005E15C9"/>
    <w:rsid w:val="005E19A4"/>
    <w:rsid w:val="005E220D"/>
    <w:rsid w:val="005E31B9"/>
    <w:rsid w:val="005E331E"/>
    <w:rsid w:val="005E471E"/>
    <w:rsid w:val="005E501D"/>
    <w:rsid w:val="005E5F02"/>
    <w:rsid w:val="005E64E1"/>
    <w:rsid w:val="005E7450"/>
    <w:rsid w:val="005E7BB2"/>
    <w:rsid w:val="005F03CE"/>
    <w:rsid w:val="005F0D12"/>
    <w:rsid w:val="005F0FFB"/>
    <w:rsid w:val="005F18B9"/>
    <w:rsid w:val="005F1917"/>
    <w:rsid w:val="005F2B2F"/>
    <w:rsid w:val="005F374B"/>
    <w:rsid w:val="005F4573"/>
    <w:rsid w:val="005F49E0"/>
    <w:rsid w:val="005F4B28"/>
    <w:rsid w:val="005F5350"/>
    <w:rsid w:val="005F569C"/>
    <w:rsid w:val="005F573D"/>
    <w:rsid w:val="005F5881"/>
    <w:rsid w:val="005F60AF"/>
    <w:rsid w:val="005F60C1"/>
    <w:rsid w:val="005F60E0"/>
    <w:rsid w:val="005F79BD"/>
    <w:rsid w:val="005F7AE4"/>
    <w:rsid w:val="005F7C7C"/>
    <w:rsid w:val="005F7E3B"/>
    <w:rsid w:val="00600AF1"/>
    <w:rsid w:val="00601362"/>
    <w:rsid w:val="006018A3"/>
    <w:rsid w:val="006026B4"/>
    <w:rsid w:val="00602D3B"/>
    <w:rsid w:val="00603141"/>
    <w:rsid w:val="00604263"/>
    <w:rsid w:val="006042BC"/>
    <w:rsid w:val="00604415"/>
    <w:rsid w:val="00604A35"/>
    <w:rsid w:val="00604DD9"/>
    <w:rsid w:val="00605427"/>
    <w:rsid w:val="0060559B"/>
    <w:rsid w:val="006056E9"/>
    <w:rsid w:val="00605969"/>
    <w:rsid w:val="00605F37"/>
    <w:rsid w:val="0060601F"/>
    <w:rsid w:val="006067C1"/>
    <w:rsid w:val="006067F9"/>
    <w:rsid w:val="0061190A"/>
    <w:rsid w:val="006121BD"/>
    <w:rsid w:val="006125FF"/>
    <w:rsid w:val="0061314F"/>
    <w:rsid w:val="006139A3"/>
    <w:rsid w:val="0061413B"/>
    <w:rsid w:val="0061501B"/>
    <w:rsid w:val="00616091"/>
    <w:rsid w:val="0061648E"/>
    <w:rsid w:val="00617352"/>
    <w:rsid w:val="0061742F"/>
    <w:rsid w:val="006175A1"/>
    <w:rsid w:val="006201F2"/>
    <w:rsid w:val="006208D8"/>
    <w:rsid w:val="00620ABE"/>
    <w:rsid w:val="00621603"/>
    <w:rsid w:val="00622773"/>
    <w:rsid w:val="00622F48"/>
    <w:rsid w:val="00622FE8"/>
    <w:rsid w:val="00623216"/>
    <w:rsid w:val="006236CD"/>
    <w:rsid w:val="00623918"/>
    <w:rsid w:val="006255A4"/>
    <w:rsid w:val="00625B9D"/>
    <w:rsid w:val="006265CD"/>
    <w:rsid w:val="00627260"/>
    <w:rsid w:val="006277B7"/>
    <w:rsid w:val="0062793F"/>
    <w:rsid w:val="006310C0"/>
    <w:rsid w:val="00632570"/>
    <w:rsid w:val="00632A02"/>
    <w:rsid w:val="00633C2F"/>
    <w:rsid w:val="00634215"/>
    <w:rsid w:val="00634D1A"/>
    <w:rsid w:val="00635209"/>
    <w:rsid w:val="0063566A"/>
    <w:rsid w:val="00635CA7"/>
    <w:rsid w:val="00636AF1"/>
    <w:rsid w:val="006373C4"/>
    <w:rsid w:val="006373D0"/>
    <w:rsid w:val="0063745C"/>
    <w:rsid w:val="00637653"/>
    <w:rsid w:val="006401C7"/>
    <w:rsid w:val="006407CE"/>
    <w:rsid w:val="006435FF"/>
    <w:rsid w:val="00643806"/>
    <w:rsid w:val="00643D7A"/>
    <w:rsid w:val="00644312"/>
    <w:rsid w:val="006449A9"/>
    <w:rsid w:val="00644D4A"/>
    <w:rsid w:val="00644FE7"/>
    <w:rsid w:val="0064618C"/>
    <w:rsid w:val="006462CD"/>
    <w:rsid w:val="006465E8"/>
    <w:rsid w:val="0064680F"/>
    <w:rsid w:val="0064694B"/>
    <w:rsid w:val="00647348"/>
    <w:rsid w:val="00647F5C"/>
    <w:rsid w:val="006507B4"/>
    <w:rsid w:val="00651221"/>
    <w:rsid w:val="00651FD9"/>
    <w:rsid w:val="0065333D"/>
    <w:rsid w:val="00653474"/>
    <w:rsid w:val="00653D19"/>
    <w:rsid w:val="00653FBE"/>
    <w:rsid w:val="00654462"/>
    <w:rsid w:val="0065466A"/>
    <w:rsid w:val="00654B1A"/>
    <w:rsid w:val="00654E88"/>
    <w:rsid w:val="006551AD"/>
    <w:rsid w:val="00655EE2"/>
    <w:rsid w:val="00656C66"/>
    <w:rsid w:val="00657049"/>
    <w:rsid w:val="00657249"/>
    <w:rsid w:val="00661886"/>
    <w:rsid w:val="00662457"/>
    <w:rsid w:val="006629BD"/>
    <w:rsid w:val="00662DD9"/>
    <w:rsid w:val="00663220"/>
    <w:rsid w:val="00663CF3"/>
    <w:rsid w:val="00663F53"/>
    <w:rsid w:val="00664EED"/>
    <w:rsid w:val="006659E4"/>
    <w:rsid w:val="00665F88"/>
    <w:rsid w:val="006665D2"/>
    <w:rsid w:val="00666CA5"/>
    <w:rsid w:val="0066712E"/>
    <w:rsid w:val="00667CCB"/>
    <w:rsid w:val="006703E1"/>
    <w:rsid w:val="00670FB5"/>
    <w:rsid w:val="00671F3F"/>
    <w:rsid w:val="00672824"/>
    <w:rsid w:val="00672ABA"/>
    <w:rsid w:val="00672FF7"/>
    <w:rsid w:val="006736F2"/>
    <w:rsid w:val="00673EF9"/>
    <w:rsid w:val="0067407E"/>
    <w:rsid w:val="00674883"/>
    <w:rsid w:val="00675990"/>
    <w:rsid w:val="006774CD"/>
    <w:rsid w:val="0068066D"/>
    <w:rsid w:val="00681E6F"/>
    <w:rsid w:val="006828BB"/>
    <w:rsid w:val="00682956"/>
    <w:rsid w:val="00682F51"/>
    <w:rsid w:val="00684A84"/>
    <w:rsid w:val="00684D2A"/>
    <w:rsid w:val="00684EA1"/>
    <w:rsid w:val="0068531A"/>
    <w:rsid w:val="00686309"/>
    <w:rsid w:val="00686E1D"/>
    <w:rsid w:val="00687CE7"/>
    <w:rsid w:val="00690196"/>
    <w:rsid w:val="00690FEF"/>
    <w:rsid w:val="0069122B"/>
    <w:rsid w:val="00691C37"/>
    <w:rsid w:val="00692368"/>
    <w:rsid w:val="006931CC"/>
    <w:rsid w:val="006947E1"/>
    <w:rsid w:val="00694A54"/>
    <w:rsid w:val="00694B43"/>
    <w:rsid w:val="00695A6F"/>
    <w:rsid w:val="00696853"/>
    <w:rsid w:val="0069711B"/>
    <w:rsid w:val="006A01E0"/>
    <w:rsid w:val="006A1291"/>
    <w:rsid w:val="006A1997"/>
    <w:rsid w:val="006A1E17"/>
    <w:rsid w:val="006A1EF2"/>
    <w:rsid w:val="006A200F"/>
    <w:rsid w:val="006A239A"/>
    <w:rsid w:val="006A24B1"/>
    <w:rsid w:val="006A2EDF"/>
    <w:rsid w:val="006A3665"/>
    <w:rsid w:val="006A426A"/>
    <w:rsid w:val="006A42CA"/>
    <w:rsid w:val="006A44FA"/>
    <w:rsid w:val="006A4603"/>
    <w:rsid w:val="006A4B08"/>
    <w:rsid w:val="006A50EF"/>
    <w:rsid w:val="006A55D2"/>
    <w:rsid w:val="006A5D5E"/>
    <w:rsid w:val="006A6124"/>
    <w:rsid w:val="006A68DF"/>
    <w:rsid w:val="006A6996"/>
    <w:rsid w:val="006A7BB2"/>
    <w:rsid w:val="006B0D68"/>
    <w:rsid w:val="006B0E2E"/>
    <w:rsid w:val="006B19D7"/>
    <w:rsid w:val="006B19E5"/>
    <w:rsid w:val="006B2D93"/>
    <w:rsid w:val="006B31F2"/>
    <w:rsid w:val="006B3905"/>
    <w:rsid w:val="006B3D28"/>
    <w:rsid w:val="006B415F"/>
    <w:rsid w:val="006B6620"/>
    <w:rsid w:val="006B6A2E"/>
    <w:rsid w:val="006B6D35"/>
    <w:rsid w:val="006B6D5E"/>
    <w:rsid w:val="006B7030"/>
    <w:rsid w:val="006B7A26"/>
    <w:rsid w:val="006C0C2B"/>
    <w:rsid w:val="006C0DC8"/>
    <w:rsid w:val="006C14A4"/>
    <w:rsid w:val="006C15F8"/>
    <w:rsid w:val="006C19C9"/>
    <w:rsid w:val="006C20C8"/>
    <w:rsid w:val="006C2C54"/>
    <w:rsid w:val="006C3004"/>
    <w:rsid w:val="006C43C4"/>
    <w:rsid w:val="006C43DF"/>
    <w:rsid w:val="006C490E"/>
    <w:rsid w:val="006C4B60"/>
    <w:rsid w:val="006C5027"/>
    <w:rsid w:val="006C529A"/>
    <w:rsid w:val="006C54AE"/>
    <w:rsid w:val="006C58CE"/>
    <w:rsid w:val="006C5F13"/>
    <w:rsid w:val="006C6014"/>
    <w:rsid w:val="006C6B1A"/>
    <w:rsid w:val="006C6B55"/>
    <w:rsid w:val="006C75AD"/>
    <w:rsid w:val="006D13EF"/>
    <w:rsid w:val="006D183D"/>
    <w:rsid w:val="006D26CB"/>
    <w:rsid w:val="006D35C5"/>
    <w:rsid w:val="006D373C"/>
    <w:rsid w:val="006D3EF8"/>
    <w:rsid w:val="006D40D6"/>
    <w:rsid w:val="006D46FC"/>
    <w:rsid w:val="006D54C8"/>
    <w:rsid w:val="006D58C7"/>
    <w:rsid w:val="006D61CC"/>
    <w:rsid w:val="006D6946"/>
    <w:rsid w:val="006D6A5A"/>
    <w:rsid w:val="006D6FEA"/>
    <w:rsid w:val="006D7237"/>
    <w:rsid w:val="006D73B6"/>
    <w:rsid w:val="006E039C"/>
    <w:rsid w:val="006E24EC"/>
    <w:rsid w:val="006E35D4"/>
    <w:rsid w:val="006E4549"/>
    <w:rsid w:val="006E62E9"/>
    <w:rsid w:val="006E6649"/>
    <w:rsid w:val="006E66BE"/>
    <w:rsid w:val="006E7BC0"/>
    <w:rsid w:val="006F043C"/>
    <w:rsid w:val="006F0BA2"/>
    <w:rsid w:val="006F1346"/>
    <w:rsid w:val="006F1CA8"/>
    <w:rsid w:val="006F2A3A"/>
    <w:rsid w:val="006F2AD8"/>
    <w:rsid w:val="006F2B0F"/>
    <w:rsid w:val="006F3164"/>
    <w:rsid w:val="006F31F8"/>
    <w:rsid w:val="006F3485"/>
    <w:rsid w:val="006F3914"/>
    <w:rsid w:val="006F39AD"/>
    <w:rsid w:val="006F3A86"/>
    <w:rsid w:val="006F465B"/>
    <w:rsid w:val="006F4CB8"/>
    <w:rsid w:val="006F5855"/>
    <w:rsid w:val="006F5A52"/>
    <w:rsid w:val="007002B0"/>
    <w:rsid w:val="00700408"/>
    <w:rsid w:val="00700450"/>
    <w:rsid w:val="007024E5"/>
    <w:rsid w:val="007025E6"/>
    <w:rsid w:val="00702951"/>
    <w:rsid w:val="00702F14"/>
    <w:rsid w:val="007034EE"/>
    <w:rsid w:val="0070389E"/>
    <w:rsid w:val="00704131"/>
    <w:rsid w:val="00704287"/>
    <w:rsid w:val="00705011"/>
    <w:rsid w:val="007051DF"/>
    <w:rsid w:val="00705608"/>
    <w:rsid w:val="00705B23"/>
    <w:rsid w:val="0070656F"/>
    <w:rsid w:val="00706C97"/>
    <w:rsid w:val="00706CF1"/>
    <w:rsid w:val="00706E64"/>
    <w:rsid w:val="0071024E"/>
    <w:rsid w:val="0071188E"/>
    <w:rsid w:val="00711950"/>
    <w:rsid w:val="00711CBD"/>
    <w:rsid w:val="00711D48"/>
    <w:rsid w:val="00711D8E"/>
    <w:rsid w:val="00711ED4"/>
    <w:rsid w:val="00712A1B"/>
    <w:rsid w:val="00712B89"/>
    <w:rsid w:val="0071300C"/>
    <w:rsid w:val="00713645"/>
    <w:rsid w:val="00713882"/>
    <w:rsid w:val="007138B7"/>
    <w:rsid w:val="007139B9"/>
    <w:rsid w:val="00714211"/>
    <w:rsid w:val="007144CE"/>
    <w:rsid w:val="007149DA"/>
    <w:rsid w:val="00715DC3"/>
    <w:rsid w:val="00715F59"/>
    <w:rsid w:val="00716A94"/>
    <w:rsid w:val="007179ED"/>
    <w:rsid w:val="00717D5B"/>
    <w:rsid w:val="007205AA"/>
    <w:rsid w:val="00720FA4"/>
    <w:rsid w:val="0072106C"/>
    <w:rsid w:val="0072139B"/>
    <w:rsid w:val="00721A55"/>
    <w:rsid w:val="00721CE9"/>
    <w:rsid w:val="007233E4"/>
    <w:rsid w:val="0072394C"/>
    <w:rsid w:val="00723D01"/>
    <w:rsid w:val="0072431B"/>
    <w:rsid w:val="0072433F"/>
    <w:rsid w:val="00724853"/>
    <w:rsid w:val="00725609"/>
    <w:rsid w:val="0072582D"/>
    <w:rsid w:val="0073036F"/>
    <w:rsid w:val="00730884"/>
    <w:rsid w:val="007308D3"/>
    <w:rsid w:val="00731381"/>
    <w:rsid w:val="0073171D"/>
    <w:rsid w:val="00731E6B"/>
    <w:rsid w:val="00732016"/>
    <w:rsid w:val="00732FE5"/>
    <w:rsid w:val="0073363C"/>
    <w:rsid w:val="007351F8"/>
    <w:rsid w:val="0073580D"/>
    <w:rsid w:val="00736302"/>
    <w:rsid w:val="00736360"/>
    <w:rsid w:val="0073660C"/>
    <w:rsid w:val="00736F44"/>
    <w:rsid w:val="0073719B"/>
    <w:rsid w:val="00737794"/>
    <w:rsid w:val="00740400"/>
    <w:rsid w:val="00741F6E"/>
    <w:rsid w:val="0074274A"/>
    <w:rsid w:val="00743B78"/>
    <w:rsid w:val="00745B62"/>
    <w:rsid w:val="0074652D"/>
    <w:rsid w:val="00746C1C"/>
    <w:rsid w:val="00750477"/>
    <w:rsid w:val="00750943"/>
    <w:rsid w:val="007524F4"/>
    <w:rsid w:val="00752C87"/>
    <w:rsid w:val="00752D99"/>
    <w:rsid w:val="007535ED"/>
    <w:rsid w:val="00753A5E"/>
    <w:rsid w:val="00754A29"/>
    <w:rsid w:val="00755A02"/>
    <w:rsid w:val="007562F5"/>
    <w:rsid w:val="0075644F"/>
    <w:rsid w:val="00757188"/>
    <w:rsid w:val="007608D6"/>
    <w:rsid w:val="00760A5C"/>
    <w:rsid w:val="007612C7"/>
    <w:rsid w:val="00762256"/>
    <w:rsid w:val="007628D8"/>
    <w:rsid w:val="007630F5"/>
    <w:rsid w:val="00763483"/>
    <w:rsid w:val="007639CA"/>
    <w:rsid w:val="00764066"/>
    <w:rsid w:val="0076433F"/>
    <w:rsid w:val="00764763"/>
    <w:rsid w:val="00764D10"/>
    <w:rsid w:val="00765017"/>
    <w:rsid w:val="00765D62"/>
    <w:rsid w:val="00765FAE"/>
    <w:rsid w:val="007660F8"/>
    <w:rsid w:val="00767B72"/>
    <w:rsid w:val="00767DB5"/>
    <w:rsid w:val="007704C7"/>
    <w:rsid w:val="00770AFC"/>
    <w:rsid w:val="00771113"/>
    <w:rsid w:val="00771DE5"/>
    <w:rsid w:val="00771E0F"/>
    <w:rsid w:val="007722C9"/>
    <w:rsid w:val="00773574"/>
    <w:rsid w:val="00773D2C"/>
    <w:rsid w:val="007743CF"/>
    <w:rsid w:val="00774484"/>
    <w:rsid w:val="0077499D"/>
    <w:rsid w:val="00774C5C"/>
    <w:rsid w:val="00774D41"/>
    <w:rsid w:val="007755AC"/>
    <w:rsid w:val="00775A42"/>
    <w:rsid w:val="00776894"/>
    <w:rsid w:val="00776B09"/>
    <w:rsid w:val="00776E99"/>
    <w:rsid w:val="00777C00"/>
    <w:rsid w:val="0078067F"/>
    <w:rsid w:val="007807E0"/>
    <w:rsid w:val="00780D66"/>
    <w:rsid w:val="00780F37"/>
    <w:rsid w:val="00782030"/>
    <w:rsid w:val="007829E9"/>
    <w:rsid w:val="00782E1B"/>
    <w:rsid w:val="007836C1"/>
    <w:rsid w:val="00784439"/>
    <w:rsid w:val="00784D58"/>
    <w:rsid w:val="00785438"/>
    <w:rsid w:val="00786594"/>
    <w:rsid w:val="0078755A"/>
    <w:rsid w:val="00790160"/>
    <w:rsid w:val="0079178A"/>
    <w:rsid w:val="00793AD5"/>
    <w:rsid w:val="00793F46"/>
    <w:rsid w:val="0079402E"/>
    <w:rsid w:val="007948F4"/>
    <w:rsid w:val="00794AA0"/>
    <w:rsid w:val="00796101"/>
    <w:rsid w:val="007968A1"/>
    <w:rsid w:val="007974D6"/>
    <w:rsid w:val="00797E84"/>
    <w:rsid w:val="007A00E8"/>
    <w:rsid w:val="007A0841"/>
    <w:rsid w:val="007A145C"/>
    <w:rsid w:val="007A1C58"/>
    <w:rsid w:val="007A1F3D"/>
    <w:rsid w:val="007A312E"/>
    <w:rsid w:val="007A3CF4"/>
    <w:rsid w:val="007A3F28"/>
    <w:rsid w:val="007A4238"/>
    <w:rsid w:val="007A4DF2"/>
    <w:rsid w:val="007A506C"/>
    <w:rsid w:val="007A5199"/>
    <w:rsid w:val="007A5378"/>
    <w:rsid w:val="007A5438"/>
    <w:rsid w:val="007A5A17"/>
    <w:rsid w:val="007A6675"/>
    <w:rsid w:val="007A6D6D"/>
    <w:rsid w:val="007A7C1E"/>
    <w:rsid w:val="007B1591"/>
    <w:rsid w:val="007B19E2"/>
    <w:rsid w:val="007B1F3F"/>
    <w:rsid w:val="007B1FA8"/>
    <w:rsid w:val="007B46C9"/>
    <w:rsid w:val="007B565B"/>
    <w:rsid w:val="007B5C69"/>
    <w:rsid w:val="007B5DBC"/>
    <w:rsid w:val="007B6CC7"/>
    <w:rsid w:val="007B738D"/>
    <w:rsid w:val="007B7725"/>
    <w:rsid w:val="007B77BA"/>
    <w:rsid w:val="007B7ACC"/>
    <w:rsid w:val="007C04DE"/>
    <w:rsid w:val="007C06EE"/>
    <w:rsid w:val="007C0E34"/>
    <w:rsid w:val="007C1274"/>
    <w:rsid w:val="007C16D2"/>
    <w:rsid w:val="007C1C6F"/>
    <w:rsid w:val="007C20A3"/>
    <w:rsid w:val="007C308D"/>
    <w:rsid w:val="007C3F0A"/>
    <w:rsid w:val="007C5406"/>
    <w:rsid w:val="007C5AFE"/>
    <w:rsid w:val="007C5FF7"/>
    <w:rsid w:val="007C6DF4"/>
    <w:rsid w:val="007C706A"/>
    <w:rsid w:val="007C799F"/>
    <w:rsid w:val="007C79A1"/>
    <w:rsid w:val="007C7D4C"/>
    <w:rsid w:val="007D1813"/>
    <w:rsid w:val="007D1FB5"/>
    <w:rsid w:val="007D2936"/>
    <w:rsid w:val="007D4D6E"/>
    <w:rsid w:val="007D5F67"/>
    <w:rsid w:val="007D64A7"/>
    <w:rsid w:val="007D673C"/>
    <w:rsid w:val="007D6DC1"/>
    <w:rsid w:val="007D7372"/>
    <w:rsid w:val="007D7D37"/>
    <w:rsid w:val="007E2349"/>
    <w:rsid w:val="007E2E1B"/>
    <w:rsid w:val="007E43C4"/>
    <w:rsid w:val="007E4A90"/>
    <w:rsid w:val="007E4A9C"/>
    <w:rsid w:val="007E55CB"/>
    <w:rsid w:val="007E6163"/>
    <w:rsid w:val="007E6D61"/>
    <w:rsid w:val="007E72DA"/>
    <w:rsid w:val="007E78CD"/>
    <w:rsid w:val="007E7D27"/>
    <w:rsid w:val="007F0700"/>
    <w:rsid w:val="007F13C1"/>
    <w:rsid w:val="007F18F6"/>
    <w:rsid w:val="007F191C"/>
    <w:rsid w:val="007F1A0B"/>
    <w:rsid w:val="007F28D3"/>
    <w:rsid w:val="007F2F46"/>
    <w:rsid w:val="007F3445"/>
    <w:rsid w:val="007F3827"/>
    <w:rsid w:val="007F3925"/>
    <w:rsid w:val="007F39BA"/>
    <w:rsid w:val="007F4A6E"/>
    <w:rsid w:val="007F6D6D"/>
    <w:rsid w:val="007F71F9"/>
    <w:rsid w:val="00800BA0"/>
    <w:rsid w:val="00800FA8"/>
    <w:rsid w:val="00801801"/>
    <w:rsid w:val="00803F65"/>
    <w:rsid w:val="008041FB"/>
    <w:rsid w:val="00804B4C"/>
    <w:rsid w:val="00804F9D"/>
    <w:rsid w:val="00805200"/>
    <w:rsid w:val="008052DD"/>
    <w:rsid w:val="00805E39"/>
    <w:rsid w:val="0080611D"/>
    <w:rsid w:val="008064DD"/>
    <w:rsid w:val="00807025"/>
    <w:rsid w:val="00807BE4"/>
    <w:rsid w:val="00807C54"/>
    <w:rsid w:val="00807D4D"/>
    <w:rsid w:val="00807DFE"/>
    <w:rsid w:val="00807EFC"/>
    <w:rsid w:val="0081010D"/>
    <w:rsid w:val="0081050E"/>
    <w:rsid w:val="00810D76"/>
    <w:rsid w:val="00810E40"/>
    <w:rsid w:val="0081126D"/>
    <w:rsid w:val="00811D2B"/>
    <w:rsid w:val="00812978"/>
    <w:rsid w:val="00812AF1"/>
    <w:rsid w:val="008132D1"/>
    <w:rsid w:val="008132FA"/>
    <w:rsid w:val="008134BA"/>
    <w:rsid w:val="00814D9B"/>
    <w:rsid w:val="00815294"/>
    <w:rsid w:val="008153CF"/>
    <w:rsid w:val="0081543B"/>
    <w:rsid w:val="008156BB"/>
    <w:rsid w:val="00815C93"/>
    <w:rsid w:val="008161B5"/>
    <w:rsid w:val="00816786"/>
    <w:rsid w:val="00816F2B"/>
    <w:rsid w:val="00817192"/>
    <w:rsid w:val="008178AC"/>
    <w:rsid w:val="00821B34"/>
    <w:rsid w:val="00822318"/>
    <w:rsid w:val="00822DD5"/>
    <w:rsid w:val="00823164"/>
    <w:rsid w:val="00823FCD"/>
    <w:rsid w:val="00824219"/>
    <w:rsid w:val="008242A3"/>
    <w:rsid w:val="00824571"/>
    <w:rsid w:val="008259DB"/>
    <w:rsid w:val="00826383"/>
    <w:rsid w:val="008268EC"/>
    <w:rsid w:val="00826E12"/>
    <w:rsid w:val="00826E16"/>
    <w:rsid w:val="00827247"/>
    <w:rsid w:val="00830A3B"/>
    <w:rsid w:val="008319AD"/>
    <w:rsid w:val="00832261"/>
    <w:rsid w:val="00832940"/>
    <w:rsid w:val="0083371B"/>
    <w:rsid w:val="008337E4"/>
    <w:rsid w:val="0083425C"/>
    <w:rsid w:val="0083497A"/>
    <w:rsid w:val="00834ED9"/>
    <w:rsid w:val="0083503C"/>
    <w:rsid w:val="008353FD"/>
    <w:rsid w:val="00835502"/>
    <w:rsid w:val="0083610B"/>
    <w:rsid w:val="008365BA"/>
    <w:rsid w:val="008369E4"/>
    <w:rsid w:val="00836BCB"/>
    <w:rsid w:val="008374CE"/>
    <w:rsid w:val="00837D0B"/>
    <w:rsid w:val="00837E72"/>
    <w:rsid w:val="0084063D"/>
    <w:rsid w:val="00840830"/>
    <w:rsid w:val="00841086"/>
    <w:rsid w:val="00841B4F"/>
    <w:rsid w:val="00841EAF"/>
    <w:rsid w:val="00841F89"/>
    <w:rsid w:val="00842CA9"/>
    <w:rsid w:val="00842DF6"/>
    <w:rsid w:val="00843584"/>
    <w:rsid w:val="00844A5C"/>
    <w:rsid w:val="00844FEA"/>
    <w:rsid w:val="008457B7"/>
    <w:rsid w:val="008464D7"/>
    <w:rsid w:val="008466D1"/>
    <w:rsid w:val="00847682"/>
    <w:rsid w:val="00847E07"/>
    <w:rsid w:val="00847E12"/>
    <w:rsid w:val="008509C8"/>
    <w:rsid w:val="008523B9"/>
    <w:rsid w:val="00852574"/>
    <w:rsid w:val="00852C0F"/>
    <w:rsid w:val="00852C1E"/>
    <w:rsid w:val="008533D7"/>
    <w:rsid w:val="008538A7"/>
    <w:rsid w:val="00854113"/>
    <w:rsid w:val="00854CF9"/>
    <w:rsid w:val="00855BED"/>
    <w:rsid w:val="00856155"/>
    <w:rsid w:val="008569B7"/>
    <w:rsid w:val="00857150"/>
    <w:rsid w:val="0086044B"/>
    <w:rsid w:val="008610F3"/>
    <w:rsid w:val="008623AB"/>
    <w:rsid w:val="00862C2B"/>
    <w:rsid w:val="00862FE9"/>
    <w:rsid w:val="00863996"/>
    <w:rsid w:val="008649CF"/>
    <w:rsid w:val="00865292"/>
    <w:rsid w:val="00865944"/>
    <w:rsid w:val="00865E47"/>
    <w:rsid w:val="0086613F"/>
    <w:rsid w:val="00866587"/>
    <w:rsid w:val="00866807"/>
    <w:rsid w:val="0086734A"/>
    <w:rsid w:val="00867C7A"/>
    <w:rsid w:val="0087028D"/>
    <w:rsid w:val="0087034A"/>
    <w:rsid w:val="00870B87"/>
    <w:rsid w:val="00872425"/>
    <w:rsid w:val="00872438"/>
    <w:rsid w:val="00873881"/>
    <w:rsid w:val="00873A2C"/>
    <w:rsid w:val="00873F92"/>
    <w:rsid w:val="00874A01"/>
    <w:rsid w:val="00874D62"/>
    <w:rsid w:val="008752EC"/>
    <w:rsid w:val="008764AF"/>
    <w:rsid w:val="00876F46"/>
    <w:rsid w:val="008777F6"/>
    <w:rsid w:val="00880670"/>
    <w:rsid w:val="00880860"/>
    <w:rsid w:val="00880A28"/>
    <w:rsid w:val="008811CD"/>
    <w:rsid w:val="00881EC8"/>
    <w:rsid w:val="008823B9"/>
    <w:rsid w:val="008841AF"/>
    <w:rsid w:val="00884304"/>
    <w:rsid w:val="00884588"/>
    <w:rsid w:val="00884827"/>
    <w:rsid w:val="008853F3"/>
    <w:rsid w:val="00885AB7"/>
    <w:rsid w:val="00886BD9"/>
    <w:rsid w:val="00887059"/>
    <w:rsid w:val="00891FE6"/>
    <w:rsid w:val="00892B00"/>
    <w:rsid w:val="00892B5B"/>
    <w:rsid w:val="00893884"/>
    <w:rsid w:val="00893E00"/>
    <w:rsid w:val="00894979"/>
    <w:rsid w:val="0089544E"/>
    <w:rsid w:val="00895478"/>
    <w:rsid w:val="0089587B"/>
    <w:rsid w:val="00896206"/>
    <w:rsid w:val="00896B4A"/>
    <w:rsid w:val="008A08EA"/>
    <w:rsid w:val="008A0C91"/>
    <w:rsid w:val="008A13D8"/>
    <w:rsid w:val="008A19FB"/>
    <w:rsid w:val="008A38AD"/>
    <w:rsid w:val="008A4E97"/>
    <w:rsid w:val="008A5947"/>
    <w:rsid w:val="008A59B2"/>
    <w:rsid w:val="008A5AB4"/>
    <w:rsid w:val="008A60F3"/>
    <w:rsid w:val="008A6247"/>
    <w:rsid w:val="008A6286"/>
    <w:rsid w:val="008A6407"/>
    <w:rsid w:val="008A683E"/>
    <w:rsid w:val="008A68AA"/>
    <w:rsid w:val="008A6F1B"/>
    <w:rsid w:val="008A6F9A"/>
    <w:rsid w:val="008A7439"/>
    <w:rsid w:val="008B0471"/>
    <w:rsid w:val="008B06C2"/>
    <w:rsid w:val="008B0A90"/>
    <w:rsid w:val="008B0E3F"/>
    <w:rsid w:val="008B33E1"/>
    <w:rsid w:val="008B3F0E"/>
    <w:rsid w:val="008B4347"/>
    <w:rsid w:val="008B445A"/>
    <w:rsid w:val="008B4DBD"/>
    <w:rsid w:val="008B4F59"/>
    <w:rsid w:val="008B5685"/>
    <w:rsid w:val="008B62D1"/>
    <w:rsid w:val="008B688E"/>
    <w:rsid w:val="008B6F00"/>
    <w:rsid w:val="008C1315"/>
    <w:rsid w:val="008C1638"/>
    <w:rsid w:val="008C1C71"/>
    <w:rsid w:val="008C33E4"/>
    <w:rsid w:val="008C42F3"/>
    <w:rsid w:val="008C453E"/>
    <w:rsid w:val="008C51FD"/>
    <w:rsid w:val="008C61EA"/>
    <w:rsid w:val="008C67F4"/>
    <w:rsid w:val="008C771A"/>
    <w:rsid w:val="008C7E5A"/>
    <w:rsid w:val="008D03E5"/>
    <w:rsid w:val="008D04EA"/>
    <w:rsid w:val="008D0795"/>
    <w:rsid w:val="008D18B9"/>
    <w:rsid w:val="008D1C35"/>
    <w:rsid w:val="008D2DCA"/>
    <w:rsid w:val="008D30F0"/>
    <w:rsid w:val="008D333A"/>
    <w:rsid w:val="008D3C44"/>
    <w:rsid w:val="008D4E78"/>
    <w:rsid w:val="008D52DD"/>
    <w:rsid w:val="008D58D0"/>
    <w:rsid w:val="008D6299"/>
    <w:rsid w:val="008D6863"/>
    <w:rsid w:val="008D6A7F"/>
    <w:rsid w:val="008D71B2"/>
    <w:rsid w:val="008D71CC"/>
    <w:rsid w:val="008D7235"/>
    <w:rsid w:val="008D72BF"/>
    <w:rsid w:val="008D7B9E"/>
    <w:rsid w:val="008E0DFC"/>
    <w:rsid w:val="008E0FD5"/>
    <w:rsid w:val="008E1634"/>
    <w:rsid w:val="008E1988"/>
    <w:rsid w:val="008E1A65"/>
    <w:rsid w:val="008E22CF"/>
    <w:rsid w:val="008E24CB"/>
    <w:rsid w:val="008E3062"/>
    <w:rsid w:val="008E3382"/>
    <w:rsid w:val="008E45A8"/>
    <w:rsid w:val="008E4B9F"/>
    <w:rsid w:val="008E5474"/>
    <w:rsid w:val="008E5EF2"/>
    <w:rsid w:val="008E63A0"/>
    <w:rsid w:val="008E671D"/>
    <w:rsid w:val="008E6F1C"/>
    <w:rsid w:val="008E779F"/>
    <w:rsid w:val="008E7CC7"/>
    <w:rsid w:val="008E7D51"/>
    <w:rsid w:val="008E7F6F"/>
    <w:rsid w:val="008F0921"/>
    <w:rsid w:val="008F0AB7"/>
    <w:rsid w:val="008F1E4D"/>
    <w:rsid w:val="008F228D"/>
    <w:rsid w:val="008F2AFD"/>
    <w:rsid w:val="008F3304"/>
    <w:rsid w:val="008F386A"/>
    <w:rsid w:val="008F400E"/>
    <w:rsid w:val="008F4C08"/>
    <w:rsid w:val="008F4F5B"/>
    <w:rsid w:val="008F6104"/>
    <w:rsid w:val="008F6F3A"/>
    <w:rsid w:val="008F78EE"/>
    <w:rsid w:val="008F7DDB"/>
    <w:rsid w:val="0090014E"/>
    <w:rsid w:val="00900453"/>
    <w:rsid w:val="00900B5A"/>
    <w:rsid w:val="00900B79"/>
    <w:rsid w:val="0090106E"/>
    <w:rsid w:val="0090147B"/>
    <w:rsid w:val="009017E2"/>
    <w:rsid w:val="00901D65"/>
    <w:rsid w:val="00902373"/>
    <w:rsid w:val="009027B2"/>
    <w:rsid w:val="0090296A"/>
    <w:rsid w:val="00902AF1"/>
    <w:rsid w:val="0090330E"/>
    <w:rsid w:val="00904B0D"/>
    <w:rsid w:val="00905356"/>
    <w:rsid w:val="009056F5"/>
    <w:rsid w:val="00906BEB"/>
    <w:rsid w:val="00910BDE"/>
    <w:rsid w:val="00911305"/>
    <w:rsid w:val="009119A3"/>
    <w:rsid w:val="00911C55"/>
    <w:rsid w:val="00912BC5"/>
    <w:rsid w:val="009130B4"/>
    <w:rsid w:val="0091420C"/>
    <w:rsid w:val="0091522C"/>
    <w:rsid w:val="009153DB"/>
    <w:rsid w:val="009159B1"/>
    <w:rsid w:val="00915CD7"/>
    <w:rsid w:val="00916B93"/>
    <w:rsid w:val="009172F8"/>
    <w:rsid w:val="0092191B"/>
    <w:rsid w:val="00922120"/>
    <w:rsid w:val="009239A6"/>
    <w:rsid w:val="00923DF4"/>
    <w:rsid w:val="0092446E"/>
    <w:rsid w:val="00924C2A"/>
    <w:rsid w:val="009258C9"/>
    <w:rsid w:val="00925CA0"/>
    <w:rsid w:val="00925DAC"/>
    <w:rsid w:val="009266B9"/>
    <w:rsid w:val="009267F6"/>
    <w:rsid w:val="00930D80"/>
    <w:rsid w:val="0093209B"/>
    <w:rsid w:val="00932EF4"/>
    <w:rsid w:val="00933CCA"/>
    <w:rsid w:val="00934B42"/>
    <w:rsid w:val="0093581A"/>
    <w:rsid w:val="00936231"/>
    <w:rsid w:val="00936825"/>
    <w:rsid w:val="00936C52"/>
    <w:rsid w:val="00937AAF"/>
    <w:rsid w:val="009408BD"/>
    <w:rsid w:val="00940FE7"/>
    <w:rsid w:val="009422D5"/>
    <w:rsid w:val="0094242D"/>
    <w:rsid w:val="009442D4"/>
    <w:rsid w:val="00945168"/>
    <w:rsid w:val="009452BE"/>
    <w:rsid w:val="009457D7"/>
    <w:rsid w:val="00945B71"/>
    <w:rsid w:val="00945BC5"/>
    <w:rsid w:val="00946019"/>
    <w:rsid w:val="009460AD"/>
    <w:rsid w:val="009462C5"/>
    <w:rsid w:val="00946957"/>
    <w:rsid w:val="009475D4"/>
    <w:rsid w:val="009501F7"/>
    <w:rsid w:val="00950491"/>
    <w:rsid w:val="009505F4"/>
    <w:rsid w:val="009507CA"/>
    <w:rsid w:val="009509A8"/>
    <w:rsid w:val="00950B88"/>
    <w:rsid w:val="00952699"/>
    <w:rsid w:val="00952B63"/>
    <w:rsid w:val="00952FAF"/>
    <w:rsid w:val="0095435C"/>
    <w:rsid w:val="009547CD"/>
    <w:rsid w:val="009555F6"/>
    <w:rsid w:val="0095570E"/>
    <w:rsid w:val="0095597A"/>
    <w:rsid w:val="00957784"/>
    <w:rsid w:val="00960457"/>
    <w:rsid w:val="0096204F"/>
    <w:rsid w:val="00962F28"/>
    <w:rsid w:val="00963268"/>
    <w:rsid w:val="00963610"/>
    <w:rsid w:val="00964A63"/>
    <w:rsid w:val="00964F94"/>
    <w:rsid w:val="00966E9E"/>
    <w:rsid w:val="009674D3"/>
    <w:rsid w:val="0096757D"/>
    <w:rsid w:val="00967E02"/>
    <w:rsid w:val="00970650"/>
    <w:rsid w:val="00970E27"/>
    <w:rsid w:val="00970EAD"/>
    <w:rsid w:val="00970F2D"/>
    <w:rsid w:val="009715DD"/>
    <w:rsid w:val="0097174D"/>
    <w:rsid w:val="009735F1"/>
    <w:rsid w:val="00974041"/>
    <w:rsid w:val="00976198"/>
    <w:rsid w:val="0097673D"/>
    <w:rsid w:val="00976E43"/>
    <w:rsid w:val="00976EA7"/>
    <w:rsid w:val="00976F6A"/>
    <w:rsid w:val="00977291"/>
    <w:rsid w:val="00977493"/>
    <w:rsid w:val="00977607"/>
    <w:rsid w:val="0098075C"/>
    <w:rsid w:val="00980EDB"/>
    <w:rsid w:val="00981480"/>
    <w:rsid w:val="00982A0A"/>
    <w:rsid w:val="00983D13"/>
    <w:rsid w:val="00983EA9"/>
    <w:rsid w:val="0098402A"/>
    <w:rsid w:val="0098402B"/>
    <w:rsid w:val="009841C7"/>
    <w:rsid w:val="009863F5"/>
    <w:rsid w:val="00986D63"/>
    <w:rsid w:val="009871CA"/>
    <w:rsid w:val="00987906"/>
    <w:rsid w:val="009910D8"/>
    <w:rsid w:val="0099210D"/>
    <w:rsid w:val="009925AC"/>
    <w:rsid w:val="00993AFD"/>
    <w:rsid w:val="009943E2"/>
    <w:rsid w:val="00994922"/>
    <w:rsid w:val="00994956"/>
    <w:rsid w:val="009956E5"/>
    <w:rsid w:val="009959BB"/>
    <w:rsid w:val="00996056"/>
    <w:rsid w:val="00996A41"/>
    <w:rsid w:val="00996B78"/>
    <w:rsid w:val="00996D75"/>
    <w:rsid w:val="009974EF"/>
    <w:rsid w:val="009A03FC"/>
    <w:rsid w:val="009A0F54"/>
    <w:rsid w:val="009A1044"/>
    <w:rsid w:val="009A13CA"/>
    <w:rsid w:val="009A1BD4"/>
    <w:rsid w:val="009A20D3"/>
    <w:rsid w:val="009A2AB2"/>
    <w:rsid w:val="009A4CBF"/>
    <w:rsid w:val="009A4D83"/>
    <w:rsid w:val="009A576E"/>
    <w:rsid w:val="009A5C22"/>
    <w:rsid w:val="009A5C6C"/>
    <w:rsid w:val="009A6789"/>
    <w:rsid w:val="009A6ABA"/>
    <w:rsid w:val="009A709A"/>
    <w:rsid w:val="009A757D"/>
    <w:rsid w:val="009B06B4"/>
    <w:rsid w:val="009B0A3A"/>
    <w:rsid w:val="009B180C"/>
    <w:rsid w:val="009B2347"/>
    <w:rsid w:val="009B4280"/>
    <w:rsid w:val="009B4CD8"/>
    <w:rsid w:val="009B50FC"/>
    <w:rsid w:val="009B5F2E"/>
    <w:rsid w:val="009B6D40"/>
    <w:rsid w:val="009B7312"/>
    <w:rsid w:val="009B77AC"/>
    <w:rsid w:val="009B7831"/>
    <w:rsid w:val="009C0238"/>
    <w:rsid w:val="009C04F7"/>
    <w:rsid w:val="009C10BD"/>
    <w:rsid w:val="009C2537"/>
    <w:rsid w:val="009C2E6A"/>
    <w:rsid w:val="009C2F09"/>
    <w:rsid w:val="009C356A"/>
    <w:rsid w:val="009C5008"/>
    <w:rsid w:val="009C52E7"/>
    <w:rsid w:val="009C6AA0"/>
    <w:rsid w:val="009C6DAC"/>
    <w:rsid w:val="009D0DC8"/>
    <w:rsid w:val="009D1A46"/>
    <w:rsid w:val="009D1AEA"/>
    <w:rsid w:val="009D1CA2"/>
    <w:rsid w:val="009D235A"/>
    <w:rsid w:val="009D35D4"/>
    <w:rsid w:val="009D3603"/>
    <w:rsid w:val="009D3658"/>
    <w:rsid w:val="009D474B"/>
    <w:rsid w:val="009D487C"/>
    <w:rsid w:val="009D48B4"/>
    <w:rsid w:val="009D5041"/>
    <w:rsid w:val="009D5154"/>
    <w:rsid w:val="009D54AF"/>
    <w:rsid w:val="009D5CBF"/>
    <w:rsid w:val="009D5FB2"/>
    <w:rsid w:val="009D66CF"/>
    <w:rsid w:val="009D6CE1"/>
    <w:rsid w:val="009D6DDE"/>
    <w:rsid w:val="009D7AE2"/>
    <w:rsid w:val="009E0429"/>
    <w:rsid w:val="009E057E"/>
    <w:rsid w:val="009E08EE"/>
    <w:rsid w:val="009E1020"/>
    <w:rsid w:val="009E11F1"/>
    <w:rsid w:val="009E23C7"/>
    <w:rsid w:val="009E3C9B"/>
    <w:rsid w:val="009E3CEB"/>
    <w:rsid w:val="009E3D20"/>
    <w:rsid w:val="009E59E0"/>
    <w:rsid w:val="009E61A8"/>
    <w:rsid w:val="009E7E9B"/>
    <w:rsid w:val="009E7F28"/>
    <w:rsid w:val="009E7FD2"/>
    <w:rsid w:val="009F0932"/>
    <w:rsid w:val="009F13E9"/>
    <w:rsid w:val="009F192B"/>
    <w:rsid w:val="009F3EA3"/>
    <w:rsid w:val="009F4954"/>
    <w:rsid w:val="009F54C5"/>
    <w:rsid w:val="009F58B5"/>
    <w:rsid w:val="009F5919"/>
    <w:rsid w:val="009F6305"/>
    <w:rsid w:val="009F6AA8"/>
    <w:rsid w:val="009F6E75"/>
    <w:rsid w:val="009F704C"/>
    <w:rsid w:val="009F763C"/>
    <w:rsid w:val="009F77F8"/>
    <w:rsid w:val="00A006BE"/>
    <w:rsid w:val="00A017D8"/>
    <w:rsid w:val="00A020E5"/>
    <w:rsid w:val="00A02E1B"/>
    <w:rsid w:val="00A03452"/>
    <w:rsid w:val="00A04DC4"/>
    <w:rsid w:val="00A04ED0"/>
    <w:rsid w:val="00A06811"/>
    <w:rsid w:val="00A07350"/>
    <w:rsid w:val="00A074C0"/>
    <w:rsid w:val="00A07CF5"/>
    <w:rsid w:val="00A11142"/>
    <w:rsid w:val="00A114AC"/>
    <w:rsid w:val="00A1288D"/>
    <w:rsid w:val="00A12892"/>
    <w:rsid w:val="00A12A8F"/>
    <w:rsid w:val="00A12BF7"/>
    <w:rsid w:val="00A13B07"/>
    <w:rsid w:val="00A14134"/>
    <w:rsid w:val="00A14C7F"/>
    <w:rsid w:val="00A15319"/>
    <w:rsid w:val="00A15FD6"/>
    <w:rsid w:val="00A17592"/>
    <w:rsid w:val="00A179C9"/>
    <w:rsid w:val="00A17D3D"/>
    <w:rsid w:val="00A2083E"/>
    <w:rsid w:val="00A2203D"/>
    <w:rsid w:val="00A22281"/>
    <w:rsid w:val="00A2285C"/>
    <w:rsid w:val="00A22AD0"/>
    <w:rsid w:val="00A23494"/>
    <w:rsid w:val="00A234EE"/>
    <w:rsid w:val="00A24C46"/>
    <w:rsid w:val="00A267C9"/>
    <w:rsid w:val="00A26EAD"/>
    <w:rsid w:val="00A26F2E"/>
    <w:rsid w:val="00A26F68"/>
    <w:rsid w:val="00A27C14"/>
    <w:rsid w:val="00A307A2"/>
    <w:rsid w:val="00A30A5A"/>
    <w:rsid w:val="00A310FE"/>
    <w:rsid w:val="00A31266"/>
    <w:rsid w:val="00A322B0"/>
    <w:rsid w:val="00A327A1"/>
    <w:rsid w:val="00A33677"/>
    <w:rsid w:val="00A33E4F"/>
    <w:rsid w:val="00A342A8"/>
    <w:rsid w:val="00A345C1"/>
    <w:rsid w:val="00A3472A"/>
    <w:rsid w:val="00A34738"/>
    <w:rsid w:val="00A353A2"/>
    <w:rsid w:val="00A35716"/>
    <w:rsid w:val="00A3580F"/>
    <w:rsid w:val="00A3596D"/>
    <w:rsid w:val="00A3644C"/>
    <w:rsid w:val="00A375D1"/>
    <w:rsid w:val="00A42254"/>
    <w:rsid w:val="00A42E27"/>
    <w:rsid w:val="00A43F4A"/>
    <w:rsid w:val="00A44CE3"/>
    <w:rsid w:val="00A44F62"/>
    <w:rsid w:val="00A450A8"/>
    <w:rsid w:val="00A453C3"/>
    <w:rsid w:val="00A45444"/>
    <w:rsid w:val="00A45BBE"/>
    <w:rsid w:val="00A45F29"/>
    <w:rsid w:val="00A46153"/>
    <w:rsid w:val="00A46338"/>
    <w:rsid w:val="00A465FD"/>
    <w:rsid w:val="00A46A8E"/>
    <w:rsid w:val="00A46B1F"/>
    <w:rsid w:val="00A46D13"/>
    <w:rsid w:val="00A46DC3"/>
    <w:rsid w:val="00A510EB"/>
    <w:rsid w:val="00A523A6"/>
    <w:rsid w:val="00A5242F"/>
    <w:rsid w:val="00A52520"/>
    <w:rsid w:val="00A526C4"/>
    <w:rsid w:val="00A526D9"/>
    <w:rsid w:val="00A52CA1"/>
    <w:rsid w:val="00A53E92"/>
    <w:rsid w:val="00A541D4"/>
    <w:rsid w:val="00A54292"/>
    <w:rsid w:val="00A54BA1"/>
    <w:rsid w:val="00A54D05"/>
    <w:rsid w:val="00A5557E"/>
    <w:rsid w:val="00A55B8D"/>
    <w:rsid w:val="00A560DF"/>
    <w:rsid w:val="00A561FF"/>
    <w:rsid w:val="00A56EBA"/>
    <w:rsid w:val="00A57067"/>
    <w:rsid w:val="00A5794E"/>
    <w:rsid w:val="00A57A17"/>
    <w:rsid w:val="00A57B2B"/>
    <w:rsid w:val="00A60D1B"/>
    <w:rsid w:val="00A61581"/>
    <w:rsid w:val="00A6199A"/>
    <w:rsid w:val="00A64381"/>
    <w:rsid w:val="00A646E1"/>
    <w:rsid w:val="00A64D0C"/>
    <w:rsid w:val="00A64EBD"/>
    <w:rsid w:val="00A65D58"/>
    <w:rsid w:val="00A67894"/>
    <w:rsid w:val="00A70597"/>
    <w:rsid w:val="00A7094C"/>
    <w:rsid w:val="00A716D1"/>
    <w:rsid w:val="00A7173D"/>
    <w:rsid w:val="00A71D7E"/>
    <w:rsid w:val="00A71ED3"/>
    <w:rsid w:val="00A72024"/>
    <w:rsid w:val="00A73975"/>
    <w:rsid w:val="00A74BCA"/>
    <w:rsid w:val="00A75E58"/>
    <w:rsid w:val="00A75F43"/>
    <w:rsid w:val="00A76010"/>
    <w:rsid w:val="00A76FDF"/>
    <w:rsid w:val="00A77872"/>
    <w:rsid w:val="00A778BB"/>
    <w:rsid w:val="00A8087D"/>
    <w:rsid w:val="00A82266"/>
    <w:rsid w:val="00A828D7"/>
    <w:rsid w:val="00A82B4F"/>
    <w:rsid w:val="00A82E78"/>
    <w:rsid w:val="00A8363E"/>
    <w:rsid w:val="00A85228"/>
    <w:rsid w:val="00A87D09"/>
    <w:rsid w:val="00A90499"/>
    <w:rsid w:val="00A90873"/>
    <w:rsid w:val="00A91799"/>
    <w:rsid w:val="00A921F9"/>
    <w:rsid w:val="00A940C8"/>
    <w:rsid w:val="00A9441F"/>
    <w:rsid w:val="00A954EB"/>
    <w:rsid w:val="00A95D88"/>
    <w:rsid w:val="00A968BF"/>
    <w:rsid w:val="00A9751F"/>
    <w:rsid w:val="00AA114B"/>
    <w:rsid w:val="00AA17FE"/>
    <w:rsid w:val="00AA210A"/>
    <w:rsid w:val="00AA2495"/>
    <w:rsid w:val="00AA2965"/>
    <w:rsid w:val="00AA3361"/>
    <w:rsid w:val="00AA39FA"/>
    <w:rsid w:val="00AA453A"/>
    <w:rsid w:val="00AA47CD"/>
    <w:rsid w:val="00AA5418"/>
    <w:rsid w:val="00AA5785"/>
    <w:rsid w:val="00AA5A17"/>
    <w:rsid w:val="00AA6DF4"/>
    <w:rsid w:val="00AA7A8B"/>
    <w:rsid w:val="00AB0A34"/>
    <w:rsid w:val="00AB0E53"/>
    <w:rsid w:val="00AB1D5C"/>
    <w:rsid w:val="00AB2058"/>
    <w:rsid w:val="00AB21A1"/>
    <w:rsid w:val="00AB21ED"/>
    <w:rsid w:val="00AB2456"/>
    <w:rsid w:val="00AB31DD"/>
    <w:rsid w:val="00AB36BF"/>
    <w:rsid w:val="00AB5AE8"/>
    <w:rsid w:val="00AB6383"/>
    <w:rsid w:val="00AB7C3A"/>
    <w:rsid w:val="00AC205D"/>
    <w:rsid w:val="00AC208D"/>
    <w:rsid w:val="00AC2235"/>
    <w:rsid w:val="00AC2D9C"/>
    <w:rsid w:val="00AC3CEC"/>
    <w:rsid w:val="00AC3DE8"/>
    <w:rsid w:val="00AC6269"/>
    <w:rsid w:val="00AC6AE2"/>
    <w:rsid w:val="00AC7DD5"/>
    <w:rsid w:val="00AC7ECB"/>
    <w:rsid w:val="00AC7FAB"/>
    <w:rsid w:val="00AD032E"/>
    <w:rsid w:val="00AD1230"/>
    <w:rsid w:val="00AD171B"/>
    <w:rsid w:val="00AD2575"/>
    <w:rsid w:val="00AD2B72"/>
    <w:rsid w:val="00AD3B38"/>
    <w:rsid w:val="00AD4DCC"/>
    <w:rsid w:val="00AD58CE"/>
    <w:rsid w:val="00AD5B6C"/>
    <w:rsid w:val="00AD5F7A"/>
    <w:rsid w:val="00AD644F"/>
    <w:rsid w:val="00AD6510"/>
    <w:rsid w:val="00AD6B4B"/>
    <w:rsid w:val="00AD7177"/>
    <w:rsid w:val="00AD7292"/>
    <w:rsid w:val="00AD7AED"/>
    <w:rsid w:val="00AE0330"/>
    <w:rsid w:val="00AE08A9"/>
    <w:rsid w:val="00AE08F6"/>
    <w:rsid w:val="00AE09BC"/>
    <w:rsid w:val="00AE1842"/>
    <w:rsid w:val="00AE1C95"/>
    <w:rsid w:val="00AE3336"/>
    <w:rsid w:val="00AE41B8"/>
    <w:rsid w:val="00AE5077"/>
    <w:rsid w:val="00AE51EB"/>
    <w:rsid w:val="00AE6022"/>
    <w:rsid w:val="00AE78C9"/>
    <w:rsid w:val="00AE7946"/>
    <w:rsid w:val="00AF00CB"/>
    <w:rsid w:val="00AF0968"/>
    <w:rsid w:val="00AF0CD0"/>
    <w:rsid w:val="00AF0EB0"/>
    <w:rsid w:val="00AF0ECA"/>
    <w:rsid w:val="00AF1477"/>
    <w:rsid w:val="00AF21A3"/>
    <w:rsid w:val="00AF264A"/>
    <w:rsid w:val="00AF28E4"/>
    <w:rsid w:val="00AF3227"/>
    <w:rsid w:val="00AF3235"/>
    <w:rsid w:val="00AF37A6"/>
    <w:rsid w:val="00AF3C81"/>
    <w:rsid w:val="00AF3EA1"/>
    <w:rsid w:val="00AF40D3"/>
    <w:rsid w:val="00AF4189"/>
    <w:rsid w:val="00AF45E8"/>
    <w:rsid w:val="00AF591A"/>
    <w:rsid w:val="00AF63C1"/>
    <w:rsid w:val="00AF6673"/>
    <w:rsid w:val="00AF672D"/>
    <w:rsid w:val="00AF6FD1"/>
    <w:rsid w:val="00AF7AFF"/>
    <w:rsid w:val="00B0036C"/>
    <w:rsid w:val="00B009D1"/>
    <w:rsid w:val="00B00A94"/>
    <w:rsid w:val="00B01E6A"/>
    <w:rsid w:val="00B02A29"/>
    <w:rsid w:val="00B02DD4"/>
    <w:rsid w:val="00B02E73"/>
    <w:rsid w:val="00B0394F"/>
    <w:rsid w:val="00B0446E"/>
    <w:rsid w:val="00B053CB"/>
    <w:rsid w:val="00B067E6"/>
    <w:rsid w:val="00B07EC3"/>
    <w:rsid w:val="00B11BD2"/>
    <w:rsid w:val="00B12052"/>
    <w:rsid w:val="00B12AFB"/>
    <w:rsid w:val="00B12B6D"/>
    <w:rsid w:val="00B1341B"/>
    <w:rsid w:val="00B137C0"/>
    <w:rsid w:val="00B1381E"/>
    <w:rsid w:val="00B13B38"/>
    <w:rsid w:val="00B13C22"/>
    <w:rsid w:val="00B14A5F"/>
    <w:rsid w:val="00B152CB"/>
    <w:rsid w:val="00B157C3"/>
    <w:rsid w:val="00B16ABC"/>
    <w:rsid w:val="00B20019"/>
    <w:rsid w:val="00B20610"/>
    <w:rsid w:val="00B21955"/>
    <w:rsid w:val="00B21CEC"/>
    <w:rsid w:val="00B2312C"/>
    <w:rsid w:val="00B23EEE"/>
    <w:rsid w:val="00B240EF"/>
    <w:rsid w:val="00B242C7"/>
    <w:rsid w:val="00B24543"/>
    <w:rsid w:val="00B26384"/>
    <w:rsid w:val="00B264E3"/>
    <w:rsid w:val="00B26F99"/>
    <w:rsid w:val="00B27916"/>
    <w:rsid w:val="00B31850"/>
    <w:rsid w:val="00B31A36"/>
    <w:rsid w:val="00B32071"/>
    <w:rsid w:val="00B331CD"/>
    <w:rsid w:val="00B33235"/>
    <w:rsid w:val="00B332AF"/>
    <w:rsid w:val="00B33426"/>
    <w:rsid w:val="00B335D2"/>
    <w:rsid w:val="00B33FA9"/>
    <w:rsid w:val="00B34B13"/>
    <w:rsid w:val="00B35722"/>
    <w:rsid w:val="00B35743"/>
    <w:rsid w:val="00B357CB"/>
    <w:rsid w:val="00B35FF5"/>
    <w:rsid w:val="00B36D68"/>
    <w:rsid w:val="00B4044B"/>
    <w:rsid w:val="00B41324"/>
    <w:rsid w:val="00B419FD"/>
    <w:rsid w:val="00B41D09"/>
    <w:rsid w:val="00B44249"/>
    <w:rsid w:val="00B4526C"/>
    <w:rsid w:val="00B45B12"/>
    <w:rsid w:val="00B461C6"/>
    <w:rsid w:val="00B46208"/>
    <w:rsid w:val="00B464FA"/>
    <w:rsid w:val="00B47A8A"/>
    <w:rsid w:val="00B47F47"/>
    <w:rsid w:val="00B502B0"/>
    <w:rsid w:val="00B5154A"/>
    <w:rsid w:val="00B51A66"/>
    <w:rsid w:val="00B51F76"/>
    <w:rsid w:val="00B53C15"/>
    <w:rsid w:val="00B53F36"/>
    <w:rsid w:val="00B54850"/>
    <w:rsid w:val="00B559CB"/>
    <w:rsid w:val="00B55EEC"/>
    <w:rsid w:val="00B5670A"/>
    <w:rsid w:val="00B56820"/>
    <w:rsid w:val="00B602F7"/>
    <w:rsid w:val="00B6082F"/>
    <w:rsid w:val="00B609B1"/>
    <w:rsid w:val="00B609ED"/>
    <w:rsid w:val="00B60E07"/>
    <w:rsid w:val="00B6208C"/>
    <w:rsid w:val="00B639EE"/>
    <w:rsid w:val="00B64138"/>
    <w:rsid w:val="00B6436E"/>
    <w:rsid w:val="00B645EA"/>
    <w:rsid w:val="00B64F53"/>
    <w:rsid w:val="00B6526E"/>
    <w:rsid w:val="00B67ACF"/>
    <w:rsid w:val="00B67B46"/>
    <w:rsid w:val="00B67D80"/>
    <w:rsid w:val="00B7025C"/>
    <w:rsid w:val="00B70AC8"/>
    <w:rsid w:val="00B718C1"/>
    <w:rsid w:val="00B71D27"/>
    <w:rsid w:val="00B72F5A"/>
    <w:rsid w:val="00B730A8"/>
    <w:rsid w:val="00B73333"/>
    <w:rsid w:val="00B73B0B"/>
    <w:rsid w:val="00B73D31"/>
    <w:rsid w:val="00B753DF"/>
    <w:rsid w:val="00B756DA"/>
    <w:rsid w:val="00B75ACD"/>
    <w:rsid w:val="00B76C17"/>
    <w:rsid w:val="00B76D68"/>
    <w:rsid w:val="00B77487"/>
    <w:rsid w:val="00B77995"/>
    <w:rsid w:val="00B804FF"/>
    <w:rsid w:val="00B8053A"/>
    <w:rsid w:val="00B80707"/>
    <w:rsid w:val="00B80A22"/>
    <w:rsid w:val="00B80C23"/>
    <w:rsid w:val="00B81069"/>
    <w:rsid w:val="00B81AC7"/>
    <w:rsid w:val="00B825C8"/>
    <w:rsid w:val="00B8268E"/>
    <w:rsid w:val="00B826BC"/>
    <w:rsid w:val="00B82C12"/>
    <w:rsid w:val="00B843C7"/>
    <w:rsid w:val="00B8447D"/>
    <w:rsid w:val="00B84596"/>
    <w:rsid w:val="00B847F4"/>
    <w:rsid w:val="00B8503A"/>
    <w:rsid w:val="00B853C4"/>
    <w:rsid w:val="00B85431"/>
    <w:rsid w:val="00B86B75"/>
    <w:rsid w:val="00B86F31"/>
    <w:rsid w:val="00B876DB"/>
    <w:rsid w:val="00B87B57"/>
    <w:rsid w:val="00B90487"/>
    <w:rsid w:val="00B91619"/>
    <w:rsid w:val="00B918A8"/>
    <w:rsid w:val="00B91EB3"/>
    <w:rsid w:val="00B9270C"/>
    <w:rsid w:val="00B92C82"/>
    <w:rsid w:val="00B930DF"/>
    <w:rsid w:val="00B9362B"/>
    <w:rsid w:val="00B94618"/>
    <w:rsid w:val="00B9531E"/>
    <w:rsid w:val="00B959A6"/>
    <w:rsid w:val="00B96198"/>
    <w:rsid w:val="00B96FA0"/>
    <w:rsid w:val="00B96FB8"/>
    <w:rsid w:val="00B9721C"/>
    <w:rsid w:val="00B97570"/>
    <w:rsid w:val="00BA0095"/>
    <w:rsid w:val="00BA0C44"/>
    <w:rsid w:val="00BA18A0"/>
    <w:rsid w:val="00BA1DE4"/>
    <w:rsid w:val="00BA2B8D"/>
    <w:rsid w:val="00BA3932"/>
    <w:rsid w:val="00BA47F0"/>
    <w:rsid w:val="00BA4AE5"/>
    <w:rsid w:val="00BA4AF3"/>
    <w:rsid w:val="00BA567B"/>
    <w:rsid w:val="00BA5D8B"/>
    <w:rsid w:val="00BA7A39"/>
    <w:rsid w:val="00BB096B"/>
    <w:rsid w:val="00BB0E66"/>
    <w:rsid w:val="00BB18A4"/>
    <w:rsid w:val="00BB1BCE"/>
    <w:rsid w:val="00BB1C13"/>
    <w:rsid w:val="00BB20AD"/>
    <w:rsid w:val="00BB2557"/>
    <w:rsid w:val="00BB2964"/>
    <w:rsid w:val="00BB2E13"/>
    <w:rsid w:val="00BB3048"/>
    <w:rsid w:val="00BB3071"/>
    <w:rsid w:val="00BB3353"/>
    <w:rsid w:val="00BB3791"/>
    <w:rsid w:val="00BB55C1"/>
    <w:rsid w:val="00BB5EDE"/>
    <w:rsid w:val="00BB638E"/>
    <w:rsid w:val="00BB6BE6"/>
    <w:rsid w:val="00BB73A1"/>
    <w:rsid w:val="00BB7BC5"/>
    <w:rsid w:val="00BC0FCF"/>
    <w:rsid w:val="00BC1B90"/>
    <w:rsid w:val="00BC24BC"/>
    <w:rsid w:val="00BC2908"/>
    <w:rsid w:val="00BC31F1"/>
    <w:rsid w:val="00BC333A"/>
    <w:rsid w:val="00BC3391"/>
    <w:rsid w:val="00BC3667"/>
    <w:rsid w:val="00BC37CB"/>
    <w:rsid w:val="00BC38A4"/>
    <w:rsid w:val="00BC4566"/>
    <w:rsid w:val="00BC456F"/>
    <w:rsid w:val="00BC48D5"/>
    <w:rsid w:val="00BC50FA"/>
    <w:rsid w:val="00BC5725"/>
    <w:rsid w:val="00BC5EDB"/>
    <w:rsid w:val="00BC6386"/>
    <w:rsid w:val="00BC6AE7"/>
    <w:rsid w:val="00BC6FA2"/>
    <w:rsid w:val="00BC744A"/>
    <w:rsid w:val="00BD21E7"/>
    <w:rsid w:val="00BD24C1"/>
    <w:rsid w:val="00BD4895"/>
    <w:rsid w:val="00BD4B4C"/>
    <w:rsid w:val="00BD5C4F"/>
    <w:rsid w:val="00BD5EE2"/>
    <w:rsid w:val="00BD6E12"/>
    <w:rsid w:val="00BD72CC"/>
    <w:rsid w:val="00BD7A0C"/>
    <w:rsid w:val="00BD7BCB"/>
    <w:rsid w:val="00BE042E"/>
    <w:rsid w:val="00BE0660"/>
    <w:rsid w:val="00BE18DF"/>
    <w:rsid w:val="00BE1C44"/>
    <w:rsid w:val="00BE2326"/>
    <w:rsid w:val="00BE374A"/>
    <w:rsid w:val="00BE3A41"/>
    <w:rsid w:val="00BE42FC"/>
    <w:rsid w:val="00BE5001"/>
    <w:rsid w:val="00BE7107"/>
    <w:rsid w:val="00BE72F2"/>
    <w:rsid w:val="00BE79AD"/>
    <w:rsid w:val="00BE7B31"/>
    <w:rsid w:val="00BE7B44"/>
    <w:rsid w:val="00BE7C13"/>
    <w:rsid w:val="00BE7DDB"/>
    <w:rsid w:val="00BF0B3F"/>
    <w:rsid w:val="00BF24E8"/>
    <w:rsid w:val="00BF297C"/>
    <w:rsid w:val="00BF37B7"/>
    <w:rsid w:val="00BF4E98"/>
    <w:rsid w:val="00BF546E"/>
    <w:rsid w:val="00BF54E8"/>
    <w:rsid w:val="00BF6C46"/>
    <w:rsid w:val="00BF7273"/>
    <w:rsid w:val="00BF7EB4"/>
    <w:rsid w:val="00C00919"/>
    <w:rsid w:val="00C0105A"/>
    <w:rsid w:val="00C01215"/>
    <w:rsid w:val="00C02BF1"/>
    <w:rsid w:val="00C036E3"/>
    <w:rsid w:val="00C03AFA"/>
    <w:rsid w:val="00C04244"/>
    <w:rsid w:val="00C04B22"/>
    <w:rsid w:val="00C04D03"/>
    <w:rsid w:val="00C064A9"/>
    <w:rsid w:val="00C06955"/>
    <w:rsid w:val="00C06E13"/>
    <w:rsid w:val="00C06F20"/>
    <w:rsid w:val="00C072BC"/>
    <w:rsid w:val="00C07B05"/>
    <w:rsid w:val="00C07FEA"/>
    <w:rsid w:val="00C109A3"/>
    <w:rsid w:val="00C10BD2"/>
    <w:rsid w:val="00C11451"/>
    <w:rsid w:val="00C116AB"/>
    <w:rsid w:val="00C11B97"/>
    <w:rsid w:val="00C1212C"/>
    <w:rsid w:val="00C12BA4"/>
    <w:rsid w:val="00C1416C"/>
    <w:rsid w:val="00C1730E"/>
    <w:rsid w:val="00C2037C"/>
    <w:rsid w:val="00C225E6"/>
    <w:rsid w:val="00C250BB"/>
    <w:rsid w:val="00C26903"/>
    <w:rsid w:val="00C2694A"/>
    <w:rsid w:val="00C2751C"/>
    <w:rsid w:val="00C27DBB"/>
    <w:rsid w:val="00C3047A"/>
    <w:rsid w:val="00C30EFE"/>
    <w:rsid w:val="00C31150"/>
    <w:rsid w:val="00C31973"/>
    <w:rsid w:val="00C32B1C"/>
    <w:rsid w:val="00C32B62"/>
    <w:rsid w:val="00C35419"/>
    <w:rsid w:val="00C360F0"/>
    <w:rsid w:val="00C36279"/>
    <w:rsid w:val="00C3715D"/>
    <w:rsid w:val="00C4040C"/>
    <w:rsid w:val="00C40608"/>
    <w:rsid w:val="00C408A8"/>
    <w:rsid w:val="00C415F8"/>
    <w:rsid w:val="00C41696"/>
    <w:rsid w:val="00C41A61"/>
    <w:rsid w:val="00C41DBA"/>
    <w:rsid w:val="00C4272D"/>
    <w:rsid w:val="00C42B96"/>
    <w:rsid w:val="00C4302C"/>
    <w:rsid w:val="00C43F93"/>
    <w:rsid w:val="00C44637"/>
    <w:rsid w:val="00C447BF"/>
    <w:rsid w:val="00C44DFF"/>
    <w:rsid w:val="00C45000"/>
    <w:rsid w:val="00C4535F"/>
    <w:rsid w:val="00C45889"/>
    <w:rsid w:val="00C47FAF"/>
    <w:rsid w:val="00C502FE"/>
    <w:rsid w:val="00C50CE8"/>
    <w:rsid w:val="00C512E9"/>
    <w:rsid w:val="00C5195B"/>
    <w:rsid w:val="00C51AA0"/>
    <w:rsid w:val="00C5204E"/>
    <w:rsid w:val="00C52934"/>
    <w:rsid w:val="00C52ADA"/>
    <w:rsid w:val="00C533EE"/>
    <w:rsid w:val="00C53D2C"/>
    <w:rsid w:val="00C5501E"/>
    <w:rsid w:val="00C55DCA"/>
    <w:rsid w:val="00C5660B"/>
    <w:rsid w:val="00C57A2E"/>
    <w:rsid w:val="00C57F5D"/>
    <w:rsid w:val="00C60C70"/>
    <w:rsid w:val="00C6184E"/>
    <w:rsid w:val="00C62519"/>
    <w:rsid w:val="00C6280B"/>
    <w:rsid w:val="00C630F3"/>
    <w:rsid w:val="00C63BD9"/>
    <w:rsid w:val="00C64450"/>
    <w:rsid w:val="00C64E7E"/>
    <w:rsid w:val="00C65593"/>
    <w:rsid w:val="00C67A1C"/>
    <w:rsid w:val="00C70A73"/>
    <w:rsid w:val="00C70AA9"/>
    <w:rsid w:val="00C7139F"/>
    <w:rsid w:val="00C7143F"/>
    <w:rsid w:val="00C71A0C"/>
    <w:rsid w:val="00C72741"/>
    <w:rsid w:val="00C72C4D"/>
    <w:rsid w:val="00C72E7A"/>
    <w:rsid w:val="00C72EE1"/>
    <w:rsid w:val="00C730EC"/>
    <w:rsid w:val="00C744F8"/>
    <w:rsid w:val="00C75415"/>
    <w:rsid w:val="00C75D02"/>
    <w:rsid w:val="00C76435"/>
    <w:rsid w:val="00C767AE"/>
    <w:rsid w:val="00C76FCB"/>
    <w:rsid w:val="00C77223"/>
    <w:rsid w:val="00C77445"/>
    <w:rsid w:val="00C77A61"/>
    <w:rsid w:val="00C80AE1"/>
    <w:rsid w:val="00C8158D"/>
    <w:rsid w:val="00C81CF0"/>
    <w:rsid w:val="00C82125"/>
    <w:rsid w:val="00C82EE4"/>
    <w:rsid w:val="00C82F98"/>
    <w:rsid w:val="00C83231"/>
    <w:rsid w:val="00C8341E"/>
    <w:rsid w:val="00C83A82"/>
    <w:rsid w:val="00C84650"/>
    <w:rsid w:val="00C85460"/>
    <w:rsid w:val="00C85C59"/>
    <w:rsid w:val="00C86D71"/>
    <w:rsid w:val="00C8707C"/>
    <w:rsid w:val="00C87747"/>
    <w:rsid w:val="00C877D5"/>
    <w:rsid w:val="00C9106C"/>
    <w:rsid w:val="00C91E1F"/>
    <w:rsid w:val="00C92104"/>
    <w:rsid w:val="00C935E4"/>
    <w:rsid w:val="00C93FEA"/>
    <w:rsid w:val="00C945C4"/>
    <w:rsid w:val="00C95B1E"/>
    <w:rsid w:val="00C964C6"/>
    <w:rsid w:val="00C96F57"/>
    <w:rsid w:val="00C971F1"/>
    <w:rsid w:val="00C97C12"/>
    <w:rsid w:val="00CA03AC"/>
    <w:rsid w:val="00CA0D48"/>
    <w:rsid w:val="00CA0ECD"/>
    <w:rsid w:val="00CA131C"/>
    <w:rsid w:val="00CA2A08"/>
    <w:rsid w:val="00CA3AC0"/>
    <w:rsid w:val="00CA485B"/>
    <w:rsid w:val="00CA4E84"/>
    <w:rsid w:val="00CA5BE6"/>
    <w:rsid w:val="00CA688A"/>
    <w:rsid w:val="00CA7709"/>
    <w:rsid w:val="00CB0067"/>
    <w:rsid w:val="00CB06B0"/>
    <w:rsid w:val="00CB28CA"/>
    <w:rsid w:val="00CB2EE3"/>
    <w:rsid w:val="00CB3833"/>
    <w:rsid w:val="00CB4374"/>
    <w:rsid w:val="00CB6BFA"/>
    <w:rsid w:val="00CB7719"/>
    <w:rsid w:val="00CC00F5"/>
    <w:rsid w:val="00CC0323"/>
    <w:rsid w:val="00CC0CD9"/>
    <w:rsid w:val="00CC1042"/>
    <w:rsid w:val="00CC1818"/>
    <w:rsid w:val="00CC1848"/>
    <w:rsid w:val="00CC1A42"/>
    <w:rsid w:val="00CC2706"/>
    <w:rsid w:val="00CC29C7"/>
    <w:rsid w:val="00CC2DB6"/>
    <w:rsid w:val="00CC3BF9"/>
    <w:rsid w:val="00CC4049"/>
    <w:rsid w:val="00CC43D5"/>
    <w:rsid w:val="00CC44C1"/>
    <w:rsid w:val="00CC4536"/>
    <w:rsid w:val="00CC531D"/>
    <w:rsid w:val="00CC5DCB"/>
    <w:rsid w:val="00CC6AA0"/>
    <w:rsid w:val="00CC6B4A"/>
    <w:rsid w:val="00CD04A6"/>
    <w:rsid w:val="00CD178E"/>
    <w:rsid w:val="00CD22B0"/>
    <w:rsid w:val="00CD262A"/>
    <w:rsid w:val="00CD3B73"/>
    <w:rsid w:val="00CD4818"/>
    <w:rsid w:val="00CD4D21"/>
    <w:rsid w:val="00CD50FE"/>
    <w:rsid w:val="00CD5330"/>
    <w:rsid w:val="00CD615B"/>
    <w:rsid w:val="00CD6D66"/>
    <w:rsid w:val="00CD7A9B"/>
    <w:rsid w:val="00CD7E3E"/>
    <w:rsid w:val="00CE0489"/>
    <w:rsid w:val="00CE0B41"/>
    <w:rsid w:val="00CE0E4F"/>
    <w:rsid w:val="00CE133D"/>
    <w:rsid w:val="00CE1746"/>
    <w:rsid w:val="00CE1A8E"/>
    <w:rsid w:val="00CE1B25"/>
    <w:rsid w:val="00CE206A"/>
    <w:rsid w:val="00CE21A6"/>
    <w:rsid w:val="00CE335D"/>
    <w:rsid w:val="00CE3842"/>
    <w:rsid w:val="00CE6847"/>
    <w:rsid w:val="00CE6B86"/>
    <w:rsid w:val="00CF00DE"/>
    <w:rsid w:val="00CF075F"/>
    <w:rsid w:val="00CF1356"/>
    <w:rsid w:val="00CF189F"/>
    <w:rsid w:val="00CF1908"/>
    <w:rsid w:val="00CF1A93"/>
    <w:rsid w:val="00CF20C9"/>
    <w:rsid w:val="00CF30BA"/>
    <w:rsid w:val="00CF397B"/>
    <w:rsid w:val="00CF3E76"/>
    <w:rsid w:val="00CF4218"/>
    <w:rsid w:val="00CF4E42"/>
    <w:rsid w:val="00CF50C3"/>
    <w:rsid w:val="00CF5615"/>
    <w:rsid w:val="00CF68A0"/>
    <w:rsid w:val="00CF6AF3"/>
    <w:rsid w:val="00CF6CA1"/>
    <w:rsid w:val="00D000A4"/>
    <w:rsid w:val="00D0020C"/>
    <w:rsid w:val="00D00BA8"/>
    <w:rsid w:val="00D01E0F"/>
    <w:rsid w:val="00D02C8F"/>
    <w:rsid w:val="00D031FB"/>
    <w:rsid w:val="00D03561"/>
    <w:rsid w:val="00D035E6"/>
    <w:rsid w:val="00D037B7"/>
    <w:rsid w:val="00D04776"/>
    <w:rsid w:val="00D05776"/>
    <w:rsid w:val="00D05C06"/>
    <w:rsid w:val="00D05FCB"/>
    <w:rsid w:val="00D063E4"/>
    <w:rsid w:val="00D06B5A"/>
    <w:rsid w:val="00D06BF4"/>
    <w:rsid w:val="00D06C06"/>
    <w:rsid w:val="00D0764A"/>
    <w:rsid w:val="00D10637"/>
    <w:rsid w:val="00D1137D"/>
    <w:rsid w:val="00D117B3"/>
    <w:rsid w:val="00D11ACC"/>
    <w:rsid w:val="00D12783"/>
    <w:rsid w:val="00D12C27"/>
    <w:rsid w:val="00D12E55"/>
    <w:rsid w:val="00D1322A"/>
    <w:rsid w:val="00D13862"/>
    <w:rsid w:val="00D13B49"/>
    <w:rsid w:val="00D13C71"/>
    <w:rsid w:val="00D14040"/>
    <w:rsid w:val="00D14828"/>
    <w:rsid w:val="00D1503D"/>
    <w:rsid w:val="00D15B52"/>
    <w:rsid w:val="00D15E8C"/>
    <w:rsid w:val="00D164D4"/>
    <w:rsid w:val="00D16AFF"/>
    <w:rsid w:val="00D16E1A"/>
    <w:rsid w:val="00D173C1"/>
    <w:rsid w:val="00D1761D"/>
    <w:rsid w:val="00D17FCB"/>
    <w:rsid w:val="00D2022F"/>
    <w:rsid w:val="00D216E9"/>
    <w:rsid w:val="00D2200B"/>
    <w:rsid w:val="00D22196"/>
    <w:rsid w:val="00D22285"/>
    <w:rsid w:val="00D22297"/>
    <w:rsid w:val="00D22535"/>
    <w:rsid w:val="00D23656"/>
    <w:rsid w:val="00D23BC6"/>
    <w:rsid w:val="00D2425F"/>
    <w:rsid w:val="00D24377"/>
    <w:rsid w:val="00D24BB3"/>
    <w:rsid w:val="00D26D35"/>
    <w:rsid w:val="00D2755D"/>
    <w:rsid w:val="00D279AB"/>
    <w:rsid w:val="00D27DCB"/>
    <w:rsid w:val="00D305E0"/>
    <w:rsid w:val="00D3162A"/>
    <w:rsid w:val="00D31E68"/>
    <w:rsid w:val="00D34024"/>
    <w:rsid w:val="00D345A9"/>
    <w:rsid w:val="00D34705"/>
    <w:rsid w:val="00D35C08"/>
    <w:rsid w:val="00D366C1"/>
    <w:rsid w:val="00D371B8"/>
    <w:rsid w:val="00D40106"/>
    <w:rsid w:val="00D40708"/>
    <w:rsid w:val="00D4084A"/>
    <w:rsid w:val="00D413B0"/>
    <w:rsid w:val="00D42AE5"/>
    <w:rsid w:val="00D42D7E"/>
    <w:rsid w:val="00D43E24"/>
    <w:rsid w:val="00D43F6A"/>
    <w:rsid w:val="00D44AB5"/>
    <w:rsid w:val="00D44B1E"/>
    <w:rsid w:val="00D44BB7"/>
    <w:rsid w:val="00D44C27"/>
    <w:rsid w:val="00D44DFC"/>
    <w:rsid w:val="00D45A25"/>
    <w:rsid w:val="00D46CCB"/>
    <w:rsid w:val="00D50517"/>
    <w:rsid w:val="00D51B17"/>
    <w:rsid w:val="00D51E2F"/>
    <w:rsid w:val="00D51F0E"/>
    <w:rsid w:val="00D51F88"/>
    <w:rsid w:val="00D52ADA"/>
    <w:rsid w:val="00D52E5F"/>
    <w:rsid w:val="00D52FCA"/>
    <w:rsid w:val="00D530A1"/>
    <w:rsid w:val="00D5350F"/>
    <w:rsid w:val="00D536CD"/>
    <w:rsid w:val="00D55EED"/>
    <w:rsid w:val="00D561C5"/>
    <w:rsid w:val="00D56403"/>
    <w:rsid w:val="00D566C2"/>
    <w:rsid w:val="00D6081B"/>
    <w:rsid w:val="00D609FB"/>
    <w:rsid w:val="00D6118F"/>
    <w:rsid w:val="00D61D4D"/>
    <w:rsid w:val="00D62239"/>
    <w:rsid w:val="00D637B0"/>
    <w:rsid w:val="00D639A3"/>
    <w:rsid w:val="00D6426B"/>
    <w:rsid w:val="00D65AB1"/>
    <w:rsid w:val="00D65C79"/>
    <w:rsid w:val="00D669E8"/>
    <w:rsid w:val="00D67CEB"/>
    <w:rsid w:val="00D70233"/>
    <w:rsid w:val="00D70A12"/>
    <w:rsid w:val="00D7233A"/>
    <w:rsid w:val="00D72F4D"/>
    <w:rsid w:val="00D72FFC"/>
    <w:rsid w:val="00D735C3"/>
    <w:rsid w:val="00D7395A"/>
    <w:rsid w:val="00D73C52"/>
    <w:rsid w:val="00D76A9A"/>
    <w:rsid w:val="00D77DB7"/>
    <w:rsid w:val="00D81A2B"/>
    <w:rsid w:val="00D828AF"/>
    <w:rsid w:val="00D839BD"/>
    <w:rsid w:val="00D84959"/>
    <w:rsid w:val="00D84A21"/>
    <w:rsid w:val="00D84CB6"/>
    <w:rsid w:val="00D8528A"/>
    <w:rsid w:val="00D85497"/>
    <w:rsid w:val="00D854A0"/>
    <w:rsid w:val="00D87329"/>
    <w:rsid w:val="00D874F0"/>
    <w:rsid w:val="00D87EED"/>
    <w:rsid w:val="00D90939"/>
    <w:rsid w:val="00D91165"/>
    <w:rsid w:val="00D9131F"/>
    <w:rsid w:val="00D91644"/>
    <w:rsid w:val="00D9172D"/>
    <w:rsid w:val="00D918C4"/>
    <w:rsid w:val="00D924AA"/>
    <w:rsid w:val="00D9295F"/>
    <w:rsid w:val="00D92D3C"/>
    <w:rsid w:val="00D946BB"/>
    <w:rsid w:val="00D96013"/>
    <w:rsid w:val="00D96D52"/>
    <w:rsid w:val="00D96E40"/>
    <w:rsid w:val="00D96E88"/>
    <w:rsid w:val="00DA0F54"/>
    <w:rsid w:val="00DA25A6"/>
    <w:rsid w:val="00DA4B03"/>
    <w:rsid w:val="00DA4CA8"/>
    <w:rsid w:val="00DA5533"/>
    <w:rsid w:val="00DA5915"/>
    <w:rsid w:val="00DA5F4B"/>
    <w:rsid w:val="00DA6161"/>
    <w:rsid w:val="00DA63E6"/>
    <w:rsid w:val="00DA6BAA"/>
    <w:rsid w:val="00DA6C74"/>
    <w:rsid w:val="00DA7104"/>
    <w:rsid w:val="00DA765C"/>
    <w:rsid w:val="00DA79C7"/>
    <w:rsid w:val="00DB163B"/>
    <w:rsid w:val="00DB192A"/>
    <w:rsid w:val="00DB23A2"/>
    <w:rsid w:val="00DB342B"/>
    <w:rsid w:val="00DB3FDF"/>
    <w:rsid w:val="00DB42AF"/>
    <w:rsid w:val="00DB4E25"/>
    <w:rsid w:val="00DB5CEC"/>
    <w:rsid w:val="00DB7E22"/>
    <w:rsid w:val="00DC051C"/>
    <w:rsid w:val="00DC05ED"/>
    <w:rsid w:val="00DC0A04"/>
    <w:rsid w:val="00DC0AFC"/>
    <w:rsid w:val="00DC1038"/>
    <w:rsid w:val="00DC17CC"/>
    <w:rsid w:val="00DC180F"/>
    <w:rsid w:val="00DC181B"/>
    <w:rsid w:val="00DC3399"/>
    <w:rsid w:val="00DC37FC"/>
    <w:rsid w:val="00DC385A"/>
    <w:rsid w:val="00DC49DA"/>
    <w:rsid w:val="00DC4B68"/>
    <w:rsid w:val="00DC51DE"/>
    <w:rsid w:val="00DC576F"/>
    <w:rsid w:val="00DC5DF8"/>
    <w:rsid w:val="00DC6978"/>
    <w:rsid w:val="00DC72A9"/>
    <w:rsid w:val="00DC7F3D"/>
    <w:rsid w:val="00DD0559"/>
    <w:rsid w:val="00DD0DE4"/>
    <w:rsid w:val="00DD12B0"/>
    <w:rsid w:val="00DD20EF"/>
    <w:rsid w:val="00DD2348"/>
    <w:rsid w:val="00DD3BC6"/>
    <w:rsid w:val="00DD3BEB"/>
    <w:rsid w:val="00DD467D"/>
    <w:rsid w:val="00DD4716"/>
    <w:rsid w:val="00DD50DA"/>
    <w:rsid w:val="00DD57EC"/>
    <w:rsid w:val="00DD5CB7"/>
    <w:rsid w:val="00DD6143"/>
    <w:rsid w:val="00DD62FC"/>
    <w:rsid w:val="00DD67B3"/>
    <w:rsid w:val="00DD6E28"/>
    <w:rsid w:val="00DD7030"/>
    <w:rsid w:val="00DD70C7"/>
    <w:rsid w:val="00DD7307"/>
    <w:rsid w:val="00DD7CD4"/>
    <w:rsid w:val="00DE02E0"/>
    <w:rsid w:val="00DE0957"/>
    <w:rsid w:val="00DE0FC4"/>
    <w:rsid w:val="00DE18FD"/>
    <w:rsid w:val="00DE1BF5"/>
    <w:rsid w:val="00DE2066"/>
    <w:rsid w:val="00DE2D6F"/>
    <w:rsid w:val="00DE3D40"/>
    <w:rsid w:val="00DE487A"/>
    <w:rsid w:val="00DE4AEB"/>
    <w:rsid w:val="00DE4BFD"/>
    <w:rsid w:val="00DE5F9A"/>
    <w:rsid w:val="00DE5FA7"/>
    <w:rsid w:val="00DE6697"/>
    <w:rsid w:val="00DE66AC"/>
    <w:rsid w:val="00DE68BB"/>
    <w:rsid w:val="00DE6B05"/>
    <w:rsid w:val="00DE7007"/>
    <w:rsid w:val="00DF01F6"/>
    <w:rsid w:val="00DF0226"/>
    <w:rsid w:val="00DF0EE1"/>
    <w:rsid w:val="00DF1E64"/>
    <w:rsid w:val="00DF1F56"/>
    <w:rsid w:val="00DF2439"/>
    <w:rsid w:val="00DF36D0"/>
    <w:rsid w:val="00DF3A9D"/>
    <w:rsid w:val="00DF3B47"/>
    <w:rsid w:val="00DF3C94"/>
    <w:rsid w:val="00DF4D79"/>
    <w:rsid w:val="00DF5A70"/>
    <w:rsid w:val="00DF6007"/>
    <w:rsid w:val="00DF742C"/>
    <w:rsid w:val="00DF7C36"/>
    <w:rsid w:val="00E000A8"/>
    <w:rsid w:val="00E00A67"/>
    <w:rsid w:val="00E0137F"/>
    <w:rsid w:val="00E013BB"/>
    <w:rsid w:val="00E0149B"/>
    <w:rsid w:val="00E0178F"/>
    <w:rsid w:val="00E01AE6"/>
    <w:rsid w:val="00E027D7"/>
    <w:rsid w:val="00E0320F"/>
    <w:rsid w:val="00E03AC8"/>
    <w:rsid w:val="00E04EBE"/>
    <w:rsid w:val="00E07C7E"/>
    <w:rsid w:val="00E07D97"/>
    <w:rsid w:val="00E07FF6"/>
    <w:rsid w:val="00E103F8"/>
    <w:rsid w:val="00E10680"/>
    <w:rsid w:val="00E10AA8"/>
    <w:rsid w:val="00E1186D"/>
    <w:rsid w:val="00E125D6"/>
    <w:rsid w:val="00E129BB"/>
    <w:rsid w:val="00E12A1A"/>
    <w:rsid w:val="00E1361B"/>
    <w:rsid w:val="00E13F42"/>
    <w:rsid w:val="00E14302"/>
    <w:rsid w:val="00E14B99"/>
    <w:rsid w:val="00E16405"/>
    <w:rsid w:val="00E170D5"/>
    <w:rsid w:val="00E17461"/>
    <w:rsid w:val="00E178D8"/>
    <w:rsid w:val="00E17D52"/>
    <w:rsid w:val="00E20A49"/>
    <w:rsid w:val="00E2127D"/>
    <w:rsid w:val="00E2160D"/>
    <w:rsid w:val="00E2196B"/>
    <w:rsid w:val="00E21AF4"/>
    <w:rsid w:val="00E22781"/>
    <w:rsid w:val="00E229B9"/>
    <w:rsid w:val="00E22B64"/>
    <w:rsid w:val="00E25251"/>
    <w:rsid w:val="00E268A5"/>
    <w:rsid w:val="00E26931"/>
    <w:rsid w:val="00E26DDB"/>
    <w:rsid w:val="00E303A4"/>
    <w:rsid w:val="00E30530"/>
    <w:rsid w:val="00E3070E"/>
    <w:rsid w:val="00E315A3"/>
    <w:rsid w:val="00E31D78"/>
    <w:rsid w:val="00E327A3"/>
    <w:rsid w:val="00E32EE7"/>
    <w:rsid w:val="00E34369"/>
    <w:rsid w:val="00E34B52"/>
    <w:rsid w:val="00E3522B"/>
    <w:rsid w:val="00E36422"/>
    <w:rsid w:val="00E3684D"/>
    <w:rsid w:val="00E37201"/>
    <w:rsid w:val="00E37A4F"/>
    <w:rsid w:val="00E40561"/>
    <w:rsid w:val="00E40A5A"/>
    <w:rsid w:val="00E41E17"/>
    <w:rsid w:val="00E41E45"/>
    <w:rsid w:val="00E423C5"/>
    <w:rsid w:val="00E42645"/>
    <w:rsid w:val="00E42B45"/>
    <w:rsid w:val="00E43CF5"/>
    <w:rsid w:val="00E44024"/>
    <w:rsid w:val="00E4420C"/>
    <w:rsid w:val="00E4510A"/>
    <w:rsid w:val="00E454E4"/>
    <w:rsid w:val="00E4577F"/>
    <w:rsid w:val="00E4661A"/>
    <w:rsid w:val="00E46771"/>
    <w:rsid w:val="00E469BA"/>
    <w:rsid w:val="00E46B3C"/>
    <w:rsid w:val="00E50D5D"/>
    <w:rsid w:val="00E510E6"/>
    <w:rsid w:val="00E51AA6"/>
    <w:rsid w:val="00E51DB7"/>
    <w:rsid w:val="00E5206D"/>
    <w:rsid w:val="00E525BC"/>
    <w:rsid w:val="00E528EA"/>
    <w:rsid w:val="00E52A66"/>
    <w:rsid w:val="00E52B27"/>
    <w:rsid w:val="00E545A9"/>
    <w:rsid w:val="00E54DEB"/>
    <w:rsid w:val="00E55419"/>
    <w:rsid w:val="00E55440"/>
    <w:rsid w:val="00E561E1"/>
    <w:rsid w:val="00E566FE"/>
    <w:rsid w:val="00E56794"/>
    <w:rsid w:val="00E570EB"/>
    <w:rsid w:val="00E57967"/>
    <w:rsid w:val="00E6005D"/>
    <w:rsid w:val="00E604FC"/>
    <w:rsid w:val="00E63877"/>
    <w:rsid w:val="00E63AAF"/>
    <w:rsid w:val="00E640C8"/>
    <w:rsid w:val="00E64B6B"/>
    <w:rsid w:val="00E650BB"/>
    <w:rsid w:val="00E664E2"/>
    <w:rsid w:val="00E66E0C"/>
    <w:rsid w:val="00E66E17"/>
    <w:rsid w:val="00E67167"/>
    <w:rsid w:val="00E67451"/>
    <w:rsid w:val="00E677A2"/>
    <w:rsid w:val="00E67A7C"/>
    <w:rsid w:val="00E7085B"/>
    <w:rsid w:val="00E71232"/>
    <w:rsid w:val="00E715C9"/>
    <w:rsid w:val="00E7325B"/>
    <w:rsid w:val="00E73589"/>
    <w:rsid w:val="00E73841"/>
    <w:rsid w:val="00E73884"/>
    <w:rsid w:val="00E7429C"/>
    <w:rsid w:val="00E74506"/>
    <w:rsid w:val="00E74E1C"/>
    <w:rsid w:val="00E751A7"/>
    <w:rsid w:val="00E75D74"/>
    <w:rsid w:val="00E77AA1"/>
    <w:rsid w:val="00E806A3"/>
    <w:rsid w:val="00E81245"/>
    <w:rsid w:val="00E81BC9"/>
    <w:rsid w:val="00E81D5D"/>
    <w:rsid w:val="00E823D6"/>
    <w:rsid w:val="00E82A9E"/>
    <w:rsid w:val="00E82F93"/>
    <w:rsid w:val="00E837D3"/>
    <w:rsid w:val="00E83B6C"/>
    <w:rsid w:val="00E83DF8"/>
    <w:rsid w:val="00E842A2"/>
    <w:rsid w:val="00E86968"/>
    <w:rsid w:val="00E8744B"/>
    <w:rsid w:val="00E87AB4"/>
    <w:rsid w:val="00E87C83"/>
    <w:rsid w:val="00E908E7"/>
    <w:rsid w:val="00E90FAD"/>
    <w:rsid w:val="00E91498"/>
    <w:rsid w:val="00E929F6"/>
    <w:rsid w:val="00E93541"/>
    <w:rsid w:val="00E93FB7"/>
    <w:rsid w:val="00E959AF"/>
    <w:rsid w:val="00E95E7D"/>
    <w:rsid w:val="00E96D62"/>
    <w:rsid w:val="00E97186"/>
    <w:rsid w:val="00E97920"/>
    <w:rsid w:val="00E97CBA"/>
    <w:rsid w:val="00EA1251"/>
    <w:rsid w:val="00EA15AD"/>
    <w:rsid w:val="00EA17AA"/>
    <w:rsid w:val="00EA214A"/>
    <w:rsid w:val="00EA268B"/>
    <w:rsid w:val="00EA2DCC"/>
    <w:rsid w:val="00EA4453"/>
    <w:rsid w:val="00EA475C"/>
    <w:rsid w:val="00EA50C0"/>
    <w:rsid w:val="00EA53AC"/>
    <w:rsid w:val="00EA590C"/>
    <w:rsid w:val="00EA59B7"/>
    <w:rsid w:val="00EA69C8"/>
    <w:rsid w:val="00EA7B54"/>
    <w:rsid w:val="00EB053B"/>
    <w:rsid w:val="00EB0AC0"/>
    <w:rsid w:val="00EB0CE5"/>
    <w:rsid w:val="00EB1A1E"/>
    <w:rsid w:val="00EB1E78"/>
    <w:rsid w:val="00EB21F0"/>
    <w:rsid w:val="00EB2901"/>
    <w:rsid w:val="00EB2BE1"/>
    <w:rsid w:val="00EB34AB"/>
    <w:rsid w:val="00EB3F26"/>
    <w:rsid w:val="00EB4C5B"/>
    <w:rsid w:val="00EB4EA5"/>
    <w:rsid w:val="00EB52C0"/>
    <w:rsid w:val="00EB7331"/>
    <w:rsid w:val="00EB755A"/>
    <w:rsid w:val="00EC0576"/>
    <w:rsid w:val="00EC1A8F"/>
    <w:rsid w:val="00EC29F2"/>
    <w:rsid w:val="00EC2AB9"/>
    <w:rsid w:val="00EC2B93"/>
    <w:rsid w:val="00EC2EF3"/>
    <w:rsid w:val="00EC3B98"/>
    <w:rsid w:val="00EC3BCE"/>
    <w:rsid w:val="00EC400E"/>
    <w:rsid w:val="00EC4132"/>
    <w:rsid w:val="00EC4268"/>
    <w:rsid w:val="00EC5262"/>
    <w:rsid w:val="00EC572B"/>
    <w:rsid w:val="00EC5B19"/>
    <w:rsid w:val="00EC77A9"/>
    <w:rsid w:val="00ED0427"/>
    <w:rsid w:val="00ED24C6"/>
    <w:rsid w:val="00ED3257"/>
    <w:rsid w:val="00ED379F"/>
    <w:rsid w:val="00ED4D30"/>
    <w:rsid w:val="00ED655C"/>
    <w:rsid w:val="00ED672F"/>
    <w:rsid w:val="00ED6805"/>
    <w:rsid w:val="00ED7F50"/>
    <w:rsid w:val="00EE05AD"/>
    <w:rsid w:val="00EE0D7A"/>
    <w:rsid w:val="00EE1196"/>
    <w:rsid w:val="00EE125C"/>
    <w:rsid w:val="00EE18BF"/>
    <w:rsid w:val="00EE1A7E"/>
    <w:rsid w:val="00EE2E2F"/>
    <w:rsid w:val="00EE33AA"/>
    <w:rsid w:val="00EE37AF"/>
    <w:rsid w:val="00EE4268"/>
    <w:rsid w:val="00EE45CF"/>
    <w:rsid w:val="00EE4DE7"/>
    <w:rsid w:val="00EE62EB"/>
    <w:rsid w:val="00EE7838"/>
    <w:rsid w:val="00EE7F70"/>
    <w:rsid w:val="00EF067C"/>
    <w:rsid w:val="00EF0EC1"/>
    <w:rsid w:val="00EF14C9"/>
    <w:rsid w:val="00EF18FE"/>
    <w:rsid w:val="00EF33BB"/>
    <w:rsid w:val="00EF3B9C"/>
    <w:rsid w:val="00EF4036"/>
    <w:rsid w:val="00EF41C1"/>
    <w:rsid w:val="00EF443E"/>
    <w:rsid w:val="00EF4918"/>
    <w:rsid w:val="00EF53EC"/>
    <w:rsid w:val="00EF640B"/>
    <w:rsid w:val="00EF6737"/>
    <w:rsid w:val="00EF6C4B"/>
    <w:rsid w:val="00F0101F"/>
    <w:rsid w:val="00F0138B"/>
    <w:rsid w:val="00F0148A"/>
    <w:rsid w:val="00F01ADD"/>
    <w:rsid w:val="00F0240E"/>
    <w:rsid w:val="00F0279E"/>
    <w:rsid w:val="00F03634"/>
    <w:rsid w:val="00F0372B"/>
    <w:rsid w:val="00F03FC3"/>
    <w:rsid w:val="00F04C64"/>
    <w:rsid w:val="00F04CFE"/>
    <w:rsid w:val="00F055C7"/>
    <w:rsid w:val="00F057A2"/>
    <w:rsid w:val="00F06213"/>
    <w:rsid w:val="00F0667D"/>
    <w:rsid w:val="00F06726"/>
    <w:rsid w:val="00F067B5"/>
    <w:rsid w:val="00F06A8D"/>
    <w:rsid w:val="00F06E93"/>
    <w:rsid w:val="00F07BEC"/>
    <w:rsid w:val="00F10AF1"/>
    <w:rsid w:val="00F11B78"/>
    <w:rsid w:val="00F1205D"/>
    <w:rsid w:val="00F12350"/>
    <w:rsid w:val="00F12728"/>
    <w:rsid w:val="00F13219"/>
    <w:rsid w:val="00F1488F"/>
    <w:rsid w:val="00F14EA3"/>
    <w:rsid w:val="00F159C2"/>
    <w:rsid w:val="00F16319"/>
    <w:rsid w:val="00F1656B"/>
    <w:rsid w:val="00F16FBC"/>
    <w:rsid w:val="00F177A5"/>
    <w:rsid w:val="00F1788A"/>
    <w:rsid w:val="00F17DEF"/>
    <w:rsid w:val="00F20055"/>
    <w:rsid w:val="00F20395"/>
    <w:rsid w:val="00F203C8"/>
    <w:rsid w:val="00F20A95"/>
    <w:rsid w:val="00F216EA"/>
    <w:rsid w:val="00F22BD5"/>
    <w:rsid w:val="00F23253"/>
    <w:rsid w:val="00F23C2C"/>
    <w:rsid w:val="00F23EA1"/>
    <w:rsid w:val="00F24158"/>
    <w:rsid w:val="00F2441A"/>
    <w:rsid w:val="00F24CDB"/>
    <w:rsid w:val="00F26338"/>
    <w:rsid w:val="00F26EFD"/>
    <w:rsid w:val="00F27281"/>
    <w:rsid w:val="00F275CA"/>
    <w:rsid w:val="00F301F0"/>
    <w:rsid w:val="00F31256"/>
    <w:rsid w:val="00F312CC"/>
    <w:rsid w:val="00F31699"/>
    <w:rsid w:val="00F31AF3"/>
    <w:rsid w:val="00F3256A"/>
    <w:rsid w:val="00F32D40"/>
    <w:rsid w:val="00F330A8"/>
    <w:rsid w:val="00F33CEC"/>
    <w:rsid w:val="00F34083"/>
    <w:rsid w:val="00F34371"/>
    <w:rsid w:val="00F3440B"/>
    <w:rsid w:val="00F34781"/>
    <w:rsid w:val="00F351D8"/>
    <w:rsid w:val="00F358D2"/>
    <w:rsid w:val="00F35C29"/>
    <w:rsid w:val="00F3637F"/>
    <w:rsid w:val="00F37596"/>
    <w:rsid w:val="00F40DC3"/>
    <w:rsid w:val="00F42EEB"/>
    <w:rsid w:val="00F44B54"/>
    <w:rsid w:val="00F45440"/>
    <w:rsid w:val="00F4584C"/>
    <w:rsid w:val="00F46202"/>
    <w:rsid w:val="00F4622D"/>
    <w:rsid w:val="00F475A1"/>
    <w:rsid w:val="00F47774"/>
    <w:rsid w:val="00F478C4"/>
    <w:rsid w:val="00F47E8C"/>
    <w:rsid w:val="00F512F3"/>
    <w:rsid w:val="00F51D98"/>
    <w:rsid w:val="00F5280A"/>
    <w:rsid w:val="00F52CF2"/>
    <w:rsid w:val="00F52E25"/>
    <w:rsid w:val="00F53C09"/>
    <w:rsid w:val="00F53D6B"/>
    <w:rsid w:val="00F53DA1"/>
    <w:rsid w:val="00F5404A"/>
    <w:rsid w:val="00F5444D"/>
    <w:rsid w:val="00F544FD"/>
    <w:rsid w:val="00F554DF"/>
    <w:rsid w:val="00F55EB3"/>
    <w:rsid w:val="00F576EE"/>
    <w:rsid w:val="00F57D4A"/>
    <w:rsid w:val="00F57DF5"/>
    <w:rsid w:val="00F600D2"/>
    <w:rsid w:val="00F60455"/>
    <w:rsid w:val="00F6046E"/>
    <w:rsid w:val="00F60F72"/>
    <w:rsid w:val="00F614B4"/>
    <w:rsid w:val="00F615E7"/>
    <w:rsid w:val="00F61C02"/>
    <w:rsid w:val="00F625C0"/>
    <w:rsid w:val="00F628F1"/>
    <w:rsid w:val="00F62C1A"/>
    <w:rsid w:val="00F646A9"/>
    <w:rsid w:val="00F65234"/>
    <w:rsid w:val="00F66C2F"/>
    <w:rsid w:val="00F66EDE"/>
    <w:rsid w:val="00F67297"/>
    <w:rsid w:val="00F672F7"/>
    <w:rsid w:val="00F674A6"/>
    <w:rsid w:val="00F703AD"/>
    <w:rsid w:val="00F70B73"/>
    <w:rsid w:val="00F70EA3"/>
    <w:rsid w:val="00F71AA1"/>
    <w:rsid w:val="00F7254D"/>
    <w:rsid w:val="00F72828"/>
    <w:rsid w:val="00F72B17"/>
    <w:rsid w:val="00F73120"/>
    <w:rsid w:val="00F73528"/>
    <w:rsid w:val="00F73BC7"/>
    <w:rsid w:val="00F74F8A"/>
    <w:rsid w:val="00F75284"/>
    <w:rsid w:val="00F76134"/>
    <w:rsid w:val="00F762CC"/>
    <w:rsid w:val="00F76581"/>
    <w:rsid w:val="00F76AE8"/>
    <w:rsid w:val="00F77185"/>
    <w:rsid w:val="00F7740A"/>
    <w:rsid w:val="00F77943"/>
    <w:rsid w:val="00F80567"/>
    <w:rsid w:val="00F80A42"/>
    <w:rsid w:val="00F80AE8"/>
    <w:rsid w:val="00F816D3"/>
    <w:rsid w:val="00F81A7C"/>
    <w:rsid w:val="00F81E82"/>
    <w:rsid w:val="00F83A4F"/>
    <w:rsid w:val="00F8403E"/>
    <w:rsid w:val="00F84C1A"/>
    <w:rsid w:val="00F85498"/>
    <w:rsid w:val="00F858E0"/>
    <w:rsid w:val="00F8593E"/>
    <w:rsid w:val="00F85B67"/>
    <w:rsid w:val="00F8740B"/>
    <w:rsid w:val="00F9010D"/>
    <w:rsid w:val="00F92E75"/>
    <w:rsid w:val="00F93BC4"/>
    <w:rsid w:val="00F94881"/>
    <w:rsid w:val="00F9526F"/>
    <w:rsid w:val="00F9631E"/>
    <w:rsid w:val="00FA00D1"/>
    <w:rsid w:val="00FA10B3"/>
    <w:rsid w:val="00FA12E2"/>
    <w:rsid w:val="00FA1EF4"/>
    <w:rsid w:val="00FA3C08"/>
    <w:rsid w:val="00FA3D03"/>
    <w:rsid w:val="00FA4610"/>
    <w:rsid w:val="00FA58C5"/>
    <w:rsid w:val="00FA5DB3"/>
    <w:rsid w:val="00FA6C69"/>
    <w:rsid w:val="00FA6E2B"/>
    <w:rsid w:val="00FA753D"/>
    <w:rsid w:val="00FA7716"/>
    <w:rsid w:val="00FA78DF"/>
    <w:rsid w:val="00FB108C"/>
    <w:rsid w:val="00FB16E1"/>
    <w:rsid w:val="00FB1888"/>
    <w:rsid w:val="00FB1930"/>
    <w:rsid w:val="00FB2344"/>
    <w:rsid w:val="00FB2CE3"/>
    <w:rsid w:val="00FB449F"/>
    <w:rsid w:val="00FB4658"/>
    <w:rsid w:val="00FB4A38"/>
    <w:rsid w:val="00FB508F"/>
    <w:rsid w:val="00FB5212"/>
    <w:rsid w:val="00FB5E8F"/>
    <w:rsid w:val="00FB6377"/>
    <w:rsid w:val="00FB66AE"/>
    <w:rsid w:val="00FB7B57"/>
    <w:rsid w:val="00FC0F13"/>
    <w:rsid w:val="00FC0F34"/>
    <w:rsid w:val="00FC18FE"/>
    <w:rsid w:val="00FC1C62"/>
    <w:rsid w:val="00FC222C"/>
    <w:rsid w:val="00FC2429"/>
    <w:rsid w:val="00FC259F"/>
    <w:rsid w:val="00FC2A30"/>
    <w:rsid w:val="00FC3AFE"/>
    <w:rsid w:val="00FC46A2"/>
    <w:rsid w:val="00FC4F1F"/>
    <w:rsid w:val="00FC548E"/>
    <w:rsid w:val="00FC55F5"/>
    <w:rsid w:val="00FC5D3A"/>
    <w:rsid w:val="00FC5FCB"/>
    <w:rsid w:val="00FC6036"/>
    <w:rsid w:val="00FC6DF6"/>
    <w:rsid w:val="00FC7DE5"/>
    <w:rsid w:val="00FD032B"/>
    <w:rsid w:val="00FD1780"/>
    <w:rsid w:val="00FD18C0"/>
    <w:rsid w:val="00FD1C6D"/>
    <w:rsid w:val="00FD2D4B"/>
    <w:rsid w:val="00FD350F"/>
    <w:rsid w:val="00FD38DE"/>
    <w:rsid w:val="00FD3C3A"/>
    <w:rsid w:val="00FD3F06"/>
    <w:rsid w:val="00FD4131"/>
    <w:rsid w:val="00FD46A4"/>
    <w:rsid w:val="00FD46B0"/>
    <w:rsid w:val="00FD5A93"/>
    <w:rsid w:val="00FD5A99"/>
    <w:rsid w:val="00FD5C0B"/>
    <w:rsid w:val="00FD603C"/>
    <w:rsid w:val="00FD6269"/>
    <w:rsid w:val="00FD66B9"/>
    <w:rsid w:val="00FD6E90"/>
    <w:rsid w:val="00FD6F90"/>
    <w:rsid w:val="00FD7934"/>
    <w:rsid w:val="00FE0731"/>
    <w:rsid w:val="00FE217D"/>
    <w:rsid w:val="00FE2F3D"/>
    <w:rsid w:val="00FE3E67"/>
    <w:rsid w:val="00FE40B3"/>
    <w:rsid w:val="00FE4160"/>
    <w:rsid w:val="00FE4E23"/>
    <w:rsid w:val="00FE5B7A"/>
    <w:rsid w:val="00FE5D62"/>
    <w:rsid w:val="00FE61A5"/>
    <w:rsid w:val="00FE6503"/>
    <w:rsid w:val="00FE6DE3"/>
    <w:rsid w:val="00FE713B"/>
    <w:rsid w:val="00FE718A"/>
    <w:rsid w:val="00FF088B"/>
    <w:rsid w:val="00FF0F3A"/>
    <w:rsid w:val="00FF2D9A"/>
    <w:rsid w:val="00FF3CE7"/>
    <w:rsid w:val="00FF4785"/>
    <w:rsid w:val="00FF5125"/>
    <w:rsid w:val="00FF52A5"/>
    <w:rsid w:val="00FF6DA3"/>
    <w:rsid w:val="00FF6EDB"/>
    <w:rsid w:val="00FF729E"/>
    <w:rsid w:val="00FF78F9"/>
    <w:rsid w:val="00FF7E6D"/>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9227F0"/>
  <w15:docId w15:val="{DD57A6D0-8D5D-4B09-A732-E6898FD54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333C9"/>
    <w:rPr>
      <w:rFonts w:ascii="Times New Roman"/>
    </w:rPr>
  </w:style>
  <w:style w:type="paragraph" w:styleId="Heading1">
    <w:name w:val="heading 1"/>
    <w:basedOn w:val="Normal"/>
    <w:next w:val="BodyText"/>
    <w:uiPriority w:val="9"/>
    <w:qFormat/>
    <w:rsid w:val="00110450"/>
    <w:pPr>
      <w:keepNext/>
      <w:keepLines/>
      <w:spacing w:before="480" w:after="0" w:line="360" w:lineRule="auto"/>
      <w:outlineLvl w:val="0"/>
    </w:pPr>
    <w:rPr>
      <w:rFonts w:asciiTheme="majorBidi" w:eastAsiaTheme="majorEastAsia" w:hAnsiTheme="majorBidi" w:cstheme="majorBidi"/>
      <w:b/>
      <w:bCs/>
      <w:color w:val="000000" w:themeColor="text1"/>
      <w:sz w:val="32"/>
      <w:szCs w:val="32"/>
    </w:rPr>
  </w:style>
  <w:style w:type="paragraph" w:styleId="Heading2">
    <w:name w:val="heading 2"/>
    <w:basedOn w:val="Normal"/>
    <w:next w:val="BodyText"/>
    <w:uiPriority w:val="9"/>
    <w:unhideWhenUsed/>
    <w:qFormat/>
    <w:rsid w:val="008A1903"/>
    <w:pPr>
      <w:keepNext/>
      <w:keepLines/>
      <w:spacing w:before="200" w:after="0" w:line="360" w:lineRule="auto"/>
      <w:outlineLvl w:val="1"/>
    </w:pPr>
    <w:rPr>
      <w:rFonts w:asciiTheme="majorBidi" w:eastAsiaTheme="majorEastAsia" w:hAnsiTheme="majorBidi" w:cstheme="majorBidi"/>
      <w:b/>
      <w:bCs/>
      <w:color w:val="000000" w:themeColor="text1"/>
      <w:sz w:val="28"/>
      <w:szCs w:val="32"/>
    </w:rPr>
  </w:style>
  <w:style w:type="paragraph" w:styleId="Heading3">
    <w:name w:val="heading 3"/>
    <w:basedOn w:val="Normal"/>
    <w:next w:val="BodyText"/>
    <w:uiPriority w:val="9"/>
    <w:unhideWhenUsed/>
    <w:qFormat/>
    <w:rsid w:val="008A1903"/>
    <w:pPr>
      <w:keepNext/>
      <w:keepLines/>
      <w:spacing w:before="200" w:after="0" w:line="360" w:lineRule="auto"/>
      <w:outlineLvl w:val="2"/>
    </w:pPr>
    <w:rPr>
      <w:rFonts w:asciiTheme="majorBidi" w:eastAsiaTheme="majorEastAsia" w:hAnsiTheme="majorBidi" w:cstheme="majorBidi"/>
      <w:b/>
      <w:bCs/>
      <w:color w:val="000000" w:themeColor="text1"/>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F60AF"/>
    <w:pPr>
      <w:spacing w:before="180" w:after="180"/>
    </w:pPr>
    <w:rPr>
      <w:rFonts w:asciiTheme="majorBidi" w:hAnsiTheme="majorBidi"/>
    </w:rPr>
  </w:style>
  <w:style w:type="paragraph" w:customStyle="1" w:styleId="FirstParagraph">
    <w:name w:val="First Paragraph"/>
    <w:basedOn w:val="BodyText"/>
    <w:next w:val="BodyText"/>
    <w:qFormat/>
    <w:rsid w:val="00110450"/>
  </w:style>
  <w:style w:type="paragraph" w:customStyle="1" w:styleId="Compact">
    <w:name w:val="Compact"/>
    <w:basedOn w:val="BodyText"/>
    <w:qFormat/>
    <w:rsid w:val="00E01613"/>
    <w:pPr>
      <w:spacing w:before="36" w:after="36"/>
    </w:pPr>
  </w:style>
  <w:style w:type="paragraph" w:styleId="Title">
    <w:name w:val="Title"/>
    <w:basedOn w:val="Normal"/>
    <w:next w:val="BodyText"/>
    <w:qFormat/>
    <w:rsid w:val="00110450"/>
    <w:pPr>
      <w:keepNext/>
      <w:keepLines/>
      <w:spacing w:before="480" w:after="240" w:line="360" w:lineRule="auto"/>
    </w:pPr>
    <w:rPr>
      <w:rFonts w:asciiTheme="majorBidi" w:eastAsiaTheme="majorEastAsia" w:hAnsiTheme="majorBidi" w:cstheme="majorBidi"/>
      <w:b/>
      <w:bCs/>
      <w:color w:val="000000" w:themeColor="text1"/>
      <w:sz w:val="36"/>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110450"/>
    <w:pPr>
      <w:keepNext/>
      <w:keepLines/>
      <w:spacing w:line="360" w:lineRule="auto"/>
    </w:pPr>
    <w:rPr>
      <w:rFonts w:ascii="Times New Roman" w:hAnsi="Times New Roman"/>
    </w:rPr>
  </w:style>
  <w:style w:type="paragraph" w:styleId="Date">
    <w:name w:val="Date"/>
    <w:next w:val="BodyText"/>
    <w:qFormat/>
    <w:rsid w:val="00110450"/>
    <w:pPr>
      <w:keepNext/>
      <w:keepLines/>
      <w:spacing w:line="360" w:lineRule="auto"/>
    </w:pPr>
    <w:rPr>
      <w:rFonts w:asciiTheme="majorBidi" w:hAnsiTheme="majorBidi"/>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110450"/>
    <w:pPr>
      <w:spacing w:line="360" w:lineRule="auto"/>
    </w:pPr>
    <w:rPr>
      <w:rFonts w:asciiTheme="majorBidi" w:hAnsiTheme="majorBidi"/>
    </w:r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E01613"/>
    <w:pPr>
      <w:keepNext/>
      <w:spacing w:line="360" w:lineRule="auto"/>
    </w:pPr>
    <w:rPr>
      <w:rFonts w:asciiTheme="majorBidi" w:hAnsiTheme="majorBidi"/>
      <w:i w:val="0"/>
    </w:rPr>
  </w:style>
  <w:style w:type="paragraph" w:customStyle="1" w:styleId="ImageCaption">
    <w:name w:val="Image Caption"/>
    <w:basedOn w:val="Caption"/>
    <w:rsid w:val="00110450"/>
    <w:pPr>
      <w:spacing w:line="360" w:lineRule="auto"/>
    </w:pPr>
    <w:rPr>
      <w:rFonts w:asciiTheme="majorBidi" w:hAnsiTheme="majorBidi"/>
      <w:i w:val="0"/>
    </w:rPr>
  </w:style>
  <w:style w:type="paragraph" w:customStyle="1" w:styleId="Figure">
    <w:name w:val="Figure"/>
    <w:basedOn w:val="Normal"/>
  </w:style>
  <w:style w:type="paragraph" w:customStyle="1" w:styleId="CaptionedFigure">
    <w:name w:val="Captioned Figure"/>
    <w:basedOn w:val="Figure"/>
    <w:rsid w:val="00110450"/>
    <w:pPr>
      <w:keepNext/>
      <w:spacing w:line="360" w:lineRule="auto"/>
    </w:pPr>
    <w:rPr>
      <w:rFonts w:asciiTheme="majorBidi" w:hAnsiTheme="majorBidi"/>
    </w:r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387049"/>
    <w:pPr>
      <w:spacing w:after="0"/>
    </w:pPr>
    <w:rPr>
      <w:rFonts w:hAnsi="Times New Roman" w:cs="Times New Roman"/>
      <w:sz w:val="18"/>
      <w:szCs w:val="18"/>
    </w:rPr>
  </w:style>
  <w:style w:type="character" w:customStyle="1" w:styleId="BalloonTextChar">
    <w:name w:val="Balloon Text Char"/>
    <w:basedOn w:val="DefaultParagraphFont"/>
    <w:link w:val="BalloonText"/>
    <w:semiHidden/>
    <w:rsid w:val="00387049"/>
    <w:rPr>
      <w:rFonts w:ascii="Times New Roman" w:hAnsi="Times New Roman" w:cs="Times New Roman"/>
      <w:sz w:val="18"/>
      <w:szCs w:val="18"/>
    </w:rPr>
  </w:style>
  <w:style w:type="character" w:styleId="FollowedHyperlink">
    <w:name w:val="FollowedHyperlink"/>
    <w:basedOn w:val="DefaultParagraphFont"/>
    <w:semiHidden/>
    <w:unhideWhenUsed/>
    <w:rsid w:val="001A017C"/>
    <w:rPr>
      <w:color w:val="800080" w:themeColor="followedHyperlink"/>
      <w:u w:val="single"/>
    </w:rPr>
  </w:style>
  <w:style w:type="character" w:customStyle="1" w:styleId="BodyTextChar">
    <w:name w:val="Body Text Char"/>
    <w:basedOn w:val="DefaultParagraphFont"/>
    <w:link w:val="BodyText"/>
    <w:rsid w:val="005F60AF"/>
    <w:rPr>
      <w:rFonts w:asciiTheme="majorBidi" w:hAnsiTheme="majorBidi"/>
    </w:rPr>
  </w:style>
  <w:style w:type="character" w:styleId="LineNumber">
    <w:name w:val="line number"/>
    <w:basedOn w:val="DefaultParagraphFont"/>
    <w:semiHidden/>
    <w:unhideWhenUsed/>
    <w:rsid w:val="000265CD"/>
  </w:style>
  <w:style w:type="character" w:styleId="CommentReference">
    <w:name w:val="annotation reference"/>
    <w:basedOn w:val="DefaultParagraphFont"/>
    <w:semiHidden/>
    <w:unhideWhenUsed/>
    <w:rsid w:val="00DE0FC4"/>
    <w:rPr>
      <w:sz w:val="16"/>
      <w:szCs w:val="16"/>
    </w:rPr>
  </w:style>
  <w:style w:type="paragraph" w:styleId="CommentText">
    <w:name w:val="annotation text"/>
    <w:basedOn w:val="Normal"/>
    <w:link w:val="CommentTextChar"/>
    <w:unhideWhenUsed/>
    <w:rsid w:val="00DE0FC4"/>
    <w:rPr>
      <w:sz w:val="20"/>
      <w:szCs w:val="20"/>
    </w:rPr>
  </w:style>
  <w:style w:type="character" w:customStyle="1" w:styleId="CommentTextChar">
    <w:name w:val="Comment Text Char"/>
    <w:basedOn w:val="DefaultParagraphFont"/>
    <w:link w:val="CommentText"/>
    <w:rsid w:val="00DE0FC4"/>
    <w:rPr>
      <w:rFonts w:ascii="Times New Roman"/>
      <w:sz w:val="20"/>
      <w:szCs w:val="20"/>
    </w:rPr>
  </w:style>
  <w:style w:type="paragraph" w:styleId="CommentSubject">
    <w:name w:val="annotation subject"/>
    <w:basedOn w:val="CommentText"/>
    <w:next w:val="CommentText"/>
    <w:link w:val="CommentSubjectChar"/>
    <w:semiHidden/>
    <w:unhideWhenUsed/>
    <w:rsid w:val="00DE0FC4"/>
    <w:rPr>
      <w:b/>
      <w:bCs/>
    </w:rPr>
  </w:style>
  <w:style w:type="character" w:customStyle="1" w:styleId="CommentSubjectChar">
    <w:name w:val="Comment Subject Char"/>
    <w:basedOn w:val="CommentTextChar"/>
    <w:link w:val="CommentSubject"/>
    <w:semiHidden/>
    <w:rsid w:val="00DE0FC4"/>
    <w:rPr>
      <w:rFonts w:ascii="Times New Roman"/>
      <w:b/>
      <w:bCs/>
      <w:sz w:val="20"/>
      <w:szCs w:val="20"/>
    </w:rPr>
  </w:style>
  <w:style w:type="paragraph" w:styleId="Revision">
    <w:name w:val="Revision"/>
    <w:hidden/>
    <w:semiHidden/>
    <w:rsid w:val="00D305E0"/>
    <w:pPr>
      <w:spacing w:after="0"/>
    </w:pPr>
    <w:rPr>
      <w:rFonts w:ascii="Times New Roman"/>
    </w:rPr>
  </w:style>
  <w:style w:type="character" w:styleId="PlaceholderText">
    <w:name w:val="Placeholder Text"/>
    <w:basedOn w:val="DefaultParagraphFont"/>
    <w:semiHidden/>
    <w:rsid w:val="00C67A1C"/>
    <w:rPr>
      <w:color w:val="808080"/>
    </w:rPr>
  </w:style>
  <w:style w:type="paragraph" w:styleId="Header">
    <w:name w:val="header"/>
    <w:basedOn w:val="Normal"/>
    <w:link w:val="HeaderChar"/>
    <w:unhideWhenUsed/>
    <w:rsid w:val="00D44C27"/>
    <w:pPr>
      <w:tabs>
        <w:tab w:val="center" w:pos="4513"/>
        <w:tab w:val="right" w:pos="9026"/>
      </w:tabs>
      <w:spacing w:after="0"/>
    </w:pPr>
  </w:style>
  <w:style w:type="character" w:customStyle="1" w:styleId="HeaderChar">
    <w:name w:val="Header Char"/>
    <w:basedOn w:val="DefaultParagraphFont"/>
    <w:link w:val="Header"/>
    <w:rsid w:val="00D44C27"/>
    <w:rPr>
      <w:rFonts w:ascii="Times New Roman"/>
    </w:rPr>
  </w:style>
  <w:style w:type="paragraph" w:styleId="Footer">
    <w:name w:val="footer"/>
    <w:basedOn w:val="Normal"/>
    <w:link w:val="FooterChar"/>
    <w:uiPriority w:val="99"/>
    <w:unhideWhenUsed/>
    <w:rsid w:val="00D44C27"/>
    <w:pPr>
      <w:tabs>
        <w:tab w:val="center" w:pos="4513"/>
        <w:tab w:val="right" w:pos="9026"/>
      </w:tabs>
      <w:spacing w:after="0"/>
    </w:pPr>
  </w:style>
  <w:style w:type="character" w:customStyle="1" w:styleId="FooterChar">
    <w:name w:val="Footer Char"/>
    <w:basedOn w:val="DefaultParagraphFont"/>
    <w:link w:val="Footer"/>
    <w:uiPriority w:val="99"/>
    <w:rsid w:val="00D44C27"/>
    <w:rPr>
      <w:rFonts w:ascii="Times New Roman"/>
    </w:rPr>
  </w:style>
  <w:style w:type="character" w:customStyle="1" w:styleId="UnresolvedMention1">
    <w:name w:val="Unresolved Mention1"/>
    <w:basedOn w:val="DefaultParagraphFont"/>
    <w:uiPriority w:val="99"/>
    <w:semiHidden/>
    <w:unhideWhenUsed/>
    <w:rsid w:val="006E039C"/>
    <w:rPr>
      <w:color w:val="605E5C"/>
      <w:shd w:val="clear" w:color="auto" w:fill="E1DFDD"/>
    </w:rPr>
  </w:style>
  <w:style w:type="table" w:styleId="TableGrid">
    <w:name w:val="Table Grid"/>
    <w:basedOn w:val="TableNormal"/>
    <w:rsid w:val="00874A01"/>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14B76"/>
    <w:rPr>
      <w:color w:val="605E5C"/>
      <w:shd w:val="clear" w:color="auto" w:fill="E1DFDD"/>
    </w:rPr>
  </w:style>
  <w:style w:type="paragraph" w:styleId="ListParagraph">
    <w:name w:val="List Paragraph"/>
    <w:basedOn w:val="Normal"/>
    <w:rsid w:val="007D1FB5"/>
    <w:pPr>
      <w:ind w:left="720"/>
      <w:contextualSpacing/>
    </w:pPr>
  </w:style>
  <w:style w:type="character" w:customStyle="1" w:styleId="apple-converted-space">
    <w:name w:val="apple-converted-space"/>
    <w:basedOn w:val="DefaultParagraphFont"/>
    <w:rsid w:val="00DD6E28"/>
  </w:style>
  <w:style w:type="paragraph" w:styleId="PlainText">
    <w:name w:val="Plain Text"/>
    <w:basedOn w:val="Normal"/>
    <w:link w:val="PlainTextChar"/>
    <w:uiPriority w:val="99"/>
    <w:unhideWhenUsed/>
    <w:rsid w:val="004C6C44"/>
    <w:pPr>
      <w:spacing w:after="0"/>
    </w:pPr>
    <w:rPr>
      <w:rFonts w:ascii="Consolas" w:hAnsi="Consolas" w:cs="Consolas"/>
      <w:sz w:val="21"/>
      <w:szCs w:val="21"/>
      <w:lang w:val="en-ZA"/>
    </w:rPr>
  </w:style>
  <w:style w:type="character" w:customStyle="1" w:styleId="PlainTextChar">
    <w:name w:val="Plain Text Char"/>
    <w:basedOn w:val="DefaultParagraphFont"/>
    <w:link w:val="PlainText"/>
    <w:uiPriority w:val="99"/>
    <w:rsid w:val="004C6C44"/>
    <w:rPr>
      <w:rFonts w:ascii="Consolas" w:hAnsi="Consolas" w:cs="Consolas"/>
      <w:sz w:val="21"/>
      <w:szCs w:val="21"/>
      <w:lang w:val="en-Z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2022571">
      <w:bodyDiv w:val="1"/>
      <w:marLeft w:val="0"/>
      <w:marRight w:val="0"/>
      <w:marTop w:val="0"/>
      <w:marBottom w:val="0"/>
      <w:divBdr>
        <w:top w:val="none" w:sz="0" w:space="0" w:color="auto"/>
        <w:left w:val="none" w:sz="0" w:space="0" w:color="auto"/>
        <w:bottom w:val="none" w:sz="0" w:space="0" w:color="auto"/>
        <w:right w:val="none" w:sz="0" w:space="0" w:color="auto"/>
      </w:divBdr>
    </w:div>
    <w:div w:id="1013343635">
      <w:bodyDiv w:val="1"/>
      <w:marLeft w:val="0"/>
      <w:marRight w:val="0"/>
      <w:marTop w:val="0"/>
      <w:marBottom w:val="0"/>
      <w:divBdr>
        <w:top w:val="none" w:sz="0" w:space="0" w:color="auto"/>
        <w:left w:val="none" w:sz="0" w:space="0" w:color="auto"/>
        <w:bottom w:val="none" w:sz="0" w:space="0" w:color="auto"/>
        <w:right w:val="none" w:sz="0" w:space="0" w:color="auto"/>
      </w:divBdr>
      <w:divsChild>
        <w:div w:id="1439252399">
          <w:marLeft w:val="0"/>
          <w:marRight w:val="0"/>
          <w:marTop w:val="0"/>
          <w:marBottom w:val="0"/>
          <w:divBdr>
            <w:top w:val="none" w:sz="0" w:space="0" w:color="auto"/>
            <w:left w:val="none" w:sz="0" w:space="0" w:color="auto"/>
            <w:bottom w:val="none" w:sz="0" w:space="0" w:color="auto"/>
            <w:right w:val="none" w:sz="0" w:space="0" w:color="auto"/>
          </w:divBdr>
          <w:divsChild>
            <w:div w:id="1414358475">
              <w:marLeft w:val="0"/>
              <w:marRight w:val="0"/>
              <w:marTop w:val="0"/>
              <w:marBottom w:val="0"/>
              <w:divBdr>
                <w:top w:val="none" w:sz="0" w:space="0" w:color="auto"/>
                <w:left w:val="none" w:sz="0" w:space="0" w:color="auto"/>
                <w:bottom w:val="none" w:sz="0" w:space="0" w:color="auto"/>
                <w:right w:val="none" w:sz="0" w:space="0" w:color="auto"/>
              </w:divBdr>
              <w:divsChild>
                <w:div w:id="888809800">
                  <w:marLeft w:val="0"/>
                  <w:marRight w:val="0"/>
                  <w:marTop w:val="0"/>
                  <w:marBottom w:val="0"/>
                  <w:divBdr>
                    <w:top w:val="none" w:sz="0" w:space="0" w:color="auto"/>
                    <w:left w:val="none" w:sz="0" w:space="0" w:color="auto"/>
                    <w:bottom w:val="none" w:sz="0" w:space="0" w:color="auto"/>
                    <w:right w:val="none" w:sz="0" w:space="0" w:color="auto"/>
                  </w:divBdr>
                  <w:divsChild>
                    <w:div w:id="14301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7972106">
      <w:bodyDiv w:val="1"/>
      <w:marLeft w:val="0"/>
      <w:marRight w:val="0"/>
      <w:marTop w:val="0"/>
      <w:marBottom w:val="0"/>
      <w:divBdr>
        <w:top w:val="none" w:sz="0" w:space="0" w:color="auto"/>
        <w:left w:val="none" w:sz="0" w:space="0" w:color="auto"/>
        <w:bottom w:val="none" w:sz="0" w:space="0" w:color="auto"/>
        <w:right w:val="none" w:sz="0" w:space="0" w:color="auto"/>
      </w:divBdr>
    </w:div>
    <w:div w:id="1044793150">
      <w:bodyDiv w:val="1"/>
      <w:marLeft w:val="0"/>
      <w:marRight w:val="0"/>
      <w:marTop w:val="0"/>
      <w:marBottom w:val="0"/>
      <w:divBdr>
        <w:top w:val="none" w:sz="0" w:space="0" w:color="auto"/>
        <w:left w:val="none" w:sz="0" w:space="0" w:color="auto"/>
        <w:bottom w:val="none" w:sz="0" w:space="0" w:color="auto"/>
        <w:right w:val="none" w:sz="0" w:space="0" w:color="auto"/>
      </w:divBdr>
      <w:divsChild>
        <w:div w:id="766850889">
          <w:marLeft w:val="0"/>
          <w:marRight w:val="0"/>
          <w:marTop w:val="0"/>
          <w:marBottom w:val="0"/>
          <w:divBdr>
            <w:top w:val="single" w:sz="2" w:space="1" w:color="auto"/>
            <w:left w:val="single" w:sz="2" w:space="1" w:color="auto"/>
            <w:bottom w:val="single" w:sz="2" w:space="1" w:color="auto"/>
            <w:right w:val="single" w:sz="2" w:space="1" w:color="auto"/>
          </w:divBdr>
        </w:div>
      </w:divsChild>
    </w:div>
    <w:div w:id="1088380312">
      <w:bodyDiv w:val="1"/>
      <w:marLeft w:val="0"/>
      <w:marRight w:val="0"/>
      <w:marTop w:val="0"/>
      <w:marBottom w:val="0"/>
      <w:divBdr>
        <w:top w:val="none" w:sz="0" w:space="0" w:color="auto"/>
        <w:left w:val="none" w:sz="0" w:space="0" w:color="auto"/>
        <w:bottom w:val="none" w:sz="0" w:space="0" w:color="auto"/>
        <w:right w:val="none" w:sz="0" w:space="0" w:color="auto"/>
      </w:divBdr>
    </w:div>
    <w:div w:id="1252541730">
      <w:bodyDiv w:val="1"/>
      <w:marLeft w:val="0"/>
      <w:marRight w:val="0"/>
      <w:marTop w:val="0"/>
      <w:marBottom w:val="0"/>
      <w:divBdr>
        <w:top w:val="none" w:sz="0" w:space="0" w:color="auto"/>
        <w:left w:val="none" w:sz="0" w:space="0" w:color="auto"/>
        <w:bottom w:val="none" w:sz="0" w:space="0" w:color="auto"/>
        <w:right w:val="none" w:sz="0" w:space="0" w:color="auto"/>
      </w:divBdr>
    </w:div>
    <w:div w:id="1256667807">
      <w:bodyDiv w:val="1"/>
      <w:marLeft w:val="0"/>
      <w:marRight w:val="0"/>
      <w:marTop w:val="0"/>
      <w:marBottom w:val="0"/>
      <w:divBdr>
        <w:top w:val="none" w:sz="0" w:space="0" w:color="auto"/>
        <w:left w:val="none" w:sz="0" w:space="0" w:color="auto"/>
        <w:bottom w:val="none" w:sz="0" w:space="0" w:color="auto"/>
        <w:right w:val="none" w:sz="0" w:space="0" w:color="auto"/>
      </w:divBdr>
    </w:div>
    <w:div w:id="20014699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ruanvmazijk@gmail.com" TargetMode="External"/><Relationship Id="rId13" Type="http://schemas.microsoft.com/office/2018/08/relationships/commentsExtensible" Target="commentsExtensible.xml"/><Relationship Id="rId18" Type="http://schemas.openxmlformats.org/officeDocument/2006/relationships/image" Target="media/image5.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hyperlink" Target="https://orcid.org/0000-0003-2659-6909" TargetMode="External"/><Relationship Id="rId7" Type="http://schemas.openxmlformats.org/officeDocument/2006/relationships/endnotes" Target="endnotes.xml"/><Relationship Id="rId12" Type="http://schemas.openxmlformats.org/officeDocument/2006/relationships/hyperlink" Target="https://mindland.com/wp/projects/quarter-degree-grid-cells/download-qdgc/" TargetMode="External"/><Relationship Id="rId17" Type="http://schemas.openxmlformats.org/officeDocument/2006/relationships/image" Target="media/image4.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yperlink" Target="https://doi.org/10.15468/dl.46oku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yperlink" Target="https://orcid.org/0000-0002-1363-9781" TargetMode="External"/><Relationship Id="rId10" Type="http://schemas.microsoft.com/office/2011/relationships/commentsExtended" Target="commentsExtended.xml"/><Relationship Id="rId19" Type="http://schemas.openxmlformats.org/officeDocument/2006/relationships/hyperlink" Target="https://doi.org/10.15468/dl.n6u6n0" TargetMode="Externa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1.png"/><Relationship Id="rId22" Type="http://schemas.openxmlformats.org/officeDocument/2006/relationships/hyperlink" Target="https://orcid.org/0000-0003-0989-3266"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988237-44DB-784E-BBB4-31C386D430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2721</TotalTime>
  <Pages>27</Pages>
  <Words>43648</Words>
  <Characters>248795</Characters>
  <Application>Microsoft Office Word</Application>
  <DocSecurity>0</DocSecurity>
  <Lines>2073</Lines>
  <Paragraphs>583</Paragraphs>
  <ScaleCrop>false</ScaleCrop>
  <HeadingPairs>
    <vt:vector size="2" baseType="variant">
      <vt:variant>
        <vt:lpstr>Title</vt:lpstr>
      </vt:variant>
      <vt:variant>
        <vt:i4>1</vt:i4>
      </vt:variant>
    </vt:vector>
  </HeadingPairs>
  <TitlesOfParts>
    <vt:vector size="1" baseType="lpstr">
      <vt:lpstr>Environmental heterogeneity and plant species richness</vt:lpstr>
    </vt:vector>
  </TitlesOfParts>
  <Company/>
  <LinksUpToDate>false</LinksUpToDate>
  <CharactersWithSpaces>291860</CharactersWithSpaces>
  <SharedDoc>false</SharedDoc>
  <HLinks>
    <vt:vector size="36" baseType="variant">
      <vt:variant>
        <vt:i4>3211310</vt:i4>
      </vt:variant>
      <vt:variant>
        <vt:i4>60</vt:i4>
      </vt:variant>
      <vt:variant>
        <vt:i4>0</vt:i4>
      </vt:variant>
      <vt:variant>
        <vt:i4>5</vt:i4>
      </vt:variant>
      <vt:variant>
        <vt:lpwstr>https://github.com/ropensci/taxize</vt:lpwstr>
      </vt:variant>
      <vt:variant>
        <vt:lpwstr/>
      </vt:variant>
      <vt:variant>
        <vt:i4>4915290</vt:i4>
      </vt:variant>
      <vt:variant>
        <vt:i4>57</vt:i4>
      </vt:variant>
      <vt:variant>
        <vt:i4>0</vt:i4>
      </vt:variant>
      <vt:variant>
        <vt:i4>5</vt:i4>
      </vt:variant>
      <vt:variant>
        <vt:lpwstr>http://www.iucngisd.org/gisd/</vt:lpwstr>
      </vt:variant>
      <vt:variant>
        <vt:lpwstr/>
      </vt:variant>
      <vt:variant>
        <vt:i4>5570578</vt:i4>
      </vt:variant>
      <vt:variant>
        <vt:i4>48</vt:i4>
      </vt:variant>
      <vt:variant>
        <vt:i4>0</vt:i4>
      </vt:variant>
      <vt:variant>
        <vt:i4>5</vt:i4>
      </vt:variant>
      <vt:variant>
        <vt:lpwstr>https://orcid.org/0000-0002-1363-9781</vt:lpwstr>
      </vt:variant>
      <vt:variant>
        <vt:lpwstr/>
      </vt:variant>
      <vt:variant>
        <vt:i4>5308441</vt:i4>
      </vt:variant>
      <vt:variant>
        <vt:i4>45</vt:i4>
      </vt:variant>
      <vt:variant>
        <vt:i4>0</vt:i4>
      </vt:variant>
      <vt:variant>
        <vt:i4>5</vt:i4>
      </vt:variant>
      <vt:variant>
        <vt:lpwstr>https://orcid.org/0000-0003-0989-3266</vt:lpwstr>
      </vt:variant>
      <vt:variant>
        <vt:lpwstr/>
      </vt:variant>
      <vt:variant>
        <vt:i4>6094877</vt:i4>
      </vt:variant>
      <vt:variant>
        <vt:i4>42</vt:i4>
      </vt:variant>
      <vt:variant>
        <vt:i4>0</vt:i4>
      </vt:variant>
      <vt:variant>
        <vt:i4>5</vt:i4>
      </vt:variant>
      <vt:variant>
        <vt:lpwstr>https://orcid.org/0000-0003-2659-6909</vt:lpwstr>
      </vt:variant>
      <vt:variant>
        <vt:lpwstr/>
      </vt:variant>
      <vt:variant>
        <vt:i4>41</vt:i4>
      </vt:variant>
      <vt:variant>
        <vt:i4>0</vt:i4>
      </vt:variant>
      <vt:variant>
        <vt:i4>0</vt:i4>
      </vt:variant>
      <vt:variant>
        <vt:i4>5</vt:i4>
      </vt:variant>
      <vt:variant>
        <vt:lpwstr>mailto:ruanvmazijk@gmail.com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Environmental heterogeneity and plant species richness</dc:title>
  <dc:subject/>
  <dc:creator>Ruan Van Mazijk</dc:creator>
  <cp:keywords/>
  <cp:lastModifiedBy>Ruan Van Mazijk</cp:lastModifiedBy>
  <cp:revision>305</cp:revision>
  <cp:lastPrinted>2020-02-28T12:27:00Z</cp:lastPrinted>
  <dcterms:created xsi:type="dcterms:W3CDTF">2020-01-29T13:10:00Z</dcterms:created>
  <dcterms:modified xsi:type="dcterms:W3CDTF">2020-05-07T14:01:00Z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4da6a1df-5e96-396a-8435-2fd8ebed9d22</vt:lpwstr>
  </property>
  <property fmtid="{D5CDD505-2E9C-101B-9397-08002B2CF9AE}" pid="24" name="Mendeley Citation Style_1">
    <vt:lpwstr>http://www.zotero.org/styles/apa</vt:lpwstr>
  </property>
</Properties>
</file>