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rsidR="00024A7B" w:rsidRDefault="00024A7B" w:rsidP="006F31F8">
      <w:pPr>
        <w:pStyle w:val="FirstParagraph"/>
        <w:spacing w:after="0"/>
      </w:pPr>
      <w:r>
        <w:t>Department of Biological Sciences, University of Cape Town, Rondebosch, South Africa</w:t>
      </w:r>
    </w:p>
    <w:p w:rsidR="00024A7B" w:rsidRDefault="00024A7B" w:rsidP="00FE6DE3">
      <w:pPr>
        <w:pStyle w:val="BodyText"/>
        <w:spacing w:before="0"/>
      </w:pPr>
      <w:r>
        <w:t>Corresponding author: R</w:t>
      </w:r>
      <w:r w:rsidR="002A0204">
        <w:t>v</w:t>
      </w:r>
      <w:r>
        <w:t>M</w:t>
      </w:r>
      <w:r w:rsidR="006E039C">
        <w:t xml:space="preserve">, </w:t>
      </w:r>
      <w:hyperlink r:id="rId8" w:history="1">
        <w:r w:rsidR="00AE3336" w:rsidRPr="00790876">
          <w:rPr>
            <w:rStyle w:val="Hyperlink"/>
          </w:rPr>
          <w:t>ruanvmazijk@gmail.com</w:t>
        </w:r>
      </w:hyperlink>
    </w:p>
    <w:p w:rsidR="009E59E0" w:rsidRDefault="009E59E0" w:rsidP="008A4E97">
      <w:pPr>
        <w:pStyle w:val="Heading1"/>
        <w:spacing w:line="240" w:lineRule="auto"/>
      </w:pPr>
      <w:bookmarkStart w:id="1" w:name="acknowledgements"/>
      <w:bookmarkStart w:id="2" w:name="abstract"/>
      <w:r>
        <w:t>Acknowledgements</w:t>
      </w:r>
      <w:bookmarkEnd w:id="1"/>
    </w:p>
    <w:p w:rsidR="009E59E0" w:rsidRPr="00024A7B" w:rsidRDefault="007630F5" w:rsidP="008A4E97">
      <w:pPr>
        <w:pStyle w:val="FirstParagraph"/>
      </w:pPr>
      <w:r>
        <w:t xml:space="preserve">RvM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rsidR="00BC3667" w:rsidRDefault="00024A7B" w:rsidP="008A4E97">
      <w:pPr>
        <w:pStyle w:val="Heading1"/>
        <w:spacing w:line="240" w:lineRule="auto"/>
      </w:pPr>
      <w:r>
        <w:t>Abstract</w:t>
      </w:r>
      <w:bookmarkEnd w:id="2"/>
    </w:p>
    <w:p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w:t>
      </w:r>
      <w:r w:rsidR="00B9118E">
        <w:t>-</w:t>
      </w:r>
      <w:r w:rsidR="00844A5C">
        <w:t>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6118DA">
        <w:t>-</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 Though there are region-specific effects</w:t>
      </w:r>
      <w:r w:rsidR="005B0DBE" w:rsidRPr="00E71232">
        <w:t>,</w:t>
      </w:r>
      <w:r w:rsidR="003F774D">
        <w:t xml:space="preserve"> broad</w:t>
      </w:r>
      <w:r w:rsidR="00862C2B">
        <w:t>,</w:t>
      </w:r>
      <w:r w:rsidR="003F774D">
        <w:t xml:space="preserve"> positive associations between various axes of heterogeneity (and the major axis)</w:t>
      </w:r>
      <w:r w:rsidR="00862C2B">
        <w:t xml:space="preserve"> and plant species richness hold across the two flora. The generally greater richness per unit area of the GCFR compared to the SWAFR is </w:t>
      </w:r>
      <w:r w:rsidR="00486E0D">
        <w:t xml:space="preserve">thus </w:t>
      </w:r>
      <w:r w:rsidR="00862C2B">
        <w:t xml:space="preserve">explained </w:t>
      </w:r>
      <w:r w:rsidR="00862C2B">
        <w:lastRenderedPageBreak/>
        <w:t>by the former’s generally greater environmental heterogeneity and is concordant with its greater levels of floristic turnover</w:t>
      </w:r>
      <w:r w:rsidR="00486E0D">
        <w:t>.</w:t>
      </w:r>
    </w:p>
    <w:p w:rsidR="00381AA9" w:rsidRPr="00381AA9" w:rsidRDefault="00024A7B" w:rsidP="00381AA9">
      <w:pPr>
        <w:pStyle w:val="BodyText"/>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p>
    <w:p w:rsidR="00D04776" w:rsidRDefault="00C408A8" w:rsidP="008A4E97">
      <w:pPr>
        <w:pStyle w:val="Heading1"/>
        <w:spacing w:line="240" w:lineRule="auto"/>
      </w:pPr>
      <w:r>
        <w:t>1</w:t>
      </w:r>
      <w:r w:rsidR="00D7233A">
        <w:t>:</w:t>
      </w:r>
      <w:r>
        <w:t xml:space="preserve"> </w:t>
      </w:r>
      <w:r w:rsidR="00D04776">
        <w:t>Introduction</w:t>
      </w:r>
    </w:p>
    <w:p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locally-deterministic,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00FC27F8">
        <w:t>these</w:t>
      </w:r>
      <w:r w:rsidRPr="002F0553">
        <w:t xml:space="preserve"> effects</w:t>
      </w:r>
      <w:r w:rsidR="00C20A27">
        <w:t>,</w:t>
      </w:r>
      <w:r w:rsidRPr="002F0553">
        <w:t xml:space="preserve"> environmental heterogeneity may be a</w:t>
      </w:r>
      <w:r w:rsidR="00347D07">
        <w:t xml:space="preserve">n </w:t>
      </w:r>
      <w:r w:rsidRPr="002F0553">
        <w:t xml:space="preserve">important driver of regional species richness </w:t>
      </w:r>
      <w:r>
        <w:t>variation</w:t>
      </w:r>
      <w:r w:rsidR="009F6AA8">
        <w:t>,</w:t>
      </w:r>
      <w:r>
        <w:t xml:space="preserve"> </w:t>
      </w:r>
      <w:r w:rsidR="009F6AA8" w:rsidRPr="002F0553">
        <w:t>with physically</w:t>
      </w:r>
      <w:r w:rsidR="009F6AA8">
        <w:t>-</w:t>
      </w:r>
      <w:r w:rsidR="009F6AA8" w:rsidRPr="002F0553">
        <w:t xml:space="preserve">heterogeneous regions </w:t>
      </w:r>
      <w:r w:rsidR="009F6AA8">
        <w:t>tending</w:t>
      </w:r>
      <w:r w:rsidR="009F6AA8" w:rsidRPr="002F0553">
        <w:t xml:space="preserve"> to be </w:t>
      </w:r>
      <w:r w:rsidR="009F6AA8">
        <w:t xml:space="preserve">more </w:t>
      </w:r>
      <w:r w:rsidR="009F6AA8" w:rsidRPr="002F0553">
        <w:t>species-rich</w:t>
      </w:r>
      <w:r w:rsidR="005A4C52">
        <w:t>, as has been repeatedly demonstrated</w:t>
      </w:r>
      <w:r w:rsidR="009F6AA8">
        <w:t xml:space="preserve"> </w:t>
      </w:r>
      <w:r w:rsidR="00404D92" w:rsidRPr="00404D92">
        <w:rPr>
          <w:noProof/>
        </w:rPr>
        <w:t>(</w:t>
      </w:r>
      <w:r w:rsidR="005A4C52">
        <w:rPr>
          <w:noProof/>
        </w:rPr>
        <w:t xml:space="preserve">e.g. </w:t>
      </w:r>
      <w:r w:rsidR="00404D92" w:rsidRPr="00404D92">
        <w:rPr>
          <w:noProof/>
        </w:rPr>
        <w:t>Cramer &amp; Verboom, 2016; Kreft &amp; Jetz, 2007; Laliberte et al., 2014; Thuiller et al., 2006</w:t>
      </w:r>
      <w:r w:rsidR="004B7284">
        <w:rPr>
          <w:noProof/>
        </w:rPr>
        <w:t>; Stein, Gerstner &amp; Kreft, 2014</w:t>
      </w:r>
      <w:r w:rsidR="000A3194">
        <w:rPr>
          <w:noProof/>
        </w:rPr>
        <w:t>)</w:t>
      </w:r>
      <w:r w:rsidRPr="002F0553">
        <w:t xml:space="preserve">. </w:t>
      </w:r>
      <w:r w:rsidR="00733177">
        <w:t>As</w:t>
      </w:r>
      <w:r w:rsidRPr="002F0553">
        <w:t xml:space="preserve">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lineages. </w:t>
      </w:r>
      <w:r w:rsidR="00297A99">
        <w:t>E</w:t>
      </w:r>
      <w:r w:rsidR="00297A99">
        <w:t>nvironmental heterogeneity</w:t>
      </w:r>
      <w:r w:rsidR="00297A99" w:rsidRPr="002F0553">
        <w:t xml:space="preserve"> is</w:t>
      </w:r>
      <w:r w:rsidR="00297A99">
        <w:t xml:space="preserve"> </w:t>
      </w:r>
      <w:r w:rsidR="00297A99">
        <w:t xml:space="preserve">also </w:t>
      </w:r>
      <w:r w:rsidR="00297A99">
        <w:t>a</w:t>
      </w:r>
      <w:r w:rsidR="00297A99" w:rsidRPr="002F0553">
        <w:t xml:space="preserve"> </w:t>
      </w:r>
      <w:r w:rsidR="00297A99">
        <w:t xml:space="preserve">critical requirement for speciation under </w:t>
      </w:r>
      <w:r w:rsidR="00297A99" w:rsidRPr="002F0553">
        <w:t>most models</w:t>
      </w:r>
      <w:r w:rsidRPr="002F0553">
        <w:t xml:space="preserve"> </w:t>
      </w:r>
      <w:r w:rsidR="002B619B" w:rsidRPr="002B619B">
        <w:rPr>
          <w:noProof/>
        </w:rPr>
        <w:t>(Sobel, Chen, Watt, &amp; Schemske, 2010; Wiens, 2004a</w:t>
      </w:r>
      <w:r w:rsidR="002B619B">
        <w:rPr>
          <w:noProof/>
        </w:rPr>
        <w:t>,b</w:t>
      </w:r>
      <w:r w:rsidR="002B619B" w:rsidRPr="002B619B">
        <w:rPr>
          <w:noProof/>
        </w:rPr>
        <w:t>)</w:t>
      </w:r>
      <w:r w:rsidR="00297A99">
        <w:rPr>
          <w:noProof/>
        </w:rPr>
        <w:t xml:space="preserve">, </w:t>
      </w:r>
      <w:r w:rsidR="00297A99" w:rsidRPr="002F0553">
        <w:t>promoting adaptive divergence and</w:t>
      </w:r>
      <w:r w:rsidR="00297A99">
        <w:t>/or</w:t>
      </w:r>
      <w:r w:rsidR="00297A99" w:rsidRPr="002F0553">
        <w:t xml:space="preserve"> population isolation</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w:t>
      </w:r>
      <w:r w:rsidR="00F04554">
        <w:t xml:space="preserve">, </w:t>
      </w:r>
      <w:r w:rsidRPr="002F0553">
        <w:t>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richness, particularly whe</w:t>
      </w:r>
      <w:r w:rsidR="007F2687">
        <w:t xml:space="preserve">n comparing </w:t>
      </w:r>
      <w:r w:rsidRPr="002F0553">
        <w:t>regions</w:t>
      </w:r>
      <w:r w:rsidR="007F2687">
        <w:t xml:space="preserve"> with </w:t>
      </w:r>
      <w:r w:rsidRPr="002F0553">
        <w:t>similar area</w:t>
      </w:r>
      <w:r w:rsidR="007F2687">
        <w:t>s</w:t>
      </w:r>
      <w:r>
        <w:t>, physical properties</w:t>
      </w:r>
      <w:r w:rsidRPr="002F0553">
        <w:t xml:space="preserve"> and </w:t>
      </w:r>
      <w:r w:rsidR="00765D62" w:rsidRPr="002F0553">
        <w:t>timeframes</w:t>
      </w:r>
      <w:r w:rsidRPr="002F0553">
        <w:t xml:space="preserve"> within which their biotas have assembled.</w:t>
      </w:r>
    </w:p>
    <w:p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climatically-buffered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(Beard et al., 2000; Milewski, 1981)</w:t>
      </w:r>
      <w:r>
        <w:t xml:space="preserve">. Moreover, the long-term climatic and geological stability of the two regions ensures that the native floras of both reflect long histories of assembly, extending back to the </w:t>
      </w:r>
      <w:r w:rsidR="00474B3E">
        <w:t xml:space="preserve">Eocene and </w:t>
      </w:r>
      <w:r>
        <w:t xml:space="preserve">Palaeocene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t>(Bergh &amp; Linder, 2009)</w:t>
      </w:r>
      <w:r>
        <w:t xml:space="preserve">. In this context, it is unsurprising that the two floras show strong </w:t>
      </w:r>
      <w:r>
        <w:lastRenderedPageBreak/>
        <w:t xml:space="preserve">taxonomic affinities and are </w:t>
      </w:r>
      <w:r w:rsidR="007C6C90">
        <w:t xml:space="preserve">both </w:t>
      </w:r>
      <w:r>
        <w:t xml:space="preserve">species-rich with high levels of regional endemism </w:t>
      </w:r>
      <w:r w:rsidR="002E4442" w:rsidRPr="002E4442">
        <w:rPr>
          <w:noProof/>
        </w:rPr>
        <w:t>(Ackerly, 2009; Beard et al., 2000; Cowling, Rundel, Lamont, Arroyo, &amp; Arianoutsou, 1996; Gioia &amp; Hopper, 2017)</w:t>
      </w:r>
      <w:r>
        <w:t>.</w:t>
      </w:r>
    </w:p>
    <w:p w:rsidR="00D04776" w:rsidRPr="002C20EB" w:rsidRDefault="00D04776" w:rsidP="002C20EB">
      <w:pPr>
        <w:pStyle w:val="BodyText"/>
        <w:rPr>
          <w:lang w:val="en-ZA"/>
        </w:rPr>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rsidRPr="00F24CDB">
        <w:rPr>
          <w:noProof/>
        </w:rPr>
        <w:t>Hopper &amp; Gioia, 2004)</w:t>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00CC6AA0" w:rsidRPr="00CC6AA0">
        <w:rPr>
          <w:noProof/>
        </w:rPr>
        <w:t>Snijman, 2013)</w:t>
      </w:r>
      <w:r>
        <w:t xml:space="preserve">. </w:t>
      </w:r>
      <w:r w:rsidR="00872425">
        <w:t xml:space="preserve">Although on-going identification of new species </w:t>
      </w:r>
      <w:r w:rsidR="000D32D5">
        <w:t xml:space="preserve">may change these statistics (e.g. </w:t>
      </w:r>
      <w:r w:rsidR="004E5115" w:rsidRPr="004E5115">
        <w:rPr>
          <w:noProof/>
        </w:rPr>
        <w:t>Gioia &amp; Hopper, 2017</w:t>
      </w:r>
      <w:r w:rsidR="000D32D5">
        <w:t>), the overall difference in species km</w:t>
      </w:r>
      <w:r w:rsidR="000D32D5" w:rsidRPr="00F12728">
        <w:rPr>
          <w:vertAlign w:val="superscript"/>
        </w:rPr>
        <w:t>-2</w:t>
      </w:r>
      <w:r w:rsidR="000D32D5">
        <w:t xml:space="preserve"> </w:t>
      </w:r>
      <w:r w:rsidR="007E081E">
        <w:t>is</w:t>
      </w:r>
      <w:r w:rsidR="000D32D5">
        <w:t xml:space="preserve"> quite dramatic. </w:t>
      </w:r>
      <w:r>
        <w:t xml:space="preserve">One </w:t>
      </w:r>
      <w:r w:rsidR="000D32D5">
        <w:t xml:space="preserve">possible </w:t>
      </w:r>
      <w:r>
        <w:t>explanation for this striking 2.5-fold difference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00682956" w:rsidRPr="00682956">
        <w:rPr>
          <w:noProof/>
        </w:rPr>
        <w:t>Goldblatt,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r w:rsidR="00E561E1">
        <w:rPr>
          <w:lang w:val="en-ZA"/>
        </w:rPr>
        <w:t>m</w:t>
      </w:r>
      <w:r w:rsidR="00E561E1" w:rsidRPr="00E87C83">
        <w:rPr>
          <w:lang w:val="en-ZA"/>
        </w:rPr>
        <w:t>editerranean-climate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3B49FB">
        <w:rPr>
          <w:lang w:val="en-ZA"/>
        </w:rPr>
        <w:t xml:space="preserve">Critically,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rsidR="00510832">
        <w:t>Differences in the spatial scale or “grain” of heterogeneity may also explain the differences in richness between these two floras, with SWAFR environments</w:t>
      </w:r>
      <w:r w:rsidR="000C5407">
        <w:t>’</w:t>
      </w:r>
      <w:r w:rsidR="00510832">
        <w:t xml:space="preserve"> likely being “coarser” than those in the GCFR due to the former’s relative topographic uniformity.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rsidRPr="003407B4">
        <w:rPr>
          <w:highlight w:val="yellow"/>
        </w:rPr>
        <w:t>We investigate this across a range of spatial scales, as we expect this to affect the species richness patterns we observe</w:t>
      </w:r>
      <w:r w:rsidR="00080450" w:rsidRPr="003407B4">
        <w:rPr>
          <w:highlight w:val="yellow"/>
        </w:rPr>
        <w:t xml:space="preserve"> </w:t>
      </w:r>
      <w:r w:rsidR="00080450" w:rsidRPr="003407B4">
        <w:rPr>
          <w:noProof/>
          <w:highlight w:val="yellow"/>
        </w:rPr>
        <w:t>(Hart et al., 2017)</w:t>
      </w:r>
      <w:r w:rsidR="00EE1A7E">
        <w:t xml:space="preserve">. </w:t>
      </w:r>
      <w:r>
        <w:t>Focusing on the quarter-degree square (QDS)</w:t>
      </w:r>
      <w:r w:rsidR="009A576E">
        <w:t xml:space="preserve">, </w:t>
      </w:r>
      <w:r>
        <w:t xml:space="preserve">half-degree square (HDS) </w:t>
      </w:r>
      <w:r w:rsidR="009A576E">
        <w:t xml:space="preserve">and degree square (DS) </w:t>
      </w:r>
      <w:r>
        <w:t>scales</w:t>
      </w:r>
      <w:r w:rsidR="000F59F5">
        <w:t xml:space="preserve"> (sensu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rsidR="006A239A" w:rsidRPr="007031A0" w:rsidRDefault="00D04776" w:rsidP="00FE0731">
      <w:pPr>
        <w:pStyle w:val="FirstParagraph"/>
        <w:rPr>
          <w:rFonts w:cs="Times New Roman"/>
        </w:rPr>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t>were</w:t>
      </w:r>
      <w:r w:rsidR="00996B78">
        <w:t xml:space="preserve"> </w:t>
      </w:r>
      <w:r w:rsidR="00DC7F3D">
        <w:t xml:space="preserve">cleaned </w:t>
      </w:r>
      <w:r w:rsidR="001D58D6">
        <w:t xml:space="preserve">using </w:t>
      </w:r>
      <w:r w:rsidR="00166053">
        <w:t xml:space="preserve">the “taxize” package </w:t>
      </w:r>
      <w:r w:rsidR="00166053" w:rsidRPr="00B1341B">
        <w:rPr>
          <w:noProof/>
        </w:rPr>
        <w:t>(Chamberlain et al., 2016)</w:t>
      </w:r>
      <w:r w:rsidR="00CE21A6">
        <w:t xml:space="preserve"> </w:t>
      </w:r>
      <w:r w:rsidR="003E3635">
        <w:t xml:space="preserve">in R </w:t>
      </w:r>
      <w:r w:rsidR="00DF1E64" w:rsidRPr="00DF1E64">
        <w:rPr>
          <w:noProof/>
        </w:rPr>
        <w:t>(R Core Team, 2019)</w:t>
      </w:r>
      <w:r w:rsidR="003E3635" w:rsidRPr="00166053">
        <w:t xml:space="preserve">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r w:rsidR="00EF4036">
        <w:t>W</w:t>
      </w:r>
      <w:r w:rsidR="00841086">
        <w:t>e excluded occurrence data (and indeed environmental data, below) originating from coastal pixels at the 0.05</w:t>
      </w:r>
      <w:r w:rsidR="00841086" w:rsidRPr="007031A0">
        <w:rPr>
          <w:rFonts w:cs="Times New Roman"/>
        </w:rPr>
        <w:t>° resolution</w:t>
      </w:r>
      <w:r w:rsidR="00D52E5F" w:rsidRPr="007031A0">
        <w:rPr>
          <w:rFonts w:cs="Times New Roman"/>
        </w:rPr>
        <w:t>. This excluded coastal/dunal vegetation from our analyses</w:t>
      </w:r>
      <w:r w:rsidR="008D72BF" w:rsidRPr="007031A0">
        <w:rPr>
          <w:rFonts w:cs="Times New Roman"/>
        </w:rPr>
        <w:t xml:space="preserve">, due to the floristic </w:t>
      </w:r>
      <w:r w:rsidR="008D72BF" w:rsidRPr="007031A0">
        <w:rPr>
          <w:rFonts w:cs="Times New Roman"/>
        </w:rPr>
        <w:lastRenderedPageBreak/>
        <w:t xml:space="preserve">and environmental dissimilarity of these areas from the </w:t>
      </w:r>
      <w:r w:rsidR="00F81A7C" w:rsidRPr="007031A0">
        <w:rPr>
          <w:rFonts w:cs="Times New Roman"/>
        </w:rPr>
        <w:t>“</w:t>
      </w:r>
      <w:r w:rsidR="008D72BF" w:rsidRPr="007031A0">
        <w:rPr>
          <w:rFonts w:cs="Times New Roman"/>
        </w:rPr>
        <w:t>core</w:t>
      </w:r>
      <w:r w:rsidR="00F81A7C" w:rsidRPr="007031A0">
        <w:rPr>
          <w:rFonts w:cs="Times New Roman"/>
        </w:rPr>
        <w:t>”</w:t>
      </w:r>
      <w:r w:rsidR="008D72BF" w:rsidRPr="007031A0">
        <w:rPr>
          <w:rFonts w:cs="Times New Roman"/>
        </w:rPr>
        <w:t xml:space="preserve"> sclerophyllous flora under </w:t>
      </w:r>
      <w:r w:rsidR="00F81A7C" w:rsidRPr="007031A0">
        <w:rPr>
          <w:rFonts w:cs="Times New Roman"/>
        </w:rPr>
        <w:t xml:space="preserve">our </w:t>
      </w:r>
      <w:r w:rsidR="008D72BF" w:rsidRPr="007031A0">
        <w:rPr>
          <w:rFonts w:cs="Times New Roman"/>
        </w:rPr>
        <w:t>consideration</w:t>
      </w:r>
      <w:r w:rsidR="00841086" w:rsidRPr="007031A0">
        <w:rPr>
          <w:rFonts w:cs="Times New Roman"/>
        </w:rPr>
        <w:t>.</w:t>
      </w:r>
      <w:r w:rsidR="00007FFD" w:rsidRPr="00007FFD">
        <w:t xml:space="preserve"> </w:t>
      </w:r>
      <w:r w:rsidR="00007FFD">
        <w:t>To compare species richness across equally sized areas, we only made comparisons between squares consisting of all four sub-squares (e.g. four QDS in an HDS).</w:t>
      </w:r>
      <w:r w:rsidR="0070389E">
        <w:t xml:space="preserve"> Thus, 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p>
    <w:p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(sensu </w:t>
      </w:r>
      <w:r w:rsidR="00E0178F" w:rsidRPr="005B6901">
        <w:rPr>
          <w:noProof/>
        </w:rPr>
        <w:t>Larsen</w:t>
      </w:r>
      <w:r w:rsidR="00232556">
        <w:rPr>
          <w:noProof/>
        </w:rPr>
        <w:t xml:space="preserve"> et al.</w:t>
      </w:r>
      <w:r w:rsidR="00E0178F" w:rsidRPr="005B6901">
        <w:rPr>
          <w:noProof/>
        </w:rPr>
        <w:t>, 2009</w:t>
      </w:r>
      <w:r w:rsidR="00E0178F">
        <w:t>)</w:t>
      </w:r>
      <w:r w:rsidR="00D04776">
        <w:t>.</w:t>
      </w:r>
      <w:r w:rsidR="00FC4F1F">
        <w:t xml:space="preserve"> </w:t>
      </w:r>
      <w:r>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rsidR="00E405E7" w:rsidRPr="00FE0731" w:rsidRDefault="00AD44CB"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rsidR="00E405E7" w:rsidRPr="00FE0731" w:rsidRDefault="00AD44CB"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xml:space="preserve">) using the R package “canprot”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rsidR="00DD2348" w:rsidRDefault="00970650" w:rsidP="008A4E97">
      <w:pPr>
        <w:pStyle w:val="Heading2"/>
        <w:spacing w:line="240" w:lineRule="auto"/>
      </w:pPr>
      <w:r>
        <w:t>2.2</w:t>
      </w:r>
      <w:r w:rsidR="00305C02">
        <w:t>:</w:t>
      </w:r>
      <w:r>
        <w:t xml:space="preserve"> </w:t>
      </w:r>
      <w:r w:rsidR="005F0FFB">
        <w:t>Comparing environmental heterogeneity</w:t>
      </w:r>
      <w:bookmarkEnd w:id="3"/>
    </w:p>
    <w:p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 (T)</w:t>
      </w:r>
      <w:r w:rsidR="00E25251">
        <w:t xml:space="preserve">, </w:t>
      </w:r>
      <w:r w:rsidR="0001614C">
        <w:t>mean annual precipitation (MAP)</w:t>
      </w:r>
      <w:r w:rsidR="00E25251">
        <w:t xml:space="preserve">, </w:t>
      </w:r>
      <w:r w:rsidR="0001614C">
        <w:t>precipitation in the driest quarter (</w:t>
      </w:r>
      <w:r w:rsidR="00E25251">
        <w:t>PDQ)</w:t>
      </w:r>
      <w:r w:rsidR="0001614C">
        <w:t>)</w:t>
      </w:r>
      <w:r w:rsidR="00E25251">
        <w:t xml:space="preserve">, edaphic (clay content, soil </w:t>
      </w:r>
      <w:r w:rsidR="001A3128">
        <w:t>carbon (</w:t>
      </w:r>
      <w:r w:rsidR="00E25251">
        <w:t>C</w:t>
      </w:r>
      <w:r w:rsidR="001A3128">
        <w:t>)</w:t>
      </w:r>
      <w:r w:rsidR="00E25251">
        <w:t>, pH,</w:t>
      </w:r>
      <w:r w:rsidR="00622FE8">
        <w:t xml:space="preserve"> cation exchange capacity</w:t>
      </w:r>
      <w:r w:rsidR="00E25251">
        <w:t xml:space="preserve"> </w:t>
      </w:r>
      <w:r w:rsidR="00622FE8">
        <w:t>(</w:t>
      </w:r>
      <w:r w:rsidR="00E25251">
        <w:t>CEC</w:t>
      </w:r>
      <w:r w:rsidR="00622FE8">
        <w:t>)</w:t>
      </w:r>
      <w:r w:rsidR="00E25251">
        <w:t>) and vegetational gradients</w:t>
      </w:r>
      <w:r w:rsidR="004A4D21">
        <w:t xml:space="preserve"> (</w:t>
      </w:r>
      <w:r w:rsidR="004A4D21" w:rsidRPr="00840830">
        <w:t>normalized difference vegetation index;</w:t>
      </w:r>
      <w:r w:rsidR="004A4D21">
        <w:t xml:space="preserve"> NDVI)</w:t>
      </w:r>
      <w:r w:rsidR="00E25251">
        <w:t xml:space="preserve">. </w:t>
      </w:r>
      <w:r w:rsidR="00086052">
        <w:t xml:space="preserve">As far as possible,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780F37">
        <w:t xml:space="preserve"> (see Figure S</w:t>
      </w:r>
      <w:r w:rsidR="00780F37" w:rsidRPr="009A4D83">
        <w:t>1–3</w:t>
      </w:r>
      <w:r w:rsidR="00780F37">
        <w:t>)</w:t>
      </w:r>
      <w:r w:rsidR="00086052">
        <w:t xml:space="preserve">. </w:t>
      </w:r>
      <w:r w:rsidR="00086052" w:rsidRPr="003407B4">
        <w:rPr>
          <w:highlight w:val="yellow"/>
        </w:rPr>
        <w:t xml:space="preserve">For example, the inclusion of PDQ in addition to MAP is justified on the basis that, where the </w:t>
      </w:r>
      <w:r w:rsidR="00657049" w:rsidRPr="003407B4">
        <w:rPr>
          <w:highlight w:val="yellow"/>
        </w:rPr>
        <w:t xml:space="preserve">latter </w:t>
      </w:r>
      <w:r w:rsidR="00086052" w:rsidRPr="003407B4">
        <w:rPr>
          <w:highlight w:val="yellow"/>
        </w:rPr>
        <w:t>captures variation in overall rainfall amount, the former measures the intensity of seasonal aridity</w:t>
      </w:r>
      <w:r w:rsidR="00FA10B3" w:rsidRPr="003407B4">
        <w:rPr>
          <w:highlight w:val="yellow"/>
        </w:rPr>
        <w:t xml:space="preserve">, </w:t>
      </w:r>
      <w:r w:rsidR="00086052" w:rsidRPr="003407B4">
        <w:rPr>
          <w:highlight w:val="yellow"/>
        </w:rPr>
        <w:t xml:space="preserve">a key feature of </w:t>
      </w:r>
      <w:r w:rsidR="003B10FC" w:rsidRPr="003407B4">
        <w:rPr>
          <w:highlight w:val="yellow"/>
        </w:rPr>
        <w:t xml:space="preserve">mediterranean-type climates </w:t>
      </w:r>
      <w:r w:rsidR="00404D92" w:rsidRPr="003407B4">
        <w:rPr>
          <w:noProof/>
          <w:highlight w:val="yellow"/>
        </w:rPr>
        <w:t>(Belda et al., 2014)</w:t>
      </w:r>
      <w:r w:rsidR="003B10FC" w:rsidRPr="003407B4">
        <w:rPr>
          <w:highlight w:val="yellow"/>
        </w:rPr>
        <w:t xml:space="preserve">. Variable selection was, however, constrained by the availability of suitable raster-layers. Thus, although soil </w:t>
      </w:r>
      <w:r w:rsidR="002930EF" w:rsidRPr="003407B4">
        <w:rPr>
          <w:highlight w:val="yellow"/>
        </w:rPr>
        <w:t>phosphorus concentration (</w:t>
      </w:r>
      <w:r w:rsidR="003B10FC" w:rsidRPr="003407B4">
        <w:rPr>
          <w:highlight w:val="yellow"/>
        </w:rPr>
        <w:t>[P]</w:t>
      </w:r>
      <w:r w:rsidR="002930EF" w:rsidRPr="003407B4">
        <w:rPr>
          <w:highlight w:val="yellow"/>
          <w:vertAlign w:val="subscript"/>
        </w:rPr>
        <w:t>soil</w:t>
      </w:r>
      <w:r w:rsidR="002930EF" w:rsidRPr="003407B4">
        <w:rPr>
          <w:highlight w:val="yellow"/>
        </w:rPr>
        <w:t>)</w:t>
      </w:r>
      <w:r w:rsidR="003B10FC" w:rsidRPr="003407B4">
        <w:rPr>
          <w:highlight w:val="yellow"/>
        </w:rPr>
        <w:t xml:space="preserve"> is probably an important determinant of plant distribution in both the GCFR and SWAFR </w:t>
      </w:r>
      <w:r w:rsidR="00404D92" w:rsidRPr="003407B4">
        <w:rPr>
          <w:noProof/>
          <w:highlight w:val="yellow"/>
        </w:rPr>
        <w:t>(Lambers et al., 2006, 2010; Shane et al., 2008)</w:t>
      </w:r>
      <w:r w:rsidR="003B10FC" w:rsidRPr="003407B4">
        <w:rPr>
          <w:highlight w:val="yellow"/>
        </w:rPr>
        <w:t>, this variable could not</w:t>
      </w:r>
      <w:r w:rsidR="00C42B96" w:rsidRPr="003407B4">
        <w:rPr>
          <w:highlight w:val="yellow"/>
        </w:rPr>
        <w:t xml:space="preserve"> be</w:t>
      </w:r>
      <w:r w:rsidR="003B10FC" w:rsidRPr="003407B4">
        <w:rPr>
          <w:highlight w:val="yellow"/>
        </w:rPr>
        <w:t xml:space="preserve"> included owing to a lack of comparable data layers for the two regions. Indeed, wherever possible, we made use of </w:t>
      </w:r>
      <w:r w:rsidR="006F3164" w:rsidRPr="003407B4">
        <w:rPr>
          <w:highlight w:val="yellow"/>
        </w:rPr>
        <w:t>remote sensing derived layers</w:t>
      </w:r>
      <w:r w:rsidR="003B10FC" w:rsidRPr="003407B4">
        <w:rPr>
          <w:highlight w:val="yellow"/>
        </w:rPr>
        <w:t>.</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“rgdal”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 xml:space="preserve">to 0.05º resolution </w:t>
      </w:r>
      <w:r w:rsidR="00473602">
        <w:t xml:space="preserve">using </w:t>
      </w:r>
      <w:r w:rsidR="005F0FFB">
        <w:t>“raster”.</w:t>
      </w:r>
    </w:p>
    <w:p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w:t>
      </w:r>
      <w:r w:rsidR="003E6B88">
        <w:lastRenderedPageBreak/>
        <w:t>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F62979" w:rsidRPr="00F62979">
        <w:t xml:space="preserve"> in R using the </w:t>
      </w:r>
      <w:r w:rsidR="00F62979" w:rsidRPr="00F62979">
        <w:t xml:space="preserve">“raster” </w:t>
      </w:r>
      <w:r w:rsidR="00F62979" w:rsidRPr="00F62979">
        <w:t xml:space="preserve">package </w:t>
      </w:r>
      <w:r w:rsidR="00F62979" w:rsidRPr="00F62979">
        <w:rPr>
          <w:noProof/>
        </w:rPr>
        <w:t>(Hijmans, 2016)</w:t>
      </w:r>
      <w:r w:rsidR="00F62979" w:rsidRPr="00F62979">
        <w:rPr>
          <w:noProof/>
        </w:rPr>
        <w:t xml:space="preserve"> and </w:t>
      </w:r>
      <w:r w:rsidR="00F62979" w:rsidRPr="00F62979">
        <w:t xml:space="preserve">“tidyverse” packages </w:t>
      </w:r>
      <w:r w:rsidR="00F62979" w:rsidRPr="00F62979">
        <w:rPr>
          <w:noProof/>
        </w:rPr>
        <w:t>(Wickham et al., 2019)</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4" w:name="_Hlk33707690"/>
      <w:r w:rsidR="00720FA4">
        <w:t xml:space="preserve">as with species richness and turnover, </w:t>
      </w:r>
      <w:r w:rsidR="000519A1" w:rsidRPr="000519A1">
        <w:t xml:space="preserve">we employed </w:t>
      </w:r>
      <w:r w:rsidR="000519A1">
        <w:rPr>
          <w:i/>
        </w:rPr>
        <w:t>CLES</w:t>
      </w:r>
      <w:r w:rsidR="00720FA4">
        <w:t xml:space="preserve"> and</w:t>
      </w:r>
      <w:r w:rsidR="005C752F">
        <w:t xml:space="preserve"> two-sided Mann-Whitney </w:t>
      </w:r>
      <w:r w:rsidR="005C752F">
        <w:rPr>
          <w:i/>
        </w:rPr>
        <w:t>U</w:t>
      </w:r>
      <w:r w:rsidR="005C752F" w:rsidRPr="005C752F">
        <w:t>-</w:t>
      </w:r>
      <w:r w:rsidR="005C752F">
        <w:t>tests</w:t>
      </w:r>
      <w:r w:rsidR="0061190A">
        <w:t xml:space="preserve"> in R</w:t>
      </w:r>
      <w:r w:rsidR="000B7C42">
        <w:t xml:space="preserve">, </w:t>
      </w:r>
      <w:r w:rsidR="00771543">
        <w:t>as</w:t>
      </w:r>
      <w:r w:rsidR="000B7C42">
        <w:t xml:space="preserve"> some </w:t>
      </w:r>
      <w:r w:rsidR="00306DE0">
        <w:t>forms of heterogeneity</w:t>
      </w:r>
      <w:r w:rsidR="00306DE0">
        <w:t xml:space="preserve"> </w:t>
      </w:r>
      <w:r w:rsidR="00771543">
        <w:t xml:space="preserve">were </w:t>
      </w:r>
      <w:r w:rsidR="000B7C42">
        <w:t>non-normally distributed</w:t>
      </w:r>
      <w:r w:rsidR="005C752F">
        <w:t>.</w:t>
      </w:r>
      <w:bookmarkEnd w:id="4"/>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rsidR="00DD2348" w:rsidRDefault="00DD7307" w:rsidP="008A4E97">
      <w:pPr>
        <w:pStyle w:val="Heading2"/>
        <w:spacing w:line="240" w:lineRule="auto"/>
      </w:pPr>
      <w:bookmarkStart w:id="5" w:name="environmental-heterogeneity-as-an-explan"/>
      <w:r>
        <w:t>2.3</w:t>
      </w:r>
      <w:r w:rsidR="0009179A">
        <w:t>:</w:t>
      </w:r>
      <w:r>
        <w:t xml:space="preserve"> </w:t>
      </w:r>
      <w:r w:rsidR="005F0FFB">
        <w:t>Environmental heterogeneity as an explanation of species richness</w:t>
      </w:r>
      <w:bookmarkEnd w:id="5"/>
    </w:p>
    <w:p w:rsidR="002F092D" w:rsidRPr="007031A0" w:rsidRDefault="001E723F" w:rsidP="00DF0226">
      <w:pPr>
        <w:pStyle w:val="FirstParagraph"/>
        <w:rPr>
          <w:rFonts w:eastAsia="MS Mincho"/>
        </w:rPr>
      </w:pPr>
      <w:r>
        <w:t>W</w:t>
      </w:r>
      <w:r w:rsidR="00FE3E67">
        <w:t>e used linear</w:t>
      </w:r>
      <w:r w:rsidR="00FE4E23">
        <w:t xml:space="preserve"> </w:t>
      </w:r>
      <w:r w:rsidR="00FE3E67">
        <w:t>models</w:t>
      </w:r>
      <w:r w:rsidR="00557906">
        <w:t>,</w:t>
      </w:r>
      <w:r w:rsidR="00CD7A9B">
        <w:t xml:space="preserve"> </w:t>
      </w:r>
      <w:r w:rsidR="00557906">
        <w:t xml:space="preserve">in R,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We did not incorporate spatial autocorrelation into our models of species richness because the aim of our analyses was to expose the associations between different forms of spatial environmental heterogeneity and species richness, rather than to predict species richness in absolute or to partition sources of its variation. The fact that we focussed on heterogeneity between neighbouring pixels is at odds with spatial</w:t>
      </w:r>
      <w:r w:rsidR="008F2F21">
        <w:t xml:space="preserve"> </w:t>
      </w:r>
      <w:r w:rsidR="004A4FEC" w:rsidRPr="004A4FEC">
        <w:t>autocorrelation which occurs when neighbouring pixels are more related to each other than more distant pixels due to their proximity.</w:t>
      </w:r>
    </w:p>
    <w:p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w:t>
      </w:r>
      <w:r w:rsidR="00397AF6">
        <w:rPr>
          <w:rFonts w:eastAsia="MS Mincho"/>
        </w:rPr>
        <w:t>se</w:t>
      </w:r>
      <w:r w:rsidR="00547291" w:rsidRPr="007031A0">
        <w:rPr>
          <w:rFonts w:eastAsia="MS Mincho"/>
        </w:rPr>
        <w:t xml:space="preserv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on richness across the two regions</w:t>
      </w:r>
      <w:r w:rsidR="00A15FD6" w:rsidRPr="007031A0">
        <w:rPr>
          <w:rFonts w:eastAsia="MS Mincho"/>
        </w:rPr>
        <w:t xml:space="preserve"> (i.e. a common relationship)</w:t>
      </w:r>
      <w:r w:rsidR="00B07EC3" w:rsidRPr="007031A0">
        <w:rPr>
          <w:rFonts w:eastAsia="MS Mincho"/>
        </w:rPr>
        <w:t xml:space="preserve">,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Specifically, where the “main effect + region” model describe</w:t>
      </w:r>
      <w:r w:rsidR="00A15FD6" w:rsidRPr="007031A0">
        <w:rPr>
          <w:rFonts w:eastAsia="MS Mincho"/>
        </w:rPr>
        <w:t>s</w:t>
      </w:r>
      <w:r w:rsidR="009D235A" w:rsidRPr="007031A0">
        <w:rPr>
          <w:rFonts w:eastAsia="MS Mincho"/>
        </w:rPr>
        <w:t xml:space="preserve"> these relationships as being identical in terms of slope but not intercept, the “main effect </w:t>
      </w:r>
      <w:r w:rsidR="009D235A" w:rsidRPr="007031A0">
        <w:rPr>
          <w:rFonts w:eastAsia="MS Mincho" w:cs="Times New Roman"/>
        </w:rPr>
        <w:t>×</w:t>
      </w:r>
      <w:r w:rsidR="009D235A" w:rsidRPr="007031A0">
        <w:rPr>
          <w:rFonts w:eastAsia="MS Mincho"/>
        </w:rPr>
        <w:t xml:space="preserve"> region” describes them as differing in both.</w:t>
      </w:r>
    </w:p>
    <w:p w:rsidR="00E01AE6" w:rsidRDefault="00A465FD">
      <w:pPr>
        <w:pStyle w:val="FirstParagraph"/>
      </w:pPr>
      <w:r w:rsidRPr="007031A0">
        <w:rPr>
          <w:rFonts w:eastAsia="MS Mincho"/>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w:t>
      </w:r>
      <w:r w:rsidR="00094CB2">
        <w:lastRenderedPageBreak/>
        <w:t xml:space="preserve">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BC6A85">
        <w:t>, we infer</w:t>
      </w:r>
      <w:r w:rsidR="009D474B">
        <w:t xml:space="preserve"> the dependence of species richness on heterogeneity to be uniform across the two regions.</w:t>
      </w:r>
    </w:p>
    <w:p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 xml:space="preserve">to identify outlier points. For this </w:t>
      </w:r>
      <w:r w:rsidR="00E26DDB">
        <w:t>purpose,</w:t>
      </w:r>
      <w:r w:rsidR="00887059">
        <w:t xml:space="preserve"> outliers </w:t>
      </w:r>
      <w:r w:rsidR="003D2B4F">
        <w:t xml:space="preserve">were defined </w:t>
      </w:r>
      <w:r w:rsidR="001C4553">
        <w:t>having</w:t>
      </w:r>
      <w:r w:rsidR="0072431B">
        <w:t xml:space="preserve"> residual species richness</w:t>
      </w:r>
      <w:r w:rsidR="00887059">
        <w:t xml:space="preserve"> more than two standard deviations from the mean</w:t>
      </w:r>
      <w:r w:rsidR="006D6946">
        <w:t xml:space="preserve"> predicted species richness at a given level of heterogeneity (in both the PC1-based and multiple regression models)</w:t>
      </w:r>
      <w:r w:rsidR="00887059">
        <w:t xml:space="preserve">. We also used </w:t>
      </w:r>
      <w:r w:rsidR="00887059" w:rsidRPr="00C47FAF">
        <w:rPr>
          <w:i/>
        </w:rPr>
        <w:t>F</w:t>
      </w:r>
      <w:r w:rsidR="00887059">
        <w:t>-test</w:t>
      </w:r>
      <w:r w:rsidR="00552D77">
        <w:t>s</w:t>
      </w:r>
      <w:r w:rsidR="00887059">
        <w:t xml:space="preserve"> to assess whether the </w:t>
      </w:r>
      <w:r w:rsidR="003D2B4F">
        <w:t xml:space="preserve">variances of the </w:t>
      </w:r>
      <w:r w:rsidR="00887059">
        <w:t>residual</w:t>
      </w:r>
      <w:r w:rsidR="003D2B4F">
        <w:t>s associated with ANCOVA</w:t>
      </w:r>
      <w:r w:rsidR="00223E51">
        <w:t>s</w:t>
      </w:r>
      <w:r w:rsidR="003D2B4F">
        <w:t xml:space="preserve"> and multiple regressions</w:t>
      </w:r>
      <w:r w:rsidR="00887059">
        <w:t xml:space="preserve"> differed between the GCFR and SWAFR. Finally, </w:t>
      </w:r>
      <w:r w:rsidR="00265947">
        <w:t>to assess</w:t>
      </w:r>
      <w:r w:rsidR="003D2B4F">
        <w:t xml:space="preserve"> whether the exceptional richness of hotspots is best explained by factors other than environmental heterogeneity, </w:t>
      </w:r>
      <w:r w:rsidR="00844FEA">
        <w:t xml:space="preserve">and to assess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rsidR="00D04776" w:rsidRDefault="00DD7307" w:rsidP="008A4E97">
      <w:pPr>
        <w:pStyle w:val="Heading1"/>
        <w:spacing w:line="240" w:lineRule="auto"/>
      </w:pPr>
      <w:bookmarkStart w:id="6" w:name="results"/>
      <w:r>
        <w:t>3</w:t>
      </w:r>
      <w:r w:rsidR="00E4661A">
        <w:t>:</w:t>
      </w:r>
      <w:r>
        <w:t xml:space="preserve"> </w:t>
      </w:r>
      <w:r w:rsidR="00D04776">
        <w:t>Results</w:t>
      </w:r>
      <w:bookmarkEnd w:id="6"/>
    </w:p>
    <w:p w:rsidR="0060601F" w:rsidRDefault="00DD7307" w:rsidP="008A4E97">
      <w:pPr>
        <w:pStyle w:val="Heading2"/>
        <w:spacing w:line="240" w:lineRule="auto"/>
      </w:pPr>
      <w:r>
        <w:t>3.1</w:t>
      </w:r>
      <w:r w:rsidR="00E4661A">
        <w:t>:</w:t>
      </w:r>
      <w:r>
        <w:t xml:space="preserve"> </w:t>
      </w:r>
      <w:r w:rsidR="0060601F">
        <w:t>Comparing species richness</w:t>
      </w:r>
    </w:p>
    <w:p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Kogelberg Centre in the GCFR; Greater Perth in the SWAFR) and declining richness towards its interior margin (</w:t>
      </w:r>
      <w:r w:rsidR="00304EA1" w:rsidRPr="006B3905">
        <w:t xml:space="preserve">Figure </w:t>
      </w:r>
      <w:r w:rsidR="00FC2A30" w:rsidRPr="006B3905">
        <w:t>1</w:t>
      </w:r>
      <w:r w:rsidRPr="006B3905">
        <w:t xml:space="preserve">a,b).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xml:space="preserve">) is greater in the GCFR (0.64) than in the SWAFR (0.60) </w:t>
      </w:r>
      <w:r w:rsidR="007A562F">
        <w:t>(</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Summarily, at both of these scales, the plant species richness of squares in the GCFR is more attributable to turnover between sub-squares (points further above 1:1-line in Figure 2f,g) than for squares in the SWAFR (points closer to 1:1-line in Figure 2f,g)</w:t>
      </w:r>
      <w:r w:rsidR="00DB192A">
        <w:t>.</w:t>
      </w:r>
    </w:p>
    <w:p w:rsidR="00D04776" w:rsidRDefault="00DD7307">
      <w:pPr>
        <w:pStyle w:val="Heading2"/>
        <w:spacing w:line="240" w:lineRule="auto"/>
      </w:pPr>
      <w:r>
        <w:t>3.2</w:t>
      </w:r>
      <w:r w:rsidR="00462611">
        <w:t>:</w:t>
      </w:r>
      <w:r>
        <w:t xml:space="preserve"> </w:t>
      </w:r>
      <w:r w:rsidR="00D04776">
        <w:t>Comparing environmental heterogeneity</w:t>
      </w:r>
    </w:p>
    <w:p w:rsidR="00AD4DCC" w:rsidRDefault="00C512E9" w:rsidP="008A4E97">
      <w:pPr>
        <w:pStyle w:val="FirstParagraph"/>
      </w:pPr>
      <w:r w:rsidRPr="00916B93">
        <w:rPr>
          <w:i/>
        </w:rPr>
        <w:t>CLES</w:t>
      </w:r>
      <w:r>
        <w:t xml:space="preserve"> comparisons revealed</w:t>
      </w:r>
      <w:r w:rsidRPr="00916B93">
        <w:t xml:space="preserve"> the GCFR </w:t>
      </w:r>
      <w:r>
        <w:t>to</w:t>
      </w:r>
      <w:r w:rsidRPr="00916B93">
        <w:t xml:space="preserve"> </w:t>
      </w:r>
      <w:r>
        <w:t>be</w:t>
      </w:r>
      <w:r w:rsidRPr="00916B93">
        <w:t xml:space="preserve"> more heterogeneous</w:t>
      </w:r>
      <w:r w:rsidRPr="009A6ABA">
        <w:rPr>
          <w:lang w:val="en-ZA"/>
        </w:rPr>
        <w:t xml:space="preserve"> </w:t>
      </w:r>
      <w:r w:rsidRPr="00916B93">
        <w:t xml:space="preserve">than the SWAFR </w:t>
      </w:r>
      <w:r>
        <w:t>in</w:t>
      </w:r>
      <w:r w:rsidRPr="00916B93">
        <w:t xml:space="preserve"> all nine environmental variables, </w:t>
      </w:r>
      <w:r>
        <w:t xml:space="preserve">and </w:t>
      </w:r>
      <w:r w:rsidRPr="00916B93">
        <w:t>across the full range of spatial scales</w:t>
      </w:r>
      <w:r>
        <w:t xml:space="preserve"> </w:t>
      </w:r>
      <w:r w:rsidRPr="00916B93">
        <w:t>(</w:t>
      </w:r>
      <w:r>
        <w:t>Figure 3</w:t>
      </w:r>
      <w:r w:rsidRPr="00916B93">
        <w:t>)</w:t>
      </w:r>
      <w:r>
        <w:t>, w</w:t>
      </w:r>
      <w:r w:rsidR="00AD1230">
        <w:t xml:space="preserve">ith a few exceptions </w:t>
      </w:r>
      <w:r w:rsidR="00E07C7E">
        <w:t xml:space="preserve">at the </w:t>
      </w:r>
      <w:r w:rsidR="007C1840">
        <w:t xml:space="preserve">broadest, </w:t>
      </w:r>
      <w:r w:rsidR="00E07C7E">
        <w:t xml:space="preserve">DS-scale </w:t>
      </w:r>
      <w:r w:rsidR="00AD1230">
        <w:t>(</w:t>
      </w:r>
      <w:r>
        <w:t xml:space="preserve">i.e. </w:t>
      </w:r>
      <w:r w:rsidR="00AD1230">
        <w:t>MAP, NDVI</w:t>
      </w:r>
      <w:r w:rsidR="005A72A8">
        <w:t xml:space="preserve">, </w:t>
      </w:r>
      <w:r w:rsidR="00AD1230">
        <w:t>CEC</w:t>
      </w:r>
      <w:r w:rsidR="005A72A8">
        <w:t>, clay and soil C</w:t>
      </w:r>
      <w:r w:rsidR="00AD1230">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rsidR="0061413B">
        <w:t xml:space="preserve">ca. </w:t>
      </w:r>
      <w:r w:rsidR="00816F2B" w:rsidRPr="007974D6">
        <w:t>38</w:t>
      </w:r>
      <w:r w:rsidR="00FA78DF" w:rsidRPr="007974D6">
        <w:t>%</w:t>
      </w:r>
      <w:r w:rsidR="00FA78DF" w:rsidRPr="00916B93">
        <w:t xml:space="preserve"> </w:t>
      </w:r>
      <w:r w:rsidR="00C52934">
        <w:t xml:space="preserve">(at the </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ca. 50</w:t>
      </w:r>
      <w:r w:rsidR="00FA78DF" w:rsidRPr="00916B93">
        <w:t xml:space="preserve">% </w:t>
      </w:r>
      <w:r w:rsidR="00C52934">
        <w:t>(at the DS-scale</w:t>
      </w:r>
      <w:r w:rsidR="00371F27">
        <w:t>; Figure S4d</w:t>
      </w:r>
      <w:r w:rsidR="00C52934">
        <w:t xml:space="preserve">) </w:t>
      </w:r>
      <w:r w:rsidR="00FA78DF" w:rsidRPr="00916B93">
        <w:t xml:space="preserve">of the 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w:t>
      </w:r>
      <w:r w:rsidR="00AB21A1" w:rsidRPr="009A6ABA">
        <w:rPr>
          <w:lang w:val="en-ZA"/>
        </w:rPr>
        <w:lastRenderedPageBreak/>
        <w:t xml:space="preserve">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w:t>
      </w:r>
      <w:r w:rsidR="00E31D78">
        <w:rPr>
          <w:lang w:val="en-ZA"/>
        </w:rPr>
        <w:t xml:space="preserve">(as expected) </w:t>
      </w:r>
      <w:r w:rsidR="00E67A7C" w:rsidRPr="009A6ABA">
        <w:rPr>
          <w:lang w:val="en-ZA"/>
        </w:rPr>
        <w:t>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E67A7C" w:rsidRPr="009A6ABA">
        <w:t>–</w:t>
      </w:r>
      <w:r w:rsidR="000962CB">
        <w:t>i</w:t>
      </w:r>
      <w:r w:rsidR="00E67A7C" w:rsidRPr="009A6ABA">
        <w:t>)</w:t>
      </w:r>
      <w:r w:rsidR="00F3440B">
        <w:rPr>
          <w:lang w:val="en-ZA"/>
        </w:rPr>
        <w:t>.</w:t>
      </w:r>
    </w:p>
    <w:p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more heterogeneous at broad scales)</w:t>
      </w:r>
      <w:r w:rsidR="00346C28">
        <w:t>, with the notable 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rsidR="00D04776" w:rsidRPr="00AF0968" w:rsidRDefault="00DD7307" w:rsidP="008A4E97">
      <w:pPr>
        <w:pStyle w:val="Heading2"/>
        <w:spacing w:line="240" w:lineRule="auto"/>
        <w:rPr>
          <w:color w:val="auto"/>
        </w:rPr>
      </w:pPr>
      <w:r w:rsidRPr="00AF0968">
        <w:rPr>
          <w:color w:val="auto"/>
        </w:rPr>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rsidR="009B180C" w:rsidRPr="007031A0" w:rsidRDefault="006B7A26" w:rsidP="008F4C08">
      <w:pPr>
        <w:pStyle w:val="FirstParagraph"/>
        <w:rPr>
          <w:rFonts w:eastAsia="MS Mincho"/>
          <w:vertAlign w:val="subscript"/>
        </w:rPr>
      </w:pPr>
      <w:r>
        <w:t xml:space="preserve">The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 species richness in a consistently positive manner across the two study regions</w:t>
      </w:r>
      <w:r w:rsidR="00DF01F6" w:rsidRPr="007031A0">
        <w:rPr>
          <w:rFonts w:eastAsia="MS Mincho"/>
        </w:rPr>
        <w:t xml:space="preserve"> (exceptions being DS-scale elevation and CEC; Table 1c)</w:t>
      </w:r>
      <w:r w:rsidR="00F858E0" w:rsidRPr="007031A0">
        <w:rPr>
          <w:rFonts w:eastAsia="MS Mincho"/>
        </w:rPr>
        <w:t>.</w:t>
      </w:r>
      <w:r w:rsidR="0020209D" w:rsidRPr="007031A0">
        <w:rPr>
          <w:rFonts w:eastAsia="MS Mincho"/>
        </w:rPr>
        <w:t xml:space="preserve"> </w:t>
      </w:r>
      <w:r w:rsidR="001B3692" w:rsidRPr="007031A0">
        <w:rPr>
          <w:rFonts w:eastAsia="MS Mincho"/>
        </w:rPr>
        <w:t>Notably,</w:t>
      </w:r>
      <w:r w:rsidR="0020209D" w:rsidRPr="007031A0">
        <w:rPr>
          <w:rFonts w:eastAsia="MS Mincho"/>
        </w:rPr>
        <w:t xml:space="preserve"> “main effect </w:t>
      </w:r>
      <w:r w:rsidR="0020209D" w:rsidRPr="007031A0">
        <w:rPr>
          <w:rFonts w:eastAsia="MS Mincho" w:cs="Times New Roman"/>
        </w:rPr>
        <w:t>×</w:t>
      </w:r>
      <w:r w:rsidR="0020209D" w:rsidRPr="007031A0">
        <w:rPr>
          <w:rFonts w:eastAsia="MS Mincho"/>
        </w:rPr>
        <w:t xml:space="preserve"> region” models were optimal for some variables</w:t>
      </w:r>
      <w:r w:rsidR="001B3692" w:rsidRPr="007031A0">
        <w:rPr>
          <w:rFonts w:eastAsia="MS Mincho"/>
        </w:rPr>
        <w:t>.</w:t>
      </w:r>
      <w:r w:rsidR="0020209D" w:rsidRPr="007031A0">
        <w:rPr>
          <w:rFonts w:eastAsia="MS Mincho"/>
        </w:rPr>
        <w:t xml:space="preserve"> </w:t>
      </w:r>
      <w:r w:rsidR="001B3692" w:rsidRPr="007031A0">
        <w:rPr>
          <w:rFonts w:eastAsia="MS Mincho"/>
        </w:rPr>
        <w:t xml:space="preserve">Although, </w:t>
      </w:r>
      <w:r w:rsidR="0020209D" w:rsidRPr="007031A0">
        <w:rPr>
          <w:rFonts w:eastAsia="MS Mincho"/>
        </w:rPr>
        <w:t>the interaction terms associated with the</w:t>
      </w:r>
      <w:r w:rsidR="001B3692" w:rsidRPr="007031A0">
        <w:rPr>
          <w:rFonts w:eastAsia="MS Mincho"/>
        </w:rPr>
        <w:t>se either describe positive effect</w:t>
      </w:r>
      <w:r w:rsidR="009805EF">
        <w:rPr>
          <w:rFonts w:eastAsia="MS Mincho"/>
        </w:rPr>
        <w:t>s</w:t>
      </w:r>
      <w:r w:rsidR="001B3692" w:rsidRPr="007031A0">
        <w:rPr>
          <w:rFonts w:eastAsia="MS Mincho"/>
        </w:rPr>
        <w:t xml:space="preserve"> on richness in both regions</w:t>
      </w:r>
      <w:r w:rsidR="00A64381" w:rsidRPr="007031A0">
        <w:rPr>
          <w:rFonts w:eastAsia="MS Mincho"/>
        </w:rPr>
        <w:t xml:space="preserve"> or a positive effect in one region and negligible effect in the other (e.g. HDS-scale heterogeneity in clay; Table 1b).</w:t>
      </w:r>
      <w:r w:rsidR="007A6675" w:rsidRPr="007031A0">
        <w:rPr>
          <w:rFonts w:eastAsia="MS Mincho"/>
        </w:rPr>
        <w:t xml:space="preserve"> </w:t>
      </w:r>
      <w:r w:rsidR="00F554DF" w:rsidRPr="007031A0">
        <w:rPr>
          <w:rFonts w:eastAsia="MS Mincho"/>
        </w:rPr>
        <w:t>In addition</w:t>
      </w:r>
      <w:r w:rsidR="002C7612" w:rsidRPr="007031A0">
        <w:rPr>
          <w:rFonts w:eastAsia="MS Mincho"/>
        </w:rPr>
        <w:t>,</w:t>
      </w:r>
      <w:r w:rsidR="003E7233" w:rsidRPr="00CF397B">
        <w:t xml:space="preserve"> at the HDS- and DS-scales</w:t>
      </w:r>
      <w:r w:rsidR="00983D13" w:rsidRPr="00CF397B">
        <w:t>,</w:t>
      </w:r>
      <w:r w:rsidR="003E7233" w:rsidRPr="00CF397B">
        <w:t xml:space="preserve"> </w:t>
      </w:r>
      <w:r w:rsidR="002C7612" w:rsidRPr="007031A0">
        <w:rPr>
          <w:rFonts w:eastAsia="MS Mincho"/>
        </w:rPr>
        <w:t>the effect of</w:t>
      </w:r>
      <w:r w:rsidR="003E7233" w:rsidRPr="007031A0">
        <w:rPr>
          <w:rFonts w:eastAsia="MS Mincho"/>
        </w:rPr>
        <w:t xml:space="preserve"> </w:t>
      </w:r>
      <w:r w:rsidR="00EE05AD" w:rsidRPr="007031A0">
        <w:rPr>
          <w:rFonts w:eastAsia="MS Mincho"/>
        </w:rPr>
        <w:t xml:space="preserve">the major axis of </w:t>
      </w:r>
      <w:r w:rsidR="002C7612" w:rsidRPr="007031A0">
        <w:rPr>
          <w:rFonts w:eastAsia="MS Mincho"/>
        </w:rPr>
        <w:t xml:space="preserve">heterogeneity </w:t>
      </w:r>
      <w:r w:rsidR="00EE05AD" w:rsidRPr="007031A0">
        <w:rPr>
          <w:rFonts w:eastAsia="MS Mincho"/>
        </w:rPr>
        <w:t>(</w:t>
      </w:r>
      <w:r w:rsidR="002C7612" w:rsidRPr="007031A0">
        <w:rPr>
          <w:rFonts w:eastAsia="MS Mincho"/>
        </w:rPr>
        <w:t>PC1</w:t>
      </w:r>
      <w:r w:rsidR="00EE05AD" w:rsidRPr="007031A0">
        <w:rPr>
          <w:rFonts w:eastAsia="MS Mincho"/>
        </w:rPr>
        <w:t>)</w:t>
      </w:r>
      <w:r w:rsidR="002C7612" w:rsidRPr="007031A0">
        <w:rPr>
          <w:rFonts w:eastAsia="MS Mincho"/>
        </w:rPr>
        <w:t xml:space="preserve"> on </w:t>
      </w:r>
      <w:r w:rsidR="003E7233" w:rsidRPr="007031A0">
        <w:rPr>
          <w:rFonts w:eastAsia="MS Mincho"/>
        </w:rPr>
        <w:t xml:space="preserve">species richness </w:t>
      </w:r>
      <w:r w:rsidR="002C7612" w:rsidRPr="007031A0">
        <w:rPr>
          <w:rFonts w:eastAsia="MS Mincho"/>
        </w:rPr>
        <w:t>is uniform</w:t>
      </w:r>
      <w:r w:rsidR="00E64B6B" w:rsidRPr="007031A0">
        <w:rPr>
          <w:rFonts w:eastAsia="MS Mincho"/>
        </w:rPr>
        <w:t xml:space="preserve"> </w:t>
      </w:r>
      <w:r w:rsidR="003E7233" w:rsidRPr="007031A0">
        <w:rPr>
          <w:rFonts w:eastAsia="MS Mincho"/>
        </w:rPr>
        <w:t>across the two regions</w:t>
      </w:r>
      <w:r w:rsidR="00983D13" w:rsidRPr="007031A0">
        <w:rPr>
          <w:rFonts w:eastAsia="MS Mincho"/>
        </w:rPr>
        <w:t xml:space="preserve"> (</w:t>
      </w:r>
      <w:r w:rsidR="00A23494" w:rsidRPr="007031A0">
        <w:rPr>
          <w:rFonts w:eastAsia="MS Mincho"/>
        </w:rPr>
        <w:t>i.e. “main effect</w:t>
      </w:r>
      <w:r w:rsidR="00EC5B19" w:rsidRPr="007031A0">
        <w:rPr>
          <w:rFonts w:eastAsia="MS Mincho"/>
        </w:rPr>
        <w:t xml:space="preserve"> only</w:t>
      </w:r>
      <w:r w:rsidR="00A23494" w:rsidRPr="007031A0">
        <w:rPr>
          <w:rFonts w:eastAsia="MS Mincho"/>
        </w:rPr>
        <w:t xml:space="preserve">” model favoured: </w:t>
      </w:r>
      <w:r w:rsidR="00983D13" w:rsidRPr="007031A0">
        <w:rPr>
          <w:rFonts w:eastAsia="MS Mincho"/>
        </w:rPr>
        <w:t xml:space="preserve">Table </w:t>
      </w:r>
      <w:r w:rsidR="008B0E3F" w:rsidRPr="007031A0">
        <w:rPr>
          <w:rFonts w:eastAsia="MS Mincho"/>
        </w:rPr>
        <w:t>1</w:t>
      </w:r>
      <w:r w:rsidR="00983D13" w:rsidRPr="007031A0">
        <w:rPr>
          <w:rFonts w:eastAsia="MS Mincho"/>
        </w:rPr>
        <w:t xml:space="preserve">b,c; </w:t>
      </w:r>
      <w:r w:rsidR="00B02E73" w:rsidRPr="007031A0">
        <w:rPr>
          <w:rFonts w:eastAsia="MS Mincho"/>
        </w:rPr>
        <w:t xml:space="preserve">Figure </w:t>
      </w:r>
      <w:r w:rsidR="00FF0F3A" w:rsidRPr="007031A0">
        <w:rPr>
          <w:rFonts w:eastAsia="MS Mincho"/>
        </w:rPr>
        <w:t>4</w:t>
      </w:r>
      <w:r w:rsidR="00983D13" w:rsidRPr="007031A0">
        <w:rPr>
          <w:rFonts w:eastAsia="MS Mincho"/>
        </w:rPr>
        <w:t>b,c)</w:t>
      </w:r>
      <w:r w:rsidR="003E7233" w:rsidRPr="007031A0">
        <w:rPr>
          <w:rFonts w:eastAsia="MS Mincho"/>
        </w:rPr>
        <w:t>.</w:t>
      </w:r>
      <w:r w:rsidR="008F4C08" w:rsidRPr="007031A0">
        <w:rPr>
          <w:rFonts w:eastAsia="MS Mincho"/>
        </w:rPr>
        <w:t xml:space="preserve"> At the QDS-scale, though</w:t>
      </w:r>
      <w:r w:rsidR="001A7D58" w:rsidRPr="007031A0">
        <w:rPr>
          <w:rFonts w:eastAsia="MS Mincho" w:cs="Times New Roman"/>
        </w:rPr>
        <w:t xml:space="preserve"> the </w:t>
      </w:r>
      <w:r w:rsidR="008F4C08">
        <w:rPr>
          <w:rFonts w:cs="Times New Roman"/>
        </w:rPr>
        <w:t>“m</w:t>
      </w:r>
      <w:r w:rsidR="008F4C08" w:rsidRPr="004C6C44">
        <w:rPr>
          <w:rFonts w:cs="Times New Roman"/>
        </w:rPr>
        <w:t>ain effect + region</w:t>
      </w:r>
      <w:r w:rsidR="008F4C08">
        <w:rPr>
          <w:rFonts w:cs="Times New Roman"/>
        </w:rPr>
        <w:t>”</w:t>
      </w:r>
      <w:r w:rsidR="008F4C08" w:rsidRPr="007031A0">
        <w:rPr>
          <w:rFonts w:eastAsia="MS Mincho" w:cs="Times New Roman"/>
        </w:rPr>
        <w:t xml:space="preserve"> model was favoured, the difference in intercepts between the GCFR and SWAFR (92.5 species; Table 1a</w:t>
      </w:r>
      <w:r w:rsidR="007E43C4" w:rsidRPr="007031A0">
        <w:rPr>
          <w:rFonts w:eastAsia="MS Mincho" w:cs="Times New Roman"/>
        </w:rPr>
        <w:t>; Figure 4a</w:t>
      </w:r>
      <w:r w:rsidR="008F4C08" w:rsidRPr="007031A0">
        <w:rPr>
          <w:rFonts w:eastAsia="MS Mincho" w:cs="Times New Roman"/>
        </w:rPr>
        <w:t>) is</w:t>
      </w:r>
      <w:r w:rsidR="003E77D9" w:rsidRPr="007031A0">
        <w:rPr>
          <w:rFonts w:eastAsia="MS Mincho" w:cs="Times New Roman"/>
        </w:rPr>
        <w:t xml:space="preserve"> </w:t>
      </w:r>
      <w:r w:rsidR="008F4C08" w:rsidRPr="007031A0">
        <w:rPr>
          <w:rFonts w:eastAsia="MS Mincho" w:cs="Times New Roman"/>
        </w:rPr>
        <w:t>small</w:t>
      </w:r>
      <w:r w:rsidR="001A7D58" w:rsidRPr="007031A0">
        <w:rPr>
          <w:rFonts w:eastAsia="MS Mincho" w:cs="Times New Roman"/>
        </w:rPr>
        <w:t xml:space="preserve"> relative to the </w:t>
      </w:r>
      <w:r w:rsidR="00827247" w:rsidRPr="007031A0">
        <w:rPr>
          <w:rFonts w:eastAsia="MS Mincho" w:cs="Times New Roman"/>
        </w:rPr>
        <w:t xml:space="preserve">spread of residual </w:t>
      </w:r>
      <w:r w:rsidR="001A7D58" w:rsidRPr="007031A0">
        <w:rPr>
          <w:rFonts w:eastAsia="MS Mincho" w:cs="Times New Roman"/>
        </w:rPr>
        <w:t xml:space="preserve">species richness </w:t>
      </w:r>
      <w:r w:rsidR="009E0429" w:rsidRPr="007031A0">
        <w:rPr>
          <w:rFonts w:eastAsia="MS Mincho" w:cs="Times New Roman"/>
        </w:rPr>
        <w:t xml:space="preserve">at the </w:t>
      </w:r>
      <w:r w:rsidR="001A7D58" w:rsidRPr="007031A0">
        <w:rPr>
          <w:rFonts w:eastAsia="MS Mincho" w:cs="Times New Roman"/>
        </w:rPr>
        <w:t>QDS</w:t>
      </w:r>
      <w:r w:rsidR="009E0429" w:rsidRPr="007031A0">
        <w:rPr>
          <w:rFonts w:eastAsia="MS Mincho" w:cs="Times New Roman"/>
        </w:rPr>
        <w:t>-scale within</w:t>
      </w:r>
      <w:r w:rsidR="001A7D58" w:rsidRPr="007031A0">
        <w:rPr>
          <w:rFonts w:eastAsia="MS Mincho" w:cs="Times New Roman"/>
        </w:rPr>
        <w:t xml:space="preserve"> </w:t>
      </w:r>
      <w:r w:rsidR="009E0429" w:rsidRPr="007031A0">
        <w:rPr>
          <w:rFonts w:eastAsia="MS Mincho" w:cs="Times New Roman"/>
        </w:rPr>
        <w:t xml:space="preserve">each region </w:t>
      </w:r>
      <w:r w:rsidR="001A7D58" w:rsidRPr="00CF397B">
        <w:t>(</w:t>
      </w:r>
      <w:r w:rsidR="001A7D58" w:rsidRPr="00CF397B">
        <w:rPr>
          <w:i/>
          <w:iCs/>
        </w:rPr>
        <w:t>SD</w:t>
      </w:r>
      <w:r w:rsidR="00827247" w:rsidRPr="00CF397B">
        <w:rPr>
          <w:iCs/>
          <w:vertAlign w:val="subscript"/>
        </w:rPr>
        <w:t>GCFR</w:t>
      </w:r>
      <w:r w:rsidR="001A7D58" w:rsidRPr="00CF397B">
        <w:t xml:space="preserve"> = </w:t>
      </w:r>
      <w:r w:rsidR="00827247" w:rsidRPr="00CF397B">
        <w:t>3</w:t>
      </w:r>
      <w:r w:rsidR="008F4C08">
        <w:t>43.5</w:t>
      </w:r>
      <w:r w:rsidR="00827247" w:rsidRPr="00CF397B">
        <w:t xml:space="preserve">; </w:t>
      </w:r>
      <w:r w:rsidR="00827247" w:rsidRPr="00CF397B">
        <w:rPr>
          <w:i/>
          <w:iCs/>
        </w:rPr>
        <w:t>SD</w:t>
      </w:r>
      <w:r w:rsidR="00827247" w:rsidRPr="00CF397B">
        <w:rPr>
          <w:iCs/>
          <w:vertAlign w:val="subscript"/>
        </w:rPr>
        <w:t>SWAFR</w:t>
      </w:r>
      <w:r w:rsidR="00827247" w:rsidRPr="00CF397B">
        <w:t xml:space="preserve"> = 24</w:t>
      </w:r>
      <w:r w:rsidR="008F4C08">
        <w:t>5</w:t>
      </w:r>
      <w:r w:rsidR="00827247" w:rsidRPr="00CF397B">
        <w:t>.</w:t>
      </w:r>
      <w:r w:rsidR="008F4C08">
        <w:t>8</w:t>
      </w:r>
      <w:r w:rsidR="00496FAE" w:rsidRPr="009958EA">
        <w:t>; Table S</w:t>
      </w:r>
      <w:r w:rsidR="00AF3227" w:rsidRPr="009958EA">
        <w:t>3</w:t>
      </w:r>
      <w:r w:rsidR="00496FAE" w:rsidRPr="009958EA">
        <w:t>a</w:t>
      </w:r>
      <w:r w:rsidR="001A7D58" w:rsidRPr="00CF397B">
        <w:t>).</w:t>
      </w:r>
      <w:r w:rsidR="007F71F9" w:rsidRPr="007031A0">
        <w:rPr>
          <w:rFonts w:eastAsia="MS Mincho" w:cs="Times New Roman"/>
        </w:rPr>
        <w:t xml:space="preserve"> </w:t>
      </w:r>
      <w:r w:rsidR="001A7D58" w:rsidRPr="007031A0">
        <w:rPr>
          <w:rFonts w:eastAsia="MS Mincho" w:cs="Times New Roman"/>
        </w:rPr>
        <w:t xml:space="preserve">This </w:t>
      </w:r>
      <w:r w:rsidR="00A46153" w:rsidRPr="007031A0">
        <w:rPr>
          <w:rFonts w:eastAsia="MS Mincho" w:cs="Times New Roman"/>
        </w:rPr>
        <w:t>indicates</w:t>
      </w:r>
      <w:r w:rsidR="001A7D58" w:rsidRPr="007031A0">
        <w:rPr>
          <w:rFonts w:eastAsia="MS Mincho" w:cs="Times New Roman"/>
        </w:rPr>
        <w:t xml:space="preserve"> that </w:t>
      </w:r>
      <w:r w:rsidR="002644D2" w:rsidRPr="007031A0">
        <w:rPr>
          <w:rFonts w:eastAsia="MS Mincho" w:cs="Times New Roman"/>
        </w:rPr>
        <w:t xml:space="preserve">regional differences in the form of the </w:t>
      </w:r>
      <w:r w:rsidR="009E0429" w:rsidRPr="007031A0">
        <w:rPr>
          <w:rFonts w:eastAsia="MS Mincho" w:cs="Times New Roman"/>
        </w:rPr>
        <w:t xml:space="preserve">QDS-scale </w:t>
      </w:r>
      <w:r w:rsidR="002644D2" w:rsidRPr="007031A0">
        <w:rPr>
          <w:rFonts w:eastAsia="MS Mincho" w:cs="Times New Roman"/>
        </w:rPr>
        <w:t>richness-heterogeneity relationship</w:t>
      </w:r>
      <w:r w:rsidR="00EB3F26" w:rsidRPr="00CF397B">
        <w:t>, while statistically significant,</w:t>
      </w:r>
      <w:r w:rsidR="001A7D58" w:rsidRPr="007031A0">
        <w:rPr>
          <w:rFonts w:eastAsia="MS Mincho" w:cs="Times New Roman"/>
        </w:rPr>
        <w:t xml:space="preserve"> are </w:t>
      </w:r>
      <w:r w:rsidR="009B4280" w:rsidRPr="007031A0">
        <w:rPr>
          <w:rFonts w:eastAsia="MS Mincho" w:cs="Times New Roman"/>
        </w:rPr>
        <w:t>subtle</w:t>
      </w:r>
      <w:r w:rsidR="001A7D58" w:rsidRPr="007031A0">
        <w:rPr>
          <w:rFonts w:eastAsia="MS Mincho" w:cs="Times New Roman"/>
        </w:rPr>
        <w:t>.</w:t>
      </w:r>
      <w:r w:rsidR="00484C8F" w:rsidRPr="007031A0">
        <w:rPr>
          <w:rFonts w:eastAsia="MS Mincho" w:cs="Times New Roman"/>
        </w:rPr>
        <w:t xml:space="preserve"> Quadratic forms of these best fitting PC1-models were also compared, with the above linear forms of the “</w:t>
      </w:r>
      <w:r w:rsidR="00484C8F" w:rsidRPr="007031A0">
        <w:rPr>
          <w:rFonts w:eastAsia="MS Mincho"/>
        </w:rPr>
        <w:t>main effect only</w:t>
      </w:r>
      <w:r w:rsidR="00484C8F" w:rsidRPr="007031A0">
        <w:rPr>
          <w:rFonts w:eastAsia="MS Mincho" w:cs="Times New Roman"/>
        </w:rPr>
        <w:t>” models favoured at both the HDS- and DS-scales (</w:t>
      </w:r>
      <w:r w:rsidR="00484C8F" w:rsidRPr="007031A0">
        <w:rPr>
          <w:rFonts w:eastAsia="MS Mincho" w:cs="Times New Roman"/>
          <w:i/>
          <w:iCs/>
        </w:rPr>
        <w:t>∆AIC</w:t>
      </w:r>
      <w:r w:rsidR="00484C8F" w:rsidRPr="007031A0">
        <w:rPr>
          <w:rFonts w:eastAsia="MS Mincho" w:cs="Times New Roman"/>
          <w:i/>
          <w:iCs/>
          <w:vertAlign w:val="subscript"/>
        </w:rPr>
        <w:t>linear</w:t>
      </w:r>
      <w:r w:rsidR="00484C8F" w:rsidRPr="007031A0">
        <w:rPr>
          <w:rFonts w:eastAsia="MS Mincho" w:cs="Times New Roman"/>
          <w:i/>
          <w:iCs/>
        </w:rPr>
        <w:t xml:space="preserve"> </w:t>
      </w:r>
      <w:r w:rsidR="00484C8F" w:rsidRPr="007031A0">
        <w:rPr>
          <w:rFonts w:eastAsia="MS Mincho" w:cs="Times New Roman"/>
        </w:rPr>
        <w:t xml:space="preserve">&lt; 2). At the QDS-scale, however, a quadratic model (i.e., of the form </w:t>
      </w:r>
      <w:r w:rsidR="00484C8F" w:rsidRPr="007031A0">
        <w:rPr>
          <w:rFonts w:eastAsia="MS Mincho"/>
          <w:i/>
        </w:rPr>
        <w:t>S</w:t>
      </w:r>
      <w:r w:rsidR="00484C8F" w:rsidRPr="007031A0">
        <w:rPr>
          <w:rFonts w:eastAsia="MS Mincho"/>
        </w:rPr>
        <w:t xml:space="preserve"> ~ </w:t>
      </w:r>
      <w:r w:rsidR="00484C8F" w:rsidRPr="007031A0">
        <w:rPr>
          <w:rFonts w:cs="Times New Roman"/>
          <w:i/>
        </w:rPr>
        <w:t>β</w:t>
      </w:r>
      <w:r w:rsidR="00484C8F" w:rsidRPr="007031A0">
        <w:rPr>
          <w:rFonts w:cs="Times New Roman"/>
          <w:vertAlign w:val="subscript"/>
        </w:rPr>
        <w:t>0</w:t>
      </w:r>
      <w:r w:rsidR="00484C8F" w:rsidRPr="007031A0">
        <w:rPr>
          <w:rFonts w:cs="Times New Roman"/>
        </w:rPr>
        <w:t xml:space="preserve"> + </w:t>
      </w:r>
      <w:r w:rsidR="00484C8F" w:rsidRPr="007031A0">
        <w:rPr>
          <w:rFonts w:cs="Times New Roman"/>
          <w:i/>
        </w:rPr>
        <w:t>β</w:t>
      </w:r>
      <w:r w:rsidR="00484C8F" w:rsidRPr="007031A0">
        <w:rPr>
          <w:rFonts w:cs="Times New Roman"/>
          <w:vertAlign w:val="subscript"/>
        </w:rPr>
        <w:t>1</w:t>
      </w:r>
      <w:r w:rsidR="00484C8F" w:rsidRPr="007031A0">
        <w:rPr>
          <w:rFonts w:cs="Times New Roman"/>
          <w:i/>
        </w:rPr>
        <w:t>X + β</w:t>
      </w:r>
      <w:r w:rsidR="00484C8F" w:rsidRPr="007031A0">
        <w:rPr>
          <w:rFonts w:cs="Times New Roman"/>
          <w:vertAlign w:val="subscript"/>
        </w:rPr>
        <w:t>2</w:t>
      </w:r>
      <w:r w:rsidR="00484C8F" w:rsidRPr="007031A0">
        <w:rPr>
          <w:rFonts w:cs="Times New Roman"/>
          <w:i/>
        </w:rPr>
        <w:t>X</w:t>
      </w:r>
      <w:r w:rsidR="00484C8F" w:rsidRPr="007031A0">
        <w:rPr>
          <w:rFonts w:cs="Times New Roman"/>
          <w:iCs/>
          <w:vertAlign w:val="superscript"/>
        </w:rPr>
        <w:t>2</w:t>
      </w:r>
      <w:r w:rsidR="00484C8F" w:rsidRPr="007031A0">
        <w:rPr>
          <w:rFonts w:cs="Times New Roman"/>
          <w:iCs/>
        </w:rPr>
        <w:t xml:space="preserve">) was favoured </w:t>
      </w:r>
      <w:r w:rsidR="00484C8F" w:rsidRPr="007031A0">
        <w:rPr>
          <w:rFonts w:eastAsia="MS Mincho" w:cs="Times New Roman"/>
        </w:rPr>
        <w:t>(</w:t>
      </w:r>
      <w:r w:rsidR="00484C8F" w:rsidRPr="007031A0">
        <w:rPr>
          <w:rFonts w:eastAsia="MS Mincho" w:cs="Times New Roman"/>
          <w:i/>
          <w:iCs/>
        </w:rPr>
        <w:t>∆AIC</w:t>
      </w:r>
      <w:r w:rsidR="00484C8F" w:rsidRPr="007031A0">
        <w:rPr>
          <w:rFonts w:eastAsia="MS Mincho" w:cs="Times New Roman"/>
          <w:i/>
          <w:iCs/>
          <w:vertAlign w:val="subscript"/>
        </w:rPr>
        <w:t>linear</w:t>
      </w:r>
      <w:r w:rsidR="00484C8F" w:rsidRPr="007031A0">
        <w:rPr>
          <w:rFonts w:eastAsia="MS Mincho" w:cs="Times New Roman"/>
          <w:i/>
          <w:iCs/>
        </w:rPr>
        <w:t xml:space="preserve"> </w:t>
      </w:r>
      <w:r w:rsidR="00484C8F" w:rsidRPr="007031A0">
        <w:rPr>
          <w:rFonts w:eastAsia="MS Mincho" w:cs="Times New Roman"/>
        </w:rPr>
        <w:t>= 23.78)</w:t>
      </w:r>
      <w:r w:rsidR="00E4510A" w:rsidRPr="007031A0">
        <w:rPr>
          <w:rFonts w:eastAsia="MS Mincho" w:cs="Times New Roman"/>
        </w:rPr>
        <w:t>, with positive effects of PC1 on richness (</w:t>
      </w:r>
      <w:r w:rsidR="00E4510A" w:rsidRPr="007031A0">
        <w:rPr>
          <w:rFonts w:cs="Times New Roman"/>
          <w:i/>
        </w:rPr>
        <w:t>β</w:t>
      </w:r>
      <w:r w:rsidR="00E4510A" w:rsidRPr="007031A0">
        <w:rPr>
          <w:rFonts w:cs="Times New Roman"/>
          <w:vertAlign w:val="subscript"/>
        </w:rPr>
        <w:t>1</w:t>
      </w:r>
      <w:r w:rsidR="00E4510A" w:rsidRPr="007031A0">
        <w:rPr>
          <w:rFonts w:eastAsia="MS Mincho" w:cs="Times New Roman"/>
        </w:rPr>
        <w:t xml:space="preserve"> = 69.02, </w:t>
      </w:r>
      <w:r w:rsidR="00E4510A" w:rsidRPr="007031A0">
        <w:rPr>
          <w:rFonts w:cs="Times New Roman"/>
          <w:i/>
        </w:rPr>
        <w:t>β</w:t>
      </w:r>
      <w:r w:rsidR="00E4510A" w:rsidRPr="007031A0">
        <w:rPr>
          <w:rFonts w:cs="Times New Roman"/>
          <w:vertAlign w:val="subscript"/>
        </w:rPr>
        <w:t>2</w:t>
      </w:r>
      <w:r w:rsidR="00E4510A" w:rsidRPr="007031A0">
        <w:rPr>
          <w:rFonts w:eastAsia="MS Mincho" w:cs="Times New Roman"/>
        </w:rPr>
        <w:t xml:space="preserve"> = 9.99; both </w:t>
      </w:r>
      <w:r w:rsidR="00E4510A" w:rsidRPr="007031A0">
        <w:rPr>
          <w:rFonts w:eastAsia="MS Mincho" w:cs="Times New Roman"/>
          <w:i/>
          <w:iCs/>
        </w:rPr>
        <w:t xml:space="preserve">P </w:t>
      </w:r>
      <w:r w:rsidR="00E4510A" w:rsidRPr="007031A0">
        <w:rPr>
          <w:rFonts w:eastAsia="MS Mincho" w:cs="Times New Roman"/>
        </w:rPr>
        <w:t>&lt; 0.001)</w:t>
      </w:r>
      <w:r w:rsidR="00880860" w:rsidRPr="007031A0">
        <w:rPr>
          <w:rFonts w:eastAsia="MS Mincho" w:cs="Times New Roman"/>
        </w:rPr>
        <w:t xml:space="preserve"> describing an upward</w:t>
      </w:r>
      <w:r w:rsidR="00D908FD" w:rsidRPr="007031A0">
        <w:rPr>
          <w:rFonts w:eastAsia="MS Mincho" w:cs="Times New Roman"/>
        </w:rPr>
        <w:t>-opening</w:t>
      </w:r>
      <w:r w:rsidR="00880860" w:rsidRPr="007031A0">
        <w:rPr>
          <w:rFonts w:eastAsia="MS Mincho" w:cs="Times New Roman"/>
        </w:rPr>
        <w:t xml:space="preserve"> parabolic relationship</w:t>
      </w:r>
      <w:r w:rsidR="00E4510A" w:rsidRPr="007031A0">
        <w:rPr>
          <w:rFonts w:eastAsia="MS Mincho" w:cs="Times New Roman"/>
        </w:rPr>
        <w:t>.</w:t>
      </w:r>
    </w:p>
    <w:p w:rsidR="006C54AE" w:rsidRDefault="00C31973">
      <w:pPr>
        <w:pStyle w:val="FirstParagraph"/>
      </w:pPr>
      <w:r>
        <w:t xml:space="preserve">We fit multiple regression models to describe the effects of the different heterogeneity </w:t>
      </w:r>
      <w:r w:rsidR="00B335D2">
        <w:t xml:space="preserve">variables </w:t>
      </w:r>
      <w:r>
        <w:t xml:space="preserve">on species richness in concert.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E22B64">
        <w:t>usually</w:t>
      </w:r>
      <w:r w:rsidR="00E22B64" w:rsidRPr="00866807">
        <w:t xml:space="preserve"> positive or</w:t>
      </w:r>
      <w:r w:rsidR="00E22B64">
        <w:t xml:space="preserve"> neutral in the GCFR and positive or neutral in the SWAFR</w:t>
      </w:r>
      <w:r w:rsidR="00F5006E">
        <w:t>. E</w:t>
      </w:r>
      <w:r w:rsidR="00B930DF" w:rsidRPr="00866807">
        <w:t>xception</w:t>
      </w:r>
      <w:r w:rsidR="00E22B64">
        <w:t xml:space="preserve">s </w:t>
      </w:r>
      <w:r w:rsidR="00F5006E">
        <w:t>are</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PDQ at 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866807" w:rsidRPr="00E22B64">
        <w:t xml:space="preserve">This </w:t>
      </w:r>
      <w:r w:rsidR="004A2BCB" w:rsidRPr="00E22B64">
        <w:t>adds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F203C8">
        <w:t xml:space="preserve"> and in most forms of heterogeneity when compared in isolation (Table 1)</w:t>
      </w:r>
      <w:r w:rsidR="004E394A">
        <w:t xml:space="preserve">. </w:t>
      </w:r>
      <w:r w:rsidR="008C7E5A">
        <w:t>Interestingly, DS-scale heterogeneity in elevation and CEC have both negative univariate (Table 1c) and partial (Figure 5c) effects.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a,b</w:t>
      </w:r>
      <w:r w:rsidR="0032574D" w:rsidRPr="00A12A8F">
        <w:t>)</w:t>
      </w:r>
      <w:r w:rsidR="00350FE5" w:rsidRPr="00A12A8F">
        <w:t>.</w:t>
      </w:r>
      <w:r>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0F1BFC">
        <w:t>’</w:t>
      </w:r>
      <w:r w:rsidR="00262F02" w:rsidRPr="00CF397B">
        <w:t xml:space="preserve"> dependence to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the effects of these variables estimated in the GCFR</w:t>
      </w:r>
      <w:r w:rsidR="0078755A">
        <w:t xml:space="preserve">. This indicates </w:t>
      </w:r>
      <w:r w:rsidR="0019274F">
        <w:t xml:space="preserve">weaker or absent partial relationships between </w:t>
      </w:r>
      <w:r w:rsidR="0072394C">
        <w:t xml:space="preserve">richness and </w:t>
      </w:r>
      <w:r w:rsidR="0019274F">
        <w:t>the different forms of heterogeneity in the SWAFR</w:t>
      </w:r>
      <w:r w:rsidR="002A0395">
        <w:t>.</w:t>
      </w:r>
    </w:p>
    <w:p w:rsidR="00350FE5" w:rsidRDefault="00396132">
      <w:pPr>
        <w:pStyle w:val="FirstParagraph"/>
      </w:pPr>
      <w:r>
        <w:lastRenderedPageBreak/>
        <w:t>T</w:t>
      </w:r>
      <w:r w:rsidR="00E81245">
        <w:t>he coefficients of determi</w:t>
      </w:r>
      <w:r w:rsidR="006F4CB8">
        <w:t>nation associated with the opti</w:t>
      </w:r>
      <w:r w:rsidR="00E81245">
        <w:t>mum 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is </w:t>
      </w:r>
      <w:r w:rsidR="0090296A">
        <w:t xml:space="preserve">because </w:t>
      </w:r>
      <w:r w:rsidR="006F4CB8">
        <w:t xml:space="preserve">PC1 </w:t>
      </w:r>
      <w:r w:rsidR="0090296A">
        <w:t xml:space="preserve">does not </w:t>
      </w:r>
      <w:r w:rsidR="006F4CB8">
        <w:t xml:space="preserve">capture </w:t>
      </w:r>
      <w:r w:rsidR="00D24BB3">
        <w:t>all of the variation in</w:t>
      </w:r>
      <w:r w:rsidR="000075FC">
        <w:t xml:space="preserve"> </w:t>
      </w:r>
      <w:r w:rsidR="0090296A">
        <w:t xml:space="preserve">environmental heterogeneity </w:t>
      </w:r>
      <w:r w:rsidR="006F4CB8">
        <w:t>relevant to the prediction of species richness.</w:t>
      </w:r>
    </w:p>
    <w:p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e–h</w:t>
      </w:r>
      <w:r w:rsidR="00E42B45">
        <w:t>,</w:t>
      </w:r>
      <w:r w:rsidR="001B4B9F" w:rsidRPr="00514C5C">
        <w:t xml:space="preserve"> </w:t>
      </w:r>
      <w:r w:rsidR="00C00919">
        <w:t>S9</w:t>
      </w:r>
      <w:r w:rsidR="00514C5C" w:rsidRPr="00514C5C">
        <w:t>e–h</w:t>
      </w:r>
      <w:r w:rsidR="00E42B45">
        <w:t>,</w:t>
      </w:r>
      <w:r w:rsidR="00514C5C" w:rsidRPr="00514C5C">
        <w:t xml:space="preserve"> </w:t>
      </w:r>
      <w:r w:rsidR="00C00919">
        <w:t>S10</w:t>
      </w:r>
      <w:r w:rsidR="00514C5C" w:rsidRPr="00514C5C">
        <w:t>e–h</w:t>
      </w:r>
      <w:r w:rsidR="001B4B9F" w:rsidRPr="00514C5C">
        <w:t>)</w:t>
      </w:r>
      <w:r w:rsidR="006B7A26" w:rsidRPr="00514C5C">
        <w:t>.</w:t>
      </w:r>
      <w:r w:rsidR="006B7A26">
        <w:t xml:space="preserve"> For both the GCFR and SWAFR, outliers </w:t>
      </w:r>
      <w:r w:rsidR="00123A7A">
        <w:t>a</w:t>
      </w:r>
      <w:r w:rsidR="006B7A26">
        <w:t>r</w:t>
      </w:r>
      <w:r w:rsidR="00C64450">
        <w:t>e geographically clustered, in areas corresponding to recognized diversity centres</w:t>
      </w:r>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re concentrated in the Kogelberg-Hottentots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Lesueur, Perth, Stirling-Albany and Fitzgerald River </w:t>
      </w:r>
      <w:r w:rsidR="0028496B">
        <w:t>area</w:t>
      </w:r>
      <w:r w:rsidR="00C64450">
        <w:t>s</w:t>
      </w:r>
      <w:r w:rsidR="00AC3DE8">
        <w:t xml:space="preserve"> (Figure S5a,b; S6a,b; S9e</w:t>
      </w:r>
      <w:r w:rsidR="00AC3DE8" w:rsidRPr="00514C5C">
        <w:t>–</w:t>
      </w:r>
      <w:r w:rsidR="00AC3DE8">
        <w:t>h)</w:t>
      </w:r>
      <w:r w:rsidR="00C64450">
        <w:t>.</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w:t>
      </w:r>
      <w:r w:rsidR="00AC3DE8">
        <w:t>Figure S5c,d; S6c,d; 1e</w:t>
      </w:r>
      <w:r w:rsidR="00AC3DE8" w:rsidRPr="00514C5C">
        <w:t>–</w:t>
      </w:r>
      <w:r w:rsidR="00AC3DE8">
        <w:t>h</w:t>
      </w:r>
      <w:r w:rsidR="00123A7A">
        <w:t>) and only one a</w:t>
      </w:r>
      <w:r w:rsidR="000C33EC">
        <w:t>t</w:t>
      </w:r>
      <w:r w:rsidR="001B4B9F">
        <w:t xml:space="preserve"> </w:t>
      </w:r>
      <w:r w:rsidR="006B0D68">
        <w:t>the DS-scale</w:t>
      </w:r>
      <w:r w:rsidR="00CC0CD9">
        <w:t xml:space="preserve"> when considering the PC1-based ANCOVAs’ residuals</w:t>
      </w:r>
      <w:r w:rsidR="006B0D68">
        <w:t xml:space="preserv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broader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(following 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0E7F00" w:rsidRPr="004C3A17">
        <w:t>after</w:t>
      </w:r>
      <w:r w:rsidR="00DC180F" w:rsidRPr="004C3A17">
        <w:t xml:space="preserve"> the omission of </w:t>
      </w:r>
      <w:r w:rsidR="00A70597" w:rsidRPr="004C3A17">
        <w:t>hotspots</w:t>
      </w:r>
      <w:r w:rsidR="00DC180F" w:rsidRPr="004C3A17">
        <w:t>.</w:t>
      </w:r>
    </w:p>
    <w:p w:rsidR="00F8593E" w:rsidRDefault="00DD7307">
      <w:pPr>
        <w:pStyle w:val="Heading1"/>
        <w:spacing w:line="240" w:lineRule="auto"/>
      </w:pPr>
      <w:r>
        <w:t>4</w:t>
      </w:r>
      <w:r w:rsidR="00765FAE">
        <w:t>:</w:t>
      </w:r>
      <w:r>
        <w:t xml:space="preserve"> </w:t>
      </w:r>
      <w:r w:rsidR="00F8593E" w:rsidRPr="00891FE6">
        <w:t>Discussion</w:t>
      </w:r>
    </w:p>
    <w:p w:rsidR="001E1442" w:rsidRDefault="006A4B08" w:rsidP="002C20EB">
      <w:pPr>
        <w:pStyle w:val="BodyText"/>
        <w:tabs>
          <w:tab w:val="left" w:pos="6189"/>
        </w:tabs>
      </w:pPr>
      <w:bookmarkStart w:id="7" w:name="tables"/>
      <w:r>
        <w:t>Consistent with a recent meta-analysis identifying environmental heterogeneity as a universal driver of species richness</w:t>
      </w:r>
      <w:r w:rsidR="00DD5CB7">
        <w:t xml:space="preserve"> </w:t>
      </w:r>
      <w:r w:rsidR="00404D92" w:rsidRPr="00404D92">
        <w:rPr>
          <w:noProof/>
        </w:rPr>
        <w:t>(Stein et al., 2014)</w:t>
      </w:r>
      <w:r>
        <w:t xml:space="preserve">, </w:t>
      </w:r>
      <w:r w:rsidR="00186541">
        <w:t>we found</w:t>
      </w:r>
      <w:r w:rsidR="00925DAC">
        <w:t xml:space="preserve"> heterogeneity to have a consistently positive influence on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w:t>
      </w:r>
      <w:r w:rsidR="006435FF">
        <w:t>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(Allouche et al., 2012; Carnicer et al., 2013)</w:t>
      </w:r>
      <w:r w:rsidR="000217F9">
        <w:t>, at least at the scales considered here</w:t>
      </w:r>
      <w:r w:rsidR="001155C0">
        <w:t>.</w:t>
      </w:r>
      <w:r w:rsidR="00004BFE">
        <w:t xml:space="preserve"> </w:t>
      </w:r>
      <w:r w:rsidR="001155C0">
        <w:t>A quadratic relationship between richness and heterogeneity was only favoured at the QDS-scale, and even then not representing a unimodal effect but a</w:t>
      </w:r>
      <w:r w:rsidR="00945C48">
        <w:t xml:space="preserve">n upward-opening </w:t>
      </w:r>
      <w:r w:rsidR="001155C0">
        <w:t xml:space="preserve">parabola. </w:t>
      </w:r>
      <w:r w:rsidR="002376C5">
        <w:t xml:space="preserve">Additionally, and </w:t>
      </w:r>
      <w:r w:rsidR="00670FB5">
        <w:t xml:space="preserve">also </w:t>
      </w:r>
      <w:r w:rsidR="00D13C71">
        <w:t xml:space="preserve">consistent with </w:t>
      </w:r>
      <w:r w:rsidR="00F703AD" w:rsidRPr="00F703AD">
        <w:rPr>
          <w:noProof/>
        </w:rPr>
        <w:t xml:space="preserve">Stein et al. </w:t>
      </w:r>
      <w:r w:rsidR="00732A4C">
        <w:rPr>
          <w:noProof/>
        </w:rPr>
        <w:t>(</w:t>
      </w:r>
      <w:r w:rsidR="00F703AD" w:rsidRPr="00F703AD">
        <w:rPr>
          <w:noProof/>
        </w:rPr>
        <w:t>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models</w:t>
      </w:r>
      <w:r w:rsidR="001E1442">
        <w:t xml:space="preserve"> </w:t>
      </w:r>
      <w:r w:rsidR="0090296A">
        <w:t>were</w:t>
      </w:r>
      <w:r w:rsidR="00186541">
        <w:t xml:space="preserve"> 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(Wüest et al.,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C85C59">
        <w:t xml:space="preserve">possibly </w:t>
      </w:r>
      <w:r w:rsidR="00D839BD">
        <w:t>ari</w:t>
      </w:r>
      <w:r w:rsidR="00A664B2">
        <w:t>ses</w:t>
      </w:r>
      <w:r w:rsidR="003617CF">
        <w:t xml:space="preserve"> </w:t>
      </w:r>
      <w:r w:rsidR="00B3606C">
        <w:t xml:space="preserve">as </w:t>
      </w:r>
      <w:r w:rsidR="00C85C59">
        <w:t>DS, in contrast to QDS and HDS,</w:t>
      </w:r>
      <w:r w:rsidR="00BE7B44">
        <w:t xml:space="preserve"> </w:t>
      </w:r>
      <w:r w:rsidR="004A40FE">
        <w:t>could be</w:t>
      </w:r>
      <w:r w:rsidR="003617CF">
        <w:t xml:space="preserve"> sufficiently large</w:t>
      </w:r>
      <w:r w:rsidR="00D13C71">
        <w:t xml:space="preserve"> </w:t>
      </w:r>
      <w:r w:rsidR="00304E84">
        <w:t xml:space="preserve">so as </w:t>
      </w:r>
      <w:r w:rsidR="00BE7B44">
        <w:t xml:space="preserve">to </w:t>
      </w:r>
      <w:r w:rsidR="00896B4A">
        <w:t>capture</w:t>
      </w:r>
      <w:r w:rsidR="00967E02">
        <w:t xml:space="preserve"> </w:t>
      </w:r>
      <w:r w:rsidR="0035011F">
        <w:t>differences in richness as a result of</w:t>
      </w:r>
      <w:r w:rsidR="00BE7B44">
        <w:t xml:space="preserve"> allopatric speci</w:t>
      </w:r>
      <w:r w:rsidR="00C85C59">
        <w:t>ation processes</w:t>
      </w:r>
      <w:r w:rsidR="00BE7B44">
        <w:t>.</w:t>
      </w:r>
    </w:p>
    <w:p w:rsidR="00E3070E" w:rsidRDefault="00966533" w:rsidP="00E3070E">
      <w:pPr>
        <w:pStyle w:val="BodyText"/>
        <w:tabs>
          <w:tab w:val="left" w:pos="6189"/>
        </w:tabs>
      </w:pPr>
      <w:r>
        <w:t xml:space="preserve">We </w:t>
      </w:r>
      <w:r w:rsidR="001E1442">
        <w:t>observ</w:t>
      </w:r>
      <w:r>
        <w:t>e</w:t>
      </w:r>
      <w:r w:rsidR="001E1442">
        <w:t xml:space="preserve"> species richness </w:t>
      </w:r>
      <w:r>
        <w:t xml:space="preserve">to </w:t>
      </w:r>
      <w:r w:rsidR="004F61BD">
        <w:t>r</w:t>
      </w:r>
      <w:r w:rsidR="005048A3">
        <w:t xml:space="preserve">espond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w:t>
      </w:r>
      <w:r w:rsidR="00682CBB">
        <w:t>. This</w:t>
      </w:r>
      <w:r w:rsidR="005048A3">
        <w:t xml:space="preserve"> suggests that the greater vascular plant species richness of the GCFR</w:t>
      </w:r>
      <w:r w:rsidR="001E1442">
        <w:t xml:space="preserve"> </w:t>
      </w:r>
      <w:r w:rsidR="005048A3">
        <w:t xml:space="preserve">is partly attributable to </w:t>
      </w:r>
      <w:r w:rsidR="00A342A8">
        <w:t>the</w:t>
      </w:r>
      <w:r w:rsidR="005048A3">
        <w:t xml:space="preserve"> greater </w:t>
      </w:r>
      <w:r w:rsidR="005048A3">
        <w:lastRenderedPageBreak/>
        <w:t>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(Cramer et al., 2014; Hart et al.,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463ED4">
        <w:t xml:space="preserve">turnover between </w:t>
      </w:r>
      <w:r w:rsidR="00274581">
        <w:t>QDS and HDS</w:t>
      </w:r>
      <w:r w:rsidR="00463ED4">
        <w:t xml:space="preserve">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w:t>
      </w:r>
      <w:r w:rsidR="00330A88">
        <w:t>GCFR</w:t>
      </w:r>
      <w:r w:rsidR="0072106C">
        <w:t xml:space="preserve">. This interpretation is consistent with </w:t>
      </w:r>
      <w:r w:rsidR="00496FD1">
        <w:t xml:space="preserve">existing </w:t>
      </w:r>
      <w:r w:rsidR="0072106C">
        <w:t>evidence for a high</w:t>
      </w:r>
      <w:r w:rsidR="0058677B">
        <w:t>er</w:t>
      </w:r>
      <w:r w:rsidR="0072106C">
        <w:t xml:space="preserve"> frequency of single-site endemic taxa in the Cape than in the Australian flora</w:t>
      </w:r>
      <w:r w:rsidR="002D7223">
        <w:t xml:space="preserve"> </w:t>
      </w:r>
      <w:r w:rsidR="002D7223" w:rsidRPr="002D7223">
        <w:rPr>
          <w:noProof/>
        </w:rPr>
        <w:t>(Linder, 2019)</w:t>
      </w:r>
      <w:r w:rsidR="00F65234">
        <w:t xml:space="preserve"> </w:t>
      </w:r>
      <w:r w:rsidR="00373B78">
        <w:t>(</w:t>
      </w:r>
      <w:r w:rsidR="00F65234">
        <w:t xml:space="preserve">and </w:t>
      </w:r>
      <w:r w:rsidR="00AB353B">
        <w:t xml:space="preserve">there is </w:t>
      </w:r>
      <w:r w:rsidR="00F65234">
        <w:t>evidence of such</w:t>
      </w:r>
      <w:r w:rsidR="00704131">
        <w:t xml:space="preserve"> </w:t>
      </w:r>
      <w:r w:rsidR="00F65234">
        <w:t xml:space="preserve">in our </w:t>
      </w:r>
      <w:r w:rsidR="00704131">
        <w:t>species occurrence dataset</w:t>
      </w:r>
      <w:r w:rsidR="00373B78">
        <w:t xml:space="preserve">; see </w:t>
      </w:r>
      <w:r w:rsidR="00704131">
        <w:t xml:space="preserve">Figure </w:t>
      </w:r>
      <w:r w:rsidR="00F06726">
        <w:t>S11</w:t>
      </w:r>
      <w:r w:rsidR="00704131">
        <w:t>).</w:t>
      </w:r>
    </w:p>
    <w:p w:rsidR="00DE487A" w:rsidRDefault="008E0304" w:rsidP="00E3070E">
      <w:pPr>
        <w:pStyle w:val="BodyText"/>
        <w:tabs>
          <w:tab w:val="left" w:pos="6189"/>
        </w:tabs>
      </w:pPr>
      <w:r w:rsidRPr="008E0304">
        <w:rPr>
          <w:highlight w:val="red"/>
        </w:rPr>
        <w:t>[CONT. HERE]</w:t>
      </w:r>
      <w:r>
        <w:t xml:space="preserve"> </w:t>
      </w:r>
      <w:r w:rsidR="005F5881">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rsidR="005F5881">
        <w:t xml:space="preserve">species richness </w:t>
      </w:r>
      <w:r w:rsidR="001F48A1">
        <w:t>on</w:t>
      </w:r>
      <w:r w:rsidR="000C6E98">
        <w:t xml:space="preserve"> </w:t>
      </w:r>
      <w:r w:rsidR="005F5881">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952699">
        <w:t xml:space="preserve">multiple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w:t>
      </w:r>
      <w:r w:rsidR="00952699">
        <w:t xml:space="preserve">fine-scale </w:t>
      </w:r>
      <w:r w:rsidR="001F48A1">
        <w:t xml:space="preserve">resolution of </w:t>
      </w:r>
      <w:r w:rsidR="003362FE">
        <w:t>available</w:t>
      </w:r>
      <w:r w:rsidR="001F48A1">
        <w:t xml:space="preserve"> environmental layers. </w:t>
      </w:r>
      <w:r w:rsidR="00067982" w:rsidRPr="00067982">
        <w:rPr>
          <w:noProof/>
        </w:rPr>
        <w:t xml:space="preserve">Cramer, Wootton, van Mazijk, &amp; Verboom </w:t>
      </w:r>
      <w:r w:rsidR="00067982">
        <w:rPr>
          <w:noProof/>
        </w:rPr>
        <w:t>(</w:t>
      </w:r>
      <w:r w:rsidR="00067982" w:rsidRPr="00067982">
        <w:rPr>
          <w:noProof/>
        </w:rPr>
        <w:t>2019)</w:t>
      </w:r>
      <w:r w:rsidR="00FD7934">
        <w:t>, for example, recently highlighted the superiority of locally</w:t>
      </w:r>
      <w:r w:rsidR="00510B55">
        <w:t xml:space="preserve"> </w:t>
      </w:r>
      <w:r w:rsidR="00FD7934">
        <w:t>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w:t>
      </w:r>
      <w:r w:rsidR="000D2647">
        <w:t xml:space="preserve"> </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952699">
        <w:t xml:space="preserve">between </w:t>
      </w:r>
      <w:r w:rsidR="00FD7934">
        <w:t>the</w:t>
      </w:r>
      <w:r w:rsidR="00952699">
        <w:t xml:space="preserve"> GCFR and</w:t>
      </w:r>
      <w:r w:rsidR="00FD7934">
        <w:t xml:space="preserve"> SWAFR.</w:t>
      </w:r>
      <w:r w:rsidR="0074652D">
        <w:t xml:space="preserve"> </w:t>
      </w:r>
      <w:r w:rsidR="00043988">
        <w:t>D</w:t>
      </w:r>
      <w:r w:rsidR="00BD7A0C">
        <w:t>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B1381E">
        <w:t xml:space="preserve">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r w:rsidR="00996D75">
        <w:t>relictual species typically inhabit waterlogged situations</w:t>
      </w:r>
      <w:r w:rsidR="00E74506">
        <w:t xml:space="preserve"> </w:t>
      </w:r>
      <w:r w:rsidR="00E74506" w:rsidRPr="00E74506">
        <w:rPr>
          <w:noProof/>
        </w:rPr>
        <w:t>(Hopper &amp; Gioia, 2004)</w:t>
      </w:r>
      <w:r w:rsidR="00996D75">
        <w:t>.</w:t>
      </w:r>
    </w:p>
    <w:p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explicitly</w:t>
      </w:r>
      <w:r w:rsidR="0087788D">
        <w:t xml:space="preserve">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approaches to systematically-biased collection data is </w:t>
      </w:r>
      <w:r w:rsidR="0092446E">
        <w:t xml:space="preserve">potentially </w:t>
      </w:r>
      <w:r w:rsidR="00B053CB">
        <w:t>problematic</w:t>
      </w:r>
      <w:r w:rsidR="00375621">
        <w:t xml:space="preserve">. </w:t>
      </w:r>
      <w:r w:rsidR="00375621" w:rsidRPr="003C5ACF">
        <w:rPr>
          <w:rFonts w:cs="Times New Roman"/>
          <w:noProof/>
          <w:lang w:val="en-GB"/>
        </w:rPr>
        <w:t xml:space="preserve">These techniques assume that the relationship between true species </w:t>
      </w:r>
      <w:r w:rsidR="00375621" w:rsidRPr="003C5ACF">
        <w:rPr>
          <w:rFonts w:cs="Times New Roman"/>
          <w:noProof/>
          <w:lang w:val="en-GB"/>
        </w:rPr>
        <w:lastRenderedPageBreak/>
        <w:t>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cs="Times New Roman"/>
          <w:noProof/>
          <w:lang w:val="en-GB"/>
        </w:rPr>
        <w:t xml:space="preserve">. </w:t>
      </w:r>
      <w:r w:rsidR="002E5FF3">
        <w:rPr>
          <w:rFonts w:cs="Times New Roman"/>
          <w:noProof/>
          <w:lang w:val="en-GB"/>
        </w:rPr>
        <w:t>Moreover, rarefaction-methods</w:t>
      </w:r>
      <w:r w:rsidR="001F13D1">
        <w:rPr>
          <w:rFonts w:cs="Times New Roman"/>
          <w:noProof/>
          <w:lang w:val="en-GB"/>
        </w:rPr>
        <w:t xml:space="preserve">, while able to account for spatially non-uniform sampling effort, are not ideal for non-uniformities that arise from targetted collection efforts (e.g.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1F13D1">
        <w:rPr>
          <w:rFonts w:cs="Times New Roman"/>
          <w:noProof/>
          <w:lang w:val="en-GB"/>
        </w:rPr>
        <w:t xml:space="preserve">). </w:t>
      </w:r>
      <w:r w:rsidR="00375621">
        <w:rPr>
          <w:rFonts w:cs="Times New Roman"/>
          <w:noProof/>
          <w:lang w:val="en-GB"/>
        </w:rPr>
        <w:t>W</w:t>
      </w:r>
      <w:r w:rsidR="00E823D6">
        <w:t xml:space="preserve">e have desisted from </w:t>
      </w:r>
      <w:r w:rsidR="00375621">
        <w:t xml:space="preserve">applying these techniques </w:t>
      </w:r>
      <w:r w:rsidR="00510916" w:rsidRPr="00510916">
        <w:rPr>
          <w:noProof/>
        </w:rPr>
        <w:t>(</w:t>
      </w:r>
      <w:r w:rsidR="00510916">
        <w:rPr>
          <w:noProof/>
        </w:rPr>
        <w:t xml:space="preserve">as in </w:t>
      </w:r>
      <w:r w:rsidR="00510916" w:rsidRPr="00510916">
        <w:rPr>
          <w:noProof/>
        </w:rPr>
        <w:t>Gioia &amp; Hopper, 2017)</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w:t>
      </w:r>
      <w:r w:rsidR="002066AB" w:rsidRPr="002066AB">
        <w:rPr>
          <w:noProof/>
        </w:rPr>
        <w:t>(Cramer &amp; Verboom, 2016)</w:t>
      </w:r>
      <w:r w:rsidR="002D35E5">
        <w:t>.</w:t>
      </w:r>
      <w:r w:rsidR="00375621">
        <w:t xml:space="preserve"> </w:t>
      </w:r>
      <w:r w:rsidR="002F32A1">
        <w:rPr>
          <w:rFonts w:cs="Times New Roman"/>
          <w:lang w:val="en-GB"/>
        </w:rPr>
        <w:t xml:space="preserve">Use of rarefaction may artificially inflate species richness </w:t>
      </w:r>
      <w:r w:rsidR="005E501D">
        <w:rPr>
          <w:rFonts w:cs="Times New Roman"/>
          <w:lang w:val="en-GB"/>
        </w:rPr>
        <w:t xml:space="preserve">(relative to areas of greater richness) </w:t>
      </w:r>
      <w:r w:rsidR="002F32A1">
        <w:rPr>
          <w:rFonts w:cs="Times New Roman"/>
          <w:lang w:val="en-GB"/>
        </w:rPr>
        <w:t xml:space="preserve">in areas of low collection, where collections are low not because of </w:t>
      </w:r>
      <w:r w:rsidR="001576DD">
        <w:rPr>
          <w:rFonts w:cs="Times New Roman"/>
          <w:lang w:val="en-GB"/>
        </w:rPr>
        <w:t>inaccessibility</w:t>
      </w:r>
      <w:r w:rsidR="002F32A1">
        <w:rPr>
          <w:rFonts w:cs="Times New Roman"/>
          <w:lang w:val="en-GB"/>
        </w:rPr>
        <w:t xml:space="preserve">, but because species richness is low. </w:t>
      </w:r>
      <w:r w:rsidR="00375621">
        <w:t xml:space="preserve">Indeed,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atlassing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 et al., 2013)</w:t>
      </w:r>
      <w:r w:rsidR="002F32A1">
        <w:rPr>
          <w:rFonts w:cs="Times New Roman"/>
          <w:lang w:val="en-GB"/>
        </w:rPr>
        <w:t xml:space="preserve">. </w:t>
      </w:r>
    </w:p>
    <w:p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C91A57">
        <w:t>-</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57A68">
        <w:t xml:space="preserve">. Indeed, our </w:t>
      </w:r>
      <w:r w:rsidR="00AA2495">
        <w:t xml:space="preserve">species </w:t>
      </w:r>
      <w:r w:rsidR="00157A68">
        <w:t xml:space="preserve">occurrence data seem to show a non-trivial proportion of species with outlier-records </w:t>
      </w:r>
      <w:r w:rsidR="006E66BE">
        <w:t xml:space="preserve">(relative to the rest of their ranges) </w:t>
      </w:r>
      <w:r w:rsidR="00157A68">
        <w:t>in the vicinity of Perth</w:t>
      </w:r>
      <w:r w:rsidR="00273FF6">
        <w:t xml:space="preserve">: ca. </w:t>
      </w:r>
      <w:r w:rsidR="00721CE9">
        <w:t>7</w:t>
      </w:r>
      <w:r w:rsidR="00273FF6">
        <w:t>%</w:t>
      </w:r>
      <w:r w:rsidR="005B687B">
        <w:t xml:space="preserve"> (based on a random sample of 300 of the 2,944 species with occurrences near Perth</w:t>
      </w:r>
      <w:r w:rsidR="006018A3">
        <w:t>; see Figure S12</w:t>
      </w:r>
      <w:r w:rsidR="005B687B">
        <w:t>)</w:t>
      </w:r>
      <w:r w:rsidR="00123B47">
        <w:t xml:space="preserve">. </w:t>
      </w:r>
      <w:r w:rsidR="00847E07">
        <w:t>Bearing in mind</w:t>
      </w:r>
      <w:r w:rsidR="008A6F1B">
        <w:t xml:space="preserve">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w:t>
      </w:r>
      <w:r w:rsidR="0061742F" w:rsidRPr="0061742F">
        <w:rPr>
          <w:noProof/>
        </w:rPr>
        <w:t>(</w:t>
      </w:r>
      <w:r w:rsidR="00A26F68">
        <w:rPr>
          <w:noProof/>
        </w:rPr>
        <w:t xml:space="preserve">cf. </w:t>
      </w:r>
      <w:r w:rsidR="0061742F" w:rsidRPr="0061742F">
        <w:rPr>
          <w:noProof/>
        </w:rPr>
        <w:t>Gioia &amp; Hopper, 2017; Oliver, Linder, &amp; Rourke, 1983)</w:t>
      </w:r>
      <w:r w:rsidR="0092446E">
        <w:t xml:space="preserve">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r w:rsidR="00422E7C" w:rsidRPr="008D71B2">
        <w:rPr>
          <w:iCs/>
        </w:rPr>
        <w:t>sensu</w:t>
      </w:r>
      <w:r w:rsidR="00422E7C">
        <w:t xml:space="preserve"> </w:t>
      </w:r>
      <w:r w:rsidR="0033486D" w:rsidRPr="0033486D">
        <w:rPr>
          <w:noProof/>
        </w:rPr>
        <w:t>Goldblatt, 1978)</w:t>
      </w:r>
      <w:r w:rsidR="00422E7C">
        <w:t xml:space="preserve">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w:t>
      </w:r>
      <w:r w:rsidR="008E7D51" w:rsidRPr="008E7D51">
        <w:rPr>
          <w:noProof/>
        </w:rPr>
        <w:t>(Cowling &amp;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richness exceeds that expected on the basis of their underlying heterogeneities.</w:t>
      </w:r>
      <w:r w:rsidR="004B237D">
        <w:t xml:space="preserve"> </w:t>
      </w:r>
      <w:r w:rsidR="00B32A88">
        <w:t>Though spatially autocorrelated, at</w:t>
      </w:r>
      <w:r w:rsidR="002E03CA">
        <w:t xml:space="preserve"> least some of the hotspots </w:t>
      </w:r>
      <w:r w:rsidR="00ED4D30">
        <w:t>thus</w:t>
      </w:r>
      <w:r w:rsidR="00AE7946">
        <w:t xml:space="preserve"> </w:t>
      </w:r>
      <w:r w:rsidR="002E03CA">
        <w:t>identified correspond to centres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r w:rsidR="00F600D2">
        <w:t>Kogelberg</w:t>
      </w:r>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species</w:t>
      </w:r>
      <w:r w:rsidR="005143E0">
        <w:t xml:space="preserve"> which inhabit the numerous bogs and seeps found there</w:t>
      </w:r>
      <w:r w:rsidR="00670FB5">
        <w:t xml:space="preserve"> </w:t>
      </w:r>
      <w:r w:rsidR="00F10AF1" w:rsidRPr="00F10AF1">
        <w:rPr>
          <w:noProof/>
        </w:rPr>
        <w:t>(Linder, 2019; Wüest et al., 2019)</w:t>
      </w:r>
      <w:r w:rsidR="00D279AB">
        <w:t xml:space="preserve">.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w:t>
      </w:r>
      <w:r w:rsidR="004022C1" w:rsidRPr="004022C1">
        <w:rPr>
          <w:noProof/>
        </w:rPr>
        <w:t>(Meadows, Chase, &amp; Seliane, 2010; Meadows &amp; Sugden, 1991, 1993)</w:t>
      </w:r>
      <w:r w:rsidR="008E7CC7">
        <w:t>.</w:t>
      </w:r>
      <w:r w:rsidR="00B419FD">
        <w:t xml:space="preserve"> </w:t>
      </w:r>
      <w:r w:rsidR="002513DB">
        <w:t>T</w:t>
      </w:r>
      <w:r w:rsidR="00865292">
        <w:t>he biota of the SWAFR</w:t>
      </w:r>
      <w:r w:rsidR="002513DB">
        <w:t>,</w:t>
      </w:r>
      <w:r w:rsidR="00865292">
        <w:t xml:space="preserve"> </w:t>
      </w:r>
      <w:r w:rsidR="002513DB">
        <w:t>too,</w:t>
      </w:r>
      <w:r w:rsidR="005143E0">
        <w:t xml:space="preserve"> </w:t>
      </w:r>
      <w:r w:rsidR="00865292">
        <w:t>show evidence of climatically-forced range contraction</w:t>
      </w:r>
      <w:r w:rsidR="00AA210A">
        <w:t xml:space="preserve"> in the Pleistocene</w:t>
      </w:r>
      <w:r w:rsidR="0084063D">
        <w:t xml:space="preserve"> </w:t>
      </w:r>
      <w:r w:rsidR="00D536CD" w:rsidRPr="00D536CD">
        <w:rPr>
          <w:noProof/>
        </w:rPr>
        <w:t>(Byrne, 2008; Byrne &amp; Hines, 2004)</w:t>
      </w:r>
      <w:r w:rsidR="002513DB">
        <w:t>.</w:t>
      </w:r>
      <w:r w:rsidR="00865292">
        <w:t xml:space="preserve"> </w:t>
      </w:r>
      <w:r w:rsidR="002513DB">
        <w:t>P</w:t>
      </w:r>
      <w:r w:rsidR="005143E0">
        <w:t xml:space="preserve">utative refugia </w:t>
      </w:r>
      <w:r w:rsidR="00A44F62">
        <w:t>in</w:t>
      </w:r>
      <w:r w:rsidR="002513DB">
        <w:t>clude</w:t>
      </w:r>
      <w:r w:rsidR="00A44F62">
        <w:t xml:space="preserve"> the </w:t>
      </w:r>
      <w:r w:rsidR="002513DB">
        <w:t xml:space="preserve">Sterling and Porungurup ranges </w:t>
      </w:r>
      <w:r w:rsidR="002513DB" w:rsidRPr="002513DB">
        <w:rPr>
          <w:noProof/>
        </w:rPr>
        <w:t>(Keppel et al., 2017)</w:t>
      </w:r>
      <w:r w:rsidR="002513DB">
        <w:t>, areas relatively elevated and topographically complex in the SWAFR</w:t>
      </w:r>
      <w:r w:rsidR="00162B7A">
        <w:t xml:space="preserve">, supporting greater levels of species richness and endemism. </w:t>
      </w:r>
      <w:r w:rsidR="002513DB">
        <w:t>Additionally, m</w:t>
      </w:r>
      <w:r w:rsidR="0005522C">
        <w:t>aps in Byrne (2008; Fig</w:t>
      </w:r>
      <w:r w:rsidR="00D05FCB">
        <w:t>ure</w:t>
      </w:r>
      <w:r w:rsidR="0005522C">
        <w:t xml:space="preserve"> 2) </w:t>
      </w:r>
      <w:r w:rsidR="00A44F62">
        <w:t>identify</w:t>
      </w:r>
      <w:r w:rsidR="0005522C">
        <w:t xml:space="preserve"> one </w:t>
      </w:r>
      <w:r w:rsidR="00AA210A">
        <w:t>refugium in the vicinity of Perth and a second in the vicinity of Fitzgerald River.</w:t>
      </w:r>
    </w:p>
    <w:p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(Cowling &amp; Lombard, 2002; Cowling et al., 2017; Verboom et al., 2014)</w:t>
      </w:r>
      <w:r w:rsidR="006A1997">
        <w:t xml:space="preserve"> or</w:t>
      </w:r>
      <w:r w:rsidR="00017D5E">
        <w:t xml:space="preserve"> the </w:t>
      </w:r>
      <w:r w:rsidR="007C1274">
        <w:t>presence of</w:t>
      </w:r>
      <w:r w:rsidR="006A1997">
        <w:t xml:space="preserve"> hotspots </w:t>
      </w:r>
      <w:r w:rsidR="007C1274">
        <w:t xml:space="preserve">whose exceptional </w:t>
      </w:r>
      <w:r w:rsidR="007C1274">
        <w:lastRenderedPageBreak/>
        <w:t xml:space="preserve">richness is </w:t>
      </w:r>
      <w:r w:rsidR="008C42F3">
        <w:t>more local</w:t>
      </w:r>
      <w:r w:rsidR="00566D32">
        <w:t>ly determined</w:t>
      </w:r>
      <w:r w:rsidR="007C1274">
        <w:t>.</w:t>
      </w:r>
      <w:r w:rsidR="003C7229">
        <w:t xml:space="preserve"> </w:t>
      </w:r>
      <w:r w:rsidR="00E63877">
        <w:t>O</w:t>
      </w:r>
      <w:r w:rsidR="003C7229">
        <w:t>ur data</w:t>
      </w:r>
      <w:r w:rsidR="0070656F">
        <w:t xml:space="preserve"> support the latter</w:t>
      </w:r>
      <w:r w:rsidR="003C7229">
        <w:t xml:space="preserve"> interpretation, with the Kogelberg-Hottentots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w:t>
      </w:r>
      <w:r w:rsidR="00B152CB" w:rsidRPr="00B152CB">
        <w:rPr>
          <w:noProof/>
        </w:rPr>
        <w:t>(Linder, 2019)</w:t>
      </w:r>
      <w:r w:rsidR="009555F6">
        <w:t xml:space="preserve">,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r w:rsidR="00404D92" w:rsidRPr="00404D92">
        <w:rPr>
          <w:noProof/>
        </w:rPr>
        <w:t>(Slingsby et al., 2018)</w:t>
      </w:r>
      <w:r w:rsidR="003E5F41">
        <w:t>.</w:t>
      </w:r>
      <w:r w:rsidR="00461C06">
        <w:t xml:space="preserve"> </w:t>
      </w:r>
      <w:r w:rsidR="00F875BA">
        <w:t xml:space="preserve">Similarly in the SWAFR, </w:t>
      </w:r>
      <w:r w:rsidR="00F875BA">
        <w:t>groundwater abstraction in the Perth area</w:t>
      </w:r>
      <w:r w:rsidR="00F875BA">
        <w:t xml:space="preserve"> threatens t</w:t>
      </w:r>
      <w:r w:rsidR="00461C06">
        <w:t xml:space="preserve">he long-term integrity of groundwater-dependent terrestrial vegetation </w:t>
      </w:r>
      <w:r w:rsidR="00F875BA">
        <w:t>there</w:t>
      </w:r>
      <w:r w:rsidR="00D51B17">
        <w:t xml:space="preserve"> </w:t>
      </w:r>
      <w:r w:rsidR="00FF088B" w:rsidRPr="00FF088B">
        <w:rPr>
          <w:noProof/>
        </w:rPr>
        <w:t>(Barron et al., 2014; Froend &amp; Sommer, 2010)</w:t>
      </w:r>
      <w:r w:rsidR="00D51B17">
        <w:t>.</w:t>
      </w:r>
    </w:p>
    <w:p w:rsidR="00EE37AF" w:rsidRDefault="002448E4" w:rsidP="007A506C">
      <w:pPr>
        <w:pStyle w:val="CommentText"/>
        <w:spacing w:before="180" w:after="180"/>
        <w:rPr>
          <w:sz w:val="24"/>
        </w:rPr>
      </w:pPr>
      <w:r>
        <w:rPr>
          <w:sz w:val="24"/>
          <w:szCs w:val="24"/>
        </w:rPr>
        <w:t xml:space="preserve">Although the </w:t>
      </w:r>
      <w:r w:rsidR="00287F6F">
        <w:rPr>
          <w:sz w:val="24"/>
          <w:szCs w:val="24"/>
        </w:rPr>
        <w:t>floristic</w:t>
      </w:r>
      <w:r w:rsidR="00AB7C3A">
        <w:rPr>
          <w:sz w:val="24"/>
          <w:szCs w:val="24"/>
        </w:rPr>
        <w:t xml:space="preserve">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w:t>
      </w:r>
      <w:r w:rsidR="0064618C">
        <w:rPr>
          <w:sz w:val="24"/>
          <w:szCs w:val="24"/>
        </w:rPr>
        <w:t xml:space="preserve"> </w:t>
      </w:r>
      <w:r w:rsidR="0064618C" w:rsidRPr="0064618C">
        <w:rPr>
          <w:noProof/>
          <w:sz w:val="24"/>
          <w:szCs w:val="24"/>
        </w:rPr>
        <w:t>(Kreft &amp; Jetz, 2007)</w:t>
      </w:r>
      <w:r w:rsidR="00AB7C3A">
        <w:rPr>
          <w:sz w:val="24"/>
          <w:szCs w:val="24"/>
        </w:rPr>
        <w:t xml:space="preserve">, our data </w:t>
      </w:r>
      <w:r w:rsidR="0083425C">
        <w:rPr>
          <w:sz w:val="24"/>
          <w:szCs w:val="24"/>
        </w:rPr>
        <w:t>reveal</w:t>
      </w:r>
      <w:r w:rsidR="00AB7C3A">
        <w:rPr>
          <w:sz w:val="24"/>
          <w:szCs w:val="24"/>
        </w:rPr>
        <w:t xml:space="preserve"> that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 punctuated by the existence of local hotspots, whose exceptional richness may be a consequence of historical factors</w:t>
      </w:r>
      <w:r w:rsidR="00375BB9">
        <w:rPr>
          <w:sz w:val="24"/>
          <w:szCs w:val="24"/>
        </w:rPr>
        <w:t>. Though these regions</w:t>
      </w:r>
      <w:r w:rsidR="00375BB9">
        <w:rPr>
          <w:sz w:val="24"/>
          <w:szCs w:val="24"/>
        </w:rPr>
        <w:t>’</w:t>
      </w:r>
      <w:r w:rsidR="00375BB9">
        <w:rPr>
          <w:sz w:val="24"/>
          <w:szCs w:val="24"/>
        </w:rPr>
        <w:t xml:space="preserve"> hotspots</w:t>
      </w:r>
      <w:r w:rsidR="00FC3AFE">
        <w:rPr>
          <w:sz w:val="24"/>
          <w:szCs w:val="24"/>
        </w:rPr>
        <w:t xml:space="preserve"> may be important for species persistence</w:t>
      </w:r>
      <w:r w:rsidR="00375BB9">
        <w:rPr>
          <w:sz w:val="24"/>
          <w:szCs w:val="24"/>
        </w:rPr>
        <w:t xml:space="preserve"> (e.g.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these two mediterranean floras</w:t>
      </w:r>
      <w:r w:rsidR="00317DAF" w:rsidRPr="00E97920">
        <w:rPr>
          <w:sz w:val="24"/>
        </w:rPr>
        <w:t>.</w:t>
      </w:r>
    </w:p>
    <w:p w:rsidR="004B3DF5" w:rsidRPr="008D3C44" w:rsidRDefault="004B3DF5" w:rsidP="007A506C">
      <w:pPr>
        <w:pStyle w:val="CommentText"/>
        <w:spacing w:before="180" w:after="180"/>
        <w:rPr>
          <w:sz w:val="24"/>
        </w:rPr>
      </w:pPr>
      <w:r>
        <w:br w:type="page"/>
      </w:r>
    </w:p>
    <w:p w:rsidR="00DD7CD4" w:rsidRDefault="00D04776">
      <w:pPr>
        <w:pStyle w:val="Heading1"/>
      </w:pPr>
      <w:r w:rsidRPr="008A4E97">
        <w:lastRenderedPageBreak/>
        <w:t>Tables</w:t>
      </w:r>
      <w:bookmarkEnd w:id="7"/>
    </w:p>
    <w:p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DE1EB9">
        <w:t>separate</w:t>
      </w:r>
      <w:r w:rsidRPr="00FE718A">
        <w:t xml:space="preserve"> axes </w:t>
      </w:r>
      <w:r w:rsidR="00DE1EB9">
        <w:t xml:space="preserve">and the main axis (PC1) </w:t>
      </w:r>
      <w:r w:rsidRPr="00FE718A">
        <w:t xml:space="preserve">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difference</w:t>
      </w:r>
      <w:r w:rsidR="008C0E2A">
        <w:t>s</w:t>
      </w:r>
      <w:r w:rsidR="001B3692">
        <w:t xml:space="preserve"> in slope between the GCFR and SWAFR.</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rsidTr="007031A0">
        <w:tc>
          <w:tcPr>
            <w:tcW w:w="1276"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rsidTr="007031A0">
        <w:tc>
          <w:tcPr>
            <w:tcW w:w="1276"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bl>
    <w:p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rsidR="00B73D31" w:rsidRPr="00840830" w:rsidRDefault="00B73D31" w:rsidP="009A13CA">
      <w:pPr>
        <w:pStyle w:val="BodyText"/>
        <w:spacing w:after="0"/>
        <w:rPr>
          <w:vertAlign w:val="superscript"/>
        </w:rPr>
      </w:pPr>
      <w:r w:rsidRPr="00840830">
        <w:rPr>
          <w:vertAlign w:val="superscript"/>
        </w:rPr>
        <w:br w:type="page"/>
      </w:r>
    </w:p>
    <w:p w:rsidR="00874A01" w:rsidRPr="0069122B" w:rsidRDefault="00874A01" w:rsidP="00FA753D">
      <w:pPr>
        <w:pStyle w:val="BodyText"/>
        <w:spacing w:before="0"/>
      </w:pPr>
      <w:bookmarkStart w:id="8"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rsidTr="007031A0">
        <w:trPr>
          <w:trHeight w:val="227"/>
        </w:trPr>
        <w:tc>
          <w:tcPr>
            <w:tcW w:w="1543" w:type="dxa"/>
            <w:tcBorders>
              <w:bottom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rsidTr="007031A0">
        <w:trPr>
          <w:trHeight w:val="227"/>
        </w:trPr>
        <w:tc>
          <w:tcPr>
            <w:tcW w:w="1543" w:type="dxa"/>
            <w:tcBorders>
              <w:top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8"/>
    </w:tbl>
    <w:p w:rsidR="00FA5075" w:rsidRDefault="00FA5075" w:rsidP="00FA5075">
      <w:pPr>
        <w:pStyle w:val="BodyText"/>
        <w:rPr>
          <w:rFonts w:eastAsia="MS Gothic" w:cs="Times New Roman"/>
          <w:color w:val="000000"/>
          <w:sz w:val="32"/>
          <w:szCs w:val="32"/>
        </w:rPr>
      </w:pPr>
      <w:r>
        <w:br w:type="page"/>
      </w:r>
    </w:p>
    <w:p w:rsidR="00133F9A" w:rsidRDefault="00133F9A" w:rsidP="00EB67CD">
      <w:pPr>
        <w:pStyle w:val="Heading1"/>
      </w:pPr>
      <w:r>
        <w:lastRenderedPageBreak/>
        <w:t>Figure captions</w:t>
      </w:r>
    </w:p>
    <w:p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of </w:t>
      </w:r>
      <w:r w:rsidRPr="00805B10">
        <w:rPr>
          <w:b/>
          <w:bCs/>
        </w:rPr>
        <w:t>(a,b)</w:t>
      </w:r>
      <w:r>
        <w:t xml:space="preserve"> vascular plant species richness (</w:t>
      </w:r>
      <w:r w:rsidRPr="00ED6805">
        <w:rPr>
          <w:i/>
          <w:iCs/>
        </w:rPr>
        <w:t>S</w:t>
      </w:r>
      <w:r>
        <w:rPr>
          <w:vertAlign w:val="subscript"/>
        </w:rPr>
        <w:t>HDS</w:t>
      </w:r>
      <w:r>
        <w:t xml:space="preserve">), </w:t>
      </w:r>
      <w:r w:rsidRPr="00805B10">
        <w:rPr>
          <w:b/>
          <w:bCs/>
        </w:rPr>
        <w:t>(c,d)</w:t>
      </w:r>
      <w:r>
        <w:t xml:space="preserve"> values of the major axis of </w:t>
      </w:r>
      <w:r w:rsidR="00EA347C">
        <w:t xml:space="preserve">environmental </w:t>
      </w:r>
      <w:r w:rsidR="006226D7">
        <w:t>heterogeneity</w:t>
      </w:r>
      <w:r>
        <w:t xml:space="preserve"> (PC1) from the PCA of nine </w:t>
      </w:r>
      <w:r w:rsidR="00B15C3C">
        <w:t xml:space="preserve">separate </w:t>
      </w:r>
      <w:r>
        <w:t>forms (log</w:t>
      </w:r>
      <w:r w:rsidRPr="00C9106C">
        <w:rPr>
          <w:vertAlign w:val="subscript"/>
        </w:rPr>
        <w:t>10</w:t>
      </w:r>
      <w:r>
        <w:t xml:space="preserve">-transformed; Table S1) and residual species richness following regressions against </w:t>
      </w:r>
      <w:r w:rsidRPr="00805B10">
        <w:rPr>
          <w:b/>
          <w:bCs/>
        </w:rPr>
        <w:t>(e,f)</w:t>
      </w:r>
      <w:r>
        <w:t xml:space="preserve"> PC1 (see also Figure 4b) and </w:t>
      </w:r>
      <w:r w:rsidRPr="00805B10">
        <w:rPr>
          <w:b/>
          <w:bCs/>
        </w:rPr>
        <w:t>(g,h)</w:t>
      </w:r>
      <w:r>
        <w:t xml:space="preserve"> the multivariate (MV) regression model (see also Figure 5b). Map projection used: WGS84. Colour versions of these maps, and the QDS- and DS-scale equivalents (Figure S9, S10 respectively) are available in the online version.</w:t>
      </w:r>
    </w:p>
    <w:p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w:t>
      </w:r>
      <w:r w:rsidR="005C18EB">
        <w:t xml:space="preserve"> </w:t>
      </w:r>
      <w:r w:rsidR="005C18EB" w:rsidRPr="00CC1818">
        <w:t>richness</w:t>
      </w:r>
      <w:r w:rsidR="005C18EB">
        <w:t xml:space="preserve"> at the</w:t>
      </w:r>
      <w:r w:rsidRPr="00CC1818">
        <w:t xml:space="preserve"> </w:t>
      </w:r>
      <w:r w:rsidRPr="00473510">
        <w:rPr>
          <w:b/>
          <w:bCs/>
        </w:rPr>
        <w:t>(f)</w:t>
      </w:r>
      <w:r w:rsidRPr="00CC1818">
        <w:t xml:space="preserve"> HDS- </w:t>
      </w:r>
      <w:r w:rsidR="005C18EB">
        <w:t>(</w:t>
      </w:r>
      <m:oMath>
        <m:bar>
          <m:barPr>
            <m:pos m:val="top"/>
            <m:ctrlPr>
              <w:rPr>
                <w:rFonts w:ascii="Cambria Math" w:hAnsi="Cambria Math"/>
              </w:rPr>
            </m:ctrlPr>
          </m:barPr>
          <m:e>
            <m:r>
              <w:rPr>
                <w:rFonts w:ascii="Cambria Math" w:hAnsi="Cambria Math"/>
              </w:rPr>
              <m:t>S</m:t>
            </m:r>
          </m:e>
        </m:bar>
      </m:oMath>
      <w:r w:rsidR="005C18EB" w:rsidRPr="00CC1818">
        <w:rPr>
          <w:vertAlign w:val="subscript"/>
        </w:rPr>
        <w:t>HDS</w:t>
      </w:r>
      <w:r w:rsidR="005C18EB">
        <w:t xml:space="preserve">) </w:t>
      </w:r>
      <w:r w:rsidRPr="00CC1818">
        <w:t xml:space="preserve">and </w:t>
      </w:r>
      <w:r w:rsidRPr="00473510">
        <w:rPr>
          <w:b/>
          <w:bCs/>
        </w:rPr>
        <w:t>(g)</w:t>
      </w:r>
      <w:r w:rsidRPr="00CC1818">
        <w:t xml:space="preserve"> QDS-scale</w:t>
      </w:r>
      <w:r w:rsidR="005C18EB">
        <w:t>s</w:t>
      </w:r>
      <w:r w:rsidRPr="00CC1818">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CC1818">
        <w:t xml:space="preserve">)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w:t>
      </w:r>
      <w:r w:rsidR="00B0497A">
        <w:t xml:space="preserve">, </w:t>
      </w:r>
      <w:r w:rsidRPr="00CC1818">
        <w:t xml:space="preserve">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(a–i)</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 xml:space="preserve">;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scale-dependence (depicted by lines) for </w:t>
      </w:r>
      <w:r>
        <w:t>most variables. Both strongly significant (</w:t>
      </w:r>
      <w:r w:rsidRPr="007138B7">
        <w:rPr>
          <w:i/>
          <w:iCs/>
        </w:rPr>
        <w:t>P</w:t>
      </w:r>
      <w:r>
        <w:t xml:space="preserve"> &lt; 0.05; a</w:t>
      </w:r>
      <w:r w:rsidRPr="006A6996">
        <w:t>–</w:t>
      </w:r>
      <w:r>
        <w:t>c,g,i) and marginally significant</w:t>
      </w:r>
      <w:r w:rsidRPr="007138B7">
        <w:t xml:space="preserve"> </w:t>
      </w:r>
      <w:r>
        <w:t>(</w:t>
      </w:r>
      <w:r>
        <w:rPr>
          <w:i/>
          <w:iCs/>
        </w:rPr>
        <w:t>P</w:t>
      </w:r>
      <w:r>
        <w:t xml:space="preserve"> &lt; 0.1; d,e,h) </w:t>
      </w:r>
      <w:r w:rsidR="00BA0F4C">
        <w:t xml:space="preserve">fits </w:t>
      </w:r>
      <w:r>
        <w:t>have been plotted, the latter for illustration.</w:t>
      </w:r>
      <w:r w:rsidR="002641F7">
        <w:t xml:space="preserve"> </w:t>
      </w:r>
      <w:r w:rsidRPr="006A6996">
        <w:t>Abbreviations are as in Table</w:t>
      </w:r>
      <w:r>
        <w:t xml:space="preserve"> 1</w:t>
      </w:r>
      <w:r w:rsidRPr="006A6996">
        <w:t>.</w:t>
      </w:r>
    </w:p>
    <w:p w:rsidR="00CB5A07" w:rsidRDefault="00133F9A" w:rsidP="00133F9A">
      <w:pPr>
        <w:pStyle w:val="BodyText"/>
      </w:pPr>
      <w:r>
        <w:rPr>
          <w:b/>
        </w:rPr>
        <w:t>Figure 4</w:t>
      </w:r>
      <w:r w:rsidRPr="00242181">
        <w:rPr>
          <w:b/>
        </w:rPr>
        <w:t>:</w:t>
      </w:r>
      <w:r w:rsidRPr="000951C2">
        <w:t xml:space="preserve"> Simple linear regressions of vascular plant species richness </w:t>
      </w:r>
      <w:r w:rsidR="00A87F68">
        <w:t>(</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rsidR="00A87F68">
        <w:t xml:space="preserve">) </w:t>
      </w:r>
      <w:r w:rsidRPr="000951C2">
        <w:t xml:space="preserve">against each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 xml:space="preserve">-values of each model and the percentage variation in environmental heterogeneity explained by PC1 </w:t>
      </w:r>
      <w:r w:rsidR="00C20D24">
        <w:t>(</w:t>
      </w:r>
      <w:r>
        <w:t>from each of the three PCAs</w:t>
      </w:r>
      <w:r w:rsidR="00C20D24">
        <w:t>)</w:t>
      </w:r>
      <w:r>
        <w:t xml:space="preserve"> are noted in parentheses in the panel and horizontal axis headings respectively. The equivalent results when hotpots were excluded is available in the online version (Figure S7).</w:t>
      </w:r>
    </w:p>
    <w:p w:rsidR="00CB5A07" w:rsidRDefault="00CB5A07" w:rsidP="00CB5A07">
      <w:pPr>
        <w:pStyle w:val="BodyText"/>
      </w:pPr>
      <w:r>
        <w:br w:type="page"/>
      </w:r>
    </w:p>
    <w:p w:rsidR="00133F9A" w:rsidRDefault="00133F9A" w:rsidP="00133F9A">
      <w:pPr>
        <w:pStyle w:val="BodyText"/>
      </w:pPr>
      <w:r>
        <w:rPr>
          <w:b/>
        </w:rPr>
        <w:lastRenderedPageBreak/>
        <w:t>Figure 5</w:t>
      </w:r>
      <w:r w:rsidRPr="00242181">
        <w:rPr>
          <w:b/>
        </w:rPr>
        <w:t>:</w:t>
      </w:r>
      <w:r w:rsidRPr="00EB7331">
        <w:t xml:space="preserve"> </w:t>
      </w:r>
      <w:r>
        <w:t>Partial effect</w:t>
      </w:r>
      <w:r w:rsidR="00831BE5">
        <w:t xml:space="preserve">s </w:t>
      </w:r>
      <w:r w:rsidRPr="00EB7331">
        <w:t xml:space="preserve">from multiple linear regressions of vascular plant species richness </w:t>
      </w:r>
      <w:r w:rsidR="0037003A">
        <w:t>(</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rsidR="0037003A">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w:t>
      </w:r>
      <w:r w:rsidR="00ED6444">
        <w:t xml:space="preserve">points </w:t>
      </w:r>
      <w:r w:rsidR="00ED6444">
        <w:t>represent effect estimates for the GCFR</w:t>
      </w:r>
      <w:r w:rsidR="00ED6444">
        <w:t xml:space="preserve"> </w:t>
      </w:r>
      <w:r>
        <w:t>and empty points represent effect estimates for the SWAFR relative to the GCFR</w:t>
      </w:r>
      <w:r w:rsidR="00ED6444">
        <w:t xml:space="preserve"> (i.e. </w:t>
      </w:r>
      <w:r w:rsidR="00D45415">
        <w:t xml:space="preserve">where </w:t>
      </w:r>
      <w:r>
        <w:t xml:space="preserve">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rsidR="00133F9A" w:rsidRDefault="00133F9A" w:rsidP="00133F9A">
      <w:pPr>
        <w:pStyle w:val="BodyText"/>
      </w:pPr>
      <w:r>
        <w:br w:type="page"/>
      </w:r>
    </w:p>
    <w:p w:rsidR="000878A3" w:rsidRDefault="009E59E0" w:rsidP="000878A3">
      <w:pPr>
        <w:pStyle w:val="Heading1"/>
        <w:spacing w:line="240" w:lineRule="auto"/>
      </w:pPr>
      <w:bookmarkStart w:id="9" w:name="references"/>
      <w:r w:rsidRPr="009E59E0">
        <w:lastRenderedPageBreak/>
        <w:t>Data availability statement</w:t>
      </w:r>
    </w:p>
    <w:p w:rsidR="009E59E0" w:rsidRPr="000878A3" w:rsidRDefault="00C41DBA" w:rsidP="000878A3">
      <w:pPr>
        <w:pStyle w:val="BodyText"/>
      </w:pPr>
      <w:r>
        <w:t xml:space="preserve">The raw vascular plant occurrence records used are available from GBIF (GCFR: </w:t>
      </w:r>
      <w:hyperlink r:id="rId9" w:history="1">
        <w:r w:rsidRPr="000F1325">
          <w:rPr>
            <w:rStyle w:val="Hyperlink"/>
          </w:rPr>
          <w:t>https://doi.org/10.15468/dl.n6u6n0</w:t>
        </w:r>
      </w:hyperlink>
      <w:r>
        <w:t xml:space="preserve">; SWAFR: </w:t>
      </w:r>
      <w:hyperlink r:id="rId10" w:history="1">
        <w:r w:rsidRPr="000F1325">
          <w:rPr>
            <w:rStyle w:val="Hyperlink"/>
          </w:rPr>
          <w:t>https://doi.org/10.15468/dl.46okua</w:t>
        </w:r>
      </w:hyperlink>
      <w:r>
        <w:t>). Analyses in the form of R-scripts, cleaned species lists, r</w:t>
      </w:r>
      <w:r w:rsidR="00DC1038">
        <w:t xml:space="preserve">aster-layers of the nine forms of environmental heterogeneity, the major axis of heterogeneity (PC1) </w:t>
      </w:r>
      <w:r>
        <w:t xml:space="preserve">(at each of the four spatial scales) </w:t>
      </w:r>
      <w:r w:rsidR="00DC1038">
        <w:t>and species richness</w:t>
      </w:r>
      <w:r>
        <w:t xml:space="preserve"> (at the three spatial scales)</w:t>
      </w:r>
      <w:r w:rsidR="00DC1038">
        <w:t xml:space="preserve"> </w:t>
      </w:r>
      <w:r w:rsidR="00DC1038" w:rsidRPr="00C2037C">
        <w:t>are available in the DRYAD Digital Repository</w:t>
      </w:r>
      <w:r w:rsidR="00C2037C" w:rsidRPr="00C2037C">
        <w:t>:</w:t>
      </w:r>
      <w:r w:rsidR="00DC1038" w:rsidRPr="00C2037C">
        <w:t xml:space="preserve"> </w:t>
      </w:r>
      <w:r w:rsidR="00C2037C" w:rsidRPr="00C2037C">
        <w:t>[</w:t>
      </w:r>
      <w:r w:rsidR="000317CE">
        <w:t>to be provided</w:t>
      </w:r>
      <w:r w:rsidR="00C2037C">
        <w:t>]</w:t>
      </w:r>
      <w:r w:rsidR="00DC1038">
        <w:t>.</w:t>
      </w:r>
    </w:p>
    <w:p w:rsidR="00DD2348" w:rsidRDefault="005F0FFB" w:rsidP="0018462C">
      <w:pPr>
        <w:pStyle w:val="Heading1"/>
      </w:pPr>
      <w:r w:rsidRPr="002C20EB">
        <w:t>References</w:t>
      </w:r>
      <w:bookmarkEnd w:id="9"/>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Belda, M., Holtanová, E., Halenka, T., &amp; Kalvová, J. (2014). Climate classification revisited: from Köppen to Trewartha. </w:t>
      </w:r>
      <w:r w:rsidRPr="00363E65">
        <w:rPr>
          <w:rFonts w:hAnsi="Times New Roman" w:cs="Times New Roman"/>
          <w:i/>
          <w:iCs/>
          <w:noProof/>
          <w:lang w:val="en-GB"/>
        </w:rPr>
        <w:t>Climate Research</w:t>
      </w:r>
      <w:r w:rsidRPr="00363E65">
        <w:rPr>
          <w:rFonts w:hAnsi="Times New Roman" w:cs="Times New Roman"/>
          <w:noProof/>
          <w:lang w:val="en-GB"/>
        </w:rPr>
        <w:t xml:space="preserve">, </w:t>
      </w:r>
      <w:r w:rsidRPr="00363E65">
        <w:rPr>
          <w:rFonts w:hAnsi="Times New Roman" w:cs="Times New Roman"/>
          <w:i/>
          <w:iCs/>
          <w:noProof/>
          <w:lang w:val="en-GB"/>
        </w:rPr>
        <w:t>59</w:t>
      </w:r>
      <w:r w:rsidRPr="00363E65">
        <w:rPr>
          <w:rFonts w:hAnsi="Times New Roman" w:cs="Times New Roman"/>
          <w:noProof/>
          <w:lang w:val="en-GB"/>
        </w:rPr>
        <w:t>(1), 1–13.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Bergh, N. G., &amp; Linder, H. P. (2009). Cape diversification and repeated out-of-southern-Africa dispersal in paper daisies (Asteraceae--Gnaphalieae).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Quaternary 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Crisp, M. D., Arroyo, M. T. K., Cook, L. G., Gandolfo, M. A., Jordan, G. J., McGlone, M. S., Weston, P. H., Westoby, M., Wilf, P., &amp; Linder, H. P. (2009). Phylogenetic biome 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Hopper, S. D., &amp; Gioia, P. (2004). The Southwest Australian floristic region: Evolution and 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Lambers, H., Brundrett, M. C., Raven, J. A., &amp; Hopper, S. D. (2010). Plant mineral nutrition in ancient landscapes: high plant species diversity on infertile soils is linked to functional diversity for nutritional strategies.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334</w:t>
      </w:r>
      <w:r w:rsidRPr="00363E65">
        <w:rPr>
          <w:rFonts w:hAnsi="Times New Roman" w:cs="Times New Roman"/>
          <w:noProof/>
          <w:lang w:val="en-GB"/>
        </w:rPr>
        <w:t>(1–2), 11–31. https://doi.org/10.1007/s11104-010-0444-9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Lambers, H., Shane, M. W., Cramer, M. D., Pearse, S. J., &amp; Veneklaas, E. J. (2006). Root structure and functioning for efficient acquisition of phosphorus: Matching morphological and physiological traits.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98</w:t>
      </w:r>
      <w:r w:rsidRPr="00363E65">
        <w:rPr>
          <w:rFonts w:hAnsi="Times New Roman" w:cs="Times New Roman"/>
          <w:noProof/>
          <w:lang w:val="en-GB"/>
        </w:rPr>
        <w:t>(4), 693–713. https://doi.org/10.1093/aob/mcl114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 xml:space="preserve">Palaeogeography, Palaeoclimatology, </w:t>
      </w:r>
      <w:r w:rsidRPr="00363E65">
        <w:rPr>
          <w:rFonts w:hAnsi="Times New Roman" w:cs="Times New Roman"/>
          <w:i/>
          <w:iCs/>
          <w:noProof/>
          <w:lang w:val="en-GB"/>
        </w:rPr>
        <w:lastRenderedPageBreak/>
        <w:t>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Shane, M. W., Cramer, M. D., &amp; Lambers, H. (2008). Root of edaphically controlled Proteaceae turnover on the Agulhas Plain, South Africa: phosphate uptake regulation and growth. </w:t>
      </w:r>
      <w:r w:rsidRPr="00363E65">
        <w:rPr>
          <w:rFonts w:hAnsi="Times New Roman" w:cs="Times New Roman"/>
          <w:i/>
          <w:iCs/>
          <w:noProof/>
          <w:lang w:val="en-GB"/>
        </w:rPr>
        <w:t>Plant, Cell &amp; Environment</w:t>
      </w:r>
      <w:r w:rsidRPr="00363E65">
        <w:rPr>
          <w:rFonts w:hAnsi="Times New Roman" w:cs="Times New Roman"/>
          <w:noProof/>
          <w:lang w:val="en-GB"/>
        </w:rPr>
        <w:t xml:space="preserve">, </w:t>
      </w:r>
      <w:r w:rsidRPr="00363E65">
        <w:rPr>
          <w:rFonts w:hAnsi="Times New Roman" w:cs="Times New Roman"/>
          <w:i/>
          <w:iCs/>
          <w:noProof/>
          <w:lang w:val="en-GB"/>
        </w:rPr>
        <w:t>31</w:t>
      </w:r>
      <w:r w:rsidRPr="00363E65">
        <w:rPr>
          <w:rFonts w:hAnsi="Times New Roman" w:cs="Times New Roman"/>
          <w:noProof/>
          <w:lang w:val="en-GB"/>
        </w:rPr>
        <w:t>(12), 1825–1833.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Thuiller, W., Midgley, G. F., Rouget, M., Cowling, R. M., F. Midgley, G., Rougeti, M., &amp; M. Cowling, R. (2006). Predicting patterns of plant species richness in megadiverse South Africa.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29</w:t>
      </w:r>
      <w:r w:rsidRPr="00363E65">
        <w:rPr>
          <w:rFonts w:hAnsi="Times New Roman" w:cs="Times New Roman"/>
          <w:noProof/>
          <w:lang w:val="en-GB"/>
        </w:rPr>
        <w:t>(5), 733–744. https://doi.org/10.1111/j.0906-7590.2006.04674.x</w:t>
      </w:r>
    </w:p>
    <w:p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rsidR="00112BB0" w:rsidRDefault="00112BB0" w:rsidP="00363E65">
      <w:pPr>
        <w:widowControl w:val="0"/>
        <w:autoSpaceDE w:val="0"/>
        <w:autoSpaceDN w:val="0"/>
        <w:adjustRightInd w:val="0"/>
        <w:spacing w:after="180"/>
        <w:ind w:left="480" w:hanging="480"/>
        <w:rPr>
          <w:b/>
          <w:bCs/>
        </w:rPr>
      </w:pPr>
      <w:r>
        <w:rPr>
          <w:b/>
          <w:bCs/>
        </w:rPr>
        <w:br w:type="page"/>
      </w:r>
    </w:p>
    <w:p w:rsidR="00EF41C1" w:rsidRDefault="004D4AE1" w:rsidP="006F5855">
      <w:pPr>
        <w:pStyle w:val="Heading1"/>
      </w:pPr>
      <w:r w:rsidRPr="004D4AE1">
        <w:lastRenderedPageBreak/>
        <w:t>Biosketch</w:t>
      </w:r>
      <w:r>
        <w:t>es</w:t>
      </w:r>
    </w:p>
    <w:p w:rsidR="00EF41C1" w:rsidRDefault="00F3256A" w:rsidP="002C20EB">
      <w:pPr>
        <w:pStyle w:val="BodyText"/>
        <w:spacing w:before="0"/>
      </w:pPr>
      <w:r>
        <w:rPr>
          <w:b/>
        </w:rPr>
        <w:t>Ruan v</w:t>
      </w:r>
      <w:r w:rsidR="00EF41C1" w:rsidRPr="00F3256A">
        <w:rPr>
          <w:b/>
        </w:rPr>
        <w:t>an Mazijk</w:t>
      </w:r>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w:t>
      </w:r>
      <w:r w:rsidR="005F4B28">
        <w:t xml:space="preserve">plant </w:t>
      </w:r>
      <w:r w:rsidR="00EF41C1" w:rsidRPr="00EF41C1">
        <w:t>species richness.</w:t>
      </w:r>
    </w:p>
    <w:p w:rsidR="00EF41C1" w:rsidRPr="007031A0" w:rsidRDefault="00F3256A" w:rsidP="002F3B3B">
      <w:pPr>
        <w:pStyle w:val="BodyText"/>
        <w:rPr>
          <w:rFonts w:eastAsia="MS Gothic" w:cs="Times New Roman"/>
          <w:b/>
          <w:bCs/>
          <w:color w:val="000000"/>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rsidR="006F043C" w:rsidRDefault="006F043C" w:rsidP="001453CD">
      <w:pPr>
        <w:pStyle w:val="Heading1"/>
        <w:spacing w:line="240" w:lineRule="auto"/>
      </w:pPr>
      <w:r>
        <w:t>Author contributions</w:t>
      </w:r>
    </w:p>
    <w:p w:rsidR="00DC6978" w:rsidRDefault="006F043C" w:rsidP="002C20EB">
      <w:pPr>
        <w:pStyle w:val="BodyText"/>
        <w:rPr>
          <w:highlight w:val="yellow"/>
        </w:rPr>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carried out by RvM</w:t>
      </w:r>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rsidR="00B46208" w:rsidRPr="003C085D" w:rsidRDefault="00B46208" w:rsidP="00B46208">
      <w:pPr>
        <w:pStyle w:val="Heading1"/>
      </w:pPr>
      <w:r w:rsidRPr="003C085D">
        <w:t>ORCID</w:t>
      </w:r>
    </w:p>
    <w:p w:rsidR="00B46208" w:rsidRPr="002B2755" w:rsidRDefault="00B46208" w:rsidP="00B46208">
      <w:r w:rsidRPr="002B2755">
        <w:t>R</w:t>
      </w:r>
      <w:r w:rsidRPr="002C20EB">
        <w:t xml:space="preserve">uan van Mazijk: </w:t>
      </w:r>
      <w:hyperlink r:id="rId11" w:history="1">
        <w:r w:rsidRPr="002C20EB">
          <w:rPr>
            <w:rStyle w:val="Hyperlink"/>
          </w:rPr>
          <w:t>https://orcid.org/0000-0003-2659-6909</w:t>
        </w:r>
      </w:hyperlink>
    </w:p>
    <w:p w:rsidR="00B46208" w:rsidRPr="002B2755" w:rsidRDefault="00B46208" w:rsidP="00B46208">
      <w:r w:rsidRPr="002C20EB">
        <w:t xml:space="preserve">Michael D. Cramer: </w:t>
      </w:r>
      <w:hyperlink r:id="rId12" w:history="1">
        <w:r w:rsidRPr="002C20EB">
          <w:rPr>
            <w:rStyle w:val="Hyperlink"/>
          </w:rPr>
          <w:t>https://orcid.org/0000-0003-0989-3266</w:t>
        </w:r>
      </w:hyperlink>
    </w:p>
    <w:p w:rsidR="00B46208" w:rsidRPr="00B46208" w:rsidRDefault="00B46208" w:rsidP="00B46208">
      <w:r w:rsidRPr="002C20EB">
        <w:t xml:space="preserve">G. Anthony Verboom: </w:t>
      </w:r>
      <w:hyperlink r:id="rId13" w:history="1">
        <w:r w:rsidRPr="002C20EB">
          <w:rPr>
            <w:rStyle w:val="Hyperlink"/>
          </w:rPr>
          <w:t>https://orcid.org/0000-0002-1363-9781</w:t>
        </w:r>
      </w:hyperlink>
    </w:p>
    <w:sectPr w:rsidR="00B46208" w:rsidRPr="00B46208" w:rsidSect="009C2F09">
      <w:footerReference w:type="default" r:id="rId14"/>
      <w:pgSz w:w="12240" w:h="15840" w:code="1"/>
      <w:pgMar w:top="709"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44CB" w:rsidRDefault="00AD44CB">
      <w:pPr>
        <w:spacing w:after="0"/>
      </w:pPr>
      <w:r>
        <w:separator/>
      </w:r>
    </w:p>
  </w:endnote>
  <w:endnote w:type="continuationSeparator" w:id="0">
    <w:p w:rsidR="00AD44CB" w:rsidRDefault="00AD44CB">
      <w:pPr>
        <w:spacing w:after="0"/>
      </w:pPr>
      <w:r>
        <w:continuationSeparator/>
      </w:r>
    </w:p>
  </w:endnote>
  <w:endnote w:type="continuationNotice" w:id="1">
    <w:p w:rsidR="00AD44CB" w:rsidRDefault="00AD44C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5B6C" w:rsidRDefault="00AD5B6C">
    <w:pPr>
      <w:pStyle w:val="Footer"/>
      <w:jc w:val="center"/>
    </w:pPr>
    <w:r>
      <w:fldChar w:fldCharType="begin"/>
    </w:r>
    <w:r>
      <w:instrText xml:space="preserve"> PAGE   \* MERGEFORMAT </w:instrText>
    </w:r>
    <w:r>
      <w:fldChar w:fldCharType="separate"/>
    </w:r>
    <w:r>
      <w:rPr>
        <w:noProof/>
      </w:rPr>
      <w:t>22</w:t>
    </w:r>
    <w:r>
      <w:rPr>
        <w:noProof/>
      </w:rPr>
      <w:fldChar w:fldCharType="end"/>
    </w:r>
  </w:p>
  <w:p w:rsidR="00AD5B6C" w:rsidRDefault="00AD5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44CB" w:rsidRDefault="00AD44CB">
      <w:r>
        <w:separator/>
      </w:r>
    </w:p>
  </w:footnote>
  <w:footnote w:type="continuationSeparator" w:id="0">
    <w:p w:rsidR="00AD44CB" w:rsidRDefault="00AD44CB">
      <w:r>
        <w:continuationSeparator/>
      </w:r>
    </w:p>
  </w:footnote>
  <w:footnote w:type="continuationNotice" w:id="1">
    <w:p w:rsidR="00AD44CB" w:rsidRDefault="00AD44C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5E"/>
    <w:rsid w:val="000058F5"/>
    <w:rsid w:val="00005B58"/>
    <w:rsid w:val="00005DF9"/>
    <w:rsid w:val="000065E8"/>
    <w:rsid w:val="00006E29"/>
    <w:rsid w:val="00007536"/>
    <w:rsid w:val="000075FC"/>
    <w:rsid w:val="00007FFD"/>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2A4F"/>
    <w:rsid w:val="000235F3"/>
    <w:rsid w:val="00023612"/>
    <w:rsid w:val="00023792"/>
    <w:rsid w:val="00023A41"/>
    <w:rsid w:val="00024506"/>
    <w:rsid w:val="00024A7B"/>
    <w:rsid w:val="00024E99"/>
    <w:rsid w:val="00025737"/>
    <w:rsid w:val="00026A23"/>
    <w:rsid w:val="00026E7C"/>
    <w:rsid w:val="00030A46"/>
    <w:rsid w:val="00030FA3"/>
    <w:rsid w:val="00031229"/>
    <w:rsid w:val="000317CE"/>
    <w:rsid w:val="0003181E"/>
    <w:rsid w:val="00031A1D"/>
    <w:rsid w:val="00032420"/>
    <w:rsid w:val="00032731"/>
    <w:rsid w:val="000330D1"/>
    <w:rsid w:val="000333A2"/>
    <w:rsid w:val="00034583"/>
    <w:rsid w:val="0003459E"/>
    <w:rsid w:val="0003473B"/>
    <w:rsid w:val="000351FF"/>
    <w:rsid w:val="00035BBD"/>
    <w:rsid w:val="000362A6"/>
    <w:rsid w:val="00036460"/>
    <w:rsid w:val="00036900"/>
    <w:rsid w:val="00037267"/>
    <w:rsid w:val="00037D6D"/>
    <w:rsid w:val="000404E6"/>
    <w:rsid w:val="00041BB5"/>
    <w:rsid w:val="00042E25"/>
    <w:rsid w:val="00043102"/>
    <w:rsid w:val="000433A9"/>
    <w:rsid w:val="00043988"/>
    <w:rsid w:val="00043D4E"/>
    <w:rsid w:val="00044150"/>
    <w:rsid w:val="00045DE9"/>
    <w:rsid w:val="000469ED"/>
    <w:rsid w:val="00046D81"/>
    <w:rsid w:val="0004779B"/>
    <w:rsid w:val="00047D3A"/>
    <w:rsid w:val="0005005D"/>
    <w:rsid w:val="00050564"/>
    <w:rsid w:val="00050E44"/>
    <w:rsid w:val="00050E78"/>
    <w:rsid w:val="0005186F"/>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5803"/>
    <w:rsid w:val="000764C7"/>
    <w:rsid w:val="00076E7A"/>
    <w:rsid w:val="00077059"/>
    <w:rsid w:val="00077320"/>
    <w:rsid w:val="000778D2"/>
    <w:rsid w:val="00077A58"/>
    <w:rsid w:val="00077EAB"/>
    <w:rsid w:val="00077FB5"/>
    <w:rsid w:val="00080450"/>
    <w:rsid w:val="000804E8"/>
    <w:rsid w:val="000811CB"/>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FED"/>
    <w:rsid w:val="000B5F94"/>
    <w:rsid w:val="000B6E01"/>
    <w:rsid w:val="000B6E51"/>
    <w:rsid w:val="000B6F4D"/>
    <w:rsid w:val="000B7C42"/>
    <w:rsid w:val="000C0A63"/>
    <w:rsid w:val="000C126B"/>
    <w:rsid w:val="000C16A6"/>
    <w:rsid w:val="000C16E4"/>
    <w:rsid w:val="000C1B2A"/>
    <w:rsid w:val="000C1DFD"/>
    <w:rsid w:val="000C2B76"/>
    <w:rsid w:val="000C2BA8"/>
    <w:rsid w:val="000C33EC"/>
    <w:rsid w:val="000C3D30"/>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B64"/>
    <w:rsid w:val="000E2006"/>
    <w:rsid w:val="000E327F"/>
    <w:rsid w:val="000E33FD"/>
    <w:rsid w:val="000E4213"/>
    <w:rsid w:val="000E5000"/>
    <w:rsid w:val="000E5E97"/>
    <w:rsid w:val="000E72CC"/>
    <w:rsid w:val="000E7EAD"/>
    <w:rsid w:val="000E7F00"/>
    <w:rsid w:val="000F117A"/>
    <w:rsid w:val="000F1BFC"/>
    <w:rsid w:val="000F24B3"/>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64B7"/>
    <w:rsid w:val="00157417"/>
    <w:rsid w:val="001576DD"/>
    <w:rsid w:val="00157A68"/>
    <w:rsid w:val="0016016F"/>
    <w:rsid w:val="00160C41"/>
    <w:rsid w:val="001613F2"/>
    <w:rsid w:val="001617DD"/>
    <w:rsid w:val="00161FEB"/>
    <w:rsid w:val="001626C2"/>
    <w:rsid w:val="00162B7A"/>
    <w:rsid w:val="00163122"/>
    <w:rsid w:val="001640D1"/>
    <w:rsid w:val="00164E10"/>
    <w:rsid w:val="00165181"/>
    <w:rsid w:val="00166053"/>
    <w:rsid w:val="001666F2"/>
    <w:rsid w:val="00166C5E"/>
    <w:rsid w:val="0016731D"/>
    <w:rsid w:val="00167380"/>
    <w:rsid w:val="0016754C"/>
    <w:rsid w:val="001707D9"/>
    <w:rsid w:val="00170800"/>
    <w:rsid w:val="001713AC"/>
    <w:rsid w:val="001717FA"/>
    <w:rsid w:val="0017188B"/>
    <w:rsid w:val="001729D4"/>
    <w:rsid w:val="00172C85"/>
    <w:rsid w:val="001739C8"/>
    <w:rsid w:val="00174C2A"/>
    <w:rsid w:val="00175240"/>
    <w:rsid w:val="001755D7"/>
    <w:rsid w:val="001758FD"/>
    <w:rsid w:val="0017651E"/>
    <w:rsid w:val="00176973"/>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28C4"/>
    <w:rsid w:val="001B34DA"/>
    <w:rsid w:val="001B3692"/>
    <w:rsid w:val="001B40A9"/>
    <w:rsid w:val="001B40FF"/>
    <w:rsid w:val="001B412D"/>
    <w:rsid w:val="001B4420"/>
    <w:rsid w:val="001B4B9F"/>
    <w:rsid w:val="001B5E7E"/>
    <w:rsid w:val="001B6D6F"/>
    <w:rsid w:val="001B750B"/>
    <w:rsid w:val="001B7AF6"/>
    <w:rsid w:val="001C191C"/>
    <w:rsid w:val="001C1E9D"/>
    <w:rsid w:val="001C20C8"/>
    <w:rsid w:val="001C27F6"/>
    <w:rsid w:val="001C321C"/>
    <w:rsid w:val="001C3B54"/>
    <w:rsid w:val="001C4553"/>
    <w:rsid w:val="001C4D68"/>
    <w:rsid w:val="001C5233"/>
    <w:rsid w:val="001C5D8A"/>
    <w:rsid w:val="001C64D6"/>
    <w:rsid w:val="001C6FE5"/>
    <w:rsid w:val="001C7670"/>
    <w:rsid w:val="001D1DD4"/>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282"/>
    <w:rsid w:val="00210CA7"/>
    <w:rsid w:val="00211350"/>
    <w:rsid w:val="0021176B"/>
    <w:rsid w:val="00211A46"/>
    <w:rsid w:val="00211FC5"/>
    <w:rsid w:val="00212118"/>
    <w:rsid w:val="002121A7"/>
    <w:rsid w:val="00212EAF"/>
    <w:rsid w:val="00213749"/>
    <w:rsid w:val="00213D02"/>
    <w:rsid w:val="0021685A"/>
    <w:rsid w:val="00217498"/>
    <w:rsid w:val="00217AAC"/>
    <w:rsid w:val="00220A65"/>
    <w:rsid w:val="00220D2B"/>
    <w:rsid w:val="00221518"/>
    <w:rsid w:val="0022192B"/>
    <w:rsid w:val="00221BC9"/>
    <w:rsid w:val="00221C0F"/>
    <w:rsid w:val="002234E3"/>
    <w:rsid w:val="00223948"/>
    <w:rsid w:val="00223E51"/>
    <w:rsid w:val="00226569"/>
    <w:rsid w:val="00230147"/>
    <w:rsid w:val="00230ABA"/>
    <w:rsid w:val="00230ADA"/>
    <w:rsid w:val="00230AF5"/>
    <w:rsid w:val="00230C87"/>
    <w:rsid w:val="00230DBA"/>
    <w:rsid w:val="002314C2"/>
    <w:rsid w:val="00231B2B"/>
    <w:rsid w:val="00232556"/>
    <w:rsid w:val="002333AE"/>
    <w:rsid w:val="002338CF"/>
    <w:rsid w:val="00233C17"/>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570"/>
    <w:rsid w:val="002536E4"/>
    <w:rsid w:val="00253F7E"/>
    <w:rsid w:val="00254120"/>
    <w:rsid w:val="00254BC0"/>
    <w:rsid w:val="00254F18"/>
    <w:rsid w:val="00256557"/>
    <w:rsid w:val="002565DD"/>
    <w:rsid w:val="002566BD"/>
    <w:rsid w:val="00256EF4"/>
    <w:rsid w:val="00257896"/>
    <w:rsid w:val="00257D86"/>
    <w:rsid w:val="002604CE"/>
    <w:rsid w:val="00261A54"/>
    <w:rsid w:val="0026216D"/>
    <w:rsid w:val="002624D4"/>
    <w:rsid w:val="002626CC"/>
    <w:rsid w:val="00262EF2"/>
    <w:rsid w:val="00262F02"/>
    <w:rsid w:val="002635CD"/>
    <w:rsid w:val="002641F7"/>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4163"/>
    <w:rsid w:val="0028496B"/>
    <w:rsid w:val="00285784"/>
    <w:rsid w:val="00286EA7"/>
    <w:rsid w:val="002870DB"/>
    <w:rsid w:val="00287F6F"/>
    <w:rsid w:val="00290F74"/>
    <w:rsid w:val="00290FB9"/>
    <w:rsid w:val="002919EA"/>
    <w:rsid w:val="002930EF"/>
    <w:rsid w:val="002930F3"/>
    <w:rsid w:val="002935C5"/>
    <w:rsid w:val="00293721"/>
    <w:rsid w:val="002937DD"/>
    <w:rsid w:val="00293893"/>
    <w:rsid w:val="00293C78"/>
    <w:rsid w:val="00293F2E"/>
    <w:rsid w:val="002940F1"/>
    <w:rsid w:val="00295CD3"/>
    <w:rsid w:val="00295EF3"/>
    <w:rsid w:val="0029673C"/>
    <w:rsid w:val="00296DBE"/>
    <w:rsid w:val="00296FD9"/>
    <w:rsid w:val="002974E6"/>
    <w:rsid w:val="00297603"/>
    <w:rsid w:val="0029777A"/>
    <w:rsid w:val="00297A99"/>
    <w:rsid w:val="002A0204"/>
    <w:rsid w:val="002A0395"/>
    <w:rsid w:val="002A0480"/>
    <w:rsid w:val="002A0921"/>
    <w:rsid w:val="002A1003"/>
    <w:rsid w:val="002A1E7B"/>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3741"/>
    <w:rsid w:val="002B390D"/>
    <w:rsid w:val="002B3B0F"/>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2CA"/>
    <w:rsid w:val="002C270F"/>
    <w:rsid w:val="002C2E2E"/>
    <w:rsid w:val="002C32D6"/>
    <w:rsid w:val="002C4EEB"/>
    <w:rsid w:val="002C5C96"/>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E7E20"/>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0D9"/>
    <w:rsid w:val="003047D0"/>
    <w:rsid w:val="00304E84"/>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39CF"/>
    <w:rsid w:val="00314A7A"/>
    <w:rsid w:val="00314D2C"/>
    <w:rsid w:val="00317018"/>
    <w:rsid w:val="0031751D"/>
    <w:rsid w:val="00317DAF"/>
    <w:rsid w:val="003209CF"/>
    <w:rsid w:val="00321C77"/>
    <w:rsid w:val="00322248"/>
    <w:rsid w:val="003226B9"/>
    <w:rsid w:val="00323509"/>
    <w:rsid w:val="003249DF"/>
    <w:rsid w:val="00324C29"/>
    <w:rsid w:val="00324E0A"/>
    <w:rsid w:val="003251C7"/>
    <w:rsid w:val="003252BC"/>
    <w:rsid w:val="0032532C"/>
    <w:rsid w:val="0032574D"/>
    <w:rsid w:val="00325EB1"/>
    <w:rsid w:val="003264AF"/>
    <w:rsid w:val="0032680E"/>
    <w:rsid w:val="003302D7"/>
    <w:rsid w:val="0033030D"/>
    <w:rsid w:val="00330A88"/>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07B4"/>
    <w:rsid w:val="0034157B"/>
    <w:rsid w:val="00342111"/>
    <w:rsid w:val="00342EA6"/>
    <w:rsid w:val="00343252"/>
    <w:rsid w:val="00343C6A"/>
    <w:rsid w:val="00343FAF"/>
    <w:rsid w:val="00344A47"/>
    <w:rsid w:val="003450F4"/>
    <w:rsid w:val="00345466"/>
    <w:rsid w:val="00346C28"/>
    <w:rsid w:val="003475E6"/>
    <w:rsid w:val="003477B2"/>
    <w:rsid w:val="00347D07"/>
    <w:rsid w:val="0035011F"/>
    <w:rsid w:val="00350AEA"/>
    <w:rsid w:val="00350FE5"/>
    <w:rsid w:val="003510DE"/>
    <w:rsid w:val="0035130F"/>
    <w:rsid w:val="0035175F"/>
    <w:rsid w:val="00352039"/>
    <w:rsid w:val="00352382"/>
    <w:rsid w:val="00352767"/>
    <w:rsid w:val="00352AF2"/>
    <w:rsid w:val="00352C55"/>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257D"/>
    <w:rsid w:val="00363038"/>
    <w:rsid w:val="00363E65"/>
    <w:rsid w:val="00364F0A"/>
    <w:rsid w:val="00365B9E"/>
    <w:rsid w:val="00365CC9"/>
    <w:rsid w:val="0036643B"/>
    <w:rsid w:val="0036753D"/>
    <w:rsid w:val="0036760E"/>
    <w:rsid w:val="00367CC6"/>
    <w:rsid w:val="0037003A"/>
    <w:rsid w:val="00371EA1"/>
    <w:rsid w:val="00371F27"/>
    <w:rsid w:val="00372023"/>
    <w:rsid w:val="00372978"/>
    <w:rsid w:val="00373B78"/>
    <w:rsid w:val="00374287"/>
    <w:rsid w:val="0037447E"/>
    <w:rsid w:val="003745E1"/>
    <w:rsid w:val="00375621"/>
    <w:rsid w:val="00375BB9"/>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57C4"/>
    <w:rsid w:val="00396132"/>
    <w:rsid w:val="00397AF6"/>
    <w:rsid w:val="003A0E03"/>
    <w:rsid w:val="003A1338"/>
    <w:rsid w:val="003A1781"/>
    <w:rsid w:val="003A1AC2"/>
    <w:rsid w:val="003A378D"/>
    <w:rsid w:val="003A3FB7"/>
    <w:rsid w:val="003A587C"/>
    <w:rsid w:val="003A5B50"/>
    <w:rsid w:val="003A5E82"/>
    <w:rsid w:val="003A604B"/>
    <w:rsid w:val="003A63A6"/>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414F"/>
    <w:rsid w:val="003D43E3"/>
    <w:rsid w:val="003D61EB"/>
    <w:rsid w:val="003D65D2"/>
    <w:rsid w:val="003D6DA0"/>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502F"/>
    <w:rsid w:val="00437CB6"/>
    <w:rsid w:val="0044052A"/>
    <w:rsid w:val="00441519"/>
    <w:rsid w:val="004417B3"/>
    <w:rsid w:val="00441AEC"/>
    <w:rsid w:val="00442282"/>
    <w:rsid w:val="004428A9"/>
    <w:rsid w:val="00443762"/>
    <w:rsid w:val="00444475"/>
    <w:rsid w:val="0044466E"/>
    <w:rsid w:val="00444B5F"/>
    <w:rsid w:val="00445473"/>
    <w:rsid w:val="0044606A"/>
    <w:rsid w:val="00446EF7"/>
    <w:rsid w:val="00446F26"/>
    <w:rsid w:val="004502F4"/>
    <w:rsid w:val="00450B88"/>
    <w:rsid w:val="004511B3"/>
    <w:rsid w:val="0045124F"/>
    <w:rsid w:val="00452B2E"/>
    <w:rsid w:val="00455488"/>
    <w:rsid w:val="00455694"/>
    <w:rsid w:val="004560F2"/>
    <w:rsid w:val="004570D3"/>
    <w:rsid w:val="00457659"/>
    <w:rsid w:val="00461C06"/>
    <w:rsid w:val="00461E25"/>
    <w:rsid w:val="00462611"/>
    <w:rsid w:val="0046296E"/>
    <w:rsid w:val="00462E55"/>
    <w:rsid w:val="004631DA"/>
    <w:rsid w:val="004632FE"/>
    <w:rsid w:val="00463ED4"/>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B9D"/>
    <w:rsid w:val="00474C7A"/>
    <w:rsid w:val="00474DB5"/>
    <w:rsid w:val="00474DE5"/>
    <w:rsid w:val="004752AA"/>
    <w:rsid w:val="0047555C"/>
    <w:rsid w:val="00475DD1"/>
    <w:rsid w:val="0047615F"/>
    <w:rsid w:val="004769C5"/>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40FE"/>
    <w:rsid w:val="004A477C"/>
    <w:rsid w:val="004A47FC"/>
    <w:rsid w:val="004A4B9B"/>
    <w:rsid w:val="004A4D21"/>
    <w:rsid w:val="004A4FEC"/>
    <w:rsid w:val="004A6E9B"/>
    <w:rsid w:val="004A7D75"/>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27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A80"/>
    <w:rsid w:val="004F08CD"/>
    <w:rsid w:val="004F0DF9"/>
    <w:rsid w:val="004F1DC1"/>
    <w:rsid w:val="004F2596"/>
    <w:rsid w:val="004F2756"/>
    <w:rsid w:val="004F375A"/>
    <w:rsid w:val="004F3D87"/>
    <w:rsid w:val="004F4894"/>
    <w:rsid w:val="004F489F"/>
    <w:rsid w:val="004F4B46"/>
    <w:rsid w:val="004F5566"/>
    <w:rsid w:val="004F61BD"/>
    <w:rsid w:val="004F61C5"/>
    <w:rsid w:val="004F6C63"/>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88D"/>
    <w:rsid w:val="00515C54"/>
    <w:rsid w:val="00515DC1"/>
    <w:rsid w:val="00516EAF"/>
    <w:rsid w:val="00516F90"/>
    <w:rsid w:val="0051711C"/>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F8F"/>
    <w:rsid w:val="0058659A"/>
    <w:rsid w:val="0058677B"/>
    <w:rsid w:val="005876BE"/>
    <w:rsid w:val="00587CEC"/>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8EB"/>
    <w:rsid w:val="005C192F"/>
    <w:rsid w:val="005C1994"/>
    <w:rsid w:val="005C1FC1"/>
    <w:rsid w:val="005C24B1"/>
    <w:rsid w:val="005C2645"/>
    <w:rsid w:val="005C2A1A"/>
    <w:rsid w:val="005C525C"/>
    <w:rsid w:val="005C580A"/>
    <w:rsid w:val="005C59DE"/>
    <w:rsid w:val="005C5C96"/>
    <w:rsid w:val="005C5EBF"/>
    <w:rsid w:val="005C63D0"/>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F02"/>
    <w:rsid w:val="005E64E1"/>
    <w:rsid w:val="005E7450"/>
    <w:rsid w:val="005E7BB2"/>
    <w:rsid w:val="005F03CE"/>
    <w:rsid w:val="005F0D12"/>
    <w:rsid w:val="005F0FFB"/>
    <w:rsid w:val="005F18B9"/>
    <w:rsid w:val="005F1917"/>
    <w:rsid w:val="005F2B2F"/>
    <w:rsid w:val="005F374B"/>
    <w:rsid w:val="005F4573"/>
    <w:rsid w:val="005F49E0"/>
    <w:rsid w:val="005F4B28"/>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6091"/>
    <w:rsid w:val="0061648E"/>
    <w:rsid w:val="00617352"/>
    <w:rsid w:val="0061742F"/>
    <w:rsid w:val="006175A1"/>
    <w:rsid w:val="006201F2"/>
    <w:rsid w:val="006208D8"/>
    <w:rsid w:val="00620ABE"/>
    <w:rsid w:val="00620E09"/>
    <w:rsid w:val="00621603"/>
    <w:rsid w:val="006226D7"/>
    <w:rsid w:val="00622773"/>
    <w:rsid w:val="00622F48"/>
    <w:rsid w:val="00622FE8"/>
    <w:rsid w:val="00623216"/>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FD9"/>
    <w:rsid w:val="006522BA"/>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5D2"/>
    <w:rsid w:val="00666CA5"/>
    <w:rsid w:val="0066712E"/>
    <w:rsid w:val="00667CCB"/>
    <w:rsid w:val="006703E1"/>
    <w:rsid w:val="00670FB5"/>
    <w:rsid w:val="00671F3F"/>
    <w:rsid w:val="00672824"/>
    <w:rsid w:val="00672ABA"/>
    <w:rsid w:val="00672FF7"/>
    <w:rsid w:val="006736F2"/>
    <w:rsid w:val="00673EF9"/>
    <w:rsid w:val="0067407E"/>
    <w:rsid w:val="00674883"/>
    <w:rsid w:val="00675990"/>
    <w:rsid w:val="006774CD"/>
    <w:rsid w:val="0068066D"/>
    <w:rsid w:val="00681E6F"/>
    <w:rsid w:val="006828BB"/>
    <w:rsid w:val="00682956"/>
    <w:rsid w:val="00682A44"/>
    <w:rsid w:val="00682CBB"/>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426A"/>
    <w:rsid w:val="006A42CA"/>
    <w:rsid w:val="006A44FA"/>
    <w:rsid w:val="006A4603"/>
    <w:rsid w:val="006A4B08"/>
    <w:rsid w:val="006A50EF"/>
    <w:rsid w:val="006A55D2"/>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3539"/>
    <w:rsid w:val="006E35D4"/>
    <w:rsid w:val="006E4549"/>
    <w:rsid w:val="006E5854"/>
    <w:rsid w:val="006E62E9"/>
    <w:rsid w:val="006E6649"/>
    <w:rsid w:val="006E66BE"/>
    <w:rsid w:val="006E7BC0"/>
    <w:rsid w:val="006F043C"/>
    <w:rsid w:val="006F0BA2"/>
    <w:rsid w:val="006F1346"/>
    <w:rsid w:val="006F1CA8"/>
    <w:rsid w:val="006F2A3A"/>
    <w:rsid w:val="006F2AD8"/>
    <w:rsid w:val="006F2B0F"/>
    <w:rsid w:val="006F3164"/>
    <w:rsid w:val="006F31F8"/>
    <w:rsid w:val="006F3485"/>
    <w:rsid w:val="006F3914"/>
    <w:rsid w:val="006F39AD"/>
    <w:rsid w:val="006F3A86"/>
    <w:rsid w:val="006F4560"/>
    <w:rsid w:val="006F465B"/>
    <w:rsid w:val="006F4CB8"/>
    <w:rsid w:val="006F5855"/>
    <w:rsid w:val="006F5A52"/>
    <w:rsid w:val="006F5DAE"/>
    <w:rsid w:val="006F5DE4"/>
    <w:rsid w:val="007002B0"/>
    <w:rsid w:val="00700408"/>
    <w:rsid w:val="00700450"/>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853"/>
    <w:rsid w:val="00725609"/>
    <w:rsid w:val="0072582D"/>
    <w:rsid w:val="00726F36"/>
    <w:rsid w:val="0073036F"/>
    <w:rsid w:val="00730884"/>
    <w:rsid w:val="007308D3"/>
    <w:rsid w:val="00731381"/>
    <w:rsid w:val="0073171D"/>
    <w:rsid w:val="00731E6B"/>
    <w:rsid w:val="00732016"/>
    <w:rsid w:val="00732A4C"/>
    <w:rsid w:val="00732FE5"/>
    <w:rsid w:val="00733177"/>
    <w:rsid w:val="0073363C"/>
    <w:rsid w:val="00734F8E"/>
    <w:rsid w:val="007351F8"/>
    <w:rsid w:val="0073580D"/>
    <w:rsid w:val="00736302"/>
    <w:rsid w:val="00736360"/>
    <w:rsid w:val="0073660C"/>
    <w:rsid w:val="00736F44"/>
    <w:rsid w:val="0073719B"/>
    <w:rsid w:val="00737794"/>
    <w:rsid w:val="00740400"/>
    <w:rsid w:val="00741F6E"/>
    <w:rsid w:val="0074274A"/>
    <w:rsid w:val="007435F8"/>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B72"/>
    <w:rsid w:val="00767DB5"/>
    <w:rsid w:val="007704C7"/>
    <w:rsid w:val="00770AFC"/>
    <w:rsid w:val="00771113"/>
    <w:rsid w:val="00771543"/>
    <w:rsid w:val="00771DE5"/>
    <w:rsid w:val="00771E0F"/>
    <w:rsid w:val="007720C4"/>
    <w:rsid w:val="007722C9"/>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178A"/>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65B"/>
    <w:rsid w:val="007B5C69"/>
    <w:rsid w:val="007B5DBC"/>
    <w:rsid w:val="007B6CC7"/>
    <w:rsid w:val="007B738D"/>
    <w:rsid w:val="007B7725"/>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5406"/>
    <w:rsid w:val="007C5AFE"/>
    <w:rsid w:val="007C5FF7"/>
    <w:rsid w:val="007C6C90"/>
    <w:rsid w:val="007C6DF4"/>
    <w:rsid w:val="007C706A"/>
    <w:rsid w:val="007C799F"/>
    <w:rsid w:val="007C79A1"/>
    <w:rsid w:val="007C7D4C"/>
    <w:rsid w:val="007D041A"/>
    <w:rsid w:val="007D1813"/>
    <w:rsid w:val="007D1FB5"/>
    <w:rsid w:val="007D2936"/>
    <w:rsid w:val="007D4D6E"/>
    <w:rsid w:val="007D5F67"/>
    <w:rsid w:val="007D64A7"/>
    <w:rsid w:val="007D673C"/>
    <w:rsid w:val="007D6DC1"/>
    <w:rsid w:val="007D7372"/>
    <w:rsid w:val="007D7D37"/>
    <w:rsid w:val="007E081E"/>
    <w:rsid w:val="007E1523"/>
    <w:rsid w:val="007E2349"/>
    <w:rsid w:val="007E2E1B"/>
    <w:rsid w:val="007E43C4"/>
    <w:rsid w:val="007E4A90"/>
    <w:rsid w:val="007E4A9C"/>
    <w:rsid w:val="007E55CB"/>
    <w:rsid w:val="007E6163"/>
    <w:rsid w:val="007E6D61"/>
    <w:rsid w:val="007E72DA"/>
    <w:rsid w:val="007E78CD"/>
    <w:rsid w:val="007E7D27"/>
    <w:rsid w:val="007F0700"/>
    <w:rsid w:val="007F13C1"/>
    <w:rsid w:val="007F1523"/>
    <w:rsid w:val="007F18F6"/>
    <w:rsid w:val="007F191C"/>
    <w:rsid w:val="007F1A0B"/>
    <w:rsid w:val="007F2687"/>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30A3B"/>
    <w:rsid w:val="008319AD"/>
    <w:rsid w:val="00831BE5"/>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C"/>
    <w:rsid w:val="008457B7"/>
    <w:rsid w:val="008464D7"/>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685"/>
    <w:rsid w:val="008B62D1"/>
    <w:rsid w:val="008B688E"/>
    <w:rsid w:val="008B6F00"/>
    <w:rsid w:val="008C0E2A"/>
    <w:rsid w:val="008C1315"/>
    <w:rsid w:val="008C1638"/>
    <w:rsid w:val="008C1C71"/>
    <w:rsid w:val="008C33E4"/>
    <w:rsid w:val="008C42F3"/>
    <w:rsid w:val="008C453E"/>
    <w:rsid w:val="008C499E"/>
    <w:rsid w:val="008C4D1B"/>
    <w:rsid w:val="008C51FD"/>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304"/>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3A0"/>
    <w:rsid w:val="008E671D"/>
    <w:rsid w:val="008E6F1C"/>
    <w:rsid w:val="008E779F"/>
    <w:rsid w:val="008E7CC7"/>
    <w:rsid w:val="008E7D51"/>
    <w:rsid w:val="008E7F6F"/>
    <w:rsid w:val="008F0921"/>
    <w:rsid w:val="008F0AB7"/>
    <w:rsid w:val="008F1E4D"/>
    <w:rsid w:val="008F228D"/>
    <w:rsid w:val="008F2AFD"/>
    <w:rsid w:val="008F2F21"/>
    <w:rsid w:val="008F3304"/>
    <w:rsid w:val="008F3708"/>
    <w:rsid w:val="008F386A"/>
    <w:rsid w:val="008F400E"/>
    <w:rsid w:val="008F4C08"/>
    <w:rsid w:val="008F4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10BDE"/>
    <w:rsid w:val="00911305"/>
    <w:rsid w:val="009119A3"/>
    <w:rsid w:val="00911C55"/>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0E0"/>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5CD6"/>
    <w:rsid w:val="00966533"/>
    <w:rsid w:val="00966E9E"/>
    <w:rsid w:val="009674D3"/>
    <w:rsid w:val="0096757D"/>
    <w:rsid w:val="00967E02"/>
    <w:rsid w:val="00970650"/>
    <w:rsid w:val="00970E27"/>
    <w:rsid w:val="00970EAD"/>
    <w:rsid w:val="00970F2D"/>
    <w:rsid w:val="009715DD"/>
    <w:rsid w:val="0097174D"/>
    <w:rsid w:val="00972A56"/>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F54"/>
    <w:rsid w:val="009A1044"/>
    <w:rsid w:val="009A13CA"/>
    <w:rsid w:val="009A1738"/>
    <w:rsid w:val="009A1BD4"/>
    <w:rsid w:val="009A20D3"/>
    <w:rsid w:val="009A2731"/>
    <w:rsid w:val="009A2AB2"/>
    <w:rsid w:val="009A4CBF"/>
    <w:rsid w:val="009A4D83"/>
    <w:rsid w:val="009A576E"/>
    <w:rsid w:val="009A5C22"/>
    <w:rsid w:val="009A5C6C"/>
    <w:rsid w:val="009A6789"/>
    <w:rsid w:val="009A6ABA"/>
    <w:rsid w:val="009A709A"/>
    <w:rsid w:val="009A757D"/>
    <w:rsid w:val="009B06B4"/>
    <w:rsid w:val="009B0A3A"/>
    <w:rsid w:val="009B180C"/>
    <w:rsid w:val="009B2347"/>
    <w:rsid w:val="009B4280"/>
    <w:rsid w:val="009B4CD8"/>
    <w:rsid w:val="009B50FC"/>
    <w:rsid w:val="009B5112"/>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E75"/>
    <w:rsid w:val="009F704C"/>
    <w:rsid w:val="009F763C"/>
    <w:rsid w:val="009F77F8"/>
    <w:rsid w:val="00A006BE"/>
    <w:rsid w:val="00A017D8"/>
    <w:rsid w:val="00A020E5"/>
    <w:rsid w:val="00A02E1B"/>
    <w:rsid w:val="00A03452"/>
    <w:rsid w:val="00A04DC4"/>
    <w:rsid w:val="00A04ED0"/>
    <w:rsid w:val="00A06811"/>
    <w:rsid w:val="00A07350"/>
    <w:rsid w:val="00A0738B"/>
    <w:rsid w:val="00A074C0"/>
    <w:rsid w:val="00A07CF5"/>
    <w:rsid w:val="00A07EC9"/>
    <w:rsid w:val="00A11142"/>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494"/>
    <w:rsid w:val="00A234EE"/>
    <w:rsid w:val="00A24C46"/>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F4A"/>
    <w:rsid w:val="00A44CE3"/>
    <w:rsid w:val="00A44F62"/>
    <w:rsid w:val="00A450A8"/>
    <w:rsid w:val="00A453C3"/>
    <w:rsid w:val="00A45444"/>
    <w:rsid w:val="00A45BBE"/>
    <w:rsid w:val="00A45F29"/>
    <w:rsid w:val="00A46153"/>
    <w:rsid w:val="00A46338"/>
    <w:rsid w:val="00A465FD"/>
    <w:rsid w:val="00A46A8E"/>
    <w:rsid w:val="00A46B1F"/>
    <w:rsid w:val="00A46D13"/>
    <w:rsid w:val="00A46DC3"/>
    <w:rsid w:val="00A5068F"/>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5228"/>
    <w:rsid w:val="00A87D09"/>
    <w:rsid w:val="00A87F68"/>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3361"/>
    <w:rsid w:val="00AA39FA"/>
    <w:rsid w:val="00AA453A"/>
    <w:rsid w:val="00AA47CD"/>
    <w:rsid w:val="00AA5418"/>
    <w:rsid w:val="00AA5785"/>
    <w:rsid w:val="00AA5A17"/>
    <w:rsid w:val="00AA68C4"/>
    <w:rsid w:val="00AA6DF4"/>
    <w:rsid w:val="00AA7A8B"/>
    <w:rsid w:val="00AB097A"/>
    <w:rsid w:val="00AB0A34"/>
    <w:rsid w:val="00AB0E53"/>
    <w:rsid w:val="00AB1D5C"/>
    <w:rsid w:val="00AB2058"/>
    <w:rsid w:val="00AB21A1"/>
    <w:rsid w:val="00AB21ED"/>
    <w:rsid w:val="00AB2456"/>
    <w:rsid w:val="00AB2E14"/>
    <w:rsid w:val="00AB31DD"/>
    <w:rsid w:val="00AB353B"/>
    <w:rsid w:val="00AB36BF"/>
    <w:rsid w:val="00AB3A7D"/>
    <w:rsid w:val="00AB4550"/>
    <w:rsid w:val="00AB5AE8"/>
    <w:rsid w:val="00AB5B13"/>
    <w:rsid w:val="00AB6383"/>
    <w:rsid w:val="00AB7C3A"/>
    <w:rsid w:val="00AC0896"/>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4CB"/>
    <w:rsid w:val="00AD4DCC"/>
    <w:rsid w:val="00AD58CE"/>
    <w:rsid w:val="00AD5B6C"/>
    <w:rsid w:val="00AD5F7A"/>
    <w:rsid w:val="00AD644F"/>
    <w:rsid w:val="00AD6510"/>
    <w:rsid w:val="00AD6B4B"/>
    <w:rsid w:val="00AD7177"/>
    <w:rsid w:val="00AD7292"/>
    <w:rsid w:val="00AD73FB"/>
    <w:rsid w:val="00AD7AED"/>
    <w:rsid w:val="00AE0330"/>
    <w:rsid w:val="00AE08A9"/>
    <w:rsid w:val="00AE08F6"/>
    <w:rsid w:val="00AE09BC"/>
    <w:rsid w:val="00AE1842"/>
    <w:rsid w:val="00AE1C95"/>
    <w:rsid w:val="00AE3336"/>
    <w:rsid w:val="00AE381D"/>
    <w:rsid w:val="00AE41B8"/>
    <w:rsid w:val="00AE5077"/>
    <w:rsid w:val="00AE51EB"/>
    <w:rsid w:val="00AE6022"/>
    <w:rsid w:val="00AE78C9"/>
    <w:rsid w:val="00AE7946"/>
    <w:rsid w:val="00AF00CB"/>
    <w:rsid w:val="00AF0968"/>
    <w:rsid w:val="00AF0CD0"/>
    <w:rsid w:val="00AF0EB0"/>
    <w:rsid w:val="00AF0ECA"/>
    <w:rsid w:val="00AF1477"/>
    <w:rsid w:val="00AF21A3"/>
    <w:rsid w:val="00AF264A"/>
    <w:rsid w:val="00AF26FD"/>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446E"/>
    <w:rsid w:val="00B0497A"/>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5C3C"/>
    <w:rsid w:val="00B16ABC"/>
    <w:rsid w:val="00B20019"/>
    <w:rsid w:val="00B20610"/>
    <w:rsid w:val="00B21955"/>
    <w:rsid w:val="00B21CEC"/>
    <w:rsid w:val="00B22E1D"/>
    <w:rsid w:val="00B2312C"/>
    <w:rsid w:val="00B23C39"/>
    <w:rsid w:val="00B23EEE"/>
    <w:rsid w:val="00B240EF"/>
    <w:rsid w:val="00B242C7"/>
    <w:rsid w:val="00B24543"/>
    <w:rsid w:val="00B26384"/>
    <w:rsid w:val="00B264E3"/>
    <w:rsid w:val="00B26813"/>
    <w:rsid w:val="00B26F99"/>
    <w:rsid w:val="00B27916"/>
    <w:rsid w:val="00B27D4C"/>
    <w:rsid w:val="00B31850"/>
    <w:rsid w:val="00B31A36"/>
    <w:rsid w:val="00B32071"/>
    <w:rsid w:val="00B32A88"/>
    <w:rsid w:val="00B331CD"/>
    <w:rsid w:val="00B33235"/>
    <w:rsid w:val="00B332AF"/>
    <w:rsid w:val="00B33426"/>
    <w:rsid w:val="00B335D2"/>
    <w:rsid w:val="00B33FA9"/>
    <w:rsid w:val="00B3492D"/>
    <w:rsid w:val="00B34B13"/>
    <w:rsid w:val="00B3561C"/>
    <w:rsid w:val="00B35722"/>
    <w:rsid w:val="00B35743"/>
    <w:rsid w:val="00B357CB"/>
    <w:rsid w:val="00B35FF5"/>
    <w:rsid w:val="00B3606C"/>
    <w:rsid w:val="00B36D68"/>
    <w:rsid w:val="00B4044B"/>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2F17"/>
    <w:rsid w:val="00B53C15"/>
    <w:rsid w:val="00B53F36"/>
    <w:rsid w:val="00B54850"/>
    <w:rsid w:val="00B5568E"/>
    <w:rsid w:val="00B559CB"/>
    <w:rsid w:val="00B55ADA"/>
    <w:rsid w:val="00B55EEC"/>
    <w:rsid w:val="00B5670A"/>
    <w:rsid w:val="00B56820"/>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0C44"/>
    <w:rsid w:val="00BA0F4C"/>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C4F"/>
    <w:rsid w:val="00BD5EE2"/>
    <w:rsid w:val="00BD6E12"/>
    <w:rsid w:val="00BD72CC"/>
    <w:rsid w:val="00BD7A0C"/>
    <w:rsid w:val="00BD7BCB"/>
    <w:rsid w:val="00BE042E"/>
    <w:rsid w:val="00BE0660"/>
    <w:rsid w:val="00BE18DF"/>
    <w:rsid w:val="00BE1C44"/>
    <w:rsid w:val="00BE2326"/>
    <w:rsid w:val="00BE374A"/>
    <w:rsid w:val="00BE3A41"/>
    <w:rsid w:val="00BE42FC"/>
    <w:rsid w:val="00BE5001"/>
    <w:rsid w:val="00BE7107"/>
    <w:rsid w:val="00BE72F2"/>
    <w:rsid w:val="00BE79AD"/>
    <w:rsid w:val="00BE7B31"/>
    <w:rsid w:val="00BE7B44"/>
    <w:rsid w:val="00BE7C13"/>
    <w:rsid w:val="00BE7DDB"/>
    <w:rsid w:val="00BF0543"/>
    <w:rsid w:val="00BF0B3F"/>
    <w:rsid w:val="00BF24E8"/>
    <w:rsid w:val="00BF297C"/>
    <w:rsid w:val="00BF37B7"/>
    <w:rsid w:val="00BF423F"/>
    <w:rsid w:val="00BF4E98"/>
    <w:rsid w:val="00BF546E"/>
    <w:rsid w:val="00BF54E8"/>
    <w:rsid w:val="00BF6C46"/>
    <w:rsid w:val="00BF7273"/>
    <w:rsid w:val="00BF7EB4"/>
    <w:rsid w:val="00C0080D"/>
    <w:rsid w:val="00C00919"/>
    <w:rsid w:val="00C0105A"/>
    <w:rsid w:val="00C01215"/>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7C"/>
    <w:rsid w:val="00C20A27"/>
    <w:rsid w:val="00C20A49"/>
    <w:rsid w:val="00C20D24"/>
    <w:rsid w:val="00C21DE5"/>
    <w:rsid w:val="00C225E6"/>
    <w:rsid w:val="00C250BB"/>
    <w:rsid w:val="00C265F8"/>
    <w:rsid w:val="00C26903"/>
    <w:rsid w:val="00C2694A"/>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FAF"/>
    <w:rsid w:val="00C502FE"/>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671"/>
    <w:rsid w:val="00C60C70"/>
    <w:rsid w:val="00C611E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435"/>
    <w:rsid w:val="00C767AE"/>
    <w:rsid w:val="00C76FCB"/>
    <w:rsid w:val="00C77223"/>
    <w:rsid w:val="00C77445"/>
    <w:rsid w:val="00C77A61"/>
    <w:rsid w:val="00C77A73"/>
    <w:rsid w:val="00C80AE1"/>
    <w:rsid w:val="00C8158D"/>
    <w:rsid w:val="00C81CF0"/>
    <w:rsid w:val="00C82125"/>
    <w:rsid w:val="00C82EE4"/>
    <w:rsid w:val="00C82F98"/>
    <w:rsid w:val="00C83231"/>
    <w:rsid w:val="00C8341E"/>
    <w:rsid w:val="00C83A82"/>
    <w:rsid w:val="00C84650"/>
    <w:rsid w:val="00C85460"/>
    <w:rsid w:val="00C85C59"/>
    <w:rsid w:val="00C86D71"/>
    <w:rsid w:val="00C8707C"/>
    <w:rsid w:val="00C8714C"/>
    <w:rsid w:val="00C87747"/>
    <w:rsid w:val="00C877D5"/>
    <w:rsid w:val="00C908F2"/>
    <w:rsid w:val="00C9106C"/>
    <w:rsid w:val="00C91A57"/>
    <w:rsid w:val="00C91E1F"/>
    <w:rsid w:val="00C92104"/>
    <w:rsid w:val="00C935E4"/>
    <w:rsid w:val="00C93FEA"/>
    <w:rsid w:val="00C944D4"/>
    <w:rsid w:val="00C945C4"/>
    <w:rsid w:val="00C95B1E"/>
    <w:rsid w:val="00C964C6"/>
    <w:rsid w:val="00C96F57"/>
    <w:rsid w:val="00C971F1"/>
    <w:rsid w:val="00C97C12"/>
    <w:rsid w:val="00CA03AC"/>
    <w:rsid w:val="00CA0D48"/>
    <w:rsid w:val="00CA0ECD"/>
    <w:rsid w:val="00CA131C"/>
    <w:rsid w:val="00CA1E10"/>
    <w:rsid w:val="00CA2A08"/>
    <w:rsid w:val="00CA2E0E"/>
    <w:rsid w:val="00CA3AC0"/>
    <w:rsid w:val="00CA45F0"/>
    <w:rsid w:val="00CA485B"/>
    <w:rsid w:val="00CA4E84"/>
    <w:rsid w:val="00CA5BE6"/>
    <w:rsid w:val="00CA688A"/>
    <w:rsid w:val="00CA7709"/>
    <w:rsid w:val="00CB0067"/>
    <w:rsid w:val="00CB06B0"/>
    <w:rsid w:val="00CB28CA"/>
    <w:rsid w:val="00CB2EE3"/>
    <w:rsid w:val="00CB3833"/>
    <w:rsid w:val="00CB4374"/>
    <w:rsid w:val="00CB5A07"/>
    <w:rsid w:val="00CB6BFA"/>
    <w:rsid w:val="00CB7719"/>
    <w:rsid w:val="00CB7947"/>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408B"/>
    <w:rsid w:val="00CD4818"/>
    <w:rsid w:val="00CD4D21"/>
    <w:rsid w:val="00CD50FE"/>
    <w:rsid w:val="00CD5330"/>
    <w:rsid w:val="00CD615B"/>
    <w:rsid w:val="00CD6D66"/>
    <w:rsid w:val="00CD7A9B"/>
    <w:rsid w:val="00CD7E3E"/>
    <w:rsid w:val="00CE0489"/>
    <w:rsid w:val="00CE0B41"/>
    <w:rsid w:val="00CE0E4F"/>
    <w:rsid w:val="00CE133D"/>
    <w:rsid w:val="00CE1746"/>
    <w:rsid w:val="00CE1A8E"/>
    <w:rsid w:val="00CE1B25"/>
    <w:rsid w:val="00CE206A"/>
    <w:rsid w:val="00CE21A6"/>
    <w:rsid w:val="00CE230A"/>
    <w:rsid w:val="00CE335D"/>
    <w:rsid w:val="00CE3842"/>
    <w:rsid w:val="00CE6847"/>
    <w:rsid w:val="00CE6B86"/>
    <w:rsid w:val="00CE7875"/>
    <w:rsid w:val="00CF00DE"/>
    <w:rsid w:val="00CF075F"/>
    <w:rsid w:val="00CF1356"/>
    <w:rsid w:val="00CF189F"/>
    <w:rsid w:val="00CF1908"/>
    <w:rsid w:val="00CF1A93"/>
    <w:rsid w:val="00CF20C9"/>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631"/>
    <w:rsid w:val="00D02C8F"/>
    <w:rsid w:val="00D031FB"/>
    <w:rsid w:val="00D03561"/>
    <w:rsid w:val="00D035E6"/>
    <w:rsid w:val="00D037B7"/>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2783"/>
    <w:rsid w:val="00D12C27"/>
    <w:rsid w:val="00D12E55"/>
    <w:rsid w:val="00D1322A"/>
    <w:rsid w:val="00D13862"/>
    <w:rsid w:val="00D13B49"/>
    <w:rsid w:val="00D13C71"/>
    <w:rsid w:val="00D14040"/>
    <w:rsid w:val="00D1482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5415"/>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571CE"/>
    <w:rsid w:val="00D6081B"/>
    <w:rsid w:val="00D609FB"/>
    <w:rsid w:val="00D6118F"/>
    <w:rsid w:val="00D61D4D"/>
    <w:rsid w:val="00D62239"/>
    <w:rsid w:val="00D637B0"/>
    <w:rsid w:val="00D639A3"/>
    <w:rsid w:val="00D6426B"/>
    <w:rsid w:val="00D65AB1"/>
    <w:rsid w:val="00D65C79"/>
    <w:rsid w:val="00D669E8"/>
    <w:rsid w:val="00D67CEB"/>
    <w:rsid w:val="00D70233"/>
    <w:rsid w:val="00D70A12"/>
    <w:rsid w:val="00D7233A"/>
    <w:rsid w:val="00D72F4D"/>
    <w:rsid w:val="00D72FFC"/>
    <w:rsid w:val="00D735C3"/>
    <w:rsid w:val="00D7395A"/>
    <w:rsid w:val="00D73C52"/>
    <w:rsid w:val="00D76A9A"/>
    <w:rsid w:val="00D77512"/>
    <w:rsid w:val="00D77DB7"/>
    <w:rsid w:val="00D80551"/>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8FD"/>
    <w:rsid w:val="00DE1BF5"/>
    <w:rsid w:val="00DE1EB9"/>
    <w:rsid w:val="00DE2066"/>
    <w:rsid w:val="00DE275A"/>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137F"/>
    <w:rsid w:val="00E013BB"/>
    <w:rsid w:val="00E0149B"/>
    <w:rsid w:val="00E0178F"/>
    <w:rsid w:val="00E01AE6"/>
    <w:rsid w:val="00E027D7"/>
    <w:rsid w:val="00E0320F"/>
    <w:rsid w:val="00E03AC8"/>
    <w:rsid w:val="00E04EBE"/>
    <w:rsid w:val="00E07C7E"/>
    <w:rsid w:val="00E07D97"/>
    <w:rsid w:val="00E07FF6"/>
    <w:rsid w:val="00E103F8"/>
    <w:rsid w:val="00E10680"/>
    <w:rsid w:val="00E10AA8"/>
    <w:rsid w:val="00E1186D"/>
    <w:rsid w:val="00E125D6"/>
    <w:rsid w:val="00E129BB"/>
    <w:rsid w:val="00E12A1A"/>
    <w:rsid w:val="00E1361B"/>
    <w:rsid w:val="00E13E91"/>
    <w:rsid w:val="00E13F42"/>
    <w:rsid w:val="00E14302"/>
    <w:rsid w:val="00E14B99"/>
    <w:rsid w:val="00E16405"/>
    <w:rsid w:val="00E170D5"/>
    <w:rsid w:val="00E17461"/>
    <w:rsid w:val="00E178D8"/>
    <w:rsid w:val="00E17D52"/>
    <w:rsid w:val="00E20A49"/>
    <w:rsid w:val="00E2127D"/>
    <w:rsid w:val="00E2160D"/>
    <w:rsid w:val="00E2196B"/>
    <w:rsid w:val="00E21AF4"/>
    <w:rsid w:val="00E22781"/>
    <w:rsid w:val="00E229B9"/>
    <w:rsid w:val="00E22B64"/>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6422"/>
    <w:rsid w:val="00E3684D"/>
    <w:rsid w:val="00E37201"/>
    <w:rsid w:val="00E37A4F"/>
    <w:rsid w:val="00E40561"/>
    <w:rsid w:val="00E405E7"/>
    <w:rsid w:val="00E40A5A"/>
    <w:rsid w:val="00E41E17"/>
    <w:rsid w:val="00E41E45"/>
    <w:rsid w:val="00E423C5"/>
    <w:rsid w:val="00E42645"/>
    <w:rsid w:val="00E42B45"/>
    <w:rsid w:val="00E43CF5"/>
    <w:rsid w:val="00E44024"/>
    <w:rsid w:val="00E4420C"/>
    <w:rsid w:val="00E4510A"/>
    <w:rsid w:val="00E454E4"/>
    <w:rsid w:val="00E4577F"/>
    <w:rsid w:val="00E4661A"/>
    <w:rsid w:val="00E46771"/>
    <w:rsid w:val="00E469BA"/>
    <w:rsid w:val="00E46B3C"/>
    <w:rsid w:val="00E502C9"/>
    <w:rsid w:val="00E50D5D"/>
    <w:rsid w:val="00E50EA6"/>
    <w:rsid w:val="00E510E6"/>
    <w:rsid w:val="00E51AA6"/>
    <w:rsid w:val="00E51DB7"/>
    <w:rsid w:val="00E5206D"/>
    <w:rsid w:val="00E525BC"/>
    <w:rsid w:val="00E528EA"/>
    <w:rsid w:val="00E52A66"/>
    <w:rsid w:val="00E52B27"/>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347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72B"/>
    <w:rsid w:val="00EC5B19"/>
    <w:rsid w:val="00EC77A9"/>
    <w:rsid w:val="00ED0427"/>
    <w:rsid w:val="00ED0F3F"/>
    <w:rsid w:val="00ED24C6"/>
    <w:rsid w:val="00ED3257"/>
    <w:rsid w:val="00ED379F"/>
    <w:rsid w:val="00ED4D30"/>
    <w:rsid w:val="00ED6444"/>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640B"/>
    <w:rsid w:val="00EF6737"/>
    <w:rsid w:val="00EF6C4B"/>
    <w:rsid w:val="00F0101F"/>
    <w:rsid w:val="00F0138B"/>
    <w:rsid w:val="00F0148A"/>
    <w:rsid w:val="00F01ADD"/>
    <w:rsid w:val="00F0240E"/>
    <w:rsid w:val="00F0279E"/>
    <w:rsid w:val="00F03634"/>
    <w:rsid w:val="00F0372B"/>
    <w:rsid w:val="00F03FC3"/>
    <w:rsid w:val="00F041D7"/>
    <w:rsid w:val="00F04554"/>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09E5"/>
    <w:rsid w:val="00F3104C"/>
    <w:rsid w:val="00F31256"/>
    <w:rsid w:val="00F312CC"/>
    <w:rsid w:val="00F31699"/>
    <w:rsid w:val="00F31AF3"/>
    <w:rsid w:val="00F3256A"/>
    <w:rsid w:val="00F32D40"/>
    <w:rsid w:val="00F330A8"/>
    <w:rsid w:val="00F33CEC"/>
    <w:rsid w:val="00F34083"/>
    <w:rsid w:val="00F34371"/>
    <w:rsid w:val="00F3440B"/>
    <w:rsid w:val="00F34781"/>
    <w:rsid w:val="00F358D2"/>
    <w:rsid w:val="00F35C29"/>
    <w:rsid w:val="00F3637F"/>
    <w:rsid w:val="00F37596"/>
    <w:rsid w:val="00F40DC3"/>
    <w:rsid w:val="00F41DB5"/>
    <w:rsid w:val="00F42EEB"/>
    <w:rsid w:val="00F43AC2"/>
    <w:rsid w:val="00F44B54"/>
    <w:rsid w:val="00F45440"/>
    <w:rsid w:val="00F4584C"/>
    <w:rsid w:val="00F46202"/>
    <w:rsid w:val="00F4622D"/>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420"/>
    <w:rsid w:val="00F84C1A"/>
    <w:rsid w:val="00F85498"/>
    <w:rsid w:val="00F858E0"/>
    <w:rsid w:val="00F8593E"/>
    <w:rsid w:val="00F85B67"/>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C08"/>
    <w:rsid w:val="00FA3D03"/>
    <w:rsid w:val="00FA4610"/>
    <w:rsid w:val="00FA5075"/>
    <w:rsid w:val="00FA58C5"/>
    <w:rsid w:val="00FA5DB3"/>
    <w:rsid w:val="00FA6C69"/>
    <w:rsid w:val="00FA6E2B"/>
    <w:rsid w:val="00FA753D"/>
    <w:rsid w:val="00FA7716"/>
    <w:rsid w:val="00FA78DF"/>
    <w:rsid w:val="00FB05B9"/>
    <w:rsid w:val="00FB108C"/>
    <w:rsid w:val="00FB16E1"/>
    <w:rsid w:val="00FB1888"/>
    <w:rsid w:val="00FB1930"/>
    <w:rsid w:val="00FB2344"/>
    <w:rsid w:val="00FB2CE3"/>
    <w:rsid w:val="00FB4284"/>
    <w:rsid w:val="00FB449F"/>
    <w:rsid w:val="00FB4658"/>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7F8"/>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C34FD"/>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2-1363-97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0989-326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2659-69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468/dl.46okua" TargetMode="External"/><Relationship Id="rId4" Type="http://schemas.openxmlformats.org/officeDocument/2006/relationships/settings" Target="settings.xml"/><Relationship Id="rId9" Type="http://schemas.openxmlformats.org/officeDocument/2006/relationships/hyperlink" Target="https://doi.org/10.15468/dl.n6u6n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8237-44DB-784E-BBB4-31C386D4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22</Pages>
  <Words>9304</Words>
  <Characters>54525</Characters>
  <Application>Microsoft Office Word</Application>
  <DocSecurity>0</DocSecurity>
  <Lines>1069</Lines>
  <Paragraphs>368</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63461</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Ruan Van Mazijk</cp:lastModifiedBy>
  <cp:revision>303</cp:revision>
  <cp:lastPrinted>2020-02-28T12:27:00Z</cp:lastPrinted>
  <dcterms:created xsi:type="dcterms:W3CDTF">2020-07-21T13:38:00Z</dcterms:created>
  <dcterms:modified xsi:type="dcterms:W3CDTF">2020-07-23T20:12:00Z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