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 pre-adaptations of those lineages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t>(Bergh &amp; Linder, 2009)</w:t>
      </w:r>
      <w:r>
        <w:t xml:space="preserve">. In this context, it is unsurprising that the two floras show strong taxonomic affinities and that both are 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 Holmern, Prager, Maliti, &amp; Røskaft,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E405E7"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E405E7"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(i.e. mean </w:t>
      </w:r>
      <w:r w:rsidRPr="003562E3">
        <w:rPr>
          <w:rFonts w:cstheme="majorBidi"/>
          <w:i/>
        </w:rPr>
        <w:t>α</w:t>
      </w:r>
      <w:r>
        <w:rPr>
          <w:rFonts w:cstheme="majorBidi"/>
        </w:rPr>
        <w:t xml:space="preserve"> richness</w:t>
      </w:r>
      <w:r w:rsidRPr="00D50517">
        <w:rPr>
          <w:rFonts w:cstheme="majorBidi"/>
        </w:rPr>
        <w:t>)</w:t>
      </w:r>
      <w:r>
        <w:t xml:space="preserve">,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 xml:space="preserve">-tests as implemented in R, in the face of non-normally distributed </w:t>
      </w:r>
      <w:r>
        <w:rPr>
          <w:rFonts w:eastAsiaTheme="minorEastAsia"/>
        </w:rPr>
        <w:t>data</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to 0.05º resolution using the “resample” function in “raster</w:t>
      </w:r>
      <w:r w:rsidR="000202B4">
        <w:t>,</w:t>
      </w:r>
      <w:r w:rsidR="005F0FFB">
        <w:t>” with the “bilinear” method.</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rsidRPr="006A50EF">
        <w:rPr>
          <w:noProof/>
        </w:rPr>
        <w:t>(Wickham et al., 2019)</w:t>
      </w:r>
      <w:r w:rsidR="0014092A">
        <w:t xml:space="preserve">. Regarding the latter, data at the QDS-, HDS- and DS-scales was analysed in data-frames with rows labelled with grid-cell codes (sensu </w:t>
      </w:r>
      <w:r w:rsidR="0014092A" w:rsidRPr="005B6901">
        <w:rPr>
          <w:noProof/>
        </w:rPr>
        <w:t>Larsen, Holmern, Prager, Maliti, &amp; Røskaft,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 xml:space="preserve">the </w:t>
      </w:r>
      <w:r w:rsidRPr="007031A0">
        <w:rPr>
          <w:rFonts w:eastAsia="MS Mincho"/>
        </w:rPr>
        <w:t>heterogeneit</w:t>
      </w:r>
      <w:r w:rsidR="00963268" w:rsidRPr="007031A0">
        <w:rPr>
          <w:rFonts w:eastAsia="MS Mincho"/>
        </w:rPr>
        <w:t xml:space="preserve">y </w:t>
      </w:r>
      <w:r w:rsidRPr="007031A0">
        <w:rPr>
          <w:rFonts w:eastAsia="MS Mincho"/>
        </w:rPr>
        <w:t xml:space="preserve">of </w:t>
      </w:r>
      <w:r w:rsidR="00963268" w:rsidRPr="007031A0">
        <w:rPr>
          <w:rFonts w:eastAsia="MS Mincho"/>
        </w:rPr>
        <w:t>each</w:t>
      </w:r>
      <w:r w:rsidRPr="007031A0">
        <w:rPr>
          <w:rFonts w:eastAsia="MS Mincho"/>
        </w:rPr>
        <w:t xml:space="preserve"> environmental variable</w:t>
      </w:r>
      <w:r w:rsidR="00A13B07" w:rsidRPr="007031A0">
        <w:rPr>
          <w:rFonts w:eastAsia="MS Mincho"/>
        </w:rPr>
        <w:t>, and</w:t>
      </w:r>
      <w:r w:rsidR="00A15FD6" w:rsidRPr="007031A0">
        <w:rPr>
          <w:rFonts w:eastAsia="MS Mincho"/>
        </w:rPr>
        <w:t xml:space="preserve"> </w:t>
      </w:r>
      <w:r w:rsidR="00A13B07" w:rsidRPr="007031A0">
        <w:rPr>
          <w:rFonts w:eastAsia="MS Mincho"/>
        </w:rPr>
        <w:t xml:space="preserve">to </w:t>
      </w:r>
      <w:r w:rsidRPr="007031A0">
        <w:rPr>
          <w:rFonts w:eastAsia="MS Mincho"/>
        </w:rPr>
        <w:t xml:space="preserve">the major axis of heterogeneity,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w:t>
      </w:r>
      <w:r w:rsidR="00547291" w:rsidRPr="007031A0">
        <w:rPr>
          <w:rFonts w:eastAsia="MS Mincho"/>
        </w:rPr>
        <w:lastRenderedPageBreak/>
        <w:t>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 xml:space="preserve">model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 intercept and slope.</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492D72" w:rsidRDefault="009871CA" w:rsidP="009871CA">
      <w:pPr>
        <w:pStyle w:val="BodyText"/>
      </w:pPr>
      <w:r>
        <w:br w:type="page"/>
      </w:r>
    </w:p>
    <w:p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rsidR="009871CA" w:rsidRPr="002C20EB" w:rsidRDefault="00DA25A6" w:rsidP="009871CA">
      <w:pPr>
        <w:pStyle w:val="BodyText"/>
      </w:pP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AB4550" w:rsidRDefault="00AB4550" w:rsidP="00AB4550">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492D72" w:rsidRDefault="00D04776" w:rsidP="009871CA">
      <w:pPr>
        <w:pStyle w:val="BodyText"/>
      </w:pPr>
      <w:r>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rsidR="009871CA" w:rsidRDefault="009871CA" w:rsidP="009871CA">
      <w:pPr>
        <w:pStyle w:val="BodyText"/>
      </w:pP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sidRPr="007031A0">
        <w:rPr>
          <w:rFonts w:eastAsia="MS Mincho"/>
        </w:rPr>
        <w:t xml:space="preserve"> “main effect + region” model (</w:t>
      </w:r>
      <w:r w:rsidR="00674883" w:rsidRPr="007031A0">
        <w:rPr>
          <w:rFonts w:eastAsia="MS Mincho"/>
          <w:i/>
        </w:rPr>
        <w:t>S</w:t>
      </w:r>
      <w:r w:rsidR="00674883" w:rsidRPr="007031A0">
        <w:rPr>
          <w:rFonts w:eastAsia="MS Mincho"/>
        </w:rPr>
        <w:t xml:space="preserve"> ~ </w:t>
      </w:r>
      <w:r w:rsidR="00674883" w:rsidRPr="007031A0">
        <w:rPr>
          <w:rFonts w:cs="Times New Roman"/>
          <w:i/>
        </w:rPr>
        <w:t>β</w:t>
      </w:r>
      <w:r w:rsidR="00674883" w:rsidRPr="007031A0">
        <w:rPr>
          <w:rFonts w:cs="Times New Roman"/>
          <w:vertAlign w:val="subscript"/>
        </w:rPr>
        <w:t>0</w:t>
      </w:r>
      <w:r w:rsidR="00674883" w:rsidRPr="007031A0">
        <w:rPr>
          <w:rFonts w:cs="Times New Roman"/>
        </w:rPr>
        <w:t xml:space="preserve"> + </w:t>
      </w:r>
      <w:r w:rsidR="00674883" w:rsidRPr="007031A0">
        <w:rPr>
          <w:rFonts w:cs="Times New Roman"/>
          <w:i/>
        </w:rPr>
        <w:t>β</w:t>
      </w:r>
      <w:r w:rsidR="00674883" w:rsidRPr="007031A0">
        <w:rPr>
          <w:rFonts w:cs="Times New Roman"/>
          <w:vertAlign w:val="subscript"/>
        </w:rPr>
        <w:t>1</w:t>
      </w:r>
      <w:r w:rsidR="00674883" w:rsidRPr="007031A0">
        <w:rPr>
          <w:rFonts w:cs="Times New Roman"/>
          <w:i/>
        </w:rPr>
        <w:t>X</w:t>
      </w:r>
      <w:r w:rsidR="00674883" w:rsidRPr="007031A0">
        <w:rPr>
          <w:rFonts w:cs="Times New Roman"/>
        </w:rPr>
        <w:t xml:space="preserve"> + </w:t>
      </w:r>
      <w:r w:rsidR="00674883" w:rsidRPr="007031A0">
        <w:rPr>
          <w:rFonts w:cs="Times New Roman"/>
          <w:i/>
        </w:rPr>
        <w:t>β</w:t>
      </w:r>
      <w:r w:rsidR="00674883" w:rsidRPr="007031A0">
        <w:rPr>
          <w:rFonts w:cs="Times New Roman"/>
          <w:vertAlign w:val="subscript"/>
        </w:rPr>
        <w:t>2</w:t>
      </w:r>
      <w:r w:rsidR="00674883" w:rsidRPr="007031A0">
        <w:rPr>
          <w:rFonts w:cs="Times New Roman"/>
          <w:i/>
        </w:rPr>
        <w:t>Region</w:t>
      </w:r>
      <w:r w:rsidR="00674883" w:rsidRPr="007031A0">
        <w:rPr>
          <w:rFonts w:cs="Times New Roman"/>
          <w:iCs/>
        </w:rPr>
        <w:t xml:space="preserve">; </w:t>
      </w:r>
      <w:r w:rsidR="00674883">
        <w:t>Table 1a</w:t>
      </w:r>
      <w:r w:rsidR="00674883" w:rsidRPr="007031A0">
        <w:rPr>
          <w:rFonts w:cs="Times New Roman"/>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rsidR="00D04776" w:rsidRDefault="00D04776" w:rsidP="0063566A">
      <w:pPr>
        <w:pStyle w:val="ImageCaption"/>
        <w:spacing w:before="240" w:line="240" w:lineRule="auto"/>
      </w:pP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rsidR="00570649" w:rsidRDefault="00570649" w:rsidP="00911305">
      <w:pPr>
        <w:pStyle w:val="ImageCaption"/>
        <w:spacing w:line="240" w:lineRule="auto"/>
      </w:pPr>
      <w:bookmarkStart w:id="9" w:name="references"/>
      <w:r>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van Rensburg, B. J., Chown, S. L., &amp; Gaston, K. J. (2002). Species richness, environmental correlates, and spatial scale: a test esing South African birds.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159</w:t>
      </w:r>
      <w:r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402D7" w:rsidRDefault="00A402D7">
      <w:pPr>
        <w:spacing w:after="0"/>
      </w:pPr>
      <w:r>
        <w:separator/>
      </w:r>
    </w:p>
  </w:endnote>
  <w:endnote w:type="continuationSeparator" w:id="0">
    <w:p w:rsidR="00A402D7" w:rsidRDefault="00A402D7">
      <w:pPr>
        <w:spacing w:after="0"/>
      </w:pPr>
      <w:r>
        <w:continuationSeparator/>
      </w:r>
    </w:p>
  </w:endnote>
  <w:endnote w:type="continuationNotice" w:id="1">
    <w:p w:rsidR="00A402D7" w:rsidRDefault="00A402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402D7" w:rsidRDefault="00A402D7">
      <w:r>
        <w:separator/>
      </w:r>
    </w:p>
  </w:footnote>
  <w:footnote w:type="continuationSeparator" w:id="0">
    <w:p w:rsidR="00A402D7" w:rsidRDefault="00A402D7">
      <w:r>
        <w:continuationSeparator/>
      </w:r>
    </w:p>
  </w:footnote>
  <w:footnote w:type="continuationNotice" w:id="1">
    <w:p w:rsidR="00A402D7" w:rsidRDefault="00A402D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02D7"/>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745"/>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2E0E"/>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57D00"/>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9996</Words>
  <Characters>56979</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66842</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15</cp:revision>
  <cp:lastPrinted>2020-02-28T12:27:00Z</cp:lastPrinted>
  <dcterms:created xsi:type="dcterms:W3CDTF">2020-07-21T13:38:00Z</dcterms:created>
  <dcterms:modified xsi:type="dcterms:W3CDTF">2020-07-21T13:42:00Z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