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24A7B" w:rsidRPr="00B021EB" w:rsidRDefault="00B021EB" w:rsidP="00B021EB">
      <w:pPr>
        <w:pStyle w:val="Title"/>
        <w:spacing w:line="240" w:lineRule="auto"/>
      </w:pPr>
      <w:bookmarkStart w:id="0" w:name="materials-and-methods"/>
      <w:r w:rsidRPr="00B021EB">
        <w:t xml:space="preserve">Environmental heterogeneity explains contrasting plant species richness between the South African Cape and </w:t>
      </w:r>
      <w:r w:rsidR="0096072B">
        <w:t>s</w:t>
      </w:r>
      <w:r w:rsidRPr="00B021EB">
        <w:t>outhwestern Australia</w:t>
      </w:r>
    </w:p>
    <w:p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rsidR="00024A7B" w:rsidRDefault="00024A7B" w:rsidP="006F31F8">
      <w:pPr>
        <w:pStyle w:val="FirstParagraph"/>
        <w:spacing w:after="0"/>
      </w:pPr>
      <w:r>
        <w:t>Department of Biological Sciences, University of Cape Town, Rondebosch, South Africa</w:t>
      </w:r>
    </w:p>
    <w:p w:rsidR="00024A7B" w:rsidRDefault="00024A7B" w:rsidP="00FE6DE3">
      <w:pPr>
        <w:pStyle w:val="BodyText"/>
        <w:spacing w:before="0"/>
      </w:pPr>
      <w:r>
        <w:t>Corresponding author: R</w:t>
      </w:r>
      <w:r w:rsidR="002A0204">
        <w:t>v</w:t>
      </w:r>
      <w:r>
        <w:t>M</w:t>
      </w:r>
      <w:r w:rsidR="006E039C">
        <w:t xml:space="preserve">, </w:t>
      </w:r>
      <w:hyperlink r:id="rId8" w:history="1">
        <w:r w:rsidR="00AE3336" w:rsidRPr="00790876">
          <w:rPr>
            <w:rStyle w:val="Hyperlink"/>
          </w:rPr>
          <w:t>ruanvmazijk@gmail.com</w:t>
        </w:r>
      </w:hyperlink>
    </w:p>
    <w:p w:rsidR="009E59E0" w:rsidRDefault="009E59E0" w:rsidP="008A4E97">
      <w:pPr>
        <w:pStyle w:val="Heading1"/>
        <w:spacing w:line="240" w:lineRule="auto"/>
      </w:pPr>
      <w:bookmarkStart w:id="1" w:name="acknowledgements"/>
      <w:bookmarkStart w:id="2" w:name="abstract"/>
      <w:r>
        <w:t>Acknowledgements</w:t>
      </w:r>
      <w:bookmarkEnd w:id="1"/>
    </w:p>
    <w:p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rsidR="00BC3667" w:rsidRDefault="00024A7B" w:rsidP="008A4E97">
      <w:pPr>
        <w:pStyle w:val="Heading1"/>
        <w:spacing w:line="240" w:lineRule="auto"/>
      </w:pPr>
      <w:r>
        <w:t>Abstract</w:t>
      </w:r>
      <w:bookmarkEnd w:id="2"/>
    </w:p>
    <w:p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w:t>
      </w:r>
      <w:r w:rsidR="00B9118E">
        <w:t>-</w:t>
      </w:r>
      <w:r w:rsidR="00844A5C">
        <w:t>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6D2922">
        <w:t xml:space="preserve"> </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F67297">
        <w:t xml:space="preserve">, </w:t>
      </w:r>
      <w:r w:rsidR="00977607" w:rsidRPr="00E71232">
        <w:t>depen</w:t>
      </w:r>
      <w:r w:rsidR="00372023" w:rsidRPr="00E71232">
        <w:t>den</w:t>
      </w:r>
      <w:r w:rsidR="00977607" w:rsidRPr="00E71232">
        <w:t>t o</w:t>
      </w:r>
      <w:r w:rsidR="00F67297">
        <w:t>n</w:t>
      </w:r>
      <w:r w:rsidR="00977607" w:rsidRPr="00E71232">
        <w:t xml:space="preserve"> spatial</w:t>
      </w:r>
      <w:r w:rsidR="00EC3F26">
        <w:t xml:space="preserve"> </w:t>
      </w:r>
      <w:r w:rsidR="00977607" w:rsidRPr="00E71232">
        <w:t>scale. Though there are region-specific effects</w:t>
      </w:r>
      <w:r w:rsidR="005B0DBE" w:rsidRPr="00E71232">
        <w:t>,</w:t>
      </w:r>
      <w:r w:rsidR="003F774D">
        <w:t xml:space="preserve"> broad</w:t>
      </w:r>
      <w:r w:rsidR="00862C2B">
        <w:t>,</w:t>
      </w:r>
      <w:r w:rsidR="003F774D">
        <w:t xml:space="preserve"> positive associations between various axes </w:t>
      </w:r>
      <w:r w:rsidR="003F774D">
        <w:lastRenderedPageBreak/>
        <w:t>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rsidR="00381AA9" w:rsidRPr="00381AA9" w:rsidRDefault="00024A7B" w:rsidP="00381AA9">
      <w:pPr>
        <w:pStyle w:val="BodyText"/>
      </w:pPr>
      <w:r>
        <w:rPr>
          <w:i/>
        </w:rPr>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rsidR="00D04776" w:rsidRDefault="00C408A8" w:rsidP="008A4E97">
      <w:pPr>
        <w:pStyle w:val="Heading1"/>
        <w:spacing w:line="240" w:lineRule="auto"/>
      </w:pPr>
      <w:r>
        <w:t>1</w:t>
      </w:r>
      <w:r w:rsidR="00D7233A">
        <w:t>:</w:t>
      </w:r>
      <w:r>
        <w:t xml:space="preserve"> </w:t>
      </w:r>
      <w:r w:rsidR="00D04776">
        <w:t>Introduction</w:t>
      </w:r>
    </w:p>
    <w:p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w:t>
      </w:r>
      <w:proofErr w:type="gramStart"/>
      <w:r w:rsidRPr="002F0553">
        <w:t>locally-deterministic</w:t>
      </w:r>
      <w:proofErr w:type="gramEnd"/>
      <w:r w:rsidRPr="002F0553">
        <w:t xml:space="preserve">, environmental features (e.g. productivity, heterogeneity) that influence species persistence and coexistence </w:t>
      </w:r>
      <w:r w:rsidR="000C0A63" w:rsidRPr="000C0A63">
        <w:rPr>
          <w:noProof/>
        </w:rPr>
        <w:t>(Bøhn &amp; Amundsen, 2004; Ricklefs, 1987, 2004)</w:t>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5A4C52">
        <w:t>, as has been repeatedly demonstrated</w:t>
      </w:r>
      <w:r w:rsidR="009F6AA8">
        <w:t xml:space="preserve"> </w:t>
      </w:r>
      <w:r w:rsidR="00404D92" w:rsidRPr="00404D92">
        <w:rPr>
          <w:noProof/>
        </w:rPr>
        <w:t>(</w:t>
      </w:r>
      <w:r w:rsidR="005A4C52">
        <w:rPr>
          <w:noProof/>
        </w:rPr>
        <w:t xml:space="preserve">e.g. </w:t>
      </w:r>
      <w:r w:rsidR="00404D92" w:rsidRPr="00404D92">
        <w:rPr>
          <w:noProof/>
        </w:rPr>
        <w:t>Cramer &amp; Verboom, 2016; Kreft &amp; Jetz, 2007; Laliberte et al., 2014; Thuiller et al., 2006</w:t>
      </w:r>
      <w:r w:rsidR="004B7284">
        <w:rPr>
          <w:noProof/>
        </w:rPr>
        <w:t>; Stein, Gerstner &amp; Kreft, 2014</w:t>
      </w:r>
      <w:r w:rsidR="000A3194">
        <w:rPr>
          <w:noProof/>
        </w:rPr>
        <w:t>)</w:t>
      </w:r>
      <w:r w:rsidRPr="002F0553">
        <w:t>. For example, given that the recruitment success of immigrant lineages into a region is often dictated by the pre-adaptations of those lineages</w:t>
      </w:r>
      <w:r w:rsidR="007034EE">
        <w:t xml:space="preserve"> </w:t>
      </w:r>
      <w:r w:rsidR="007034EE" w:rsidRPr="007034EE">
        <w:rPr>
          <w:noProof/>
        </w:rPr>
        <w:t>(Ackerly, 2009; Crisp et al., 2009; Donoghue, 2008)</w:t>
      </w:r>
      <w:r w:rsidRPr="002F0553">
        <w:t>, a physically-heterogenous environment may promote diversity by admitting a</w:t>
      </w:r>
      <w:r>
        <w:t xml:space="preserve"> more </w:t>
      </w:r>
      <w:proofErr w:type="gramStart"/>
      <w:r w:rsidR="00765D62">
        <w:t>functionally</w:t>
      </w:r>
      <w:r w:rsidR="003510DE">
        <w:t>-</w:t>
      </w:r>
      <w:r w:rsidR="00765D62">
        <w:t>diverse</w:t>
      </w:r>
      <w:proofErr w:type="gramEnd"/>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2B619B" w:rsidRPr="002B619B">
        <w:rPr>
          <w:noProof/>
        </w:rPr>
        <w:t>(Sobel, Chen, Watt, &amp; Schemske, 2010; Wiens, 2004a</w:t>
      </w:r>
      <w:r w:rsidR="002B619B">
        <w:rPr>
          <w:noProof/>
        </w:rPr>
        <w:t>,b</w:t>
      </w:r>
      <w:r w:rsidR="002B619B" w:rsidRPr="002B619B">
        <w:rPr>
          <w:noProof/>
        </w:rPr>
        <w:t>)</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rsidRPr="00A67894">
        <w:rPr>
          <w:noProof/>
        </w:rPr>
        <w:t>(Byrne, 2008)</w:t>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404D92" w:rsidRPr="00404D92">
        <w:rPr>
          <w:noProof/>
        </w:rPr>
        <w:t>(Hart et al., 2017)</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rsidR="00D04776" w:rsidRDefault="00D04776" w:rsidP="008A4E97">
      <w:pPr>
        <w:pStyle w:val="FirstParagraph"/>
      </w:pPr>
      <w:r w:rsidRPr="002F0553">
        <w:t xml:space="preserve">The </w:t>
      </w:r>
      <w:proofErr w:type="gramStart"/>
      <w:r>
        <w:t>floristically-rich</w:t>
      </w:r>
      <w:proofErr w:type="gramEnd"/>
      <w:r>
        <w:t xml:space="preserve"> </w:t>
      </w:r>
      <w:r w:rsidRPr="002F0553">
        <w:t xml:space="preserve">South Western Australian Floristic Region (SWAFR; </w:t>
      </w:r>
      <w:r w:rsidR="00C81CF0" w:rsidRPr="00C81CF0">
        <w:rPr>
          <w:noProof/>
        </w:rPr>
        <w:t>Hopper &amp; Gioia, 2004)</w:t>
      </w:r>
      <w:r w:rsidRPr="002F0553">
        <w:t xml:space="preserve"> and Greater Cape Floristic Region of South Africa (GCFR; </w:t>
      </w:r>
      <w:r w:rsidR="00F8740B" w:rsidRPr="00F8740B">
        <w:rPr>
          <w:noProof/>
        </w:rPr>
        <w:t>Born, Linder, &amp; Desmet, 2007)</w:t>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rsidRPr="00AA114B">
        <w:rPr>
          <w:noProof/>
        </w:rPr>
        <w:t>Lamont &amp; He, 2017</w:t>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rsidRPr="001E12DB">
        <w:rPr>
          <w:noProof/>
        </w:rPr>
        <w:t>(Stock &amp; Verboom, 2012)</w:t>
      </w:r>
      <w:r>
        <w:t xml:space="preserve">, hence their designation as </w:t>
      </w:r>
      <w:r w:rsidR="00217AAC">
        <w:t xml:space="preserve">old, </w:t>
      </w:r>
      <w:proofErr w:type="gramStart"/>
      <w:r w:rsidR="00217AAC">
        <w:t>climatically-buffered</w:t>
      </w:r>
      <w:proofErr w:type="gramEnd"/>
      <w:r w:rsidR="00217AAC">
        <w:t xml:space="preserve"> infertile landscapes </w:t>
      </w:r>
      <w:r>
        <w:t>(</w:t>
      </w:r>
      <w:r w:rsidR="00217AAC">
        <w:t>OCBILs</w:t>
      </w:r>
      <w:r>
        <w:t>;</w:t>
      </w:r>
      <w:r w:rsidR="008D71CC">
        <w:t xml:space="preserve"> </w:t>
      </w:r>
      <w:r w:rsidR="008D71CC" w:rsidRPr="008D71CC">
        <w:rPr>
          <w:noProof/>
        </w:rPr>
        <w:t>Hopper, 2009</w:t>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2D7223" w:rsidRPr="002D7223">
        <w:rPr>
          <w:noProof/>
        </w:rPr>
        <w:t>(Cowling, Witkowski, Milewski, &amp; Newbey, 1994)</w:t>
      </w:r>
      <w:r>
        <w:t xml:space="preserve">, </w:t>
      </w:r>
      <w:r w:rsidR="00217AAC">
        <w:t>al</w:t>
      </w:r>
      <w:r>
        <w:t xml:space="preserve">though the presence of a significant tree component in the SWAFR underpins a striking difference in vegetation physiognomy </w:t>
      </w:r>
      <w:r w:rsidR="00404D92" w:rsidRPr="00404D92">
        <w:rPr>
          <w:noProof/>
        </w:rPr>
        <w:t>(Beard et al., 2000; Milewski, 1981)</w:t>
      </w:r>
      <w:r>
        <w:t xml:space="preserve">. Moreover, the long-term climatic </w:t>
      </w:r>
      <w:r>
        <w:lastRenderedPageBreak/>
        <w:t xml:space="preserve">and geological stability of the two regions ensures that the native floras of both reflect long histories of assembly, extending back to the </w:t>
      </w:r>
      <w:r w:rsidR="00474B3E">
        <w:t xml:space="preserve">Eocene and </w:t>
      </w:r>
      <w:r>
        <w:t xml:space="preserve">Palaeocene </w:t>
      </w:r>
      <w:r w:rsidR="000717D3" w:rsidRPr="000717D3">
        <w:rPr>
          <w:noProof/>
        </w:rPr>
        <w:t>(Hopper, 1979; Verboom et al., 2014)</w:t>
      </w:r>
      <w:r w:rsidR="007829E9">
        <w:t xml:space="preserve">. There is also </w:t>
      </w:r>
      <w:r>
        <w:t>evidence of a long history of transoceanic dispersal between the</w:t>
      </w:r>
      <w:r w:rsidR="00705608">
        <w:t>m</w:t>
      </w:r>
      <w:r>
        <w:t xml:space="preserve"> </w:t>
      </w:r>
      <w:r w:rsidR="00627260" w:rsidRPr="00627260">
        <w:rPr>
          <w:noProof/>
        </w:rPr>
        <w:t>(Bergh &amp; Linder, 2009)</w:t>
      </w:r>
      <w:r>
        <w:t xml:space="preserve">. In this context, it is unsurprising that the two floras show strong taxonomic affinities and that both are species-rich with high levels of regional endemism </w:t>
      </w:r>
      <w:r w:rsidR="002E4442" w:rsidRPr="002E4442">
        <w:rPr>
          <w:noProof/>
        </w:rPr>
        <w:t>(Ackerly, 2009; Beard et al., 2000; Cowling, Rundel, Lamont, Arroyo, &amp; Arianoutsou, 1996; Gioia &amp; Hopper, 2017)</w:t>
      </w:r>
      <w:r>
        <w:t>.</w:t>
      </w:r>
    </w:p>
    <w:p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rsidRPr="00F24CDB">
        <w:rPr>
          <w:noProof/>
        </w:rPr>
        <w:t>Hopper &amp; Gioia, 2004)</w:t>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rsidRPr="00CC6AA0">
        <w:rPr>
          <w:noProof/>
        </w:rPr>
        <w:t>Snijman, 2013)</w:t>
      </w:r>
      <w:r>
        <w:t xml:space="preserve">. </w:t>
      </w:r>
      <w:r w:rsidR="00872425">
        <w:t xml:space="preserve">Although on-going identification of new species </w:t>
      </w:r>
      <w:r w:rsidR="000D32D5">
        <w:t xml:space="preserve">may change these statistics (e.g. </w:t>
      </w:r>
      <w:r w:rsidR="004E5115" w:rsidRPr="004E5115">
        <w:rPr>
          <w:noProof/>
        </w:rPr>
        <w:t>Gioia &amp; Hopper, 2017</w:t>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xml:space="preserve">; 0.104 species </w:t>
      </w:r>
      <w:proofErr w:type="gramStart"/>
      <w:r>
        <w:t>km</w:t>
      </w:r>
      <w:r>
        <w:rPr>
          <w:vertAlign w:val="superscript"/>
        </w:rPr>
        <w:t>-2</w:t>
      </w:r>
      <w:proofErr w:type="gramEnd"/>
      <w:r>
        <w:t xml:space="preserve">) “core” Cape Floristic Region (CFR; </w:t>
      </w:r>
      <w:r w:rsidR="00682956" w:rsidRPr="00682956">
        <w:rPr>
          <w:noProof/>
        </w:rPr>
        <w:t>Goldblatt,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sidRPr="006D7237">
        <w:rPr>
          <w:noProof/>
          <w:lang w:val="en-ZA"/>
        </w:rPr>
        <w:t>(Bradshaw &amp; Cowling, 2014)</w:t>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rsidRPr="005B4495">
        <w:rPr>
          <w:noProof/>
        </w:rPr>
        <w:t>(Bradshaw &amp; Cowling, 2014; Jiménez &amp; Ricklefs, 2014)</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rsidR="00510832">
        <w:t xml:space="preserve">Differences in the spatial scale or “grain” of environmental heterogeneity may also explain the differences in richness between these two floras, with SWAFR environments’ likely being “coarser” than those in the GCFR due to the former’s relative topographic uniformity.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rsidRPr="00080450">
        <w:rPr>
          <w:noProof/>
        </w:rPr>
        <w:t>(Hart et al., 2017)</w:t>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rsidRPr="005B6901">
        <w:rPr>
          <w:noProof/>
        </w:rPr>
        <w:t>Larsen, Holmern, Prager, Maliti, &amp; Røskaft, 2009)</w:t>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rsidR="006A239A" w:rsidRPr="007031A0" w:rsidRDefault="00D04776" w:rsidP="00FE0731">
      <w:pPr>
        <w:pStyle w:val="FirstParagraph"/>
        <w:rPr>
          <w:rFonts w:cs="Times New Roman"/>
        </w:rPr>
      </w:pPr>
      <w:r>
        <w:t xml:space="preserve">To compare </w:t>
      </w:r>
      <w:r w:rsidR="001C5D8A">
        <w:t xml:space="preserve">vascular plant </w:t>
      </w:r>
      <w:r>
        <w:t xml:space="preserve">species richness </w:t>
      </w:r>
      <w:r w:rsidR="001C5D8A">
        <w:t xml:space="preserve">between the </w:t>
      </w:r>
      <w:r w:rsidR="00996B78">
        <w:t>GCFR and SWAFR</w:t>
      </w:r>
      <w:r>
        <w:t>, geospatially</w:t>
      </w:r>
      <w:r w:rsidR="00DD1D0D">
        <w:t xml:space="preserve"> </w:t>
      </w:r>
      <w:r>
        <w:t xml:space="preserve">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B1341B" w:rsidRPr="00B1341B">
        <w:rPr>
          <w:noProof/>
        </w:rPr>
        <w:t>(Mucina &amp; Rutherford, 2006)</w:t>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w:t>
      </w:r>
      <w:r w:rsidR="001C5D8A">
        <w:lastRenderedPageBreak/>
        <w:t xml:space="preserve">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rsidRPr="00F72828">
        <w:rPr>
          <w:noProof/>
        </w:rPr>
        <w:t>(Olson et al., 2001)</w:t>
      </w:r>
      <w:r w:rsidR="001C5D8A">
        <w:t xml:space="preserve"> in order to match the current deli</w:t>
      </w:r>
      <w:r w:rsidR="006F0BA2">
        <w:t>mitation of the</w:t>
      </w:r>
      <w:r w:rsidR="001C5D8A">
        <w:t xml:space="preserve"> SWAFR </w:t>
      </w:r>
      <w:r w:rsidR="00404D92" w:rsidRPr="00404D92">
        <w:rPr>
          <w:noProof/>
        </w:rPr>
        <w:t>(Gioia &amp; Hopper, 2017; Hopper &amp; Gioia, 2004b)</w:t>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rsidRPr="00B1341B">
        <w:rPr>
          <w:noProof/>
        </w:rPr>
        <w:t>(Chamberlain et al., 2016)</w:t>
      </w:r>
      <w:r w:rsidR="00CE21A6">
        <w:t xml:space="preserve"> </w:t>
      </w:r>
      <w:r w:rsidR="003E3635">
        <w:t xml:space="preserve">in R </w:t>
      </w:r>
      <w:r w:rsidR="00DF1E64" w:rsidRPr="00DF1E64">
        <w:rPr>
          <w:noProof/>
        </w:rPr>
        <w:t>(R Core Team, 2019)</w:t>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rsidRPr="00CB7719">
        <w:rPr>
          <w:noProof/>
        </w:rPr>
        <w:t>Cramer &amp; Verboom</w:t>
      </w:r>
      <w:r w:rsidR="004B5BA7">
        <w:rPr>
          <w:noProof/>
        </w:rPr>
        <w:t>,</w:t>
      </w:r>
      <w:r w:rsidR="00455488">
        <w:rPr>
          <w:noProof/>
        </w:rPr>
        <w:t xml:space="preserve"> </w:t>
      </w:r>
      <w:r w:rsidR="00CB7719" w:rsidRPr="00CB7719">
        <w:rPr>
          <w:noProof/>
        </w:rPr>
        <w:t>2016)</w:t>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sidRPr="007031A0">
        <w:rPr>
          <w:rFonts w:cs="Times New Roman"/>
        </w:rPr>
        <w:t>° resolution</w:t>
      </w:r>
      <w:r w:rsidR="00D52E5F" w:rsidRPr="007031A0">
        <w:rPr>
          <w:rFonts w:cs="Times New Roman"/>
        </w:rPr>
        <w:t>. This excluded coastal/dunal vegetation from our analyses</w:t>
      </w:r>
      <w:r w:rsidR="008D72BF" w:rsidRPr="007031A0">
        <w:rPr>
          <w:rFonts w:cs="Times New Roman"/>
        </w:rPr>
        <w:t xml:space="preserve">, due to the floristic and environmental dissimilarity of these areas from the </w:t>
      </w:r>
      <w:r w:rsidR="00F81A7C" w:rsidRPr="007031A0">
        <w:rPr>
          <w:rFonts w:cs="Times New Roman"/>
        </w:rPr>
        <w:t>“</w:t>
      </w:r>
      <w:r w:rsidR="008D72BF" w:rsidRPr="007031A0">
        <w:rPr>
          <w:rFonts w:cs="Times New Roman"/>
        </w:rPr>
        <w:t>core</w:t>
      </w:r>
      <w:r w:rsidR="00F81A7C" w:rsidRPr="007031A0">
        <w:rPr>
          <w:rFonts w:cs="Times New Roman"/>
        </w:rPr>
        <w:t>”</w:t>
      </w:r>
      <w:r w:rsidR="008D72BF" w:rsidRPr="007031A0">
        <w:rPr>
          <w:rFonts w:cs="Times New Roman"/>
        </w:rPr>
        <w:t xml:space="preserve"> sclerophyllous flora under </w:t>
      </w:r>
      <w:r w:rsidR="00F81A7C" w:rsidRPr="007031A0">
        <w:rPr>
          <w:rFonts w:cs="Times New Roman"/>
        </w:rPr>
        <w:t xml:space="preserve">our </w:t>
      </w:r>
      <w:r w:rsidR="008D72BF" w:rsidRPr="007031A0">
        <w:rPr>
          <w:rFonts w:cs="Times New Roman"/>
        </w:rPr>
        <w:t>consideration</w:t>
      </w:r>
      <w:r w:rsidR="00841086" w:rsidRPr="007031A0">
        <w:rPr>
          <w:rFonts w:cs="Times New Roman"/>
        </w:rPr>
        <w:t>.</w:t>
      </w:r>
      <w:r w:rsidR="00007FFD" w:rsidRPr="00007FFD">
        <w:t xml:space="preserve"> </w:t>
      </w:r>
      <w:r w:rsidR="00007FFD">
        <w:t>To compare species richness across equally sized areas, we only made comparisons between squares consisting of all four sub-squares (e.g. four QDS in an HDS).</w:t>
      </w:r>
      <w:r w:rsidR="0070389E">
        <w:t xml:space="preserve"> Thus, we retained </w:t>
      </w:r>
      <w:r w:rsidR="0070389E" w:rsidRPr="0070389E">
        <w:t>362</w:t>
      </w:r>
      <w:r w:rsidR="0070389E">
        <w:t xml:space="preserve"> of ca. </w:t>
      </w:r>
      <w:r w:rsidR="0070389E" w:rsidRPr="0070389E">
        <w:t>449</w:t>
      </w:r>
      <w:r w:rsidR="0070389E">
        <w:t xml:space="preserve"> QDS in the GCFR and </w:t>
      </w:r>
      <w:r w:rsidR="0070389E" w:rsidRPr="0070389E">
        <w:t>624</w:t>
      </w:r>
      <w:r w:rsidR="0070389E">
        <w:t xml:space="preserve"> of ca. </w:t>
      </w:r>
      <w:r w:rsidR="0070389E" w:rsidRPr="0070389E">
        <w:t>737</w:t>
      </w:r>
      <w:r w:rsidR="0070389E">
        <w:t xml:space="preserve"> in the SWAFR (ca. 81% and 85% sampling, respectively).</w:t>
      </w:r>
    </w:p>
    <w:p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(sensu </w:t>
      </w:r>
      <w:r w:rsidR="00E0178F" w:rsidRPr="005B6901">
        <w:rPr>
          <w:noProof/>
        </w:rPr>
        <w:t>Larsen, Holmern, Prager, Maliti, &amp; Røskaft, 2009</w:t>
      </w:r>
      <w:r w:rsidR="00E0178F">
        <w:t xml:space="preserve">; downloaded from </w:t>
      </w:r>
      <w:hyperlink r:id="rId9"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w:t>
      </w:r>
      <w:r>
        <w:t xml:space="preserve">In addition, </w:t>
      </w:r>
      <w:r w:rsidR="003562E3">
        <w:t xml:space="preserve">following </w:t>
      </w:r>
      <w:r w:rsidR="00E86968">
        <w:t>the</w:t>
      </w:r>
      <w:r w:rsidR="003562E3">
        <w:t xml:space="preserve"> additive decomposition </w:t>
      </w:r>
      <w:r w:rsidR="00404D92" w:rsidRPr="00404D92">
        <w:rPr>
          <w:noProof/>
        </w:rPr>
        <w:t>(Veech et al., 2002)</w:t>
      </w:r>
      <w:r w:rsidR="00E86968">
        <w:t xml:space="preserve"> </w:t>
      </w:r>
      <w:r w:rsidR="003562E3">
        <w:t xml:space="preserve">of </w:t>
      </w:r>
      <w:r w:rsidR="00E86968">
        <w:t xml:space="preserve">Whittaker’s </w:t>
      </w:r>
      <w:r w:rsidR="00E86968" w:rsidRPr="00E86968">
        <w:rPr>
          <w:noProof/>
        </w:rPr>
        <w:t>(1960)</w:t>
      </w:r>
      <w:r w:rsidR="00E86968">
        <w:t xml:space="preserve"> </w:t>
      </w:r>
      <w:r w:rsidR="003562E3" w:rsidRPr="007031A0">
        <w:rPr>
          <w:rFonts w:cs="Times New Roman"/>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sidRPr="007031A0">
        <w:rPr>
          <w:rFonts w:eastAsia="MS Mincho"/>
        </w:rPr>
        <w:t>i</w:t>
      </w:r>
      <w:r w:rsidR="003562E3">
        <w:t xml:space="preserve">nto its </w:t>
      </w:r>
      <w:r w:rsidR="003562E3" w:rsidRPr="007031A0">
        <w:rPr>
          <w:rFonts w:cs="Times New Roman"/>
          <w:i/>
        </w:rPr>
        <w:t>α</w:t>
      </w:r>
      <w:r w:rsidR="003562E3" w:rsidRPr="007031A0">
        <w:rPr>
          <w:rFonts w:cs="Times New Roman"/>
        </w:rPr>
        <w:t xml:space="preserve"> </w:t>
      </w:r>
      <w:r w:rsidR="00F07BEC" w:rsidRPr="007031A0">
        <w:rPr>
          <w:rFonts w:cs="Times New Roman"/>
        </w:rPr>
        <w:t>(</w:t>
      </w:r>
      <w:r w:rsidR="00800FA8" w:rsidRPr="007031A0">
        <w:rPr>
          <w:rFonts w:cs="Times New Roman"/>
        </w:rPr>
        <w:t>“</w:t>
      </w:r>
      <w:r w:rsidR="00F07BEC" w:rsidRPr="007031A0">
        <w:rPr>
          <w:rFonts w:cs="Times New Roman"/>
        </w:rPr>
        <w:t>p</w:t>
      </w:r>
      <w:r w:rsidR="00800FA8" w:rsidRPr="007031A0">
        <w:rPr>
          <w:rFonts w:cs="Times New Roman"/>
        </w:rPr>
        <w:t>lot”</w:t>
      </w:r>
      <w:r w:rsidR="00F07BEC" w:rsidRPr="007031A0">
        <w:rPr>
          <w:rFonts w:cs="Times New Roman"/>
        </w:rPr>
        <w:t xml:space="preserve"> richness) </w:t>
      </w:r>
      <w:r w:rsidR="003562E3" w:rsidRPr="007031A0">
        <w:rPr>
          <w:rFonts w:cs="Times New Roman"/>
        </w:rPr>
        <w:t xml:space="preserve">and </w:t>
      </w:r>
      <w:r w:rsidR="003562E3" w:rsidRPr="007031A0">
        <w:rPr>
          <w:rFonts w:cs="Times New Roman"/>
          <w:i/>
        </w:rPr>
        <w:t>β</w:t>
      </w:r>
      <w:r w:rsidR="001B0959" w:rsidRPr="007031A0">
        <w:rPr>
          <w:rFonts w:cs="Times New Roman"/>
        </w:rPr>
        <w:t xml:space="preserve"> </w:t>
      </w:r>
      <w:r w:rsidR="00F07BEC" w:rsidRPr="007031A0">
        <w:rPr>
          <w:rFonts w:cs="Times New Roman"/>
        </w:rPr>
        <w:t xml:space="preserve">(turnover) </w:t>
      </w:r>
      <w:r w:rsidR="001B0959" w:rsidRPr="007031A0">
        <w:rPr>
          <w:rFonts w:cs="Times New Roman"/>
        </w:rPr>
        <w:t>components</w:t>
      </w:r>
      <w:r w:rsidR="00F07BEC" w:rsidRPr="007031A0">
        <w:rPr>
          <w:rFonts w:cs="Times New Roman"/>
        </w:rPr>
        <w:t xml:space="preserve">, </w:t>
      </w:r>
      <w:r w:rsidR="00364F0A" w:rsidRPr="007031A0">
        <w:rPr>
          <w:rFonts w:cs="Times New Roman"/>
        </w:rPr>
        <w:t>using the equation</w:t>
      </w:r>
      <w:r w:rsidR="00FE0731" w:rsidRPr="007031A0">
        <w:rPr>
          <w:rFonts w:cs="Times New Roman"/>
        </w:rPr>
        <w:t>s</w:t>
      </w:r>
    </w:p>
    <w:p w:rsidR="00E405E7" w:rsidRPr="00FE0731" w:rsidRDefault="00E405E7" w:rsidP="00E405E7">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rsidR="00E405E7" w:rsidRPr="00FE0731" w:rsidRDefault="00E405E7" w:rsidP="00E405E7">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rsidR="001717FA" w:rsidRPr="00B6436E" w:rsidRDefault="001717FA" w:rsidP="001717FA">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Pr>
          <w:rFonts w:eastAsiaTheme="minorEastAsia"/>
          <w:vertAlign w:val="subscript"/>
        </w:rPr>
        <w:t>QDS</w:t>
      </w:r>
      <w:r>
        <w:t xml:space="preserve"> and </w:t>
      </w:r>
      <m:oMath>
        <m:bar>
          <m:barPr>
            <m:pos m:val="top"/>
            <m:ctrlPr>
              <w:rPr>
                <w:rFonts w:ascii="Cambria Math" w:hAnsi="Cambria Math"/>
              </w:rPr>
            </m:ctrlPr>
          </m:barPr>
          <m:e>
            <m:r>
              <w:rPr>
                <w:rFonts w:ascii="Cambria Math" w:hAnsi="Cambria Math"/>
              </w:rPr>
              <m:t>S</m:t>
            </m:r>
          </m:e>
        </m:bar>
      </m:oMath>
      <w:r>
        <w:rPr>
          <w:rFonts w:eastAsiaTheme="minorEastAsia"/>
          <w:vertAlign w:val="subscript"/>
        </w:rPr>
        <w:t>HDS</w:t>
      </w:r>
      <w:r>
        <w:t xml:space="preserve"> are the average species richness of the four constituent squares in each HDS and DS, respectively (i.e. mean </w:t>
      </w:r>
      <w:r w:rsidRPr="003562E3">
        <w:rPr>
          <w:rFonts w:cstheme="majorBidi"/>
          <w:i/>
        </w:rPr>
        <w:t>α</w:t>
      </w:r>
      <w:r>
        <w:rPr>
          <w:rFonts w:cstheme="majorBidi"/>
        </w:rPr>
        <w:t xml:space="preserve"> richness</w:t>
      </w:r>
      <w:r w:rsidRPr="00D50517">
        <w:rPr>
          <w:rFonts w:cstheme="majorBidi"/>
        </w:rPr>
        <w:t>)</w:t>
      </w:r>
      <w:r>
        <w:t xml:space="preserve">, and </w:t>
      </w:r>
      <w:r>
        <w:rPr>
          <w:i/>
        </w:rPr>
        <w:t>T</w:t>
      </w:r>
      <w:r>
        <w:rPr>
          <w:vertAlign w:val="subscript"/>
        </w:rPr>
        <w:t>QDS</w:t>
      </w:r>
      <w:r>
        <w:t xml:space="preserve"> and </w:t>
      </w:r>
      <w:r w:rsidRPr="00D50517">
        <w:rPr>
          <w:i/>
        </w:rPr>
        <w:t>T</w:t>
      </w:r>
      <w:r>
        <w:rPr>
          <w:vertAlign w:val="subscript"/>
        </w:rPr>
        <w:t>HDS</w:t>
      </w:r>
      <w:r>
        <w:t xml:space="preserve"> represent the residual (i.e. turnover-based) </w:t>
      </w:r>
      <w:r w:rsidRPr="003562E3">
        <w:rPr>
          <w:rFonts w:cstheme="majorBidi"/>
          <w:i/>
        </w:rPr>
        <w:t>β</w:t>
      </w:r>
      <w:r>
        <w:t xml:space="preserve"> richness, determined as </w:t>
      </w:r>
      <w:r w:rsidRPr="003562E3">
        <w:rPr>
          <w:rFonts w:cstheme="majorBidi"/>
          <w:i/>
        </w:rPr>
        <w:t>γ</w:t>
      </w:r>
      <w:r>
        <w:t xml:space="preserve"> </w:t>
      </w:r>
      <w:r>
        <w:rPr>
          <w:rFonts w:ascii="Cambria Math" w:hAnsi="Cambria Math"/>
        </w:rPr>
        <w:t xml:space="preserve">− </w:t>
      </w:r>
      <w:r w:rsidRPr="003562E3">
        <w:rPr>
          <w:rFonts w:cstheme="majorBidi"/>
          <w:i/>
        </w:rPr>
        <w:t>α</w:t>
      </w:r>
      <w:r>
        <w:rPr>
          <w:rFonts w:eastAsiaTheme="minorEastAsia"/>
        </w:rPr>
        <w:t>. These data were compared between the GCFR and SWAFR using</w:t>
      </w:r>
      <w:r w:rsidRPr="00C76FCB">
        <w:rPr>
          <w:rFonts w:eastAsiaTheme="minorEastAsia"/>
        </w:rPr>
        <w:t xml:space="preserve"> common language effect sizes (</w:t>
      </w:r>
      <w:r w:rsidRPr="00C76FCB">
        <w:rPr>
          <w:rFonts w:eastAsiaTheme="minorEastAsia"/>
          <w:i/>
          <w:iCs/>
        </w:rPr>
        <w:t>CLES</w:t>
      </w:r>
      <w:r w:rsidRPr="00C76FCB">
        <w:rPr>
          <w:rFonts w:eastAsiaTheme="minorEastAsia"/>
        </w:rPr>
        <w:t xml:space="preserve">) using the R package “canprot” (Dick, 2017). The </w:t>
      </w:r>
      <w:r w:rsidRPr="00C76FCB">
        <w:rPr>
          <w:rFonts w:eastAsiaTheme="minorEastAsia"/>
          <w:i/>
          <w:iCs/>
        </w:rPr>
        <w:t>CLES</w:t>
      </w:r>
      <w:r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Pr="003562E3">
        <w:rPr>
          <w:rFonts w:cstheme="majorBidi"/>
          <w:i/>
        </w:rPr>
        <w:t>α</w:t>
      </w:r>
      <w:r>
        <w:rPr>
          <w:rFonts w:cstheme="majorBidi"/>
          <w:iCs/>
        </w:rPr>
        <w:t>-values</w:t>
      </w:r>
      <w:r w:rsidRPr="00C76FCB">
        <w:rPr>
          <w:rFonts w:cstheme="majorBidi"/>
          <w:iCs/>
        </w:rPr>
        <w:t xml:space="preserve"> and</w:t>
      </w:r>
      <w:r>
        <w:rPr>
          <w:rFonts w:eastAsiaTheme="minorEastAsia"/>
        </w:rPr>
        <w:t xml:space="preserve"> </w:t>
      </w:r>
      <w:r w:rsidRPr="003562E3">
        <w:rPr>
          <w:rFonts w:cstheme="majorBidi"/>
          <w:i/>
        </w:rPr>
        <w:t>β</w:t>
      </w:r>
      <w:r w:rsidRPr="00C76FCB">
        <w:rPr>
          <w:rFonts w:cstheme="majorBidi"/>
          <w:iCs/>
        </w:rPr>
        <w:t>/</w:t>
      </w:r>
      <w:r w:rsidRPr="00C76FCB">
        <w:rPr>
          <w:rFonts w:cstheme="majorBidi"/>
          <w:i/>
        </w:rPr>
        <w:t>γ</w:t>
      </w:r>
      <w:r w:rsidRPr="00C76FCB">
        <w:rPr>
          <w:rFonts w:eastAsiaTheme="minorEastAsia"/>
        </w:rPr>
        <w:t>-</w:t>
      </w:r>
      <w:r>
        <w:rPr>
          <w:rFonts w:eastAsiaTheme="minorEastAsia"/>
        </w:rPr>
        <w:t xml:space="preserve">proportions </w:t>
      </w:r>
      <w:r w:rsidRPr="00C76FCB">
        <w:rPr>
          <w:rFonts w:eastAsiaTheme="minorEastAsia"/>
        </w:rPr>
        <w:t xml:space="preserve">using two-sided Mann-Whitney </w:t>
      </w:r>
      <w:r w:rsidRPr="00C76FCB">
        <w:rPr>
          <w:rFonts w:eastAsiaTheme="minorEastAsia"/>
          <w:i/>
          <w:iCs/>
        </w:rPr>
        <w:t>U</w:t>
      </w:r>
      <w:r w:rsidRPr="00C76FCB">
        <w:rPr>
          <w:rFonts w:eastAsiaTheme="minorEastAsia"/>
        </w:rPr>
        <w:t xml:space="preserve">-tests as implemented in R, in the face of non-normally distributed </w:t>
      </w:r>
      <w:r>
        <w:rPr>
          <w:rFonts w:eastAsiaTheme="minorEastAsia"/>
        </w:rPr>
        <w:t>data</w:t>
      </w:r>
      <w:r w:rsidRPr="00C76FCB">
        <w:rPr>
          <w:rFonts w:eastAsiaTheme="minorEastAsia"/>
        </w:rPr>
        <w:t>.</w:t>
      </w:r>
    </w:p>
    <w:p w:rsidR="00DD2348" w:rsidRDefault="00970650" w:rsidP="008A4E97">
      <w:pPr>
        <w:pStyle w:val="Heading2"/>
        <w:spacing w:line="240" w:lineRule="auto"/>
      </w:pPr>
      <w:r>
        <w:t>2.2</w:t>
      </w:r>
      <w:r w:rsidR="00305C02">
        <w:t>:</w:t>
      </w:r>
      <w:r>
        <w:t xml:space="preserve"> </w:t>
      </w:r>
      <w:r w:rsidR="005F0FFB">
        <w:t>Comparing environmental heterogeneity</w:t>
      </w:r>
      <w:bookmarkEnd w:id="3"/>
    </w:p>
    <w:p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404D92" w:rsidRPr="00404D92">
        <w:rPr>
          <w:noProof/>
        </w:rPr>
        <w:t>(Belda et al., 2014)</w:t>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w:t>
      </w:r>
      <w:r w:rsidR="003B10FC">
        <w:lastRenderedPageBreak/>
        <w:t xml:space="preserve">GCFR and SWAFR </w:t>
      </w:r>
      <w:r w:rsidR="00404D92" w:rsidRPr="00404D92">
        <w:rPr>
          <w:noProof/>
        </w:rPr>
        <w:t>(Lambers et al., 2006, 2010; Shane et al., 2008)</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B1341B" w:rsidRPr="00B1341B">
        <w:rPr>
          <w:noProof/>
        </w:rPr>
        <w:t>(Hijmans, 2016)</w:t>
      </w:r>
      <w:r w:rsidR="003F1CDD">
        <w:t xml:space="preserve">. All layers were then </w:t>
      </w:r>
      <w:r w:rsidR="005F0FFB">
        <w:t>projected to a common coordinate reference system (WGS84) using the “rgdal” package</w:t>
      </w:r>
      <w:r w:rsidR="003F1CDD">
        <w:t xml:space="preserve"> </w:t>
      </w:r>
      <w:r w:rsidR="00404D92" w:rsidRPr="00404D92">
        <w:rPr>
          <w:noProof/>
        </w:rPr>
        <w:t>(Bivand et al., 2017)</w:t>
      </w:r>
      <w:r w:rsidR="003F1CDD">
        <w:t xml:space="preserve"> and</w:t>
      </w:r>
      <w:r w:rsidR="005F0FFB">
        <w:t xml:space="preserve"> resampled to 0.05º resolution using the “resample” function in “raster</w:t>
      </w:r>
      <w:r w:rsidR="000202B4">
        <w:t>,</w:t>
      </w:r>
      <w:r w:rsidR="005F0FFB">
        <w:t>” with the “bilinear” method.</w:t>
      </w:r>
    </w:p>
    <w:p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sidRPr="007031A0">
        <w:rPr>
          <w:rFonts w:cs="Times New Roman"/>
        </w:rPr>
        <w:t>°×</w:t>
      </w:r>
      <w:r w:rsidR="003E6B88">
        <w:t>0.10</w:t>
      </w:r>
      <w:r w:rsidR="003E6B88">
        <w:rPr>
          <w:rFonts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sidRPr="007031A0">
        <w:rPr>
          <w:rFonts w:cs="Times New Roman"/>
        </w:rPr>
        <w:t>°×</w:t>
      </w:r>
      <w:r w:rsidR="003E6B88">
        <w:t>0.05</w:t>
      </w:r>
      <w:r w:rsidR="003E6B88">
        <w:rPr>
          <w:rFonts w:cs="Times New Roman"/>
        </w:rPr>
        <w:t>°</w:t>
      </w:r>
      <w:r w:rsidR="00444B5F">
        <w:rPr>
          <w:rFonts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 xml:space="preserve">(i)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B1341B" w:rsidRPr="00B1341B">
        <w:rPr>
          <w:noProof/>
        </w:rPr>
        <w:t>(Hijmans, 2016)</w:t>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“tidyverse” packages </w:t>
      </w:r>
      <w:r w:rsidR="006A50EF" w:rsidRPr="006A50EF">
        <w:rPr>
          <w:noProof/>
        </w:rPr>
        <w:t>(Wickham et al., 2019)</w:t>
      </w:r>
      <w:r w:rsidR="0014092A">
        <w:t xml:space="preserve">. Regarding the latter, data at the QDS-, HDS- and DS-scales was analysed in data-frames with rows labelled with grid-cell codes (sensu </w:t>
      </w:r>
      <w:r w:rsidR="0014092A" w:rsidRPr="005B6901">
        <w:rPr>
          <w:noProof/>
        </w:rPr>
        <w:t>Larsen, Holmern, Prager, Maliti, &amp; Røskaft, 2009)</w:t>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rsidR="00DD2348" w:rsidRPr="007031A0" w:rsidRDefault="00C116AB" w:rsidP="00377F87">
      <w:pPr>
        <w:pStyle w:val="BodyText"/>
        <w:rPr>
          <w:rFonts w:eastAsia="MS Mincho"/>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4"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4"/>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rsidR="00DD2348" w:rsidRDefault="00DD7307" w:rsidP="008A4E97">
      <w:pPr>
        <w:pStyle w:val="Heading2"/>
        <w:spacing w:line="240" w:lineRule="auto"/>
      </w:pPr>
      <w:bookmarkStart w:id="5" w:name="environmental-heterogeneity-as-an-explan"/>
      <w:r>
        <w:t>2.3</w:t>
      </w:r>
      <w:r w:rsidR="0009179A">
        <w:t>:</w:t>
      </w:r>
      <w:r>
        <w:t xml:space="preserve"> </w:t>
      </w:r>
      <w:r w:rsidR="005F0FFB">
        <w:t>Environmental heterogeneity as an explanation of species richness</w:t>
      </w:r>
      <w:bookmarkEnd w:id="5"/>
    </w:p>
    <w:p w:rsidR="002F092D" w:rsidRPr="007031A0" w:rsidRDefault="001E723F" w:rsidP="00DF0226">
      <w:pPr>
        <w:pStyle w:val="FirstParagraph"/>
        <w:rPr>
          <w:rFonts w:eastAsia="MS Mincho"/>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across the two regions</w:t>
      </w:r>
      <w:r w:rsidR="00A13B07">
        <w:t>.</w:t>
      </w:r>
      <w:r w:rsidR="004A4FEC">
        <w:t xml:space="preserve"> </w:t>
      </w:r>
      <w:r w:rsidR="004A4FEC" w:rsidRPr="004A4FEC">
        <w:t>We did not incorporate spatial autocorrelation into our models of species richness because the aim of our analyses was to expose the associations between different forms of spatial environmental heterogeneity and species richness, rather than to predict species richness in absolute or to partition sources of its variation. The fact that we focussed on heterogeneity between neighbouring pixels is at odds with spatial autocorrelation which occurs when neighbouring pixels are more related to each other than more distant pixels due to their proximity.</w:t>
      </w:r>
    </w:p>
    <w:p w:rsidR="000A2EAE" w:rsidRPr="007031A0" w:rsidRDefault="00FE4E23">
      <w:pPr>
        <w:pStyle w:val="FirstParagraph"/>
        <w:rPr>
          <w:rFonts w:eastAsia="MS Mincho"/>
        </w:rPr>
      </w:pPr>
      <w:r w:rsidRPr="007031A0">
        <w:rPr>
          <w:rFonts w:eastAsia="MS Mincho"/>
        </w:rPr>
        <w:t xml:space="preserve">We first used </w:t>
      </w:r>
      <w:r w:rsidR="00963268" w:rsidRPr="007031A0">
        <w:rPr>
          <w:rFonts w:eastAsia="MS Mincho"/>
        </w:rPr>
        <w:t>analyses of covariance</w:t>
      </w:r>
      <w:r w:rsidR="00A13B07" w:rsidRPr="007031A0">
        <w:rPr>
          <w:rFonts w:eastAsia="MS Mincho"/>
        </w:rPr>
        <w:t xml:space="preserve"> (ANCOVA)</w:t>
      </w:r>
      <w:r w:rsidR="00A13B07">
        <w:t>, at the QDS-, HDS- and DS-scales,</w:t>
      </w:r>
      <w:r w:rsidRPr="007031A0">
        <w:rPr>
          <w:rFonts w:eastAsia="MS Mincho"/>
        </w:rPr>
        <w:t xml:space="preserve"> to relate species richness </w:t>
      </w:r>
      <w:r w:rsidR="00A73975" w:rsidRPr="007031A0">
        <w:rPr>
          <w:rFonts w:eastAsia="MS Mincho"/>
        </w:rPr>
        <w:t>(</w:t>
      </w:r>
      <w:r w:rsidR="00A73975" w:rsidRPr="00ED6805">
        <w:rPr>
          <w:i/>
          <w:iCs/>
        </w:rPr>
        <w:t>S</w:t>
      </w:r>
      <w:r w:rsidR="00A73975" w:rsidRPr="007031A0">
        <w:rPr>
          <w:rFonts w:eastAsia="MS Mincho"/>
        </w:rPr>
        <w:t xml:space="preserve">) </w:t>
      </w:r>
      <w:r w:rsidRPr="007031A0">
        <w:rPr>
          <w:rFonts w:eastAsia="MS Mincho"/>
        </w:rPr>
        <w:t xml:space="preserve">to </w:t>
      </w:r>
      <w:r w:rsidR="00963268" w:rsidRPr="007031A0">
        <w:rPr>
          <w:rFonts w:eastAsia="MS Mincho"/>
        </w:rPr>
        <w:t xml:space="preserve">the </w:t>
      </w:r>
      <w:r w:rsidRPr="007031A0">
        <w:rPr>
          <w:rFonts w:eastAsia="MS Mincho"/>
        </w:rPr>
        <w:t>heterogeneit</w:t>
      </w:r>
      <w:r w:rsidR="00963268" w:rsidRPr="007031A0">
        <w:rPr>
          <w:rFonts w:eastAsia="MS Mincho"/>
        </w:rPr>
        <w:t xml:space="preserve">y </w:t>
      </w:r>
      <w:r w:rsidRPr="007031A0">
        <w:rPr>
          <w:rFonts w:eastAsia="MS Mincho"/>
        </w:rPr>
        <w:t xml:space="preserve">of </w:t>
      </w:r>
      <w:r w:rsidR="00963268" w:rsidRPr="007031A0">
        <w:rPr>
          <w:rFonts w:eastAsia="MS Mincho"/>
        </w:rPr>
        <w:t>each</w:t>
      </w:r>
      <w:r w:rsidRPr="007031A0">
        <w:rPr>
          <w:rFonts w:eastAsia="MS Mincho"/>
        </w:rPr>
        <w:t xml:space="preserve"> environmental variable</w:t>
      </w:r>
      <w:r w:rsidR="00A13B07" w:rsidRPr="007031A0">
        <w:rPr>
          <w:rFonts w:eastAsia="MS Mincho"/>
        </w:rPr>
        <w:t>, and</w:t>
      </w:r>
      <w:r w:rsidR="00A15FD6" w:rsidRPr="007031A0">
        <w:rPr>
          <w:rFonts w:eastAsia="MS Mincho"/>
        </w:rPr>
        <w:t xml:space="preserve"> </w:t>
      </w:r>
      <w:r w:rsidR="00A13B07" w:rsidRPr="007031A0">
        <w:rPr>
          <w:rFonts w:eastAsia="MS Mincho"/>
        </w:rPr>
        <w:t xml:space="preserve">to </w:t>
      </w:r>
      <w:r w:rsidRPr="007031A0">
        <w:rPr>
          <w:rFonts w:eastAsia="MS Mincho"/>
        </w:rPr>
        <w:t xml:space="preserve">the major axis of heterogeneity, </w:t>
      </w:r>
      <w:r w:rsidR="00963268" w:rsidRPr="007031A0">
        <w:rPr>
          <w:rFonts w:eastAsia="MS Mincho"/>
        </w:rPr>
        <w:t>across the two regions</w:t>
      </w:r>
      <w:r w:rsidRPr="007031A0">
        <w:rPr>
          <w:rFonts w:eastAsia="MS Mincho"/>
        </w:rPr>
        <w:t xml:space="preserve">. </w:t>
      </w:r>
      <w:r w:rsidR="00A465FD" w:rsidRPr="007031A0">
        <w:rPr>
          <w:rFonts w:eastAsia="MS Mincho"/>
        </w:rPr>
        <w:t>I</w:t>
      </w:r>
      <w:r w:rsidRPr="007031A0">
        <w:rPr>
          <w:rFonts w:eastAsia="MS Mincho"/>
        </w:rPr>
        <w:t>n order to assess whether th</w:t>
      </w:r>
      <w:r w:rsidR="00547291" w:rsidRPr="007031A0">
        <w:rPr>
          <w:rFonts w:eastAsia="MS Mincho"/>
        </w:rPr>
        <w:t>ese</w:t>
      </w:r>
      <w:r w:rsidRPr="007031A0">
        <w:rPr>
          <w:rFonts w:eastAsia="MS Mincho"/>
        </w:rPr>
        <w:t xml:space="preserve"> relationship</w:t>
      </w:r>
      <w:r w:rsidR="00547291" w:rsidRPr="007031A0">
        <w:rPr>
          <w:rFonts w:eastAsia="MS Mincho"/>
        </w:rPr>
        <w:t>s are</w:t>
      </w:r>
      <w:r w:rsidRPr="007031A0">
        <w:rPr>
          <w:rFonts w:eastAsia="MS Mincho"/>
        </w:rPr>
        <w:t xml:space="preserve"> identical</w:t>
      </w:r>
      <w:r w:rsidR="00547291" w:rsidRPr="007031A0">
        <w:rPr>
          <w:rFonts w:eastAsia="MS Mincho"/>
        </w:rPr>
        <w:t xml:space="preserve"> </w:t>
      </w:r>
      <w:r w:rsidR="00547291" w:rsidRPr="007031A0">
        <w:rPr>
          <w:rFonts w:eastAsia="MS Mincho"/>
        </w:rPr>
        <w:lastRenderedPageBreak/>
        <w:t>in form</w:t>
      </w:r>
      <w:r w:rsidRPr="007031A0">
        <w:rPr>
          <w:rFonts w:eastAsia="MS Mincho"/>
        </w:rPr>
        <w:t xml:space="preserve"> </w:t>
      </w:r>
      <w:r w:rsidR="00547291" w:rsidRPr="007031A0">
        <w:rPr>
          <w:rFonts w:eastAsia="MS Mincho"/>
        </w:rPr>
        <w:t>across</w:t>
      </w:r>
      <w:r w:rsidRPr="007031A0">
        <w:rPr>
          <w:rFonts w:eastAsia="MS Mincho"/>
        </w:rPr>
        <w:t xml:space="preserve"> the two regions</w:t>
      </w:r>
      <w:r w:rsidR="00711950" w:rsidRPr="007031A0">
        <w:rPr>
          <w:rFonts w:eastAsia="MS Mincho"/>
        </w:rPr>
        <w:t>,</w:t>
      </w:r>
      <w:r w:rsidR="005527B5" w:rsidRPr="007031A0">
        <w:rPr>
          <w:rFonts w:eastAsia="MS Mincho"/>
        </w:rPr>
        <w:t xml:space="preserve"> we fitted three </w:t>
      </w:r>
      <w:r w:rsidR="00472BBD" w:rsidRPr="007031A0">
        <w:rPr>
          <w:rFonts w:eastAsia="MS Mincho"/>
        </w:rPr>
        <w:t xml:space="preserve">nested </w:t>
      </w:r>
      <w:r w:rsidR="005527B5" w:rsidRPr="007031A0">
        <w:rPr>
          <w:rFonts w:eastAsia="MS Mincho"/>
        </w:rPr>
        <w:t>models</w:t>
      </w:r>
      <w:r w:rsidR="00711950" w:rsidRPr="007031A0">
        <w:rPr>
          <w:rFonts w:eastAsia="MS Mincho"/>
        </w:rPr>
        <w:t xml:space="preserve"> for </w:t>
      </w:r>
      <w:r w:rsidR="00547291" w:rsidRPr="007031A0">
        <w:rPr>
          <w:rFonts w:eastAsia="MS Mincho"/>
        </w:rPr>
        <w:t xml:space="preserve">each heterogeneity predictor </w:t>
      </w:r>
      <w:r w:rsidR="00547291" w:rsidRPr="007031A0">
        <w:rPr>
          <w:rFonts w:eastAsia="MS Mincho"/>
          <w:i/>
        </w:rPr>
        <w:t>X</w:t>
      </w:r>
      <w:r w:rsidR="00547291" w:rsidRPr="007031A0">
        <w:rPr>
          <w:rFonts w:eastAsia="MS Mincho"/>
        </w:rPr>
        <w:t xml:space="preserve">, as follows: </w:t>
      </w:r>
      <w:r w:rsidR="00D51E2F" w:rsidRPr="007031A0">
        <w:rPr>
          <w:rFonts w:eastAsia="MS Mincho"/>
        </w:rPr>
        <w:t>a “main effect only” model (</w:t>
      </w:r>
      <w:r w:rsidR="00D67CEB" w:rsidRPr="007031A0">
        <w:rPr>
          <w:rFonts w:eastAsia="MS Mincho"/>
          <w:i/>
        </w:rPr>
        <w:t>S</w:t>
      </w:r>
      <w:r w:rsidR="00D67CEB" w:rsidRPr="007031A0">
        <w:rPr>
          <w:rFonts w:eastAsia="MS Mincho"/>
        </w:rPr>
        <w:t xml:space="preserve"> ~ </w:t>
      </w:r>
      <w:r w:rsidR="00D67CEB" w:rsidRPr="007031A0">
        <w:rPr>
          <w:rFonts w:cs="Times New Roman"/>
          <w:i/>
        </w:rPr>
        <w:t>β</w:t>
      </w:r>
      <w:r w:rsidR="00D67CEB" w:rsidRPr="007031A0">
        <w:rPr>
          <w:rFonts w:cs="Times New Roman"/>
          <w:vertAlign w:val="subscript"/>
        </w:rPr>
        <w:t>0</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1</w:t>
      </w:r>
      <w:r w:rsidR="00D67CEB" w:rsidRPr="007031A0">
        <w:rPr>
          <w:rFonts w:cs="Times New Roman"/>
          <w:i/>
        </w:rPr>
        <w:t>X</w:t>
      </w:r>
      <w:r w:rsidR="00D51E2F" w:rsidRPr="007031A0">
        <w:rPr>
          <w:rFonts w:eastAsia="MS Mincho"/>
        </w:rPr>
        <w:t>), a “main effect + region” model (</w:t>
      </w:r>
      <w:r w:rsidR="00342111" w:rsidRPr="007031A0">
        <w:rPr>
          <w:rFonts w:eastAsia="MS Mincho"/>
          <w:i/>
        </w:rPr>
        <w:t>S</w:t>
      </w:r>
      <w:r w:rsidR="00342111" w:rsidRPr="007031A0">
        <w:rPr>
          <w:rFonts w:eastAsia="MS Mincho"/>
        </w:rPr>
        <w:t xml:space="preserve"> ~ </w:t>
      </w:r>
      <w:r w:rsidR="00342111" w:rsidRPr="007031A0">
        <w:rPr>
          <w:rFonts w:cs="Times New Roman"/>
          <w:i/>
        </w:rPr>
        <w:t>β</w:t>
      </w:r>
      <w:r w:rsidR="00D67CEB" w:rsidRPr="007031A0">
        <w:rPr>
          <w:rFonts w:cs="Times New Roman"/>
          <w:vertAlign w:val="subscript"/>
        </w:rPr>
        <w:t>0</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1</w:t>
      </w:r>
      <w:r w:rsidR="00D67CEB" w:rsidRPr="007031A0">
        <w:rPr>
          <w:rFonts w:cs="Times New Roman"/>
          <w:i/>
        </w:rPr>
        <w:t>X</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2</w:t>
      </w:r>
      <w:r w:rsidR="00D67CEB" w:rsidRPr="007031A0">
        <w:rPr>
          <w:rFonts w:cs="Times New Roman"/>
          <w:i/>
        </w:rPr>
        <w:t>Region</w:t>
      </w:r>
      <w:r w:rsidR="00D67CEB" w:rsidRPr="007031A0">
        <w:rPr>
          <w:rFonts w:cs="Times New Roman"/>
        </w:rPr>
        <w:t>)</w:t>
      </w:r>
      <w:r w:rsidR="00D51E2F" w:rsidRPr="007031A0">
        <w:rPr>
          <w:rFonts w:eastAsia="MS Mincho"/>
        </w:rPr>
        <w:t xml:space="preserve"> and a</w:t>
      </w:r>
      <w:r w:rsidR="004511B3" w:rsidRPr="007031A0">
        <w:rPr>
          <w:rFonts w:eastAsia="MS Mincho"/>
        </w:rPr>
        <w:t xml:space="preserve"> </w:t>
      </w:r>
      <w:r w:rsidR="00C07B05" w:rsidRPr="007031A0">
        <w:rPr>
          <w:rFonts w:eastAsia="MS Mincho"/>
        </w:rPr>
        <w:t xml:space="preserve">“main effect </w:t>
      </w:r>
      <w:r w:rsidR="00C07B05" w:rsidRPr="007031A0">
        <w:rPr>
          <w:rFonts w:eastAsia="MS Mincho" w:cs="Times New Roman"/>
        </w:rPr>
        <w:t>×</w:t>
      </w:r>
      <w:r w:rsidR="00C07B05" w:rsidRPr="007031A0">
        <w:rPr>
          <w:rFonts w:eastAsia="MS Mincho"/>
        </w:rPr>
        <w:t xml:space="preserve"> region” </w:t>
      </w:r>
      <w:r w:rsidR="004511B3" w:rsidRPr="007031A0">
        <w:rPr>
          <w:rFonts w:eastAsia="MS Mincho"/>
        </w:rPr>
        <w:t xml:space="preserve">model </w:t>
      </w:r>
      <w:r w:rsidR="00C07B05" w:rsidRPr="007031A0">
        <w:rPr>
          <w:rFonts w:eastAsia="MS Mincho"/>
        </w:rPr>
        <w:t>which includes</w:t>
      </w:r>
      <w:r w:rsidR="00A15FD6" w:rsidRPr="007031A0">
        <w:rPr>
          <w:rFonts w:eastAsia="MS Mincho"/>
        </w:rPr>
        <w:t xml:space="preserve"> </w:t>
      </w:r>
      <w:r w:rsidR="004511B3" w:rsidRPr="007031A0">
        <w:rPr>
          <w:rFonts w:eastAsia="MS Mincho"/>
        </w:rPr>
        <w:t xml:space="preserve">an interaction </w:t>
      </w:r>
      <w:r w:rsidR="00A15FD6" w:rsidRPr="007031A0">
        <w:rPr>
          <w:rFonts w:eastAsia="MS Mincho"/>
        </w:rPr>
        <w:t xml:space="preserve">between heterogeneity and </w:t>
      </w:r>
      <w:r w:rsidR="004511B3" w:rsidRPr="007031A0">
        <w:rPr>
          <w:rFonts w:eastAsia="MS Mincho"/>
        </w:rPr>
        <w:t>region</w:t>
      </w:r>
      <w:r w:rsidR="00723D01" w:rsidRPr="007031A0">
        <w:rPr>
          <w:rFonts w:eastAsia="MS Mincho"/>
        </w:rPr>
        <w:t xml:space="preserve"> (</w:t>
      </w:r>
      <w:r w:rsidR="00D67CEB" w:rsidRPr="007031A0">
        <w:rPr>
          <w:rFonts w:eastAsia="MS Mincho"/>
          <w:i/>
        </w:rPr>
        <w:t>S</w:t>
      </w:r>
      <w:r w:rsidR="00D67CEB" w:rsidRPr="007031A0">
        <w:rPr>
          <w:rFonts w:eastAsia="MS Mincho"/>
        </w:rPr>
        <w:t xml:space="preserve"> ~ </w:t>
      </w:r>
      <w:r w:rsidR="00D67CEB" w:rsidRPr="007031A0">
        <w:rPr>
          <w:rFonts w:cs="Times New Roman"/>
          <w:i/>
        </w:rPr>
        <w:t>β</w:t>
      </w:r>
      <w:r w:rsidR="00D67CEB" w:rsidRPr="007031A0">
        <w:rPr>
          <w:rFonts w:cs="Times New Roman"/>
          <w:vertAlign w:val="subscript"/>
        </w:rPr>
        <w:t>0</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1</w:t>
      </w:r>
      <w:r w:rsidR="00D67CEB" w:rsidRPr="007031A0">
        <w:rPr>
          <w:rFonts w:cs="Times New Roman"/>
          <w:i/>
        </w:rPr>
        <w:t>X</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2</w:t>
      </w:r>
      <w:r w:rsidR="00D67CEB" w:rsidRPr="007031A0">
        <w:rPr>
          <w:rFonts w:cs="Times New Roman"/>
          <w:i/>
        </w:rPr>
        <w:t>Region</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3</w:t>
      </w:r>
      <w:r w:rsidR="00D67CEB" w:rsidRPr="007031A0">
        <w:rPr>
          <w:rFonts w:cs="Times New Roman"/>
        </w:rPr>
        <w:t>(</w:t>
      </w:r>
      <w:r w:rsidR="00D67CEB" w:rsidRPr="007031A0">
        <w:rPr>
          <w:rFonts w:cs="Times New Roman"/>
          <w:i/>
        </w:rPr>
        <w:t>X × Region</w:t>
      </w:r>
      <w:r w:rsidR="004511B3" w:rsidRPr="007031A0">
        <w:rPr>
          <w:rFonts w:eastAsia="MS Mincho"/>
        </w:rPr>
        <w:t>)</w:t>
      </w:r>
      <w:r w:rsidR="00D67CEB" w:rsidRPr="007031A0">
        <w:rPr>
          <w:rFonts w:eastAsia="MS Mincho"/>
        </w:rPr>
        <w:t>)</w:t>
      </w:r>
      <w:r w:rsidR="00D62239" w:rsidRPr="007031A0">
        <w:rPr>
          <w:rFonts w:eastAsia="MS Mincho"/>
        </w:rPr>
        <w:t>.</w:t>
      </w:r>
      <w:r w:rsidR="00042E25" w:rsidRPr="007031A0">
        <w:rPr>
          <w:rFonts w:eastAsia="MS Mincho"/>
        </w:rPr>
        <w:t xml:space="preserve"> </w:t>
      </w:r>
      <w:r w:rsidR="00547291" w:rsidRPr="007031A0">
        <w:rPr>
          <w:rFonts w:eastAsia="MS Mincho"/>
        </w:rPr>
        <w:t>For each of the ten predictor</w:t>
      </w:r>
      <w:r w:rsidR="00A13B07" w:rsidRPr="007031A0">
        <w:rPr>
          <w:rFonts w:eastAsia="MS Mincho"/>
        </w:rPr>
        <w:t>s</w:t>
      </w:r>
      <w:r w:rsidR="00547291" w:rsidRPr="007031A0">
        <w:rPr>
          <w:rFonts w:eastAsia="MS Mincho"/>
        </w:rPr>
        <w:t>, t</w:t>
      </w:r>
      <w:r w:rsidR="00042E25" w:rsidRPr="007031A0">
        <w:rPr>
          <w:rFonts w:eastAsia="MS Mincho"/>
        </w:rPr>
        <w:t xml:space="preserve">he best fitting </w:t>
      </w:r>
      <w:r w:rsidR="00547291" w:rsidRPr="007031A0">
        <w:rPr>
          <w:rFonts w:eastAsia="MS Mincho"/>
        </w:rPr>
        <w:t>model</w:t>
      </w:r>
      <w:r w:rsidR="00042E25" w:rsidRPr="007031A0">
        <w:rPr>
          <w:rFonts w:eastAsia="MS Mincho"/>
        </w:rPr>
        <w:t xml:space="preserve"> was determined using Akaike’s information criterion (</w:t>
      </w:r>
      <w:r w:rsidR="00042E25" w:rsidRPr="007031A0">
        <w:rPr>
          <w:rFonts w:eastAsia="MS Mincho"/>
          <w:i/>
        </w:rPr>
        <w:t>AIC</w:t>
      </w:r>
      <w:r w:rsidR="00042E25" w:rsidRPr="007031A0">
        <w:rPr>
          <w:rFonts w:eastAsia="MS Mincho"/>
        </w:rPr>
        <w:t>)</w:t>
      </w:r>
      <w:r w:rsidR="00472BBD" w:rsidRPr="007031A0">
        <w:rPr>
          <w:rFonts w:eastAsia="MS Mincho"/>
        </w:rPr>
        <w:t xml:space="preserve">, </w:t>
      </w:r>
      <w:r w:rsidR="00A465FD">
        <w:t xml:space="preserve">as </w:t>
      </w:r>
      <w:r w:rsidR="00472BBD">
        <w:t xml:space="preserve">the simplest model with </w:t>
      </w:r>
      <w:r w:rsidR="00472BBD">
        <w:rPr>
          <w:i/>
        </w:rPr>
        <w:t>∆AIC</w:t>
      </w:r>
      <w:r w:rsidR="00472BBD">
        <w:t xml:space="preserve"> &lt; 2.</w:t>
      </w:r>
      <w:r w:rsidR="00176E4F" w:rsidRPr="007031A0">
        <w:rPr>
          <w:rFonts w:eastAsia="MS Mincho"/>
          <w:i/>
        </w:rPr>
        <w:t xml:space="preserve"> </w:t>
      </w:r>
      <w:r w:rsidR="00B07EC3" w:rsidRPr="007031A0">
        <w:rPr>
          <w:rFonts w:eastAsia="MS Mincho"/>
        </w:rPr>
        <w:t>Where the</w:t>
      </w:r>
      <w:r w:rsidR="000A2EAE" w:rsidRPr="007031A0">
        <w:rPr>
          <w:rFonts w:eastAsia="MS Mincho"/>
        </w:rPr>
        <w:t xml:space="preserve"> “main effect only” model </w:t>
      </w:r>
      <w:r w:rsidR="00B07EC3" w:rsidRPr="007031A0">
        <w:rPr>
          <w:rFonts w:eastAsia="MS Mincho"/>
        </w:rPr>
        <w:t xml:space="preserve">describes </w:t>
      </w:r>
      <w:r w:rsidR="00A13B07" w:rsidRPr="007031A0">
        <w:rPr>
          <w:rFonts w:eastAsia="MS Mincho"/>
        </w:rPr>
        <w:t>heterogeneity</w:t>
      </w:r>
      <w:r w:rsidR="00B07EC3" w:rsidRPr="007031A0">
        <w:rPr>
          <w:rFonts w:eastAsia="MS Mincho"/>
        </w:rPr>
        <w:t xml:space="preserve"> </w:t>
      </w:r>
      <w:r w:rsidR="00A15FD6" w:rsidRPr="007031A0">
        <w:rPr>
          <w:rFonts w:eastAsia="MS Mincho"/>
        </w:rPr>
        <w:t xml:space="preserve">as having a uniform effect </w:t>
      </w:r>
      <w:r w:rsidR="00B07EC3" w:rsidRPr="007031A0">
        <w:rPr>
          <w:rFonts w:eastAsia="MS Mincho"/>
        </w:rPr>
        <w:t>on species richness across the two regions</w:t>
      </w:r>
      <w:r w:rsidR="00A15FD6" w:rsidRPr="007031A0">
        <w:rPr>
          <w:rFonts w:eastAsia="MS Mincho"/>
        </w:rPr>
        <w:t xml:space="preserve"> (i.e. a common relationship)</w:t>
      </w:r>
      <w:r w:rsidR="00B07EC3" w:rsidRPr="007031A0">
        <w:rPr>
          <w:rFonts w:eastAsia="MS Mincho"/>
        </w:rPr>
        <w:t xml:space="preserve">, the “main effect + region” and “main effect </w:t>
      </w:r>
      <w:r w:rsidR="00B07EC3" w:rsidRPr="007031A0">
        <w:rPr>
          <w:rFonts w:eastAsia="MS Mincho" w:cs="Times New Roman"/>
        </w:rPr>
        <w:t>×</w:t>
      </w:r>
      <w:r w:rsidR="00B07EC3" w:rsidRPr="007031A0">
        <w:rPr>
          <w:rFonts w:eastAsia="MS Mincho"/>
        </w:rPr>
        <w:t xml:space="preserve"> region” models </w:t>
      </w:r>
      <w:r w:rsidR="009D235A" w:rsidRPr="007031A0">
        <w:rPr>
          <w:rFonts w:eastAsia="MS Mincho"/>
        </w:rPr>
        <w:t>describe the relationship</w:t>
      </w:r>
      <w:r w:rsidR="00A15FD6" w:rsidRPr="007031A0">
        <w:rPr>
          <w:rFonts w:eastAsia="MS Mincho"/>
        </w:rPr>
        <w:t>s</w:t>
      </w:r>
      <w:r w:rsidR="009D235A" w:rsidRPr="007031A0">
        <w:rPr>
          <w:rFonts w:eastAsia="MS Mincho"/>
        </w:rPr>
        <w:t xml:space="preserve"> </w:t>
      </w:r>
      <w:r w:rsidR="00A15FD6" w:rsidRPr="007031A0">
        <w:rPr>
          <w:rFonts w:eastAsia="MS Mincho"/>
        </w:rPr>
        <w:t>of</w:t>
      </w:r>
      <w:r w:rsidR="009D235A" w:rsidRPr="007031A0">
        <w:rPr>
          <w:rFonts w:eastAsia="MS Mincho"/>
        </w:rPr>
        <w:t xml:space="preserve"> species richness </w:t>
      </w:r>
      <w:r w:rsidR="00A15FD6" w:rsidRPr="007031A0">
        <w:rPr>
          <w:rFonts w:eastAsia="MS Mincho"/>
        </w:rPr>
        <w:t>to</w:t>
      </w:r>
      <w:r w:rsidR="009D235A" w:rsidRPr="007031A0">
        <w:rPr>
          <w:rFonts w:eastAsia="MS Mincho"/>
        </w:rPr>
        <w:t xml:space="preserve"> heterogeneity as being region</w:t>
      </w:r>
      <w:r w:rsidR="00E13E91" w:rsidRPr="007031A0">
        <w:rPr>
          <w:rFonts w:eastAsia="MS Mincho"/>
        </w:rPr>
        <w:t xml:space="preserve"> </w:t>
      </w:r>
      <w:r w:rsidR="00A13B07" w:rsidRPr="00ED6805">
        <w:t>dependent</w:t>
      </w:r>
      <w:r w:rsidR="009D235A" w:rsidRPr="007031A0">
        <w:rPr>
          <w:rFonts w:eastAsia="MS Mincho"/>
        </w:rPr>
        <w:t>. Specifically, where the “main effect + region” model describe</w:t>
      </w:r>
      <w:r w:rsidR="00A15FD6" w:rsidRPr="007031A0">
        <w:rPr>
          <w:rFonts w:eastAsia="MS Mincho"/>
        </w:rPr>
        <w:t>s</w:t>
      </w:r>
      <w:r w:rsidR="009D235A" w:rsidRPr="007031A0">
        <w:rPr>
          <w:rFonts w:eastAsia="MS Mincho"/>
        </w:rPr>
        <w:t xml:space="preserve"> these relationships as being identical in terms of slope but not intercept, the “main effect </w:t>
      </w:r>
      <w:r w:rsidR="009D235A" w:rsidRPr="007031A0">
        <w:rPr>
          <w:rFonts w:eastAsia="MS Mincho" w:cs="Times New Roman"/>
        </w:rPr>
        <w:t>×</w:t>
      </w:r>
      <w:r w:rsidR="009D235A" w:rsidRPr="007031A0">
        <w:rPr>
          <w:rFonts w:eastAsia="MS Mincho"/>
        </w:rPr>
        <w:t xml:space="preserve"> region” describes them as differing in both intercept and slope.</w:t>
      </w:r>
    </w:p>
    <w:p w:rsidR="00E01AE6" w:rsidRDefault="00A465FD">
      <w:pPr>
        <w:pStyle w:val="FirstParagraph"/>
      </w:pPr>
      <w:r w:rsidRPr="007031A0">
        <w:rPr>
          <w:rFonts w:eastAsia="MS Mincho"/>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rsidR="00D04776" w:rsidRDefault="00DD7307" w:rsidP="008A4E97">
      <w:pPr>
        <w:pStyle w:val="Heading1"/>
        <w:spacing w:line="240" w:lineRule="auto"/>
      </w:pPr>
      <w:bookmarkStart w:id="6" w:name="results"/>
      <w:r>
        <w:t>3</w:t>
      </w:r>
      <w:r w:rsidR="00E4661A">
        <w:t>:</w:t>
      </w:r>
      <w:r>
        <w:t xml:space="preserve"> </w:t>
      </w:r>
      <w:r w:rsidR="00D04776">
        <w:t>Results</w:t>
      </w:r>
      <w:bookmarkEnd w:id="6"/>
    </w:p>
    <w:p w:rsidR="0060601F" w:rsidRDefault="00DD7307" w:rsidP="008A4E97">
      <w:pPr>
        <w:pStyle w:val="Heading2"/>
        <w:spacing w:line="240" w:lineRule="auto"/>
      </w:pPr>
      <w:r>
        <w:t>3.1</w:t>
      </w:r>
      <w:r w:rsidR="00E4661A">
        <w:t>:</w:t>
      </w:r>
      <w:r>
        <w:t xml:space="preserve"> </w:t>
      </w:r>
      <w:r w:rsidR="0060601F">
        <w:t>Comparing species richness</w:t>
      </w:r>
    </w:p>
    <w:p w:rsidR="002C32D6" w:rsidRPr="006B3905" w:rsidRDefault="002C32D6" w:rsidP="002C32D6">
      <w:pPr>
        <w:pStyle w:val="FirstParagraph"/>
        <w:rPr>
          <w:i/>
        </w:rPr>
      </w:pPr>
      <w:r w:rsidRPr="006B3905">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rsidRPr="006B3905">
        <w:t xml:space="preserve">Figure </w:t>
      </w:r>
      <w:r w:rsidR="00FC2A30" w:rsidRPr="006B3905">
        <w:t>1</w:t>
      </w:r>
      <w:r w:rsidRPr="006B3905">
        <w:t xml:space="preserve">a,b). 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rsidR="002C32D6" w:rsidRDefault="007D041A" w:rsidP="002C32D6">
      <w:pPr>
        <w:pStyle w:val="BodyText"/>
      </w:pPr>
      <w:r w:rsidRPr="006B3905">
        <w:lastRenderedPageBreak/>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2g), we found </w:t>
      </w:r>
      <w:r w:rsidR="002C32D6" w:rsidRPr="006B3905">
        <w:t xml:space="preserve">that the </w:t>
      </w:r>
      <w:r w:rsidR="002C1C6A">
        <w:t xml:space="preserve">average </w:t>
      </w:r>
      <w:r w:rsidR="002C32D6" w:rsidRPr="006B3905">
        <w:t xml:space="preserve">proportional contribution of floristic turnover (i.e. </w:t>
      </w:r>
      <w:r w:rsidR="002C32D6" w:rsidRPr="006B3905">
        <w:rPr>
          <w:i/>
        </w:rPr>
        <w:t>T</w:t>
      </w:r>
      <w:r w:rsidR="002C32D6" w:rsidRPr="006B3905">
        <w:rPr>
          <w:vertAlign w:val="subscript"/>
        </w:rPr>
        <w:t>QDS</w:t>
      </w:r>
      <w:r w:rsidR="002C32D6" w:rsidRPr="006B3905">
        <w:t>/</w:t>
      </w:r>
      <w:r w:rsidR="002C32D6" w:rsidRPr="006B3905">
        <w:rPr>
          <w:i/>
        </w:rPr>
        <w:t>S</w:t>
      </w:r>
      <w:r w:rsidR="002C32D6" w:rsidRPr="006B3905">
        <w:rPr>
          <w:vertAlign w:val="subscript"/>
        </w:rPr>
        <w:t>HDS</w:t>
      </w:r>
      <w:r w:rsidR="002C32D6" w:rsidRPr="006B3905">
        <w:t>; Figure 2</w:t>
      </w:r>
      <w:r w:rsidR="00257D86" w:rsidRPr="006B3905">
        <w:t>e</w:t>
      </w:r>
      <w:r w:rsidR="002C32D6" w:rsidRPr="006B3905">
        <w:t xml:space="preserve">) is greater in the GCFR (0.64) than in the SWAFR (0.60) (two-sided Mann-Whitney </w:t>
      </w:r>
      <w:r w:rsidR="002C32D6" w:rsidRPr="006B3905">
        <w:rPr>
          <w:i/>
        </w:rPr>
        <w:t>U</w:t>
      </w:r>
      <w:r w:rsidR="009E3CEB">
        <w:t>-</w:t>
      </w:r>
      <w:r w:rsidR="002C32D6" w:rsidRPr="006B3905">
        <w:t xml:space="preserve">test, </w:t>
      </w:r>
      <w:r w:rsidR="002C32D6" w:rsidRPr="006B3905">
        <w:rPr>
          <w:i/>
        </w:rPr>
        <w:t>P</w:t>
      </w:r>
      <w:r w:rsidR="002C32D6" w:rsidRPr="006B3905">
        <w:t xml:space="preserve"> &lt; 0.001; </w:t>
      </w:r>
      <w:r w:rsidR="002C32D6" w:rsidRPr="006B3905">
        <w:rPr>
          <w:i/>
          <w:iCs/>
        </w:rPr>
        <w:t>CLES</w:t>
      </w:r>
      <w:r w:rsidR="002C32D6" w:rsidRPr="006B3905">
        <w:t xml:space="preserve"> = 0.</w:t>
      </w:r>
      <w:r w:rsidR="002C1C6A">
        <w:t>750</w:t>
      </w:r>
      <w:r w:rsidR="002C32D6"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002C32D6" w:rsidRPr="006B3905">
        <w:t>GCFR:</w:t>
      </w:r>
      <w:r w:rsidR="00CA131C" w:rsidRPr="006B3905">
        <w:rPr>
          <w:i/>
        </w:rPr>
        <w:t xml:space="preserve"> </w:t>
      </w:r>
      <w:r w:rsidR="002C32D6" w:rsidRPr="006B3905">
        <w:t>0.5</w:t>
      </w:r>
      <w:r w:rsidR="002C1C6A">
        <w:t>7</w:t>
      </w:r>
      <w:r w:rsidR="002C32D6" w:rsidRPr="006B3905">
        <w:t>, SWAFR: 0.4</w:t>
      </w:r>
      <w:r w:rsidR="002C1C6A">
        <w:t>9</w:t>
      </w:r>
      <w:r w:rsidR="002C32D6" w:rsidRPr="006B3905">
        <w:t xml:space="preserve">; two-sided Mann-Whitney </w:t>
      </w:r>
      <w:r w:rsidR="002C32D6" w:rsidRPr="006B3905">
        <w:rPr>
          <w:i/>
        </w:rPr>
        <w:t>U</w:t>
      </w:r>
      <w:r w:rsidR="002C32D6" w:rsidRPr="006B3905">
        <w:t xml:space="preserve"> test, </w:t>
      </w:r>
      <w:r w:rsidR="002C32D6" w:rsidRPr="006B3905">
        <w:rPr>
          <w:i/>
        </w:rPr>
        <w:t>P</w:t>
      </w:r>
      <w:r w:rsidR="002C32D6" w:rsidRPr="006B3905">
        <w:t xml:space="preserve"> </w:t>
      </w:r>
      <w:r w:rsidR="002C1C6A">
        <w:t>&lt;</w:t>
      </w:r>
      <w:r w:rsidR="002C32D6" w:rsidRPr="006B3905">
        <w:t xml:space="preserve"> 0.001, </w:t>
      </w:r>
      <w:r w:rsidR="002C32D6" w:rsidRPr="006B3905">
        <w:rPr>
          <w:i/>
        </w:rPr>
        <w:t>CLES</w:t>
      </w:r>
      <w:r w:rsidR="002C32D6" w:rsidRPr="006B3905">
        <w:t xml:space="preserve"> = 0.</w:t>
      </w:r>
      <w:r w:rsidR="002C1C6A">
        <w:t>967</w:t>
      </w:r>
      <w:r w:rsidR="002C32D6" w:rsidRPr="006B3905">
        <w:t>).</w:t>
      </w:r>
      <w:r w:rsidR="003D0006">
        <w:t xml:space="preserve"> Summarily, at both of these scales, the plant species richness of squares in the GCFR is somewhat more attributable to turnover between sub-squares (points further above 1:1-line in Figure 2f,g) than for squares in the SWAFR (points closer to 1:1-line in Figure 2f,g)</w:t>
      </w:r>
      <w:r w:rsidR="00DB192A">
        <w:t>.</w:t>
      </w:r>
    </w:p>
    <w:p w:rsidR="00D04776" w:rsidRDefault="00DD7307">
      <w:pPr>
        <w:pStyle w:val="Heading2"/>
        <w:spacing w:line="240" w:lineRule="auto"/>
      </w:pPr>
      <w:r>
        <w:t>3.2</w:t>
      </w:r>
      <w:r w:rsidR="00462611">
        <w:t>:</w:t>
      </w:r>
      <w:r>
        <w:t xml:space="preserve"> </w:t>
      </w:r>
      <w:r w:rsidR="00D04776">
        <w:t>Comparing environmental heterogeneity</w:t>
      </w:r>
    </w:p>
    <w:p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 xml:space="preserve">ith a few exceptions </w:t>
      </w:r>
      <w:r w:rsidR="00E07C7E">
        <w:t xml:space="preserve">at the DS-scale </w:t>
      </w:r>
      <w:r w:rsidR="00AD1230">
        <w:t>(</w:t>
      </w:r>
      <w:r>
        <w:t xml:space="preserve">i.e. </w:t>
      </w:r>
      <w:r w:rsidR="00AD1230">
        <w:t>MAP, NDVI</w:t>
      </w:r>
      <w:r w:rsidR="005A72A8">
        <w:t xml:space="preserve">, </w:t>
      </w:r>
      <w:r w:rsidR="00AD1230">
        <w:t>CEC</w:t>
      </w:r>
      <w:r w:rsidR="005A72A8">
        <w:t>, clay and soil C</w:t>
      </w:r>
      <w:r w:rsidR="00AD1230">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8853F3">
        <w:t>j</w:t>
      </w:r>
      <w:r w:rsidR="00AF1477">
        <w:t>)</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sidRPr="007031A0">
        <w:rPr>
          <w:rFonts w:cs="Times New Roman"/>
        </w:rPr>
        <w:t>°×</w:t>
      </w:r>
      <w:r w:rsidR="00F84C1A">
        <w:t>0.10</w:t>
      </w:r>
      <w:r w:rsidR="00F84C1A">
        <w:rPr>
          <w:rFonts w:cs="Times New Roman"/>
        </w:rPr>
        <w:t>°</w:t>
      </w:r>
      <w:r w:rsidR="00C52934">
        <w:t xml:space="preserve">-scale)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852C1E">
        <w:t>The greater overall heterogeneity of the GCFR is striking when compared visually (</w:t>
      </w:r>
      <w:r w:rsidR="00623918">
        <w:t xml:space="preserve">e.g. at the HDS-scale: </w:t>
      </w:r>
      <w:r w:rsidR="00852C1E">
        <w:t xml:space="preserve">Figure 1c vs d).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r w:rsidR="0012073A">
        <w:t>b</w:t>
      </w:r>
      <w:r w:rsidR="00030A46">
        <w:t>,h</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rsidR="009B180C" w:rsidRPr="007031A0" w:rsidRDefault="006B7A26" w:rsidP="008F4C08">
      <w:pPr>
        <w:pStyle w:val="FirstParagraph"/>
        <w:rPr>
          <w:rFonts w:eastAsia="MS Mincho"/>
          <w:vertAlign w:val="subscript"/>
        </w:rPr>
      </w:pPr>
      <w:r>
        <w:t xml:space="preserve">The </w:t>
      </w:r>
      <w:r w:rsidR="006F1346">
        <w:t xml:space="preserve">univariate </w:t>
      </w:r>
      <w:r w:rsidR="00F554DF">
        <w:t xml:space="preserve">ANCOVA </w:t>
      </w:r>
      <w:r w:rsidR="002C7612">
        <w:t xml:space="preserve">results </w:t>
      </w:r>
      <w:r w:rsidR="006F1346" w:rsidRPr="007031A0">
        <w:rPr>
          <w:rFonts w:eastAsia="MS Mincho"/>
        </w:rPr>
        <w:t xml:space="preserve">(Table 1) </w:t>
      </w:r>
      <w:r w:rsidR="002C7612">
        <w:t>show</w:t>
      </w:r>
      <w:r w:rsidR="00F554DF">
        <w:t xml:space="preserve"> that </w:t>
      </w:r>
      <w:r w:rsidR="00F554DF" w:rsidRPr="007031A0">
        <w:rPr>
          <w:rFonts w:eastAsia="MS Mincho"/>
        </w:rPr>
        <w:t xml:space="preserve">heterogeneity in each of the nine environmental </w:t>
      </w:r>
      <w:r w:rsidR="00946019" w:rsidRPr="007031A0">
        <w:rPr>
          <w:rFonts w:eastAsia="MS Mincho"/>
        </w:rPr>
        <w:t xml:space="preserve">heterogeneity </w:t>
      </w:r>
      <w:r w:rsidR="00F554DF" w:rsidRPr="007031A0">
        <w:rPr>
          <w:rFonts w:eastAsia="MS Mincho"/>
        </w:rPr>
        <w:t>variables</w:t>
      </w:r>
      <w:r w:rsidR="006F1346" w:rsidRPr="007031A0">
        <w:rPr>
          <w:rFonts w:eastAsia="MS Mincho"/>
        </w:rPr>
        <w:t>,</w:t>
      </w:r>
      <w:r w:rsidR="00752C87" w:rsidRPr="007031A0">
        <w:rPr>
          <w:rFonts w:eastAsia="MS Mincho"/>
        </w:rPr>
        <w:t xml:space="preserve"> </w:t>
      </w:r>
      <w:r w:rsidR="00F554DF" w:rsidRPr="007031A0">
        <w:rPr>
          <w:rFonts w:eastAsia="MS Mincho"/>
        </w:rPr>
        <w:t>as well as the main axis of heterogeneity (PC1), influence species richness in a consistently positive manner across the two study regions</w:t>
      </w:r>
      <w:r w:rsidR="00DF01F6" w:rsidRPr="007031A0">
        <w:rPr>
          <w:rFonts w:eastAsia="MS Mincho"/>
        </w:rPr>
        <w:t xml:space="preserve"> (exceptions being DS-scale elevation and CEC; Table 1c)</w:t>
      </w:r>
      <w:r w:rsidR="00F858E0" w:rsidRPr="007031A0">
        <w:rPr>
          <w:rFonts w:eastAsia="MS Mincho"/>
        </w:rPr>
        <w:t>.</w:t>
      </w:r>
      <w:r w:rsidR="0020209D" w:rsidRPr="007031A0">
        <w:rPr>
          <w:rFonts w:eastAsia="MS Mincho"/>
        </w:rPr>
        <w:t xml:space="preserve"> </w:t>
      </w:r>
      <w:r w:rsidR="001B3692" w:rsidRPr="007031A0">
        <w:rPr>
          <w:rFonts w:eastAsia="MS Mincho"/>
        </w:rPr>
        <w:t>Notably,</w:t>
      </w:r>
      <w:r w:rsidR="0020209D" w:rsidRPr="007031A0">
        <w:rPr>
          <w:rFonts w:eastAsia="MS Mincho"/>
        </w:rPr>
        <w:t xml:space="preserve"> “main effect </w:t>
      </w:r>
      <w:r w:rsidR="0020209D" w:rsidRPr="007031A0">
        <w:rPr>
          <w:rFonts w:eastAsia="MS Mincho" w:cs="Times New Roman"/>
        </w:rPr>
        <w:t>×</w:t>
      </w:r>
      <w:r w:rsidR="0020209D" w:rsidRPr="007031A0">
        <w:rPr>
          <w:rFonts w:eastAsia="MS Mincho"/>
        </w:rPr>
        <w:t xml:space="preserve"> region” models were optimal for some variables</w:t>
      </w:r>
      <w:r w:rsidR="001B3692" w:rsidRPr="007031A0">
        <w:rPr>
          <w:rFonts w:eastAsia="MS Mincho"/>
        </w:rPr>
        <w:t>.</w:t>
      </w:r>
      <w:r w:rsidR="0020209D" w:rsidRPr="007031A0">
        <w:rPr>
          <w:rFonts w:eastAsia="MS Mincho"/>
        </w:rPr>
        <w:t xml:space="preserve"> </w:t>
      </w:r>
      <w:r w:rsidR="001B3692" w:rsidRPr="007031A0">
        <w:rPr>
          <w:rFonts w:eastAsia="MS Mincho"/>
        </w:rPr>
        <w:t xml:space="preserve">Although, </w:t>
      </w:r>
      <w:r w:rsidR="0020209D" w:rsidRPr="007031A0">
        <w:rPr>
          <w:rFonts w:eastAsia="MS Mincho"/>
        </w:rPr>
        <w:t>the interaction terms associated with the</w:t>
      </w:r>
      <w:r w:rsidR="001B3692" w:rsidRPr="007031A0">
        <w:rPr>
          <w:rFonts w:eastAsia="MS Mincho"/>
        </w:rPr>
        <w:t>se either describe a form of heterogeneity as having a positive effect on richness in both regions</w:t>
      </w:r>
      <w:r w:rsidR="00A64381" w:rsidRPr="007031A0">
        <w:rPr>
          <w:rFonts w:eastAsia="MS Mincho"/>
        </w:rPr>
        <w:t xml:space="preserve"> or </w:t>
      </w:r>
      <w:r w:rsidR="00C86D71" w:rsidRPr="007031A0">
        <w:rPr>
          <w:rFonts w:eastAsia="MS Mincho"/>
        </w:rPr>
        <w:t xml:space="preserve">as </w:t>
      </w:r>
      <w:r w:rsidR="00A64381" w:rsidRPr="007031A0">
        <w:rPr>
          <w:rFonts w:eastAsia="MS Mincho"/>
        </w:rPr>
        <w:t>having a positive effect in one region and negligible effect in the other (e.g. HDS-scale heterogeneity in clay; Table 1b).</w:t>
      </w:r>
      <w:r w:rsidR="007A6675" w:rsidRPr="007031A0">
        <w:rPr>
          <w:rFonts w:eastAsia="MS Mincho"/>
        </w:rPr>
        <w:t xml:space="preserve"> </w:t>
      </w:r>
      <w:r w:rsidR="00F554DF" w:rsidRPr="007031A0">
        <w:rPr>
          <w:rFonts w:eastAsia="MS Mincho"/>
        </w:rPr>
        <w:t>In addition</w:t>
      </w:r>
      <w:r w:rsidR="002C7612" w:rsidRPr="007031A0">
        <w:rPr>
          <w:rFonts w:eastAsia="MS Mincho"/>
        </w:rPr>
        <w:t>,</w:t>
      </w:r>
      <w:r w:rsidR="003E7233" w:rsidRPr="00CF397B">
        <w:t xml:space="preserve"> at the HDS- and DS-scales</w:t>
      </w:r>
      <w:r w:rsidR="00983D13" w:rsidRPr="00CF397B">
        <w:t>,</w:t>
      </w:r>
      <w:r w:rsidR="003E7233" w:rsidRPr="00CF397B">
        <w:t xml:space="preserve"> </w:t>
      </w:r>
      <w:r w:rsidR="002C7612" w:rsidRPr="007031A0">
        <w:rPr>
          <w:rFonts w:eastAsia="MS Mincho"/>
        </w:rPr>
        <w:t>the effect of</w:t>
      </w:r>
      <w:r w:rsidR="003E7233" w:rsidRPr="007031A0">
        <w:rPr>
          <w:rFonts w:eastAsia="MS Mincho"/>
        </w:rPr>
        <w:t xml:space="preserve"> </w:t>
      </w:r>
      <w:r w:rsidR="00EE05AD" w:rsidRPr="007031A0">
        <w:rPr>
          <w:rFonts w:eastAsia="MS Mincho"/>
        </w:rPr>
        <w:t xml:space="preserve">the major axis of </w:t>
      </w:r>
      <w:r w:rsidR="002C7612" w:rsidRPr="007031A0">
        <w:rPr>
          <w:rFonts w:eastAsia="MS Mincho"/>
        </w:rPr>
        <w:t xml:space="preserve">heterogeneity </w:t>
      </w:r>
      <w:r w:rsidR="00EE05AD" w:rsidRPr="007031A0">
        <w:rPr>
          <w:rFonts w:eastAsia="MS Mincho"/>
        </w:rPr>
        <w:t>(</w:t>
      </w:r>
      <w:r w:rsidR="002C7612" w:rsidRPr="007031A0">
        <w:rPr>
          <w:rFonts w:eastAsia="MS Mincho"/>
        </w:rPr>
        <w:t>PC1</w:t>
      </w:r>
      <w:r w:rsidR="00EE05AD" w:rsidRPr="007031A0">
        <w:rPr>
          <w:rFonts w:eastAsia="MS Mincho"/>
        </w:rPr>
        <w:t>)</w:t>
      </w:r>
      <w:r w:rsidR="002C7612" w:rsidRPr="007031A0">
        <w:rPr>
          <w:rFonts w:eastAsia="MS Mincho"/>
        </w:rPr>
        <w:t xml:space="preserve"> on </w:t>
      </w:r>
      <w:r w:rsidR="003E7233" w:rsidRPr="007031A0">
        <w:rPr>
          <w:rFonts w:eastAsia="MS Mincho"/>
        </w:rPr>
        <w:t xml:space="preserve">species richness </w:t>
      </w:r>
      <w:r w:rsidR="002C7612" w:rsidRPr="007031A0">
        <w:rPr>
          <w:rFonts w:eastAsia="MS Mincho"/>
        </w:rPr>
        <w:t>is uniform</w:t>
      </w:r>
      <w:r w:rsidR="00E64B6B" w:rsidRPr="007031A0">
        <w:rPr>
          <w:rFonts w:eastAsia="MS Mincho"/>
        </w:rPr>
        <w:t xml:space="preserve"> </w:t>
      </w:r>
      <w:r w:rsidR="003E7233" w:rsidRPr="007031A0">
        <w:rPr>
          <w:rFonts w:eastAsia="MS Mincho"/>
        </w:rPr>
        <w:t>across the two regions</w:t>
      </w:r>
      <w:r w:rsidR="00983D13" w:rsidRPr="007031A0">
        <w:rPr>
          <w:rFonts w:eastAsia="MS Mincho"/>
        </w:rPr>
        <w:t xml:space="preserve"> (</w:t>
      </w:r>
      <w:r w:rsidR="00A23494" w:rsidRPr="007031A0">
        <w:rPr>
          <w:rFonts w:eastAsia="MS Mincho"/>
        </w:rPr>
        <w:t>i.e. “main effect</w:t>
      </w:r>
      <w:r w:rsidR="00EC5B19" w:rsidRPr="007031A0">
        <w:rPr>
          <w:rFonts w:eastAsia="MS Mincho"/>
        </w:rPr>
        <w:t xml:space="preserve"> only</w:t>
      </w:r>
      <w:r w:rsidR="00A23494" w:rsidRPr="007031A0">
        <w:rPr>
          <w:rFonts w:eastAsia="MS Mincho"/>
        </w:rPr>
        <w:t xml:space="preserve">” model favoured: </w:t>
      </w:r>
      <w:r w:rsidR="00983D13" w:rsidRPr="007031A0">
        <w:rPr>
          <w:rFonts w:eastAsia="MS Mincho"/>
        </w:rPr>
        <w:t xml:space="preserve">Table </w:t>
      </w:r>
      <w:r w:rsidR="008B0E3F" w:rsidRPr="007031A0">
        <w:rPr>
          <w:rFonts w:eastAsia="MS Mincho"/>
        </w:rPr>
        <w:t>1</w:t>
      </w:r>
      <w:r w:rsidR="00983D13" w:rsidRPr="007031A0">
        <w:rPr>
          <w:rFonts w:eastAsia="MS Mincho"/>
        </w:rPr>
        <w:t xml:space="preserve">b,c; </w:t>
      </w:r>
      <w:r w:rsidR="00B02E73" w:rsidRPr="007031A0">
        <w:rPr>
          <w:rFonts w:eastAsia="MS Mincho"/>
        </w:rPr>
        <w:t xml:space="preserve">Figure </w:t>
      </w:r>
      <w:r w:rsidR="00FF0F3A" w:rsidRPr="007031A0">
        <w:rPr>
          <w:rFonts w:eastAsia="MS Mincho"/>
        </w:rPr>
        <w:t>4</w:t>
      </w:r>
      <w:r w:rsidR="00983D13" w:rsidRPr="007031A0">
        <w:rPr>
          <w:rFonts w:eastAsia="MS Mincho"/>
        </w:rPr>
        <w:t>b,c)</w:t>
      </w:r>
      <w:r w:rsidR="003E7233" w:rsidRPr="007031A0">
        <w:rPr>
          <w:rFonts w:eastAsia="MS Mincho"/>
        </w:rPr>
        <w:t>.</w:t>
      </w:r>
      <w:r w:rsidR="008F4C08" w:rsidRPr="007031A0">
        <w:rPr>
          <w:rFonts w:eastAsia="MS Mincho"/>
        </w:rPr>
        <w:t xml:space="preserve"> At the QDS-scale, though</w:t>
      </w:r>
      <w:r w:rsidR="001A7D58" w:rsidRPr="007031A0">
        <w:rPr>
          <w:rFonts w:eastAsia="MS Mincho" w:cs="Times New Roman"/>
        </w:rPr>
        <w:t xml:space="preserve"> the </w:t>
      </w:r>
      <w:r w:rsidR="008F4C08">
        <w:rPr>
          <w:rFonts w:cs="Times New Roman"/>
        </w:rPr>
        <w:t>“m</w:t>
      </w:r>
      <w:r w:rsidR="008F4C08" w:rsidRPr="004C6C44">
        <w:rPr>
          <w:rFonts w:cs="Times New Roman"/>
        </w:rPr>
        <w:t>ain effect + region</w:t>
      </w:r>
      <w:r w:rsidR="008F4C08">
        <w:rPr>
          <w:rFonts w:cs="Times New Roman"/>
        </w:rPr>
        <w:t>”</w:t>
      </w:r>
      <w:r w:rsidR="008F4C08" w:rsidRPr="007031A0">
        <w:rPr>
          <w:rFonts w:eastAsia="MS Mincho" w:cs="Times New Roman"/>
        </w:rPr>
        <w:t xml:space="preserve"> model was favoured, the difference in intercepts between the GCFR and SWAFR (92.5 species; Table 1a</w:t>
      </w:r>
      <w:r w:rsidR="007E43C4" w:rsidRPr="007031A0">
        <w:rPr>
          <w:rFonts w:eastAsia="MS Mincho" w:cs="Times New Roman"/>
        </w:rPr>
        <w:t>; Figure 4a</w:t>
      </w:r>
      <w:r w:rsidR="008F4C08" w:rsidRPr="007031A0">
        <w:rPr>
          <w:rFonts w:eastAsia="MS Mincho" w:cs="Times New Roman"/>
        </w:rPr>
        <w:t>) is</w:t>
      </w:r>
      <w:r w:rsidR="003E77D9" w:rsidRPr="007031A0">
        <w:rPr>
          <w:rFonts w:eastAsia="MS Mincho" w:cs="Times New Roman"/>
        </w:rPr>
        <w:t xml:space="preserve"> </w:t>
      </w:r>
      <w:r w:rsidR="008F4C08" w:rsidRPr="007031A0">
        <w:rPr>
          <w:rFonts w:eastAsia="MS Mincho" w:cs="Times New Roman"/>
        </w:rPr>
        <w:t>small</w:t>
      </w:r>
      <w:r w:rsidR="001A7D58" w:rsidRPr="007031A0">
        <w:rPr>
          <w:rFonts w:eastAsia="MS Mincho" w:cs="Times New Roman"/>
        </w:rPr>
        <w:t xml:space="preserve"> relative to the </w:t>
      </w:r>
      <w:r w:rsidR="00827247" w:rsidRPr="007031A0">
        <w:rPr>
          <w:rFonts w:eastAsia="MS Mincho" w:cs="Times New Roman"/>
        </w:rPr>
        <w:t xml:space="preserve">spread of residual </w:t>
      </w:r>
      <w:r w:rsidR="001A7D58" w:rsidRPr="007031A0">
        <w:rPr>
          <w:rFonts w:eastAsia="MS Mincho" w:cs="Times New Roman"/>
        </w:rPr>
        <w:t xml:space="preserve">species richness </w:t>
      </w:r>
      <w:r w:rsidR="009E0429" w:rsidRPr="007031A0">
        <w:rPr>
          <w:rFonts w:eastAsia="MS Mincho" w:cs="Times New Roman"/>
        </w:rPr>
        <w:t xml:space="preserve">at the </w:t>
      </w:r>
      <w:r w:rsidR="001A7D58" w:rsidRPr="007031A0">
        <w:rPr>
          <w:rFonts w:eastAsia="MS Mincho" w:cs="Times New Roman"/>
        </w:rPr>
        <w:t>QDS</w:t>
      </w:r>
      <w:r w:rsidR="009E0429" w:rsidRPr="007031A0">
        <w:rPr>
          <w:rFonts w:eastAsia="MS Mincho" w:cs="Times New Roman"/>
        </w:rPr>
        <w:t>-scale within</w:t>
      </w:r>
      <w:r w:rsidR="001A7D58" w:rsidRPr="007031A0">
        <w:rPr>
          <w:rFonts w:eastAsia="MS Mincho" w:cs="Times New Roman"/>
        </w:rPr>
        <w:t xml:space="preserve"> </w:t>
      </w:r>
      <w:r w:rsidR="009E0429" w:rsidRPr="007031A0">
        <w:rPr>
          <w:rFonts w:eastAsia="MS Mincho" w:cs="Times New Roman"/>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r w:rsidR="00496FAE" w:rsidRPr="009958EA">
        <w:t>; Table S</w:t>
      </w:r>
      <w:r w:rsidR="00AF3227" w:rsidRPr="009958EA">
        <w:t>3</w:t>
      </w:r>
      <w:r w:rsidR="00496FAE" w:rsidRPr="009958EA">
        <w:t>a</w:t>
      </w:r>
      <w:r w:rsidR="001A7D58" w:rsidRPr="00CF397B">
        <w:t>).</w:t>
      </w:r>
      <w:r w:rsidR="007F71F9" w:rsidRPr="007031A0">
        <w:rPr>
          <w:rFonts w:eastAsia="MS Mincho" w:cs="Times New Roman"/>
        </w:rPr>
        <w:t xml:space="preserve"> </w:t>
      </w:r>
      <w:r w:rsidR="001A7D58" w:rsidRPr="007031A0">
        <w:rPr>
          <w:rFonts w:eastAsia="MS Mincho" w:cs="Times New Roman"/>
        </w:rPr>
        <w:t xml:space="preserve">This </w:t>
      </w:r>
      <w:r w:rsidR="00A46153" w:rsidRPr="007031A0">
        <w:rPr>
          <w:rFonts w:eastAsia="MS Mincho" w:cs="Times New Roman"/>
        </w:rPr>
        <w:t>indicates</w:t>
      </w:r>
      <w:r w:rsidR="001A7D58" w:rsidRPr="007031A0">
        <w:rPr>
          <w:rFonts w:eastAsia="MS Mincho" w:cs="Times New Roman"/>
        </w:rPr>
        <w:t xml:space="preserve"> that </w:t>
      </w:r>
      <w:r w:rsidR="002644D2" w:rsidRPr="007031A0">
        <w:rPr>
          <w:rFonts w:eastAsia="MS Mincho" w:cs="Times New Roman"/>
        </w:rPr>
        <w:t xml:space="preserve">regional differences in the form of the </w:t>
      </w:r>
      <w:r w:rsidR="009E0429" w:rsidRPr="007031A0">
        <w:rPr>
          <w:rFonts w:eastAsia="MS Mincho" w:cs="Times New Roman"/>
        </w:rPr>
        <w:t xml:space="preserve">QDS-scale </w:t>
      </w:r>
      <w:r w:rsidR="002644D2" w:rsidRPr="007031A0">
        <w:rPr>
          <w:rFonts w:eastAsia="MS Mincho" w:cs="Times New Roman"/>
        </w:rPr>
        <w:t>species richness-heterogeneity relationship</w:t>
      </w:r>
      <w:r w:rsidR="00EB3F26" w:rsidRPr="00CF397B">
        <w:t>, while statistically significant,</w:t>
      </w:r>
      <w:r w:rsidR="001A7D58" w:rsidRPr="007031A0">
        <w:rPr>
          <w:rFonts w:eastAsia="MS Mincho" w:cs="Times New Roman"/>
        </w:rPr>
        <w:t xml:space="preserve"> are </w:t>
      </w:r>
      <w:r w:rsidR="009B4280" w:rsidRPr="007031A0">
        <w:rPr>
          <w:rFonts w:eastAsia="MS Mincho" w:cs="Times New Roman"/>
        </w:rPr>
        <w:t>subtle</w:t>
      </w:r>
      <w:r w:rsidR="001A7D58" w:rsidRPr="007031A0">
        <w:rPr>
          <w:rFonts w:eastAsia="MS Mincho" w:cs="Times New Roman"/>
        </w:rPr>
        <w:t>.</w:t>
      </w:r>
      <w:r w:rsidR="00484C8F" w:rsidRPr="007031A0">
        <w:rPr>
          <w:rFonts w:eastAsia="MS Mincho" w:cs="Times New Roman"/>
        </w:rPr>
        <w:t xml:space="preserve"> Quadratic forms of these best fitting PC1-models were also compared, with the above linear forms of the “</w:t>
      </w:r>
      <w:r w:rsidR="00484C8F" w:rsidRPr="007031A0">
        <w:rPr>
          <w:rFonts w:eastAsia="MS Mincho"/>
        </w:rPr>
        <w:t>main effect only</w:t>
      </w:r>
      <w:r w:rsidR="00484C8F" w:rsidRPr="007031A0">
        <w:rPr>
          <w:rFonts w:eastAsia="MS Mincho" w:cs="Times New Roman"/>
        </w:rPr>
        <w:t>” models favoured at both the HDS- and DS-scales (</w:t>
      </w:r>
      <w:r w:rsidR="00484C8F" w:rsidRPr="007031A0">
        <w:rPr>
          <w:rFonts w:eastAsia="MS Mincho" w:cs="Times New Roman"/>
          <w:i/>
          <w:iCs/>
        </w:rPr>
        <w:t>∆AIC</w:t>
      </w:r>
      <w:r w:rsidR="00484C8F" w:rsidRPr="007031A0">
        <w:rPr>
          <w:rFonts w:eastAsia="MS Mincho" w:cs="Times New Roman"/>
          <w:i/>
          <w:iCs/>
          <w:vertAlign w:val="subscript"/>
        </w:rPr>
        <w:t>linear</w:t>
      </w:r>
      <w:r w:rsidR="00484C8F" w:rsidRPr="007031A0">
        <w:rPr>
          <w:rFonts w:eastAsia="MS Mincho" w:cs="Times New Roman"/>
          <w:i/>
          <w:iCs/>
        </w:rPr>
        <w:t xml:space="preserve"> </w:t>
      </w:r>
      <w:r w:rsidR="00484C8F" w:rsidRPr="007031A0">
        <w:rPr>
          <w:rFonts w:eastAsia="MS Mincho" w:cs="Times New Roman"/>
        </w:rPr>
        <w:t xml:space="preserve">&lt; 2). At the QDS-scale, however, a quadratic model (i.e., of the form </w:t>
      </w:r>
      <w:r w:rsidR="00484C8F" w:rsidRPr="007031A0">
        <w:rPr>
          <w:rFonts w:eastAsia="MS Mincho"/>
          <w:i/>
        </w:rPr>
        <w:t>S</w:t>
      </w:r>
      <w:r w:rsidR="00484C8F" w:rsidRPr="007031A0">
        <w:rPr>
          <w:rFonts w:eastAsia="MS Mincho"/>
        </w:rPr>
        <w:t xml:space="preserve"> ~ </w:t>
      </w:r>
      <w:r w:rsidR="00484C8F" w:rsidRPr="007031A0">
        <w:rPr>
          <w:rFonts w:cs="Times New Roman"/>
          <w:i/>
        </w:rPr>
        <w:t>β</w:t>
      </w:r>
      <w:r w:rsidR="00484C8F" w:rsidRPr="007031A0">
        <w:rPr>
          <w:rFonts w:cs="Times New Roman"/>
          <w:vertAlign w:val="subscript"/>
        </w:rPr>
        <w:t>0</w:t>
      </w:r>
      <w:r w:rsidR="00484C8F" w:rsidRPr="007031A0">
        <w:rPr>
          <w:rFonts w:cs="Times New Roman"/>
        </w:rPr>
        <w:t xml:space="preserve"> + </w:t>
      </w:r>
      <w:r w:rsidR="00484C8F" w:rsidRPr="007031A0">
        <w:rPr>
          <w:rFonts w:cs="Times New Roman"/>
          <w:i/>
        </w:rPr>
        <w:t>β</w:t>
      </w:r>
      <w:r w:rsidR="00484C8F" w:rsidRPr="007031A0">
        <w:rPr>
          <w:rFonts w:cs="Times New Roman"/>
          <w:vertAlign w:val="subscript"/>
        </w:rPr>
        <w:t>1</w:t>
      </w:r>
      <w:r w:rsidR="00484C8F" w:rsidRPr="007031A0">
        <w:rPr>
          <w:rFonts w:cs="Times New Roman"/>
          <w:i/>
        </w:rPr>
        <w:t>X + β</w:t>
      </w:r>
      <w:r w:rsidR="00484C8F" w:rsidRPr="007031A0">
        <w:rPr>
          <w:rFonts w:cs="Times New Roman"/>
          <w:vertAlign w:val="subscript"/>
        </w:rPr>
        <w:t>2</w:t>
      </w:r>
      <w:r w:rsidR="00484C8F" w:rsidRPr="007031A0">
        <w:rPr>
          <w:rFonts w:cs="Times New Roman"/>
          <w:i/>
        </w:rPr>
        <w:t>X</w:t>
      </w:r>
      <w:r w:rsidR="00484C8F" w:rsidRPr="007031A0">
        <w:rPr>
          <w:rFonts w:cs="Times New Roman"/>
          <w:iCs/>
          <w:vertAlign w:val="superscript"/>
        </w:rPr>
        <w:t>2</w:t>
      </w:r>
      <w:r w:rsidR="00484C8F" w:rsidRPr="007031A0">
        <w:rPr>
          <w:rFonts w:cs="Times New Roman"/>
          <w:iCs/>
        </w:rPr>
        <w:t xml:space="preserve">) was favoured </w:t>
      </w:r>
      <w:r w:rsidR="00484C8F" w:rsidRPr="007031A0">
        <w:rPr>
          <w:rFonts w:eastAsia="MS Mincho" w:cs="Times New Roman"/>
        </w:rPr>
        <w:t>(</w:t>
      </w:r>
      <w:r w:rsidR="00484C8F" w:rsidRPr="007031A0">
        <w:rPr>
          <w:rFonts w:eastAsia="MS Mincho" w:cs="Times New Roman"/>
          <w:i/>
          <w:iCs/>
        </w:rPr>
        <w:t>∆AIC</w:t>
      </w:r>
      <w:r w:rsidR="00484C8F" w:rsidRPr="007031A0">
        <w:rPr>
          <w:rFonts w:eastAsia="MS Mincho" w:cs="Times New Roman"/>
          <w:i/>
          <w:iCs/>
          <w:vertAlign w:val="subscript"/>
        </w:rPr>
        <w:t>linear</w:t>
      </w:r>
      <w:r w:rsidR="00484C8F" w:rsidRPr="007031A0">
        <w:rPr>
          <w:rFonts w:eastAsia="MS Mincho" w:cs="Times New Roman"/>
          <w:i/>
          <w:iCs/>
        </w:rPr>
        <w:t xml:space="preserve"> </w:t>
      </w:r>
      <w:r w:rsidR="00484C8F" w:rsidRPr="007031A0">
        <w:rPr>
          <w:rFonts w:eastAsia="MS Mincho" w:cs="Times New Roman"/>
        </w:rPr>
        <w:t>= 23.78)</w:t>
      </w:r>
      <w:r w:rsidR="00E4510A" w:rsidRPr="007031A0">
        <w:rPr>
          <w:rFonts w:eastAsia="MS Mincho" w:cs="Times New Roman"/>
        </w:rPr>
        <w:t>, with positive effects of PC1 on richness (</w:t>
      </w:r>
      <w:r w:rsidR="00E4510A" w:rsidRPr="007031A0">
        <w:rPr>
          <w:rFonts w:cs="Times New Roman"/>
          <w:i/>
        </w:rPr>
        <w:t>β</w:t>
      </w:r>
      <w:r w:rsidR="00E4510A" w:rsidRPr="007031A0">
        <w:rPr>
          <w:rFonts w:cs="Times New Roman"/>
          <w:vertAlign w:val="subscript"/>
        </w:rPr>
        <w:t>1</w:t>
      </w:r>
      <w:r w:rsidR="00E4510A" w:rsidRPr="007031A0">
        <w:rPr>
          <w:rFonts w:eastAsia="MS Mincho" w:cs="Times New Roman"/>
        </w:rPr>
        <w:t xml:space="preserve"> = 69.02, </w:t>
      </w:r>
      <w:r w:rsidR="00E4510A" w:rsidRPr="007031A0">
        <w:rPr>
          <w:rFonts w:cs="Times New Roman"/>
          <w:i/>
        </w:rPr>
        <w:t>β</w:t>
      </w:r>
      <w:r w:rsidR="00E4510A" w:rsidRPr="007031A0">
        <w:rPr>
          <w:rFonts w:cs="Times New Roman"/>
          <w:vertAlign w:val="subscript"/>
        </w:rPr>
        <w:t>2</w:t>
      </w:r>
      <w:r w:rsidR="00E4510A" w:rsidRPr="007031A0">
        <w:rPr>
          <w:rFonts w:eastAsia="MS Mincho" w:cs="Times New Roman"/>
        </w:rPr>
        <w:t xml:space="preserve"> = 9.99; both </w:t>
      </w:r>
      <w:r w:rsidR="00E4510A" w:rsidRPr="007031A0">
        <w:rPr>
          <w:rFonts w:eastAsia="MS Mincho" w:cs="Times New Roman"/>
          <w:i/>
          <w:iCs/>
        </w:rPr>
        <w:t xml:space="preserve">P </w:t>
      </w:r>
      <w:r w:rsidR="00E4510A" w:rsidRPr="007031A0">
        <w:rPr>
          <w:rFonts w:eastAsia="MS Mincho" w:cs="Times New Roman"/>
        </w:rPr>
        <w:t>&lt; 0.001)</w:t>
      </w:r>
      <w:r w:rsidR="00880860" w:rsidRPr="007031A0">
        <w:rPr>
          <w:rFonts w:eastAsia="MS Mincho" w:cs="Times New Roman"/>
        </w:rPr>
        <w:t xml:space="preserve"> describing an upward</w:t>
      </w:r>
      <w:r w:rsidR="00D908FD" w:rsidRPr="007031A0">
        <w:rPr>
          <w:rFonts w:eastAsia="MS Mincho" w:cs="Times New Roman"/>
        </w:rPr>
        <w:t>-opening</w:t>
      </w:r>
      <w:r w:rsidR="00880860" w:rsidRPr="007031A0">
        <w:rPr>
          <w:rFonts w:eastAsia="MS Mincho" w:cs="Times New Roman"/>
        </w:rPr>
        <w:t xml:space="preserve"> parabolic relationship</w:t>
      </w:r>
      <w:r w:rsidR="00E4510A" w:rsidRPr="007031A0">
        <w:rPr>
          <w:rFonts w:eastAsia="MS Mincho" w:cs="Times New Roman"/>
        </w:rPr>
        <w:t>.</w:t>
      </w:r>
    </w:p>
    <w:p w:rsidR="006C54AE" w:rsidRDefault="00C31973">
      <w:pPr>
        <w:pStyle w:val="FirstParagraph"/>
      </w:pPr>
      <w:r>
        <w:lastRenderedPageBreak/>
        <w:t xml:space="preserve">We fit multiple regression models to describe the effects of the different heterogeneity </w:t>
      </w:r>
      <w:r w:rsidR="00B335D2">
        <w:t xml:space="preserve">variables </w:t>
      </w:r>
      <w:r>
        <w:t xml:space="preserve">on species richness in concert. </w:t>
      </w:r>
      <w:r w:rsidR="00E22B64">
        <w:t xml:space="preserve">The partial </w:t>
      </w:r>
      <w:r w:rsidR="00E22B64" w:rsidRPr="00866807">
        <w:t xml:space="preserve">effects of heterogeneity predictors retained in the optimal multiple regression models </w:t>
      </w:r>
      <w:r w:rsidR="00E22B64">
        <w:t xml:space="preserve">(Figure 5) </w:t>
      </w:r>
      <w:r w:rsidR="00E22B64" w:rsidRPr="00866807">
        <w:t xml:space="preserve">are </w:t>
      </w:r>
      <w:r w:rsidR="00E22B64">
        <w:t>usually</w:t>
      </w:r>
      <w:r w:rsidR="00E22B64" w:rsidRPr="00866807">
        <w:t xml:space="preserve"> positive or</w:t>
      </w:r>
      <w:r w:rsidR="00E22B64">
        <w:t xml:space="preserve"> neutral in the GCFR and positive or neutral in the SWAFR, with e</w:t>
      </w:r>
      <w:r w:rsidR="00B930DF" w:rsidRPr="00866807">
        <w:t>xception</w:t>
      </w:r>
      <w:r w:rsidR="00E22B64">
        <w:t>s being heterogeneity in</w:t>
      </w:r>
      <w:r w:rsidR="00924C2A">
        <w:t xml:space="preserve"> </w:t>
      </w:r>
      <w:r w:rsidR="00E22B64" w:rsidRPr="00E22B64">
        <w:t>elevation at the DS-scal</w:t>
      </w:r>
      <w:r w:rsidR="000065E8">
        <w:t>e,</w:t>
      </w:r>
      <w:r w:rsidR="000065E8" w:rsidRPr="000065E8">
        <w:t xml:space="preserve"> </w:t>
      </w:r>
      <w:r w:rsidR="000065E8" w:rsidRPr="00E22B64">
        <w:t>PDQ at QDS- and DS-scales</w:t>
      </w:r>
      <w:r w:rsidR="00E22B64" w:rsidRPr="00E22B64">
        <w:t xml:space="preserve">, </w:t>
      </w:r>
      <w:r w:rsidR="000065E8" w:rsidRPr="00E22B64">
        <w:t>CEC at the QDS- and DS-scales</w:t>
      </w:r>
      <w:r w:rsidR="000065E8">
        <w:t xml:space="preserve"> and </w:t>
      </w:r>
      <w:r w:rsidR="00B930DF" w:rsidRPr="00E22B64">
        <w:t>pH at all spatial scales</w:t>
      </w:r>
      <w:r w:rsidR="000065E8">
        <w:t>.</w:t>
      </w:r>
      <w:r w:rsidR="00350FE5" w:rsidRPr="00E22B64">
        <w:t xml:space="preserve"> </w:t>
      </w:r>
      <w:r w:rsidR="00866807" w:rsidRPr="00E22B64">
        <w:t xml:space="preserve">This </w:t>
      </w:r>
      <w:r w:rsidR="004A2BCB" w:rsidRPr="00E22B64">
        <w:t>adds nuance to</w:t>
      </w:r>
      <w:r w:rsidR="0064694B" w:rsidRPr="00E22B64">
        <w:t xml:space="preserve"> the</w:t>
      </w:r>
      <w:r w:rsidR="00350FE5" w:rsidRPr="00E22B64">
        <w:t xml:space="preserve"> generally </w:t>
      </w:r>
      <w:r w:rsidR="0090296A" w:rsidRPr="00E22B64">
        <w:t>positive</w:t>
      </w:r>
      <w:r w:rsidR="00350FE5">
        <w:t xml:space="preserve"> influence of heterogeneity on species richness</w:t>
      </w:r>
      <w:r w:rsidR="004A2BCB">
        <w:t xml:space="preserve"> displayed by the PC1-based ANCOVAs (Figure 4)</w:t>
      </w:r>
      <w:r w:rsidR="00F203C8">
        <w:t xml:space="preserve"> and in most forms of heterogeneity when compared in isolation (Table 1)</w:t>
      </w:r>
      <w:r w:rsidR="004E394A">
        <w:t xml:space="preserve">. </w:t>
      </w:r>
      <w:r w:rsidR="008C7E5A">
        <w:t>Interestingly, DS-scale heterogeneity in elevation and CEC have both negative univariate (Table 1c) and partial (Figure 5c) effects. H</w:t>
      </w:r>
      <w:r w:rsidR="00A12A8F" w:rsidRPr="00A12A8F">
        <w:t xml:space="preserve">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r w:rsidR="00574970">
        <w:t>a,b</w:t>
      </w:r>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w:t>
      </w:r>
      <w:r w:rsidR="00FC0F13">
        <w:t xml:space="preserve"> (Figure 5c)</w:t>
      </w:r>
      <w:r w:rsidR="00724853">
        <w:t xml:space="preserv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rsidR="00D06C06" w:rsidRPr="004C3A17"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AC3DE8">
        <w:t xml:space="preserve"> (Figure S5a,b;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S5c,d;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r w:rsidR="00B22E1D" w:rsidRPr="004C3A17">
        <w:t>A</w:t>
      </w:r>
      <w:r w:rsidR="00C502FE" w:rsidRPr="004C3A17">
        <w:t xml:space="preserve">t </w:t>
      </w:r>
      <w:r w:rsidR="00B22E1D" w:rsidRPr="004C3A17">
        <w:t xml:space="preserve">the broader </w:t>
      </w:r>
      <w:r w:rsidR="00C502FE" w:rsidRPr="004C3A17">
        <w:t>DS-scale</w:t>
      </w:r>
      <w:r w:rsidR="00B22E1D" w:rsidRPr="004C3A17">
        <w:t xml:space="preserve">, </w:t>
      </w:r>
      <w:r w:rsidR="00C502FE" w:rsidRPr="004C3A17">
        <w:t>the GCFR and SWAFR</w:t>
      </w:r>
      <w:r w:rsidR="00B22E1D" w:rsidRPr="004C3A17">
        <w:t xml:space="preserve"> do</w:t>
      </w:r>
      <w:r w:rsidR="00C502FE" w:rsidRPr="004C3A17">
        <w:t xml:space="preserve"> </w:t>
      </w:r>
      <w:r w:rsidR="00807EFC" w:rsidRPr="004C3A17">
        <w:t>not</w:t>
      </w:r>
      <w:r w:rsidR="00B22E1D" w:rsidRPr="004C3A17">
        <w:t xml:space="preserve"> </w:t>
      </w:r>
      <w:r w:rsidR="00807EFC" w:rsidRPr="004C3A17">
        <w:t>differ</w:t>
      </w:r>
      <w:r w:rsidR="00C502FE" w:rsidRPr="004C3A17">
        <w:t xml:space="preserve"> </w:t>
      </w:r>
      <w:r w:rsidR="00B22E1D" w:rsidRPr="004C3A17">
        <w:t xml:space="preserve">significantly in their </w:t>
      </w:r>
      <w:r w:rsidR="00C502FE" w:rsidRPr="004C3A17">
        <w:t>residual</w:t>
      </w:r>
      <w:r w:rsidR="00A70597" w:rsidRPr="004C3A17">
        <w:t xml:space="preserve"> standard deviations</w:t>
      </w:r>
      <w:r w:rsidR="00807EFC" w:rsidRPr="004C3A17">
        <w:t xml:space="preserve"> (following both the PC1-based ANCOVA and multiple regressions) (Table S3c). This </w:t>
      </w:r>
      <w:r w:rsidR="00DC180F" w:rsidRPr="004C3A17">
        <w:t xml:space="preserve">highlights </w:t>
      </w:r>
      <w:r w:rsidR="000E7F00" w:rsidRPr="004C3A17">
        <w:t xml:space="preserve">that </w:t>
      </w:r>
      <w:r w:rsidR="00DC180F" w:rsidRPr="004C3A17">
        <w:t>the commonal</w:t>
      </w:r>
      <w:r w:rsidR="00B85431" w:rsidRPr="004C3A17">
        <w:t>i</w:t>
      </w:r>
      <w:r w:rsidR="00DC180F" w:rsidRPr="004C3A17">
        <w:t xml:space="preserve">ty of the richness-heterogeneity relationship </w:t>
      </w:r>
      <w:r w:rsidR="000E7F00" w:rsidRPr="004C3A17">
        <w:t xml:space="preserve">is recovered </w:t>
      </w:r>
      <w:r w:rsidR="00E4420C" w:rsidRPr="004C3A17">
        <w:t xml:space="preserve">more accurately </w:t>
      </w:r>
      <w:r w:rsidR="00B22E1D" w:rsidRPr="004C3A17">
        <w:t xml:space="preserve">at broader spatial scales </w:t>
      </w:r>
      <w:r w:rsidR="000E7F00" w:rsidRPr="004C3A17">
        <w:t>after</w:t>
      </w:r>
      <w:r w:rsidR="00DC180F" w:rsidRPr="004C3A17">
        <w:t xml:space="preserve"> the omission of </w:t>
      </w:r>
      <w:r w:rsidR="00A70597" w:rsidRPr="004C3A17">
        <w:t>hotspots</w:t>
      </w:r>
      <w:r w:rsidR="00DC180F" w:rsidRPr="004C3A17">
        <w:t>.</w:t>
      </w:r>
    </w:p>
    <w:p w:rsidR="00F8593E" w:rsidRDefault="00DD7307">
      <w:pPr>
        <w:pStyle w:val="Heading1"/>
        <w:spacing w:line="240" w:lineRule="auto"/>
      </w:pPr>
      <w:r>
        <w:t>4</w:t>
      </w:r>
      <w:r w:rsidR="00765FAE">
        <w:t>:</w:t>
      </w:r>
      <w:r>
        <w:t xml:space="preserve"> </w:t>
      </w:r>
      <w:r w:rsidR="00F8593E" w:rsidRPr="00891FE6">
        <w:t>Discussion</w:t>
      </w:r>
    </w:p>
    <w:p w:rsidR="001E1442" w:rsidRDefault="006A4B08" w:rsidP="002C20EB">
      <w:pPr>
        <w:pStyle w:val="BodyText"/>
        <w:tabs>
          <w:tab w:val="left" w:pos="6189"/>
        </w:tabs>
      </w:pPr>
      <w:bookmarkStart w:id="7" w:name="tables"/>
      <w:r>
        <w:t>Consistent with a recent meta-analysis identifying environmental heterogeneity as a universal driver of species richness</w:t>
      </w:r>
      <w:r w:rsidR="00DD5CB7">
        <w:t xml:space="preserve"> </w:t>
      </w:r>
      <w:r w:rsidR="00404D92" w:rsidRPr="00404D92">
        <w:rPr>
          <w:noProof/>
        </w:rPr>
        <w:t>(Stein et al., 2014)</w:t>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w:t>
      </w:r>
      <w:r w:rsidR="009A1738">
        <w:t xml:space="preserve"> As </w:t>
      </w:r>
      <w:r w:rsidR="006435FF">
        <w:t xml:space="preser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404D92" w:rsidRPr="00404D92">
        <w:rPr>
          <w:noProof/>
        </w:rPr>
        <w:t>(Allouche et al., 2012; Carnicer et al., 2013)</w:t>
      </w:r>
      <w:r w:rsidR="000217F9">
        <w:t xml:space="preserve">, at least at the scales </w:t>
      </w:r>
      <w:r w:rsidR="000217F9">
        <w:lastRenderedPageBreak/>
        <w:t>considered here</w:t>
      </w:r>
      <w:r w:rsidR="001155C0">
        <w:t>.</w:t>
      </w:r>
      <w:r w:rsidR="00004BFE">
        <w:t xml:space="preserve"> </w:t>
      </w:r>
      <w:r w:rsidR="001155C0">
        <w:t>A quadratic relationship between richness and heterogeneity was only favoured at the QDS-scale, and even then not representing a unimodal effect but a</w:t>
      </w:r>
      <w:r w:rsidR="00945C48">
        <w:t xml:space="preserve">n upward-opening </w:t>
      </w:r>
      <w:r w:rsidR="001155C0">
        <w:t xml:space="preserve">parabola. </w:t>
      </w:r>
      <w:r w:rsidR="002376C5">
        <w:t xml:space="preserve">Additionally, and </w:t>
      </w:r>
      <w:r w:rsidR="00670FB5">
        <w:t xml:space="preserve">also </w:t>
      </w:r>
      <w:r w:rsidR="00D13C71">
        <w:t xml:space="preserve">consistent with </w:t>
      </w:r>
      <w:r w:rsidR="00F703AD" w:rsidRPr="00F703AD">
        <w:rPr>
          <w:noProof/>
        </w:rPr>
        <w:t>(Stein et al., 2014)</w:t>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404D92" w:rsidRPr="00404D92">
        <w:rPr>
          <w:noProof/>
        </w:rPr>
        <w:t>(Wüest et al., 2019)</w:t>
      </w:r>
      <w:r w:rsidR="001F0A16">
        <w:t xml:space="preserve">, </w:t>
      </w:r>
      <w:r w:rsidR="00485517">
        <w:t xml:space="preserve">and so facilitate stronger heterogeneity-species richness relationships </w:t>
      </w:r>
      <w:r w:rsidR="0090330E" w:rsidRPr="0090330E">
        <w:rPr>
          <w:noProof/>
        </w:rPr>
        <w:t>(</w:t>
      </w:r>
      <w:r w:rsidR="00E4577F">
        <w:rPr>
          <w:noProof/>
        </w:rPr>
        <w:t>V</w:t>
      </w:r>
      <w:r w:rsidR="0090330E" w:rsidRPr="0090330E">
        <w:rPr>
          <w:noProof/>
        </w:rPr>
        <w:t>an Rensburg, Chown, &amp; Gaston, 2002)</w:t>
      </w:r>
      <w:r w:rsidR="000A7820">
        <w:t>.</w:t>
      </w:r>
      <w:r w:rsidR="00670FB5">
        <w:t xml:space="preserve"> </w:t>
      </w:r>
      <w:r w:rsidR="000A7820">
        <w:t>I</w:t>
      </w:r>
      <w:r w:rsidR="00B24543">
        <w:t>n speciation hotspot</w:t>
      </w:r>
      <w:r w:rsidR="00D839BD">
        <w:t>s</w:t>
      </w:r>
      <w:r w:rsidR="00B24543">
        <w:t xml:space="preserve"> </w:t>
      </w:r>
      <w:r w:rsidR="00C67B82">
        <w:t xml:space="preserve">(see below) </w:t>
      </w:r>
      <w:r w:rsidR="00B24543">
        <w:t xml:space="preserve">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rsidRPr="00F703AD">
        <w:rPr>
          <w:noProof/>
        </w:rPr>
        <w:t>(Stein et al., 2014)</w:t>
      </w:r>
      <w:r w:rsidR="00C67B82">
        <w:t>.</w:t>
      </w:r>
      <w:r w:rsidR="00D839BD">
        <w:t xml:space="preserve"> </w:t>
      </w:r>
      <w:r w:rsidR="00F41DB5">
        <w:t>S</w:t>
      </w:r>
      <w:r w:rsidR="00D839BD">
        <w:t>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 xml:space="preserve">a </w:t>
      </w:r>
      <w:r w:rsidR="00A5068F">
        <w:t xml:space="preserve">relatively </w:t>
      </w:r>
      <w:r w:rsidR="00B53C15">
        <w:t>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rsidRPr="00DB4E25">
        <w:rPr>
          <w:noProof/>
        </w:rPr>
        <w:t xml:space="preserve">Cowling et al. </w:t>
      </w:r>
      <w:r w:rsidR="00DB4E25">
        <w:rPr>
          <w:noProof/>
        </w:rPr>
        <w:t>(</w:t>
      </w:r>
      <w:r w:rsidR="00DB4E25" w:rsidRPr="00DB4E25">
        <w:rPr>
          <w:noProof/>
        </w:rPr>
        <w:t>2015)</w:t>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r w:rsidR="00404D92" w:rsidRPr="00404D92">
        <w:rPr>
          <w:noProof/>
        </w:rPr>
        <w:t>(Cramer et al., 2014; Hart et al., 2017)</w:t>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 xml:space="preserve">in the Cape. This interpretation is consistent with </w:t>
      </w:r>
      <w:r w:rsidR="00496FD1">
        <w:t xml:space="preserve">existing </w:t>
      </w:r>
      <w:r w:rsidR="0072106C">
        <w:t>evidence for a much high</w:t>
      </w:r>
      <w:r w:rsidR="0058677B">
        <w:t>er</w:t>
      </w:r>
      <w:r w:rsidR="0072106C">
        <w:t xml:space="preserve"> frequency of single-site endemic taxa in the Cape than in the Australian flora</w:t>
      </w:r>
      <w:r w:rsidR="002D7223">
        <w:t xml:space="preserve"> </w:t>
      </w:r>
      <w:r w:rsidR="002D7223" w:rsidRPr="002D7223">
        <w:rPr>
          <w:noProof/>
        </w:rPr>
        <w:t>(Linder, 2019)</w:t>
      </w:r>
      <w:r w:rsidR="00F65234">
        <w:t xml:space="preserve"> and evidence of such</w:t>
      </w:r>
      <w:r w:rsidR="00704131">
        <w:t xml:space="preserve"> </w:t>
      </w:r>
      <w:r w:rsidR="00F65234">
        <w:t xml:space="preserve">in our </w:t>
      </w:r>
      <w:r w:rsidR="00704131">
        <w:t xml:space="preserve">species occurrence dataset (Figure </w:t>
      </w:r>
      <w:r w:rsidR="00F06726">
        <w:t>S11</w:t>
      </w:r>
      <w:r w:rsidR="00704131">
        <w:t>).</w:t>
      </w:r>
    </w:p>
    <w:p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rsidRPr="00067982">
        <w:rPr>
          <w:noProof/>
        </w:rPr>
        <w:t xml:space="preserve">Cramer, Wootton, van Mazijk, &amp; Verboom </w:t>
      </w:r>
      <w:r w:rsidR="00067982">
        <w:rPr>
          <w:noProof/>
        </w:rPr>
        <w:t>(</w:t>
      </w:r>
      <w:r w:rsidR="00067982" w:rsidRPr="00067982">
        <w:rPr>
          <w:noProof/>
        </w:rPr>
        <w:t>2019)</w:t>
      </w:r>
      <w:r w:rsidR="00FD7934">
        <w:t>, for example, recently highlighted the superiority of locally</w:t>
      </w:r>
      <w:r w:rsidR="00510B55">
        <w:t xml:space="preserve"> </w:t>
      </w:r>
      <w:r w:rsidR="00FD7934">
        <w:t>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w:t>
      </w:r>
      <w:r w:rsidR="000D2647">
        <w:t xml:space="preserve"> </w:t>
      </w:r>
      <w:r w:rsidR="00BD7A0C">
        <w:t xml:space="preserve">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rsidRPr="00B1381E">
        <w:rPr>
          <w:noProof/>
        </w:rPr>
        <w:t>(Figueiredo et al., 2018)</w:t>
      </w:r>
      <w:r w:rsidR="00F06213">
        <w:t xml:space="preserve">. </w:t>
      </w:r>
      <w:r w:rsidR="00E806A3">
        <w:t>Similarly</w:t>
      </w:r>
      <w:r w:rsidR="003362FE">
        <w:t>, the association of many point</w:t>
      </w:r>
      <w:r w:rsidR="00A179C9">
        <w:t>-</w:t>
      </w:r>
      <w:r w:rsidR="00BC31F1">
        <w:t xml:space="preserve">endemics in the GCFR </w:t>
      </w:r>
      <w:r w:rsidR="003362FE">
        <w:t xml:space="preserve">with </w:t>
      </w:r>
      <w:proofErr w:type="gramStart"/>
      <w:r w:rsidR="008B5685">
        <w:t>highly-</w:t>
      </w:r>
      <w:r w:rsidR="00E806A3">
        <w:t>localized</w:t>
      </w:r>
      <w:proofErr w:type="gramEnd"/>
      <w:r w:rsidR="00E806A3">
        <w:t xml:space="preserve">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rsidRPr="00B1381E">
        <w:rPr>
          <w:noProof/>
        </w:rPr>
        <w:t>(Born &amp; Linder, 2018)</w:t>
      </w:r>
      <w:r w:rsidR="00164E10">
        <w:t>.</w:t>
      </w:r>
      <w:r w:rsidR="00996D75">
        <w:t xml:space="preserve"> The same may </w:t>
      </w:r>
      <w:r w:rsidR="00B31A36">
        <w:t xml:space="preserve">well </w:t>
      </w:r>
      <w:r w:rsidR="00996D75">
        <w:t>be true for the SWAFR flora where phylogenetically</w:t>
      </w:r>
      <w:r w:rsidR="00B62133">
        <w:t>-</w:t>
      </w:r>
      <w:r w:rsidR="00996D75">
        <w:t>relictual species typically inhabit waterlogged situations</w:t>
      </w:r>
      <w:r w:rsidR="00E74506">
        <w:t xml:space="preserve"> </w:t>
      </w:r>
      <w:r w:rsidR="00E74506" w:rsidRPr="00E74506">
        <w:rPr>
          <w:noProof/>
        </w:rPr>
        <w:t>(Hopper &amp; Gioia, 2004)</w:t>
      </w:r>
      <w:r w:rsidR="00996D75">
        <w:t>.</w:t>
      </w:r>
    </w:p>
    <w:p w:rsidR="00CF6AF3" w:rsidRDefault="00DE487A" w:rsidP="00E3070E">
      <w:pPr>
        <w:pStyle w:val="BodyText"/>
        <w:tabs>
          <w:tab w:val="left" w:pos="6189"/>
        </w:tabs>
      </w:pPr>
      <w:r w:rsidRPr="005F374B">
        <w:lastRenderedPageBreak/>
        <w:t>A second</w:t>
      </w:r>
      <w:r w:rsidR="00164E10" w:rsidRPr="005F374B">
        <w:t xml:space="preserve"> </w:t>
      </w:r>
      <w:r w:rsidR="00B718C1" w:rsidRPr="005F374B">
        <w:t xml:space="preserve">factor </w:t>
      </w:r>
      <w:r w:rsidR="005F374B" w:rsidRPr="005F374B">
        <w:t>affecting</w:t>
      </w:r>
      <w:r w:rsidR="00B718C1" w:rsidRPr="005F374B">
        <w:t xml:space="preserve"> the </w:t>
      </w:r>
      <w:r w:rsidR="00A646E1" w:rsidRPr="005F374B">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3103A8" w:rsidRPr="003103A8">
        <w:rPr>
          <w:noProof/>
        </w:rPr>
        <w:t>(Currie, 1991; Hawkins et al., 2003; Kreft &amp; Jetz, 2007)</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rsidRPr="008E7D51">
        <w:rPr>
          <w:noProof/>
        </w:rPr>
        <w:t xml:space="preserve">Cowling, Bradshaw, Colville, &amp; Forest </w:t>
      </w:r>
      <w:r w:rsidR="008E7D51">
        <w:rPr>
          <w:noProof/>
        </w:rPr>
        <w:t>(</w:t>
      </w:r>
      <w:r w:rsidR="008E7D51" w:rsidRPr="008E7D51">
        <w:rPr>
          <w:noProof/>
        </w:rPr>
        <w:t>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p>
    <w:p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cs="Times New Roman"/>
          <w:noProof/>
          <w:lang w:val="en-GB"/>
        </w:rPr>
        <w:t xml:space="preserve">sample- </w:t>
      </w:r>
      <w:r w:rsidR="006C2C54" w:rsidRPr="006C2C54">
        <w:rPr>
          <w:rFonts w:cs="Times New Roman"/>
          <w:noProof/>
          <w:lang w:val="en-GB"/>
        </w:rPr>
        <w:t>(Gotelli &amp; Colwell, 2001)</w:t>
      </w:r>
      <w:r w:rsidR="00375621" w:rsidRPr="003C5ACF">
        <w:rPr>
          <w:rFonts w:cs="Times New Roman"/>
          <w:noProof/>
          <w:lang w:val="en-GB"/>
        </w:rPr>
        <w:t xml:space="preserve"> or coverage-based rarefaction techniques </w:t>
      </w:r>
      <w:r w:rsidR="008A6247" w:rsidRPr="008A6247">
        <w:rPr>
          <w:rFonts w:cs="Times New Roman"/>
          <w:noProof/>
          <w:lang w:val="en-GB"/>
        </w:rPr>
        <w:t>(Chao &amp; Jost, 2012)</w:t>
      </w:r>
      <w:r w:rsidR="00375621" w:rsidRPr="003C5ACF">
        <w:rPr>
          <w:rFonts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rsidRPr="00077059">
        <w:rPr>
          <w:noProof/>
        </w:rPr>
        <w:t>(Engemann et al., 2015)</w:t>
      </w:r>
      <w:r w:rsidR="00E823D6">
        <w:t xml:space="preserve">, </w:t>
      </w:r>
      <w:r w:rsidR="00B053CB">
        <w:t xml:space="preserve">the application of these approaches to </w:t>
      </w:r>
      <w:proofErr w:type="gramStart"/>
      <w:r w:rsidR="00B053CB">
        <w:t>systematically-biased</w:t>
      </w:r>
      <w:proofErr w:type="gramEnd"/>
      <w:r w:rsidR="00B053CB">
        <w:t xml:space="preserve"> collection data is </w:t>
      </w:r>
      <w:r w:rsidR="0092446E">
        <w:t xml:space="preserve">potentially </w:t>
      </w:r>
      <w:r w:rsidR="00B053CB">
        <w:t>problematic</w:t>
      </w:r>
      <w:r w:rsidR="00375621">
        <w:t xml:space="preserve">. </w:t>
      </w:r>
      <w:r w:rsidR="00375621" w:rsidRPr="003C5ACF">
        <w:rPr>
          <w:rFonts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cs="Times New Roman"/>
          <w:noProof/>
          <w:lang w:val="en-GB"/>
        </w:rPr>
        <w:t xml:space="preserve">. </w:t>
      </w:r>
      <w:r w:rsidR="002E5FF3">
        <w:rPr>
          <w:rFonts w:cs="Times New Roman"/>
          <w:noProof/>
          <w:lang w:val="en-GB"/>
        </w:rPr>
        <w:t>Moreover, rarefaction-methods</w:t>
      </w:r>
      <w:r w:rsidR="001F13D1">
        <w:rPr>
          <w:rFonts w:cs="Times New Roman"/>
          <w:noProof/>
          <w:lang w:val="en-GB"/>
        </w:rPr>
        <w:t xml:space="preserve">, while able to account for spatially non-uniform sampling effort, are not ideal for non-uniformities in sampling that arise from targetted collection efforts (e.g. </w:t>
      </w:r>
      <w:r w:rsidR="0019553F">
        <w:rPr>
          <w:rFonts w:cs="Times New Roman"/>
          <w:noProof/>
          <w:lang w:val="en-GB"/>
        </w:rPr>
        <w:t>collection trips targetting a specific taxon and disregarding others in a given locality</w:t>
      </w:r>
      <w:r w:rsidR="001F13D1">
        <w:rPr>
          <w:rFonts w:cs="Times New Roman"/>
          <w:noProof/>
          <w:lang w:val="en-GB"/>
        </w:rPr>
        <w:t xml:space="preserve">). </w:t>
      </w:r>
      <w:r w:rsidR="00375621">
        <w:rPr>
          <w:rFonts w:cs="Times New Roman"/>
          <w:noProof/>
          <w:lang w:val="en-GB"/>
        </w:rPr>
        <w:t>W</w:t>
      </w:r>
      <w:proofErr w:type="spellStart"/>
      <w:r w:rsidR="00E823D6">
        <w:t>e</w:t>
      </w:r>
      <w:proofErr w:type="spellEnd"/>
      <w:r w:rsidR="00E823D6">
        <w:t xml:space="preserve"> have desisted from </w:t>
      </w:r>
      <w:r w:rsidR="00375621">
        <w:t xml:space="preserve">applying these techniques </w:t>
      </w:r>
      <w:r w:rsidR="00510916" w:rsidRPr="00510916">
        <w:rPr>
          <w:noProof/>
        </w:rPr>
        <w:t>(</w:t>
      </w:r>
      <w:r w:rsidR="00510916">
        <w:rPr>
          <w:noProof/>
        </w:rPr>
        <w:t xml:space="preserve">as in </w:t>
      </w:r>
      <w:r w:rsidR="00510916" w:rsidRPr="00510916">
        <w:rPr>
          <w:noProof/>
        </w:rPr>
        <w:t>Gioia &amp; Hopper, 2017)</w:t>
      </w:r>
      <w:r w:rsidR="006F5DE4">
        <w:t xml:space="preserve">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rsidRPr="002066AB">
        <w:rPr>
          <w:noProof/>
        </w:rPr>
        <w:t>(Cramer &amp; Verboom, 2016)</w:t>
      </w:r>
      <w:r w:rsidR="002D35E5">
        <w:t>.</w:t>
      </w:r>
      <w:r w:rsidR="00375621">
        <w:t xml:space="preserve"> </w:t>
      </w:r>
      <w:r w:rsidR="002F32A1">
        <w:rPr>
          <w:rFonts w:cs="Times New Roman"/>
          <w:lang w:val="en-GB"/>
        </w:rPr>
        <w:t xml:space="preserve">Use of rarefaction may artificially inflate species richness </w:t>
      </w:r>
      <w:r w:rsidR="005E501D">
        <w:rPr>
          <w:rFonts w:cs="Times New Roman"/>
          <w:lang w:val="en-GB"/>
        </w:rPr>
        <w:t xml:space="preserve">(relative to areas of greater richness) </w:t>
      </w:r>
      <w:r w:rsidR="002F32A1">
        <w:rPr>
          <w:rFonts w:cs="Times New Roman"/>
          <w:lang w:val="en-GB"/>
        </w:rPr>
        <w:t xml:space="preserve">in areas of low collection, where collections are low not because of </w:t>
      </w:r>
      <w:r w:rsidR="001576DD">
        <w:rPr>
          <w:rFonts w:cs="Times New Roman"/>
          <w:lang w:val="en-GB"/>
        </w:rPr>
        <w:t>inaccessibility</w:t>
      </w:r>
      <w:r w:rsidR="002F32A1">
        <w:rPr>
          <w:rFonts w:cs="Times New Roman"/>
          <w:lang w:val="en-GB"/>
        </w:rPr>
        <w:t xml:space="preserve">, but because species richness is low. </w:t>
      </w:r>
      <w:r w:rsidR="00375621">
        <w:t xml:space="preserve">Indeed, </w:t>
      </w:r>
      <w:r w:rsidR="008E1634" w:rsidRPr="008E1634">
        <w:rPr>
          <w:noProof/>
        </w:rPr>
        <w:t xml:space="preserve">Cramer &amp; Verboom </w:t>
      </w:r>
      <w:r w:rsidR="008E1634">
        <w:rPr>
          <w:noProof/>
        </w:rPr>
        <w:t>(</w:t>
      </w:r>
      <w:r w:rsidR="008E1634" w:rsidRPr="008E1634">
        <w:rPr>
          <w:noProof/>
        </w:rPr>
        <w:t>2016)</w:t>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cs="Times New Roman"/>
          <w:lang w:val="en-GB"/>
        </w:rPr>
        <w:t>Protea Atlas</w:t>
      </w:r>
      <w:r w:rsidR="00375621">
        <w:rPr>
          <w:rFonts w:cs="Times New Roman"/>
          <w:lang w:val="en-GB"/>
        </w:rPr>
        <w:t>;</w:t>
      </w:r>
      <w:r w:rsidR="00A76010">
        <w:rPr>
          <w:rFonts w:cs="Times New Roman"/>
          <w:lang w:val="en-GB"/>
        </w:rPr>
        <w:t xml:space="preserve"> </w:t>
      </w:r>
      <w:r w:rsidR="00A76010" w:rsidRPr="00A76010">
        <w:rPr>
          <w:rFonts w:cs="Times New Roman"/>
          <w:noProof/>
          <w:lang w:val="en-GB"/>
        </w:rPr>
        <w:t>Rebelo, 2001)</w:t>
      </w:r>
      <w:r w:rsidR="002F32A1">
        <w:rPr>
          <w:rFonts w:cs="Times New Roman"/>
          <w:lang w:val="en-GB"/>
        </w:rPr>
        <w:t xml:space="preserve"> with low collecting bias </w:t>
      </w:r>
      <w:r w:rsidR="00404D92" w:rsidRPr="00404D92">
        <w:rPr>
          <w:rFonts w:cs="Times New Roman"/>
          <w:noProof/>
          <w:lang w:val="en-GB"/>
        </w:rPr>
        <w:t>(Merow et al., 2013)</w:t>
      </w:r>
      <w:r w:rsidR="002F32A1">
        <w:rPr>
          <w:rFonts w:cs="Times New Roman"/>
          <w:lang w:val="en-GB"/>
        </w:rPr>
        <w:t xml:space="preserve">. </w:t>
      </w:r>
    </w:p>
    <w:p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61742F" w:rsidRPr="0061742F">
        <w:rPr>
          <w:noProof/>
        </w:rPr>
        <w:t>(</w:t>
      </w:r>
      <w:r w:rsidR="00A26F68">
        <w:rPr>
          <w:noProof/>
        </w:rPr>
        <w:t xml:space="preserve">cf. </w:t>
      </w:r>
      <w:r w:rsidR="0061742F" w:rsidRPr="0061742F">
        <w:rPr>
          <w:noProof/>
        </w:rPr>
        <w:t>Gioia &amp; Hopper, 2017; Oliver, Linder, &amp; Rourke, 1983)</w:t>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33486D" w:rsidRPr="0033486D">
        <w:rPr>
          <w:noProof/>
        </w:rPr>
        <w:t>Goldblatt, 1978)</w:t>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8E7D51" w:rsidRPr="008E7D51">
        <w:rPr>
          <w:noProof/>
        </w:rPr>
        <w:t>(Cowling &amp; Lombard, 2002; Cowling et al., 2017)</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B32A88">
        <w:t>Though spatially autocorrelated, at</w:t>
      </w:r>
      <w:r w:rsidR="002E03CA">
        <w:t xml:space="preserve">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 xml:space="preserve">southwestern </w:t>
      </w:r>
      <w:r w:rsidR="00865292">
        <w:lastRenderedPageBreak/>
        <w:t>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rsidRPr="00F10AF1">
        <w:rPr>
          <w:noProof/>
        </w:rPr>
        <w:t>(Linder, 2019; Wüest et al., 2019)</w:t>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rsidRPr="004022C1">
        <w:rPr>
          <w:noProof/>
        </w:rPr>
        <w:t>(Meadows, Chase, &amp; Seliane, 2010; Meadows &amp; Sugden, 1991, 1993)</w:t>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 xml:space="preserve">show evidence of </w:t>
      </w:r>
      <w:proofErr w:type="gramStart"/>
      <w:r w:rsidR="00865292">
        <w:t>climatically-forced</w:t>
      </w:r>
      <w:proofErr w:type="gramEnd"/>
      <w:r w:rsidR="00865292">
        <w:t xml:space="preserve"> range contraction</w:t>
      </w:r>
      <w:r w:rsidR="00AA210A">
        <w:t xml:space="preserve"> in the Pleistocene</w:t>
      </w:r>
      <w:r w:rsidR="0084063D">
        <w:t xml:space="preserve"> </w:t>
      </w:r>
      <w:r w:rsidR="00D536CD" w:rsidRPr="00D536CD">
        <w:rPr>
          <w:noProof/>
        </w:rPr>
        <w:t>(Byrne, 2008; Byrne &amp; Hines, 2004)</w:t>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Porungurup ranges </w:t>
      </w:r>
      <w:r w:rsidR="002513DB" w:rsidRPr="002513DB">
        <w:rPr>
          <w:noProof/>
        </w:rPr>
        <w:t>(Keppel et al., 2017)</w:t>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w:t>
      </w:r>
      <w:r w:rsidR="00A44F62">
        <w:t>identify</w:t>
      </w:r>
      <w:r w:rsidR="0005522C">
        <w:t xml:space="preserve"> one </w:t>
      </w:r>
      <w:r w:rsidR="00AA210A">
        <w:t>refugium in the vicinity of Perth and a second in the vicinity of Fitzgerald River.</w:t>
      </w:r>
    </w:p>
    <w:p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rsidRPr="003E2E7B">
        <w:rPr>
          <w:noProof/>
        </w:rPr>
        <w:t>(McLaughlin et al., 2017)</w:t>
      </w:r>
      <w:r w:rsidR="00024506">
        <w:t>, the</w:t>
      </w:r>
      <w:r w:rsidR="00F6046E">
        <w:t xml:space="preserve"> acc</w:t>
      </w:r>
      <w:r w:rsidR="00024506">
        <w:t xml:space="preserve">urate identification and effective protection </w:t>
      </w:r>
      <w:r w:rsidR="00F6046E">
        <w:t xml:space="preserve">of climatically- and/or </w:t>
      </w:r>
      <w:proofErr w:type="gramStart"/>
      <w:r w:rsidR="00F6046E">
        <w:t>hydrologically-stable</w:t>
      </w:r>
      <w:proofErr w:type="gramEnd"/>
      <w:r w:rsidR="00F6046E">
        <w:t xml:space="preserv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rsidRPr="007722C9">
        <w:rPr>
          <w:noProof/>
        </w:rPr>
        <w:t>(Cowling &amp; Lombard, 2002; Cowling et al., 2017; Verboom et al., 2014)</w:t>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rsidRPr="00B152CB">
        <w:rPr>
          <w:noProof/>
        </w:rPr>
        <w:t>(Linder, 2019)</w:t>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404D92" w:rsidRPr="00404D92">
        <w:rPr>
          <w:noProof/>
        </w:rPr>
        <w:t>(Slingsby et al., 2018)</w:t>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rsidRPr="00FF088B">
        <w:rPr>
          <w:noProof/>
        </w:rPr>
        <w:t>(Barron et al., 2014; Froend &amp; Sommer, 2010)</w:t>
      </w:r>
      <w:r w:rsidR="00D51B17">
        <w:t>.</w:t>
      </w:r>
    </w:p>
    <w:p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sidRPr="0064618C">
        <w:rPr>
          <w:noProof/>
          <w:sz w:val="24"/>
          <w:szCs w:val="24"/>
        </w:rPr>
        <w:t>(Kreft &amp; Jetz, 2007)</w:t>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sidRPr="00C1730E">
        <w:rPr>
          <w:noProof/>
          <w:sz w:val="24"/>
          <w:szCs w:val="24"/>
        </w:rPr>
        <w:t>(Cowling et al., 2015)</w:t>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w:t>
      </w:r>
      <w:r w:rsidR="00085A83">
        <w:rPr>
          <w:sz w:val="24"/>
          <w:szCs w:val="24"/>
        </w:rPr>
        <w:t xml:space="preserve"> </w:t>
      </w:r>
      <w:r w:rsidR="001A0AB2">
        <w:rPr>
          <w:sz w:val="24"/>
          <w:szCs w:val="24"/>
        </w:rPr>
        <w:t>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of these two mediterranean floras</w:t>
      </w:r>
      <w:r w:rsidR="00317DAF" w:rsidRPr="00E97920">
        <w:rPr>
          <w:sz w:val="24"/>
        </w:rPr>
        <w:t>.</w:t>
      </w:r>
    </w:p>
    <w:p w:rsidR="004B3DF5" w:rsidRPr="008D3C44" w:rsidRDefault="004B3DF5" w:rsidP="007A506C">
      <w:pPr>
        <w:pStyle w:val="CommentText"/>
        <w:spacing w:before="180" w:after="180"/>
        <w:rPr>
          <w:sz w:val="24"/>
        </w:rPr>
      </w:pPr>
      <w:r>
        <w:br w:type="page"/>
      </w:r>
    </w:p>
    <w:p w:rsidR="00DD7CD4" w:rsidRDefault="00D04776">
      <w:pPr>
        <w:pStyle w:val="Heading1"/>
      </w:pPr>
      <w:r w:rsidRPr="008A4E97">
        <w:lastRenderedPageBreak/>
        <w:t>Tables</w:t>
      </w:r>
      <w:bookmarkEnd w:id="7"/>
    </w:p>
    <w:p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w:t>
      </w:r>
      <w:r w:rsidRPr="006C148E">
        <w:rPr>
          <w:b/>
          <w:bCs/>
        </w:rPr>
        <w:t>(a)</w:t>
      </w:r>
      <w:r w:rsidRPr="00FE718A">
        <w:t xml:space="preserve"> </w:t>
      </w:r>
      <w:r w:rsidR="00FE718A">
        <w:t>Q</w:t>
      </w:r>
      <w:r w:rsidRPr="00FE718A">
        <w:t>DS-</w:t>
      </w:r>
      <w:r w:rsidR="00FE718A">
        <w:t xml:space="preserve">, </w:t>
      </w:r>
      <w:r w:rsidRPr="006C148E">
        <w:rPr>
          <w:b/>
          <w:bCs/>
        </w:rPr>
        <w:t>(b)</w:t>
      </w:r>
      <w:r w:rsidRPr="00FE718A">
        <w:t xml:space="preserve"> </w:t>
      </w:r>
      <w:r w:rsidR="00FE718A">
        <w:t>H</w:t>
      </w:r>
      <w:r w:rsidRPr="00FE718A">
        <w:t>DS-</w:t>
      </w:r>
      <w:r w:rsidR="00FE718A">
        <w:t xml:space="preserve"> and </w:t>
      </w:r>
      <w:r w:rsidR="00FE718A" w:rsidRPr="006C148E">
        <w:rPr>
          <w:b/>
          <w:bCs/>
        </w:rPr>
        <w:t>(c)</w:t>
      </w:r>
      <w:r w:rsidR="00FE718A">
        <w:t xml:space="preserve"> DS-</w:t>
      </w:r>
      <w:r w:rsidRPr="00FE718A">
        <w:t>scale</w:t>
      </w:r>
      <w:r w:rsidR="00FE718A">
        <w:t>s</w:t>
      </w:r>
      <w:r w:rsidRPr="00FE718A">
        <w:t>.</w:t>
      </w:r>
      <w:r w:rsidR="001B3692">
        <w:t xml:space="preserve"> The SWAFR interaction terms describe the difference in slope between the GCFR and SWAFR lines for that model.</w:t>
      </w:r>
    </w:p>
    <w:tbl>
      <w:tblPr>
        <w:tblW w:w="10584" w:type="dxa"/>
        <w:tblBorders>
          <w:top w:val="single" w:sz="4" w:space="0" w:color="auto"/>
          <w:bottom w:val="single" w:sz="4"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344A47" w:rsidRPr="007031A0" w:rsidTr="007031A0">
        <w:tc>
          <w:tcPr>
            <w:tcW w:w="1276" w:type="dxa"/>
            <w:tcBorders>
              <w:top w:val="single" w:sz="4" w:space="0" w:color="auto"/>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Response</w:t>
            </w:r>
          </w:p>
        </w:tc>
        <w:tc>
          <w:tcPr>
            <w:tcW w:w="2268" w:type="dxa"/>
            <w:tcBorders>
              <w:top w:val="single" w:sz="4" w:space="0" w:color="auto"/>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Model type</w:t>
            </w:r>
          </w:p>
        </w:tc>
        <w:tc>
          <w:tcPr>
            <w:tcW w:w="1228" w:type="dxa"/>
            <w:tcBorders>
              <w:top w:val="single" w:sz="4" w:space="0" w:color="auto"/>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shd w:val="clear" w:color="auto" w:fill="auto"/>
          </w:tcPr>
          <w:p w:rsidR="004C6C44" w:rsidRPr="007031A0" w:rsidRDefault="004C6C44" w:rsidP="007031A0">
            <w:pPr>
              <w:pStyle w:val="PlainText"/>
              <w:jc w:val="center"/>
              <w:rPr>
                <w:rFonts w:ascii="Times New Roman" w:hAnsi="Times New Roman" w:cs="Times New Roman"/>
                <w:sz w:val="24"/>
                <w:szCs w:val="24"/>
              </w:rPr>
            </w:pPr>
            <w:r w:rsidRPr="007031A0">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shd w:val="clear" w:color="auto" w:fill="auto"/>
          </w:tcPr>
          <w:p w:rsidR="004C6C44" w:rsidRPr="007031A0" w:rsidRDefault="004C6C44" w:rsidP="007031A0">
            <w:pPr>
              <w:pStyle w:val="PlainText"/>
              <w:jc w:val="center"/>
              <w:rPr>
                <w:rFonts w:ascii="Times New Roman" w:hAnsi="Times New Roman" w:cs="Times New Roman"/>
                <w:sz w:val="24"/>
                <w:szCs w:val="24"/>
              </w:rPr>
            </w:pPr>
            <w:r w:rsidRPr="007031A0">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shd w:val="clear" w:color="auto" w:fill="auto"/>
          </w:tcPr>
          <w:p w:rsidR="004C6C44" w:rsidRPr="007031A0" w:rsidRDefault="004C6C44" w:rsidP="007031A0">
            <w:pPr>
              <w:pStyle w:val="PlainText"/>
              <w:ind w:right="-115"/>
              <w:jc w:val="center"/>
              <w:rPr>
                <w:rFonts w:ascii="Times New Roman" w:hAnsi="Times New Roman" w:cs="Times New Roman"/>
                <w:sz w:val="24"/>
                <w:szCs w:val="24"/>
              </w:rPr>
            </w:pPr>
            <w:r w:rsidRPr="007031A0">
              <w:rPr>
                <w:rFonts w:ascii="Times New Roman" w:hAnsi="Times New Roman" w:cs="Times New Roman"/>
                <w:sz w:val="24"/>
                <w:szCs w:val="24"/>
              </w:rPr>
              <w:t>SWAFR interaction</w:t>
            </w:r>
          </w:p>
        </w:tc>
      </w:tr>
      <w:tr w:rsidR="00344A47" w:rsidRPr="007031A0" w:rsidTr="007031A0">
        <w:tc>
          <w:tcPr>
            <w:tcW w:w="1276"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(a) </w:t>
            </w:r>
            <w:r w:rsidRPr="007031A0">
              <w:rPr>
                <w:rFonts w:ascii="Times New Roman" w:hAnsi="Times New Roman" w:cs="Times New Roman"/>
                <w:i/>
                <w:iCs/>
                <w:sz w:val="24"/>
                <w:szCs w:val="24"/>
              </w:rPr>
              <w:t>S</w:t>
            </w:r>
            <w:r w:rsidRPr="007031A0">
              <w:rPr>
                <w:rFonts w:ascii="Times New Roman" w:hAnsi="Times New Roman" w:cs="Times New Roman"/>
                <w:sz w:val="24"/>
                <w:szCs w:val="24"/>
                <w:vertAlign w:val="subscript"/>
              </w:rPr>
              <w:t>QDS</w:t>
            </w:r>
          </w:p>
        </w:tc>
        <w:tc>
          <w:tcPr>
            <w:tcW w:w="2268"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Main effect </w:t>
            </w:r>
            <w:r w:rsidRPr="007031A0">
              <w:rPr>
                <w:rFonts w:ascii="Times New Roman" w:hAnsi="Times New Roman" w:cs="Times New Roman"/>
                <w:sz w:val="24"/>
                <w:szCs w:val="24"/>
              </w:rPr>
              <w:sym w:font="Symbol" w:char="F0B4"/>
            </w:r>
            <w:r w:rsidRPr="007031A0">
              <w:rPr>
                <w:rFonts w:ascii="Times New Roman" w:hAnsi="Times New Roman" w:cs="Times New Roman"/>
                <w:sz w:val="24"/>
                <w:szCs w:val="24"/>
              </w:rPr>
              <w:t xml:space="preserve"> region</w:t>
            </w:r>
          </w:p>
        </w:tc>
        <w:tc>
          <w:tcPr>
            <w:tcW w:w="1228"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Elevation</w:t>
            </w:r>
          </w:p>
        </w:tc>
        <w:tc>
          <w:tcPr>
            <w:tcW w:w="993" w:type="dxa"/>
            <w:tcBorders>
              <w:top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140.2</w:t>
            </w:r>
          </w:p>
        </w:tc>
        <w:tc>
          <w:tcPr>
            <w:tcW w:w="708"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124.4</w:t>
            </w:r>
          </w:p>
        </w:tc>
        <w:tc>
          <w:tcPr>
            <w:tcW w:w="851"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-56.1</w:t>
            </w:r>
          </w:p>
        </w:tc>
        <w:tc>
          <w:tcPr>
            <w:tcW w:w="992"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MAP</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172.0</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54.5</w:t>
            </w: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-54.1</w:t>
            </w: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PDQ</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73.4</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55.6</w:t>
            </w: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61.9</w:t>
            </w: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NDVI</w:t>
            </w:r>
          </w:p>
        </w:tc>
        <w:tc>
          <w:tcPr>
            <w:tcW w:w="993"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154.9</w:t>
            </w:r>
          </w:p>
        </w:tc>
        <w:tc>
          <w:tcPr>
            <w:tcW w:w="70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-7.8</w:t>
            </w:r>
          </w:p>
        </w:tc>
        <w:tc>
          <w:tcPr>
            <w:tcW w:w="851"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-102.2</w:t>
            </w:r>
          </w:p>
        </w:tc>
        <w:tc>
          <w:tcPr>
            <w:tcW w:w="992"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 region</w:t>
            </w:r>
          </w:p>
        </w:tc>
        <w:tc>
          <w:tcPr>
            <w:tcW w:w="1228"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PC1</w:t>
            </w:r>
          </w:p>
        </w:tc>
        <w:tc>
          <w:tcPr>
            <w:tcW w:w="993" w:type="dxa"/>
            <w:tcBorders>
              <w:top w:val="dotted" w:sz="4" w:space="0" w:color="auto"/>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67.0</w:t>
            </w:r>
          </w:p>
        </w:tc>
        <w:tc>
          <w:tcPr>
            <w:tcW w:w="708"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92.5</w:t>
            </w:r>
          </w:p>
        </w:tc>
        <w:tc>
          <w:tcPr>
            <w:tcW w:w="851"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only</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Surface T</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62.1</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CEC</w:t>
            </w:r>
          </w:p>
        </w:tc>
        <w:tc>
          <w:tcPr>
            <w:tcW w:w="993"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14.7</w:t>
            </w:r>
          </w:p>
        </w:tc>
        <w:tc>
          <w:tcPr>
            <w:tcW w:w="70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Clay</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42.1</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Soil C</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62.9</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pH</w:t>
            </w:r>
          </w:p>
        </w:tc>
        <w:tc>
          <w:tcPr>
            <w:tcW w:w="993" w:type="dxa"/>
            <w:tcBorders>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21.9</w:t>
            </w:r>
          </w:p>
        </w:tc>
        <w:tc>
          <w:tcPr>
            <w:tcW w:w="708"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(b) </w:t>
            </w:r>
            <w:r w:rsidRPr="007031A0">
              <w:rPr>
                <w:rFonts w:ascii="Times New Roman" w:hAnsi="Times New Roman" w:cs="Times New Roman"/>
                <w:i/>
                <w:iCs/>
                <w:sz w:val="24"/>
                <w:szCs w:val="24"/>
              </w:rPr>
              <w:t>S</w:t>
            </w:r>
            <w:r w:rsidRPr="007031A0">
              <w:rPr>
                <w:rFonts w:ascii="Times New Roman" w:hAnsi="Times New Roman" w:cs="Times New Roman"/>
                <w:sz w:val="24"/>
                <w:szCs w:val="24"/>
                <w:vertAlign w:val="subscript"/>
              </w:rPr>
              <w:t>HDS</w:t>
            </w:r>
          </w:p>
        </w:tc>
        <w:tc>
          <w:tcPr>
            <w:tcW w:w="226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Main effect </w:t>
            </w:r>
            <w:r w:rsidRPr="007031A0">
              <w:rPr>
                <w:rFonts w:ascii="Times New Roman" w:hAnsi="Times New Roman" w:cs="Times New Roman"/>
                <w:sz w:val="24"/>
                <w:szCs w:val="24"/>
              </w:rPr>
              <w:sym w:font="Symbol" w:char="F0B4"/>
            </w:r>
            <w:r w:rsidRPr="007031A0">
              <w:rPr>
                <w:rFonts w:ascii="Times New Roman" w:hAnsi="Times New Roman" w:cs="Times New Roman"/>
                <w:sz w:val="24"/>
                <w:szCs w:val="24"/>
              </w:rPr>
              <w:t xml:space="preserve"> region</w:t>
            </w:r>
          </w:p>
        </w:tc>
        <w:tc>
          <w:tcPr>
            <w:tcW w:w="122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MAP</w:t>
            </w:r>
          </w:p>
        </w:tc>
        <w:tc>
          <w:tcPr>
            <w:tcW w:w="993"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399.0</w:t>
            </w:r>
          </w:p>
        </w:tc>
        <w:tc>
          <w:tcPr>
            <w:tcW w:w="70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-41.5</w:t>
            </w:r>
          </w:p>
        </w:tc>
        <w:tc>
          <w:tcPr>
            <w:tcW w:w="851"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-185.0</w:t>
            </w:r>
          </w:p>
        </w:tc>
        <w:tc>
          <w:tcPr>
            <w:tcW w:w="992"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Clay</w:t>
            </w:r>
          </w:p>
        </w:tc>
        <w:tc>
          <w:tcPr>
            <w:tcW w:w="993"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-12.8</w:t>
            </w:r>
          </w:p>
        </w:tc>
        <w:tc>
          <w:tcPr>
            <w:tcW w:w="70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-216.1</w:t>
            </w:r>
          </w:p>
        </w:tc>
        <w:tc>
          <w:tcPr>
            <w:tcW w:w="851"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173.6</w:t>
            </w:r>
          </w:p>
        </w:tc>
        <w:tc>
          <w:tcPr>
            <w:tcW w:w="992"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only</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Elevation</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163.7</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PDQ</w:t>
            </w:r>
          </w:p>
        </w:tc>
        <w:tc>
          <w:tcPr>
            <w:tcW w:w="993"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226.3</w:t>
            </w:r>
          </w:p>
        </w:tc>
        <w:tc>
          <w:tcPr>
            <w:tcW w:w="70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Surface T</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135.9</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NDVI</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246.6</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Soil C</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159.4</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PC1</w:t>
            </w:r>
          </w:p>
        </w:tc>
        <w:tc>
          <w:tcPr>
            <w:tcW w:w="993"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123.1</w:t>
            </w:r>
          </w:p>
        </w:tc>
        <w:tc>
          <w:tcPr>
            <w:tcW w:w="70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Region only</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CEC</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-26.3</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-251.9</w:t>
            </w: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pH</w:t>
            </w:r>
          </w:p>
        </w:tc>
        <w:tc>
          <w:tcPr>
            <w:tcW w:w="993" w:type="dxa"/>
            <w:tcBorders>
              <w:top w:val="nil"/>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53.8</w:t>
            </w:r>
          </w:p>
        </w:tc>
        <w:tc>
          <w:tcPr>
            <w:tcW w:w="708"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-193.0</w:t>
            </w:r>
          </w:p>
        </w:tc>
        <w:tc>
          <w:tcPr>
            <w:tcW w:w="851"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(c) </w:t>
            </w:r>
            <w:r w:rsidRPr="007031A0">
              <w:rPr>
                <w:rFonts w:ascii="Times New Roman" w:hAnsi="Times New Roman" w:cs="Times New Roman"/>
                <w:i/>
                <w:iCs/>
                <w:sz w:val="24"/>
                <w:szCs w:val="24"/>
              </w:rPr>
              <w:t>S</w:t>
            </w:r>
            <w:r w:rsidRPr="007031A0">
              <w:rPr>
                <w:rFonts w:ascii="Times New Roman" w:hAnsi="Times New Roman" w:cs="Times New Roman"/>
                <w:sz w:val="24"/>
                <w:szCs w:val="24"/>
                <w:vertAlign w:val="subscript"/>
              </w:rPr>
              <w:t>DS</w:t>
            </w:r>
          </w:p>
        </w:tc>
        <w:tc>
          <w:tcPr>
            <w:tcW w:w="226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Main effect </w:t>
            </w:r>
            <w:r w:rsidRPr="007031A0">
              <w:rPr>
                <w:rFonts w:ascii="Times New Roman" w:hAnsi="Times New Roman" w:cs="Times New Roman"/>
                <w:sz w:val="24"/>
                <w:szCs w:val="24"/>
              </w:rPr>
              <w:sym w:font="Symbol" w:char="F0B4"/>
            </w:r>
            <w:r w:rsidRPr="007031A0">
              <w:rPr>
                <w:rFonts w:ascii="Times New Roman" w:hAnsi="Times New Roman" w:cs="Times New Roman"/>
                <w:sz w:val="24"/>
                <w:szCs w:val="24"/>
              </w:rPr>
              <w:t xml:space="preserve"> region</w:t>
            </w:r>
          </w:p>
        </w:tc>
        <w:tc>
          <w:tcPr>
            <w:tcW w:w="122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Elevation</w:t>
            </w:r>
          </w:p>
        </w:tc>
        <w:tc>
          <w:tcPr>
            <w:tcW w:w="993"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-1455.9</w:t>
            </w:r>
          </w:p>
        </w:tc>
        <w:tc>
          <w:tcPr>
            <w:tcW w:w="70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-2278.4</w:t>
            </w:r>
          </w:p>
        </w:tc>
        <w:tc>
          <w:tcPr>
            <w:tcW w:w="851"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1668.5</w:t>
            </w:r>
          </w:p>
        </w:tc>
        <w:tc>
          <w:tcPr>
            <w:tcW w:w="992"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MAP</w:t>
            </w:r>
          </w:p>
        </w:tc>
        <w:tc>
          <w:tcPr>
            <w:tcW w:w="993"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683.3</w:t>
            </w:r>
          </w:p>
        </w:tc>
        <w:tc>
          <w:tcPr>
            <w:tcW w:w="70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-519.1</w:t>
            </w:r>
          </w:p>
        </w:tc>
        <w:tc>
          <w:tcPr>
            <w:tcW w:w="851"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-382.1</w:t>
            </w:r>
          </w:p>
        </w:tc>
        <w:tc>
          <w:tcPr>
            <w:tcW w:w="992"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CEC</w:t>
            </w:r>
          </w:p>
        </w:tc>
        <w:tc>
          <w:tcPr>
            <w:tcW w:w="993"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-933.3</w:t>
            </w:r>
          </w:p>
        </w:tc>
        <w:tc>
          <w:tcPr>
            <w:tcW w:w="70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-1043.4</w:t>
            </w:r>
          </w:p>
        </w:tc>
        <w:tc>
          <w:tcPr>
            <w:tcW w:w="851"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837.1</w:t>
            </w:r>
          </w:p>
        </w:tc>
        <w:tc>
          <w:tcPr>
            <w:tcW w:w="992"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 region</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Clay</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273.0</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-542.8</w:t>
            </w: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Soil C</w:t>
            </w:r>
          </w:p>
        </w:tc>
        <w:tc>
          <w:tcPr>
            <w:tcW w:w="993"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246.5</w:t>
            </w:r>
          </w:p>
        </w:tc>
        <w:tc>
          <w:tcPr>
            <w:tcW w:w="70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-615.4</w:t>
            </w:r>
          </w:p>
        </w:tc>
        <w:tc>
          <w:tcPr>
            <w:tcW w:w="851"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only</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PDQ</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363.1</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Surface T</w:t>
            </w:r>
          </w:p>
        </w:tc>
        <w:tc>
          <w:tcPr>
            <w:tcW w:w="993"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336.7</w:t>
            </w:r>
          </w:p>
        </w:tc>
        <w:tc>
          <w:tcPr>
            <w:tcW w:w="70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NDVI</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475.3</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pH</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448.4</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PC1</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231.1</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bl>
    <w:p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rsidR="00B73D31" w:rsidRPr="00840830" w:rsidRDefault="00B73D31" w:rsidP="009A13CA">
      <w:pPr>
        <w:pStyle w:val="BodyText"/>
        <w:spacing w:after="0"/>
        <w:rPr>
          <w:vertAlign w:val="superscript"/>
        </w:rPr>
      </w:pPr>
      <w:r w:rsidRPr="00840830">
        <w:rPr>
          <w:vertAlign w:val="superscript"/>
        </w:rPr>
        <w:br w:type="page"/>
      </w:r>
    </w:p>
    <w:p w:rsidR="00874A01" w:rsidRPr="0069122B" w:rsidRDefault="00874A01" w:rsidP="00FA753D">
      <w:pPr>
        <w:pStyle w:val="BodyText"/>
        <w:spacing w:before="0"/>
      </w:pPr>
      <w:bookmarkStart w:id="8"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w:t>
      </w:r>
      <w:r w:rsidR="009A2731">
        <w:t xml:space="preserve"> of vascular plant species richness across the GCFR and SWAFR</w:t>
      </w:r>
      <w:r w:rsidR="0069122B">
        <w:t>. All correlation coefficients were significant (</w:t>
      </w:r>
      <w:r w:rsidR="0069122B">
        <w:rPr>
          <w:i/>
          <w:iCs/>
        </w:rPr>
        <w:t>P</w:t>
      </w:r>
      <w:r w:rsidR="0069122B">
        <w:t xml:space="preserve"> &lt; 0.001; two-sided </w:t>
      </w:r>
      <w:r w:rsidR="0069122B">
        <w:rPr>
          <w:i/>
          <w:iCs/>
        </w:rPr>
        <w:t>t</w:t>
      </w:r>
      <w:r w:rsidR="0069122B">
        <w:t>-test).</w:t>
      </w:r>
    </w:p>
    <w:tbl>
      <w:tblPr>
        <w:tblW w:w="0" w:type="auto"/>
        <w:tblBorders>
          <w:top w:val="single" w:sz="4" w:space="0" w:color="auto"/>
          <w:bottom w:val="single" w:sz="4" w:space="0" w:color="auto"/>
        </w:tblBorders>
        <w:tblLook w:val="04A0" w:firstRow="1" w:lastRow="0" w:firstColumn="1" w:lastColumn="0" w:noHBand="0" w:noVBand="1"/>
      </w:tblPr>
      <w:tblGrid>
        <w:gridCol w:w="1543"/>
        <w:gridCol w:w="1423"/>
        <w:gridCol w:w="1356"/>
      </w:tblGrid>
      <w:tr w:rsidR="00B35743" w:rsidRPr="007031A0" w:rsidTr="007031A0">
        <w:trPr>
          <w:trHeight w:val="227"/>
        </w:trPr>
        <w:tc>
          <w:tcPr>
            <w:tcW w:w="1543" w:type="dxa"/>
            <w:shd w:val="clear" w:color="auto" w:fill="auto"/>
          </w:tcPr>
          <w:p w:rsidR="00B35743" w:rsidRPr="007031A0" w:rsidRDefault="00B35743" w:rsidP="007031A0">
            <w:pPr>
              <w:spacing w:after="0"/>
              <w:rPr>
                <w:rFonts w:hAnsi="Times New Roman" w:cs="Times New Roman"/>
              </w:rPr>
            </w:pPr>
          </w:p>
        </w:tc>
        <w:tc>
          <w:tcPr>
            <w:tcW w:w="2779" w:type="dxa"/>
            <w:gridSpan w:val="2"/>
            <w:tcBorders>
              <w:bottom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Correlation</w:t>
            </w:r>
          </w:p>
        </w:tc>
      </w:tr>
      <w:tr w:rsidR="00344A47" w:rsidRPr="007031A0" w:rsidTr="007031A0">
        <w:trPr>
          <w:trHeight w:val="227"/>
        </w:trPr>
        <w:tc>
          <w:tcPr>
            <w:tcW w:w="1543" w:type="dxa"/>
            <w:tcBorders>
              <w:bottom w:val="single" w:sz="4" w:space="0" w:color="auto"/>
            </w:tcBorders>
            <w:shd w:val="clear" w:color="auto" w:fill="auto"/>
          </w:tcPr>
          <w:p w:rsidR="00B35743" w:rsidRPr="007031A0" w:rsidRDefault="00B35743" w:rsidP="007031A0">
            <w:pPr>
              <w:spacing w:after="0"/>
              <w:rPr>
                <w:rFonts w:hAnsi="Times New Roman" w:cs="Times New Roman"/>
              </w:rPr>
            </w:pPr>
            <w:r w:rsidRPr="007031A0">
              <w:rPr>
                <w:rFonts w:hAnsi="Times New Roman" w:cs="Times New Roman"/>
              </w:rPr>
              <w:t>Spatial scale</w:t>
            </w:r>
          </w:p>
        </w:tc>
        <w:tc>
          <w:tcPr>
            <w:tcW w:w="1423" w:type="dxa"/>
            <w:tcBorders>
              <w:top w:val="single" w:sz="4" w:space="0" w:color="auto"/>
              <w:bottom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 xml:space="preserve">Predicted </w:t>
            </w:r>
            <w:r w:rsidRPr="007031A0">
              <w:rPr>
                <w:rFonts w:hAnsi="Times New Roman" w:cs="Times New Roman"/>
                <w:i/>
                <w:iCs/>
              </w:rPr>
              <w:t>S</w:t>
            </w:r>
          </w:p>
        </w:tc>
        <w:tc>
          <w:tcPr>
            <w:tcW w:w="1356" w:type="dxa"/>
            <w:tcBorders>
              <w:top w:val="single" w:sz="4" w:space="0" w:color="auto"/>
              <w:bottom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 xml:space="preserve">Residual </w:t>
            </w:r>
            <w:r w:rsidRPr="007031A0">
              <w:rPr>
                <w:rFonts w:hAnsi="Times New Roman" w:cs="Times New Roman"/>
                <w:i/>
                <w:iCs/>
              </w:rPr>
              <w:t>S</w:t>
            </w:r>
          </w:p>
        </w:tc>
      </w:tr>
      <w:tr w:rsidR="00B35743" w:rsidRPr="007031A0" w:rsidTr="007031A0">
        <w:trPr>
          <w:trHeight w:val="227"/>
        </w:trPr>
        <w:tc>
          <w:tcPr>
            <w:tcW w:w="1543" w:type="dxa"/>
            <w:tcBorders>
              <w:top w:val="single" w:sz="4" w:space="0" w:color="auto"/>
            </w:tcBorders>
            <w:shd w:val="clear" w:color="auto" w:fill="auto"/>
          </w:tcPr>
          <w:p w:rsidR="00B35743" w:rsidRPr="007031A0" w:rsidRDefault="00B35743" w:rsidP="007031A0">
            <w:pPr>
              <w:spacing w:after="0"/>
              <w:rPr>
                <w:rFonts w:hAnsi="Times New Roman" w:cs="Times New Roman"/>
              </w:rPr>
            </w:pPr>
            <w:r w:rsidRPr="007031A0">
              <w:rPr>
                <w:rFonts w:hAnsi="Times New Roman" w:cs="Times New Roman"/>
              </w:rPr>
              <w:t>QDS</w:t>
            </w:r>
          </w:p>
        </w:tc>
        <w:tc>
          <w:tcPr>
            <w:tcW w:w="1423" w:type="dxa"/>
            <w:tcBorders>
              <w:top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0.680</w:t>
            </w:r>
          </w:p>
        </w:tc>
        <w:tc>
          <w:tcPr>
            <w:tcW w:w="1356" w:type="dxa"/>
            <w:tcBorders>
              <w:top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0.908</w:t>
            </w:r>
          </w:p>
        </w:tc>
      </w:tr>
      <w:tr w:rsidR="00B35743" w:rsidRPr="007031A0" w:rsidTr="007031A0">
        <w:trPr>
          <w:trHeight w:val="227"/>
        </w:trPr>
        <w:tc>
          <w:tcPr>
            <w:tcW w:w="1543" w:type="dxa"/>
            <w:shd w:val="clear" w:color="auto" w:fill="auto"/>
          </w:tcPr>
          <w:p w:rsidR="00B35743" w:rsidRPr="007031A0" w:rsidRDefault="00B35743" w:rsidP="007031A0">
            <w:pPr>
              <w:spacing w:after="0"/>
              <w:rPr>
                <w:rFonts w:hAnsi="Times New Roman" w:cs="Times New Roman"/>
              </w:rPr>
            </w:pPr>
            <w:r w:rsidRPr="007031A0">
              <w:rPr>
                <w:rFonts w:hAnsi="Times New Roman" w:cs="Times New Roman"/>
              </w:rPr>
              <w:t>HDS</w:t>
            </w:r>
          </w:p>
        </w:tc>
        <w:tc>
          <w:tcPr>
            <w:tcW w:w="1423" w:type="dxa"/>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0.699</w:t>
            </w:r>
          </w:p>
        </w:tc>
        <w:tc>
          <w:tcPr>
            <w:tcW w:w="1356" w:type="dxa"/>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0.834</w:t>
            </w:r>
          </w:p>
        </w:tc>
      </w:tr>
      <w:tr w:rsidR="00B35743" w:rsidRPr="007031A0" w:rsidTr="007031A0">
        <w:trPr>
          <w:trHeight w:val="227"/>
        </w:trPr>
        <w:tc>
          <w:tcPr>
            <w:tcW w:w="1543" w:type="dxa"/>
            <w:shd w:val="clear" w:color="auto" w:fill="auto"/>
          </w:tcPr>
          <w:p w:rsidR="00B35743" w:rsidRPr="007031A0" w:rsidRDefault="00B35743" w:rsidP="007031A0">
            <w:pPr>
              <w:spacing w:after="0"/>
              <w:rPr>
                <w:rFonts w:hAnsi="Times New Roman" w:cs="Times New Roman"/>
              </w:rPr>
            </w:pPr>
            <w:r w:rsidRPr="007031A0">
              <w:rPr>
                <w:rFonts w:hAnsi="Times New Roman" w:cs="Times New Roman"/>
              </w:rPr>
              <w:t>DS</w:t>
            </w:r>
          </w:p>
        </w:tc>
        <w:tc>
          <w:tcPr>
            <w:tcW w:w="1423" w:type="dxa"/>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0.723</w:t>
            </w:r>
          </w:p>
        </w:tc>
        <w:tc>
          <w:tcPr>
            <w:tcW w:w="1356" w:type="dxa"/>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0.369</w:t>
            </w:r>
          </w:p>
        </w:tc>
      </w:tr>
    </w:tbl>
    <w:p w:rsidR="00B35743" w:rsidRDefault="00874A01" w:rsidP="009871CA">
      <w:pPr>
        <w:pStyle w:val="Heading1"/>
      </w:pPr>
      <w:r>
        <w:br w:type="page"/>
      </w:r>
      <w:bookmarkEnd w:id="8"/>
    </w:p>
    <w:p w:rsidR="009B4CD8" w:rsidRDefault="00BE18DF" w:rsidP="009871CA">
      <w:pPr>
        <w:pStyle w:val="Heading1"/>
      </w:pPr>
      <w:r>
        <w:lastRenderedPageBreak/>
        <w:t>Figures</w:t>
      </w:r>
    </w:p>
    <w:p w:rsidR="009B4CD8" w:rsidRPr="007031A0" w:rsidRDefault="009B4CD8">
      <w:pPr>
        <w:rPr>
          <w:rFonts w:eastAsia="MS Gothic" w:hAnsi="Times New Roman" w:cs="Times New Roman"/>
          <w:b/>
          <w:bCs/>
          <w:color w:val="000000"/>
          <w:sz w:val="32"/>
          <w:szCs w:val="32"/>
        </w:rPr>
      </w:pPr>
      <w:r>
        <w:br w:type="page"/>
      </w:r>
    </w:p>
    <w:p w:rsidR="009B4CD8" w:rsidRDefault="00A07EC9" w:rsidP="00DA25A6">
      <w:pPr>
        <w:pStyle w:val="BodyText"/>
      </w:pPr>
      <w:r w:rsidRPr="007031A0">
        <w:rPr>
          <w:rFonts w:cs="Times New Roman"/>
          <w:noProof/>
          <w:sz w:val="22"/>
          <w:szCs w:val="22"/>
        </w:rPr>
        <w:lastRenderedPageBreak/>
        <w:drawing>
          <wp:inline distT="0" distB="0" distL="0" distR="0">
            <wp:extent cx="4859655" cy="8331200"/>
            <wp:effectExtent l="0" t="0" r="0" b="0"/>
            <wp:docPr id="9" name="Picture 13" descr="A close up of a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A close up of a map&#10;&#10;Description automatically generated"/>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59655" cy="8331200"/>
                    </a:xfrm>
                    <a:prstGeom prst="rect">
                      <a:avLst/>
                    </a:prstGeom>
                    <a:noFill/>
                    <a:ln>
                      <a:noFill/>
                    </a:ln>
                  </pic:spPr>
                </pic:pic>
              </a:graphicData>
            </a:graphic>
          </wp:inline>
        </w:drawing>
      </w:r>
    </w:p>
    <w:p w:rsidR="00492D72" w:rsidRDefault="009871CA" w:rsidP="009871CA">
      <w:pPr>
        <w:pStyle w:val="BodyText"/>
      </w:pPr>
      <w:r>
        <w:br w:type="page"/>
      </w:r>
    </w:p>
    <w:p w:rsidR="00E000A8" w:rsidRDefault="00DA25A6"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 xml:space="preserve">s for the GCFR and SWAFR of </w:t>
      </w:r>
      <w:r w:rsidRPr="00805B10">
        <w:rPr>
          <w:b/>
          <w:bCs/>
        </w:rPr>
        <w:t>(a,b)</w:t>
      </w:r>
      <w:r>
        <w:t xml:space="preserve"> vascular plant species richness</w:t>
      </w:r>
      <w:r w:rsidR="009863F5">
        <w:t xml:space="preserve"> (</w:t>
      </w:r>
      <w:r w:rsidR="009863F5" w:rsidRPr="00ED6805">
        <w:rPr>
          <w:i/>
          <w:iCs/>
        </w:rPr>
        <w:t>S</w:t>
      </w:r>
      <w:r w:rsidR="009863F5">
        <w:rPr>
          <w:vertAlign w:val="subscript"/>
        </w:rPr>
        <w:t>HDS</w:t>
      </w:r>
      <w:r w:rsidR="009863F5">
        <w:t>)</w:t>
      </w:r>
      <w:r>
        <w:t xml:space="preserve">, </w:t>
      </w:r>
      <w:r w:rsidRPr="00805B10">
        <w:rPr>
          <w:b/>
          <w:bCs/>
        </w:rPr>
        <w:t>(c,d)</w:t>
      </w:r>
      <w:r>
        <w:t xml:space="preserve"> </w:t>
      </w:r>
      <w:r w:rsidR="00E14B99">
        <w:t>values of the</w:t>
      </w:r>
      <w:r>
        <w:t xml:space="preserve"> major axis of environmental heterogeneity (PC1) from the PCA of nine forms of environmental heterogeneity (log</w:t>
      </w:r>
      <w:r w:rsidRPr="00C9106C">
        <w:rPr>
          <w:vertAlign w:val="subscript"/>
        </w:rPr>
        <w:t>10</w:t>
      </w:r>
      <w:r>
        <w:t>-transformed</w:t>
      </w:r>
      <w:r w:rsidR="00873192">
        <w:t>; Table S1</w:t>
      </w:r>
      <w:r>
        <w:t>)</w:t>
      </w:r>
      <w:r w:rsidR="007A145C">
        <w:t xml:space="preserve"> and </w:t>
      </w:r>
      <w:r>
        <w:t>residua</w:t>
      </w:r>
      <w:r w:rsidR="00CF075F">
        <w:t>l</w:t>
      </w:r>
      <w:r w:rsidR="007A145C">
        <w:t xml:space="preserve"> species richness following </w:t>
      </w:r>
      <w:r>
        <w:t xml:space="preserve">regressions against </w:t>
      </w:r>
      <w:r w:rsidRPr="00805B10">
        <w:rPr>
          <w:b/>
          <w:bCs/>
        </w:rPr>
        <w:t>(e,f)</w:t>
      </w:r>
      <w:r>
        <w:t xml:space="preserve"> PC1 (</w:t>
      </w:r>
      <w:r w:rsidR="00E14B99">
        <w:t xml:space="preserve">see also </w:t>
      </w:r>
      <w:r>
        <w:t xml:space="preserve">Figure 4b) and </w:t>
      </w:r>
      <w:r w:rsidRPr="00805B10">
        <w:rPr>
          <w:b/>
          <w:bCs/>
        </w:rPr>
        <w:t>(g,h)</w:t>
      </w:r>
      <w:r>
        <w:t xml:space="preserve"> the multivariate (MV) </w:t>
      </w:r>
      <w:r w:rsidR="00AD5B6C">
        <w:t>re</w:t>
      </w:r>
      <w:r w:rsidR="00FD46A4">
        <w:t xml:space="preserve">gression </w:t>
      </w:r>
      <w:r>
        <w:t>model (</w:t>
      </w:r>
      <w:r w:rsidR="00E14B99">
        <w:t xml:space="preserve">see also </w:t>
      </w:r>
      <w:r>
        <w:t>Figure 5b). Map projection used: WGS84. Colour versions of these maps, and the QDS- and DS-scale equivalents (Figure S9, S10 respectively) are available in the online version.</w:t>
      </w:r>
    </w:p>
    <w:p w:rsidR="009871CA" w:rsidRPr="002C20EB" w:rsidRDefault="00DA25A6" w:rsidP="009871CA">
      <w:pPr>
        <w:pStyle w:val="BodyText"/>
      </w:pPr>
      <w:r w:rsidRPr="009871CA">
        <w:br w:type="page"/>
      </w:r>
    </w:p>
    <w:p w:rsidR="00D04776" w:rsidRDefault="00A07EC9" w:rsidP="0018462C">
      <w:pPr>
        <w:pStyle w:val="CaptionedFigure"/>
        <w:spacing w:line="240" w:lineRule="auto"/>
      </w:pPr>
      <w:r w:rsidRPr="007031A0">
        <w:rPr>
          <w:rFonts w:cs="Times New Roman"/>
          <w:noProof/>
          <w:sz w:val="22"/>
          <w:szCs w:val="22"/>
        </w:rPr>
        <w:lastRenderedPageBreak/>
        <w:drawing>
          <wp:inline distT="0" distB="0" distL="0" distR="0">
            <wp:extent cx="6840855" cy="5986145"/>
            <wp:effectExtent l="0" t="0" r="0" b="0"/>
            <wp:docPr id="10"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40855" cy="5986145"/>
                    </a:xfrm>
                    <a:prstGeom prst="rect">
                      <a:avLst/>
                    </a:prstGeom>
                    <a:noFill/>
                    <a:ln>
                      <a:noFill/>
                    </a:ln>
                  </pic:spPr>
                </pic:pic>
              </a:graphicData>
            </a:graphic>
          </wp:inline>
        </w:drawing>
      </w:r>
    </w:p>
    <w:p w:rsidR="00AB4550" w:rsidRDefault="00AB4550" w:rsidP="00AB4550">
      <w:pPr>
        <w:pStyle w:val="BodyText"/>
      </w:pPr>
      <w:r w:rsidRPr="006B3905">
        <w:rPr>
          <w:b/>
        </w:rPr>
        <w:t>Figure 2:</w:t>
      </w:r>
      <w:r w:rsidRPr="006B3905">
        <w:t xml:space="preserve"> Frequency</w:t>
      </w:r>
      <w:r w:rsidRPr="00832261">
        <w:t xml:space="preserve"> distributions of vascular plant species richness </w:t>
      </w:r>
      <w:r>
        <w:t>(</w:t>
      </w:r>
      <w:r w:rsidRPr="00ED6805">
        <w:rPr>
          <w:i/>
          <w:iCs/>
        </w:rPr>
        <w:t>S</w:t>
      </w:r>
      <w:r>
        <w:t xml:space="preserve">) </w:t>
      </w:r>
      <w:r w:rsidRPr="00832261">
        <w:t xml:space="preserve">in the GCFR and SWAFR at the </w:t>
      </w:r>
      <w:r w:rsidRPr="00473510">
        <w:rPr>
          <w:b/>
          <w:bCs/>
        </w:rPr>
        <w:t>(a)</w:t>
      </w:r>
      <w:r w:rsidRPr="00832261">
        <w:t xml:space="preserve"> DS-, </w:t>
      </w:r>
      <w:r w:rsidRPr="00473510">
        <w:rPr>
          <w:b/>
          <w:bCs/>
        </w:rPr>
        <w:t>(b)</w:t>
      </w:r>
      <w:r w:rsidRPr="00832261">
        <w:t xml:space="preserve"> HDS-, and </w:t>
      </w:r>
      <w:r w:rsidRPr="00473510">
        <w:rPr>
          <w:b/>
          <w:bCs/>
        </w:rPr>
        <w:t>(c)</w:t>
      </w:r>
      <w:r w:rsidRPr="00832261">
        <w:t xml:space="preserve"> Q</w:t>
      </w:r>
      <w:r w:rsidRPr="009D1CA2">
        <w:t>DS-scales, and of the proporti</w:t>
      </w:r>
      <w:r w:rsidRPr="00223948">
        <w:t xml:space="preserve">onal contributions of floristic turnover </w:t>
      </w:r>
      <w:r>
        <w:t xml:space="preserve">(i.e. </w:t>
      </w:r>
      <w:r w:rsidRPr="00223948">
        <w:rPr>
          <w:i/>
        </w:rPr>
        <w:t>T</w:t>
      </w:r>
      <w:r>
        <w:t>/</w:t>
      </w:r>
      <w:r w:rsidRPr="00223948">
        <w:rPr>
          <w:i/>
        </w:rPr>
        <w:t>S</w:t>
      </w:r>
      <w:r>
        <w:t xml:space="preserve">) </w:t>
      </w:r>
      <w:r w:rsidRPr="00223948">
        <w:t xml:space="preserve">to </w:t>
      </w:r>
      <w:r w:rsidRPr="00473510">
        <w:rPr>
          <w:b/>
          <w:bCs/>
        </w:rPr>
        <w:t>(d)</w:t>
      </w:r>
      <w:r w:rsidRPr="00223948">
        <w:t xml:space="preserve"> </w:t>
      </w:r>
      <w:r w:rsidRPr="00223948">
        <w:rPr>
          <w:i/>
        </w:rPr>
        <w:t>S</w:t>
      </w:r>
      <w:r w:rsidRPr="00223948">
        <w:rPr>
          <w:vertAlign w:val="subscript"/>
        </w:rPr>
        <w:t>DS</w:t>
      </w:r>
      <w:r w:rsidRPr="00223948">
        <w:t xml:space="preserve"> (i.e. </w:t>
      </w:r>
      <w:r w:rsidRPr="00CC1818">
        <w:rPr>
          <w:i/>
        </w:rPr>
        <w:t>T</w:t>
      </w:r>
      <w:r w:rsidRPr="00CC1818">
        <w:rPr>
          <w:vertAlign w:val="subscript"/>
        </w:rPr>
        <w:t xml:space="preserve">HDS </w:t>
      </w:r>
      <w:r w:rsidRPr="00CC1818">
        <w:t>/</w:t>
      </w:r>
      <w:r w:rsidRPr="00CC1818">
        <w:rPr>
          <w:i/>
        </w:rPr>
        <w:t xml:space="preserve"> S</w:t>
      </w:r>
      <w:r w:rsidRPr="00CC1818">
        <w:rPr>
          <w:vertAlign w:val="subscript"/>
        </w:rPr>
        <w:t>DS</w:t>
      </w:r>
      <w:r w:rsidRPr="00CC1818">
        <w:t xml:space="preserve">) and </w:t>
      </w:r>
      <w:r w:rsidRPr="00473510">
        <w:rPr>
          <w:b/>
          <w:bCs/>
        </w:rPr>
        <w:t>(e)</w:t>
      </w:r>
      <w:r w:rsidRPr="00CC1818">
        <w:t xml:space="preserve"> </w:t>
      </w:r>
      <w:r w:rsidRPr="00CC1818">
        <w:rPr>
          <w:i/>
        </w:rPr>
        <w:t>S</w:t>
      </w:r>
      <w:r w:rsidRPr="00CC1818">
        <w:rPr>
          <w:vertAlign w:val="subscript"/>
        </w:rPr>
        <w:t>HDS</w:t>
      </w:r>
      <w:r w:rsidRPr="00CC1818">
        <w:t>. (</w:t>
      </w:r>
      <w:r>
        <w:t xml:space="preserve">i.e. </w:t>
      </w:r>
      <w:r w:rsidRPr="00CC1818">
        <w:rPr>
          <w:i/>
        </w:rPr>
        <w:t>T</w:t>
      </w:r>
      <w:r w:rsidRPr="00CC1818">
        <w:rPr>
          <w:vertAlign w:val="subscript"/>
        </w:rPr>
        <w:t xml:space="preserve">QDS </w:t>
      </w:r>
      <w:r w:rsidRPr="00CC1818">
        <w:t>/</w:t>
      </w:r>
      <w:r w:rsidRPr="00CC1818">
        <w:rPr>
          <w:i/>
        </w:rPr>
        <w:t xml:space="preserve"> S</w:t>
      </w:r>
      <w:r w:rsidRPr="00CC1818">
        <w:rPr>
          <w:vertAlign w:val="subscript"/>
        </w:rPr>
        <w:t>HDS</w:t>
      </w:r>
      <w:r w:rsidRPr="00CC1818">
        <w:t xml:space="preserve">). </w:t>
      </w:r>
      <w:r>
        <w:t>Frequencies are scaled as the proportions of cells</w:t>
      </w:r>
      <w:r w:rsidRPr="00CC1818">
        <w:t xml:space="preserve"> </w:t>
      </w:r>
      <w:r>
        <w:t xml:space="preserve">within each region. </w:t>
      </w:r>
      <w:r w:rsidRPr="00CC1818">
        <w:t xml:space="preserve">The derivations of </w:t>
      </w:r>
      <w:r w:rsidRPr="00CC1818">
        <w:rPr>
          <w:i/>
        </w:rPr>
        <w:t>T</w:t>
      </w:r>
      <w:r w:rsidRPr="00CC1818">
        <w:rPr>
          <w:vertAlign w:val="subscript"/>
        </w:rPr>
        <w:t>DS</w:t>
      </w:r>
      <w:r w:rsidRPr="00CC1818">
        <w:t xml:space="preserve"> and </w:t>
      </w:r>
      <w:r w:rsidRPr="00CC1818">
        <w:rPr>
          <w:i/>
        </w:rPr>
        <w:t>T</w:t>
      </w:r>
      <w:r w:rsidRPr="00CC1818">
        <w:rPr>
          <w:vertAlign w:val="subscript"/>
        </w:rPr>
        <w:t>HDS</w:t>
      </w:r>
      <w:r w:rsidRPr="00CC1818">
        <w:t xml:space="preserve"> are demonstrated with scatter plots of mean </w:t>
      </w:r>
      <w:r w:rsidRPr="00473510">
        <w:rPr>
          <w:b/>
          <w:bCs/>
        </w:rPr>
        <w:t>(f)</w:t>
      </w:r>
      <w:r w:rsidRPr="00CC1818">
        <w:t xml:space="preserve"> HDS- and </w:t>
      </w:r>
      <w:r w:rsidRPr="00473510">
        <w:rPr>
          <w:b/>
          <w:bCs/>
        </w:rPr>
        <w:t>(g)</w:t>
      </w:r>
      <w:r w:rsidRPr="00CC1818">
        <w:t xml:space="preserve"> QDS-scale richness (</w:t>
      </w:r>
      <w:r>
        <w:t xml:space="preserve">i.e. </w:t>
      </w:r>
      <m:oMath>
        <m:bar>
          <m:barPr>
            <m:pos m:val="top"/>
            <m:ctrlPr>
              <w:rPr>
                <w:rFonts w:ascii="Cambria Math" w:hAnsi="Cambria Math"/>
              </w:rPr>
            </m:ctrlPr>
          </m:barPr>
          <m:e>
            <m:r>
              <w:rPr>
                <w:rFonts w:ascii="Cambria Math" w:hAnsi="Cambria Math"/>
              </w:rPr>
              <m:t>S</m:t>
            </m:r>
          </m:e>
        </m:bar>
      </m:oMath>
      <w:r w:rsidRPr="00CC1818">
        <w:rPr>
          <w:vertAlign w:val="subscript"/>
        </w:rPr>
        <w:t>HDS</w:t>
      </w:r>
      <w:r w:rsidRPr="00CC1818">
        <w:t xml:space="preserve"> and</w:t>
      </w:r>
      <w:r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Pr="00CC1818">
        <w:rPr>
          <w:vertAlign w:val="subscript"/>
        </w:rPr>
        <w:t>QDS</w:t>
      </w:r>
      <w:r w:rsidRPr="009E4DDA">
        <w:t>,</w:t>
      </w:r>
      <w:r w:rsidRPr="00CC1818">
        <w:t xml:space="preserve"> respectively) against turnover </w:t>
      </w:r>
      <w:r>
        <w:t>(</w:t>
      </w:r>
      <w:r w:rsidRPr="00CC1818">
        <w:rPr>
          <w:i/>
        </w:rPr>
        <w:t>T</w:t>
      </w:r>
      <w:r w:rsidRPr="00CC1818">
        <w:rPr>
          <w:vertAlign w:val="subscript"/>
        </w:rPr>
        <w:t>HDS</w:t>
      </w:r>
      <w:r w:rsidRPr="00CC1818">
        <w:t xml:space="preserve"> and </w:t>
      </w:r>
      <w:r w:rsidRPr="00CC1818">
        <w:rPr>
          <w:i/>
        </w:rPr>
        <w:t>T</w:t>
      </w:r>
      <w:r w:rsidRPr="00CC1818">
        <w:rPr>
          <w:vertAlign w:val="subscript"/>
        </w:rPr>
        <w:t>QDS</w:t>
      </w:r>
      <w:r>
        <w:t>, respectively</w:t>
      </w:r>
      <w:r w:rsidRPr="00CC1818">
        <w:t xml:space="preserve">) with contour lines denoting the </w:t>
      </w:r>
      <w:r w:rsidRPr="00CC1818">
        <w:rPr>
          <w:i/>
        </w:rPr>
        <w:t>S</w:t>
      </w:r>
      <w:r w:rsidRPr="00CC1818">
        <w:rPr>
          <w:vertAlign w:val="subscript"/>
        </w:rPr>
        <w:t>DS</w:t>
      </w:r>
      <w:r w:rsidRPr="00CC1818">
        <w:t xml:space="preserve"> </w:t>
      </w:r>
      <w:r>
        <w:t xml:space="preserve">and </w:t>
      </w:r>
      <w:r w:rsidRPr="00CC1818">
        <w:rPr>
          <w:i/>
        </w:rPr>
        <w:t>S</w:t>
      </w:r>
      <w:r w:rsidRPr="00CC1818">
        <w:rPr>
          <w:vertAlign w:val="subscript"/>
        </w:rPr>
        <w:t>HDS</w:t>
      </w:r>
      <w:r w:rsidRPr="00CC1818">
        <w:t xml:space="preserve"> that arise as their sum</w:t>
      </w:r>
      <w:r>
        <w:t>s</w:t>
      </w:r>
      <w:r w:rsidRPr="00CC1818">
        <w:t>.</w:t>
      </w:r>
    </w:p>
    <w:p w:rsidR="00492D72" w:rsidRDefault="00D04776" w:rsidP="009871CA">
      <w:pPr>
        <w:pStyle w:val="BodyText"/>
      </w:pPr>
      <w:r>
        <w:br w:type="page"/>
      </w:r>
    </w:p>
    <w:p w:rsidR="009871CA" w:rsidRDefault="00A07EC9" w:rsidP="009871CA">
      <w:pPr>
        <w:pStyle w:val="BodyText"/>
      </w:pPr>
      <w:r w:rsidRPr="007031A0">
        <w:rPr>
          <w:rFonts w:cs="Times New Roman"/>
          <w:b/>
          <w:noProof/>
          <w:sz w:val="22"/>
          <w:szCs w:val="22"/>
        </w:rPr>
        <w:lastRenderedPageBreak/>
        <w:drawing>
          <wp:inline distT="0" distB="0" distL="0" distR="0">
            <wp:extent cx="6840855" cy="3911600"/>
            <wp:effectExtent l="0" t="0" r="0" b="0"/>
            <wp:docPr id="15" name="Picture 8" descr="A close up of a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A close up of a map&#10;&#10;Description automatically generated"/>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40855" cy="3911600"/>
                    </a:xfrm>
                    <a:prstGeom prst="rect">
                      <a:avLst/>
                    </a:prstGeom>
                    <a:noFill/>
                    <a:ln>
                      <a:noFill/>
                    </a:ln>
                  </pic:spPr>
                </pic:pic>
              </a:graphicData>
            </a:graphic>
          </wp:inline>
        </w:drawing>
      </w:r>
    </w:p>
    <w:p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xml:space="preserve">) of </w:t>
      </w:r>
      <w:r w:rsidRPr="00AC670A">
        <w:rPr>
          <w:b/>
          <w:bCs/>
        </w:rPr>
        <w:t>(a–i)</w:t>
      </w:r>
      <w:r w:rsidRPr="006A6996">
        <w:t xml:space="preserve"> various forms of environmental heterogeneity (log</w:t>
      </w:r>
      <w:r w:rsidRPr="008E45A8">
        <w:rPr>
          <w:vertAlign w:val="subscript"/>
        </w:rPr>
        <w:t>10</w:t>
      </w:r>
      <w:r w:rsidRPr="006A6996">
        <w:t xml:space="preserve">-transformed) and </w:t>
      </w:r>
      <w:r w:rsidRPr="00AC670A">
        <w:rPr>
          <w:b/>
          <w:bCs/>
        </w:rPr>
        <w:t>(j)</w:t>
      </w:r>
      <w:r w:rsidRPr="006A6996">
        <w:t xml:space="preserve">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r w:rsidR="007138B7">
        <w:t>c,g,i) and marginally significant</w:t>
      </w:r>
      <w:r w:rsidR="007138B7" w:rsidRPr="007138B7">
        <w:t xml:space="preserve"> </w:t>
      </w:r>
      <w:r w:rsidR="007138B7">
        <w:t>(</w:t>
      </w:r>
      <w:r w:rsidR="007138B7">
        <w:rPr>
          <w:i/>
          <w:iCs/>
        </w:rPr>
        <w:t>P</w:t>
      </w:r>
      <w:r w:rsidR="007138B7">
        <w:t xml:space="preserve"> &lt; 0.1; d,e,h) have been plotted, the latter for illustration. Note, only two forms of heterogeneity were found to be negatively scale-dependent </w:t>
      </w:r>
      <w:r w:rsidR="007138B7" w:rsidRPr="008E5837">
        <w:rPr>
          <w:b/>
          <w:bCs/>
        </w:rPr>
        <w:t>(b,h)</w:t>
      </w:r>
      <w:r w:rsidRPr="006A6996">
        <w:t>. Abbreviations are as in Table</w:t>
      </w:r>
      <w:r>
        <w:t xml:space="preserve"> 1</w:t>
      </w:r>
      <w:r w:rsidRPr="006A6996">
        <w:t>.</w:t>
      </w:r>
    </w:p>
    <w:p w:rsidR="009871CA" w:rsidRDefault="009871CA" w:rsidP="009871CA">
      <w:pPr>
        <w:pStyle w:val="BodyText"/>
      </w:pPr>
      <w:r>
        <w:br w:type="page"/>
      </w:r>
    </w:p>
    <w:p w:rsidR="00D04776" w:rsidRDefault="00A07EC9" w:rsidP="0018462C">
      <w:pPr>
        <w:pStyle w:val="CaptionedFigure"/>
        <w:spacing w:line="240" w:lineRule="auto"/>
      </w:pPr>
      <w:r w:rsidRPr="007031A0">
        <w:rPr>
          <w:rFonts w:cs="Times New Roman"/>
          <w:b/>
          <w:noProof/>
          <w:sz w:val="22"/>
          <w:szCs w:val="22"/>
        </w:rPr>
        <w:lastRenderedPageBreak/>
        <w:drawing>
          <wp:inline distT="0" distB="0" distL="0" distR="0">
            <wp:extent cx="7196455" cy="2700655"/>
            <wp:effectExtent l="0" t="0" r="0" b="0"/>
            <wp:docPr id="16"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96455" cy="2700655"/>
                    </a:xfrm>
                    <a:prstGeom prst="rect">
                      <a:avLst/>
                    </a:prstGeom>
                    <a:noFill/>
                    <a:ln>
                      <a:noFill/>
                    </a:ln>
                  </pic:spPr>
                </pic:pic>
              </a:graphicData>
            </a:graphic>
          </wp:inline>
        </w:drawing>
      </w:r>
    </w:p>
    <w:p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580240">
        <w:rPr>
          <w:b/>
          <w:bCs/>
        </w:rPr>
        <w:t>(a)</w:t>
      </w:r>
      <w:r w:rsidR="00D04776" w:rsidRPr="000951C2">
        <w:t xml:space="preserve"> </w:t>
      </w:r>
      <w:r w:rsidR="00D04776" w:rsidRPr="000951C2">
        <w:rPr>
          <w:i/>
        </w:rPr>
        <w:t>S</w:t>
      </w:r>
      <w:r w:rsidR="000951C2">
        <w:rPr>
          <w:vertAlign w:val="subscript"/>
        </w:rPr>
        <w:t>Q</w:t>
      </w:r>
      <w:r w:rsidR="00D04776" w:rsidRPr="000951C2">
        <w:rPr>
          <w:vertAlign w:val="subscript"/>
        </w:rPr>
        <w:t>DS</w:t>
      </w:r>
      <w:r w:rsidR="000951C2">
        <w:t xml:space="preserve">, </w:t>
      </w:r>
      <w:r w:rsidR="00D04776" w:rsidRPr="00580240">
        <w:rPr>
          <w:b/>
          <w:bCs/>
        </w:rPr>
        <w:t>(b)</w:t>
      </w:r>
      <w:r w:rsidR="00D04776" w:rsidRPr="000951C2">
        <w:t xml:space="preserve">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w:t>
      </w:r>
      <w:r w:rsidR="000951C2" w:rsidRPr="00580240">
        <w:rPr>
          <w:b/>
          <w:bCs/>
        </w:rPr>
        <w:t>(c)</w:t>
      </w:r>
      <w:r w:rsidR="000951C2">
        <w:t xml:space="preserve">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sidRPr="007031A0">
        <w:rPr>
          <w:rFonts w:eastAsia="MS Mincho"/>
        </w:rPr>
        <w:t xml:space="preserve"> “main effect + region” model (</w:t>
      </w:r>
      <w:r w:rsidR="00674883" w:rsidRPr="007031A0">
        <w:rPr>
          <w:rFonts w:eastAsia="MS Mincho"/>
          <w:i/>
        </w:rPr>
        <w:t>S</w:t>
      </w:r>
      <w:r w:rsidR="00674883" w:rsidRPr="007031A0">
        <w:rPr>
          <w:rFonts w:eastAsia="MS Mincho"/>
        </w:rPr>
        <w:t xml:space="preserve"> ~ </w:t>
      </w:r>
      <w:r w:rsidR="00674883" w:rsidRPr="007031A0">
        <w:rPr>
          <w:rFonts w:cs="Times New Roman"/>
          <w:i/>
        </w:rPr>
        <w:t>β</w:t>
      </w:r>
      <w:r w:rsidR="00674883" w:rsidRPr="007031A0">
        <w:rPr>
          <w:rFonts w:cs="Times New Roman"/>
          <w:vertAlign w:val="subscript"/>
        </w:rPr>
        <w:t>0</w:t>
      </w:r>
      <w:r w:rsidR="00674883" w:rsidRPr="007031A0">
        <w:rPr>
          <w:rFonts w:cs="Times New Roman"/>
        </w:rPr>
        <w:t xml:space="preserve"> + </w:t>
      </w:r>
      <w:r w:rsidR="00674883" w:rsidRPr="007031A0">
        <w:rPr>
          <w:rFonts w:cs="Times New Roman"/>
          <w:i/>
        </w:rPr>
        <w:t>β</w:t>
      </w:r>
      <w:r w:rsidR="00674883" w:rsidRPr="007031A0">
        <w:rPr>
          <w:rFonts w:cs="Times New Roman"/>
          <w:vertAlign w:val="subscript"/>
        </w:rPr>
        <w:t>1</w:t>
      </w:r>
      <w:r w:rsidR="00674883" w:rsidRPr="007031A0">
        <w:rPr>
          <w:rFonts w:cs="Times New Roman"/>
          <w:i/>
        </w:rPr>
        <w:t>X</w:t>
      </w:r>
      <w:r w:rsidR="00674883" w:rsidRPr="007031A0">
        <w:rPr>
          <w:rFonts w:cs="Times New Roman"/>
        </w:rPr>
        <w:t xml:space="preserve"> + </w:t>
      </w:r>
      <w:r w:rsidR="00674883" w:rsidRPr="007031A0">
        <w:rPr>
          <w:rFonts w:cs="Times New Roman"/>
          <w:i/>
        </w:rPr>
        <w:t>β</w:t>
      </w:r>
      <w:r w:rsidR="00674883" w:rsidRPr="007031A0">
        <w:rPr>
          <w:rFonts w:cs="Times New Roman"/>
          <w:vertAlign w:val="subscript"/>
        </w:rPr>
        <w:t>2</w:t>
      </w:r>
      <w:r w:rsidR="00674883" w:rsidRPr="007031A0">
        <w:rPr>
          <w:rFonts w:cs="Times New Roman"/>
          <w:i/>
        </w:rPr>
        <w:t>Region</w:t>
      </w:r>
      <w:r w:rsidR="00674883" w:rsidRPr="007031A0">
        <w:rPr>
          <w:rFonts w:cs="Times New Roman"/>
          <w:iCs/>
        </w:rPr>
        <w:t xml:space="preserve">; </w:t>
      </w:r>
      <w:r w:rsidR="00674883">
        <w:t>Table 1a</w:t>
      </w:r>
      <w:r w:rsidR="00674883" w:rsidRPr="007031A0">
        <w:rPr>
          <w:rFonts w:cs="Times New Roman"/>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w:t>
      </w:r>
      <w:r w:rsidR="00143488">
        <w:t xml:space="preserve">percentage </w:t>
      </w:r>
      <w:r w:rsidR="005D4530">
        <w:t xml:space="preserve">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rsidR="00D04776" w:rsidRDefault="00D04776" w:rsidP="0063566A">
      <w:pPr>
        <w:pStyle w:val="ImageCaption"/>
        <w:spacing w:before="240" w:line="240" w:lineRule="auto"/>
      </w:pPr>
      <w:r>
        <w:br w:type="page"/>
      </w:r>
    </w:p>
    <w:p w:rsidR="00D04776" w:rsidRDefault="00A07EC9" w:rsidP="0018462C">
      <w:pPr>
        <w:pStyle w:val="CaptionedFigure"/>
        <w:spacing w:line="240" w:lineRule="auto"/>
      </w:pPr>
      <w:r w:rsidRPr="007031A0">
        <w:rPr>
          <w:rFonts w:cs="Times New Roman"/>
          <w:b/>
          <w:noProof/>
          <w:sz w:val="22"/>
          <w:szCs w:val="22"/>
        </w:rPr>
        <w:lastRenderedPageBreak/>
        <w:drawing>
          <wp:inline distT="0" distB="0" distL="0" distR="0">
            <wp:extent cx="6840855" cy="3911600"/>
            <wp:effectExtent l="0" t="0" r="0" b="0"/>
            <wp:docPr id="17"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40855" cy="3911600"/>
                    </a:xfrm>
                    <a:prstGeom prst="rect">
                      <a:avLst/>
                    </a:prstGeom>
                    <a:noFill/>
                    <a:ln>
                      <a:noFill/>
                    </a:ln>
                  </pic:spPr>
                </pic:pic>
              </a:graphicData>
            </a:graphic>
          </wp:inline>
        </w:drawing>
      </w:r>
    </w:p>
    <w:p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w:t>
      </w:r>
      <w:r w:rsidR="00475DD1">
        <w:t>Partial effect</w:t>
      </w:r>
      <w:r w:rsidR="00D04776" w:rsidRPr="00EB7331">
        <w:t xml:space="preserv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474DB5">
        <w:rPr>
          <w:b/>
          <w:bCs/>
        </w:rPr>
        <w:t>(a)</w:t>
      </w:r>
      <w:r w:rsidR="00D04776" w:rsidRPr="00EB7331">
        <w:t xml:space="preserve">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w:t>
      </w:r>
      <w:r w:rsidR="00D04776" w:rsidRPr="00474DB5">
        <w:rPr>
          <w:b/>
          <w:bCs/>
        </w:rPr>
        <w:t>(b)</w:t>
      </w:r>
      <w:r w:rsidR="00D04776" w:rsidRPr="00EB7331">
        <w:t xml:space="preserve">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 xml:space="preserve">and </w:t>
      </w:r>
      <w:r w:rsidR="00F53C09" w:rsidRPr="00474DB5">
        <w:rPr>
          <w:b/>
          <w:bCs/>
        </w:rPr>
        <w:t>(c</w:t>
      </w:r>
      <w:r w:rsidR="00D04776" w:rsidRPr="00474DB5">
        <w:rPr>
          <w:b/>
          <w:bCs/>
        </w:rPr>
        <w:t>)</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 xml:space="preserve">across </w:t>
      </w:r>
      <w:r w:rsidR="00EE26B5">
        <w:t xml:space="preserve">the </w:t>
      </w:r>
      <w:r w:rsidR="00741F6E" w:rsidRPr="00EB7331">
        <w:t>GCFR</w:t>
      </w:r>
      <w:r w:rsidR="00F53C09">
        <w:t xml:space="preserve"> and </w:t>
      </w:r>
      <w:r w:rsidR="00741F6E" w:rsidRPr="00EB7331">
        <w:t>SWAFR</w:t>
      </w:r>
      <w:r w:rsidR="00D04776" w:rsidRPr="00EB7331">
        <w:t>. Points with error bars denote</w:t>
      </w:r>
      <w:r w:rsidR="00475DD1">
        <w:t xml:space="preserve"> slopes</w:t>
      </w:r>
      <w:r w:rsidR="00D04776" w:rsidRPr="00EB7331">
        <w:t xml:space="preserve">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B3561C">
        <w:t>,</w:t>
      </w:r>
      <w:r w:rsidR="00E959AF">
        <w:t xml:space="preserve"> respectively</w:t>
      </w:r>
      <w:r w:rsidR="00883D79">
        <w:t xml:space="preserve"> (i.e. </w:t>
      </w:r>
      <w:r w:rsidR="00E959AF">
        <w:t xml:space="preserve">region-interaction terms were retained during </w:t>
      </w:r>
      <w:r w:rsidR="00E959AF" w:rsidRPr="00EB7331">
        <w:t>stepwise model selection</w:t>
      </w:r>
      <w:r w:rsidR="00883D79">
        <w:t>)</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rsidR="00570649" w:rsidRDefault="00570649" w:rsidP="00911305">
      <w:pPr>
        <w:pStyle w:val="ImageCaption"/>
        <w:spacing w:line="240" w:lineRule="auto"/>
      </w:pPr>
      <w:bookmarkStart w:id="9" w:name="references"/>
      <w:r>
        <w:br w:type="page"/>
      </w:r>
    </w:p>
    <w:p w:rsidR="000878A3" w:rsidRDefault="009E59E0" w:rsidP="000878A3">
      <w:pPr>
        <w:pStyle w:val="Heading1"/>
        <w:spacing w:line="240" w:lineRule="auto"/>
      </w:pPr>
      <w:r w:rsidRPr="009E59E0">
        <w:lastRenderedPageBreak/>
        <w:t>Data availability statement</w:t>
      </w:r>
    </w:p>
    <w:p w:rsidR="009E59E0" w:rsidRPr="000878A3" w:rsidRDefault="00C41DBA" w:rsidP="000878A3">
      <w:pPr>
        <w:pStyle w:val="BodyText"/>
      </w:pPr>
      <w:r>
        <w:t xml:space="preserve">The raw vascular plant occurrence records used are available from GBIF (GCFR: </w:t>
      </w:r>
      <w:hyperlink r:id="rId15" w:history="1">
        <w:r w:rsidRPr="000F1325">
          <w:rPr>
            <w:rStyle w:val="Hyperlink"/>
          </w:rPr>
          <w:t>https://doi.org/10.15468/dl.n6u6n0</w:t>
        </w:r>
      </w:hyperlink>
      <w:r>
        <w:t xml:space="preserve">; SWAFR: </w:t>
      </w:r>
      <w:hyperlink r:id="rId16"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0317CE">
        <w:t>to be provided</w:t>
      </w:r>
      <w:r w:rsidR="00C2037C">
        <w:t>]</w:t>
      </w:r>
      <w:r w:rsidR="00DC1038">
        <w:t>.</w:t>
      </w:r>
    </w:p>
    <w:p w:rsidR="00DD2348" w:rsidRDefault="005F0FFB" w:rsidP="0018462C">
      <w:pPr>
        <w:pStyle w:val="Heading1"/>
      </w:pPr>
      <w:r w:rsidRPr="002C20EB">
        <w:t>References</w:t>
      </w:r>
      <w:bookmarkEnd w:id="9"/>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Ackerly, D. D. (2009). Evolution, origin and age of lineages in the Californian and Mediterranean floras.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36</w:t>
      </w:r>
      <w:r w:rsidRPr="00363E65">
        <w:rPr>
          <w:rFonts w:hAnsi="Times New Roman" w:cs="Times New Roman"/>
          <w:noProof/>
          <w:lang w:val="en-GB"/>
        </w:rPr>
        <w:t>(7), 1221–1233. https://doi.org/10.1111/j.1365-2699.2009.02097.x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Allouche, O., Kalyuzhny, M., Moreno-Rueda, G., Pizarro, M., &amp; Kadmon, R. (2012). Area-heterogeneity tradeoff and the diversity of ecological communities.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109</w:t>
      </w:r>
      <w:r w:rsidRPr="00363E65">
        <w:rPr>
          <w:rFonts w:hAnsi="Times New Roman" w:cs="Times New Roman"/>
          <w:noProof/>
          <w:lang w:val="en-GB"/>
        </w:rPr>
        <w:t>(43), 17495–17500.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363E65">
        <w:rPr>
          <w:rFonts w:hAnsi="Times New Roman" w:cs="Times New Roman"/>
          <w:i/>
          <w:iCs/>
          <w:noProof/>
          <w:lang w:val="en-GB"/>
        </w:rPr>
        <w:t>Hydrological Processes</w:t>
      </w:r>
      <w:r w:rsidRPr="00363E65">
        <w:rPr>
          <w:rFonts w:hAnsi="Times New Roman" w:cs="Times New Roman"/>
          <w:noProof/>
          <w:lang w:val="en-GB"/>
        </w:rPr>
        <w:t xml:space="preserve">, </w:t>
      </w:r>
      <w:r w:rsidRPr="00363E65">
        <w:rPr>
          <w:rFonts w:hAnsi="Times New Roman" w:cs="Times New Roman"/>
          <w:i/>
          <w:iCs/>
          <w:noProof/>
          <w:lang w:val="en-GB"/>
        </w:rPr>
        <w:t>28</w:t>
      </w:r>
      <w:r w:rsidRPr="00363E65">
        <w:rPr>
          <w:rFonts w:hAnsi="Times New Roman" w:cs="Times New Roman"/>
          <w:noProof/>
          <w:lang w:val="en-GB"/>
        </w:rPr>
        <w:t>(22), 5513–5529.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Beard, J. S., Chapman, A. R., &amp; Gioia, P. (2000). Species richness and endemism in the Western Australian flora.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27</w:t>
      </w:r>
      <w:r w:rsidRPr="00363E65">
        <w:rPr>
          <w:rFonts w:hAnsi="Times New Roman" w:cs="Times New Roman"/>
          <w:noProof/>
          <w:lang w:val="en-GB"/>
        </w:rPr>
        <w:t>(6), 1257–1268. https://doi.org/10.1046/j.1365-2699.2000.00509.x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Belda, M., Holtanová, E., Halenka, T., &amp; Kalvová, J. (2014). Climate classification revisited: from Köppen to Trewartha. </w:t>
      </w:r>
      <w:r w:rsidRPr="00363E65">
        <w:rPr>
          <w:rFonts w:hAnsi="Times New Roman" w:cs="Times New Roman"/>
          <w:i/>
          <w:iCs/>
          <w:noProof/>
          <w:lang w:val="en-GB"/>
        </w:rPr>
        <w:t>Climate Research</w:t>
      </w:r>
      <w:r w:rsidRPr="00363E65">
        <w:rPr>
          <w:rFonts w:hAnsi="Times New Roman" w:cs="Times New Roman"/>
          <w:noProof/>
          <w:lang w:val="en-GB"/>
        </w:rPr>
        <w:t xml:space="preserve">, </w:t>
      </w:r>
      <w:r w:rsidRPr="00363E65">
        <w:rPr>
          <w:rFonts w:hAnsi="Times New Roman" w:cs="Times New Roman"/>
          <w:i/>
          <w:iCs/>
          <w:noProof/>
          <w:lang w:val="en-GB"/>
        </w:rPr>
        <w:t>59</w:t>
      </w:r>
      <w:r w:rsidRPr="00363E65">
        <w:rPr>
          <w:rFonts w:hAnsi="Times New Roman" w:cs="Times New Roman"/>
          <w:noProof/>
          <w:lang w:val="en-GB"/>
        </w:rPr>
        <w:t>(1), 1–13.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Bergh, N. G., &amp; Linder, H. P. (2009). Cape diversification and repeated out-of-southern-Africa dispersal in paper daisies (Asteraceae--Gnaphalieae). </w:t>
      </w:r>
      <w:r w:rsidRPr="00363E65">
        <w:rPr>
          <w:rFonts w:hAnsi="Times New Roman" w:cs="Times New Roman"/>
          <w:i/>
          <w:iCs/>
          <w:noProof/>
          <w:lang w:val="en-GB"/>
        </w:rPr>
        <w:t>Molecular Phylogenetics and Evolution</w:t>
      </w:r>
      <w:r w:rsidRPr="00363E65">
        <w:rPr>
          <w:rFonts w:hAnsi="Times New Roman" w:cs="Times New Roman"/>
          <w:noProof/>
          <w:lang w:val="en-GB"/>
        </w:rPr>
        <w:t xml:space="preserve">, </w:t>
      </w:r>
      <w:r w:rsidRPr="00363E65">
        <w:rPr>
          <w:rFonts w:hAnsi="Times New Roman" w:cs="Times New Roman"/>
          <w:i/>
          <w:iCs/>
          <w:noProof/>
          <w:lang w:val="en-GB"/>
        </w:rPr>
        <w:t>51</w:t>
      </w:r>
      <w:r w:rsidRPr="00363E65">
        <w:rPr>
          <w:rFonts w:hAnsi="Times New Roman" w:cs="Times New Roman"/>
          <w:noProof/>
          <w:lang w:val="en-GB"/>
        </w:rPr>
        <w:t>(1), 5–18.</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Bivand, R., Keitt, T., &amp; Rowlingson, B. (2017). </w:t>
      </w:r>
      <w:r w:rsidRPr="00363E65">
        <w:rPr>
          <w:rFonts w:hAnsi="Times New Roman" w:cs="Times New Roman"/>
          <w:i/>
          <w:iCs/>
          <w:noProof/>
          <w:lang w:val="en-GB"/>
        </w:rPr>
        <w:t>rgdal: Bindings for the Geospatial Data Abstraction Library. R package version 1.2-7</w:t>
      </w:r>
      <w:r w:rsidRPr="00363E65">
        <w:rPr>
          <w:rFonts w:hAnsi="Times New Roman" w:cs="Times New Roman"/>
          <w:noProof/>
          <w:lang w:val="en-GB"/>
        </w:rPr>
        <w:t>. https://cran.r-project.org/package=rgdal</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Bøhn, T., &amp; Amundsen, P.-A. (2004). Ecological interactions and evolution: forgotten parts of biodiversity? </w:t>
      </w:r>
      <w:r w:rsidRPr="00363E65">
        <w:rPr>
          <w:rFonts w:hAnsi="Times New Roman" w:cs="Times New Roman"/>
          <w:i/>
          <w:iCs/>
          <w:noProof/>
          <w:lang w:val="en-GB"/>
        </w:rPr>
        <w:t>BioScience</w:t>
      </w:r>
      <w:r w:rsidRPr="00363E65">
        <w:rPr>
          <w:rFonts w:hAnsi="Times New Roman" w:cs="Times New Roman"/>
          <w:noProof/>
          <w:lang w:val="en-GB"/>
        </w:rPr>
        <w:t xml:space="preserve">, </w:t>
      </w:r>
      <w:r w:rsidRPr="00363E65">
        <w:rPr>
          <w:rFonts w:hAnsi="Times New Roman" w:cs="Times New Roman"/>
          <w:i/>
          <w:iCs/>
          <w:noProof/>
          <w:lang w:val="en-GB"/>
        </w:rPr>
        <w:t>54</w:t>
      </w:r>
      <w:r w:rsidRPr="00363E65">
        <w:rPr>
          <w:rFonts w:hAnsi="Times New Roman" w:cs="Times New Roman"/>
          <w:noProof/>
          <w:lang w:val="en-GB"/>
        </w:rPr>
        <w:t>(9), 804–805.</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Born, J., Linder, H. P., &amp; Desmet, P. (2007). The Greater Cape Floristic Region.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34</w:t>
      </w:r>
      <w:r w:rsidRPr="00363E65">
        <w:rPr>
          <w:rFonts w:hAnsi="Times New Roman" w:cs="Times New Roman"/>
          <w:noProof/>
          <w:lang w:val="en-GB"/>
        </w:rPr>
        <w:t>(1), 147–162. https://doi.org/10.1111/j.1365-2699.2006.01595.x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Born, Julia, &amp; Linder, H. P. (2018). Water availability, fundamental niches and realized niches: A case study from the Cape flora. </w:t>
      </w:r>
      <w:r w:rsidRPr="00363E65">
        <w:rPr>
          <w:rFonts w:hAnsi="Times New Roman" w:cs="Times New Roman"/>
          <w:i/>
          <w:iCs/>
          <w:noProof/>
          <w:lang w:val="en-GB"/>
        </w:rPr>
        <w:t>Austral Ecology</w:t>
      </w:r>
      <w:r w:rsidRPr="00363E65">
        <w:rPr>
          <w:rFonts w:hAnsi="Times New Roman" w:cs="Times New Roman"/>
          <w:noProof/>
          <w:lang w:val="en-GB"/>
        </w:rPr>
        <w:t xml:space="preserve">, </w:t>
      </w:r>
      <w:r w:rsidRPr="00363E65">
        <w:rPr>
          <w:rFonts w:hAnsi="Times New Roman" w:cs="Times New Roman"/>
          <w:i/>
          <w:iCs/>
          <w:noProof/>
          <w:lang w:val="en-GB"/>
        </w:rPr>
        <w:t>43</w:t>
      </w:r>
      <w:r w:rsidRPr="00363E65">
        <w:rPr>
          <w:rFonts w:hAnsi="Times New Roman" w:cs="Times New Roman"/>
          <w:noProof/>
          <w:lang w:val="en-GB"/>
        </w:rPr>
        <w:t>(6), 696–705. https://doi.org/10.1111/aec.12616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Bradshaw, P. L., &amp; Cowling, R. M. (2014). Landscapes, rock types, and climate of the Greater Cape Floristic Region. In N. Allsopp, J. F. Colville, &amp; G. A. Verboom (Eds.), </w:t>
      </w:r>
      <w:r w:rsidRPr="00363E65">
        <w:rPr>
          <w:rFonts w:hAnsi="Times New Roman" w:cs="Times New Roman"/>
          <w:i/>
          <w:iCs/>
          <w:noProof/>
          <w:lang w:val="en-GB"/>
        </w:rPr>
        <w:t>Fynbos: Ecology, Evolution and Conservation of a Megadiverse Region</w:t>
      </w:r>
      <w:r w:rsidRPr="00363E65">
        <w:rPr>
          <w:rFonts w:hAnsi="Times New Roman" w:cs="Times New Roman"/>
          <w:noProof/>
          <w:lang w:val="en-GB"/>
        </w:rPr>
        <w:t xml:space="preserve"> (pp. 26–46). Oxford University Press. https://doi.org/oso/9780199679584.003.0002</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363E65">
        <w:rPr>
          <w:rFonts w:hAnsi="Times New Roman" w:cs="Times New Roman"/>
          <w:i/>
          <w:iCs/>
          <w:noProof/>
          <w:lang w:val="en-GB"/>
        </w:rPr>
        <w:t>Quaternary Science Reviews</w:t>
      </w:r>
      <w:r w:rsidRPr="00363E65">
        <w:rPr>
          <w:rFonts w:hAnsi="Times New Roman" w:cs="Times New Roman"/>
          <w:noProof/>
          <w:lang w:val="en-GB"/>
        </w:rPr>
        <w:t xml:space="preserve">, </w:t>
      </w:r>
      <w:r w:rsidRPr="00363E65">
        <w:rPr>
          <w:rFonts w:hAnsi="Times New Roman" w:cs="Times New Roman"/>
          <w:i/>
          <w:iCs/>
          <w:noProof/>
          <w:lang w:val="en-GB"/>
        </w:rPr>
        <w:t>27</w:t>
      </w:r>
      <w:r w:rsidRPr="00363E65">
        <w:rPr>
          <w:rFonts w:hAnsi="Times New Roman" w:cs="Times New Roman"/>
          <w:noProof/>
          <w:lang w:val="en-GB"/>
        </w:rPr>
        <w:t>(27–28), 2576–2585. https://doi.org/10.1016/j.quascirev.2008.08.032</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Byrne, M., &amp; Hines, B. (2004). Phylogeographical analysis of cpDNA variation in Eucalyptus loxophleba (Myrtaceae). </w:t>
      </w:r>
      <w:r w:rsidRPr="00363E65">
        <w:rPr>
          <w:rFonts w:hAnsi="Times New Roman" w:cs="Times New Roman"/>
          <w:i/>
          <w:iCs/>
          <w:noProof/>
          <w:lang w:val="en-GB"/>
        </w:rPr>
        <w:t>Australian Journal of Botany</w:t>
      </w:r>
      <w:r w:rsidRPr="00363E65">
        <w:rPr>
          <w:rFonts w:hAnsi="Times New Roman" w:cs="Times New Roman"/>
          <w:noProof/>
          <w:lang w:val="en-GB"/>
        </w:rPr>
        <w:t xml:space="preserve">, </w:t>
      </w:r>
      <w:r w:rsidRPr="00363E65">
        <w:rPr>
          <w:rFonts w:hAnsi="Times New Roman" w:cs="Times New Roman"/>
          <w:i/>
          <w:iCs/>
          <w:noProof/>
          <w:lang w:val="en-GB"/>
        </w:rPr>
        <w:t>52</w:t>
      </w:r>
      <w:r w:rsidRPr="00363E65">
        <w:rPr>
          <w:rFonts w:hAnsi="Times New Roman" w:cs="Times New Roman"/>
          <w:noProof/>
          <w:lang w:val="en-GB"/>
        </w:rPr>
        <w:t>(4), 459–470.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Carnicer, J., Brotons, L., Herrando, S., &amp; Sol, D. (2013). Improved empirical tests of area-heterogeneity tradeoffs.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110</w:t>
      </w:r>
      <w:r w:rsidRPr="00363E65">
        <w:rPr>
          <w:rFonts w:hAnsi="Times New Roman" w:cs="Times New Roman"/>
          <w:noProof/>
          <w:lang w:val="en-GB"/>
        </w:rPr>
        <w:t>(31), E2858--E2860.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Chamberlain, S., Szocs, E., Boettiger, C., Ram, K., Bartomeus, I., Baumgartner, J., Foster, Z., &amp; O’Donnell, J. (2016). </w:t>
      </w:r>
      <w:r w:rsidRPr="00363E65">
        <w:rPr>
          <w:rFonts w:hAnsi="Times New Roman" w:cs="Times New Roman"/>
          <w:i/>
          <w:iCs/>
          <w:noProof/>
          <w:lang w:val="en-GB"/>
        </w:rPr>
        <w:t>taxize: Taxonomic information from around the web. R package version 0.7.8</w:t>
      </w:r>
      <w:r w:rsidRPr="00363E65">
        <w:rPr>
          <w:rFonts w:hAnsi="Times New Roman" w:cs="Times New Roman"/>
          <w:noProof/>
          <w:lang w:val="en-GB"/>
        </w:rPr>
        <w:t>. https://github.com/ropensci/taxize</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Chao, A., &amp; Jost, L. (2012). Coverage-based rarefaction and extrapolation: standardizing samples by completeness rather than size. </w:t>
      </w:r>
      <w:r w:rsidRPr="00363E65">
        <w:rPr>
          <w:rFonts w:hAnsi="Times New Roman" w:cs="Times New Roman"/>
          <w:i/>
          <w:iCs/>
          <w:noProof/>
          <w:lang w:val="en-GB"/>
        </w:rPr>
        <w:t>Ecology</w:t>
      </w:r>
      <w:r w:rsidRPr="00363E65">
        <w:rPr>
          <w:rFonts w:hAnsi="Times New Roman" w:cs="Times New Roman"/>
          <w:noProof/>
          <w:lang w:val="en-GB"/>
        </w:rPr>
        <w:t xml:space="preserve">, </w:t>
      </w:r>
      <w:r w:rsidRPr="00363E65">
        <w:rPr>
          <w:rFonts w:hAnsi="Times New Roman" w:cs="Times New Roman"/>
          <w:i/>
          <w:iCs/>
          <w:noProof/>
          <w:lang w:val="en-GB"/>
        </w:rPr>
        <w:t>93</w:t>
      </w:r>
      <w:r w:rsidRPr="00363E65">
        <w:rPr>
          <w:rFonts w:hAnsi="Times New Roman" w:cs="Times New Roman"/>
          <w:noProof/>
          <w:lang w:val="en-GB"/>
        </w:rPr>
        <w:t>(12), 2533–2547.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363E65">
        <w:rPr>
          <w:rFonts w:hAnsi="Times New Roman" w:cs="Times New Roman"/>
          <w:i/>
          <w:iCs/>
          <w:noProof/>
          <w:lang w:val="en-GB"/>
        </w:rPr>
        <w:t>Diversity and Distributions</w:t>
      </w:r>
      <w:r w:rsidRPr="00363E65">
        <w:rPr>
          <w:rFonts w:hAnsi="Times New Roman" w:cs="Times New Roman"/>
          <w:noProof/>
          <w:lang w:val="en-GB"/>
        </w:rPr>
        <w:t xml:space="preserve">, </w:t>
      </w:r>
      <w:r w:rsidRPr="00363E65">
        <w:rPr>
          <w:rFonts w:hAnsi="Times New Roman" w:cs="Times New Roman"/>
          <w:i/>
          <w:iCs/>
          <w:noProof/>
          <w:lang w:val="en-GB"/>
        </w:rPr>
        <w:t>8</w:t>
      </w:r>
      <w:r w:rsidRPr="00363E65">
        <w:rPr>
          <w:rFonts w:hAnsi="Times New Roman" w:cs="Times New Roman"/>
          <w:noProof/>
          <w:lang w:val="en-GB"/>
        </w:rPr>
        <w:t>(3), 163–179.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21</w:t>
      </w:r>
      <w:r w:rsidRPr="00363E65">
        <w:rPr>
          <w:rFonts w:hAnsi="Times New Roman" w:cs="Times New Roman"/>
          <w:noProof/>
          <w:lang w:val="en-GB"/>
        </w:rPr>
        <w:t>(6), 651. https://doi.org/10.2307/2846038</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42</w:t>
      </w:r>
      <w:r w:rsidRPr="00363E65">
        <w:rPr>
          <w:rFonts w:hAnsi="Times New Roman" w:cs="Times New Roman"/>
          <w:noProof/>
          <w:lang w:val="en-GB"/>
        </w:rPr>
        <w:t>(3), 552–564. https://doi.org/10.1111/jbi.12429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Richard M., Rundel, P. W., Lamont, B. B., Arroyo, M. K., &amp; Arianoutsou, M. (1996). Plant diversity in mediterranean-climate regions. </w:t>
      </w:r>
      <w:r w:rsidRPr="00363E65">
        <w:rPr>
          <w:rFonts w:hAnsi="Times New Roman" w:cs="Times New Roman"/>
          <w:i/>
          <w:iCs/>
          <w:noProof/>
          <w:lang w:val="en-GB"/>
        </w:rPr>
        <w:t>Trends in Ecology and Evolution</w:t>
      </w:r>
      <w:r w:rsidRPr="00363E65">
        <w:rPr>
          <w:rFonts w:hAnsi="Times New Roman" w:cs="Times New Roman"/>
          <w:noProof/>
          <w:lang w:val="en-GB"/>
        </w:rPr>
        <w:t xml:space="preserve">, </w:t>
      </w:r>
      <w:r w:rsidRPr="00363E65">
        <w:rPr>
          <w:rFonts w:hAnsi="Times New Roman" w:cs="Times New Roman"/>
          <w:i/>
          <w:iCs/>
          <w:noProof/>
          <w:lang w:val="en-GB"/>
        </w:rPr>
        <w:t>11</w:t>
      </w:r>
      <w:r w:rsidRPr="00363E65">
        <w:rPr>
          <w:rFonts w:hAnsi="Times New Roman" w:cs="Times New Roman"/>
          <w:noProof/>
          <w:lang w:val="en-GB"/>
        </w:rPr>
        <w:t>(9), 362–366. https://doi.org/10.1016/0169-5347(96)10044-6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363E65">
        <w:rPr>
          <w:rFonts w:hAnsi="Times New Roman" w:cs="Times New Roman"/>
          <w:i/>
          <w:iCs/>
          <w:noProof/>
          <w:lang w:val="en-GB"/>
        </w:rPr>
        <w:t>Transactions of the Royal Society of South Africa</w:t>
      </w:r>
      <w:r w:rsidRPr="00363E65">
        <w:rPr>
          <w:rFonts w:hAnsi="Times New Roman" w:cs="Times New Roman"/>
          <w:noProof/>
          <w:lang w:val="en-GB"/>
        </w:rPr>
        <w:t xml:space="preserve">, </w:t>
      </w:r>
      <w:r w:rsidRPr="00363E65">
        <w:rPr>
          <w:rFonts w:hAnsi="Times New Roman" w:cs="Times New Roman"/>
          <w:i/>
          <w:iCs/>
          <w:noProof/>
          <w:lang w:val="en-GB"/>
        </w:rPr>
        <w:t>72</w:t>
      </w:r>
      <w:r w:rsidRPr="00363E65">
        <w:rPr>
          <w:rFonts w:hAnsi="Times New Roman" w:cs="Times New Roman"/>
          <w:noProof/>
          <w:lang w:val="en-GB"/>
        </w:rPr>
        <w:t>(2), 184–201.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Cramer, M. D., &amp; Verboom, G. A. (2016). Measures of biologically relevant environmental heterogeneity improve prediction of regional plant species richness.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44</w:t>
      </w:r>
      <w:r w:rsidRPr="00363E65">
        <w:rPr>
          <w:rFonts w:hAnsi="Times New Roman" w:cs="Times New Roman"/>
          <w:noProof/>
          <w:lang w:val="en-GB"/>
        </w:rPr>
        <w:t>(3), 1–13. https://doi.org/10.1111/jbi.12911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Cramer, M. D., West, A. G., Power, S. C., Skelton, R., &amp; Stock, W. D. (2014). Plant ecophysiological diversity. In </w:t>
      </w:r>
      <w:r w:rsidRPr="00363E65">
        <w:rPr>
          <w:rFonts w:hAnsi="Times New Roman" w:cs="Times New Roman"/>
          <w:i/>
          <w:iCs/>
          <w:noProof/>
          <w:lang w:val="en-GB"/>
        </w:rPr>
        <w:t>Fynbos: Ecology, Evolution and Conservation of a Megadiverse Region</w:t>
      </w:r>
      <w:r w:rsidRPr="00363E65">
        <w:rPr>
          <w:rFonts w:hAnsi="Times New Roman" w:cs="Times New Roman"/>
          <w:noProof/>
          <w:lang w:val="en-GB"/>
        </w:rPr>
        <w:t xml:space="preserve"> (pp. 248–272). Oxford University Press. https://doi.org/oso/9780199679584.003.0011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363E65">
        <w:rPr>
          <w:rFonts w:hAnsi="Times New Roman" w:cs="Times New Roman"/>
          <w:i/>
          <w:iCs/>
          <w:noProof/>
          <w:lang w:val="en-GB"/>
        </w:rPr>
        <w:t>Diversity and Distributions</w:t>
      </w:r>
      <w:r w:rsidRPr="00363E65">
        <w:rPr>
          <w:rFonts w:hAnsi="Times New Roman" w:cs="Times New Roman"/>
          <w:noProof/>
          <w:lang w:val="en-GB"/>
        </w:rPr>
        <w:t xml:space="preserve">, </w:t>
      </w:r>
      <w:r w:rsidRPr="00363E65">
        <w:rPr>
          <w:rFonts w:hAnsi="Times New Roman" w:cs="Times New Roman"/>
          <w:i/>
          <w:iCs/>
          <w:noProof/>
          <w:lang w:val="en-GB"/>
        </w:rPr>
        <w:t>25</w:t>
      </w:r>
      <w:r w:rsidRPr="00363E65">
        <w:rPr>
          <w:rFonts w:hAnsi="Times New Roman" w:cs="Times New Roman"/>
          <w:noProof/>
          <w:lang w:val="en-GB"/>
        </w:rPr>
        <w:t>(11), 1736–1750.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363E65">
        <w:rPr>
          <w:rFonts w:hAnsi="Times New Roman" w:cs="Times New Roman"/>
          <w:i/>
          <w:iCs/>
          <w:noProof/>
          <w:lang w:val="en-GB"/>
        </w:rPr>
        <w:t>Nature</w:t>
      </w:r>
      <w:r w:rsidRPr="00363E65">
        <w:rPr>
          <w:rFonts w:hAnsi="Times New Roman" w:cs="Times New Roman"/>
          <w:noProof/>
          <w:lang w:val="en-GB"/>
        </w:rPr>
        <w:t xml:space="preserve">, </w:t>
      </w:r>
      <w:r w:rsidRPr="00363E65">
        <w:rPr>
          <w:rFonts w:hAnsi="Times New Roman" w:cs="Times New Roman"/>
          <w:i/>
          <w:iCs/>
          <w:noProof/>
          <w:lang w:val="en-GB"/>
        </w:rPr>
        <w:t>458</w:t>
      </w:r>
      <w:r w:rsidRPr="00363E65">
        <w:rPr>
          <w:rFonts w:hAnsi="Times New Roman" w:cs="Times New Roman"/>
          <w:noProof/>
          <w:lang w:val="en-GB"/>
        </w:rPr>
        <w:t>(7239), 754–756. https://doi.org/10.1038/nature07764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Currie, D. J. (1991). Energy and large-scale patterns of animal-and plant-species richness. </w:t>
      </w:r>
      <w:r w:rsidRPr="00363E65">
        <w:rPr>
          <w:rFonts w:hAnsi="Times New Roman" w:cs="Times New Roman"/>
          <w:i/>
          <w:iCs/>
          <w:noProof/>
          <w:lang w:val="en-GB"/>
        </w:rPr>
        <w:t>The American Naturalist</w:t>
      </w:r>
      <w:r w:rsidRPr="00363E65">
        <w:rPr>
          <w:rFonts w:hAnsi="Times New Roman" w:cs="Times New Roman"/>
          <w:noProof/>
          <w:lang w:val="en-GB"/>
        </w:rPr>
        <w:t xml:space="preserve">, </w:t>
      </w:r>
      <w:r w:rsidRPr="00363E65">
        <w:rPr>
          <w:rFonts w:hAnsi="Times New Roman" w:cs="Times New Roman"/>
          <w:i/>
          <w:iCs/>
          <w:noProof/>
          <w:lang w:val="en-GB"/>
        </w:rPr>
        <w:t>137</w:t>
      </w:r>
      <w:r w:rsidRPr="00363E65">
        <w:rPr>
          <w:rFonts w:hAnsi="Times New Roman" w:cs="Times New Roman"/>
          <w:noProof/>
          <w:lang w:val="en-GB"/>
        </w:rPr>
        <w:t>(1), 27–49.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Donoghue, M. J. (2008). A phylogenetic perspective on the distribution of plant diversity.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105</w:t>
      </w:r>
      <w:r w:rsidRPr="00363E65">
        <w:rPr>
          <w:rFonts w:hAnsi="Times New Roman" w:cs="Times New Roman"/>
          <w:noProof/>
          <w:lang w:val="en-GB"/>
        </w:rPr>
        <w:t>(Supplement 1), 11549–11555. https://doi.org/10.1073/pnas.0801962105</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363E65">
        <w:rPr>
          <w:rFonts w:hAnsi="Times New Roman" w:cs="Times New Roman"/>
          <w:i/>
          <w:iCs/>
          <w:noProof/>
          <w:lang w:val="en-GB"/>
        </w:rPr>
        <w:t>Ecology and Evolution</w:t>
      </w:r>
      <w:r w:rsidRPr="00363E65">
        <w:rPr>
          <w:rFonts w:hAnsi="Times New Roman" w:cs="Times New Roman"/>
          <w:noProof/>
          <w:lang w:val="en-GB"/>
        </w:rPr>
        <w:t xml:space="preserve">, </w:t>
      </w:r>
      <w:r w:rsidRPr="00363E65">
        <w:rPr>
          <w:rFonts w:hAnsi="Times New Roman" w:cs="Times New Roman"/>
          <w:i/>
          <w:iCs/>
          <w:noProof/>
          <w:lang w:val="en-GB"/>
        </w:rPr>
        <w:t>5</w:t>
      </w:r>
      <w:r w:rsidRPr="00363E65">
        <w:rPr>
          <w:rFonts w:hAnsi="Times New Roman" w:cs="Times New Roman"/>
          <w:noProof/>
          <w:lang w:val="en-GB"/>
        </w:rPr>
        <w:t>(3), 807–820.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45</w:t>
      </w:r>
      <w:r w:rsidRPr="00363E65">
        <w:rPr>
          <w:rFonts w:hAnsi="Times New Roman" w:cs="Times New Roman"/>
          <w:noProof/>
          <w:lang w:val="en-GB"/>
        </w:rPr>
        <w:t>(1), 190–200. https://doi.org/10.1111/jbi.13104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363E65">
        <w:rPr>
          <w:rFonts w:hAnsi="Times New Roman" w:cs="Times New Roman"/>
          <w:i/>
          <w:iCs/>
          <w:noProof/>
          <w:lang w:val="en-GB"/>
        </w:rPr>
        <w:t>Ecological Engineering</w:t>
      </w:r>
      <w:r w:rsidRPr="00363E65">
        <w:rPr>
          <w:rFonts w:hAnsi="Times New Roman" w:cs="Times New Roman"/>
          <w:noProof/>
          <w:lang w:val="en-GB"/>
        </w:rPr>
        <w:t xml:space="preserve">, </w:t>
      </w:r>
      <w:r w:rsidRPr="00363E65">
        <w:rPr>
          <w:rFonts w:hAnsi="Times New Roman" w:cs="Times New Roman"/>
          <w:i/>
          <w:iCs/>
          <w:noProof/>
          <w:lang w:val="en-GB"/>
        </w:rPr>
        <w:t>36</w:t>
      </w:r>
      <w:r w:rsidRPr="00363E65">
        <w:rPr>
          <w:rFonts w:hAnsi="Times New Roman" w:cs="Times New Roman"/>
          <w:noProof/>
          <w:lang w:val="en-GB"/>
        </w:rPr>
        <w:t>(9), 1191–1200.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Gioia, P., &amp; Hopper, S. D. (2017). A new phytogeographic map for the Southwest Australian Floristic Region after an exceptional decade of collection and discovery. </w:t>
      </w:r>
      <w:r w:rsidRPr="00363E65">
        <w:rPr>
          <w:rFonts w:hAnsi="Times New Roman" w:cs="Times New Roman"/>
          <w:i/>
          <w:iCs/>
          <w:noProof/>
          <w:lang w:val="en-GB"/>
        </w:rPr>
        <w:t>Botanical Journal of the Linnean Society</w:t>
      </w:r>
      <w:r w:rsidRPr="00363E65">
        <w:rPr>
          <w:rFonts w:hAnsi="Times New Roman" w:cs="Times New Roman"/>
          <w:noProof/>
          <w:lang w:val="en-GB"/>
        </w:rPr>
        <w:t xml:space="preserve">, </w:t>
      </w:r>
      <w:r w:rsidRPr="00363E65">
        <w:rPr>
          <w:rFonts w:hAnsi="Times New Roman" w:cs="Times New Roman"/>
          <w:i/>
          <w:iCs/>
          <w:noProof/>
          <w:lang w:val="en-GB"/>
        </w:rPr>
        <w:t>184</w:t>
      </w:r>
      <w:r w:rsidRPr="00363E65">
        <w:rPr>
          <w:rFonts w:hAnsi="Times New Roman" w:cs="Times New Roman"/>
          <w:noProof/>
          <w:lang w:val="en-GB"/>
        </w:rPr>
        <w:t>(1), 1–15. https://doi.org/10.1093/botlinnean/box010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Goldblatt, P. (1978). An analysis of the flora of Southern Africa: its characteristics, relationships abd origins. </w:t>
      </w:r>
      <w:r w:rsidRPr="00363E65">
        <w:rPr>
          <w:rFonts w:hAnsi="Times New Roman" w:cs="Times New Roman"/>
          <w:i/>
          <w:iCs/>
          <w:noProof/>
          <w:lang w:val="en-GB"/>
        </w:rPr>
        <w:t>Annals of the Missouri Botanical Garden</w:t>
      </w:r>
      <w:r w:rsidRPr="00363E65">
        <w:rPr>
          <w:rFonts w:hAnsi="Times New Roman" w:cs="Times New Roman"/>
          <w:noProof/>
          <w:lang w:val="en-GB"/>
        </w:rPr>
        <w:t xml:space="preserve">, </w:t>
      </w:r>
      <w:r w:rsidRPr="00363E65">
        <w:rPr>
          <w:rFonts w:hAnsi="Times New Roman" w:cs="Times New Roman"/>
          <w:i/>
          <w:iCs/>
          <w:noProof/>
          <w:lang w:val="en-GB"/>
        </w:rPr>
        <w:t>65</w:t>
      </w:r>
      <w:r w:rsidRPr="00363E65">
        <w:rPr>
          <w:rFonts w:hAnsi="Times New Roman" w:cs="Times New Roman"/>
          <w:noProof/>
          <w:lang w:val="en-GB"/>
        </w:rPr>
        <w:t>, 369–436.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Gotelli, N. J., &amp; Colwell, R. K. (2001). Quantifying biodiversity: procedures and pitfalls in the measurement and comparison of species richness. </w:t>
      </w:r>
      <w:r w:rsidRPr="00363E65">
        <w:rPr>
          <w:rFonts w:hAnsi="Times New Roman" w:cs="Times New Roman"/>
          <w:i/>
          <w:iCs/>
          <w:noProof/>
          <w:lang w:val="en-GB"/>
        </w:rPr>
        <w:t>Ecology Letters</w:t>
      </w:r>
      <w:r w:rsidRPr="00363E65">
        <w:rPr>
          <w:rFonts w:hAnsi="Times New Roman" w:cs="Times New Roman"/>
          <w:noProof/>
          <w:lang w:val="en-GB"/>
        </w:rPr>
        <w:t xml:space="preserve">, </w:t>
      </w:r>
      <w:r w:rsidRPr="00363E65">
        <w:rPr>
          <w:rFonts w:hAnsi="Times New Roman" w:cs="Times New Roman"/>
          <w:i/>
          <w:iCs/>
          <w:noProof/>
          <w:lang w:val="en-GB"/>
        </w:rPr>
        <w:t>4</w:t>
      </w:r>
      <w:r w:rsidRPr="00363E65">
        <w:rPr>
          <w:rFonts w:hAnsi="Times New Roman" w:cs="Times New Roman"/>
          <w:noProof/>
          <w:lang w:val="en-GB"/>
        </w:rPr>
        <w:t>(4), 379–391. https://doi.org/10.1046/j.1461-0248.2001.00230.x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Hart, S. P., Usinowicz, J., &amp; Levine, J. M. (2017). The spatial scales of species coexistence. </w:t>
      </w:r>
      <w:r w:rsidRPr="00363E65">
        <w:rPr>
          <w:rFonts w:hAnsi="Times New Roman" w:cs="Times New Roman"/>
          <w:i/>
          <w:iCs/>
          <w:noProof/>
          <w:lang w:val="en-GB"/>
        </w:rPr>
        <w:t>Nature Ecology &amp; Evolution</w:t>
      </w:r>
      <w:r w:rsidRPr="00363E65">
        <w:rPr>
          <w:rFonts w:hAnsi="Times New Roman" w:cs="Times New Roman"/>
          <w:noProof/>
          <w:lang w:val="en-GB"/>
        </w:rPr>
        <w:t xml:space="preserve">, </w:t>
      </w:r>
      <w:r w:rsidRPr="00363E65">
        <w:rPr>
          <w:rFonts w:hAnsi="Times New Roman" w:cs="Times New Roman"/>
          <w:i/>
          <w:iCs/>
          <w:noProof/>
          <w:lang w:val="en-GB"/>
        </w:rPr>
        <w:t>1</w:t>
      </w:r>
      <w:r w:rsidRPr="00363E65">
        <w:rPr>
          <w:rFonts w:hAnsi="Times New Roman" w:cs="Times New Roman"/>
          <w:noProof/>
          <w:lang w:val="en-GB"/>
        </w:rPr>
        <w:t>(8), 1066–1073. https://doi.org/10.1038/s41559-017-0230-7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363E65">
        <w:rPr>
          <w:rFonts w:hAnsi="Times New Roman" w:cs="Times New Roman"/>
          <w:i/>
          <w:iCs/>
          <w:noProof/>
          <w:lang w:val="en-GB"/>
        </w:rPr>
        <w:t>Ecology</w:t>
      </w:r>
      <w:r w:rsidRPr="00363E65">
        <w:rPr>
          <w:rFonts w:hAnsi="Times New Roman" w:cs="Times New Roman"/>
          <w:noProof/>
          <w:lang w:val="en-GB"/>
        </w:rPr>
        <w:t xml:space="preserve">, </w:t>
      </w:r>
      <w:r w:rsidRPr="00363E65">
        <w:rPr>
          <w:rFonts w:hAnsi="Times New Roman" w:cs="Times New Roman"/>
          <w:i/>
          <w:iCs/>
          <w:noProof/>
          <w:lang w:val="en-GB"/>
        </w:rPr>
        <w:t>84</w:t>
      </w:r>
      <w:r w:rsidRPr="00363E65">
        <w:rPr>
          <w:rFonts w:hAnsi="Times New Roman" w:cs="Times New Roman"/>
          <w:noProof/>
          <w:lang w:val="en-GB"/>
        </w:rPr>
        <w:t>(12), 3105–3117.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Hijmans, R. J. (2016). </w:t>
      </w:r>
      <w:r w:rsidRPr="00363E65">
        <w:rPr>
          <w:rFonts w:hAnsi="Times New Roman" w:cs="Times New Roman"/>
          <w:i/>
          <w:iCs/>
          <w:noProof/>
          <w:lang w:val="en-GB"/>
        </w:rPr>
        <w:t>raster: Geographic Data Analysis and Modeling. R package version 2.5-8</w:t>
      </w:r>
      <w:r w:rsidRPr="00363E65">
        <w:rPr>
          <w:rFonts w:hAnsi="Times New Roman" w:cs="Times New Roman"/>
          <w:noProof/>
          <w:lang w:val="en-GB"/>
        </w:rPr>
        <w:t>. https://cran.r-project.org/package=raster</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Hopper, S. D. (1979). Biogeographical Aspects of Speciation in the Southwest Australian Flora. </w:t>
      </w:r>
      <w:r w:rsidRPr="00363E65">
        <w:rPr>
          <w:rFonts w:hAnsi="Times New Roman" w:cs="Times New Roman"/>
          <w:i/>
          <w:iCs/>
          <w:noProof/>
          <w:lang w:val="en-GB"/>
        </w:rPr>
        <w:t>Annual Review of Ecology and Systematics</w:t>
      </w:r>
      <w:r w:rsidRPr="00363E65">
        <w:rPr>
          <w:rFonts w:hAnsi="Times New Roman" w:cs="Times New Roman"/>
          <w:noProof/>
          <w:lang w:val="en-GB"/>
        </w:rPr>
        <w:t xml:space="preserve">, </w:t>
      </w:r>
      <w:r w:rsidRPr="00363E65">
        <w:rPr>
          <w:rFonts w:hAnsi="Times New Roman" w:cs="Times New Roman"/>
          <w:i/>
          <w:iCs/>
          <w:noProof/>
          <w:lang w:val="en-GB"/>
        </w:rPr>
        <w:t>10</w:t>
      </w:r>
      <w:r w:rsidRPr="00363E65">
        <w:rPr>
          <w:rFonts w:hAnsi="Times New Roman" w:cs="Times New Roman"/>
          <w:noProof/>
          <w:lang w:val="en-GB"/>
        </w:rPr>
        <w:t>, 399–422. http://www.jstor.org/stable/2096798</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363E65">
        <w:rPr>
          <w:rFonts w:hAnsi="Times New Roman" w:cs="Times New Roman"/>
          <w:i/>
          <w:iCs/>
          <w:noProof/>
          <w:lang w:val="en-GB"/>
        </w:rPr>
        <w:t>Plant and Soil</w:t>
      </w:r>
      <w:r w:rsidRPr="00363E65">
        <w:rPr>
          <w:rFonts w:hAnsi="Times New Roman" w:cs="Times New Roman"/>
          <w:noProof/>
          <w:lang w:val="en-GB"/>
        </w:rPr>
        <w:t xml:space="preserve">, </w:t>
      </w:r>
      <w:r w:rsidRPr="00363E65">
        <w:rPr>
          <w:rFonts w:hAnsi="Times New Roman" w:cs="Times New Roman"/>
          <w:i/>
          <w:iCs/>
          <w:noProof/>
          <w:lang w:val="en-GB"/>
        </w:rPr>
        <w:t>322</w:t>
      </w:r>
      <w:r w:rsidRPr="00363E65">
        <w:rPr>
          <w:rFonts w:hAnsi="Times New Roman" w:cs="Times New Roman"/>
          <w:noProof/>
          <w:lang w:val="en-GB"/>
        </w:rPr>
        <w:t>(1), 49–86. https://doi.org/10.1007/s11104-009-0068-0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363E65">
        <w:rPr>
          <w:rFonts w:hAnsi="Times New Roman" w:cs="Times New Roman"/>
          <w:i/>
          <w:iCs/>
          <w:noProof/>
          <w:lang w:val="en-GB"/>
        </w:rPr>
        <w:t>Annual Review of Ecology, Evolution, and Systematics</w:t>
      </w:r>
      <w:r w:rsidRPr="00363E65">
        <w:rPr>
          <w:rFonts w:hAnsi="Times New Roman" w:cs="Times New Roman"/>
          <w:noProof/>
          <w:lang w:val="en-GB"/>
        </w:rPr>
        <w:t xml:space="preserve">, </w:t>
      </w:r>
      <w:r w:rsidRPr="00363E65">
        <w:rPr>
          <w:rFonts w:hAnsi="Times New Roman" w:cs="Times New Roman"/>
          <w:i/>
          <w:iCs/>
          <w:noProof/>
          <w:lang w:val="en-GB"/>
        </w:rPr>
        <w:t>35</w:t>
      </w:r>
      <w:r w:rsidRPr="00363E65">
        <w:rPr>
          <w:rFonts w:hAnsi="Times New Roman" w:cs="Times New Roman"/>
          <w:noProof/>
          <w:lang w:val="en-GB"/>
        </w:rPr>
        <w:t>, 623–650. https://doi.org/10.1146/annurev.ecolsys.35.112202.130201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Hopper, S. D., &amp; Gioia, P. (2004b). The Southwest Australian Floristic Region : Evolution and Conservation of a Global Hot Spot of Biodiversity. </w:t>
      </w:r>
      <w:r w:rsidRPr="00363E65">
        <w:rPr>
          <w:rFonts w:hAnsi="Times New Roman" w:cs="Times New Roman"/>
          <w:i/>
          <w:iCs/>
          <w:noProof/>
          <w:lang w:val="en-GB"/>
        </w:rPr>
        <w:t>Annual Review of Ecology, Evolution, and Systematics</w:t>
      </w:r>
      <w:r w:rsidRPr="00363E65">
        <w:rPr>
          <w:rFonts w:hAnsi="Times New Roman" w:cs="Times New Roman"/>
          <w:noProof/>
          <w:lang w:val="en-GB"/>
        </w:rPr>
        <w:t xml:space="preserve">, </w:t>
      </w:r>
      <w:r w:rsidRPr="00363E65">
        <w:rPr>
          <w:rFonts w:hAnsi="Times New Roman" w:cs="Times New Roman"/>
          <w:i/>
          <w:iCs/>
          <w:noProof/>
          <w:lang w:val="en-GB"/>
        </w:rPr>
        <w:t>35</w:t>
      </w:r>
      <w:r w:rsidRPr="00363E65">
        <w:rPr>
          <w:rFonts w:hAnsi="Times New Roman" w:cs="Times New Roman"/>
          <w:noProof/>
          <w:lang w:val="en-GB"/>
        </w:rPr>
        <w:t>(1), 623–650. https://doi.org/10.1146/annurev.ecolsys.35.112202.130201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Jiménez, I., &amp; Ricklefs, R. E. (2014). Diversity anomalies and spatial climate heterogeneity. </w:t>
      </w:r>
      <w:r w:rsidRPr="00363E65">
        <w:rPr>
          <w:rFonts w:hAnsi="Times New Roman" w:cs="Times New Roman"/>
          <w:i/>
          <w:iCs/>
          <w:noProof/>
          <w:lang w:val="en-GB"/>
        </w:rPr>
        <w:t>Global Ecology and Biogeography</w:t>
      </w:r>
      <w:r w:rsidRPr="00363E65">
        <w:rPr>
          <w:rFonts w:hAnsi="Times New Roman" w:cs="Times New Roman"/>
          <w:noProof/>
          <w:lang w:val="en-GB"/>
        </w:rPr>
        <w:t>. https://doi.org/10.1111/geb.12181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363E65">
        <w:rPr>
          <w:rFonts w:hAnsi="Times New Roman" w:cs="Times New Roman"/>
          <w:i/>
          <w:iCs/>
          <w:noProof/>
          <w:lang w:val="en-GB"/>
        </w:rPr>
        <w:t>Annals of Botany</w:t>
      </w:r>
      <w:r w:rsidRPr="00363E65">
        <w:rPr>
          <w:rFonts w:hAnsi="Times New Roman" w:cs="Times New Roman"/>
          <w:noProof/>
          <w:lang w:val="en-GB"/>
        </w:rPr>
        <w:t xml:space="preserve">, </w:t>
      </w:r>
      <w:r w:rsidRPr="00363E65">
        <w:rPr>
          <w:rFonts w:hAnsi="Times New Roman" w:cs="Times New Roman"/>
          <w:i/>
          <w:iCs/>
          <w:noProof/>
          <w:lang w:val="en-GB"/>
        </w:rPr>
        <w:t>119</w:t>
      </w:r>
      <w:r w:rsidRPr="00363E65">
        <w:rPr>
          <w:rFonts w:hAnsi="Times New Roman" w:cs="Times New Roman"/>
          <w:noProof/>
          <w:lang w:val="en-GB"/>
        </w:rPr>
        <w:t>(2), 289–300. https://doi.org/10.1093/aob/mcw182</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Kreft, H., &amp; Jetz, W. (2007). Global patterns and determinants of vascular plant diversity.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104</w:t>
      </w:r>
      <w:r w:rsidRPr="00363E65">
        <w:rPr>
          <w:rFonts w:hAnsi="Times New Roman" w:cs="Times New Roman"/>
          <w:noProof/>
          <w:lang w:val="en-GB"/>
        </w:rPr>
        <w:t>(14), 5925–5930. https://doi.org/10.1073/pnas.0608361104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Laliberte, E., Zemunik, G., &amp; Turner, B. L. (2014). Environmental filtering explains variation in plant diversity along resource gradients. </w:t>
      </w:r>
      <w:r w:rsidRPr="00363E65">
        <w:rPr>
          <w:rFonts w:hAnsi="Times New Roman" w:cs="Times New Roman"/>
          <w:i/>
          <w:iCs/>
          <w:noProof/>
          <w:lang w:val="en-GB"/>
        </w:rPr>
        <w:t>Science</w:t>
      </w:r>
      <w:r w:rsidRPr="00363E65">
        <w:rPr>
          <w:rFonts w:hAnsi="Times New Roman" w:cs="Times New Roman"/>
          <w:noProof/>
          <w:lang w:val="en-GB"/>
        </w:rPr>
        <w:t xml:space="preserve">, </w:t>
      </w:r>
      <w:r w:rsidRPr="00363E65">
        <w:rPr>
          <w:rFonts w:hAnsi="Times New Roman" w:cs="Times New Roman"/>
          <w:i/>
          <w:iCs/>
          <w:noProof/>
          <w:lang w:val="en-GB"/>
        </w:rPr>
        <w:t>345</w:t>
      </w:r>
      <w:r w:rsidRPr="00363E65">
        <w:rPr>
          <w:rFonts w:hAnsi="Times New Roman" w:cs="Times New Roman"/>
          <w:noProof/>
          <w:lang w:val="en-GB"/>
        </w:rPr>
        <w:t>(6204), 1602–1605. https://doi.org/Doi 10.1126/Science.1256330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363E65">
        <w:rPr>
          <w:rFonts w:hAnsi="Times New Roman" w:cs="Times New Roman"/>
          <w:i/>
          <w:iCs/>
          <w:noProof/>
          <w:lang w:val="en-GB"/>
        </w:rPr>
        <w:t>Plant and Soil</w:t>
      </w:r>
      <w:r w:rsidRPr="00363E65">
        <w:rPr>
          <w:rFonts w:hAnsi="Times New Roman" w:cs="Times New Roman"/>
          <w:noProof/>
          <w:lang w:val="en-GB"/>
        </w:rPr>
        <w:t xml:space="preserve">, </w:t>
      </w:r>
      <w:r w:rsidRPr="00363E65">
        <w:rPr>
          <w:rFonts w:hAnsi="Times New Roman" w:cs="Times New Roman"/>
          <w:i/>
          <w:iCs/>
          <w:noProof/>
          <w:lang w:val="en-GB"/>
        </w:rPr>
        <w:t>334</w:t>
      </w:r>
      <w:r w:rsidRPr="00363E65">
        <w:rPr>
          <w:rFonts w:hAnsi="Times New Roman" w:cs="Times New Roman"/>
          <w:noProof/>
          <w:lang w:val="en-GB"/>
        </w:rPr>
        <w:t>(1–2), 11–31. https://doi.org/10.1007/s11104-010-0444-9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363E65">
        <w:rPr>
          <w:rFonts w:hAnsi="Times New Roman" w:cs="Times New Roman"/>
          <w:i/>
          <w:iCs/>
          <w:noProof/>
          <w:lang w:val="en-GB"/>
        </w:rPr>
        <w:t>Annals of Botany</w:t>
      </w:r>
      <w:r w:rsidRPr="00363E65">
        <w:rPr>
          <w:rFonts w:hAnsi="Times New Roman" w:cs="Times New Roman"/>
          <w:noProof/>
          <w:lang w:val="en-GB"/>
        </w:rPr>
        <w:t xml:space="preserve">, </w:t>
      </w:r>
      <w:r w:rsidRPr="00363E65">
        <w:rPr>
          <w:rFonts w:hAnsi="Times New Roman" w:cs="Times New Roman"/>
          <w:i/>
          <w:iCs/>
          <w:noProof/>
          <w:lang w:val="en-GB"/>
        </w:rPr>
        <w:t>98</w:t>
      </w:r>
      <w:r w:rsidRPr="00363E65">
        <w:rPr>
          <w:rFonts w:hAnsi="Times New Roman" w:cs="Times New Roman"/>
          <w:noProof/>
          <w:lang w:val="en-GB"/>
        </w:rPr>
        <w:t>(4), 693–713. https://doi.org/10.1093/aob/mcl114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Lamont, B. B., &amp; He, T. (2017). When did a Mediterranean-type climate originate in southwestern Australia? </w:t>
      </w:r>
      <w:r w:rsidRPr="00363E65">
        <w:rPr>
          <w:rFonts w:hAnsi="Times New Roman" w:cs="Times New Roman"/>
          <w:i/>
          <w:iCs/>
          <w:noProof/>
          <w:lang w:val="en-GB"/>
        </w:rPr>
        <w:t>Global and Planetary Change</w:t>
      </w:r>
      <w:r w:rsidRPr="00363E65">
        <w:rPr>
          <w:rFonts w:hAnsi="Times New Roman" w:cs="Times New Roman"/>
          <w:noProof/>
          <w:lang w:val="en-GB"/>
        </w:rPr>
        <w:t xml:space="preserve">, </w:t>
      </w:r>
      <w:r w:rsidRPr="00363E65">
        <w:rPr>
          <w:rFonts w:hAnsi="Times New Roman" w:cs="Times New Roman"/>
          <w:i/>
          <w:iCs/>
          <w:noProof/>
          <w:lang w:val="en-GB"/>
        </w:rPr>
        <w:t>156</w:t>
      </w:r>
      <w:r w:rsidRPr="00363E65">
        <w:rPr>
          <w:rFonts w:hAnsi="Times New Roman" w:cs="Times New Roman"/>
          <w:noProof/>
          <w:lang w:val="en-GB"/>
        </w:rPr>
        <w:t>, 46–58. https://doi.org/10.1016/j.gloplacha.2017.08.004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363E65">
        <w:rPr>
          <w:rFonts w:hAnsi="Times New Roman" w:cs="Times New Roman"/>
          <w:i/>
          <w:iCs/>
          <w:noProof/>
          <w:lang w:val="en-GB"/>
        </w:rPr>
        <w:t>African Journal of Ecology</w:t>
      </w:r>
      <w:r w:rsidRPr="00363E65">
        <w:rPr>
          <w:rFonts w:hAnsi="Times New Roman" w:cs="Times New Roman"/>
          <w:noProof/>
          <w:lang w:val="en-GB"/>
        </w:rPr>
        <w:t xml:space="preserve">, </w:t>
      </w:r>
      <w:r w:rsidRPr="00363E65">
        <w:rPr>
          <w:rFonts w:hAnsi="Times New Roman" w:cs="Times New Roman"/>
          <w:i/>
          <w:iCs/>
          <w:noProof/>
          <w:lang w:val="en-GB"/>
        </w:rPr>
        <w:t>47</w:t>
      </w:r>
      <w:r w:rsidRPr="00363E65">
        <w:rPr>
          <w:rFonts w:hAnsi="Times New Roman" w:cs="Times New Roman"/>
          <w:noProof/>
          <w:lang w:val="en-GB"/>
        </w:rPr>
        <w:t>(3), 382–392. https://doi.org/10.1111/j.1365-2028.2008.00997.x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Levin, L. A., Sibuet, M., Gooday, A. J., Smith, C. R., &amp; Vanreusel, A. (2010). The roles of habitat heterogeneity in generating and maintaining biodiversity on continental margins: an introduction. </w:t>
      </w:r>
      <w:r w:rsidRPr="00363E65">
        <w:rPr>
          <w:rFonts w:hAnsi="Times New Roman" w:cs="Times New Roman"/>
          <w:i/>
          <w:iCs/>
          <w:noProof/>
          <w:lang w:val="en-GB"/>
        </w:rPr>
        <w:t>Marine Ecology</w:t>
      </w:r>
      <w:r w:rsidRPr="00363E65">
        <w:rPr>
          <w:rFonts w:hAnsi="Times New Roman" w:cs="Times New Roman"/>
          <w:noProof/>
          <w:lang w:val="en-GB"/>
        </w:rPr>
        <w:t xml:space="preserve">, </w:t>
      </w:r>
      <w:r w:rsidRPr="00363E65">
        <w:rPr>
          <w:rFonts w:hAnsi="Times New Roman" w:cs="Times New Roman"/>
          <w:i/>
          <w:iCs/>
          <w:noProof/>
          <w:lang w:val="en-GB"/>
        </w:rPr>
        <w:t>31</w:t>
      </w:r>
      <w:r w:rsidRPr="00363E65">
        <w:rPr>
          <w:rFonts w:hAnsi="Times New Roman" w:cs="Times New Roman"/>
          <w:noProof/>
          <w:lang w:val="en-GB"/>
        </w:rPr>
        <w:t>, 1–5. https://doi.org/10.1111/j.1439-0485.2009.00358.x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Linder, H. P. (2019). Rare species, Restionaceae, and the Cape flora. </w:t>
      </w:r>
      <w:r w:rsidRPr="00363E65">
        <w:rPr>
          <w:rFonts w:hAnsi="Times New Roman" w:cs="Times New Roman"/>
          <w:i/>
          <w:iCs/>
          <w:noProof/>
          <w:lang w:val="en-GB"/>
        </w:rPr>
        <w:t>Journal of Biogeography</w:t>
      </w:r>
      <w:r w:rsidRPr="00363E65">
        <w:rPr>
          <w:rFonts w:hAnsi="Times New Roman" w:cs="Times New Roman"/>
          <w:noProof/>
          <w:lang w:val="en-GB"/>
        </w:rPr>
        <w:t>, 1–14. https://doi.org/10.1111/jbi.13709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McLaughlin, B. C., Ackerly, D. D., Klos, P. Z., Natali, J., Dawson, T. E., &amp; Thompson, S. E. (2017). Hydrologic refugia, plants, and climate change. </w:t>
      </w:r>
      <w:r w:rsidRPr="00363E65">
        <w:rPr>
          <w:rFonts w:hAnsi="Times New Roman" w:cs="Times New Roman"/>
          <w:i/>
          <w:iCs/>
          <w:noProof/>
          <w:lang w:val="en-GB"/>
        </w:rPr>
        <w:t>Global Change Biology</w:t>
      </w:r>
      <w:r w:rsidRPr="00363E65">
        <w:rPr>
          <w:rFonts w:hAnsi="Times New Roman" w:cs="Times New Roman"/>
          <w:noProof/>
          <w:lang w:val="en-GB"/>
        </w:rPr>
        <w:t xml:space="preserve">, </w:t>
      </w:r>
      <w:r w:rsidRPr="00363E65">
        <w:rPr>
          <w:rFonts w:hAnsi="Times New Roman" w:cs="Times New Roman"/>
          <w:i/>
          <w:iCs/>
          <w:noProof/>
          <w:lang w:val="en-GB"/>
        </w:rPr>
        <w:t>23</w:t>
      </w:r>
      <w:r w:rsidRPr="00363E65">
        <w:rPr>
          <w:rFonts w:hAnsi="Times New Roman" w:cs="Times New Roman"/>
          <w:noProof/>
          <w:lang w:val="en-GB"/>
        </w:rPr>
        <w:t>(8), 2941–2961.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Meadows, M E, Chase, B. M., &amp; Seliane, M. (2010). Holocene palaeoenvironments of the Cederberg and Swartruggens mountains, Western Cape, South Africa: pollen and stable isotope evidence from hyrax dung middens. </w:t>
      </w:r>
      <w:r w:rsidRPr="00363E65">
        <w:rPr>
          <w:rFonts w:hAnsi="Times New Roman" w:cs="Times New Roman"/>
          <w:i/>
          <w:iCs/>
          <w:noProof/>
          <w:lang w:val="en-GB"/>
        </w:rPr>
        <w:t>Journal of Arid Environments</w:t>
      </w:r>
      <w:r w:rsidRPr="00363E65">
        <w:rPr>
          <w:rFonts w:hAnsi="Times New Roman" w:cs="Times New Roman"/>
          <w:noProof/>
          <w:lang w:val="en-GB"/>
        </w:rPr>
        <w:t xml:space="preserve">, </w:t>
      </w:r>
      <w:r w:rsidRPr="00363E65">
        <w:rPr>
          <w:rFonts w:hAnsi="Times New Roman" w:cs="Times New Roman"/>
          <w:i/>
          <w:iCs/>
          <w:noProof/>
          <w:lang w:val="en-GB"/>
        </w:rPr>
        <w:t>74</w:t>
      </w:r>
      <w:r w:rsidRPr="00363E65">
        <w:rPr>
          <w:rFonts w:hAnsi="Times New Roman" w:cs="Times New Roman"/>
          <w:noProof/>
          <w:lang w:val="en-GB"/>
        </w:rPr>
        <w:t>(7), 786–793.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Meadows, M E, &amp; Sugden, J. M. (1991). A vegetation history of the last 14,500 years on the Cederberg, SW Cape, South Africa. </w:t>
      </w:r>
      <w:r w:rsidRPr="00363E65">
        <w:rPr>
          <w:rFonts w:hAnsi="Times New Roman" w:cs="Times New Roman"/>
          <w:i/>
          <w:iCs/>
          <w:noProof/>
          <w:lang w:val="en-GB"/>
        </w:rPr>
        <w:t>South African Journal of Science</w:t>
      </w:r>
      <w:r w:rsidRPr="00363E65">
        <w:rPr>
          <w:rFonts w:hAnsi="Times New Roman" w:cs="Times New Roman"/>
          <w:noProof/>
          <w:lang w:val="en-GB"/>
        </w:rPr>
        <w:t xml:space="preserve">, </w:t>
      </w:r>
      <w:r w:rsidRPr="00363E65">
        <w:rPr>
          <w:rFonts w:hAnsi="Times New Roman" w:cs="Times New Roman"/>
          <w:i/>
          <w:iCs/>
          <w:noProof/>
          <w:lang w:val="en-GB"/>
        </w:rPr>
        <w:t>87</w:t>
      </w:r>
      <w:r w:rsidRPr="00363E65">
        <w:rPr>
          <w:rFonts w:hAnsi="Times New Roman" w:cs="Times New Roman"/>
          <w:noProof/>
          <w:lang w:val="en-GB"/>
        </w:rPr>
        <w:t>(3).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Meadows, Michael E, &amp; Sugden, J. M. (1993). The late Quaternary palaeoecology of a floristic kingdom: the southwestern Cape South Africa. </w:t>
      </w:r>
      <w:r w:rsidRPr="00363E65">
        <w:rPr>
          <w:rFonts w:hAnsi="Times New Roman" w:cs="Times New Roman"/>
          <w:i/>
          <w:iCs/>
          <w:noProof/>
          <w:lang w:val="en-GB"/>
        </w:rPr>
        <w:t>Palaeogeography, Palaeoclimatology, Palaeoecology</w:t>
      </w:r>
      <w:r w:rsidRPr="00363E65">
        <w:rPr>
          <w:rFonts w:hAnsi="Times New Roman" w:cs="Times New Roman"/>
          <w:noProof/>
          <w:lang w:val="en-GB"/>
        </w:rPr>
        <w:t xml:space="preserve">, </w:t>
      </w:r>
      <w:r w:rsidRPr="00363E65">
        <w:rPr>
          <w:rFonts w:hAnsi="Times New Roman" w:cs="Times New Roman"/>
          <w:i/>
          <w:iCs/>
          <w:noProof/>
          <w:lang w:val="en-GB"/>
        </w:rPr>
        <w:t>101</w:t>
      </w:r>
      <w:r w:rsidRPr="00363E65">
        <w:rPr>
          <w:rFonts w:hAnsi="Times New Roman" w:cs="Times New Roman"/>
          <w:noProof/>
          <w:lang w:val="en-GB"/>
        </w:rPr>
        <w:t>(3–4), 271–281.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Merow, C., Smith, M. J., &amp; Silander, J. A. (2013). A practical guide to MaxEnt for modeling species’ distributions: what it does, and why inputs and settings matter. </w:t>
      </w:r>
      <w:r w:rsidRPr="00363E65">
        <w:rPr>
          <w:rFonts w:hAnsi="Times New Roman" w:cs="Times New Roman"/>
          <w:i/>
          <w:iCs/>
          <w:noProof/>
          <w:lang w:val="en-GB"/>
        </w:rPr>
        <w:t>Ecography</w:t>
      </w:r>
      <w:r w:rsidRPr="00363E65">
        <w:rPr>
          <w:rFonts w:hAnsi="Times New Roman" w:cs="Times New Roman"/>
          <w:noProof/>
          <w:lang w:val="en-GB"/>
        </w:rPr>
        <w:t xml:space="preserve">, </w:t>
      </w:r>
      <w:r w:rsidRPr="00363E65">
        <w:rPr>
          <w:rFonts w:hAnsi="Times New Roman" w:cs="Times New Roman"/>
          <w:i/>
          <w:iCs/>
          <w:noProof/>
          <w:lang w:val="en-GB"/>
        </w:rPr>
        <w:t>36</w:t>
      </w:r>
      <w:r w:rsidRPr="00363E65">
        <w:rPr>
          <w:rFonts w:hAnsi="Times New Roman" w:cs="Times New Roman"/>
          <w:noProof/>
          <w:lang w:val="en-GB"/>
        </w:rPr>
        <w:t>(10), 1058–1069.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8</w:t>
      </w:r>
      <w:r w:rsidRPr="00363E65">
        <w:rPr>
          <w:rFonts w:hAnsi="Times New Roman" w:cs="Times New Roman"/>
          <w:noProof/>
          <w:lang w:val="en-GB"/>
        </w:rPr>
        <w:t>(2), 107. https://doi.org/10.2307/2844553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Mouchet, M., Levers, C., Zupan, L., Kuemmerle, T., Plutzar, C., Erb, K., Lavorel, S., Thuiller, W., &amp; Haberl, H. (2015). Testing the effectiveness of environmental variables to explain European terrestrial vertebrate species richness across biogeographical scales. </w:t>
      </w:r>
      <w:r w:rsidRPr="00363E65">
        <w:rPr>
          <w:rFonts w:hAnsi="Times New Roman" w:cs="Times New Roman"/>
          <w:i/>
          <w:iCs/>
          <w:noProof/>
          <w:lang w:val="en-GB"/>
        </w:rPr>
        <w:t>PLoS ONE</w:t>
      </w:r>
      <w:r w:rsidRPr="00363E65">
        <w:rPr>
          <w:rFonts w:hAnsi="Times New Roman" w:cs="Times New Roman"/>
          <w:noProof/>
          <w:lang w:val="en-GB"/>
        </w:rPr>
        <w:t xml:space="preserve">, </w:t>
      </w:r>
      <w:r w:rsidRPr="00363E65">
        <w:rPr>
          <w:rFonts w:hAnsi="Times New Roman" w:cs="Times New Roman"/>
          <w:i/>
          <w:iCs/>
          <w:noProof/>
          <w:lang w:val="en-GB"/>
        </w:rPr>
        <w:t>10</w:t>
      </w:r>
      <w:r w:rsidRPr="00363E65">
        <w:rPr>
          <w:rFonts w:hAnsi="Times New Roman" w:cs="Times New Roman"/>
          <w:noProof/>
          <w:lang w:val="en-GB"/>
        </w:rPr>
        <w:t>(7), 1–16. https://doi.org/10.1371/journal.pone.0131924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Mucina, L., &amp; Rutherford, M. C. (2006). </w:t>
      </w:r>
      <w:r w:rsidRPr="00363E65">
        <w:rPr>
          <w:rFonts w:hAnsi="Times New Roman" w:cs="Times New Roman"/>
          <w:i/>
          <w:iCs/>
          <w:noProof/>
          <w:lang w:val="en-GB"/>
        </w:rPr>
        <w:t>The vegetation of South Africa, Lesotho and Swaziland.</w:t>
      </w:r>
      <w:r w:rsidRPr="00363E65">
        <w:rPr>
          <w:rFonts w:hAnsi="Times New Roman" w:cs="Times New Roman"/>
          <w:noProof/>
          <w:lang w:val="en-GB"/>
        </w:rPr>
        <w:t xml:space="preserve"> South African National Biodiversity Institute.</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Oliver, E. G. H., Linder, H. P., &amp; Rourke, J. P. (1983). Geographical distribution of present-day Cape taxa and their phytogeographical significance. </w:t>
      </w:r>
      <w:r w:rsidRPr="00363E65">
        <w:rPr>
          <w:rFonts w:hAnsi="Times New Roman" w:cs="Times New Roman"/>
          <w:i/>
          <w:iCs/>
          <w:noProof/>
          <w:lang w:val="en-GB"/>
        </w:rPr>
        <w:t>Bothalia</w:t>
      </w:r>
      <w:r w:rsidRPr="00363E65">
        <w:rPr>
          <w:rFonts w:hAnsi="Times New Roman" w:cs="Times New Roman"/>
          <w:noProof/>
          <w:lang w:val="en-GB"/>
        </w:rPr>
        <w:t xml:space="preserve">, </w:t>
      </w:r>
      <w:r w:rsidRPr="00363E65">
        <w:rPr>
          <w:rFonts w:hAnsi="Times New Roman" w:cs="Times New Roman"/>
          <w:i/>
          <w:iCs/>
          <w:noProof/>
          <w:lang w:val="en-GB"/>
        </w:rPr>
        <w:t>14</w:t>
      </w:r>
      <w:r w:rsidRPr="00363E65">
        <w:rPr>
          <w:rFonts w:hAnsi="Times New Roman" w:cs="Times New Roman"/>
          <w:noProof/>
          <w:lang w:val="en-GB"/>
        </w:rPr>
        <w:t>(3/4), 427–440.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363E65">
        <w:rPr>
          <w:rFonts w:hAnsi="Times New Roman" w:cs="Times New Roman"/>
          <w:i/>
          <w:iCs/>
          <w:noProof/>
          <w:lang w:val="en-GB"/>
        </w:rPr>
        <w:t>BioScience</w:t>
      </w:r>
      <w:r w:rsidRPr="00363E65">
        <w:rPr>
          <w:rFonts w:hAnsi="Times New Roman" w:cs="Times New Roman"/>
          <w:noProof/>
          <w:lang w:val="en-GB"/>
        </w:rPr>
        <w:t xml:space="preserve">, </w:t>
      </w:r>
      <w:r w:rsidRPr="00363E65">
        <w:rPr>
          <w:rFonts w:hAnsi="Times New Roman" w:cs="Times New Roman"/>
          <w:i/>
          <w:iCs/>
          <w:noProof/>
          <w:lang w:val="en-GB"/>
        </w:rPr>
        <w:t>51</w:t>
      </w:r>
      <w:r w:rsidRPr="00363E65">
        <w:rPr>
          <w:rFonts w:hAnsi="Times New Roman" w:cs="Times New Roman"/>
          <w:noProof/>
          <w:lang w:val="en-GB"/>
        </w:rPr>
        <w:t>(11), 933–938.</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 Core Team. (2019). </w:t>
      </w:r>
      <w:r w:rsidRPr="00363E65">
        <w:rPr>
          <w:rFonts w:hAnsi="Times New Roman" w:cs="Times New Roman"/>
          <w:i/>
          <w:iCs/>
          <w:noProof/>
          <w:lang w:val="en-GB"/>
        </w:rPr>
        <w:t>R: A Language and Environment for Statistical Computing</w:t>
      </w:r>
      <w:r w:rsidRPr="00363E65">
        <w:rPr>
          <w:rFonts w:hAnsi="Times New Roman" w:cs="Times New Roman"/>
          <w:noProof/>
          <w:lang w:val="en-GB"/>
        </w:rPr>
        <w:t>. https://www.r-project.org/</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Rebelo, T. G. (2001). </w:t>
      </w:r>
      <w:r w:rsidRPr="00363E65">
        <w:rPr>
          <w:rFonts w:hAnsi="Times New Roman" w:cs="Times New Roman"/>
          <w:i/>
          <w:iCs/>
          <w:noProof/>
          <w:lang w:val="en-GB"/>
        </w:rPr>
        <w:t>A field guide to the proteas of South Africa</w:t>
      </w:r>
      <w:r w:rsidRPr="00363E65">
        <w:rPr>
          <w:rFonts w:hAnsi="Times New Roman" w:cs="Times New Roman"/>
          <w:noProof/>
          <w:lang w:val="en-GB"/>
        </w:rPr>
        <w:t>. Fernwood.</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Ricklefs, R. E. (1987). Community diversity: relative roles of local and regional processes. </w:t>
      </w:r>
      <w:r w:rsidRPr="00363E65">
        <w:rPr>
          <w:rFonts w:hAnsi="Times New Roman" w:cs="Times New Roman"/>
          <w:i/>
          <w:iCs/>
          <w:noProof/>
          <w:lang w:val="en-GB"/>
        </w:rPr>
        <w:t>Science, New Series</w:t>
      </w:r>
      <w:r w:rsidRPr="00363E65">
        <w:rPr>
          <w:rFonts w:hAnsi="Times New Roman" w:cs="Times New Roman"/>
          <w:noProof/>
          <w:lang w:val="en-GB"/>
        </w:rPr>
        <w:t xml:space="preserve">, </w:t>
      </w:r>
      <w:r w:rsidRPr="00363E65">
        <w:rPr>
          <w:rFonts w:hAnsi="Times New Roman" w:cs="Times New Roman"/>
          <w:i/>
          <w:iCs/>
          <w:noProof/>
          <w:lang w:val="en-GB"/>
        </w:rPr>
        <w:t>235</w:t>
      </w:r>
      <w:r w:rsidRPr="00363E65">
        <w:rPr>
          <w:rFonts w:hAnsi="Times New Roman" w:cs="Times New Roman"/>
          <w:noProof/>
          <w:lang w:val="en-GB"/>
        </w:rPr>
        <w:t>(4785), 167–171.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Ricklefs, R. E. (2004). A comprehensive framework for global patterns in biodiversity. </w:t>
      </w:r>
      <w:r w:rsidRPr="00363E65">
        <w:rPr>
          <w:rFonts w:hAnsi="Times New Roman" w:cs="Times New Roman"/>
          <w:i/>
          <w:iCs/>
          <w:noProof/>
          <w:lang w:val="en-GB"/>
        </w:rPr>
        <w:t>Ecology Letters</w:t>
      </w:r>
      <w:r w:rsidRPr="00363E65">
        <w:rPr>
          <w:rFonts w:hAnsi="Times New Roman" w:cs="Times New Roman"/>
          <w:noProof/>
          <w:lang w:val="en-GB"/>
        </w:rPr>
        <w:t xml:space="preserve">, </w:t>
      </w:r>
      <w:r w:rsidRPr="00363E65">
        <w:rPr>
          <w:rFonts w:hAnsi="Times New Roman" w:cs="Times New Roman"/>
          <w:i/>
          <w:iCs/>
          <w:noProof/>
          <w:lang w:val="en-GB"/>
        </w:rPr>
        <w:t>7</w:t>
      </w:r>
      <w:r w:rsidRPr="00363E65">
        <w:rPr>
          <w:rFonts w:hAnsi="Times New Roman" w:cs="Times New Roman"/>
          <w:noProof/>
          <w:lang w:val="en-GB"/>
        </w:rPr>
        <w:t>(1), 1–15.</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363E65">
        <w:rPr>
          <w:rFonts w:hAnsi="Times New Roman" w:cs="Times New Roman"/>
          <w:i/>
          <w:iCs/>
          <w:noProof/>
          <w:lang w:val="en-GB"/>
        </w:rPr>
        <w:t>Plant, Cell &amp; Environment</w:t>
      </w:r>
      <w:r w:rsidRPr="00363E65">
        <w:rPr>
          <w:rFonts w:hAnsi="Times New Roman" w:cs="Times New Roman"/>
          <w:noProof/>
          <w:lang w:val="en-GB"/>
        </w:rPr>
        <w:t xml:space="preserve">, </w:t>
      </w:r>
      <w:r w:rsidRPr="00363E65">
        <w:rPr>
          <w:rFonts w:hAnsi="Times New Roman" w:cs="Times New Roman"/>
          <w:i/>
          <w:iCs/>
          <w:noProof/>
          <w:lang w:val="en-GB"/>
        </w:rPr>
        <w:t>31</w:t>
      </w:r>
      <w:r w:rsidRPr="00363E65">
        <w:rPr>
          <w:rFonts w:hAnsi="Times New Roman" w:cs="Times New Roman"/>
          <w:noProof/>
          <w:lang w:val="en-GB"/>
        </w:rPr>
        <w:t>(12), 1825–1833.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Slingsby, J. A., February, E. C., &amp; Rebelo, T. G. (2018). Water: at what cost to our unique flora? </w:t>
      </w:r>
      <w:r w:rsidRPr="00363E65">
        <w:rPr>
          <w:rFonts w:hAnsi="Times New Roman" w:cs="Times New Roman"/>
          <w:i/>
          <w:iCs/>
          <w:noProof/>
          <w:lang w:val="en-GB"/>
        </w:rPr>
        <w:t>Veld &amp; Flora</w:t>
      </w:r>
      <w:r w:rsidRPr="00363E65">
        <w:rPr>
          <w:rFonts w:hAnsi="Times New Roman" w:cs="Times New Roman"/>
          <w:noProof/>
          <w:lang w:val="en-GB"/>
        </w:rPr>
        <w:t xml:space="preserve">, </w:t>
      </w:r>
      <w:r w:rsidRPr="00363E65">
        <w:rPr>
          <w:rFonts w:hAnsi="Times New Roman" w:cs="Times New Roman"/>
          <w:i/>
          <w:iCs/>
          <w:noProof/>
          <w:lang w:val="en-GB"/>
        </w:rPr>
        <w:t>June</w:t>
      </w:r>
      <w:r w:rsidRPr="00363E65">
        <w:rPr>
          <w:rFonts w:hAnsi="Times New Roman" w:cs="Times New Roman"/>
          <w:noProof/>
          <w:lang w:val="en-GB"/>
        </w:rPr>
        <w:t>, 72–75.</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Snijman, D. A. (2013). </w:t>
      </w:r>
      <w:r w:rsidRPr="00363E65">
        <w:rPr>
          <w:rFonts w:hAnsi="Times New Roman" w:cs="Times New Roman"/>
          <w:i/>
          <w:iCs/>
          <w:noProof/>
          <w:lang w:val="en-GB"/>
        </w:rPr>
        <w:t>Plants of the Greater Cape Floristic Region. 2: The Extra Cape flora</w:t>
      </w:r>
      <w:r w:rsidRPr="00363E65">
        <w:rPr>
          <w:rFonts w:hAnsi="Times New Roman" w:cs="Times New Roman"/>
          <w:noProof/>
          <w:lang w:val="en-GB"/>
        </w:rPr>
        <w:t>. South African National Biodiversity Institute.</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Sobel, J. M., Chen, G. F., Watt, L. R., &amp; Schemske, D. W. (2010). The biology of speciation. </w:t>
      </w:r>
      <w:r w:rsidRPr="00363E65">
        <w:rPr>
          <w:rFonts w:hAnsi="Times New Roman" w:cs="Times New Roman"/>
          <w:i/>
          <w:iCs/>
          <w:noProof/>
          <w:lang w:val="en-GB"/>
        </w:rPr>
        <w:t>Evolution</w:t>
      </w:r>
      <w:r w:rsidRPr="00363E65">
        <w:rPr>
          <w:rFonts w:hAnsi="Times New Roman" w:cs="Times New Roman"/>
          <w:noProof/>
          <w:lang w:val="en-GB"/>
        </w:rPr>
        <w:t xml:space="preserve">, </w:t>
      </w:r>
      <w:r w:rsidRPr="00363E65">
        <w:rPr>
          <w:rFonts w:hAnsi="Times New Roman" w:cs="Times New Roman"/>
          <w:i/>
          <w:iCs/>
          <w:noProof/>
          <w:lang w:val="en-GB"/>
        </w:rPr>
        <w:t>64</w:t>
      </w:r>
      <w:r w:rsidRPr="00363E65">
        <w:rPr>
          <w:rFonts w:hAnsi="Times New Roman" w:cs="Times New Roman"/>
          <w:noProof/>
          <w:lang w:val="en-GB"/>
        </w:rPr>
        <w:t>(2), 295–315. https://doi.org/10.1111/j.1558-5646.2009.00877.x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Stein, A., Gerstner, K., &amp; Kreft, H. (2014). Environmental heterogeneity as a universal driver of species richness across taxa, biomes and spatial scales. </w:t>
      </w:r>
      <w:r w:rsidRPr="00363E65">
        <w:rPr>
          <w:rFonts w:hAnsi="Times New Roman" w:cs="Times New Roman"/>
          <w:i/>
          <w:iCs/>
          <w:noProof/>
          <w:lang w:val="en-GB"/>
        </w:rPr>
        <w:t>Ecology Letters</w:t>
      </w:r>
      <w:r w:rsidRPr="00363E65">
        <w:rPr>
          <w:rFonts w:hAnsi="Times New Roman" w:cs="Times New Roman"/>
          <w:noProof/>
          <w:lang w:val="en-GB"/>
        </w:rPr>
        <w:t xml:space="preserve">, </w:t>
      </w:r>
      <w:r w:rsidRPr="00363E65">
        <w:rPr>
          <w:rFonts w:hAnsi="Times New Roman" w:cs="Times New Roman"/>
          <w:i/>
          <w:iCs/>
          <w:noProof/>
          <w:lang w:val="en-GB"/>
        </w:rPr>
        <w:t>17</w:t>
      </w:r>
      <w:r w:rsidRPr="00363E65">
        <w:rPr>
          <w:rFonts w:hAnsi="Times New Roman" w:cs="Times New Roman"/>
          <w:noProof/>
          <w:lang w:val="en-GB"/>
        </w:rPr>
        <w:t>(7), 866–880. https://doi.org/10.1111/ele.12277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Stock, W. D., &amp; Verboom, G. A. (2012). Phylogenetic ecology of foliar N and P concentrations and N: P ratios across mediterranean-type ecosystems. </w:t>
      </w:r>
      <w:r w:rsidRPr="00363E65">
        <w:rPr>
          <w:rFonts w:hAnsi="Times New Roman" w:cs="Times New Roman"/>
          <w:i/>
          <w:iCs/>
          <w:noProof/>
          <w:lang w:val="en-GB"/>
        </w:rPr>
        <w:t>Global Ecology and Biogeography</w:t>
      </w:r>
      <w:r w:rsidRPr="00363E65">
        <w:rPr>
          <w:rFonts w:hAnsi="Times New Roman" w:cs="Times New Roman"/>
          <w:noProof/>
          <w:lang w:val="en-GB"/>
        </w:rPr>
        <w:t xml:space="preserve">, </w:t>
      </w:r>
      <w:r w:rsidRPr="00363E65">
        <w:rPr>
          <w:rFonts w:hAnsi="Times New Roman" w:cs="Times New Roman"/>
          <w:i/>
          <w:iCs/>
          <w:noProof/>
          <w:lang w:val="en-GB"/>
        </w:rPr>
        <w:t>21</w:t>
      </w:r>
      <w:r w:rsidRPr="00363E65">
        <w:rPr>
          <w:rFonts w:hAnsi="Times New Roman" w:cs="Times New Roman"/>
          <w:noProof/>
          <w:lang w:val="en-GB"/>
        </w:rPr>
        <w:t>(12), 1147–1156.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363E65">
        <w:rPr>
          <w:rFonts w:hAnsi="Times New Roman" w:cs="Times New Roman"/>
          <w:i/>
          <w:iCs/>
          <w:noProof/>
          <w:lang w:val="en-GB"/>
        </w:rPr>
        <w:t>Ecography</w:t>
      </w:r>
      <w:r w:rsidRPr="00363E65">
        <w:rPr>
          <w:rFonts w:hAnsi="Times New Roman" w:cs="Times New Roman"/>
          <w:noProof/>
          <w:lang w:val="en-GB"/>
        </w:rPr>
        <w:t xml:space="preserve">, </w:t>
      </w:r>
      <w:r w:rsidRPr="00363E65">
        <w:rPr>
          <w:rFonts w:hAnsi="Times New Roman" w:cs="Times New Roman"/>
          <w:i/>
          <w:iCs/>
          <w:noProof/>
          <w:lang w:val="en-GB"/>
        </w:rPr>
        <w:t>29</w:t>
      </w:r>
      <w:r w:rsidRPr="00363E65">
        <w:rPr>
          <w:rFonts w:hAnsi="Times New Roman" w:cs="Times New Roman"/>
          <w:noProof/>
          <w:lang w:val="en-GB"/>
        </w:rPr>
        <w:t>(5), 733–744. https://doi.org/10.1111/j.0906-7590.2006.04674.x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van Rensburg, B. J., Chown, S. L., &amp; Gaston, K. J. (2002). Species richness, environmental correlates, and spatial scale: a test esing South African birds. </w:t>
      </w:r>
      <w:r w:rsidRPr="00363E65">
        <w:rPr>
          <w:rFonts w:hAnsi="Times New Roman" w:cs="Times New Roman"/>
          <w:i/>
          <w:iCs/>
          <w:noProof/>
          <w:lang w:val="en-GB"/>
        </w:rPr>
        <w:t>The American Naturalist</w:t>
      </w:r>
      <w:r w:rsidRPr="00363E65">
        <w:rPr>
          <w:rFonts w:hAnsi="Times New Roman" w:cs="Times New Roman"/>
          <w:noProof/>
          <w:lang w:val="en-GB"/>
        </w:rPr>
        <w:t xml:space="preserve">, </w:t>
      </w:r>
      <w:r w:rsidRPr="00363E65">
        <w:rPr>
          <w:rFonts w:hAnsi="Times New Roman" w:cs="Times New Roman"/>
          <w:i/>
          <w:iCs/>
          <w:noProof/>
          <w:lang w:val="en-GB"/>
        </w:rPr>
        <w:t>159</w:t>
      </w:r>
      <w:r w:rsidRPr="00363E65">
        <w:rPr>
          <w:rFonts w:hAnsi="Times New Roman" w:cs="Times New Roman"/>
          <w:noProof/>
          <w:lang w:val="en-GB"/>
        </w:rPr>
        <w:t>(5), 566–577. https://doi.org/10.1086/339464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Veech, J. A., Summerville, K. S., Crist, T. O., &amp; Gering, J. C. (2002). The additive partitioning of species diversity: recent revival of an old idea. </w:t>
      </w:r>
      <w:r w:rsidRPr="00363E65">
        <w:rPr>
          <w:rFonts w:hAnsi="Times New Roman" w:cs="Times New Roman"/>
          <w:i/>
          <w:iCs/>
          <w:noProof/>
          <w:lang w:val="en-GB"/>
        </w:rPr>
        <w:t>Oikos</w:t>
      </w:r>
      <w:r w:rsidRPr="00363E65">
        <w:rPr>
          <w:rFonts w:hAnsi="Times New Roman" w:cs="Times New Roman"/>
          <w:noProof/>
          <w:lang w:val="en-GB"/>
        </w:rPr>
        <w:t xml:space="preserve">, </w:t>
      </w:r>
      <w:r w:rsidRPr="00363E65">
        <w:rPr>
          <w:rFonts w:hAnsi="Times New Roman" w:cs="Times New Roman"/>
          <w:i/>
          <w:iCs/>
          <w:noProof/>
          <w:lang w:val="en-GB"/>
        </w:rPr>
        <w:t>99</w:t>
      </w:r>
      <w:r w:rsidRPr="00363E65">
        <w:rPr>
          <w:rFonts w:hAnsi="Times New Roman" w:cs="Times New Roman"/>
          <w:noProof/>
          <w:lang w:val="en-GB"/>
        </w:rPr>
        <w:t>(1), 3–9.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363E65">
        <w:rPr>
          <w:rFonts w:hAnsi="Times New Roman" w:cs="Times New Roman"/>
          <w:i/>
          <w:iCs/>
          <w:noProof/>
          <w:lang w:val="en-GB"/>
        </w:rPr>
        <w:t>Fynbos: Ecology, Evolution and Conservation of a Megadiverse Region</w:t>
      </w:r>
      <w:r w:rsidRPr="00363E65">
        <w:rPr>
          <w:rFonts w:hAnsi="Times New Roman" w:cs="Times New Roman"/>
          <w:noProof/>
          <w:lang w:val="en-GB"/>
        </w:rPr>
        <w:t>. Oxford University Press. http://www.oxfordscholarship.com/view/10.1093/acprof:oso/9780199679584.001.0001/acprof-9780199679584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Whittaker, R. H. (1960). Vegetation of the Siskiyou mountains, Oregon and California. </w:t>
      </w:r>
      <w:r w:rsidRPr="00363E65">
        <w:rPr>
          <w:rFonts w:hAnsi="Times New Roman" w:cs="Times New Roman"/>
          <w:i/>
          <w:iCs/>
          <w:noProof/>
          <w:lang w:val="en-GB"/>
        </w:rPr>
        <w:t>Ecological Monographs</w:t>
      </w:r>
      <w:r w:rsidRPr="00363E65">
        <w:rPr>
          <w:rFonts w:hAnsi="Times New Roman" w:cs="Times New Roman"/>
          <w:noProof/>
          <w:lang w:val="en-GB"/>
        </w:rPr>
        <w:t xml:space="preserve">, </w:t>
      </w:r>
      <w:r w:rsidRPr="00363E65">
        <w:rPr>
          <w:rFonts w:hAnsi="Times New Roman" w:cs="Times New Roman"/>
          <w:i/>
          <w:iCs/>
          <w:noProof/>
          <w:lang w:val="en-GB"/>
        </w:rPr>
        <w:t>30</w:t>
      </w:r>
      <w:r w:rsidRPr="00363E65">
        <w:rPr>
          <w:rFonts w:hAnsi="Times New Roman" w:cs="Times New Roman"/>
          <w:noProof/>
          <w:lang w:val="en-GB"/>
        </w:rPr>
        <w:t>(3), 279–338.</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Wickham, H., Averick, M., Bryan, J., Chang, W., McGowan, L. D., François, R., Grolemund, G., Hayes, A., Henry, L., Hester, J., Kuhn, M., Pedersen, T. L., Miller, E., Bache, S. M., Müller, K., Ooms, J., Robinson, D., Seidel, D. P., Spinu, V., … Yutani, H. (2019). Welcome to the {tidyverse}. </w:t>
      </w:r>
      <w:r w:rsidRPr="00363E65">
        <w:rPr>
          <w:rFonts w:hAnsi="Times New Roman" w:cs="Times New Roman"/>
          <w:i/>
          <w:iCs/>
          <w:noProof/>
          <w:lang w:val="en-GB"/>
        </w:rPr>
        <w:t>Journal of Open Source Software</w:t>
      </w:r>
      <w:r w:rsidRPr="00363E65">
        <w:rPr>
          <w:rFonts w:hAnsi="Times New Roman" w:cs="Times New Roman"/>
          <w:noProof/>
          <w:lang w:val="en-GB"/>
        </w:rPr>
        <w:t xml:space="preserve">, </w:t>
      </w:r>
      <w:r w:rsidRPr="00363E65">
        <w:rPr>
          <w:rFonts w:hAnsi="Times New Roman" w:cs="Times New Roman"/>
          <w:i/>
          <w:iCs/>
          <w:noProof/>
          <w:lang w:val="en-GB"/>
        </w:rPr>
        <w:t>4</w:t>
      </w:r>
      <w:r w:rsidRPr="00363E65">
        <w:rPr>
          <w:rFonts w:hAnsi="Times New Roman" w:cs="Times New Roman"/>
          <w:noProof/>
          <w:lang w:val="en-GB"/>
        </w:rPr>
        <w:t>(43), 1686. https://doi.org/10.21105/joss.01686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Wiens, J. J. (2004a). Speciation and ecology revisited: phylogenetic niche conservatism and the origin of species. </w:t>
      </w:r>
      <w:r w:rsidRPr="00363E65">
        <w:rPr>
          <w:rFonts w:hAnsi="Times New Roman" w:cs="Times New Roman"/>
          <w:i/>
          <w:iCs/>
          <w:noProof/>
          <w:lang w:val="en-GB"/>
        </w:rPr>
        <w:t>Evolution</w:t>
      </w:r>
      <w:r w:rsidRPr="00363E65">
        <w:rPr>
          <w:rFonts w:hAnsi="Times New Roman" w:cs="Times New Roman"/>
          <w:noProof/>
          <w:lang w:val="en-GB"/>
        </w:rPr>
        <w:t xml:space="preserve">, </w:t>
      </w:r>
      <w:r w:rsidRPr="00363E65">
        <w:rPr>
          <w:rFonts w:hAnsi="Times New Roman" w:cs="Times New Roman"/>
          <w:i/>
          <w:iCs/>
          <w:noProof/>
          <w:lang w:val="en-GB"/>
        </w:rPr>
        <w:t>58</w:t>
      </w:r>
      <w:r w:rsidRPr="00363E65">
        <w:rPr>
          <w:rFonts w:hAnsi="Times New Roman" w:cs="Times New Roman"/>
          <w:noProof/>
          <w:lang w:val="en-GB"/>
        </w:rPr>
        <w:t>(1), 193–197.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Wiens, J. J. (2004b). What is speciation and how should we study it? </w:t>
      </w:r>
      <w:r w:rsidRPr="00363E65">
        <w:rPr>
          <w:rFonts w:hAnsi="Times New Roman" w:cs="Times New Roman"/>
          <w:i/>
          <w:iCs/>
          <w:noProof/>
          <w:lang w:val="en-GB"/>
        </w:rPr>
        <w:t>The American Naturalist</w:t>
      </w:r>
      <w:r w:rsidRPr="00363E65">
        <w:rPr>
          <w:rFonts w:hAnsi="Times New Roman" w:cs="Times New Roman"/>
          <w:noProof/>
          <w:lang w:val="en-GB"/>
        </w:rPr>
        <w:t xml:space="preserve">, </w:t>
      </w:r>
      <w:r w:rsidRPr="00363E65">
        <w:rPr>
          <w:rFonts w:hAnsi="Times New Roman" w:cs="Times New Roman"/>
          <w:i/>
          <w:iCs/>
          <w:noProof/>
          <w:lang w:val="en-GB"/>
        </w:rPr>
        <w:t>163</w:t>
      </w:r>
      <w:r w:rsidRPr="00363E65">
        <w:rPr>
          <w:rFonts w:hAnsi="Times New Roman" w:cs="Times New Roman"/>
          <w:noProof/>
          <w:lang w:val="en-GB"/>
        </w:rPr>
        <w:t>(6), 914–923.</w:t>
      </w:r>
    </w:p>
    <w:p w:rsidR="00363E65" w:rsidRPr="00363E65" w:rsidRDefault="00363E65" w:rsidP="00363E65">
      <w:pPr>
        <w:widowControl w:val="0"/>
        <w:autoSpaceDE w:val="0"/>
        <w:autoSpaceDN w:val="0"/>
        <w:adjustRightInd w:val="0"/>
        <w:spacing w:after="180"/>
        <w:ind w:left="480" w:hanging="480"/>
        <w:rPr>
          <w:rFonts w:hAnsi="Times New Roman" w:cs="Times New Roman"/>
          <w:noProof/>
        </w:rPr>
      </w:pPr>
      <w:r w:rsidRPr="00363E65">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46</w:t>
      </w:r>
      <w:r w:rsidRPr="00363E65">
        <w:rPr>
          <w:rFonts w:hAnsi="Times New Roman" w:cs="Times New Roman"/>
          <w:noProof/>
          <w:lang w:val="en-GB"/>
        </w:rPr>
        <w:t>(9), 1936–1947. https://doi.org/10.1111/jbi.13625</w:t>
      </w:r>
    </w:p>
    <w:p w:rsidR="00112BB0" w:rsidRDefault="00112BB0" w:rsidP="00363E65">
      <w:pPr>
        <w:widowControl w:val="0"/>
        <w:autoSpaceDE w:val="0"/>
        <w:autoSpaceDN w:val="0"/>
        <w:adjustRightInd w:val="0"/>
        <w:spacing w:after="180"/>
        <w:ind w:left="480" w:hanging="480"/>
        <w:rPr>
          <w:b/>
          <w:bCs/>
        </w:rPr>
      </w:pPr>
      <w:r>
        <w:rPr>
          <w:b/>
          <w:bCs/>
        </w:rPr>
        <w:br w:type="page"/>
      </w:r>
    </w:p>
    <w:p w:rsidR="00EF41C1" w:rsidRDefault="004D4AE1" w:rsidP="006F5855">
      <w:pPr>
        <w:pStyle w:val="Heading1"/>
      </w:pPr>
      <w:r w:rsidRPr="004D4AE1">
        <w:lastRenderedPageBreak/>
        <w:t>Biosketch</w:t>
      </w:r>
      <w:r>
        <w:t>es</w:t>
      </w:r>
    </w:p>
    <w:p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rsidR="00EF41C1" w:rsidRPr="007031A0" w:rsidRDefault="00F3256A" w:rsidP="002F3B3B">
      <w:pPr>
        <w:pStyle w:val="BodyText"/>
        <w:rPr>
          <w:rFonts w:eastAsia="MS Gothic" w:cs="Times New Roman"/>
          <w:b/>
          <w:bCs/>
          <w:color w:val="000000"/>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rsidR="006F043C" w:rsidRDefault="006F043C" w:rsidP="001453CD">
      <w:pPr>
        <w:pStyle w:val="Heading1"/>
        <w:spacing w:line="240" w:lineRule="auto"/>
      </w:pPr>
      <w:r>
        <w:t>Author contributions</w:t>
      </w:r>
    </w:p>
    <w:p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rsidR="00B46208" w:rsidRPr="003C085D" w:rsidRDefault="00B46208" w:rsidP="00B46208">
      <w:pPr>
        <w:pStyle w:val="Heading1"/>
      </w:pPr>
      <w:r w:rsidRPr="003C085D">
        <w:t>ORCID</w:t>
      </w:r>
    </w:p>
    <w:p w:rsidR="00B46208" w:rsidRPr="002B2755" w:rsidRDefault="00B46208" w:rsidP="00B46208">
      <w:r w:rsidRPr="002B2755">
        <w:t>R</w:t>
      </w:r>
      <w:r w:rsidRPr="002C20EB">
        <w:t xml:space="preserve">uan van Mazijk: </w:t>
      </w:r>
      <w:hyperlink r:id="rId17" w:history="1">
        <w:r w:rsidRPr="002C20EB">
          <w:rPr>
            <w:rStyle w:val="Hyperlink"/>
          </w:rPr>
          <w:t>https://orcid.org/0000-0003-2659-6909</w:t>
        </w:r>
      </w:hyperlink>
    </w:p>
    <w:p w:rsidR="00B46208" w:rsidRPr="002B2755" w:rsidRDefault="00B46208" w:rsidP="00B46208">
      <w:r w:rsidRPr="002C20EB">
        <w:t xml:space="preserve">Michael D. Cramer: </w:t>
      </w:r>
      <w:hyperlink r:id="rId18" w:history="1">
        <w:r w:rsidRPr="002C20EB">
          <w:rPr>
            <w:rStyle w:val="Hyperlink"/>
          </w:rPr>
          <w:t>https://orcid.org/0000-0003-0989-3266</w:t>
        </w:r>
      </w:hyperlink>
    </w:p>
    <w:p w:rsidR="00B46208" w:rsidRPr="00B46208" w:rsidRDefault="00B46208" w:rsidP="00B46208">
      <w:r w:rsidRPr="002C20EB">
        <w:t xml:space="preserve">G. Anthony Verboom: </w:t>
      </w:r>
      <w:hyperlink r:id="rId19" w:history="1">
        <w:r w:rsidRPr="002C20EB">
          <w:rPr>
            <w:rStyle w:val="Hyperlink"/>
          </w:rPr>
          <w:t>https://orcid.org/0000-0002-1363-9781</w:t>
        </w:r>
      </w:hyperlink>
    </w:p>
    <w:sectPr w:rsidR="00B46208" w:rsidRPr="00B46208" w:rsidSect="009C2F09">
      <w:footerReference w:type="default" r:id="rId20"/>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91C63" w:rsidRDefault="00791C63">
      <w:pPr>
        <w:spacing w:after="0"/>
      </w:pPr>
      <w:r>
        <w:separator/>
      </w:r>
    </w:p>
  </w:endnote>
  <w:endnote w:type="continuationSeparator" w:id="0">
    <w:p w:rsidR="00791C63" w:rsidRDefault="00791C63">
      <w:pPr>
        <w:spacing w:after="0"/>
      </w:pPr>
      <w:r>
        <w:continuationSeparator/>
      </w:r>
    </w:p>
  </w:endnote>
  <w:endnote w:type="continuationNotice" w:id="1">
    <w:p w:rsidR="00791C63" w:rsidRDefault="00791C6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D5B6C" w:rsidRDefault="00AD5B6C">
    <w:pPr>
      <w:pStyle w:val="Footer"/>
      <w:jc w:val="center"/>
    </w:pPr>
    <w:r>
      <w:fldChar w:fldCharType="begin"/>
    </w:r>
    <w:r>
      <w:instrText xml:space="preserve"> PAGE   \* MERGEFORMAT </w:instrText>
    </w:r>
    <w:r>
      <w:fldChar w:fldCharType="separate"/>
    </w:r>
    <w:r>
      <w:rPr>
        <w:noProof/>
      </w:rPr>
      <w:t>22</w:t>
    </w:r>
    <w:r>
      <w:rPr>
        <w:noProof/>
      </w:rPr>
      <w:fldChar w:fldCharType="end"/>
    </w:r>
  </w:p>
  <w:p w:rsidR="00AD5B6C" w:rsidRDefault="00AD5B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91C63" w:rsidRDefault="00791C63">
      <w:r>
        <w:separator/>
      </w:r>
    </w:p>
  </w:footnote>
  <w:footnote w:type="continuationSeparator" w:id="0">
    <w:p w:rsidR="00791C63" w:rsidRDefault="00791C63">
      <w:r>
        <w:continuationSeparator/>
      </w:r>
    </w:p>
  </w:footnote>
  <w:footnote w:type="continuationNotice" w:id="1">
    <w:p w:rsidR="00791C63" w:rsidRDefault="00791C63">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Cambria"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Cambria"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Cambria"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Cambria"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Cambria"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FFF"/>
    <w:rsid w:val="0000489E"/>
    <w:rsid w:val="00004BFE"/>
    <w:rsid w:val="000058F5"/>
    <w:rsid w:val="00005B58"/>
    <w:rsid w:val="00005DF9"/>
    <w:rsid w:val="000065E8"/>
    <w:rsid w:val="00006E29"/>
    <w:rsid w:val="00007536"/>
    <w:rsid w:val="000075FC"/>
    <w:rsid w:val="00007FFD"/>
    <w:rsid w:val="00010D0D"/>
    <w:rsid w:val="00011C8B"/>
    <w:rsid w:val="00012F66"/>
    <w:rsid w:val="000134E5"/>
    <w:rsid w:val="00015987"/>
    <w:rsid w:val="00015CEB"/>
    <w:rsid w:val="0001614C"/>
    <w:rsid w:val="00017062"/>
    <w:rsid w:val="0001735B"/>
    <w:rsid w:val="0001739B"/>
    <w:rsid w:val="00017496"/>
    <w:rsid w:val="00017D5E"/>
    <w:rsid w:val="00017E2E"/>
    <w:rsid w:val="000202B4"/>
    <w:rsid w:val="00020DE2"/>
    <w:rsid w:val="00020F42"/>
    <w:rsid w:val="000217F9"/>
    <w:rsid w:val="00022A4F"/>
    <w:rsid w:val="000235F3"/>
    <w:rsid w:val="00023612"/>
    <w:rsid w:val="00023792"/>
    <w:rsid w:val="00023A41"/>
    <w:rsid w:val="00024506"/>
    <w:rsid w:val="00024A7B"/>
    <w:rsid w:val="00024E99"/>
    <w:rsid w:val="00025737"/>
    <w:rsid w:val="00026A23"/>
    <w:rsid w:val="00026E7C"/>
    <w:rsid w:val="00030A46"/>
    <w:rsid w:val="00030FA3"/>
    <w:rsid w:val="00031229"/>
    <w:rsid w:val="000317CE"/>
    <w:rsid w:val="0003181E"/>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308"/>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EAB"/>
    <w:rsid w:val="00077FB5"/>
    <w:rsid w:val="00080450"/>
    <w:rsid w:val="000804E8"/>
    <w:rsid w:val="000811CB"/>
    <w:rsid w:val="000826DE"/>
    <w:rsid w:val="00083308"/>
    <w:rsid w:val="00083701"/>
    <w:rsid w:val="00083DD4"/>
    <w:rsid w:val="000847C4"/>
    <w:rsid w:val="00084808"/>
    <w:rsid w:val="00085A83"/>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194"/>
    <w:rsid w:val="000A3255"/>
    <w:rsid w:val="000A44BE"/>
    <w:rsid w:val="000A737C"/>
    <w:rsid w:val="000A7820"/>
    <w:rsid w:val="000A7C66"/>
    <w:rsid w:val="000B1C91"/>
    <w:rsid w:val="000B2398"/>
    <w:rsid w:val="000B2FED"/>
    <w:rsid w:val="000B5F94"/>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326"/>
    <w:rsid w:val="000D24A1"/>
    <w:rsid w:val="000D2647"/>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27F"/>
    <w:rsid w:val="000E33FD"/>
    <w:rsid w:val="000E4213"/>
    <w:rsid w:val="000E5000"/>
    <w:rsid w:val="000E5E97"/>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290"/>
    <w:rsid w:val="001114A8"/>
    <w:rsid w:val="00112BB0"/>
    <w:rsid w:val="00113AF9"/>
    <w:rsid w:val="00114867"/>
    <w:rsid w:val="001149F3"/>
    <w:rsid w:val="00114B76"/>
    <w:rsid w:val="001155C0"/>
    <w:rsid w:val="00115FA8"/>
    <w:rsid w:val="00117505"/>
    <w:rsid w:val="0012073A"/>
    <w:rsid w:val="00120FD9"/>
    <w:rsid w:val="0012344F"/>
    <w:rsid w:val="00123A7A"/>
    <w:rsid w:val="00123B47"/>
    <w:rsid w:val="00124716"/>
    <w:rsid w:val="001259A9"/>
    <w:rsid w:val="00125C57"/>
    <w:rsid w:val="0012609C"/>
    <w:rsid w:val="00126371"/>
    <w:rsid w:val="00126571"/>
    <w:rsid w:val="00126A24"/>
    <w:rsid w:val="00126FD8"/>
    <w:rsid w:val="00127033"/>
    <w:rsid w:val="0012736A"/>
    <w:rsid w:val="00131684"/>
    <w:rsid w:val="0013198F"/>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88"/>
    <w:rsid w:val="001434FE"/>
    <w:rsid w:val="00143DC1"/>
    <w:rsid w:val="00144519"/>
    <w:rsid w:val="001453CD"/>
    <w:rsid w:val="00145581"/>
    <w:rsid w:val="001462B5"/>
    <w:rsid w:val="0014631A"/>
    <w:rsid w:val="00146F57"/>
    <w:rsid w:val="001471A1"/>
    <w:rsid w:val="00147214"/>
    <w:rsid w:val="00147258"/>
    <w:rsid w:val="001506B6"/>
    <w:rsid w:val="001508F3"/>
    <w:rsid w:val="00150BF0"/>
    <w:rsid w:val="00152374"/>
    <w:rsid w:val="00152A7B"/>
    <w:rsid w:val="00152B31"/>
    <w:rsid w:val="00152CCB"/>
    <w:rsid w:val="00152D16"/>
    <w:rsid w:val="001530FE"/>
    <w:rsid w:val="00153824"/>
    <w:rsid w:val="00153B86"/>
    <w:rsid w:val="001541B2"/>
    <w:rsid w:val="001545EB"/>
    <w:rsid w:val="0015465B"/>
    <w:rsid w:val="001548E4"/>
    <w:rsid w:val="001564B7"/>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54C"/>
    <w:rsid w:val="00170800"/>
    <w:rsid w:val="001713AC"/>
    <w:rsid w:val="001717FA"/>
    <w:rsid w:val="0017188B"/>
    <w:rsid w:val="001729D4"/>
    <w:rsid w:val="00172C85"/>
    <w:rsid w:val="001739C8"/>
    <w:rsid w:val="00174C2A"/>
    <w:rsid w:val="00175240"/>
    <w:rsid w:val="001755D7"/>
    <w:rsid w:val="001758FD"/>
    <w:rsid w:val="0017651E"/>
    <w:rsid w:val="00176973"/>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4D75"/>
    <w:rsid w:val="00195211"/>
    <w:rsid w:val="0019553F"/>
    <w:rsid w:val="001955B7"/>
    <w:rsid w:val="00195C63"/>
    <w:rsid w:val="001A0AB2"/>
    <w:rsid w:val="001A123A"/>
    <w:rsid w:val="001A150C"/>
    <w:rsid w:val="001A1879"/>
    <w:rsid w:val="001A20FA"/>
    <w:rsid w:val="001A23A6"/>
    <w:rsid w:val="001A28F9"/>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6056"/>
    <w:rsid w:val="001E723F"/>
    <w:rsid w:val="001E7A2D"/>
    <w:rsid w:val="001F0A16"/>
    <w:rsid w:val="001F0B8A"/>
    <w:rsid w:val="001F1053"/>
    <w:rsid w:val="001F13D1"/>
    <w:rsid w:val="001F21E6"/>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1AE3"/>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2EAF"/>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D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3F4"/>
    <w:rsid w:val="0024363A"/>
    <w:rsid w:val="002448E4"/>
    <w:rsid w:val="00244E17"/>
    <w:rsid w:val="00245739"/>
    <w:rsid w:val="00246296"/>
    <w:rsid w:val="002465B9"/>
    <w:rsid w:val="00246D04"/>
    <w:rsid w:val="00246F28"/>
    <w:rsid w:val="0024759A"/>
    <w:rsid w:val="0024778C"/>
    <w:rsid w:val="00250011"/>
    <w:rsid w:val="00250568"/>
    <w:rsid w:val="00251338"/>
    <w:rsid w:val="002513D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516"/>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649"/>
    <w:rsid w:val="002D283F"/>
    <w:rsid w:val="002D2E24"/>
    <w:rsid w:val="002D35E5"/>
    <w:rsid w:val="002D4267"/>
    <w:rsid w:val="002D4FA9"/>
    <w:rsid w:val="002D5B3F"/>
    <w:rsid w:val="002D7223"/>
    <w:rsid w:val="002E03CA"/>
    <w:rsid w:val="002E09CD"/>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07444"/>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C29"/>
    <w:rsid w:val="00324E0A"/>
    <w:rsid w:val="003251C7"/>
    <w:rsid w:val="003252BC"/>
    <w:rsid w:val="0032532C"/>
    <w:rsid w:val="0032574D"/>
    <w:rsid w:val="00325EB1"/>
    <w:rsid w:val="003264AF"/>
    <w:rsid w:val="0032680E"/>
    <w:rsid w:val="003302D7"/>
    <w:rsid w:val="0033030D"/>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C6A"/>
    <w:rsid w:val="00343FAF"/>
    <w:rsid w:val="00344A47"/>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3E65"/>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66A3"/>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5E"/>
    <w:rsid w:val="00390D6B"/>
    <w:rsid w:val="003912CF"/>
    <w:rsid w:val="003913A0"/>
    <w:rsid w:val="003928B1"/>
    <w:rsid w:val="003939AA"/>
    <w:rsid w:val="00393AAD"/>
    <w:rsid w:val="0039482B"/>
    <w:rsid w:val="00395282"/>
    <w:rsid w:val="00396132"/>
    <w:rsid w:val="003A0E03"/>
    <w:rsid w:val="003A1338"/>
    <w:rsid w:val="003A1781"/>
    <w:rsid w:val="003A1AC2"/>
    <w:rsid w:val="003A378D"/>
    <w:rsid w:val="003A3FB7"/>
    <w:rsid w:val="003A587C"/>
    <w:rsid w:val="003A5B50"/>
    <w:rsid w:val="003A5E82"/>
    <w:rsid w:val="003A604B"/>
    <w:rsid w:val="003A63A6"/>
    <w:rsid w:val="003A673E"/>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006"/>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6CEE"/>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392F"/>
    <w:rsid w:val="00415472"/>
    <w:rsid w:val="00415D41"/>
    <w:rsid w:val="0041655F"/>
    <w:rsid w:val="00420576"/>
    <w:rsid w:val="0042088C"/>
    <w:rsid w:val="00421309"/>
    <w:rsid w:val="004218EE"/>
    <w:rsid w:val="00422101"/>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37CB6"/>
    <w:rsid w:val="0044052A"/>
    <w:rsid w:val="004417B3"/>
    <w:rsid w:val="00441AEC"/>
    <w:rsid w:val="00442282"/>
    <w:rsid w:val="00443762"/>
    <w:rsid w:val="00444475"/>
    <w:rsid w:val="0044466E"/>
    <w:rsid w:val="00444B5F"/>
    <w:rsid w:val="00445473"/>
    <w:rsid w:val="0044606A"/>
    <w:rsid w:val="00446EF7"/>
    <w:rsid w:val="00446F26"/>
    <w:rsid w:val="004502F4"/>
    <w:rsid w:val="00450B88"/>
    <w:rsid w:val="004511B3"/>
    <w:rsid w:val="0045124F"/>
    <w:rsid w:val="00452B2E"/>
    <w:rsid w:val="00455488"/>
    <w:rsid w:val="00455694"/>
    <w:rsid w:val="004560F2"/>
    <w:rsid w:val="004570D3"/>
    <w:rsid w:val="00457659"/>
    <w:rsid w:val="00461C06"/>
    <w:rsid w:val="00461E25"/>
    <w:rsid w:val="00462611"/>
    <w:rsid w:val="0046296E"/>
    <w:rsid w:val="00462E55"/>
    <w:rsid w:val="004631DA"/>
    <w:rsid w:val="004632FE"/>
    <w:rsid w:val="00463F34"/>
    <w:rsid w:val="00463F72"/>
    <w:rsid w:val="00464107"/>
    <w:rsid w:val="00464662"/>
    <w:rsid w:val="00464949"/>
    <w:rsid w:val="00465238"/>
    <w:rsid w:val="00465922"/>
    <w:rsid w:val="00465E7E"/>
    <w:rsid w:val="00466013"/>
    <w:rsid w:val="00466172"/>
    <w:rsid w:val="0047008D"/>
    <w:rsid w:val="00472407"/>
    <w:rsid w:val="00472798"/>
    <w:rsid w:val="00472BBD"/>
    <w:rsid w:val="00473510"/>
    <w:rsid w:val="00473F34"/>
    <w:rsid w:val="0047448D"/>
    <w:rsid w:val="00474B3E"/>
    <w:rsid w:val="00474DB5"/>
    <w:rsid w:val="00474DE5"/>
    <w:rsid w:val="004752AA"/>
    <w:rsid w:val="0047555C"/>
    <w:rsid w:val="00475DD1"/>
    <w:rsid w:val="0047615F"/>
    <w:rsid w:val="004769C5"/>
    <w:rsid w:val="004816AD"/>
    <w:rsid w:val="00481C6F"/>
    <w:rsid w:val="00482491"/>
    <w:rsid w:val="00482DF7"/>
    <w:rsid w:val="00483556"/>
    <w:rsid w:val="00484C8F"/>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96FD1"/>
    <w:rsid w:val="004A14DD"/>
    <w:rsid w:val="004A2285"/>
    <w:rsid w:val="004A2BCB"/>
    <w:rsid w:val="004A477C"/>
    <w:rsid w:val="004A47FC"/>
    <w:rsid w:val="004A4D21"/>
    <w:rsid w:val="004A4FEC"/>
    <w:rsid w:val="004A6E9B"/>
    <w:rsid w:val="004A7D75"/>
    <w:rsid w:val="004B1727"/>
    <w:rsid w:val="004B237D"/>
    <w:rsid w:val="004B25A1"/>
    <w:rsid w:val="004B3081"/>
    <w:rsid w:val="004B3293"/>
    <w:rsid w:val="004B3654"/>
    <w:rsid w:val="004B3752"/>
    <w:rsid w:val="004B3DF5"/>
    <w:rsid w:val="004B48F7"/>
    <w:rsid w:val="004B537C"/>
    <w:rsid w:val="004B5684"/>
    <w:rsid w:val="004B5BA7"/>
    <w:rsid w:val="004B7284"/>
    <w:rsid w:val="004C0071"/>
    <w:rsid w:val="004C00F7"/>
    <w:rsid w:val="004C00F9"/>
    <w:rsid w:val="004C11B5"/>
    <w:rsid w:val="004C1499"/>
    <w:rsid w:val="004C1D81"/>
    <w:rsid w:val="004C28BF"/>
    <w:rsid w:val="004C2D17"/>
    <w:rsid w:val="004C30F1"/>
    <w:rsid w:val="004C331B"/>
    <w:rsid w:val="004C36B8"/>
    <w:rsid w:val="004C3A17"/>
    <w:rsid w:val="004C4C3A"/>
    <w:rsid w:val="004C6C44"/>
    <w:rsid w:val="004C7871"/>
    <w:rsid w:val="004D0D3F"/>
    <w:rsid w:val="004D0F24"/>
    <w:rsid w:val="004D13EA"/>
    <w:rsid w:val="004D1EB8"/>
    <w:rsid w:val="004D2893"/>
    <w:rsid w:val="004D38A3"/>
    <w:rsid w:val="004D44BC"/>
    <w:rsid w:val="004D4AE1"/>
    <w:rsid w:val="004D5D8A"/>
    <w:rsid w:val="004D7400"/>
    <w:rsid w:val="004D7521"/>
    <w:rsid w:val="004D769A"/>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75A"/>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2E3"/>
    <w:rsid w:val="0050465B"/>
    <w:rsid w:val="005048A3"/>
    <w:rsid w:val="00505F87"/>
    <w:rsid w:val="0050654E"/>
    <w:rsid w:val="00506573"/>
    <w:rsid w:val="00506692"/>
    <w:rsid w:val="00506F78"/>
    <w:rsid w:val="00510832"/>
    <w:rsid w:val="00510916"/>
    <w:rsid w:val="00510B55"/>
    <w:rsid w:val="00512520"/>
    <w:rsid w:val="00513A76"/>
    <w:rsid w:val="00513AF7"/>
    <w:rsid w:val="005143E0"/>
    <w:rsid w:val="0051498F"/>
    <w:rsid w:val="00514C5C"/>
    <w:rsid w:val="005155E1"/>
    <w:rsid w:val="00515641"/>
    <w:rsid w:val="005157B1"/>
    <w:rsid w:val="00515C54"/>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9FD"/>
    <w:rsid w:val="00524DDF"/>
    <w:rsid w:val="00524E25"/>
    <w:rsid w:val="0052574B"/>
    <w:rsid w:val="00526608"/>
    <w:rsid w:val="005267E6"/>
    <w:rsid w:val="00526A7C"/>
    <w:rsid w:val="00527B7D"/>
    <w:rsid w:val="00527DAB"/>
    <w:rsid w:val="005316D5"/>
    <w:rsid w:val="005318E4"/>
    <w:rsid w:val="00531FB3"/>
    <w:rsid w:val="00531FF2"/>
    <w:rsid w:val="00532A81"/>
    <w:rsid w:val="00532F79"/>
    <w:rsid w:val="005341EC"/>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302"/>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3A8"/>
    <w:rsid w:val="00566C29"/>
    <w:rsid w:val="00570649"/>
    <w:rsid w:val="00570BEE"/>
    <w:rsid w:val="00571CFA"/>
    <w:rsid w:val="0057212C"/>
    <w:rsid w:val="005732D5"/>
    <w:rsid w:val="00573ACA"/>
    <w:rsid w:val="005746E0"/>
    <w:rsid w:val="00574970"/>
    <w:rsid w:val="0057538E"/>
    <w:rsid w:val="0057611C"/>
    <w:rsid w:val="00576C2F"/>
    <w:rsid w:val="0057720E"/>
    <w:rsid w:val="005774DE"/>
    <w:rsid w:val="00580240"/>
    <w:rsid w:val="0058069B"/>
    <w:rsid w:val="00580CBB"/>
    <w:rsid w:val="00580D25"/>
    <w:rsid w:val="00581125"/>
    <w:rsid w:val="00581450"/>
    <w:rsid w:val="00581496"/>
    <w:rsid w:val="00582362"/>
    <w:rsid w:val="00582449"/>
    <w:rsid w:val="00582CFA"/>
    <w:rsid w:val="00583EAA"/>
    <w:rsid w:val="005845A2"/>
    <w:rsid w:val="00584748"/>
    <w:rsid w:val="00585277"/>
    <w:rsid w:val="00585F8F"/>
    <w:rsid w:val="0058659A"/>
    <w:rsid w:val="0058677B"/>
    <w:rsid w:val="005876BE"/>
    <w:rsid w:val="00587CEC"/>
    <w:rsid w:val="00590D07"/>
    <w:rsid w:val="00591456"/>
    <w:rsid w:val="00592452"/>
    <w:rsid w:val="00592514"/>
    <w:rsid w:val="0059394E"/>
    <w:rsid w:val="0059446D"/>
    <w:rsid w:val="005950B9"/>
    <w:rsid w:val="005956CA"/>
    <w:rsid w:val="00595B0A"/>
    <w:rsid w:val="00595C4E"/>
    <w:rsid w:val="0059637F"/>
    <w:rsid w:val="00596AC4"/>
    <w:rsid w:val="00597637"/>
    <w:rsid w:val="005A134B"/>
    <w:rsid w:val="005A13D0"/>
    <w:rsid w:val="005A1608"/>
    <w:rsid w:val="005A1AF0"/>
    <w:rsid w:val="005A1B4C"/>
    <w:rsid w:val="005A23E9"/>
    <w:rsid w:val="005A3FC0"/>
    <w:rsid w:val="005A4388"/>
    <w:rsid w:val="005A4616"/>
    <w:rsid w:val="005A4C52"/>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3D0"/>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374B"/>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1F2"/>
    <w:rsid w:val="006208D8"/>
    <w:rsid w:val="00620ABE"/>
    <w:rsid w:val="00620E09"/>
    <w:rsid w:val="00621603"/>
    <w:rsid w:val="00622773"/>
    <w:rsid w:val="00622F48"/>
    <w:rsid w:val="00622FE8"/>
    <w:rsid w:val="00623216"/>
    <w:rsid w:val="006236CD"/>
    <w:rsid w:val="00623918"/>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07CE"/>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891"/>
    <w:rsid w:val="00663CF3"/>
    <w:rsid w:val="00663F53"/>
    <w:rsid w:val="00664EED"/>
    <w:rsid w:val="006659E4"/>
    <w:rsid w:val="00665F88"/>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A44"/>
    <w:rsid w:val="00682F51"/>
    <w:rsid w:val="00683B72"/>
    <w:rsid w:val="00684A84"/>
    <w:rsid w:val="00684D2A"/>
    <w:rsid w:val="00684EA1"/>
    <w:rsid w:val="0068531A"/>
    <w:rsid w:val="00686309"/>
    <w:rsid w:val="00686E1D"/>
    <w:rsid w:val="00687CE7"/>
    <w:rsid w:val="00690196"/>
    <w:rsid w:val="0069047D"/>
    <w:rsid w:val="00690FEF"/>
    <w:rsid w:val="0069122B"/>
    <w:rsid w:val="00691C37"/>
    <w:rsid w:val="00692368"/>
    <w:rsid w:val="006931CC"/>
    <w:rsid w:val="006947E1"/>
    <w:rsid w:val="00694A54"/>
    <w:rsid w:val="00694B43"/>
    <w:rsid w:val="00695A6F"/>
    <w:rsid w:val="00696853"/>
    <w:rsid w:val="00696B04"/>
    <w:rsid w:val="0069711B"/>
    <w:rsid w:val="006A01E0"/>
    <w:rsid w:val="006A1291"/>
    <w:rsid w:val="006A1997"/>
    <w:rsid w:val="006A1E17"/>
    <w:rsid w:val="006A1EF2"/>
    <w:rsid w:val="006A200F"/>
    <w:rsid w:val="006A239A"/>
    <w:rsid w:val="006A24B1"/>
    <w:rsid w:val="006A2EDF"/>
    <w:rsid w:val="006A3665"/>
    <w:rsid w:val="006A3A0B"/>
    <w:rsid w:val="006A426A"/>
    <w:rsid w:val="006A42CA"/>
    <w:rsid w:val="006A44FA"/>
    <w:rsid w:val="006A4603"/>
    <w:rsid w:val="006A4B08"/>
    <w:rsid w:val="006A50EF"/>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5533"/>
    <w:rsid w:val="006B6620"/>
    <w:rsid w:val="006B6A2E"/>
    <w:rsid w:val="006B6D35"/>
    <w:rsid w:val="006B6D5E"/>
    <w:rsid w:val="006B7030"/>
    <w:rsid w:val="006B7A26"/>
    <w:rsid w:val="006C0C2B"/>
    <w:rsid w:val="006C0DC8"/>
    <w:rsid w:val="006C148E"/>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2922"/>
    <w:rsid w:val="006D35C5"/>
    <w:rsid w:val="006D373C"/>
    <w:rsid w:val="006D3EF8"/>
    <w:rsid w:val="006D40D6"/>
    <w:rsid w:val="006D46FC"/>
    <w:rsid w:val="006D4EA8"/>
    <w:rsid w:val="006D54C8"/>
    <w:rsid w:val="006D58C7"/>
    <w:rsid w:val="006D61CC"/>
    <w:rsid w:val="006D6946"/>
    <w:rsid w:val="006D6A5A"/>
    <w:rsid w:val="006D6FEA"/>
    <w:rsid w:val="006D7237"/>
    <w:rsid w:val="006D73B6"/>
    <w:rsid w:val="006E039C"/>
    <w:rsid w:val="006E24EC"/>
    <w:rsid w:val="006E3539"/>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6F5DE4"/>
    <w:rsid w:val="007002B0"/>
    <w:rsid w:val="00700408"/>
    <w:rsid w:val="00700450"/>
    <w:rsid w:val="007024E5"/>
    <w:rsid w:val="007025E6"/>
    <w:rsid w:val="00702951"/>
    <w:rsid w:val="00702F14"/>
    <w:rsid w:val="007031A0"/>
    <w:rsid w:val="007034EE"/>
    <w:rsid w:val="0070389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4F8E"/>
    <w:rsid w:val="007351F8"/>
    <w:rsid w:val="0073580D"/>
    <w:rsid w:val="00736302"/>
    <w:rsid w:val="00736360"/>
    <w:rsid w:val="0073660C"/>
    <w:rsid w:val="00736F44"/>
    <w:rsid w:val="0073719B"/>
    <w:rsid w:val="00737794"/>
    <w:rsid w:val="00740400"/>
    <w:rsid w:val="00741F6E"/>
    <w:rsid w:val="0074274A"/>
    <w:rsid w:val="00743B78"/>
    <w:rsid w:val="007451C3"/>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0AFC"/>
    <w:rsid w:val="00771113"/>
    <w:rsid w:val="00771DE5"/>
    <w:rsid w:val="00771E0F"/>
    <w:rsid w:val="007722C9"/>
    <w:rsid w:val="00773574"/>
    <w:rsid w:val="00773D2C"/>
    <w:rsid w:val="007743CF"/>
    <w:rsid w:val="00774484"/>
    <w:rsid w:val="0077499D"/>
    <w:rsid w:val="00774C5C"/>
    <w:rsid w:val="00774D41"/>
    <w:rsid w:val="007755AC"/>
    <w:rsid w:val="00775A42"/>
    <w:rsid w:val="00776894"/>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6594"/>
    <w:rsid w:val="00786B8B"/>
    <w:rsid w:val="0078755A"/>
    <w:rsid w:val="00790160"/>
    <w:rsid w:val="0079178A"/>
    <w:rsid w:val="00791C63"/>
    <w:rsid w:val="00793AD5"/>
    <w:rsid w:val="00793F46"/>
    <w:rsid w:val="0079402E"/>
    <w:rsid w:val="007948F4"/>
    <w:rsid w:val="00794AA0"/>
    <w:rsid w:val="00796101"/>
    <w:rsid w:val="007968A1"/>
    <w:rsid w:val="007974D6"/>
    <w:rsid w:val="00797E84"/>
    <w:rsid w:val="007A00E8"/>
    <w:rsid w:val="007A0841"/>
    <w:rsid w:val="007A145C"/>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BD8"/>
    <w:rsid w:val="007C1C6F"/>
    <w:rsid w:val="007C20A3"/>
    <w:rsid w:val="007C308D"/>
    <w:rsid w:val="007C3F0A"/>
    <w:rsid w:val="007C5406"/>
    <w:rsid w:val="007C5AFE"/>
    <w:rsid w:val="007C5FF7"/>
    <w:rsid w:val="007C6DF4"/>
    <w:rsid w:val="007C706A"/>
    <w:rsid w:val="007C799F"/>
    <w:rsid w:val="007C79A1"/>
    <w:rsid w:val="007C7D4C"/>
    <w:rsid w:val="007D041A"/>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B10"/>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5B1"/>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2781E"/>
    <w:rsid w:val="00830A3B"/>
    <w:rsid w:val="008319AD"/>
    <w:rsid w:val="00832261"/>
    <w:rsid w:val="00832940"/>
    <w:rsid w:val="0083371B"/>
    <w:rsid w:val="008337E4"/>
    <w:rsid w:val="0083425C"/>
    <w:rsid w:val="0083497A"/>
    <w:rsid w:val="00834ED9"/>
    <w:rsid w:val="0083503C"/>
    <w:rsid w:val="008352B4"/>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2F5A"/>
    <w:rsid w:val="00843584"/>
    <w:rsid w:val="00844A5C"/>
    <w:rsid w:val="00844FEA"/>
    <w:rsid w:val="008457B7"/>
    <w:rsid w:val="008464D7"/>
    <w:rsid w:val="008466D1"/>
    <w:rsid w:val="00847682"/>
    <w:rsid w:val="00847E07"/>
    <w:rsid w:val="00847E12"/>
    <w:rsid w:val="008509C8"/>
    <w:rsid w:val="008523B9"/>
    <w:rsid w:val="00852574"/>
    <w:rsid w:val="00852C0F"/>
    <w:rsid w:val="00852C1E"/>
    <w:rsid w:val="008533D7"/>
    <w:rsid w:val="008536BD"/>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192"/>
    <w:rsid w:val="00873881"/>
    <w:rsid w:val="00873A2C"/>
    <w:rsid w:val="00873F92"/>
    <w:rsid w:val="00874A01"/>
    <w:rsid w:val="00874D62"/>
    <w:rsid w:val="008752EC"/>
    <w:rsid w:val="008764AF"/>
    <w:rsid w:val="00876F46"/>
    <w:rsid w:val="008777F6"/>
    <w:rsid w:val="00880670"/>
    <w:rsid w:val="00880860"/>
    <w:rsid w:val="00880A28"/>
    <w:rsid w:val="008811CD"/>
    <w:rsid w:val="00881EC8"/>
    <w:rsid w:val="008823B9"/>
    <w:rsid w:val="00883D79"/>
    <w:rsid w:val="008841AF"/>
    <w:rsid w:val="00884304"/>
    <w:rsid w:val="00884588"/>
    <w:rsid w:val="00884827"/>
    <w:rsid w:val="008853F3"/>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4D1B"/>
    <w:rsid w:val="008C51FD"/>
    <w:rsid w:val="008C61EA"/>
    <w:rsid w:val="008C67F4"/>
    <w:rsid w:val="008C771A"/>
    <w:rsid w:val="008C7E5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10D"/>
    <w:rsid w:val="008E3382"/>
    <w:rsid w:val="008E45A8"/>
    <w:rsid w:val="008E4B9F"/>
    <w:rsid w:val="008E5474"/>
    <w:rsid w:val="008E5837"/>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5C48"/>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072B"/>
    <w:rsid w:val="0096204F"/>
    <w:rsid w:val="00962F28"/>
    <w:rsid w:val="00963268"/>
    <w:rsid w:val="00963610"/>
    <w:rsid w:val="00964A63"/>
    <w:rsid w:val="00964F94"/>
    <w:rsid w:val="00966E9E"/>
    <w:rsid w:val="009674D3"/>
    <w:rsid w:val="0096757D"/>
    <w:rsid w:val="00967E02"/>
    <w:rsid w:val="00970650"/>
    <w:rsid w:val="00970E27"/>
    <w:rsid w:val="00970EAD"/>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3D86"/>
    <w:rsid w:val="009943E2"/>
    <w:rsid w:val="00994922"/>
    <w:rsid w:val="00994956"/>
    <w:rsid w:val="009956E5"/>
    <w:rsid w:val="009958EA"/>
    <w:rsid w:val="009959BB"/>
    <w:rsid w:val="00996056"/>
    <w:rsid w:val="00996A41"/>
    <w:rsid w:val="00996B78"/>
    <w:rsid w:val="00996D75"/>
    <w:rsid w:val="009974EF"/>
    <w:rsid w:val="009A03FC"/>
    <w:rsid w:val="009A0F54"/>
    <w:rsid w:val="009A1044"/>
    <w:rsid w:val="009A13CA"/>
    <w:rsid w:val="009A1738"/>
    <w:rsid w:val="009A1BD4"/>
    <w:rsid w:val="009A20D3"/>
    <w:rsid w:val="009A2731"/>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4DDA"/>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07EC9"/>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681B"/>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068F"/>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1ED3"/>
    <w:rsid w:val="00A72024"/>
    <w:rsid w:val="00A73975"/>
    <w:rsid w:val="00A74BCA"/>
    <w:rsid w:val="00A75E58"/>
    <w:rsid w:val="00A75F43"/>
    <w:rsid w:val="00A76010"/>
    <w:rsid w:val="00A76FDF"/>
    <w:rsid w:val="00A77872"/>
    <w:rsid w:val="00A778BB"/>
    <w:rsid w:val="00A8087D"/>
    <w:rsid w:val="00A810C4"/>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4550"/>
    <w:rsid w:val="00AB5AE8"/>
    <w:rsid w:val="00AB6383"/>
    <w:rsid w:val="00AB7C3A"/>
    <w:rsid w:val="00AC205D"/>
    <w:rsid w:val="00AC208D"/>
    <w:rsid w:val="00AC2235"/>
    <w:rsid w:val="00AC2D9C"/>
    <w:rsid w:val="00AC3CEC"/>
    <w:rsid w:val="00AC3DE8"/>
    <w:rsid w:val="00AC6269"/>
    <w:rsid w:val="00AC670A"/>
    <w:rsid w:val="00AC6AE2"/>
    <w:rsid w:val="00AC7DD5"/>
    <w:rsid w:val="00AC7ECB"/>
    <w:rsid w:val="00AC7FAB"/>
    <w:rsid w:val="00AD032E"/>
    <w:rsid w:val="00AD1230"/>
    <w:rsid w:val="00AD171B"/>
    <w:rsid w:val="00AD2575"/>
    <w:rsid w:val="00AD2B72"/>
    <w:rsid w:val="00AD3B38"/>
    <w:rsid w:val="00AD4DCC"/>
    <w:rsid w:val="00AD58CE"/>
    <w:rsid w:val="00AD5B6C"/>
    <w:rsid w:val="00AD5F7A"/>
    <w:rsid w:val="00AD644F"/>
    <w:rsid w:val="00AD6510"/>
    <w:rsid w:val="00AD6B4B"/>
    <w:rsid w:val="00AD7177"/>
    <w:rsid w:val="00AD7292"/>
    <w:rsid w:val="00AD73FB"/>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1EB"/>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2E1D"/>
    <w:rsid w:val="00B2312C"/>
    <w:rsid w:val="00B23EEE"/>
    <w:rsid w:val="00B240EF"/>
    <w:rsid w:val="00B242C7"/>
    <w:rsid w:val="00B24543"/>
    <w:rsid w:val="00B26384"/>
    <w:rsid w:val="00B264E3"/>
    <w:rsid w:val="00B26F99"/>
    <w:rsid w:val="00B27916"/>
    <w:rsid w:val="00B31850"/>
    <w:rsid w:val="00B31A36"/>
    <w:rsid w:val="00B32071"/>
    <w:rsid w:val="00B32A88"/>
    <w:rsid w:val="00B331CD"/>
    <w:rsid w:val="00B33235"/>
    <w:rsid w:val="00B332AF"/>
    <w:rsid w:val="00B33426"/>
    <w:rsid w:val="00B335D2"/>
    <w:rsid w:val="00B33FA9"/>
    <w:rsid w:val="00B34B13"/>
    <w:rsid w:val="00B3561C"/>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2133"/>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170"/>
    <w:rsid w:val="00B77487"/>
    <w:rsid w:val="00B77995"/>
    <w:rsid w:val="00B804FF"/>
    <w:rsid w:val="00B8053A"/>
    <w:rsid w:val="00B80566"/>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18E"/>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7C5"/>
    <w:rsid w:val="00BB2964"/>
    <w:rsid w:val="00BB2E13"/>
    <w:rsid w:val="00BB3048"/>
    <w:rsid w:val="00BB3071"/>
    <w:rsid w:val="00BB3353"/>
    <w:rsid w:val="00BB3791"/>
    <w:rsid w:val="00BB55C1"/>
    <w:rsid w:val="00BB5EDE"/>
    <w:rsid w:val="00BB638E"/>
    <w:rsid w:val="00BB6BE6"/>
    <w:rsid w:val="00BB73A1"/>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543"/>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5781"/>
    <w:rsid w:val="00C064A9"/>
    <w:rsid w:val="00C06955"/>
    <w:rsid w:val="00C06E13"/>
    <w:rsid w:val="00C06F20"/>
    <w:rsid w:val="00C072BC"/>
    <w:rsid w:val="00C07959"/>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5F8"/>
    <w:rsid w:val="00C26903"/>
    <w:rsid w:val="00C2694A"/>
    <w:rsid w:val="00C2751C"/>
    <w:rsid w:val="00C27DBB"/>
    <w:rsid w:val="00C3047A"/>
    <w:rsid w:val="00C30EFE"/>
    <w:rsid w:val="00C31150"/>
    <w:rsid w:val="00C31973"/>
    <w:rsid w:val="00C32B1C"/>
    <w:rsid w:val="00C32B62"/>
    <w:rsid w:val="00C35278"/>
    <w:rsid w:val="00C35419"/>
    <w:rsid w:val="00C360F0"/>
    <w:rsid w:val="00C36279"/>
    <w:rsid w:val="00C3715D"/>
    <w:rsid w:val="00C4040C"/>
    <w:rsid w:val="00C40608"/>
    <w:rsid w:val="00C408A8"/>
    <w:rsid w:val="00C415F8"/>
    <w:rsid w:val="00C41696"/>
    <w:rsid w:val="00C41A61"/>
    <w:rsid w:val="00C41DBA"/>
    <w:rsid w:val="00C4217E"/>
    <w:rsid w:val="00C4272D"/>
    <w:rsid w:val="00C42B96"/>
    <w:rsid w:val="00C4302C"/>
    <w:rsid w:val="00C43486"/>
    <w:rsid w:val="00C43F93"/>
    <w:rsid w:val="00C44637"/>
    <w:rsid w:val="00C447BF"/>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69FA"/>
    <w:rsid w:val="00C67A1C"/>
    <w:rsid w:val="00C67B82"/>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6D71"/>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2DB6"/>
    <w:rsid w:val="00CC3BF9"/>
    <w:rsid w:val="00CC4049"/>
    <w:rsid w:val="00CC43D5"/>
    <w:rsid w:val="00CC44C1"/>
    <w:rsid w:val="00CC4536"/>
    <w:rsid w:val="00CC531D"/>
    <w:rsid w:val="00CC5DCB"/>
    <w:rsid w:val="00CC6809"/>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33D"/>
    <w:rsid w:val="00CE1746"/>
    <w:rsid w:val="00CE1A8E"/>
    <w:rsid w:val="00CE1B25"/>
    <w:rsid w:val="00CE206A"/>
    <w:rsid w:val="00CE21A6"/>
    <w:rsid w:val="00CE230A"/>
    <w:rsid w:val="00CE335D"/>
    <w:rsid w:val="00CE3842"/>
    <w:rsid w:val="00CE6847"/>
    <w:rsid w:val="00CE6B86"/>
    <w:rsid w:val="00CE7875"/>
    <w:rsid w:val="00CF00DE"/>
    <w:rsid w:val="00CF075F"/>
    <w:rsid w:val="00CF1356"/>
    <w:rsid w:val="00CF189F"/>
    <w:rsid w:val="00CF1908"/>
    <w:rsid w:val="00CF1A93"/>
    <w:rsid w:val="00CF20C9"/>
    <w:rsid w:val="00CF30BA"/>
    <w:rsid w:val="00CF397B"/>
    <w:rsid w:val="00CF3E76"/>
    <w:rsid w:val="00CF4218"/>
    <w:rsid w:val="00CF4E42"/>
    <w:rsid w:val="00CF50C3"/>
    <w:rsid w:val="00CF5615"/>
    <w:rsid w:val="00CF68A0"/>
    <w:rsid w:val="00CF6AF3"/>
    <w:rsid w:val="00CF6CA1"/>
    <w:rsid w:val="00CF7A1F"/>
    <w:rsid w:val="00D000A4"/>
    <w:rsid w:val="00D0020C"/>
    <w:rsid w:val="00D0065D"/>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6FEF"/>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69E8"/>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97"/>
    <w:rsid w:val="00D854A0"/>
    <w:rsid w:val="00D87329"/>
    <w:rsid w:val="00D874F0"/>
    <w:rsid w:val="00D87EED"/>
    <w:rsid w:val="00D908F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192A"/>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2A9"/>
    <w:rsid w:val="00DC7F3D"/>
    <w:rsid w:val="00DD0559"/>
    <w:rsid w:val="00DD0DE4"/>
    <w:rsid w:val="00DD12B0"/>
    <w:rsid w:val="00DD1D0D"/>
    <w:rsid w:val="00DD20EF"/>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1F6"/>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3AC8"/>
    <w:rsid w:val="00E04EBE"/>
    <w:rsid w:val="00E07C7E"/>
    <w:rsid w:val="00E07D97"/>
    <w:rsid w:val="00E07FF6"/>
    <w:rsid w:val="00E103F8"/>
    <w:rsid w:val="00E10680"/>
    <w:rsid w:val="00E10AA8"/>
    <w:rsid w:val="00E1186D"/>
    <w:rsid w:val="00E125D6"/>
    <w:rsid w:val="00E129BB"/>
    <w:rsid w:val="00E12A1A"/>
    <w:rsid w:val="00E1361B"/>
    <w:rsid w:val="00E13E91"/>
    <w:rsid w:val="00E13F42"/>
    <w:rsid w:val="00E14302"/>
    <w:rsid w:val="00E14B99"/>
    <w:rsid w:val="00E16405"/>
    <w:rsid w:val="00E170D5"/>
    <w:rsid w:val="00E17461"/>
    <w:rsid w:val="00E178D8"/>
    <w:rsid w:val="00E17D52"/>
    <w:rsid w:val="00E20A49"/>
    <w:rsid w:val="00E2127D"/>
    <w:rsid w:val="00E2160D"/>
    <w:rsid w:val="00E2196B"/>
    <w:rsid w:val="00E21AF4"/>
    <w:rsid w:val="00E22781"/>
    <w:rsid w:val="00E229B9"/>
    <w:rsid w:val="00E22B64"/>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5E7"/>
    <w:rsid w:val="00E40A5A"/>
    <w:rsid w:val="00E41E17"/>
    <w:rsid w:val="00E41E45"/>
    <w:rsid w:val="00E423C5"/>
    <w:rsid w:val="00E42645"/>
    <w:rsid w:val="00E42B45"/>
    <w:rsid w:val="00E43CF5"/>
    <w:rsid w:val="00E44024"/>
    <w:rsid w:val="00E4420C"/>
    <w:rsid w:val="00E4510A"/>
    <w:rsid w:val="00E454E4"/>
    <w:rsid w:val="00E4577F"/>
    <w:rsid w:val="00E4661A"/>
    <w:rsid w:val="00E46771"/>
    <w:rsid w:val="00E469BA"/>
    <w:rsid w:val="00E46B3C"/>
    <w:rsid w:val="00E50D5D"/>
    <w:rsid w:val="00E50EA6"/>
    <w:rsid w:val="00E510E6"/>
    <w:rsid w:val="00E51AA6"/>
    <w:rsid w:val="00E51DB7"/>
    <w:rsid w:val="00E5206D"/>
    <w:rsid w:val="00E525BC"/>
    <w:rsid w:val="00E528EA"/>
    <w:rsid w:val="00E52A66"/>
    <w:rsid w:val="00E52B27"/>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534"/>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17AA"/>
    <w:rsid w:val="00EA214A"/>
    <w:rsid w:val="00EA268B"/>
    <w:rsid w:val="00EA2DCC"/>
    <w:rsid w:val="00EA4453"/>
    <w:rsid w:val="00EA475C"/>
    <w:rsid w:val="00EA50C0"/>
    <w:rsid w:val="00EA53AC"/>
    <w:rsid w:val="00EA5434"/>
    <w:rsid w:val="00EA590C"/>
    <w:rsid w:val="00EA59B7"/>
    <w:rsid w:val="00EA69C8"/>
    <w:rsid w:val="00EA7B54"/>
    <w:rsid w:val="00EB045D"/>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3F26"/>
    <w:rsid w:val="00EC400E"/>
    <w:rsid w:val="00EC4132"/>
    <w:rsid w:val="00EC4268"/>
    <w:rsid w:val="00EC5262"/>
    <w:rsid w:val="00EC572B"/>
    <w:rsid w:val="00EC5B19"/>
    <w:rsid w:val="00EC77A9"/>
    <w:rsid w:val="00ED0427"/>
    <w:rsid w:val="00ED24C6"/>
    <w:rsid w:val="00ED3257"/>
    <w:rsid w:val="00ED379F"/>
    <w:rsid w:val="00ED4D30"/>
    <w:rsid w:val="00ED655C"/>
    <w:rsid w:val="00ED672F"/>
    <w:rsid w:val="00ED6805"/>
    <w:rsid w:val="00ED7F50"/>
    <w:rsid w:val="00EE05AD"/>
    <w:rsid w:val="00EE0D7A"/>
    <w:rsid w:val="00EE1196"/>
    <w:rsid w:val="00EE125C"/>
    <w:rsid w:val="00EE18BF"/>
    <w:rsid w:val="00EE1A7E"/>
    <w:rsid w:val="00EE26B5"/>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1D7"/>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3C8"/>
    <w:rsid w:val="00F20A95"/>
    <w:rsid w:val="00F216EA"/>
    <w:rsid w:val="00F22BD5"/>
    <w:rsid w:val="00F23253"/>
    <w:rsid w:val="00F23C2C"/>
    <w:rsid w:val="00F23CE4"/>
    <w:rsid w:val="00F23EA1"/>
    <w:rsid w:val="00F24158"/>
    <w:rsid w:val="00F2441A"/>
    <w:rsid w:val="00F24CDB"/>
    <w:rsid w:val="00F255F2"/>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0DC3"/>
    <w:rsid w:val="00F41DB5"/>
    <w:rsid w:val="00F42EEB"/>
    <w:rsid w:val="00F43AC2"/>
    <w:rsid w:val="00F44B54"/>
    <w:rsid w:val="00F45440"/>
    <w:rsid w:val="00F4584C"/>
    <w:rsid w:val="00F46202"/>
    <w:rsid w:val="00F4622D"/>
    <w:rsid w:val="00F475A1"/>
    <w:rsid w:val="00F47774"/>
    <w:rsid w:val="00F478C4"/>
    <w:rsid w:val="00F478C5"/>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5234"/>
    <w:rsid w:val="00F66C2F"/>
    <w:rsid w:val="00F66EDE"/>
    <w:rsid w:val="00F67297"/>
    <w:rsid w:val="00F672F7"/>
    <w:rsid w:val="00F674A6"/>
    <w:rsid w:val="00F679FF"/>
    <w:rsid w:val="00F703AD"/>
    <w:rsid w:val="00F70B73"/>
    <w:rsid w:val="00F70EA3"/>
    <w:rsid w:val="00F71AA1"/>
    <w:rsid w:val="00F7254D"/>
    <w:rsid w:val="00F72828"/>
    <w:rsid w:val="00F72B17"/>
    <w:rsid w:val="00F73120"/>
    <w:rsid w:val="00F73528"/>
    <w:rsid w:val="00F73BC7"/>
    <w:rsid w:val="00F74F8A"/>
    <w:rsid w:val="00F75284"/>
    <w:rsid w:val="00F75B99"/>
    <w:rsid w:val="00F76134"/>
    <w:rsid w:val="00F762CC"/>
    <w:rsid w:val="00F76581"/>
    <w:rsid w:val="00F76AE8"/>
    <w:rsid w:val="00F77185"/>
    <w:rsid w:val="00F7740A"/>
    <w:rsid w:val="00F77943"/>
    <w:rsid w:val="00F80567"/>
    <w:rsid w:val="00F80A42"/>
    <w:rsid w:val="00F80AE8"/>
    <w:rsid w:val="00F816D3"/>
    <w:rsid w:val="00F81A7C"/>
    <w:rsid w:val="00F81E82"/>
    <w:rsid w:val="00F83A4F"/>
    <w:rsid w:val="00F8403E"/>
    <w:rsid w:val="00F84C1A"/>
    <w:rsid w:val="00F85498"/>
    <w:rsid w:val="00F858E0"/>
    <w:rsid w:val="00F8593E"/>
    <w:rsid w:val="00F85B67"/>
    <w:rsid w:val="00F8740B"/>
    <w:rsid w:val="00F87EA5"/>
    <w:rsid w:val="00F9010D"/>
    <w:rsid w:val="00F92E75"/>
    <w:rsid w:val="00F93BC4"/>
    <w:rsid w:val="00F94881"/>
    <w:rsid w:val="00F9526F"/>
    <w:rsid w:val="00F9631E"/>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05B9"/>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132"/>
    <w:rsid w:val="00FB7B57"/>
    <w:rsid w:val="00FC0F13"/>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036"/>
    <w:rsid w:val="00FC6DF6"/>
    <w:rsid w:val="00FC7DE5"/>
    <w:rsid w:val="00FD032B"/>
    <w:rsid w:val="00FD1780"/>
    <w:rsid w:val="00FD18C0"/>
    <w:rsid w:val="00FD1C6D"/>
    <w:rsid w:val="00FD2812"/>
    <w:rsid w:val="00FD2D4B"/>
    <w:rsid w:val="00FD2F8A"/>
    <w:rsid w:val="00FD350F"/>
    <w:rsid w:val="00FD38DE"/>
    <w:rsid w:val="00FD3BC8"/>
    <w:rsid w:val="00FD3C3A"/>
    <w:rsid w:val="00FD3F06"/>
    <w:rsid w:val="00FD4131"/>
    <w:rsid w:val="00FD46A4"/>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D57D00"/>
  <w15:docId w15:val="{806CE166-8E86-A641-A516-186C7672E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Arial"/>
        <w:lang w:val="en-ZA"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pPr>
      <w:spacing w:after="200"/>
    </w:pPr>
    <w:rPr>
      <w:rFonts w:ascii="Times New Roman"/>
      <w:sz w:val="24"/>
      <w:szCs w:val="24"/>
      <w:lang w:val="en-US" w:eastAsia="en-US"/>
    </w:rPr>
  </w:style>
  <w:style w:type="paragraph" w:styleId="Heading1">
    <w:name w:val="heading 1"/>
    <w:basedOn w:val="Normal"/>
    <w:next w:val="BodyText"/>
    <w:uiPriority w:val="9"/>
    <w:qFormat/>
    <w:rsid w:val="00110450"/>
    <w:pPr>
      <w:keepNext/>
      <w:keepLines/>
      <w:spacing w:before="480" w:after="0" w:line="360" w:lineRule="auto"/>
      <w:outlineLvl w:val="0"/>
    </w:pPr>
    <w:rPr>
      <w:rFonts w:eastAsia="MS Gothic" w:hAnsi="Times New Roman" w:cs="Times New Roman"/>
      <w:b/>
      <w:bCs/>
      <w:color w:val="000000"/>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eastAsia="MS Gothic" w:hAnsi="Times New Roman" w:cs="Times New Roman"/>
      <w:b/>
      <w:bCs/>
      <w:color w:val="000000"/>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eastAsia="MS Gothic" w:hAnsi="Times New Roman" w:cs="Times New Roman"/>
      <w:b/>
      <w:bCs/>
      <w:color w:val="000000"/>
      <w:szCs w:val="28"/>
    </w:rPr>
  </w:style>
  <w:style w:type="paragraph" w:styleId="Heading4">
    <w:name w:val="heading 4"/>
    <w:basedOn w:val="Normal"/>
    <w:next w:val="BodyText"/>
    <w:uiPriority w:val="9"/>
    <w:unhideWhenUsed/>
    <w:qFormat/>
    <w:pPr>
      <w:keepNext/>
      <w:keepLines/>
      <w:spacing w:before="200" w:after="0"/>
      <w:outlineLvl w:val="3"/>
    </w:pPr>
    <w:rPr>
      <w:rFonts w:ascii="Calibri" w:eastAsia="MS Gothic" w:hAnsi="Calibri" w:cs="Times New Roman"/>
      <w:b/>
      <w:bCs/>
      <w:color w:val="4F81BD"/>
    </w:rPr>
  </w:style>
  <w:style w:type="paragraph" w:styleId="Heading5">
    <w:name w:val="heading 5"/>
    <w:basedOn w:val="Normal"/>
    <w:next w:val="BodyText"/>
    <w:uiPriority w:val="9"/>
    <w:unhideWhenUsed/>
    <w:qFormat/>
    <w:pPr>
      <w:keepNext/>
      <w:keepLines/>
      <w:spacing w:before="200" w:after="0"/>
      <w:outlineLvl w:val="4"/>
    </w:pPr>
    <w:rPr>
      <w:rFonts w:ascii="Calibri" w:eastAsia="MS Gothic" w:hAnsi="Calibri" w:cs="Times New Roman"/>
      <w:i/>
      <w:iCs/>
      <w:color w:val="4F81BD"/>
    </w:rPr>
  </w:style>
  <w:style w:type="paragraph" w:styleId="Heading6">
    <w:name w:val="heading 6"/>
    <w:basedOn w:val="Normal"/>
    <w:next w:val="BodyText"/>
    <w:uiPriority w:val="9"/>
    <w:unhideWhenUsed/>
    <w:qFormat/>
    <w:pPr>
      <w:keepNext/>
      <w:keepLines/>
      <w:spacing w:before="200" w:after="0"/>
      <w:outlineLvl w:val="5"/>
    </w:pPr>
    <w:rPr>
      <w:rFonts w:ascii="Calibri" w:eastAsia="MS Gothic" w:hAnsi="Calibri" w:cs="Times New Roman"/>
      <w:color w:val="4F81BD"/>
    </w:rPr>
  </w:style>
  <w:style w:type="paragraph" w:styleId="Heading7">
    <w:name w:val="heading 7"/>
    <w:basedOn w:val="Normal"/>
    <w:next w:val="BodyText"/>
    <w:uiPriority w:val="9"/>
    <w:unhideWhenUsed/>
    <w:qFormat/>
    <w:pPr>
      <w:keepNext/>
      <w:keepLines/>
      <w:spacing w:before="200" w:after="0"/>
      <w:outlineLvl w:val="6"/>
    </w:pPr>
    <w:rPr>
      <w:rFonts w:ascii="Calibri" w:eastAsia="MS Gothic" w:hAnsi="Calibri" w:cs="Times New Roman"/>
      <w:color w:val="4F81BD"/>
    </w:rPr>
  </w:style>
  <w:style w:type="paragraph" w:styleId="Heading8">
    <w:name w:val="heading 8"/>
    <w:basedOn w:val="Normal"/>
    <w:next w:val="BodyText"/>
    <w:uiPriority w:val="9"/>
    <w:unhideWhenUsed/>
    <w:qFormat/>
    <w:pPr>
      <w:keepNext/>
      <w:keepLines/>
      <w:spacing w:before="200" w:after="0"/>
      <w:outlineLvl w:val="7"/>
    </w:pPr>
    <w:rPr>
      <w:rFonts w:ascii="Calibri" w:eastAsia="MS Gothic" w:hAnsi="Calibri" w:cs="Times New Roman"/>
      <w:color w:val="4F81BD"/>
    </w:rPr>
  </w:style>
  <w:style w:type="paragraph" w:styleId="Heading9">
    <w:name w:val="heading 9"/>
    <w:basedOn w:val="Normal"/>
    <w:next w:val="BodyText"/>
    <w:uiPriority w:val="9"/>
    <w:unhideWhenUsed/>
    <w:qFormat/>
    <w:pPr>
      <w:keepNext/>
      <w:keepLines/>
      <w:spacing w:before="200" w:after="0"/>
      <w:outlineLvl w:val="8"/>
    </w:pPr>
    <w:rPr>
      <w:rFonts w:ascii="Calibri" w:eastAsia="MS Gothic" w:hAnsi="Calibri" w:cs="Times New Roman"/>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hAnsi="Times New Roman"/>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eastAsia="MS Gothic" w:hAnsi="Times New Roman" w:cs="Times New Roman"/>
      <w:b/>
      <w:bCs/>
      <w:color w:val="000000"/>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after="200" w:line="360" w:lineRule="auto"/>
    </w:pPr>
    <w:rPr>
      <w:rFonts w:ascii="Times New Roman" w:hAnsi="Times New Roman"/>
      <w:sz w:val="24"/>
      <w:szCs w:val="24"/>
      <w:lang w:val="en-US" w:eastAsia="en-US"/>
    </w:rPr>
  </w:style>
  <w:style w:type="paragraph" w:styleId="Date">
    <w:name w:val="Date"/>
    <w:next w:val="BodyText"/>
    <w:qFormat/>
    <w:rsid w:val="00110450"/>
    <w:pPr>
      <w:keepNext/>
      <w:keepLines/>
      <w:spacing w:after="200" w:line="360" w:lineRule="auto"/>
    </w:pPr>
    <w:rPr>
      <w:rFonts w:ascii="Times New Roman" w:hAnsi="Times New Roman"/>
      <w:sz w:val="24"/>
      <w:szCs w:val="24"/>
      <w:lang w:val="en-US" w:eastAsia="en-US"/>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hAnsi="Times New Roman"/>
    </w:rPr>
  </w:style>
  <w:style w:type="paragraph" w:styleId="BlockText">
    <w:name w:val="Block Text"/>
    <w:basedOn w:val="BodyText"/>
    <w:next w:val="BodyText"/>
    <w:uiPriority w:val="9"/>
    <w:unhideWhenUsed/>
    <w:qFormat/>
    <w:pPr>
      <w:spacing w:before="100" w:after="100"/>
    </w:pPr>
    <w:rPr>
      <w:rFonts w:ascii="Calibri" w:eastAsia="MS Gothic" w:hAnsi="Calibri" w:cs="Times New Roman"/>
      <w:bCs/>
      <w:sz w:val="20"/>
      <w:szCs w:val="20"/>
    </w:rPr>
  </w:style>
  <w:style w:type="paragraph" w:styleId="FootnoteText">
    <w:name w:val="footnote text"/>
    <w:basedOn w:val="Normal"/>
    <w:uiPriority w:val="9"/>
    <w:unhideWhenUsed/>
    <w:qFormat/>
  </w:style>
  <w:style w:type="table" w:customStyle="1" w:styleId="Table">
    <w:name w:val="Table"/>
    <w:semiHidden/>
    <w:unhideWhenUsed/>
    <w:qFormat/>
    <w:pPr>
      <w:spacing w:after="200"/>
    </w:pPr>
    <w:rPr>
      <w:sz w:val="24"/>
      <w:szCs w:val="24"/>
      <w:lang w:val="en-US" w:eastAsia="en-US"/>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hAnsi="Times New Roman"/>
      <w:i w:val="0"/>
    </w:rPr>
  </w:style>
  <w:style w:type="paragraph" w:customStyle="1" w:styleId="ImageCaption">
    <w:name w:val="Image Caption"/>
    <w:basedOn w:val="Caption"/>
    <w:rsid w:val="00110450"/>
    <w:pPr>
      <w:spacing w:line="360" w:lineRule="auto"/>
    </w:pPr>
    <w:rPr>
      <w:rFonts w:hAnsi="Times New Roman"/>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hAnsi="Times New Roman"/>
    </w:rPr>
  </w:style>
  <w:style w:type="character" w:customStyle="1" w:styleId="CaptionChar">
    <w:name w:val="Caption Char"/>
    <w:basedOn w:val="DefaultParagraphFont"/>
    <w:link w:val="Caption"/>
  </w:style>
  <w:style w:type="character" w:customStyle="1" w:styleId="VerbatimChar">
    <w:name w:val="Verbatim Char"/>
    <w:link w:val="SourceCode"/>
    <w:rPr>
      <w:rFonts w:ascii="Consolas" w:hAnsi="Consolas"/>
      <w:sz w:val="22"/>
    </w:rPr>
  </w:style>
  <w:style w:type="character" w:styleId="FootnoteReference">
    <w:name w:val="footnote reference"/>
    <w:rPr>
      <w:vertAlign w:val="superscript"/>
    </w:rPr>
  </w:style>
  <w:style w:type="character" w:styleId="Hyperlink">
    <w:name w:val="Hyperlink"/>
    <w:rPr>
      <w:color w:val="4F81BD"/>
    </w:rPr>
  </w:style>
  <w:style w:type="paragraph" w:styleId="TOCHeading">
    <w:name w:val="TOC Heading"/>
    <w:basedOn w:val="Heading1"/>
    <w:next w:val="BodyText"/>
    <w:uiPriority w:val="39"/>
    <w:unhideWhenUsed/>
    <w:qFormat/>
    <w:pPr>
      <w:spacing w:before="240" w:line="259" w:lineRule="auto"/>
      <w:outlineLvl w:val="9"/>
    </w:pPr>
    <w:rPr>
      <w:rFonts w:ascii="Calibri" w:hAnsi="Calibri"/>
      <w:b w:val="0"/>
      <w:bCs w:val="0"/>
      <w:color w:val="365F91"/>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rPr>
      <w:rFonts w:ascii="Consolas" w:hAnsi="Consolas"/>
      <w:b/>
      <w:color w:val="204A87"/>
      <w:sz w:val="22"/>
      <w:shd w:val="clear" w:color="auto" w:fill="F8F8F8"/>
    </w:rPr>
  </w:style>
  <w:style w:type="character" w:customStyle="1" w:styleId="DataTypeTok">
    <w:name w:val="DataTypeTok"/>
    <w:rPr>
      <w:rFonts w:ascii="Consolas" w:hAnsi="Consolas"/>
      <w:color w:val="204A87"/>
      <w:sz w:val="22"/>
      <w:shd w:val="clear" w:color="auto" w:fill="F8F8F8"/>
    </w:rPr>
  </w:style>
  <w:style w:type="character" w:customStyle="1" w:styleId="DecValTok">
    <w:name w:val="DecValTok"/>
    <w:rPr>
      <w:rFonts w:ascii="Consolas" w:hAnsi="Consolas"/>
      <w:color w:val="0000CF"/>
      <w:sz w:val="22"/>
      <w:shd w:val="clear" w:color="auto" w:fill="F8F8F8"/>
    </w:rPr>
  </w:style>
  <w:style w:type="character" w:customStyle="1" w:styleId="BaseNTok">
    <w:name w:val="BaseNTok"/>
    <w:rPr>
      <w:rFonts w:ascii="Consolas" w:hAnsi="Consolas"/>
      <w:color w:val="0000CF"/>
      <w:sz w:val="22"/>
      <w:shd w:val="clear" w:color="auto" w:fill="F8F8F8"/>
    </w:rPr>
  </w:style>
  <w:style w:type="character" w:customStyle="1" w:styleId="FloatTok">
    <w:name w:val="FloatTok"/>
    <w:rPr>
      <w:rFonts w:ascii="Consolas" w:hAnsi="Consolas"/>
      <w:color w:val="0000CF"/>
      <w:sz w:val="22"/>
      <w:shd w:val="clear" w:color="auto" w:fill="F8F8F8"/>
    </w:rPr>
  </w:style>
  <w:style w:type="character" w:customStyle="1" w:styleId="ConstantTok">
    <w:name w:val="ConstantTok"/>
    <w:rPr>
      <w:rFonts w:ascii="Consolas" w:hAnsi="Consolas"/>
      <w:color w:val="000000"/>
      <w:sz w:val="22"/>
      <w:shd w:val="clear" w:color="auto" w:fill="F8F8F8"/>
    </w:rPr>
  </w:style>
  <w:style w:type="character" w:customStyle="1" w:styleId="CharTok">
    <w:name w:val="CharTok"/>
    <w:rPr>
      <w:rFonts w:ascii="Consolas" w:hAnsi="Consolas"/>
      <w:color w:val="4E9A06"/>
      <w:sz w:val="22"/>
      <w:shd w:val="clear" w:color="auto" w:fill="F8F8F8"/>
    </w:rPr>
  </w:style>
  <w:style w:type="character" w:customStyle="1" w:styleId="SpecialCharTok">
    <w:name w:val="SpecialCharTok"/>
    <w:rPr>
      <w:rFonts w:ascii="Consolas" w:hAnsi="Consolas"/>
      <w:color w:val="000000"/>
      <w:sz w:val="22"/>
      <w:shd w:val="clear" w:color="auto" w:fill="F8F8F8"/>
    </w:rPr>
  </w:style>
  <w:style w:type="character" w:customStyle="1" w:styleId="StringTok">
    <w:name w:val="StringTok"/>
    <w:rPr>
      <w:rFonts w:ascii="Consolas" w:hAnsi="Consolas"/>
      <w:color w:val="4E9A06"/>
      <w:sz w:val="22"/>
      <w:shd w:val="clear" w:color="auto" w:fill="F8F8F8"/>
    </w:rPr>
  </w:style>
  <w:style w:type="character" w:customStyle="1" w:styleId="VerbatimStringTok">
    <w:name w:val="VerbatimStringTok"/>
    <w:rPr>
      <w:rFonts w:ascii="Consolas" w:hAnsi="Consolas"/>
      <w:color w:val="4E9A06"/>
      <w:sz w:val="22"/>
      <w:shd w:val="clear" w:color="auto" w:fill="F8F8F8"/>
    </w:rPr>
  </w:style>
  <w:style w:type="character" w:customStyle="1" w:styleId="SpecialStringTok">
    <w:name w:val="SpecialStringTok"/>
    <w:rPr>
      <w:rFonts w:ascii="Consolas" w:hAnsi="Consolas"/>
      <w:color w:val="4E9A06"/>
      <w:sz w:val="22"/>
      <w:shd w:val="clear" w:color="auto" w:fill="F8F8F8"/>
    </w:rPr>
  </w:style>
  <w:style w:type="character" w:customStyle="1" w:styleId="ImportTok">
    <w:name w:val="ImportTok"/>
    <w:rPr>
      <w:rFonts w:ascii="Consolas" w:hAnsi="Consolas"/>
      <w:sz w:val="22"/>
      <w:shd w:val="clear" w:color="auto" w:fill="F8F8F8"/>
    </w:rPr>
  </w:style>
  <w:style w:type="character" w:customStyle="1" w:styleId="CommentTok">
    <w:name w:val="CommentTok"/>
    <w:rPr>
      <w:rFonts w:ascii="Consolas" w:hAnsi="Consolas"/>
      <w:i/>
      <w:color w:val="8F5902"/>
      <w:sz w:val="22"/>
      <w:shd w:val="clear" w:color="auto" w:fill="F8F8F8"/>
    </w:rPr>
  </w:style>
  <w:style w:type="character" w:customStyle="1" w:styleId="DocumentationTok">
    <w:name w:val="DocumentationTok"/>
    <w:rPr>
      <w:rFonts w:ascii="Consolas" w:hAnsi="Consolas"/>
      <w:b/>
      <w:i/>
      <w:color w:val="8F5902"/>
      <w:sz w:val="22"/>
      <w:shd w:val="clear" w:color="auto" w:fill="F8F8F8"/>
    </w:rPr>
  </w:style>
  <w:style w:type="character" w:customStyle="1" w:styleId="AnnotationTok">
    <w:name w:val="AnnotationTok"/>
    <w:rPr>
      <w:rFonts w:ascii="Consolas" w:hAnsi="Consolas"/>
      <w:b/>
      <w:i/>
      <w:color w:val="8F5902"/>
      <w:sz w:val="22"/>
      <w:shd w:val="clear" w:color="auto" w:fill="F8F8F8"/>
    </w:rPr>
  </w:style>
  <w:style w:type="character" w:customStyle="1" w:styleId="CommentVarTok">
    <w:name w:val="CommentVarTok"/>
    <w:rPr>
      <w:rFonts w:ascii="Consolas" w:hAnsi="Consolas"/>
      <w:b/>
      <w:i/>
      <w:color w:val="8F5902"/>
      <w:sz w:val="22"/>
      <w:shd w:val="clear" w:color="auto" w:fill="F8F8F8"/>
    </w:rPr>
  </w:style>
  <w:style w:type="character" w:customStyle="1" w:styleId="OtherTok">
    <w:name w:val="OtherTok"/>
    <w:rPr>
      <w:rFonts w:ascii="Consolas" w:hAnsi="Consolas"/>
      <w:color w:val="8F5902"/>
      <w:sz w:val="22"/>
      <w:shd w:val="clear" w:color="auto" w:fill="F8F8F8"/>
    </w:rPr>
  </w:style>
  <w:style w:type="character" w:customStyle="1" w:styleId="FunctionTok">
    <w:name w:val="FunctionTok"/>
    <w:rPr>
      <w:rFonts w:ascii="Consolas" w:hAnsi="Consolas"/>
      <w:color w:val="000000"/>
      <w:sz w:val="22"/>
      <w:shd w:val="clear" w:color="auto" w:fill="F8F8F8"/>
    </w:rPr>
  </w:style>
  <w:style w:type="character" w:customStyle="1" w:styleId="VariableTok">
    <w:name w:val="VariableTok"/>
    <w:rPr>
      <w:rFonts w:ascii="Consolas" w:hAnsi="Consolas"/>
      <w:color w:val="000000"/>
      <w:sz w:val="22"/>
      <w:shd w:val="clear" w:color="auto" w:fill="F8F8F8"/>
    </w:rPr>
  </w:style>
  <w:style w:type="character" w:customStyle="1" w:styleId="ControlFlowTok">
    <w:name w:val="ControlFlowTok"/>
    <w:rPr>
      <w:rFonts w:ascii="Consolas" w:hAnsi="Consolas"/>
      <w:b/>
      <w:color w:val="204A87"/>
      <w:sz w:val="22"/>
      <w:shd w:val="clear" w:color="auto" w:fill="F8F8F8"/>
    </w:rPr>
  </w:style>
  <w:style w:type="character" w:customStyle="1" w:styleId="OperatorTok">
    <w:name w:val="OperatorTok"/>
    <w:rPr>
      <w:rFonts w:ascii="Consolas" w:hAnsi="Consolas"/>
      <w:b/>
      <w:color w:val="CE5C00"/>
      <w:sz w:val="22"/>
      <w:shd w:val="clear" w:color="auto" w:fill="F8F8F8"/>
    </w:rPr>
  </w:style>
  <w:style w:type="character" w:customStyle="1" w:styleId="BuiltInTok">
    <w:name w:val="BuiltInTok"/>
    <w:rPr>
      <w:rFonts w:ascii="Consolas" w:hAnsi="Consolas"/>
      <w:sz w:val="22"/>
      <w:shd w:val="clear" w:color="auto" w:fill="F8F8F8"/>
    </w:rPr>
  </w:style>
  <w:style w:type="character" w:customStyle="1" w:styleId="ExtensionTok">
    <w:name w:val="ExtensionTok"/>
    <w:rPr>
      <w:rFonts w:ascii="Consolas" w:hAnsi="Consolas"/>
      <w:sz w:val="22"/>
      <w:shd w:val="clear" w:color="auto" w:fill="F8F8F8"/>
    </w:rPr>
  </w:style>
  <w:style w:type="character" w:customStyle="1" w:styleId="PreprocessorTok">
    <w:name w:val="PreprocessorTok"/>
    <w:rPr>
      <w:rFonts w:ascii="Consolas" w:hAnsi="Consolas"/>
      <w:i/>
      <w:color w:val="8F5902"/>
      <w:sz w:val="22"/>
      <w:shd w:val="clear" w:color="auto" w:fill="F8F8F8"/>
    </w:rPr>
  </w:style>
  <w:style w:type="character" w:customStyle="1" w:styleId="AttributeTok">
    <w:name w:val="AttributeTok"/>
    <w:rPr>
      <w:rFonts w:ascii="Consolas" w:hAnsi="Consolas"/>
      <w:color w:val="C4A000"/>
      <w:sz w:val="22"/>
      <w:shd w:val="clear" w:color="auto" w:fill="F8F8F8"/>
    </w:rPr>
  </w:style>
  <w:style w:type="character" w:customStyle="1" w:styleId="RegionMarkerTok">
    <w:name w:val="RegionMarkerTok"/>
    <w:rPr>
      <w:rFonts w:ascii="Consolas" w:hAnsi="Consolas"/>
      <w:sz w:val="22"/>
      <w:shd w:val="clear" w:color="auto" w:fill="F8F8F8"/>
    </w:rPr>
  </w:style>
  <w:style w:type="character" w:customStyle="1" w:styleId="InformationTok">
    <w:name w:val="InformationTok"/>
    <w:rPr>
      <w:rFonts w:ascii="Consolas" w:hAnsi="Consolas"/>
      <w:b/>
      <w:i/>
      <w:color w:val="8F5902"/>
      <w:sz w:val="22"/>
      <w:shd w:val="clear" w:color="auto" w:fill="F8F8F8"/>
    </w:rPr>
  </w:style>
  <w:style w:type="character" w:customStyle="1" w:styleId="WarningTok">
    <w:name w:val="WarningTok"/>
    <w:rPr>
      <w:rFonts w:ascii="Consolas" w:hAnsi="Consolas"/>
      <w:b/>
      <w:i/>
      <w:color w:val="8F5902"/>
      <w:sz w:val="22"/>
      <w:shd w:val="clear" w:color="auto" w:fill="F8F8F8"/>
    </w:rPr>
  </w:style>
  <w:style w:type="character" w:customStyle="1" w:styleId="AlertTok">
    <w:name w:val="AlertTok"/>
    <w:rPr>
      <w:rFonts w:ascii="Consolas" w:hAnsi="Consolas"/>
      <w:color w:val="EF2929"/>
      <w:sz w:val="22"/>
      <w:shd w:val="clear" w:color="auto" w:fill="F8F8F8"/>
    </w:rPr>
  </w:style>
  <w:style w:type="character" w:customStyle="1" w:styleId="ErrorTok">
    <w:name w:val="ErrorTok"/>
    <w:rPr>
      <w:rFonts w:ascii="Consolas" w:hAnsi="Consolas"/>
      <w:b/>
      <w:color w:val="A40000"/>
      <w:sz w:val="22"/>
      <w:shd w:val="clear" w:color="auto" w:fill="F8F8F8"/>
    </w:rPr>
  </w:style>
  <w:style w:type="character" w:customStyle="1" w:styleId="NormalTok">
    <w:name w:val="NormalTok"/>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link w:val="BalloonText"/>
    <w:semiHidden/>
    <w:rsid w:val="00387049"/>
    <w:rPr>
      <w:rFonts w:ascii="Times New Roman" w:hAnsi="Times New Roman" w:cs="Times New Roman"/>
      <w:sz w:val="18"/>
      <w:szCs w:val="18"/>
    </w:rPr>
  </w:style>
  <w:style w:type="character" w:styleId="FollowedHyperlink">
    <w:name w:val="FollowedHyperlink"/>
    <w:semiHidden/>
    <w:unhideWhenUsed/>
    <w:rsid w:val="001A017C"/>
    <w:rPr>
      <w:color w:val="800080"/>
      <w:u w:val="single"/>
    </w:rPr>
  </w:style>
  <w:style w:type="character" w:customStyle="1" w:styleId="BodyTextChar">
    <w:name w:val="Body Text Char"/>
    <w:link w:val="BodyText"/>
    <w:rsid w:val="005F60AF"/>
    <w:rPr>
      <w:rFonts w:ascii="Times New Roman" w:hAnsi="Times New Roman"/>
    </w:rPr>
  </w:style>
  <w:style w:type="character" w:styleId="LineNumber">
    <w:name w:val="line number"/>
    <w:basedOn w:val="DefaultParagraphFont"/>
    <w:semiHidden/>
    <w:unhideWhenUsed/>
    <w:rsid w:val="000265CD"/>
  </w:style>
  <w:style w:type="character" w:styleId="CommentReference">
    <w:name w:val="annotation reference"/>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link w:val="CommentSubject"/>
    <w:semiHidden/>
    <w:rsid w:val="00DE0FC4"/>
    <w:rPr>
      <w:rFonts w:ascii="Times New Roman"/>
      <w:b/>
      <w:bCs/>
      <w:sz w:val="20"/>
      <w:szCs w:val="20"/>
    </w:rPr>
  </w:style>
  <w:style w:type="paragraph" w:styleId="Revision">
    <w:name w:val="Revision"/>
    <w:hidden/>
    <w:semiHidden/>
    <w:rsid w:val="00D305E0"/>
    <w:rPr>
      <w:rFonts w:ascii="Times New Roman"/>
      <w:sz w:val="24"/>
      <w:szCs w:val="24"/>
      <w:lang w:val="en-US" w:eastAsia="en-US"/>
    </w:rPr>
  </w:style>
  <w:style w:type="character" w:styleId="PlaceholderText">
    <w:name w:val="Placeholder Tex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link w:val="Footer"/>
    <w:uiPriority w:val="99"/>
    <w:rsid w:val="00D44C27"/>
    <w:rPr>
      <w:rFonts w:ascii="Times New Roman"/>
    </w:rPr>
  </w:style>
  <w:style w:type="character" w:customStyle="1" w:styleId="UnresolvedMention1">
    <w:name w:val="Unresolved Mention1"/>
    <w:uiPriority w:val="99"/>
    <w:semiHidden/>
    <w:unhideWhenUsed/>
    <w:rsid w:val="006E039C"/>
    <w:rPr>
      <w:color w:val="605E5C"/>
      <w:shd w:val="clear" w:color="auto" w:fill="E1DFDD"/>
    </w:rPr>
  </w:style>
  <w:style w:type="table" w:styleId="TableGrid">
    <w:name w:val="Table Grid"/>
    <w:basedOn w:val="TableNormal"/>
    <w:rsid w:val="00874A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4.png"/><Relationship Id="rId18" Type="http://schemas.openxmlformats.org/officeDocument/2006/relationships/hyperlink" Target="https://orcid.org/0000-0003-0989-3266"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orcid.org/0000-0003-2659-6909" TargetMode="External"/><Relationship Id="rId2" Type="http://schemas.openxmlformats.org/officeDocument/2006/relationships/numbering" Target="numbering.xml"/><Relationship Id="rId16" Type="http://schemas.openxmlformats.org/officeDocument/2006/relationships/hyperlink" Target="https://doi.org/10.15468/dl.46okua"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doi.org/10.15468/dl.n6u6n0" TargetMode="External"/><Relationship Id="rId10" Type="http://schemas.openxmlformats.org/officeDocument/2006/relationships/image" Target="media/image1.png"/><Relationship Id="rId19" Type="http://schemas.openxmlformats.org/officeDocument/2006/relationships/hyperlink" Target="https://orcid.org/0000-0002-1363-9781" TargetMode="External"/><Relationship Id="rId4" Type="http://schemas.openxmlformats.org/officeDocument/2006/relationships/settings" Target="settings.xml"/><Relationship Id="rId9" Type="http://schemas.openxmlformats.org/officeDocument/2006/relationships/hyperlink" Target="https://mindland.com/wp/projects/quarter-degree-grid-cells/download-qdgc/"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27</Pages>
  <Words>10086</Words>
  <Characters>57494</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67446</CharactersWithSpaces>
  <SharedDoc>false</SharedDoc>
  <HLinks>
    <vt:vector size="42" baseType="variant">
      <vt:variant>
        <vt:i4>5570578</vt:i4>
      </vt:variant>
      <vt:variant>
        <vt:i4>39</vt:i4>
      </vt:variant>
      <vt:variant>
        <vt:i4>0</vt:i4>
      </vt:variant>
      <vt:variant>
        <vt:i4>5</vt:i4>
      </vt:variant>
      <vt:variant>
        <vt:lpwstr>https://orcid.org/0000-0002-1363-9781</vt:lpwstr>
      </vt:variant>
      <vt:variant>
        <vt:lpwstr/>
      </vt:variant>
      <vt:variant>
        <vt:i4>5308441</vt:i4>
      </vt:variant>
      <vt:variant>
        <vt:i4>36</vt:i4>
      </vt:variant>
      <vt:variant>
        <vt:i4>0</vt:i4>
      </vt:variant>
      <vt:variant>
        <vt:i4>5</vt:i4>
      </vt:variant>
      <vt:variant>
        <vt:lpwstr>https://orcid.org/0000-0003-0989-3266</vt:lpwstr>
      </vt:variant>
      <vt:variant>
        <vt:lpwstr/>
      </vt:variant>
      <vt:variant>
        <vt:i4>6094877</vt:i4>
      </vt:variant>
      <vt:variant>
        <vt:i4>33</vt:i4>
      </vt:variant>
      <vt:variant>
        <vt:i4>0</vt:i4>
      </vt:variant>
      <vt:variant>
        <vt:i4>5</vt:i4>
      </vt:variant>
      <vt:variant>
        <vt:lpwstr>https://orcid.org/0000-0003-2659-6909</vt:lpwstr>
      </vt:variant>
      <vt:variant>
        <vt:lpwstr/>
      </vt:variant>
      <vt:variant>
        <vt:i4>7733300</vt:i4>
      </vt:variant>
      <vt:variant>
        <vt:i4>30</vt:i4>
      </vt:variant>
      <vt:variant>
        <vt:i4>0</vt:i4>
      </vt:variant>
      <vt:variant>
        <vt:i4>5</vt:i4>
      </vt:variant>
      <vt:variant>
        <vt:lpwstr>https://doi.org/10.15468/dl.46okua</vt:lpwstr>
      </vt:variant>
      <vt:variant>
        <vt:lpwstr/>
      </vt:variant>
      <vt:variant>
        <vt:i4>7995503</vt:i4>
      </vt:variant>
      <vt:variant>
        <vt:i4>27</vt:i4>
      </vt:variant>
      <vt:variant>
        <vt:i4>0</vt:i4>
      </vt:variant>
      <vt:variant>
        <vt:i4>5</vt:i4>
      </vt:variant>
      <vt:variant>
        <vt:lpwstr>https://doi.org/10.15468/dl.n6u6n0</vt:lpwstr>
      </vt:variant>
      <vt:variant>
        <vt:lpwstr/>
      </vt:variant>
      <vt:variant>
        <vt:i4>4456538</vt:i4>
      </vt:variant>
      <vt:variant>
        <vt:i4>9</vt:i4>
      </vt:variant>
      <vt:variant>
        <vt:i4>0</vt:i4>
      </vt:variant>
      <vt:variant>
        <vt:i4>5</vt:i4>
      </vt:variant>
      <vt:variant>
        <vt:lpwstr>https://mindland.com/wp/projects/quarter-degree-grid-cells/download-qdgc/</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dc:description/>
  <cp:lastModifiedBy>Ruan Van Mazijk</cp:lastModifiedBy>
  <cp:revision>9</cp:revision>
  <cp:lastPrinted>2020-02-28T12:27:00Z</cp:lastPrinted>
  <dcterms:created xsi:type="dcterms:W3CDTF">2020-07-21T13:38:00Z</dcterms:created>
  <dcterms:modified xsi:type="dcterms:W3CDTF">2020-07-21T13:40:00Z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