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w:t>
      </w:r>
      <w:proofErr w:type="spellStart"/>
      <w:r w:rsidRPr="00E75ABE">
        <w:t>Tropicos</w:t>
      </w:r>
      <w:proofErr w:type="spellEnd"/>
      <w:r w:rsidRPr="00E75ABE">
        <w:t xml:space="preserve">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w:t>
            </w:r>
            <w:proofErr w:type="gramStart"/>
            <w:r w:rsidRPr="00537B9C">
              <w:rPr>
                <w:sz w:val="22"/>
              </w:rPr>
              <w:t>a,b</w:t>
            </w:r>
            <w:proofErr w:type="gramEnd"/>
            <w:r w:rsidRPr="00537B9C">
              <w:rPr>
                <w:sz w:val="22"/>
              </w:rPr>
              <w:t>)</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w:t>
            </w:r>
            <w:proofErr w:type="gramStart"/>
            <w:r w:rsidRPr="00537B9C">
              <w:rPr>
                <w:sz w:val="22"/>
              </w:rPr>
              <w:t>a</w:t>
            </w:r>
            <w:r w:rsidR="002F5DB0" w:rsidRPr="00537B9C">
              <w:rPr>
                <w:sz w:val="22"/>
              </w:rPr>
              <w:t>,</w:t>
            </w:r>
            <w:r w:rsidR="00694A54" w:rsidRPr="00537B9C">
              <w:rPr>
                <w:sz w:val="22"/>
              </w:rPr>
              <w:t>b</w:t>
            </w:r>
            <w:proofErr w:type="gramEnd"/>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commentRangeStart w:id="1"/>
            <w:r w:rsidRPr="00595E8B">
              <w:rPr>
                <w:rFonts w:hAnsi="Times New Roman" w:cs="Times New Roman"/>
              </w:rPr>
              <w:t>6.22</w:t>
            </w:r>
            <w:commentRangeEnd w:id="1"/>
            <w:r w:rsidR="008F3BC7" w:rsidRPr="00595E8B">
              <w:rPr>
                <w:rStyle w:val="CommentReference"/>
              </w:rPr>
              <w:commentReference w:id="1"/>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 xml:space="preserve">Points with error bars denote partial effect estimates and their 95% confidence intervals. Filled and empty points represent effect </w:t>
      </w:r>
      <w:proofErr w:type="gramStart"/>
      <w:r>
        <w:t>estimates  for</w:t>
      </w:r>
      <w:proofErr w:type="gramEnd"/>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 xml:space="preserve">Examples of vascular plant species from the SWAFR whose occurrence records include outlier localities (in red) near Perth (diamond). Outlier records were determined as those that fall outside the described range for that species (according to distribution maps from </w:t>
      </w:r>
      <w:proofErr w:type="spellStart"/>
      <w:r w:rsidR="00970549">
        <w:t>FloraBase</w:t>
      </w:r>
      <w:proofErr w:type="spellEnd"/>
      <w:r w:rsidR="00970549">
        <w:t xml:space="preserve"> (</w:t>
      </w:r>
      <w:hyperlink r:id="rId27"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8"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9"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Verdin,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30"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31"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2"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3"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E43553">
        <w:t xml:space="preserve"> </w:t>
      </w:r>
      <w:hyperlink r:id="rId34"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5"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6"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7"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8" w:history="1">
        <w:r>
          <w:rPr>
            <w:rStyle w:val="Hyperlink"/>
          </w:rPr>
          <w:t>http://tnrs.iplantcollaborative.org/</w:t>
        </w:r>
      </w:hyperlink>
    </w:p>
    <w:sectPr w:rsidR="0061013D" w:rsidRPr="0061013D" w:rsidSect="00B3633C">
      <w:footerReference w:type="default" r:id="rId39"/>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3E67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3E67D2" w16cid:durableId="220268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1627D" w14:textId="77777777" w:rsidR="00852F6D" w:rsidRDefault="00852F6D">
      <w:pPr>
        <w:spacing w:after="0"/>
      </w:pPr>
      <w:r>
        <w:separator/>
      </w:r>
    </w:p>
  </w:endnote>
  <w:endnote w:type="continuationSeparator" w:id="0">
    <w:p w14:paraId="1F096D62" w14:textId="77777777" w:rsidR="00852F6D" w:rsidRDefault="00852F6D">
      <w:pPr>
        <w:spacing w:after="0"/>
      </w:pPr>
      <w:r>
        <w:continuationSeparator/>
      </w:r>
    </w:p>
  </w:endnote>
  <w:endnote w:type="continuationNotice" w:id="1">
    <w:p w14:paraId="2E65DC7A" w14:textId="77777777" w:rsidR="00852F6D" w:rsidRDefault="00852F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1CA69" w14:textId="77777777" w:rsidR="00852F6D" w:rsidRDefault="00852F6D">
      <w:r>
        <w:separator/>
      </w:r>
    </w:p>
  </w:footnote>
  <w:footnote w:type="continuationSeparator" w:id="0">
    <w:p w14:paraId="61CB0697" w14:textId="77777777" w:rsidR="00852F6D" w:rsidRDefault="00852F6D">
      <w:r>
        <w:continuationSeparator/>
      </w:r>
    </w:p>
  </w:footnote>
  <w:footnote w:type="continuationNotice" w:id="1">
    <w:p w14:paraId="6446C071" w14:textId="77777777" w:rsidR="00852F6D" w:rsidRDefault="00852F6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2F6D"/>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doi.org/10.1371/journal.pone.016974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29/2005RG00018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oi.org/10.15468/dl.46okua" TargetMode="External"/><Relationship Id="rId37" Type="http://schemas.openxmlformats.org/officeDocument/2006/relationships/hyperlink" Target="https://doi.org/10.5067/MODIS/MOD1132.00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github.com/ropensci/taxize" TargetMode="External"/><Relationship Id="rId36" Type="http://schemas.openxmlformats.org/officeDocument/2006/relationships/hyperlink" Target="https://doi.org/10.5067/MODIS/MOD13C2.006"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lorabase.dpaw.wa.gov.au/" TargetMode="External"/><Relationship Id="rId30" Type="http://schemas.openxmlformats.org/officeDocument/2006/relationships/hyperlink" Target="https://doi.org/10.1038/sdata.2015.66" TargetMode="External"/><Relationship Id="rId35" Type="http://schemas.openxmlformats.org/officeDocument/2006/relationships/hyperlink" Target="http://www.itis.gov" TargetMode="Externa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resolver.globalnames.org/" TargetMode="External"/><Relationship Id="rId38"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20</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16164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495</cp:revision>
  <cp:lastPrinted>2019-11-19T13:01:00Z</cp:lastPrinted>
  <dcterms:created xsi:type="dcterms:W3CDTF">2019-12-03T09:32:00Z</dcterms:created>
  <dcterms:modified xsi:type="dcterms:W3CDTF">2020-07-21T12:46:00Z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