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823E52" w:rsidRDefault="00E04E6C" w:rsidP="00705DE6">
      <w:pPr>
        <w:pStyle w:val="BodyText"/>
        <w:spacing w:before="0"/>
        <w:rPr>
          <w:rFonts w:eastAsia="Times New Roman" w:hAnsi="Times New Roman" w:cs="Times New Roman"/>
          <w:color w:val="FF0000"/>
          <w:sz w:val="22"/>
          <w:szCs w:val="22"/>
          <w:lang w:val="en-ZA" w:eastAsia="en-ZA"/>
        </w:rPr>
      </w:pPr>
      <w:commentRangeStart w:id="1"/>
      <w:r w:rsidRPr="00823E52">
        <w:rPr>
          <w:b/>
          <w:bCs/>
          <w:color w:val="FF0000"/>
        </w:rPr>
        <w:lastRenderedPageBreak/>
        <w:t>Table S</w:t>
      </w:r>
      <w:r w:rsidR="0001122D" w:rsidRPr="00823E52">
        <w:rPr>
          <w:b/>
          <w:bCs/>
          <w:color w:val="FF0000"/>
        </w:rPr>
        <w:t>3</w:t>
      </w:r>
      <w:commentRangeEnd w:id="1"/>
      <w:r w:rsidR="008F3BC7" w:rsidRPr="00823E52">
        <w:rPr>
          <w:rStyle w:val="CommentReference"/>
          <w:rFonts w:ascii="Times New Roman" w:hAnsiTheme="minorHAnsi"/>
          <w:color w:val="FF0000"/>
        </w:rPr>
        <w:commentReference w:id="1"/>
      </w:r>
      <w:r w:rsidRPr="00823E52">
        <w:rPr>
          <w:b/>
          <w:bCs/>
          <w:color w:val="FF0000"/>
        </w:rPr>
        <w:t>:</w:t>
      </w:r>
      <w:r w:rsidRPr="00823E52">
        <w:rPr>
          <w:color w:val="FF0000"/>
        </w:rPr>
        <w:t xml:space="preserve"> </w:t>
      </w:r>
      <w:r w:rsidR="00256F0B" w:rsidRPr="00823E52">
        <w:rPr>
          <w:color w:val="FF0000"/>
        </w:rPr>
        <w:t>C</w:t>
      </w:r>
      <w:r w:rsidRPr="00823E52">
        <w:rPr>
          <w:color w:val="FF0000"/>
        </w:rPr>
        <w:t>ompari</w:t>
      </w:r>
      <w:r w:rsidR="00256F0B" w:rsidRPr="00823E52">
        <w:rPr>
          <w:color w:val="FF0000"/>
        </w:rPr>
        <w:t>sons</w:t>
      </w:r>
      <w:r w:rsidRPr="00823E52">
        <w:rPr>
          <w:color w:val="FF0000"/>
        </w:rPr>
        <w:t xml:space="preserve"> </w:t>
      </w:r>
      <w:r w:rsidR="00256F0B" w:rsidRPr="00823E52">
        <w:rPr>
          <w:color w:val="FF0000"/>
        </w:rPr>
        <w:t>of the standard deviations (</w:t>
      </w:r>
      <w:r w:rsidR="00256F0B" w:rsidRPr="00823E52">
        <w:rPr>
          <w:i/>
          <w:color w:val="FF0000"/>
        </w:rPr>
        <w:t>SD</w:t>
      </w:r>
      <w:r w:rsidR="00256F0B" w:rsidRPr="00823E52">
        <w:rPr>
          <w:color w:val="FF0000"/>
        </w:rPr>
        <w:t>)</w:t>
      </w:r>
      <w:r w:rsidRPr="00823E52">
        <w:rPr>
          <w:color w:val="FF0000"/>
        </w:rPr>
        <w:t xml:space="preserve"> of residuals from PC1-</w:t>
      </w:r>
      <w:r w:rsidR="00364BDA" w:rsidRPr="00823E52">
        <w:rPr>
          <w:color w:val="FF0000"/>
        </w:rPr>
        <w:t>based</w:t>
      </w:r>
      <w:r w:rsidRPr="00823E52">
        <w:rPr>
          <w:color w:val="FF0000"/>
        </w:rPr>
        <w:t xml:space="preserve"> and </w:t>
      </w:r>
      <w:r w:rsidR="00364BDA" w:rsidRPr="00823E52">
        <w:rPr>
          <w:color w:val="FF0000"/>
        </w:rPr>
        <w:t xml:space="preserve">multivariate (MV) </w:t>
      </w:r>
      <w:r w:rsidRPr="00823E52">
        <w:rPr>
          <w:color w:val="FF0000"/>
        </w:rPr>
        <w:t xml:space="preserve">models </w:t>
      </w:r>
      <w:r w:rsidR="00256F0B" w:rsidRPr="00823E52">
        <w:rPr>
          <w:color w:val="FF0000"/>
        </w:rPr>
        <w:t>using dat</w:t>
      </w:r>
      <w:bookmarkStart w:id="2" w:name="_GoBack"/>
      <w:bookmarkEnd w:id="2"/>
      <w:r w:rsidR="00256F0B" w:rsidRPr="00823E52">
        <w:rPr>
          <w:color w:val="FF0000"/>
        </w:rPr>
        <w:t>asets both including</w:t>
      </w:r>
      <w:r w:rsidRPr="00823E52">
        <w:rPr>
          <w:color w:val="FF0000"/>
        </w:rPr>
        <w:t xml:space="preserve"> </w:t>
      </w:r>
      <w:r w:rsidR="00256F0B" w:rsidRPr="00823E52">
        <w:rPr>
          <w:color w:val="FF0000"/>
        </w:rPr>
        <w:t xml:space="preserve">excluding vascular plant species </w:t>
      </w:r>
      <w:r w:rsidRPr="00823E52">
        <w:rPr>
          <w:color w:val="FF0000"/>
        </w:rPr>
        <w:t>richness hotspots</w:t>
      </w:r>
      <w:r w:rsidR="00256F0B" w:rsidRPr="00823E52">
        <w:rPr>
          <w:color w:val="FF0000"/>
        </w:rPr>
        <w:t xml:space="preserve"> across the GCFR and SWAFR, across the three spatial scales</w:t>
      </w:r>
      <w:r w:rsidRPr="00823E52">
        <w:rPr>
          <w:color w:val="FF0000"/>
        </w:rPr>
        <w:t>.</w:t>
      </w:r>
      <w:r w:rsidR="00256F0B" w:rsidRPr="00823E52">
        <w:rPr>
          <w:color w:val="FF0000"/>
        </w:rPr>
        <w:t xml:space="preserve"> Hotspots excluded fr</w:t>
      </w:r>
      <w:r w:rsidR="00E0628C" w:rsidRPr="00823E52">
        <w:rPr>
          <w:color w:val="FF0000"/>
        </w:rPr>
        <w:t>om</w:t>
      </w:r>
      <w:r w:rsidR="00256F0B" w:rsidRPr="00823E52">
        <w:rPr>
          <w:color w:val="FF0000"/>
        </w:rPr>
        <w:t xml:space="preserve"> </w:t>
      </w:r>
      <w:r w:rsidR="00E0628C" w:rsidRPr="00823E52">
        <w:rPr>
          <w:color w:val="FF0000"/>
        </w:rPr>
        <w:t>each</w:t>
      </w:r>
      <w:r w:rsidR="00256F0B" w:rsidRPr="00823E52">
        <w:rPr>
          <w:color w:val="FF0000"/>
        </w:rPr>
        <w:t xml:space="preserve"> model </w:t>
      </w:r>
      <w:r w:rsidR="00E0628C" w:rsidRPr="00823E52">
        <w:rPr>
          <w:color w:val="FF0000"/>
        </w:rPr>
        <w:t>were those with residuals greater than two standard deviations from the mean for that model.</w:t>
      </w:r>
      <w:r w:rsidR="00DC6E66" w:rsidRPr="00823E52">
        <w:rPr>
          <w:color w:val="FF0000"/>
        </w:rPr>
        <w:t xml:space="preserve"> </w:t>
      </w:r>
      <w:r w:rsidR="0032401D" w:rsidRPr="00823E52">
        <w:rPr>
          <w:color w:val="FF0000"/>
        </w:rPr>
        <w:t>All pairs of</w:t>
      </w:r>
      <w:r w:rsidR="0032401D" w:rsidRPr="00823E52">
        <w:rPr>
          <w:color w:val="FF0000"/>
          <w:lang w:eastAsia="en-ZA"/>
        </w:rPr>
        <w:t xml:space="preserve"> GCFR and SWAFR </w:t>
      </w:r>
      <w:r w:rsidR="0032401D" w:rsidRPr="00823E52">
        <w:rPr>
          <w:i/>
          <w:iCs/>
          <w:color w:val="FF0000"/>
          <w:lang w:eastAsia="en-ZA"/>
        </w:rPr>
        <w:t>SD</w:t>
      </w:r>
      <w:r w:rsidR="0032401D" w:rsidRPr="00823E52">
        <w:rPr>
          <w:color w:val="FF0000"/>
          <w:lang w:eastAsia="en-ZA"/>
        </w:rPr>
        <w:t>-values differed significantly (</w:t>
      </w:r>
      <w:r w:rsidR="0032401D" w:rsidRPr="00823E52">
        <w:rPr>
          <w:i/>
          <w:iCs/>
          <w:color w:val="FF0000"/>
          <w:lang w:eastAsia="en-ZA"/>
        </w:rPr>
        <w:t>P</w:t>
      </w:r>
      <w:r w:rsidR="0032401D" w:rsidRPr="00823E52">
        <w:rPr>
          <w:color w:val="FF0000"/>
          <w:lang w:eastAsia="en-ZA"/>
        </w:rPr>
        <w:t xml:space="preserve"> &lt; 0.01; two-sided </w:t>
      </w:r>
      <w:r w:rsidR="0032401D" w:rsidRPr="00823E52">
        <w:rPr>
          <w:i/>
          <w:iCs/>
          <w:color w:val="FF0000"/>
          <w:lang w:eastAsia="en-ZA"/>
        </w:rPr>
        <w:t>F</w:t>
      </w:r>
      <w:r w:rsidR="0032401D" w:rsidRPr="00823E52">
        <w:rPr>
          <w:color w:val="FF0000"/>
          <w:lang w:eastAsia="en-ZA"/>
        </w:rPr>
        <w:t>-tests)</w:t>
      </w:r>
      <w:r w:rsidR="0032401D" w:rsidRPr="00823E52">
        <w:rPr>
          <w:color w:val="FF0000"/>
        </w:rPr>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823E52" w:rsidRPr="00823E52"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single" w:sz="4" w:space="0" w:color="auto"/>
              <w:bottom w:val="nil"/>
            </w:tcBorders>
            <w:vAlign w:val="bottom"/>
          </w:tcPr>
          <w:p w14:paraId="272EEF4F" w14:textId="77777777" w:rsidR="0032401D" w:rsidRPr="00823E52" w:rsidRDefault="0032401D" w:rsidP="0032401D">
            <w:pPr>
              <w:spacing w:after="0"/>
              <w:jc w:val="center"/>
              <w:rPr>
                <w:rFonts w:eastAsia="Times New Roman" w:hAnsi="Times New Roman" w:cs="Times New Roman"/>
                <w:i/>
                <w:color w:val="FF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i/>
                <w:color w:val="FF0000"/>
                <w:lang w:eastAsia="en-ZA"/>
              </w:rPr>
              <w:t>SD</w:t>
            </w:r>
            <w:r w:rsidRPr="00823E52">
              <w:rPr>
                <w:rFonts w:eastAsia="Times New Roman" w:hAnsi="Times New Roman" w:cs="Times New Roman"/>
                <w:color w:val="FF0000"/>
                <w:lang w:eastAsia="en-ZA"/>
              </w:rPr>
              <w:t xml:space="preserve"> of model residuals</w:t>
            </w:r>
          </w:p>
        </w:tc>
      </w:tr>
      <w:tr w:rsidR="00823E52" w:rsidRPr="00823E52"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tcPr>
          <w:p w14:paraId="2F0A23A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nil"/>
              <w:bottom w:val="nil"/>
            </w:tcBorders>
            <w:vAlign w:val="bottom"/>
          </w:tcPr>
          <w:p w14:paraId="33075F44" w14:textId="77777777" w:rsidR="0032401D" w:rsidRPr="00823E52" w:rsidRDefault="0032401D" w:rsidP="0032401D">
            <w:pPr>
              <w:spacing w:after="0"/>
              <w:jc w:val="center"/>
              <w:rPr>
                <w:rFonts w:eastAsia="Times New Roman" w:hAnsi="Times New Roman" w:cs="Times New Roman"/>
                <w:color w:val="FF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Including hotspots</w:t>
            </w:r>
          </w:p>
        </w:tc>
        <w:tc>
          <w:tcPr>
            <w:tcW w:w="236" w:type="dxa"/>
            <w:tcBorders>
              <w:top w:val="nil"/>
              <w:bottom w:val="nil"/>
            </w:tcBorders>
            <w:vAlign w:val="bottom"/>
          </w:tcPr>
          <w:p w14:paraId="41253C74" w14:textId="77777777" w:rsidR="0032401D" w:rsidRPr="00823E52" w:rsidRDefault="0032401D" w:rsidP="0032401D">
            <w:pPr>
              <w:spacing w:after="0"/>
              <w:jc w:val="center"/>
              <w:rPr>
                <w:rFonts w:eastAsia="Times New Roman" w:hAnsi="Times New Roman" w:cs="Times New Roman"/>
                <w:color w:val="FF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Excluding hotspots</w:t>
            </w:r>
          </w:p>
        </w:tc>
      </w:tr>
      <w:tr w:rsidR="00823E52" w:rsidRPr="00823E52"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Region</w:t>
            </w:r>
          </w:p>
        </w:tc>
        <w:tc>
          <w:tcPr>
            <w:tcW w:w="236" w:type="dxa"/>
            <w:tcBorders>
              <w:top w:val="nil"/>
              <w:bottom w:val="nil"/>
            </w:tcBorders>
            <w:vAlign w:val="bottom"/>
          </w:tcPr>
          <w:p w14:paraId="567A8E10"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c>
          <w:tcPr>
            <w:tcW w:w="236" w:type="dxa"/>
            <w:tcBorders>
              <w:top w:val="nil"/>
              <w:bottom w:val="nil"/>
            </w:tcBorders>
            <w:vAlign w:val="bottom"/>
          </w:tcPr>
          <w:p w14:paraId="2C14BF88" w14:textId="77777777" w:rsidR="0032401D" w:rsidRPr="00823E52" w:rsidRDefault="0032401D" w:rsidP="0032401D">
            <w:pPr>
              <w:spacing w:after="0"/>
              <w:jc w:val="center"/>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r>
      <w:tr w:rsidR="00823E52" w:rsidRPr="00823E52" w14:paraId="2740A297" w14:textId="77777777" w:rsidTr="00117924">
        <w:trPr>
          <w:trHeight w:val="285"/>
        </w:trPr>
        <w:tc>
          <w:tcPr>
            <w:tcW w:w="1077" w:type="dxa"/>
            <w:shd w:val="clear" w:color="auto" w:fill="auto"/>
            <w:noWrap/>
            <w:vAlign w:val="bottom"/>
            <w:hideMark/>
          </w:tcPr>
          <w:p w14:paraId="12E8272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(a) QDS</w:t>
            </w:r>
          </w:p>
        </w:tc>
        <w:tc>
          <w:tcPr>
            <w:tcW w:w="1082" w:type="dxa"/>
            <w:shd w:val="clear" w:color="auto" w:fill="auto"/>
            <w:noWrap/>
            <w:vAlign w:val="bottom"/>
            <w:hideMark/>
          </w:tcPr>
          <w:p w14:paraId="6F333E5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vAlign w:val="bottom"/>
          </w:tcPr>
          <w:p w14:paraId="1BEB5F68"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2FB7DD7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343.46</w:t>
            </w:r>
          </w:p>
        </w:tc>
        <w:tc>
          <w:tcPr>
            <w:tcW w:w="1118" w:type="dxa"/>
            <w:shd w:val="clear" w:color="auto" w:fill="auto"/>
            <w:noWrap/>
            <w:vAlign w:val="bottom"/>
            <w:hideMark/>
          </w:tcPr>
          <w:p w14:paraId="3BB8F3E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312.89</w:t>
            </w:r>
          </w:p>
        </w:tc>
        <w:tc>
          <w:tcPr>
            <w:tcW w:w="236" w:type="dxa"/>
            <w:vAlign w:val="bottom"/>
          </w:tcPr>
          <w:p w14:paraId="4171C98C"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454DD78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234.93</w:t>
            </w:r>
          </w:p>
        </w:tc>
        <w:tc>
          <w:tcPr>
            <w:tcW w:w="1188" w:type="dxa"/>
            <w:shd w:val="clear" w:color="auto" w:fill="auto"/>
            <w:noWrap/>
            <w:vAlign w:val="bottom"/>
            <w:hideMark/>
          </w:tcPr>
          <w:p w14:paraId="56521D7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217.56</w:t>
            </w:r>
          </w:p>
        </w:tc>
      </w:tr>
      <w:tr w:rsidR="00823E52" w:rsidRPr="00823E52" w14:paraId="0061276D" w14:textId="77777777" w:rsidTr="00117924">
        <w:trPr>
          <w:trHeight w:val="285"/>
        </w:trPr>
        <w:tc>
          <w:tcPr>
            <w:tcW w:w="1077" w:type="dxa"/>
            <w:shd w:val="clear" w:color="auto" w:fill="auto"/>
            <w:noWrap/>
            <w:vAlign w:val="bottom"/>
          </w:tcPr>
          <w:p w14:paraId="75AA3E3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1F21A923"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69625F95"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7DF9B5F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245.77</w:t>
            </w:r>
          </w:p>
        </w:tc>
        <w:tc>
          <w:tcPr>
            <w:tcW w:w="1118" w:type="dxa"/>
            <w:shd w:val="clear" w:color="auto" w:fill="auto"/>
            <w:noWrap/>
            <w:vAlign w:val="bottom"/>
            <w:hideMark/>
          </w:tcPr>
          <w:p w14:paraId="6FC7831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223.05</w:t>
            </w:r>
          </w:p>
        </w:tc>
        <w:tc>
          <w:tcPr>
            <w:tcW w:w="236" w:type="dxa"/>
            <w:vAlign w:val="bottom"/>
          </w:tcPr>
          <w:p w14:paraId="53FD4E57"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37B34DF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203.91</w:t>
            </w:r>
          </w:p>
        </w:tc>
        <w:tc>
          <w:tcPr>
            <w:tcW w:w="1188" w:type="dxa"/>
            <w:shd w:val="clear" w:color="auto" w:fill="auto"/>
            <w:noWrap/>
            <w:vAlign w:val="bottom"/>
            <w:hideMark/>
          </w:tcPr>
          <w:p w14:paraId="74C338A6"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174.97</w:t>
            </w:r>
          </w:p>
        </w:tc>
      </w:tr>
      <w:tr w:rsidR="00823E52" w:rsidRPr="00823E52"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(b) HDS</w:t>
            </w:r>
          </w:p>
        </w:tc>
        <w:tc>
          <w:tcPr>
            <w:tcW w:w="1082" w:type="dxa"/>
            <w:tcBorders>
              <w:bottom w:val="nil"/>
            </w:tcBorders>
            <w:shd w:val="clear" w:color="auto" w:fill="auto"/>
            <w:noWrap/>
            <w:vAlign w:val="bottom"/>
            <w:hideMark/>
          </w:tcPr>
          <w:p w14:paraId="652C75BE"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bottom w:val="nil"/>
            </w:tcBorders>
            <w:vAlign w:val="bottom"/>
          </w:tcPr>
          <w:p w14:paraId="75ADF02F"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2CE4261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638.62</w:t>
            </w:r>
          </w:p>
        </w:tc>
        <w:tc>
          <w:tcPr>
            <w:tcW w:w="1118" w:type="dxa"/>
            <w:tcBorders>
              <w:bottom w:val="nil"/>
            </w:tcBorders>
            <w:shd w:val="clear" w:color="auto" w:fill="auto"/>
            <w:noWrap/>
            <w:vAlign w:val="bottom"/>
            <w:hideMark/>
          </w:tcPr>
          <w:p w14:paraId="47956910"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519.19</w:t>
            </w:r>
          </w:p>
        </w:tc>
        <w:tc>
          <w:tcPr>
            <w:tcW w:w="236" w:type="dxa"/>
            <w:tcBorders>
              <w:bottom w:val="nil"/>
            </w:tcBorders>
            <w:vAlign w:val="bottom"/>
          </w:tcPr>
          <w:p w14:paraId="49EC7390"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0F1A329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460.39</w:t>
            </w:r>
          </w:p>
        </w:tc>
        <w:tc>
          <w:tcPr>
            <w:tcW w:w="1188" w:type="dxa"/>
            <w:tcBorders>
              <w:bottom w:val="nil"/>
            </w:tcBorders>
            <w:shd w:val="clear" w:color="auto" w:fill="auto"/>
            <w:noWrap/>
            <w:vAlign w:val="bottom"/>
            <w:hideMark/>
          </w:tcPr>
          <w:p w14:paraId="7B142F3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360.47</w:t>
            </w:r>
          </w:p>
        </w:tc>
      </w:tr>
      <w:tr w:rsidR="00823E52" w:rsidRPr="00823E52"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823E52" w:rsidRDefault="0032401D" w:rsidP="0032401D">
            <w:pPr>
              <w:spacing w:after="0"/>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hideMark/>
          </w:tcPr>
          <w:p w14:paraId="7F22A9DC"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tcBorders>
              <w:top w:val="nil"/>
              <w:bottom w:val="nil"/>
            </w:tcBorders>
            <w:vAlign w:val="bottom"/>
          </w:tcPr>
          <w:p w14:paraId="6FDB552E"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4C5FB414"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334.15</w:t>
            </w:r>
          </w:p>
        </w:tc>
        <w:tc>
          <w:tcPr>
            <w:tcW w:w="1118" w:type="dxa"/>
            <w:tcBorders>
              <w:top w:val="nil"/>
              <w:bottom w:val="nil"/>
            </w:tcBorders>
            <w:shd w:val="clear" w:color="auto" w:fill="auto"/>
            <w:noWrap/>
            <w:vAlign w:val="bottom"/>
            <w:hideMark/>
          </w:tcPr>
          <w:p w14:paraId="0E8C528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290.90</w:t>
            </w:r>
          </w:p>
        </w:tc>
        <w:tc>
          <w:tcPr>
            <w:tcW w:w="236" w:type="dxa"/>
            <w:tcBorders>
              <w:top w:val="nil"/>
              <w:bottom w:val="nil"/>
            </w:tcBorders>
            <w:vAlign w:val="bottom"/>
          </w:tcPr>
          <w:p w14:paraId="3847217E"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1BDCC2C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326.06</w:t>
            </w:r>
          </w:p>
        </w:tc>
        <w:tc>
          <w:tcPr>
            <w:tcW w:w="1188" w:type="dxa"/>
            <w:tcBorders>
              <w:top w:val="nil"/>
              <w:bottom w:val="nil"/>
            </w:tcBorders>
            <w:shd w:val="clear" w:color="auto" w:fill="auto"/>
            <w:noWrap/>
            <w:vAlign w:val="bottom"/>
            <w:hideMark/>
          </w:tcPr>
          <w:p w14:paraId="7F2A1F1D"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273.31</w:t>
            </w:r>
          </w:p>
        </w:tc>
      </w:tr>
      <w:tr w:rsidR="00823E52" w:rsidRPr="00823E52"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(c) DS</w:t>
            </w:r>
          </w:p>
        </w:tc>
        <w:tc>
          <w:tcPr>
            <w:tcW w:w="1082" w:type="dxa"/>
            <w:tcBorders>
              <w:top w:val="nil"/>
            </w:tcBorders>
            <w:shd w:val="clear" w:color="auto" w:fill="auto"/>
            <w:noWrap/>
            <w:vAlign w:val="bottom"/>
            <w:hideMark/>
          </w:tcPr>
          <w:p w14:paraId="4D637B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top w:val="nil"/>
            </w:tcBorders>
            <w:vAlign w:val="bottom"/>
          </w:tcPr>
          <w:p w14:paraId="7C961F84"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264404C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811.89</w:t>
            </w:r>
          </w:p>
        </w:tc>
        <w:tc>
          <w:tcPr>
            <w:tcW w:w="1118" w:type="dxa"/>
            <w:tcBorders>
              <w:top w:val="nil"/>
            </w:tcBorders>
            <w:shd w:val="clear" w:color="auto" w:fill="auto"/>
            <w:noWrap/>
            <w:vAlign w:val="bottom"/>
            <w:hideMark/>
          </w:tcPr>
          <w:p w14:paraId="1A787A59" w14:textId="77777777" w:rsidR="0032401D" w:rsidRPr="00823E52" w:rsidRDefault="0032401D" w:rsidP="0032401D">
            <w:pPr>
              <w:spacing w:after="0"/>
              <w:jc w:val="right"/>
              <w:rPr>
                <w:rFonts w:eastAsia="Times New Roman" w:hAnsi="Times New Roman" w:cs="Times New Roman"/>
                <w:color w:val="FF0000"/>
                <w:lang w:eastAsia="en-ZA"/>
              </w:rPr>
            </w:pPr>
            <w:commentRangeStart w:id="3"/>
            <w:r w:rsidRPr="00823E52">
              <w:rPr>
                <w:rFonts w:hAnsi="Times New Roman" w:cs="Times New Roman"/>
                <w:color w:val="FF0000"/>
              </w:rPr>
              <w:t>6.22</w:t>
            </w:r>
            <w:commentRangeEnd w:id="3"/>
            <w:r w:rsidR="008F3BC7" w:rsidRPr="00823E52">
              <w:rPr>
                <w:rStyle w:val="CommentReference"/>
                <w:color w:val="FF0000"/>
              </w:rPr>
              <w:commentReference w:id="3"/>
            </w:r>
          </w:p>
        </w:tc>
        <w:tc>
          <w:tcPr>
            <w:tcW w:w="236" w:type="dxa"/>
            <w:tcBorders>
              <w:top w:val="nil"/>
            </w:tcBorders>
            <w:vAlign w:val="bottom"/>
          </w:tcPr>
          <w:p w14:paraId="1AFA6E51"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1466E5E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588.58</w:t>
            </w:r>
          </w:p>
        </w:tc>
        <w:tc>
          <w:tcPr>
            <w:tcW w:w="1188" w:type="dxa"/>
            <w:tcBorders>
              <w:top w:val="nil"/>
            </w:tcBorders>
            <w:shd w:val="clear" w:color="auto" w:fill="auto"/>
            <w:noWrap/>
            <w:vAlign w:val="bottom"/>
            <w:hideMark/>
          </w:tcPr>
          <w:p w14:paraId="4A8FA065"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r w:rsidR="00823E52" w:rsidRPr="00823E52" w14:paraId="5F393325" w14:textId="77777777" w:rsidTr="00117924">
        <w:trPr>
          <w:trHeight w:val="285"/>
        </w:trPr>
        <w:tc>
          <w:tcPr>
            <w:tcW w:w="1077" w:type="dxa"/>
            <w:shd w:val="clear" w:color="auto" w:fill="auto"/>
            <w:noWrap/>
            <w:vAlign w:val="bottom"/>
          </w:tcPr>
          <w:p w14:paraId="103957D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02EB858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206EAC9E"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50E0E6B1"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311.80</w:t>
            </w:r>
          </w:p>
        </w:tc>
        <w:tc>
          <w:tcPr>
            <w:tcW w:w="1118" w:type="dxa"/>
            <w:shd w:val="clear" w:color="auto" w:fill="auto"/>
            <w:noWrap/>
            <w:vAlign w:val="bottom"/>
            <w:hideMark/>
          </w:tcPr>
          <w:p w14:paraId="5EFEF51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226.50</w:t>
            </w:r>
          </w:p>
        </w:tc>
        <w:tc>
          <w:tcPr>
            <w:tcW w:w="236" w:type="dxa"/>
            <w:vAlign w:val="bottom"/>
          </w:tcPr>
          <w:p w14:paraId="760E00B8"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123E92F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297.22</w:t>
            </w:r>
          </w:p>
        </w:tc>
        <w:tc>
          <w:tcPr>
            <w:tcW w:w="1188" w:type="dxa"/>
            <w:shd w:val="clear" w:color="auto" w:fill="auto"/>
            <w:noWrap/>
            <w:vAlign w:val="bottom"/>
            <w:hideMark/>
          </w:tcPr>
          <w:p w14:paraId="05992550"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4"/>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4"/>
      <w:r w:rsidR="00961502">
        <w:rPr>
          <w:rStyle w:val="CommentReference"/>
        </w:rPr>
        <w:commentReference w:id="4"/>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2D2208">
      <w:pPr>
        <w:spacing w:after="0"/>
      </w:pPr>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794BB0D9" w:rsidR="003E36B7" w:rsidRDefault="00AC2C8E">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5"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6"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7"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8"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9"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0"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1"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2"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3"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4"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5" w:history="1">
        <w:r>
          <w:rPr>
            <w:rStyle w:val="Hyperlink"/>
          </w:rPr>
          <w:t>http://tnrs.iplantcollaborative.org/</w:t>
        </w:r>
      </w:hyperlink>
    </w:p>
    <w:sectPr w:rsidR="0061013D" w:rsidRPr="0061013D" w:rsidSect="00B3633C">
      <w:footerReference w:type="default" r:id="rId36"/>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3"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4"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36C94" w14:textId="77777777" w:rsidR="00BC26F2" w:rsidRDefault="00BC26F2">
      <w:pPr>
        <w:spacing w:after="0"/>
      </w:pPr>
      <w:r>
        <w:separator/>
      </w:r>
    </w:p>
  </w:endnote>
  <w:endnote w:type="continuationSeparator" w:id="0">
    <w:p w14:paraId="51E4577C" w14:textId="77777777" w:rsidR="00BC26F2" w:rsidRDefault="00BC26F2">
      <w:pPr>
        <w:spacing w:after="0"/>
      </w:pPr>
      <w:r>
        <w:continuationSeparator/>
      </w:r>
    </w:p>
  </w:endnote>
  <w:endnote w:type="continuationNotice" w:id="1">
    <w:p w14:paraId="6CE6734D" w14:textId="77777777" w:rsidR="00BC26F2" w:rsidRDefault="00BC26F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843E8" w14:textId="77777777" w:rsidR="00BC26F2" w:rsidRDefault="00BC26F2">
      <w:r>
        <w:separator/>
      </w:r>
    </w:p>
  </w:footnote>
  <w:footnote w:type="continuationSeparator" w:id="0">
    <w:p w14:paraId="34CBFA85" w14:textId="77777777" w:rsidR="00BC26F2" w:rsidRDefault="00BC26F2">
      <w:r>
        <w:continuationSeparator/>
      </w:r>
    </w:p>
  </w:footnote>
  <w:footnote w:type="continuationNotice" w:id="1">
    <w:p w14:paraId="662DF926" w14:textId="77777777" w:rsidR="00BC26F2" w:rsidRDefault="00BC26F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6F2"/>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ucngisd.org/gisd/" TargetMode="Externa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yperlink" Target="https://doi.org/10.1029/2005RG00018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doi.org/10.5067/MODIS/MOD1132.006" TargetMode="Externa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github.com/ropensci/taxize" TargetMode="External"/><Relationship Id="rId33" Type="http://schemas.openxmlformats.org/officeDocument/2006/relationships/hyperlink" Target="https://doi.org/10.5067/MODIS/MOD13C2.006"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www.itis.gov"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5468/dl.n6u6n0" TargetMode="External"/><Relationship Id="rId36"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371/journal.pone.0169748"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doi.org/10.1038/sdata.2015.66" TargetMode="External"/><Relationship Id="rId30" Type="http://schemas.openxmlformats.org/officeDocument/2006/relationships/hyperlink" Target="http://resolver.globalnames.org/" TargetMode="External"/><Relationship Id="rId35" Type="http://schemas.openxmlformats.org/officeDocument/2006/relationships/hyperlink" Target="http://tnrs.iplantcollaborativ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C3C46-7A9C-4335-97B4-B9A40BA69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18</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15148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484</cp:revision>
  <cp:lastPrinted>2019-11-19T13:01:00Z</cp:lastPrinted>
  <dcterms:created xsi:type="dcterms:W3CDTF">2019-12-03T09:32:00Z</dcterms:created>
  <dcterms:modified xsi:type="dcterms:W3CDTF">2020-02-28T12:09:00Z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