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62A098B6" w:rsidR="00480550" w:rsidRDefault="00480550" w:rsidP="00C76978">
      <w:pPr>
        <w:pStyle w:val="BodyText"/>
        <w:spacing w:before="0" w:after="0"/>
      </w:pPr>
      <w:r w:rsidRPr="00480550">
        <w:rPr>
          <w:b/>
          <w:bCs/>
        </w:rPr>
        <w:lastRenderedPageBreak/>
        <w:t>Table S3:</w:t>
      </w:r>
      <w:r>
        <w:t xml:space="preserve"> </w:t>
      </w:r>
      <w:r w:rsidR="00C745C9">
        <w:t>Values</w:t>
      </w:r>
      <w:r w:rsidR="00E30C81">
        <w:t xml:space="preserve"> and significances</w:t>
      </w:r>
      <w:r w:rsidR="00E30C81">
        <w:rPr>
          <w:vertAlign w:val="superscript"/>
        </w:rPr>
        <w:t>1</w:t>
      </w:r>
      <w:r w:rsidR="00E30C81">
        <w:t xml:space="preserve"> of</w:t>
      </w:r>
      <w:r w:rsidR="00E30C81" w:rsidRPr="00FE718A">
        <w:t xml:space="preserve"> </w:t>
      </w:r>
      <w:r w:rsidR="00E30C81">
        <w:t>coefficients</w:t>
      </w:r>
      <w:r w:rsidR="00E30C81" w:rsidRPr="00FE718A">
        <w:t xml:space="preserve"> </w:t>
      </w:r>
      <w:r w:rsidR="00E30C81">
        <w:t>from</w:t>
      </w:r>
      <w:r w:rsidR="00E30C81" w:rsidRPr="00FE718A">
        <w:t xml:space="preserve"> </w:t>
      </w:r>
      <w:r w:rsidR="00E30C81">
        <w:t>multivariate</w:t>
      </w:r>
      <w:r w:rsidR="00E30C81" w:rsidRPr="00FE718A">
        <w:t xml:space="preserve"> regressions</w:t>
      </w:r>
      <w:r w:rsidR="00C745C9">
        <w:t xml:space="preserve"> o</w:t>
      </w:r>
      <w:r w:rsidR="00C745C9" w:rsidRPr="00FE718A">
        <w:t xml:space="preserve">f vascular plant species richness </w:t>
      </w:r>
      <w:r w:rsidR="0001515F">
        <w:t>(excluding species richness hotspots)</w:t>
      </w:r>
      <w:r w:rsidR="0001515F" w:rsidRPr="00FE718A">
        <w:t xml:space="preserve"> </w:t>
      </w:r>
      <w:r w:rsidR="00C745C9" w:rsidRPr="00FE718A">
        <w:t>against different axes of environmental heterogeneity</w:t>
      </w:r>
      <w:r w:rsidR="00C745C9">
        <w:rPr>
          <w:vertAlign w:val="superscript"/>
        </w:rPr>
        <w:t>2</w:t>
      </w:r>
      <w:r w:rsidR="00C745C9" w:rsidRPr="00FE718A">
        <w:t xml:space="preserve"> </w:t>
      </w:r>
      <w:r w:rsidR="00C745C9">
        <w:t>(log</w:t>
      </w:r>
      <w:r w:rsidR="00C745C9" w:rsidRPr="00EB2BE1">
        <w:rPr>
          <w:vertAlign w:val="subscript"/>
        </w:rPr>
        <w:t>10</w:t>
      </w:r>
      <w:r w:rsidR="00C745C9">
        <w:t>-</w:t>
      </w:r>
      <w:r w:rsidR="00C745C9" w:rsidRPr="00881AE1">
        <w:t>transformed</w:t>
      </w:r>
      <w:r w:rsidR="00881AE1">
        <w:t xml:space="preserve"> and </w:t>
      </w:r>
      <w:r w:rsidR="00C745C9" w:rsidRPr="00881AE1">
        <w:t>re</w:t>
      </w:r>
      <w:r w:rsidR="00C745C9">
        <w:t xml:space="preserve">-scaled), </w:t>
      </w:r>
      <w:r w:rsidR="0001515F" w:rsidRPr="00FE718A">
        <w:t xml:space="preserve">across the GCFR and SWAFR at </w:t>
      </w:r>
      <w:r w:rsidR="0001515F">
        <w:t>the</w:t>
      </w:r>
      <w:r w:rsidR="0001515F" w:rsidRPr="00FE718A">
        <w:t xml:space="preserve"> (a) </w:t>
      </w:r>
      <w:r w:rsidR="0001515F">
        <w:t>Q</w:t>
      </w:r>
      <w:r w:rsidR="0001515F" w:rsidRPr="00FE718A">
        <w:t>DS-</w:t>
      </w:r>
      <w:r w:rsidR="0001515F">
        <w:t xml:space="preserve">, </w:t>
      </w:r>
      <w:r w:rsidR="0001515F" w:rsidRPr="00FE718A">
        <w:t xml:space="preserve">(b) </w:t>
      </w:r>
      <w:r w:rsidR="0001515F">
        <w:t>H</w:t>
      </w:r>
      <w:r w:rsidR="0001515F" w:rsidRPr="00FE718A">
        <w:t>DS-</w:t>
      </w:r>
      <w:r w:rsidR="0001515F">
        <w:t xml:space="preserve"> and (c) DS-</w:t>
      </w:r>
      <w:r w:rsidR="0001515F" w:rsidRPr="00FE718A">
        <w:t>scale</w:t>
      </w:r>
      <w:r w:rsidR="0001515F">
        <w:t>s. [</w:t>
      </w:r>
      <w:r w:rsidR="00C745C9">
        <w:t>a</w:t>
      </w:r>
      <w:r w:rsidR="00587C11">
        <w:t xml:space="preserve">s for </w:t>
      </w:r>
      <w:r w:rsidR="00E30C81">
        <w:t xml:space="preserve">Figure </w:t>
      </w:r>
      <w:r w:rsidR="00E30C81" w:rsidRPr="00E30C81">
        <w:rPr>
          <w:highlight w:val="red"/>
        </w:rPr>
        <w:t>4</w:t>
      </w:r>
      <w:r w:rsidR="0001515F">
        <w:t>]</w:t>
      </w:r>
      <w:r w:rsidR="00587C11">
        <w:t xml:space="preserve"> </w:t>
      </w:r>
      <w:r w:rsidR="00E30C81">
        <w:rPr>
          <w:rFonts w:hAnsi="Times New Roman" w:cs="Times New Roman"/>
        </w:rPr>
        <w:t>[</w:t>
      </w:r>
      <w:r w:rsidR="00E30C81" w:rsidRPr="00E30C81">
        <w:rPr>
          <w:rFonts w:hAnsi="Times New Roman" w:cs="Times New Roman"/>
          <w:highlight w:val="yellow"/>
        </w:rPr>
        <w:t>…</w:t>
      </w:r>
      <w:r w:rsidR="00E30C81">
        <w:rPr>
          <w:rFonts w:hAnsi="Times New Roman" w:cs="Times New Roman"/>
        </w:rPr>
        <w:t>]</w:t>
      </w:r>
      <w:r w:rsidR="00C76978">
        <w:rPr>
          <w:rFonts w:hAnsi="Times New Roman" w:cs="Times New Roman"/>
        </w:rPr>
        <w:t xml:space="preserve">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01515F" w:rsidRPr="008248B3" w14:paraId="1C7AB04C" w14:textId="77777777" w:rsidTr="00BB796E">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01515F" w:rsidRPr="008248B3" w:rsidRDefault="0001515F"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01515F" w:rsidRPr="008248B3" w:rsidRDefault="0001515F"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2359" w:type="dxa"/>
            <w:gridSpan w:val="4"/>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BFF4EB1" w14:textId="7CF62BAF" w:rsidR="0001515F" w:rsidRPr="008248B3" w:rsidRDefault="0001515F" w:rsidP="006113C8">
            <w:pPr>
              <w:spacing w:after="0"/>
              <w:jc w:val="center"/>
              <w:rPr>
                <w:rFonts w:hAnsi="Times New Roman" w:cs="Times New Roman"/>
                <w:i/>
                <w:iCs/>
                <w:color w:val="000000"/>
                <w:sz w:val="22"/>
                <w:szCs w:val="22"/>
              </w:rPr>
            </w:pPr>
            <w:r>
              <w:rPr>
                <w:rFonts w:hAnsi="Times New Roman" w:cs="Times New Roman"/>
                <w:color w:val="000000"/>
                <w:sz w:val="22"/>
                <w:szCs w:val="22"/>
              </w:rPr>
              <w:t>Effect</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and ‡)</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9F5E3DE" w14:textId="278BA269" w:rsidR="00682557" w:rsidRDefault="00AF3EA1" w:rsidP="00682557">
      <w:pPr>
        <w:pStyle w:val="BodyText"/>
        <w:spacing w:before="0" w:after="0"/>
      </w:pPr>
      <w:r w:rsidRPr="00C072BC">
        <w:rPr>
          <w:b/>
        </w:rPr>
        <w:t>Figure S</w:t>
      </w:r>
      <w:r w:rsidR="00385630">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xml:space="preserve">) across the GCFR and SWAFR. </w:t>
      </w:r>
      <w:r w:rsidR="00682557">
        <w:rPr>
          <w:rFonts w:hAnsi="Times New Roman" w:cs="Times New Roman"/>
        </w:rPr>
        <w:t>Abbreviations follow that in Tables S1, S2 and S3.</w:t>
      </w:r>
    </w:p>
    <w:p w14:paraId="5D47A722" w14:textId="1BB2DD63" w:rsidR="00AF3EA1" w:rsidRDefault="00AF3EA1" w:rsidP="00323C08">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4C968212" w:rsidR="00AF3EA1" w:rsidRDefault="00AF3EA1" w:rsidP="00323C08">
      <w:r w:rsidRPr="00C072BC">
        <w:rPr>
          <w:b/>
        </w:rPr>
        <w:t>Figure S</w:t>
      </w:r>
      <w:r w:rsidR="00385630">
        <w:rPr>
          <w:b/>
        </w:rPr>
        <w:t>2</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(HDS-scale)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EDF8ED1" w:rsidR="00272763" w:rsidRDefault="00AF3EA1" w:rsidP="00272763">
      <w:r w:rsidRPr="00C072BC">
        <w:rPr>
          <w:b/>
        </w:rPr>
        <w:t>Figure S</w:t>
      </w:r>
      <w:r w:rsidR="00385630">
        <w:rPr>
          <w:b/>
        </w:rPr>
        <w:t>3</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 and S2</w:t>
      </w:r>
      <w:r w:rsidR="00EA6516">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37DC88C9" w:rsidR="00890018" w:rsidRDefault="00E55333">
      <w:r w:rsidRPr="00890018">
        <w:rPr>
          <w:b/>
        </w:rPr>
        <w:lastRenderedPageBreak/>
        <w:t>Figure S</w:t>
      </w:r>
      <w:r w:rsidR="00001FED">
        <w:rPr>
          <w:b/>
        </w:rPr>
        <w:t>5</w:t>
      </w:r>
      <w:r w:rsidR="00775BDB">
        <w:rPr>
          <w:b/>
        </w:rPr>
        <w:t xml:space="preserve"> (previous page)</w:t>
      </w:r>
      <w:r w:rsidRPr="00890018">
        <w:rPr>
          <w:b/>
        </w:rPr>
        <w:t>:</w:t>
      </w:r>
      <w:r w:rsidR="00C137F2" w:rsidRPr="00EB7331">
        <w:t xml:space="preserve"> </w:t>
      </w:r>
      <w:r w:rsidR="00C137F2">
        <w:t>QDS-scale m</w:t>
      </w:r>
      <w:r w:rsidR="00C137F2" w:rsidRPr="00C9106C">
        <w:t>ap</w:t>
      </w:r>
      <w:r w:rsidR="00C137F2">
        <w:t>s for the GCFR and SWAFR of (</w:t>
      </w:r>
      <w:proofErr w:type="spellStart"/>
      <w:r w:rsidR="00C137F2">
        <w:t>a,b</w:t>
      </w:r>
      <w:proofErr w:type="spellEnd"/>
      <w:r w:rsidR="00C137F2">
        <w:t>) vascular plant species richness, (</w:t>
      </w:r>
      <w:proofErr w:type="spellStart"/>
      <w:r w:rsidR="00C137F2">
        <w:t>c,d</w:t>
      </w:r>
      <w:proofErr w:type="spellEnd"/>
      <w:r w:rsidR="00C137F2">
        <w:t>) the major axis of environmental heterogeneity (PC1) from the PCA of nine forms of environmental heterogeneity (log</w:t>
      </w:r>
      <w:r w:rsidR="00C137F2" w:rsidRPr="00C9106C">
        <w:rPr>
          <w:vertAlign w:val="subscript"/>
        </w:rPr>
        <w:t>10</w:t>
      </w:r>
      <w:r w:rsidR="00C137F2">
        <w:t>-transformed), residuals from regressions of species richness against (</w:t>
      </w:r>
      <w:proofErr w:type="spellStart"/>
      <w:r w:rsidR="00C137F2">
        <w:t>e,f</w:t>
      </w:r>
      <w:proofErr w:type="spellEnd"/>
      <w:r w:rsidR="00C137F2">
        <w:t>) PC1 (Figure 3b) and (</w:t>
      </w:r>
      <w:proofErr w:type="spellStart"/>
      <w:r w:rsidR="00C137F2">
        <w:t>g,h</w:t>
      </w:r>
      <w:proofErr w:type="spellEnd"/>
      <w:r w:rsidR="00C137F2">
        <w:t>) the multivariate (MV) model (Figure 4b). Map projection used: WGS84.</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0AD3453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rsidR="00ED3EE4">
        <w:t>DS-scale m</w:t>
      </w:r>
      <w:r w:rsidR="00ED3EE4" w:rsidRPr="00C9106C">
        <w:t>ap</w:t>
      </w:r>
      <w:r w:rsidR="00ED3EE4">
        <w:t>s for the GCFR and SWAFR of (</w:t>
      </w:r>
      <w:proofErr w:type="spellStart"/>
      <w:r w:rsidR="00ED3EE4">
        <w:t>a,b</w:t>
      </w:r>
      <w:proofErr w:type="spellEnd"/>
      <w:r w:rsidR="00ED3EE4">
        <w:t>) vascular plant species richness, (</w:t>
      </w:r>
      <w:proofErr w:type="spellStart"/>
      <w:r w:rsidR="00ED3EE4">
        <w:t>c,d</w:t>
      </w:r>
      <w:proofErr w:type="spellEnd"/>
      <w:r w:rsidR="00ED3EE4">
        <w:t>) the major axis of environmental heterogeneity (PC1) from the PCA of nine forms of environmental heterogeneity (log</w:t>
      </w:r>
      <w:r w:rsidR="00ED3EE4" w:rsidRPr="00C9106C">
        <w:rPr>
          <w:vertAlign w:val="subscript"/>
        </w:rPr>
        <w:t>10</w:t>
      </w:r>
      <w:r w:rsidR="00ED3EE4">
        <w:t>-transformed), residuals from regressions of species richness against (</w:t>
      </w:r>
      <w:proofErr w:type="spellStart"/>
      <w:r w:rsidR="00ED3EE4">
        <w:t>e,f</w:t>
      </w:r>
      <w:proofErr w:type="spellEnd"/>
      <w:r w:rsidR="00ED3EE4">
        <w:t>) PC1 (Figure 3b) and (</w:t>
      </w:r>
      <w:proofErr w:type="spellStart"/>
      <w:r w:rsidR="00ED3EE4">
        <w:t>g,h</w:t>
      </w:r>
      <w:proofErr w:type="spellEnd"/>
      <w:r w:rsidR="00ED3EE4">
        <w:t>) the multivariate (MV) model (Figure 4b). Map projection used: WGS84.</w:t>
      </w:r>
      <w:r>
        <w:br w:type="page"/>
      </w:r>
    </w:p>
    <w:p w14:paraId="341D74E7" w14:textId="7D44A0A0" w:rsidR="00306D60" w:rsidRDefault="00306D60">
      <w:r>
        <w:rPr>
          <w:noProof/>
        </w:rPr>
        <w:lastRenderedPageBreak/>
        <w:drawing>
          <wp:inline distT="0" distB="0" distL="0" distR="0" wp14:anchorId="7233FC40" wp14:editId="0E95F6A8">
            <wp:extent cx="6732062" cy="882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univariate-models_manu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2062" cy="8820000"/>
                    </a:xfrm>
                    <a:prstGeom prst="rect">
                      <a:avLst/>
                    </a:prstGeom>
                  </pic:spPr>
                </pic:pic>
              </a:graphicData>
            </a:graphic>
          </wp:inline>
        </w:drawing>
      </w:r>
      <w:r>
        <w:br w:type="page"/>
      </w:r>
    </w:p>
    <w:p w14:paraId="34A9A4A2" w14:textId="3BFF89BE" w:rsidR="00FB5212" w:rsidRDefault="00314A7A" w:rsidP="00323C08">
      <w:r w:rsidRPr="00C072BC">
        <w:rPr>
          <w:b/>
        </w:rPr>
        <w:lastRenderedPageBreak/>
        <w:t xml:space="preserve">Figure </w:t>
      </w:r>
      <w:r w:rsidR="00FB5212" w:rsidRPr="00C072BC">
        <w:rPr>
          <w:b/>
        </w:rPr>
        <w:t>S</w:t>
      </w:r>
      <w:r w:rsidR="00A81A80">
        <w:rPr>
          <w:b/>
        </w:rPr>
        <w:t>7</w:t>
      </w:r>
      <w:r w:rsidR="00306D60">
        <w:rPr>
          <w:b/>
        </w:rPr>
        <w:t xml:space="preserve"> (previous page)</w:t>
      </w:r>
      <w:r w:rsidR="00FB5212" w:rsidRPr="00C072BC">
        <w:rPr>
          <w:b/>
        </w:rPr>
        <w:t>:</w:t>
      </w:r>
      <w:r w:rsidR="00FB5212">
        <w:t xml:space="preserve"> </w:t>
      </w:r>
      <w:r w:rsidR="005C7314">
        <w:t>Scatter plots and regressions of vascular plant species richness (</w:t>
      </w:r>
      <w:r w:rsidR="005C7314">
        <w:rPr>
          <w:i/>
        </w:rPr>
        <w:t>S</w:t>
      </w:r>
      <w:r w:rsidR="005C7314">
        <w:t xml:space="preserve">) at the QDS-, HDS- and DS-scales against </w:t>
      </w:r>
      <w:r w:rsidR="008704A4">
        <w:t>(a</w:t>
      </w:r>
      <w:r w:rsidR="008704A4" w:rsidRPr="006A6996">
        <w:t>–</w:t>
      </w:r>
      <w:proofErr w:type="spellStart"/>
      <w:r w:rsidR="008704A4" w:rsidRPr="006A6996">
        <w:t>i</w:t>
      </w:r>
      <w:proofErr w:type="spellEnd"/>
      <w:r w:rsidR="008704A4">
        <w:t>)</w:t>
      </w:r>
      <w:r w:rsidR="008704A4" w:rsidRPr="00FE718A">
        <w:t xml:space="preserve"> </w:t>
      </w:r>
      <w:r w:rsidR="005C7314" w:rsidRPr="00FE718A">
        <w:t xml:space="preserve">different axes of environmental heterogeneity </w:t>
      </w:r>
      <w:r w:rsidR="005C7314">
        <w:t>(log</w:t>
      </w:r>
      <w:r w:rsidR="005C7314" w:rsidRPr="00EB2BE1">
        <w:rPr>
          <w:vertAlign w:val="subscript"/>
        </w:rPr>
        <w:t>10</w:t>
      </w:r>
      <w:r w:rsidR="005C7314">
        <w:t xml:space="preserve">-transformed) </w:t>
      </w:r>
      <w:r w:rsidR="005C7314" w:rsidRPr="00FE718A">
        <w:t xml:space="preserve">and </w:t>
      </w:r>
      <w:r w:rsidR="008704A4">
        <w:t xml:space="preserve">(j) </w:t>
      </w:r>
      <w:r w:rsidR="005C7314" w:rsidRPr="00FE718A">
        <w:t>overall environmental heterogeneity (PC1) across the GCFR</w:t>
      </w:r>
      <w:r w:rsidR="0056202A">
        <w:t xml:space="preserve"> (red, where applicable)</w:t>
      </w:r>
      <w:r w:rsidR="005C7314" w:rsidRPr="00FE718A">
        <w:t xml:space="preserve"> and </w:t>
      </w:r>
      <w:r w:rsidR="005C7314">
        <w:t>SWAFR</w:t>
      </w:r>
      <w:r w:rsidR="0056202A">
        <w:t xml:space="preserve"> (blue, where applicable)</w:t>
      </w:r>
      <w:r w:rsidR="005C7314">
        <w:t xml:space="preserve">. The </w:t>
      </w:r>
      <w:r w:rsidR="003F2ABC">
        <w:t xml:space="preserve">fitted lines are </w:t>
      </w:r>
      <w:r w:rsidR="005C7314">
        <w:t>from</w:t>
      </w:r>
      <w:r w:rsidR="005C7314" w:rsidRPr="00FE718A">
        <w:t xml:space="preserve"> </w:t>
      </w:r>
      <w:r w:rsidR="003F2ABC">
        <w:t xml:space="preserve">the best-fitting </w:t>
      </w:r>
      <w:r w:rsidR="005C7314" w:rsidRPr="00FE718A">
        <w:t>univariate regressions of vascular plant species richness</w:t>
      </w:r>
      <w:r w:rsidR="003F2ABC">
        <w:t xml:space="preserve"> against each from of heterogeneity (Table </w:t>
      </w:r>
      <w:r w:rsidR="003F2ABC" w:rsidRPr="000D0A75">
        <w:rPr>
          <w:highlight w:val="red"/>
        </w:rPr>
        <w:t>2</w:t>
      </w:r>
      <w:r w:rsidR="003F2ABC">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103E72E6"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0071551D">
        <w:t>M</w:t>
      </w:r>
      <w:r w:rsidR="000215CA" w:rsidRPr="00C9106C">
        <w:t>ap</w:t>
      </w:r>
      <w:r w:rsidR="000215CA">
        <w:t xml:space="preserve">s for the GCFR and SWAFR of </w:t>
      </w:r>
      <w:r w:rsidR="0071551D">
        <w:t>grid-cells identified as having outstanding</w:t>
      </w:r>
      <w:r w:rsidR="000215CA">
        <w:t xml:space="preserve"> vascular plant species richness</w:t>
      </w:r>
      <w:r w:rsidR="0071551D">
        <w:t xml:space="preserve"> (i.e. hotspots) following univariate regressions (Table </w:t>
      </w:r>
      <w:r w:rsidR="0071551D" w:rsidRPr="0071551D">
        <w:rPr>
          <w:highlight w:val="red"/>
        </w:rPr>
        <w:t>2</w:t>
      </w:r>
      <w:r w:rsidR="0071551D">
        <w:t xml:space="preserve">, Figure </w:t>
      </w:r>
      <w:r w:rsidR="0071551D" w:rsidRPr="0071551D">
        <w:rPr>
          <w:highlight w:val="red"/>
        </w:rPr>
        <w:t>3</w:t>
      </w:r>
      <w:r w:rsidR="0071551D">
        <w:t>) against</w:t>
      </w:r>
      <w:r w:rsidR="000215CA">
        <w:t xml:space="preserve"> the major axis of environmental heterogeneity (PC1) from the PCA </w:t>
      </w:r>
      <w:r w:rsidR="0071551D">
        <w:t>(Figure S4)</w:t>
      </w:r>
      <w:r w:rsidR="000215CA">
        <w:t xml:space="preserve">. </w:t>
      </w:r>
      <w:r w:rsidR="004B1013">
        <w:t xml:space="preserve">Hotspots </w:t>
      </w:r>
      <w:r w:rsidR="004B1013">
        <w:t>were identified as</w:t>
      </w:r>
      <w:r w:rsidR="004B1013">
        <w:t xml:space="preserve"> those </w:t>
      </w:r>
      <w:r w:rsidR="004B1013">
        <w:t xml:space="preserve">cells </w:t>
      </w:r>
      <w:r w:rsidR="004B1013">
        <w:t>with residual</w:t>
      </w:r>
      <w:r w:rsidR="00B27417">
        <w:t xml:space="preserve"> richnes</w:t>
      </w:r>
      <w:r w:rsidR="004B1013">
        <w:t>s greater than two standard deviations from the mean for that model</w:t>
      </w:r>
      <w:r w:rsidR="004B1013">
        <w:t xml:space="preserve">. </w:t>
      </w:r>
      <w:r w:rsidR="00936B8C">
        <w:t xml:space="preserve">No hotspots were found for the SWAFR at the DS-scale. </w:t>
      </w:r>
      <w:r w:rsidR="000215CA">
        <w:t>Map projection used: WGS84.</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61BCFFEC" w:rsidR="00F662DD" w:rsidRDefault="003F24C4" w:rsidP="00F662DD">
      <w:r w:rsidRPr="003F24C4">
        <w:rPr>
          <w:b/>
          <w:bCs/>
        </w:rPr>
        <w:lastRenderedPageBreak/>
        <w:t>Figure S9</w:t>
      </w:r>
      <w:r w:rsidR="00D2057A">
        <w:rPr>
          <w:b/>
          <w:bCs/>
        </w:rPr>
        <w:t xml:space="preserve"> (previous page)</w:t>
      </w:r>
      <w:r w:rsidRPr="003F24C4">
        <w:rPr>
          <w:b/>
          <w:bCs/>
        </w:rPr>
        <w:t>:</w:t>
      </w:r>
      <w:r w:rsidR="00607B6A">
        <w:t xml:space="preserve"> </w:t>
      </w:r>
      <w:r w:rsidR="00607B6A">
        <w:t>M</w:t>
      </w:r>
      <w:r w:rsidR="00607B6A" w:rsidRPr="00C9106C">
        <w:t>ap</w:t>
      </w:r>
      <w:r w:rsidR="00607B6A">
        <w:t xml:space="preserve">s for the GCFR and SWAFR of grid-cells identified as having outstanding vascular plant species richness (i.e. hotspots) following </w:t>
      </w:r>
      <w:r w:rsidR="00607B6A">
        <w:t>multivariate</w:t>
      </w:r>
      <w:r w:rsidR="00607B6A">
        <w:t xml:space="preserve"> regressions (Table </w:t>
      </w:r>
      <w:r w:rsidR="004E2F55">
        <w:t>S</w:t>
      </w:r>
      <w:r w:rsidR="00607B6A" w:rsidRPr="004E2F55">
        <w:t>2</w:t>
      </w:r>
      <w:r w:rsidR="00607B6A">
        <w:t xml:space="preserve">, Figure </w:t>
      </w:r>
      <w:r w:rsidR="00607B6A" w:rsidRPr="00607B6A">
        <w:rPr>
          <w:highlight w:val="red"/>
        </w:rPr>
        <w:t>4</w:t>
      </w:r>
      <w:r w:rsidR="00607B6A">
        <w:t xml:space="preserve">) against the </w:t>
      </w:r>
      <w:r w:rsidR="000E27E9">
        <w:t>the nine</w:t>
      </w:r>
      <w:r w:rsidR="00607B6A">
        <w:t xml:space="preserve"> ax</w:t>
      </w:r>
      <w:r w:rsidR="000E27E9">
        <w:t>e</w:t>
      </w:r>
      <w:r w:rsidR="00607B6A">
        <w:t>s of environmental heterogeneity</w:t>
      </w:r>
      <w:r w:rsidR="000E27E9">
        <w:t xml:space="preserve">. </w:t>
      </w:r>
      <w:r w:rsidR="00607B6A">
        <w:t>Hotspots were identified as those cells with residual</w:t>
      </w:r>
      <w:r w:rsidR="000E27E9">
        <w:t xml:space="preserve"> richnes</w:t>
      </w:r>
      <w:r w:rsidR="00607B6A">
        <w:t xml:space="preserve">s greater than two standard deviations from the mean for that model. </w:t>
      </w:r>
      <w:r w:rsidR="00936B8C">
        <w:t xml:space="preserve">No hotspots were found for the SWAFR at the DS-scale. </w:t>
      </w:r>
      <w:bookmarkStart w:id="1" w:name="_GoBack"/>
      <w:bookmarkEnd w:id="1"/>
      <w:r w:rsidR="00607B6A">
        <w:t>Map projection used: WGS84.</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42A97" w14:textId="77777777" w:rsidR="00665B82" w:rsidRDefault="00665B82">
      <w:pPr>
        <w:spacing w:after="0"/>
      </w:pPr>
      <w:r>
        <w:separator/>
      </w:r>
    </w:p>
  </w:endnote>
  <w:endnote w:type="continuationSeparator" w:id="0">
    <w:p w14:paraId="7947BDF9" w14:textId="77777777" w:rsidR="00665B82" w:rsidRDefault="00665B82">
      <w:pPr>
        <w:spacing w:after="0"/>
      </w:pPr>
      <w:r>
        <w:continuationSeparator/>
      </w:r>
    </w:p>
  </w:endnote>
  <w:endnote w:type="continuationNotice" w:id="1">
    <w:p w14:paraId="27FB70A1" w14:textId="77777777" w:rsidR="00665B82" w:rsidRDefault="00665B8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B796E" w:rsidRDefault="00BB796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B796E" w:rsidRDefault="00BB7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C8729" w14:textId="77777777" w:rsidR="00665B82" w:rsidRDefault="00665B82">
      <w:r>
        <w:separator/>
      </w:r>
    </w:p>
  </w:footnote>
  <w:footnote w:type="continuationSeparator" w:id="0">
    <w:p w14:paraId="0020BB37" w14:textId="77777777" w:rsidR="00665B82" w:rsidRDefault="00665B82">
      <w:r>
        <w:continuationSeparator/>
      </w:r>
    </w:p>
  </w:footnote>
  <w:footnote w:type="continuationNotice" w:id="1">
    <w:p w14:paraId="53A11870" w14:textId="77777777" w:rsidR="00665B82" w:rsidRDefault="00665B8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1B64"/>
    <w:rsid w:val="000E2006"/>
    <w:rsid w:val="000E27E9"/>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3871"/>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5B82"/>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137F2"/>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9BC47-1CFA-4EBA-B50A-7E2062A8E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20</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13813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285</cp:revision>
  <cp:lastPrinted>2019-11-19T13:01:00Z</cp:lastPrinted>
  <dcterms:created xsi:type="dcterms:W3CDTF">2019-12-03T09:32:00Z</dcterms:created>
  <dcterms:modified xsi:type="dcterms:W3CDTF">2020-01-07T14:41:00Z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