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CDD11" w14:textId="77777777" w:rsidR="00393B81" w:rsidRPr="00A27551" w:rsidRDefault="00393B81" w:rsidP="00393B81">
      <w:pPr>
        <w:pStyle w:val="Subtitle"/>
        <w:spacing w:line="240" w:lineRule="auto"/>
        <w:jc w:val="left"/>
        <w:rPr>
          <w:i/>
          <w:iCs/>
        </w:rPr>
      </w:pPr>
      <w:bookmarkStart w:id="0" w:name="materials-and-methods"/>
      <w:r w:rsidRPr="00A27551">
        <w:rPr>
          <w:i/>
          <w:iCs/>
        </w:rPr>
        <w:t>Journal of Biogeography</w:t>
      </w:r>
    </w:p>
    <w:p w14:paraId="53BBC28F" w14:textId="6B186FE9" w:rsidR="00393B81" w:rsidRPr="00393B81" w:rsidRDefault="00393B81" w:rsidP="00393B81">
      <w:pPr>
        <w:pStyle w:val="Subtitle"/>
        <w:spacing w:line="240" w:lineRule="auto"/>
        <w:jc w:val="left"/>
        <w:rPr>
          <w:i/>
          <w:iCs/>
        </w:rPr>
      </w:pPr>
      <w:r>
        <w:t>Supporting Information</w:t>
      </w:r>
    </w:p>
    <w:p w14:paraId="28781A9F" w14:textId="376C606B" w:rsidR="00A27551" w:rsidRPr="00B021EB" w:rsidRDefault="00A27551" w:rsidP="00A27551">
      <w:pPr>
        <w:pStyle w:val="Title"/>
        <w:spacing w:line="240" w:lineRule="auto"/>
      </w:pPr>
      <w:r w:rsidRPr="00B021EB">
        <w:t xml:space="preserve">Environmental heterogeneity explains contrasting plant species richness between the South African Cape and </w:t>
      </w:r>
      <w:r>
        <w:t>s</w:t>
      </w:r>
      <w:r w:rsidRPr="00B021EB">
        <w:t>outhwestern Australia</w:t>
      </w:r>
    </w:p>
    <w:p w14:paraId="7B377CF4" w14:textId="4C2C599C" w:rsidR="00024A7B" w:rsidRDefault="00024A7B" w:rsidP="00323C08">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44FFD5B2" w14:textId="01580689" w:rsidR="000B1C51" w:rsidRDefault="000B1C51" w:rsidP="00323C08">
      <w:pPr>
        <w:pStyle w:val="BodyText"/>
        <w:spacing w:before="0"/>
      </w:pPr>
      <w:r w:rsidRPr="000B1C51">
        <w:t xml:space="preserve">For </w:t>
      </w:r>
      <w:r w:rsidRPr="000B1C51">
        <w:t>the</w:t>
      </w:r>
      <w:r w:rsidRPr="000B1C51">
        <w:t xml:space="preserve"> purpose</w:t>
      </w:r>
      <w:r w:rsidRPr="000B1C51">
        <w:t>s of this study</w:t>
      </w:r>
      <w:r w:rsidRPr="000B1C51">
        <w:t xml:space="preserve">, the GCFR was treated as the area occupied by the Succulent Karoo and Fynbos </w:t>
      </w:r>
      <w:r w:rsidRPr="0006130A">
        <w:t xml:space="preserve">Biomes </w:t>
      </w:r>
      <w:r w:rsidRPr="0006130A">
        <w:rPr>
          <w:noProof/>
        </w:rPr>
        <w:t>(Mucina &amp; Rutherford, 2006)</w:t>
      </w:r>
      <w:r w:rsidRPr="0006130A">
        <w:t>, while the SWAFR</w:t>
      </w:r>
      <w:r w:rsidRPr="000B1C51">
        <w:t xml:space="preserve"> was treated as the area occupied by Southwest Australia Savanna, Swan Coastal Plain Scrub and Woodlands, Jarrah-Karri Forest and Shrublands, Southwest Australia Woodlands, Esperance Mallee, and </w:t>
      </w:r>
      <w:r w:rsidRPr="00BA1893">
        <w:t xml:space="preserve">Coolgardie Woodlands </w:t>
      </w:r>
      <w:r w:rsidRPr="00BA1893">
        <w:rPr>
          <w:noProof/>
        </w:rPr>
        <w:t>(Olson et al., 2001)</w:t>
      </w:r>
      <w:r w:rsidRPr="00BA1893">
        <w:t xml:space="preserve"> in</w:t>
      </w:r>
      <w:r w:rsidRPr="000B1C51">
        <w:t xml:space="preserve"> order to match the current delimitation of the </w:t>
      </w:r>
      <w:r w:rsidRPr="003E166C">
        <w:t xml:space="preserve">SWAFR </w:t>
      </w:r>
      <w:r w:rsidRPr="003E166C">
        <w:rPr>
          <w:noProof/>
        </w:rPr>
        <w:t>(Gioia &amp; Hopper, 2017; Hopper &amp; Gioia, 2004)</w:t>
      </w:r>
      <w:r w:rsidRPr="003E166C">
        <w:t>.</w:t>
      </w:r>
    </w:p>
    <w:p w14:paraId="0DF86F88" w14:textId="203B5791" w:rsidR="00F04C64" w:rsidRDefault="000F5068" w:rsidP="00323C08">
      <w:pPr>
        <w:pStyle w:val="BodyText"/>
        <w:spacing w:before="0"/>
      </w:pPr>
      <w:r>
        <w:t>To compare vascular plant species richness between the GCFR and SWAFR, geospatially explicit occurrence records of tracheophytes from within the borders of each region were obtained from the Global Biodiversity Information Facility (GBIF; Table S</w:t>
      </w:r>
      <w:r w:rsidRPr="00254120">
        <w:t>1</w:t>
      </w:r>
      <w:r>
        <w:t xml:space="preserve">). </w:t>
      </w:r>
      <w:r w:rsidR="000B1C51">
        <w:t>W</w:t>
      </w:r>
      <w:r w:rsidR="009017E2">
        <w:t xml:space="preserve">e retained only records identified to the species level and ignored intraspecific taxa. This resulted in the retention of </w:t>
      </w:r>
      <w:r w:rsidR="001266F5">
        <w:t>14,147</w:t>
      </w:r>
      <w:r w:rsidR="009017E2">
        <w:t xml:space="preserve"> and </w:t>
      </w:r>
      <w:r w:rsidR="001266F5">
        <w:t>8,912</w:t>
      </w:r>
      <w:r w:rsidR="009017E2">
        <w:t xml:space="preserve"> unique species names for the GCFR and SWAFR, respectively. The R package “taxize” </w:t>
      </w:r>
      <w:r w:rsidR="009017E2">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9017E2">
        <w:fldChar w:fldCharType="separate"/>
      </w:r>
      <w:r w:rsidR="009017E2" w:rsidRPr="00B1341B">
        <w:rPr>
          <w:noProof/>
        </w:rPr>
        <w:t>(Chamberlain et al., 2016)</w:t>
      </w:r>
      <w:r w:rsidR="009017E2">
        <w:fldChar w:fldCharType="end"/>
      </w:r>
      <w:r w:rsidR="009017E2">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rsidR="009017E2">
        <w:t xml:space="preserve">. Where either or both databases returned a match for a name, the name was retained; where not, it was excluded. Although the number of species thus excluded is high (GCFR: </w:t>
      </w:r>
      <w:r w:rsidR="00364F76">
        <w:t>692</w:t>
      </w:r>
      <w:r w:rsidR="009017E2">
        <w:t xml:space="preserve">; SWAFR: </w:t>
      </w:r>
      <w:r w:rsidR="00364F76">
        <w:t>1,171</w:t>
      </w:r>
      <w:r w:rsidR="009017E2">
        <w:t xml:space="preserve">), the </w:t>
      </w:r>
      <w:r w:rsidR="00E866B6">
        <w:t>geographically random</w:t>
      </w:r>
      <w:r w:rsidR="009017E2">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02702763" w:rsidR="004B3505"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23A3C35A" w14:textId="52A29D2D" w:rsidR="004B3505" w:rsidRDefault="004B3505">
      <w:r>
        <w:br w:type="page"/>
      </w:r>
    </w:p>
    <w:p w14:paraId="58B26E4D" w14:textId="5A983129" w:rsidR="000A594C" w:rsidRDefault="000A594C" w:rsidP="000A594C">
      <w:pPr>
        <w:pStyle w:val="Heading1"/>
        <w:spacing w:after="180" w:line="240" w:lineRule="auto"/>
      </w:pPr>
      <w:r>
        <w:lastRenderedPageBreak/>
        <w:t>Quantifying environmental heterogeneity</w:t>
      </w:r>
    </w:p>
    <w:p w14:paraId="6CC0254D" w14:textId="039327F9" w:rsidR="000A594C" w:rsidRDefault="001631BB" w:rsidP="000A594C">
      <w:pPr>
        <w:pStyle w:val="BodyText"/>
      </w:pPr>
      <w:r w:rsidRPr="00A3580F">
        <w:t>Our index</w:t>
      </w:r>
      <w:r>
        <w:t xml:space="preserve"> of heterogeneity</w:t>
      </w:r>
      <w:r w:rsidRPr="00A3580F">
        <w:t xml:space="preserve">, based on raster data, </w:t>
      </w:r>
      <w:r w:rsidRPr="006F3914">
        <w:t xml:space="preserve">employs nested </w:t>
      </w:r>
      <w:r>
        <w:t>squares</w:t>
      </w:r>
      <w:r w:rsidRPr="006F3914">
        <w:t xml:space="preserve"> at various spatial scales.</w:t>
      </w:r>
      <w:r w:rsidRPr="00C57F5D">
        <w:t xml:space="preserve"> </w:t>
      </w:r>
      <w:r w:rsidRPr="00946957">
        <w:t xml:space="preserve">We </w:t>
      </w:r>
      <w:r>
        <w:t>quantified</w:t>
      </w:r>
      <w:r w:rsidRPr="00946957">
        <w:t xml:space="preserve"> </w:t>
      </w:r>
      <w:r>
        <w:t xml:space="preserve">the </w:t>
      </w:r>
      <w:r w:rsidRPr="00946957">
        <w:t>environmental heterogeneity</w:t>
      </w:r>
      <w:r>
        <w:t xml:space="preserve"> of a given square</w:t>
      </w:r>
      <w:r w:rsidRPr="00946957">
        <w:t xml:space="preserve"> as the variance </w:t>
      </w:r>
      <w:r>
        <w:t xml:space="preserve">of the </w:t>
      </w:r>
      <w:r w:rsidRPr="00D157C2">
        <w:t>environmental conditions of its four sub-squares</w:t>
      </w:r>
      <w:r w:rsidRPr="00D157C2">
        <w:t>.</w:t>
      </w:r>
      <w:r w:rsidRPr="00D157C2">
        <w:t xml:space="preserve"> </w:t>
      </w:r>
      <w:r w:rsidR="000A594C" w:rsidRPr="00D157C2">
        <w:t xml:space="preserve">This was done both using the “aggregate” function in the R package “raster” </w:t>
      </w:r>
      <w:r w:rsidR="000A594C" w:rsidRPr="00D157C2">
        <w:rPr>
          <w:noProof/>
        </w:rPr>
        <w:t>(Hijmans, 2016)</w:t>
      </w:r>
      <w:r w:rsidR="000A594C" w:rsidRPr="00D157C2">
        <w:t>, with variance set as the aggregation function, and “</w:t>
      </w:r>
      <w:proofErr w:type="spellStart"/>
      <w:r w:rsidR="000A594C" w:rsidRPr="00D157C2">
        <w:t>tidyverse</w:t>
      </w:r>
      <w:proofErr w:type="spellEnd"/>
      <w:r w:rsidR="000A594C" w:rsidRPr="00D157C2">
        <w:t xml:space="preserve">” packages </w:t>
      </w:r>
      <w:r w:rsidR="000A594C" w:rsidRPr="00D157C2">
        <w:rPr>
          <w:noProof/>
        </w:rPr>
        <w:t>(Wickham et al., 2019)</w:t>
      </w:r>
      <w:r w:rsidR="000A594C" w:rsidRPr="00D157C2">
        <w:t>. Regarding</w:t>
      </w:r>
      <w:r w:rsidR="000A594C" w:rsidRPr="00EB2EC3">
        <w:t xml:space="preserve"> the latter, data at the QDS-, HDS- and DS-scales were </w:t>
      </w:r>
      <w:proofErr w:type="spellStart"/>
      <w:r w:rsidR="000A594C" w:rsidRPr="00EB2EC3">
        <w:t>analysed</w:t>
      </w:r>
      <w:proofErr w:type="spellEnd"/>
      <w:r w:rsidR="000A594C" w:rsidRPr="00EB2EC3">
        <w:t xml:space="preserve"> in data-frames labelled with grid-cell codes (</w:t>
      </w:r>
      <w:proofErr w:type="spellStart"/>
      <w:r w:rsidR="000A594C" w:rsidRPr="00EB2EC3">
        <w:t>sensu</w:t>
      </w:r>
      <w:proofErr w:type="spellEnd"/>
      <w:r w:rsidR="000A594C" w:rsidRPr="00EB2EC3">
        <w:t xml:space="preserve"> </w:t>
      </w:r>
      <w:r w:rsidR="000A594C" w:rsidRPr="00EB2EC3">
        <w:rPr>
          <w:noProof/>
        </w:rPr>
        <w:t>Larsen et al., 2009</w:t>
      </w:r>
      <w:r w:rsidR="00B042D1">
        <w:rPr>
          <w:noProof/>
        </w:rPr>
        <w:t xml:space="preserve">; </w:t>
      </w:r>
      <w:r w:rsidR="00B042D1">
        <w:t xml:space="preserve">downloaded from </w:t>
      </w:r>
      <w:hyperlink r:id="rId9" w:history="1">
        <w:r w:rsidR="00B042D1" w:rsidRPr="00457946">
          <w:rPr>
            <w:rStyle w:val="Hyperlink"/>
          </w:rPr>
          <w:t>https://mindland.com/wp/projects/quarter-degree-grid-cells/download-qdgc/</w:t>
        </w:r>
      </w:hyperlink>
      <w:r w:rsidR="00B042D1">
        <w:rPr>
          <w:rStyle w:val="Hyperlink"/>
        </w:rPr>
        <w:t xml:space="preserve"> </w:t>
      </w:r>
      <w:r w:rsidR="00B042D1">
        <w:t>[Accessed 27 February, 2020]</w:t>
      </w:r>
      <w:r w:rsidR="000A594C" w:rsidRPr="00EB2EC3">
        <w:rPr>
          <w:noProof/>
        </w:rPr>
        <w:t>)</w:t>
      </w:r>
      <w:r w:rsidR="000A594C" w:rsidRPr="00EB2EC3">
        <w:t>, to ensure the heterogeneity and richness data were derived from the same grid-cells.</w:t>
      </w:r>
    </w:p>
    <w:p w14:paraId="2263ECA4" w14:textId="77777777" w:rsidR="000A594C" w:rsidRDefault="000A594C" w:rsidP="000A594C">
      <w:pPr>
        <w:pStyle w:val="BodyText"/>
      </w:pPr>
      <w:r>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1C4A27C5"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595E8B" w:rsidRDefault="00E04E6C" w:rsidP="00705DE6">
      <w:pPr>
        <w:pStyle w:val="BodyText"/>
        <w:spacing w:before="0"/>
        <w:rPr>
          <w:rFonts w:eastAsia="Times New Roman" w:hAnsi="Times New Roman" w:cs="Times New Roman"/>
          <w:sz w:val="22"/>
          <w:szCs w:val="22"/>
          <w:lang w:val="en-ZA" w:eastAsia="en-ZA"/>
        </w:rPr>
      </w:pPr>
      <w:r w:rsidRPr="00595E8B">
        <w:rPr>
          <w:b/>
          <w:bCs/>
        </w:rPr>
        <w:lastRenderedPageBreak/>
        <w:t>Table S</w:t>
      </w:r>
      <w:r w:rsidR="0001122D" w:rsidRPr="00595E8B">
        <w:rPr>
          <w:b/>
          <w:bCs/>
        </w:rPr>
        <w:t>3</w:t>
      </w:r>
      <w:r w:rsidRPr="00595E8B">
        <w:rPr>
          <w:b/>
          <w:bCs/>
        </w:rPr>
        <w:t>:</w:t>
      </w:r>
      <w:r w:rsidRPr="00595E8B">
        <w:t xml:space="preserve"> </w:t>
      </w:r>
      <w:r w:rsidR="00256F0B" w:rsidRPr="00595E8B">
        <w:t>C</w:t>
      </w:r>
      <w:r w:rsidRPr="00595E8B">
        <w:t>ompari</w:t>
      </w:r>
      <w:r w:rsidR="00256F0B" w:rsidRPr="00595E8B">
        <w:t>sons</w:t>
      </w:r>
      <w:r w:rsidRPr="00595E8B">
        <w:t xml:space="preserve"> </w:t>
      </w:r>
      <w:r w:rsidR="00256F0B" w:rsidRPr="00595E8B">
        <w:t>of the standard deviations (</w:t>
      </w:r>
      <w:r w:rsidR="00256F0B" w:rsidRPr="00595E8B">
        <w:rPr>
          <w:i/>
        </w:rPr>
        <w:t>SD</w:t>
      </w:r>
      <w:r w:rsidR="00256F0B" w:rsidRPr="00595E8B">
        <w:t>)</w:t>
      </w:r>
      <w:r w:rsidRPr="00595E8B">
        <w:t xml:space="preserve"> of residuals from PC1-</w:t>
      </w:r>
      <w:r w:rsidR="00364BDA" w:rsidRPr="00595E8B">
        <w:t>based</w:t>
      </w:r>
      <w:r w:rsidRPr="00595E8B">
        <w:t xml:space="preserve"> and </w:t>
      </w:r>
      <w:r w:rsidR="00364BDA" w:rsidRPr="00595E8B">
        <w:t xml:space="preserve">multivariate (MV) </w:t>
      </w:r>
      <w:r w:rsidRPr="00595E8B">
        <w:t xml:space="preserve">models </w:t>
      </w:r>
      <w:r w:rsidR="00256F0B" w:rsidRPr="00595E8B">
        <w:t>using datasets both including</w:t>
      </w:r>
      <w:r w:rsidRPr="00595E8B">
        <w:t xml:space="preserve"> </w:t>
      </w:r>
      <w:r w:rsidR="00256F0B" w:rsidRPr="00595E8B">
        <w:t xml:space="preserve">excluding vascular plant species </w:t>
      </w:r>
      <w:r w:rsidRPr="00595E8B">
        <w:t>richness hotspots</w:t>
      </w:r>
      <w:r w:rsidR="00256F0B" w:rsidRPr="00595E8B">
        <w:t xml:space="preserve"> across the GCFR and SWAFR, across the three spatial scales</w:t>
      </w:r>
      <w:r w:rsidRPr="00595E8B">
        <w:t>.</w:t>
      </w:r>
      <w:r w:rsidR="00256F0B" w:rsidRPr="00595E8B">
        <w:t xml:space="preserve"> Hotspots excluded fr</w:t>
      </w:r>
      <w:r w:rsidR="00E0628C" w:rsidRPr="00595E8B">
        <w:t>om</w:t>
      </w:r>
      <w:r w:rsidR="00256F0B" w:rsidRPr="00595E8B">
        <w:t xml:space="preserve"> </w:t>
      </w:r>
      <w:r w:rsidR="00E0628C" w:rsidRPr="00595E8B">
        <w:t>each</w:t>
      </w:r>
      <w:r w:rsidR="00256F0B" w:rsidRPr="00595E8B">
        <w:t xml:space="preserve"> model </w:t>
      </w:r>
      <w:r w:rsidR="00E0628C" w:rsidRPr="00595E8B">
        <w:t>were those with residuals greater than two standard deviations from the mean for that model.</w:t>
      </w:r>
      <w:r w:rsidR="00DC6E66" w:rsidRPr="00595E8B">
        <w:t xml:space="preserve"> </w:t>
      </w:r>
      <w:r w:rsidR="0032401D" w:rsidRPr="00595E8B">
        <w:t>All pairs of</w:t>
      </w:r>
      <w:r w:rsidR="0032401D" w:rsidRPr="00595E8B">
        <w:rPr>
          <w:lang w:eastAsia="en-ZA"/>
        </w:rPr>
        <w:t xml:space="preserve"> GCFR and SWAFR </w:t>
      </w:r>
      <w:r w:rsidR="0032401D" w:rsidRPr="00595E8B">
        <w:rPr>
          <w:i/>
          <w:iCs/>
          <w:lang w:eastAsia="en-ZA"/>
        </w:rPr>
        <w:t>SD</w:t>
      </w:r>
      <w:r w:rsidR="0032401D" w:rsidRPr="00595E8B">
        <w:rPr>
          <w:lang w:eastAsia="en-ZA"/>
        </w:rPr>
        <w:t>-values differed significantly (</w:t>
      </w:r>
      <w:r w:rsidR="0032401D" w:rsidRPr="00595E8B">
        <w:rPr>
          <w:i/>
          <w:iCs/>
          <w:lang w:eastAsia="en-ZA"/>
        </w:rPr>
        <w:t>P</w:t>
      </w:r>
      <w:r w:rsidR="0032401D" w:rsidRPr="00595E8B">
        <w:rPr>
          <w:lang w:eastAsia="en-ZA"/>
        </w:rPr>
        <w:t xml:space="preserve"> &lt; 0.01; two-sided </w:t>
      </w:r>
      <w:r w:rsidR="0032401D" w:rsidRPr="00595E8B">
        <w:rPr>
          <w:i/>
          <w:iCs/>
          <w:lang w:eastAsia="en-ZA"/>
        </w:rPr>
        <w:t>F</w:t>
      </w:r>
      <w:r w:rsidR="0032401D" w:rsidRPr="00595E8B">
        <w:rPr>
          <w:lang w:eastAsia="en-ZA"/>
        </w:rPr>
        <w:t>-tests)</w:t>
      </w:r>
      <w:r w:rsidR="0032401D" w:rsidRPr="00595E8B">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595E8B" w:rsidRPr="00595E8B"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single" w:sz="4" w:space="0" w:color="auto"/>
              <w:bottom w:val="nil"/>
            </w:tcBorders>
            <w:vAlign w:val="bottom"/>
          </w:tcPr>
          <w:p w14:paraId="272EEF4F" w14:textId="77777777" w:rsidR="0032401D" w:rsidRPr="00595E8B" w:rsidRDefault="0032401D" w:rsidP="0032401D">
            <w:pPr>
              <w:spacing w:after="0"/>
              <w:jc w:val="center"/>
              <w:rPr>
                <w:rFonts w:eastAsia="Times New Roman" w:hAnsi="Times New Roman" w:cs="Times New Roman"/>
                <w:i/>
                <w:lang w:eastAsia="en-ZA"/>
              </w:rPr>
            </w:pPr>
          </w:p>
        </w:tc>
        <w:tc>
          <w:tcPr>
            <w:tcW w:w="4530" w:type="dxa"/>
            <w:gridSpan w:val="5"/>
            <w:tcBorders>
              <w:top w:val="single" w:sz="4" w:space="0" w:color="auto"/>
              <w:bottom w:val="single" w:sz="4" w:space="0" w:color="auto"/>
            </w:tcBorders>
            <w:vAlign w:val="bottom"/>
          </w:tcPr>
          <w:p w14:paraId="4E9F626B"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i/>
                <w:lang w:eastAsia="en-ZA"/>
              </w:rPr>
              <w:t>SD</w:t>
            </w:r>
            <w:r w:rsidRPr="00595E8B">
              <w:rPr>
                <w:rFonts w:eastAsia="Times New Roman" w:hAnsi="Times New Roman" w:cs="Times New Roman"/>
                <w:lang w:eastAsia="en-ZA"/>
              </w:rPr>
              <w:t xml:space="preserve"> of model residuals</w:t>
            </w:r>
          </w:p>
        </w:tc>
      </w:tr>
      <w:tr w:rsidR="00595E8B" w:rsidRPr="00595E8B"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nil"/>
              <w:bottom w:val="nil"/>
            </w:tcBorders>
            <w:shd w:val="clear" w:color="auto" w:fill="auto"/>
            <w:noWrap/>
            <w:vAlign w:val="bottom"/>
          </w:tcPr>
          <w:p w14:paraId="2F0A23A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nil"/>
              <w:bottom w:val="nil"/>
            </w:tcBorders>
            <w:vAlign w:val="bottom"/>
          </w:tcPr>
          <w:p w14:paraId="33075F44" w14:textId="77777777" w:rsidR="0032401D" w:rsidRPr="00595E8B" w:rsidRDefault="0032401D" w:rsidP="0032401D">
            <w:pPr>
              <w:spacing w:after="0"/>
              <w:jc w:val="center"/>
              <w:rPr>
                <w:rFonts w:eastAsia="Times New Roman" w:hAnsi="Times New Roman" w:cs="Times New Roman"/>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Including hotspots</w:t>
            </w:r>
          </w:p>
        </w:tc>
        <w:tc>
          <w:tcPr>
            <w:tcW w:w="236" w:type="dxa"/>
            <w:tcBorders>
              <w:top w:val="nil"/>
              <w:bottom w:val="nil"/>
            </w:tcBorders>
            <w:vAlign w:val="bottom"/>
          </w:tcPr>
          <w:p w14:paraId="41253C74" w14:textId="77777777" w:rsidR="0032401D" w:rsidRPr="00595E8B" w:rsidRDefault="0032401D" w:rsidP="0032401D">
            <w:pPr>
              <w:spacing w:after="0"/>
              <w:jc w:val="center"/>
              <w:rPr>
                <w:rFonts w:eastAsia="Times New Roman" w:hAnsi="Times New Roman" w:cs="Times New Roman"/>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Excluding hotspots</w:t>
            </w:r>
          </w:p>
        </w:tc>
      </w:tr>
      <w:tr w:rsidR="00595E8B" w:rsidRPr="00595E8B"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Region</w:t>
            </w:r>
          </w:p>
        </w:tc>
        <w:tc>
          <w:tcPr>
            <w:tcW w:w="236" w:type="dxa"/>
            <w:tcBorders>
              <w:top w:val="nil"/>
              <w:bottom w:val="nil"/>
            </w:tcBorders>
            <w:vAlign w:val="bottom"/>
          </w:tcPr>
          <w:p w14:paraId="567A8E10" w14:textId="77777777" w:rsidR="0032401D" w:rsidRPr="00595E8B" w:rsidRDefault="0032401D" w:rsidP="0032401D">
            <w:pPr>
              <w:spacing w:after="0"/>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c>
          <w:tcPr>
            <w:tcW w:w="236" w:type="dxa"/>
            <w:tcBorders>
              <w:top w:val="nil"/>
              <w:bottom w:val="nil"/>
            </w:tcBorders>
            <w:vAlign w:val="bottom"/>
          </w:tcPr>
          <w:p w14:paraId="2C14BF88" w14:textId="77777777" w:rsidR="0032401D" w:rsidRPr="00595E8B" w:rsidRDefault="0032401D" w:rsidP="0032401D">
            <w:pPr>
              <w:spacing w:after="0"/>
              <w:jc w:val="center"/>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r>
      <w:tr w:rsidR="00595E8B" w:rsidRPr="00595E8B" w14:paraId="2740A297" w14:textId="77777777" w:rsidTr="00117924">
        <w:trPr>
          <w:trHeight w:val="285"/>
        </w:trPr>
        <w:tc>
          <w:tcPr>
            <w:tcW w:w="1077" w:type="dxa"/>
            <w:shd w:val="clear" w:color="auto" w:fill="auto"/>
            <w:noWrap/>
            <w:vAlign w:val="bottom"/>
            <w:hideMark/>
          </w:tcPr>
          <w:p w14:paraId="12E8272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(a) QDS</w:t>
            </w:r>
          </w:p>
        </w:tc>
        <w:tc>
          <w:tcPr>
            <w:tcW w:w="1082" w:type="dxa"/>
            <w:shd w:val="clear" w:color="auto" w:fill="auto"/>
            <w:noWrap/>
            <w:vAlign w:val="bottom"/>
            <w:hideMark/>
          </w:tcPr>
          <w:p w14:paraId="6F333E5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vAlign w:val="bottom"/>
          </w:tcPr>
          <w:p w14:paraId="1BEB5F68"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2FB7DD7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343.46</w:t>
            </w:r>
          </w:p>
        </w:tc>
        <w:tc>
          <w:tcPr>
            <w:tcW w:w="1118" w:type="dxa"/>
            <w:shd w:val="clear" w:color="auto" w:fill="auto"/>
            <w:noWrap/>
            <w:vAlign w:val="bottom"/>
            <w:hideMark/>
          </w:tcPr>
          <w:p w14:paraId="3BB8F3E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312.89</w:t>
            </w:r>
          </w:p>
        </w:tc>
        <w:tc>
          <w:tcPr>
            <w:tcW w:w="236" w:type="dxa"/>
            <w:vAlign w:val="bottom"/>
          </w:tcPr>
          <w:p w14:paraId="4171C98C"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454DD78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234.93</w:t>
            </w:r>
          </w:p>
        </w:tc>
        <w:tc>
          <w:tcPr>
            <w:tcW w:w="1188" w:type="dxa"/>
            <w:shd w:val="clear" w:color="auto" w:fill="auto"/>
            <w:noWrap/>
            <w:vAlign w:val="bottom"/>
            <w:hideMark/>
          </w:tcPr>
          <w:p w14:paraId="56521D7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217.56</w:t>
            </w:r>
          </w:p>
        </w:tc>
      </w:tr>
      <w:tr w:rsidR="00595E8B" w:rsidRPr="00595E8B" w14:paraId="0061276D" w14:textId="77777777" w:rsidTr="00117924">
        <w:trPr>
          <w:trHeight w:val="285"/>
        </w:trPr>
        <w:tc>
          <w:tcPr>
            <w:tcW w:w="1077" w:type="dxa"/>
            <w:shd w:val="clear" w:color="auto" w:fill="auto"/>
            <w:noWrap/>
            <w:vAlign w:val="bottom"/>
          </w:tcPr>
          <w:p w14:paraId="75AA3E3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1F21A923"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69625F95"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7DF9B5F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245.77</w:t>
            </w:r>
          </w:p>
        </w:tc>
        <w:tc>
          <w:tcPr>
            <w:tcW w:w="1118" w:type="dxa"/>
            <w:shd w:val="clear" w:color="auto" w:fill="auto"/>
            <w:noWrap/>
            <w:vAlign w:val="bottom"/>
            <w:hideMark/>
          </w:tcPr>
          <w:p w14:paraId="6FC7831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223.05</w:t>
            </w:r>
          </w:p>
        </w:tc>
        <w:tc>
          <w:tcPr>
            <w:tcW w:w="236" w:type="dxa"/>
            <w:vAlign w:val="bottom"/>
          </w:tcPr>
          <w:p w14:paraId="53FD4E57"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37B34DF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203.91</w:t>
            </w:r>
          </w:p>
        </w:tc>
        <w:tc>
          <w:tcPr>
            <w:tcW w:w="1188" w:type="dxa"/>
            <w:shd w:val="clear" w:color="auto" w:fill="auto"/>
            <w:noWrap/>
            <w:vAlign w:val="bottom"/>
            <w:hideMark/>
          </w:tcPr>
          <w:p w14:paraId="74C338A6"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174.97</w:t>
            </w:r>
          </w:p>
        </w:tc>
      </w:tr>
      <w:tr w:rsidR="00595E8B" w:rsidRPr="00595E8B"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(b) HDS</w:t>
            </w:r>
          </w:p>
        </w:tc>
        <w:tc>
          <w:tcPr>
            <w:tcW w:w="1082" w:type="dxa"/>
            <w:tcBorders>
              <w:bottom w:val="nil"/>
            </w:tcBorders>
            <w:shd w:val="clear" w:color="auto" w:fill="auto"/>
            <w:noWrap/>
            <w:vAlign w:val="bottom"/>
            <w:hideMark/>
          </w:tcPr>
          <w:p w14:paraId="652C75BE"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bottom w:val="nil"/>
            </w:tcBorders>
            <w:vAlign w:val="bottom"/>
          </w:tcPr>
          <w:p w14:paraId="75ADF02F" w14:textId="77777777" w:rsidR="0032401D" w:rsidRPr="00595E8B" w:rsidRDefault="0032401D" w:rsidP="0032401D">
            <w:pPr>
              <w:spacing w:after="0"/>
              <w:rPr>
                <w:rFonts w:eastAsia="Times New Roman" w:hAnsi="Times New Roman" w:cs="Times New Roman"/>
                <w:lang w:eastAsia="en-ZA"/>
              </w:rPr>
            </w:pPr>
          </w:p>
        </w:tc>
        <w:tc>
          <w:tcPr>
            <w:tcW w:w="994" w:type="dxa"/>
            <w:tcBorders>
              <w:bottom w:val="nil"/>
            </w:tcBorders>
            <w:shd w:val="clear" w:color="auto" w:fill="auto"/>
            <w:noWrap/>
            <w:vAlign w:val="bottom"/>
            <w:hideMark/>
          </w:tcPr>
          <w:p w14:paraId="2CE4261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638.62</w:t>
            </w:r>
          </w:p>
        </w:tc>
        <w:tc>
          <w:tcPr>
            <w:tcW w:w="1118" w:type="dxa"/>
            <w:tcBorders>
              <w:bottom w:val="nil"/>
            </w:tcBorders>
            <w:shd w:val="clear" w:color="auto" w:fill="auto"/>
            <w:noWrap/>
            <w:vAlign w:val="bottom"/>
            <w:hideMark/>
          </w:tcPr>
          <w:p w14:paraId="47956910"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519.19</w:t>
            </w:r>
          </w:p>
        </w:tc>
        <w:tc>
          <w:tcPr>
            <w:tcW w:w="236" w:type="dxa"/>
            <w:tcBorders>
              <w:bottom w:val="nil"/>
            </w:tcBorders>
            <w:vAlign w:val="bottom"/>
          </w:tcPr>
          <w:p w14:paraId="49EC7390"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bottom w:val="nil"/>
            </w:tcBorders>
            <w:shd w:val="clear" w:color="auto" w:fill="auto"/>
            <w:noWrap/>
            <w:vAlign w:val="bottom"/>
            <w:hideMark/>
          </w:tcPr>
          <w:p w14:paraId="0F1A329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460.39</w:t>
            </w:r>
          </w:p>
        </w:tc>
        <w:tc>
          <w:tcPr>
            <w:tcW w:w="1188" w:type="dxa"/>
            <w:tcBorders>
              <w:bottom w:val="nil"/>
            </w:tcBorders>
            <w:shd w:val="clear" w:color="auto" w:fill="auto"/>
            <w:noWrap/>
            <w:vAlign w:val="bottom"/>
            <w:hideMark/>
          </w:tcPr>
          <w:p w14:paraId="7B142F3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360.47</w:t>
            </w:r>
          </w:p>
        </w:tc>
      </w:tr>
      <w:tr w:rsidR="00595E8B" w:rsidRPr="00595E8B"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595E8B" w:rsidRDefault="0032401D" w:rsidP="0032401D">
            <w:pPr>
              <w:spacing w:after="0"/>
              <w:rPr>
                <w:rFonts w:eastAsia="Times New Roman" w:hAnsi="Times New Roman" w:cs="Times New Roman"/>
                <w:lang w:eastAsia="en-ZA"/>
              </w:rPr>
            </w:pPr>
          </w:p>
        </w:tc>
        <w:tc>
          <w:tcPr>
            <w:tcW w:w="1082" w:type="dxa"/>
            <w:tcBorders>
              <w:top w:val="nil"/>
              <w:bottom w:val="nil"/>
            </w:tcBorders>
            <w:shd w:val="clear" w:color="auto" w:fill="auto"/>
            <w:noWrap/>
            <w:vAlign w:val="bottom"/>
            <w:hideMark/>
          </w:tcPr>
          <w:p w14:paraId="7F22A9DC"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tcBorders>
              <w:top w:val="nil"/>
              <w:bottom w:val="nil"/>
            </w:tcBorders>
            <w:vAlign w:val="bottom"/>
          </w:tcPr>
          <w:p w14:paraId="6FDB552E"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4C5FB414"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334.15</w:t>
            </w:r>
          </w:p>
        </w:tc>
        <w:tc>
          <w:tcPr>
            <w:tcW w:w="1118" w:type="dxa"/>
            <w:tcBorders>
              <w:top w:val="nil"/>
              <w:bottom w:val="nil"/>
            </w:tcBorders>
            <w:shd w:val="clear" w:color="auto" w:fill="auto"/>
            <w:noWrap/>
            <w:vAlign w:val="bottom"/>
            <w:hideMark/>
          </w:tcPr>
          <w:p w14:paraId="0E8C528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290.90</w:t>
            </w:r>
          </w:p>
        </w:tc>
        <w:tc>
          <w:tcPr>
            <w:tcW w:w="236" w:type="dxa"/>
            <w:tcBorders>
              <w:top w:val="nil"/>
              <w:bottom w:val="nil"/>
            </w:tcBorders>
            <w:vAlign w:val="bottom"/>
          </w:tcPr>
          <w:p w14:paraId="3847217E"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1BDCC2C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326.06</w:t>
            </w:r>
          </w:p>
        </w:tc>
        <w:tc>
          <w:tcPr>
            <w:tcW w:w="1188" w:type="dxa"/>
            <w:tcBorders>
              <w:top w:val="nil"/>
              <w:bottom w:val="nil"/>
            </w:tcBorders>
            <w:shd w:val="clear" w:color="auto" w:fill="auto"/>
            <w:noWrap/>
            <w:vAlign w:val="bottom"/>
            <w:hideMark/>
          </w:tcPr>
          <w:p w14:paraId="7F2A1F1D"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273.31</w:t>
            </w:r>
          </w:p>
        </w:tc>
      </w:tr>
      <w:tr w:rsidR="00595E8B" w:rsidRPr="00595E8B"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(c) DS</w:t>
            </w:r>
          </w:p>
        </w:tc>
        <w:tc>
          <w:tcPr>
            <w:tcW w:w="1082" w:type="dxa"/>
            <w:tcBorders>
              <w:top w:val="nil"/>
            </w:tcBorders>
            <w:shd w:val="clear" w:color="auto" w:fill="auto"/>
            <w:noWrap/>
            <w:vAlign w:val="bottom"/>
            <w:hideMark/>
          </w:tcPr>
          <w:p w14:paraId="4D637B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top w:val="nil"/>
            </w:tcBorders>
            <w:vAlign w:val="bottom"/>
          </w:tcPr>
          <w:p w14:paraId="7C961F84"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tcBorders>
            <w:shd w:val="clear" w:color="auto" w:fill="auto"/>
            <w:noWrap/>
            <w:vAlign w:val="bottom"/>
            <w:hideMark/>
          </w:tcPr>
          <w:p w14:paraId="264404C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811.89</w:t>
            </w:r>
          </w:p>
        </w:tc>
        <w:tc>
          <w:tcPr>
            <w:tcW w:w="1118" w:type="dxa"/>
            <w:tcBorders>
              <w:top w:val="nil"/>
            </w:tcBorders>
            <w:shd w:val="clear" w:color="auto" w:fill="auto"/>
            <w:noWrap/>
            <w:vAlign w:val="bottom"/>
            <w:hideMark/>
          </w:tcPr>
          <w:p w14:paraId="1A787A5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6.22</w:t>
            </w:r>
          </w:p>
        </w:tc>
        <w:tc>
          <w:tcPr>
            <w:tcW w:w="236" w:type="dxa"/>
            <w:tcBorders>
              <w:top w:val="nil"/>
            </w:tcBorders>
            <w:vAlign w:val="bottom"/>
          </w:tcPr>
          <w:p w14:paraId="1AFA6E51"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tcBorders>
            <w:shd w:val="clear" w:color="auto" w:fill="auto"/>
            <w:noWrap/>
            <w:vAlign w:val="bottom"/>
            <w:hideMark/>
          </w:tcPr>
          <w:p w14:paraId="1466E5E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588.58</w:t>
            </w:r>
          </w:p>
        </w:tc>
        <w:tc>
          <w:tcPr>
            <w:tcW w:w="1188" w:type="dxa"/>
            <w:tcBorders>
              <w:top w:val="nil"/>
            </w:tcBorders>
            <w:shd w:val="clear" w:color="auto" w:fill="auto"/>
            <w:noWrap/>
            <w:vAlign w:val="bottom"/>
            <w:hideMark/>
          </w:tcPr>
          <w:p w14:paraId="4A8FA065"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r w:rsidR="00595E8B" w:rsidRPr="00595E8B" w14:paraId="5F393325" w14:textId="77777777" w:rsidTr="00117924">
        <w:trPr>
          <w:trHeight w:val="285"/>
        </w:trPr>
        <w:tc>
          <w:tcPr>
            <w:tcW w:w="1077" w:type="dxa"/>
            <w:shd w:val="clear" w:color="auto" w:fill="auto"/>
            <w:noWrap/>
            <w:vAlign w:val="bottom"/>
          </w:tcPr>
          <w:p w14:paraId="103957D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02EB858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206EAC9E"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50E0E6B1"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311.80</w:t>
            </w:r>
          </w:p>
        </w:tc>
        <w:tc>
          <w:tcPr>
            <w:tcW w:w="1118" w:type="dxa"/>
            <w:shd w:val="clear" w:color="auto" w:fill="auto"/>
            <w:noWrap/>
            <w:vAlign w:val="bottom"/>
            <w:hideMark/>
          </w:tcPr>
          <w:p w14:paraId="5EFEF51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226.50</w:t>
            </w:r>
          </w:p>
        </w:tc>
        <w:tc>
          <w:tcPr>
            <w:tcW w:w="236" w:type="dxa"/>
            <w:vAlign w:val="bottom"/>
          </w:tcPr>
          <w:p w14:paraId="760E00B8"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123E92F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297.22</w:t>
            </w:r>
          </w:p>
        </w:tc>
        <w:tc>
          <w:tcPr>
            <w:tcW w:w="1188" w:type="dxa"/>
            <w:shd w:val="clear" w:color="auto" w:fill="auto"/>
            <w:noWrap/>
            <w:vAlign w:val="bottom"/>
            <w:hideMark/>
          </w:tcPr>
          <w:p w14:paraId="05992550"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bl>
    <w:p w14:paraId="335B2068" w14:textId="77777777" w:rsidR="00705DE6" w:rsidRPr="00595E8B" w:rsidRDefault="00705DE6" w:rsidP="00117924">
      <w:pPr>
        <w:spacing w:before="240"/>
        <w:rPr>
          <w:rFonts w:asciiTheme="majorBidi" w:hAnsiTheme="majorBidi"/>
        </w:rPr>
      </w:pPr>
      <w:r w:rsidRPr="00595E8B">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as follows: 1, elevation; 2, MAP; 3, PDQ; 4, surface T; 5, NDVI; 6, CEC; 7, clay; 8, soil C; 9, pH.</w:t>
      </w:r>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18"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4866171D">
            <wp:extent cx="6839666" cy="39083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9666" cy="3908381"/>
                    </a:xfrm>
                    <a:prstGeom prst="rect">
                      <a:avLst/>
                    </a:prstGeom>
                  </pic:spPr>
                </pic:pic>
              </a:graphicData>
            </a:graphic>
          </wp:inline>
        </w:drawing>
      </w:r>
    </w:p>
    <w:p w14:paraId="340BEE40" w14:textId="4AE5AC38"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6D0AF8">
        <w:t>Note, as no outliers were found in either region at the DS-scale</w:t>
      </w:r>
      <w:r w:rsidR="00E97831" w:rsidRPr="006D0AF8">
        <w:t>, panel (c) is identical to that in 5.</w:t>
      </w:r>
      <w:r w:rsidR="009B06C2" w:rsidRPr="006D0AF8">
        <w:t xml:space="preserve"> </w:t>
      </w:r>
      <w:r w:rsidRPr="006D0AF8">
        <w:t>Points with error bars denote partial effect estimates and their 95% confidence intervals. Filled and</w:t>
      </w:r>
      <w:r>
        <w:t xml:space="preserve"> empty points represent effect </w:t>
      </w:r>
      <w:r w:rsidR="00E866B6">
        <w:t>estimates for</w:t>
      </w:r>
      <w:r>
        <w:t xml:space="preserve">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p>
    <w:p w14:paraId="5B907564" w14:textId="5B39013F" w:rsidR="00F25E83" w:rsidRDefault="00F25E83">
      <w:r w:rsidRPr="00F25E83">
        <w:rPr>
          <w:b/>
          <w:bCs/>
        </w:rPr>
        <w:t>Figure S12:</w:t>
      </w:r>
      <w:r>
        <w:t xml:space="preserve"> </w:t>
      </w:r>
      <w:r w:rsidR="00970549">
        <w:t>Examples of vascular plant species from the SWAFR whose occurrence records include outlier localities (in red) near Perth (diamond). Outlier records were determined as those that fall outside the described range for that species (according to distribution maps from FloraBase (</w:t>
      </w:r>
      <w:hyperlink r:id="rId25" w:history="1">
        <w:r w:rsidR="00970549" w:rsidRPr="00864889">
          <w:rPr>
            <w:rStyle w:val="Hyperlink"/>
          </w:rPr>
          <w:t>https://florabase.dpaw.wa.gov.au/</w:t>
        </w:r>
      </w:hyperlink>
      <w:r w:rsidR="00970549">
        <w:t xml:space="preserve"> [Accessed 2 March, 2010]). These 22 species were found within a sample of 300 random species in our occurrence dataset that have records within the four QDS-cells including Perth with exceptional richness (Figure S6b).</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6"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7"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8"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9" w:history="1">
        <w:r w:rsidRPr="000F1325">
          <w:rPr>
            <w:rStyle w:val="Hyperlink"/>
          </w:rPr>
          <w:t>https://doi.org/10.15468/dl.n6u6n0</w:t>
        </w:r>
      </w:hyperlink>
    </w:p>
    <w:p w14:paraId="1A9C2485" w14:textId="75FFDAB4"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30" w:history="1">
        <w:r w:rsidRPr="000F1325">
          <w:rPr>
            <w:rStyle w:val="Hyperlink"/>
          </w:rPr>
          <w:t>https://doi.org/10.15468/dl.46okua</w:t>
        </w:r>
      </w:hyperlink>
    </w:p>
    <w:p w14:paraId="737621ED" w14:textId="568CE697" w:rsidR="00727551" w:rsidRPr="00727551" w:rsidRDefault="00727551" w:rsidP="00727551">
      <w:pPr>
        <w:widowControl w:val="0"/>
        <w:autoSpaceDE w:val="0"/>
        <w:autoSpaceDN w:val="0"/>
        <w:adjustRightInd w:val="0"/>
        <w:spacing w:after="180"/>
        <w:ind w:left="480" w:hanging="480"/>
        <w:rPr>
          <w:rStyle w:val="Hyperlink"/>
          <w:rFonts w:hAnsi="Times New Roman" w:cs="Times New Roman"/>
          <w:noProof/>
          <w:color w:val="auto"/>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 xml:space="preserve">(1), 1–15. </w:t>
      </w:r>
      <w:hyperlink r:id="rId31" w:history="1">
        <w:r w:rsidR="005569A6" w:rsidRPr="007D7321">
          <w:rPr>
            <w:rStyle w:val="Hyperlink"/>
            <w:rFonts w:hAnsi="Times New Roman" w:cs="Times New Roman"/>
            <w:noProof/>
            <w:lang w:val="en-GB"/>
          </w:rPr>
          <w:t>https://doi.org/10.1093/botlinnean/box010</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2" w:history="1">
        <w:r w:rsidRPr="006F7EB8">
          <w:rPr>
            <w:rStyle w:val="Hyperlink"/>
          </w:rPr>
          <w:t>http://resolver.globalnames.org/</w:t>
        </w:r>
      </w:hyperlink>
    </w:p>
    <w:p w14:paraId="73137B14" w14:textId="0FCA455F" w:rsidR="00B47B31" w:rsidRDefault="00E866B6" w:rsidP="00B47B31">
      <w:pPr>
        <w:pStyle w:val="NormalWeb"/>
        <w:ind w:left="480" w:hanging="480"/>
        <w:rPr>
          <w:rStyle w:val="Hyperlink"/>
        </w:rPr>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00834ED9" w:rsidRPr="002C20EB">
        <w:rPr>
          <w:i/>
        </w:rPr>
        <w:t>PLoS ONE</w:t>
      </w:r>
      <w:r w:rsidR="00834ED9" w:rsidRPr="002C20EB">
        <w:t>, 12, e0169748.</w:t>
      </w:r>
      <w:r w:rsidR="00E43553">
        <w:t xml:space="preserve"> </w:t>
      </w:r>
      <w:hyperlink r:id="rId33" w:history="1">
        <w:r w:rsidR="00E43553" w:rsidRPr="006F7EB8">
          <w:rPr>
            <w:rStyle w:val="Hyperlink"/>
          </w:rPr>
          <w:t>https://doi.org/10.1371/journal.pone.0169748</w:t>
        </w:r>
      </w:hyperlink>
    </w:p>
    <w:p w14:paraId="5DD41883" w14:textId="22786AA7" w:rsidR="00601E21" w:rsidRPr="00601E21" w:rsidRDefault="00601E21" w:rsidP="00601E21">
      <w:pPr>
        <w:widowControl w:val="0"/>
        <w:autoSpaceDE w:val="0"/>
        <w:autoSpaceDN w:val="0"/>
        <w:adjustRightInd w:val="0"/>
        <w:spacing w:after="180"/>
        <w:ind w:left="480" w:hanging="480"/>
        <w:rPr>
          <w:rStyle w:val="Hyperlink"/>
          <w:rFonts w:hAnsi="Times New Roman" w:cs="Times New Roman"/>
          <w:noProof/>
          <w:color w:val="auto"/>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xml:space="preserve">. </w:t>
      </w:r>
      <w:hyperlink r:id="rId34" w:history="1">
        <w:r w:rsidRPr="007D7321">
          <w:rPr>
            <w:rStyle w:val="Hyperlink"/>
            <w:rFonts w:hAnsi="Times New Roman" w:cs="Times New Roman"/>
            <w:noProof/>
            <w:lang w:val="en-GB"/>
          </w:rPr>
          <w:t>https://cran.r-project.org/package=raster</w:t>
        </w:r>
      </w:hyperlink>
    </w:p>
    <w:p w14:paraId="1D80733F" w14:textId="149691A5" w:rsidR="00A05E3D" w:rsidRPr="00363E65" w:rsidRDefault="00A05E3D" w:rsidP="00A05E3D">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xml:space="preserve">, 623–650. </w:t>
      </w:r>
      <w:hyperlink r:id="rId35" w:history="1">
        <w:r w:rsidR="007F2CC7" w:rsidRPr="007D7321">
          <w:rPr>
            <w:rStyle w:val="Hyperlink"/>
            <w:rFonts w:hAnsi="Times New Roman" w:cs="Times New Roman"/>
            <w:noProof/>
            <w:lang w:val="en-GB"/>
          </w:rPr>
          <w:t>https://doi.org/10.1146/annurev.ecolsys.35.112202.130201</w:t>
        </w:r>
      </w:hyperlink>
    </w:p>
    <w:p w14:paraId="431FB230" w14:textId="47BD511E" w:rsidR="00D30B59" w:rsidRDefault="00D30B59" w:rsidP="00A05E3D">
      <w:pPr>
        <w:pStyle w:val="NormalWeb"/>
        <w:rPr>
          <w:rStyle w:val="Hyperlink"/>
        </w:rPr>
      </w:pPr>
      <w:r w:rsidRPr="00D30B59">
        <w:t>Integrated Taxonomic Information System (ITIS)</w:t>
      </w:r>
      <w:r>
        <w:t xml:space="preserve">. </w:t>
      </w:r>
      <w:hyperlink r:id="rId36" w:history="1">
        <w:r w:rsidRPr="006F7EB8">
          <w:rPr>
            <w:rStyle w:val="Hyperlink"/>
          </w:rPr>
          <w:t>http://www.itis.gov</w:t>
        </w:r>
      </w:hyperlink>
    </w:p>
    <w:p w14:paraId="44DDD313" w14:textId="77777777" w:rsidR="00B042D1" w:rsidRDefault="00B042D1" w:rsidP="00A05E3D">
      <w:pPr>
        <w:pStyle w:val="NormalWeb"/>
        <w:rPr>
          <w:rStyle w:val="Hyperlink"/>
        </w:rPr>
      </w:pPr>
    </w:p>
    <w:p w14:paraId="5D5A959C" w14:textId="3E899F4B" w:rsidR="00B042D1" w:rsidRPr="00B042D1" w:rsidRDefault="00B042D1" w:rsidP="00B042D1">
      <w:pPr>
        <w:widowControl w:val="0"/>
        <w:autoSpaceDE w:val="0"/>
        <w:autoSpaceDN w:val="0"/>
        <w:adjustRightInd w:val="0"/>
        <w:spacing w:after="180"/>
        <w:ind w:left="480" w:hanging="480"/>
        <w:rPr>
          <w:rStyle w:val="Hyperlink"/>
          <w:rFonts w:hAnsi="Times New Roman" w:cs="Times New Roman"/>
          <w:noProof/>
          <w:color w:val="auto"/>
          <w:lang w:val="en-GB"/>
        </w:rPr>
      </w:pPr>
      <w:r w:rsidRPr="00363E65">
        <w:rPr>
          <w:rFonts w:hAnsi="Times New Roman" w:cs="Times New Roman"/>
          <w:noProof/>
          <w:lang w:val="en-GB"/>
        </w:rPr>
        <w:lastRenderedPageBreak/>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14:paraId="09E191F2" w14:textId="05A1C0D7" w:rsidR="00C20690" w:rsidRPr="00C20690" w:rsidRDefault="00C20690" w:rsidP="00C20690">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7" w:history="1">
        <w:r w:rsidR="001B58F2" w:rsidRPr="001B58F2">
          <w:rPr>
            <w:rStyle w:val="Hyperlink"/>
          </w:rPr>
          <w:t>https://doi.org/10.5067/MODIS/MOD13C2.006</w:t>
        </w:r>
      </w:hyperlink>
      <w:r w:rsidR="001B58F2" w:rsidRPr="001B58F2">
        <w:t xml:space="preserve"> </w:t>
      </w:r>
    </w:p>
    <w:p w14:paraId="1F325DB0" w14:textId="7D8BBE69" w:rsidR="00834ED9" w:rsidRDefault="0054528F" w:rsidP="00B47B31">
      <w:pPr>
        <w:pStyle w:val="NormalWeb"/>
        <w:ind w:left="480" w:hanging="480"/>
        <w:rPr>
          <w:rStyle w:val="Hyperlink"/>
        </w:rPr>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8" w:history="1">
        <w:r w:rsidR="001B58F2" w:rsidRPr="001B58F2">
          <w:rPr>
            <w:rStyle w:val="Hyperlink"/>
          </w:rPr>
          <w:t>https://doi.org/10.5067/MODIS/MOD1132.006</w:t>
        </w:r>
      </w:hyperlink>
    </w:p>
    <w:p w14:paraId="7514CCAF" w14:textId="4645DDC8" w:rsidR="0006130A" w:rsidRPr="0006130A" w:rsidRDefault="0006130A" w:rsidP="0006130A">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14:paraId="62DF1247" w14:textId="44B5101E" w:rsidR="0061013D" w:rsidRDefault="0061013D" w:rsidP="0061013D">
      <w:pPr>
        <w:rPr>
          <w:rStyle w:val="Hyperlink"/>
        </w:rPr>
      </w:pPr>
      <w:r>
        <w:t xml:space="preserve">Taxonomic Name Resolution Service </w:t>
      </w:r>
      <w:r w:rsidR="007F709F">
        <w:t xml:space="preserve">(TNRS) </w:t>
      </w:r>
      <w:r w:rsidRPr="0061013D">
        <w:t>v4.0</w:t>
      </w:r>
      <w:r>
        <w:t xml:space="preserve">. </w:t>
      </w:r>
      <w:hyperlink r:id="rId39" w:history="1">
        <w:r>
          <w:rPr>
            <w:rStyle w:val="Hyperlink"/>
          </w:rPr>
          <w:t>http://tnrs.iplantcollaborative.org/</w:t>
        </w:r>
      </w:hyperlink>
    </w:p>
    <w:p w14:paraId="71381AF3" w14:textId="79BE0D9F" w:rsidR="00C51AFB" w:rsidRPr="00C51AFB" w:rsidRDefault="00C51AFB" w:rsidP="00C51AFB">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 xml:space="preserve">(43), 1686. </w:t>
      </w:r>
      <w:hyperlink r:id="rId40" w:history="1">
        <w:r w:rsidRPr="007D7321">
          <w:rPr>
            <w:rStyle w:val="Hyperlink"/>
            <w:rFonts w:hAnsi="Times New Roman" w:cs="Times New Roman"/>
            <w:noProof/>
            <w:lang w:val="en-GB"/>
          </w:rPr>
          <w:t>https://doi.org/10.21105/joss.01686</w:t>
        </w:r>
      </w:hyperlink>
    </w:p>
    <w:sectPr w:rsidR="00C51AFB" w:rsidRPr="00C51AFB" w:rsidSect="00B3633C">
      <w:footerReference w:type="default" r:id="rId41"/>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F4FD62" w14:textId="77777777" w:rsidR="00267981" w:rsidRDefault="00267981">
      <w:pPr>
        <w:spacing w:after="0"/>
      </w:pPr>
      <w:r>
        <w:separator/>
      </w:r>
    </w:p>
  </w:endnote>
  <w:endnote w:type="continuationSeparator" w:id="0">
    <w:p w14:paraId="776C8A21" w14:textId="77777777" w:rsidR="00267981" w:rsidRDefault="00267981">
      <w:pPr>
        <w:spacing w:after="0"/>
      </w:pPr>
      <w:r>
        <w:continuationSeparator/>
      </w:r>
    </w:p>
  </w:endnote>
  <w:endnote w:type="continuationNotice" w:id="1">
    <w:p w14:paraId="762C72B8" w14:textId="77777777" w:rsidR="00267981" w:rsidRDefault="0026798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95507" w14:textId="77777777" w:rsidR="00267981" w:rsidRDefault="00267981">
      <w:r>
        <w:separator/>
      </w:r>
    </w:p>
  </w:footnote>
  <w:footnote w:type="continuationSeparator" w:id="0">
    <w:p w14:paraId="1071234C" w14:textId="77777777" w:rsidR="00267981" w:rsidRDefault="00267981">
      <w:r>
        <w:continuationSeparator/>
      </w:r>
    </w:p>
  </w:footnote>
  <w:footnote w:type="continuationNotice" w:id="1">
    <w:p w14:paraId="1386EC6D" w14:textId="77777777" w:rsidR="00267981" w:rsidRDefault="0026798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130A"/>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594C"/>
    <w:rsid w:val="000A737C"/>
    <w:rsid w:val="000A7820"/>
    <w:rsid w:val="000A7C66"/>
    <w:rsid w:val="000B1C51"/>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068"/>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17A42"/>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1543"/>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31BB"/>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26835"/>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67981"/>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B68"/>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6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325D"/>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3B81"/>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66C"/>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505"/>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38C"/>
    <w:rsid w:val="00547693"/>
    <w:rsid w:val="00547C58"/>
    <w:rsid w:val="0055026D"/>
    <w:rsid w:val="00550A5A"/>
    <w:rsid w:val="0055258A"/>
    <w:rsid w:val="005527B5"/>
    <w:rsid w:val="00553162"/>
    <w:rsid w:val="005547C0"/>
    <w:rsid w:val="005569A6"/>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5E8B"/>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615"/>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1E21"/>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0AF8"/>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27551"/>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7FB"/>
    <w:rsid w:val="007C1C6F"/>
    <w:rsid w:val="007C308D"/>
    <w:rsid w:val="007C5406"/>
    <w:rsid w:val="007C5AFE"/>
    <w:rsid w:val="007C6590"/>
    <w:rsid w:val="007C6DF4"/>
    <w:rsid w:val="007C706A"/>
    <w:rsid w:val="007C799F"/>
    <w:rsid w:val="007C79A1"/>
    <w:rsid w:val="007C7D4C"/>
    <w:rsid w:val="007D1813"/>
    <w:rsid w:val="007D1BED"/>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CC7"/>
    <w:rsid w:val="007F2F46"/>
    <w:rsid w:val="007F3445"/>
    <w:rsid w:val="007F3827"/>
    <w:rsid w:val="007F3925"/>
    <w:rsid w:val="007F4A6E"/>
    <w:rsid w:val="007F6D6D"/>
    <w:rsid w:val="007F709F"/>
    <w:rsid w:val="007F71F9"/>
    <w:rsid w:val="00800BA0"/>
    <w:rsid w:val="00800FA8"/>
    <w:rsid w:val="00801801"/>
    <w:rsid w:val="0080211C"/>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B3"/>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549"/>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5E3D"/>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551"/>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04A"/>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4F4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B0E"/>
    <w:rsid w:val="00B02DD4"/>
    <w:rsid w:val="00B042D1"/>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474C"/>
    <w:rsid w:val="00B9531E"/>
    <w:rsid w:val="00B959A6"/>
    <w:rsid w:val="00B96198"/>
    <w:rsid w:val="00B96FA0"/>
    <w:rsid w:val="00B96FB8"/>
    <w:rsid w:val="00B97570"/>
    <w:rsid w:val="00BA0095"/>
    <w:rsid w:val="00BA08E4"/>
    <w:rsid w:val="00BA1893"/>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6F8"/>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0690"/>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1AFB"/>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C5C"/>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7C2"/>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4CF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152"/>
    <w:rsid w:val="00DD2348"/>
    <w:rsid w:val="00DD3BEB"/>
    <w:rsid w:val="00DD467D"/>
    <w:rsid w:val="00DD4716"/>
    <w:rsid w:val="00DD516B"/>
    <w:rsid w:val="00DD57EC"/>
    <w:rsid w:val="00DD6143"/>
    <w:rsid w:val="00DD62FC"/>
    <w:rsid w:val="00DD67B3"/>
    <w:rsid w:val="00DD7030"/>
    <w:rsid w:val="00DD70C7"/>
    <w:rsid w:val="00DD7307"/>
    <w:rsid w:val="00DD7CD4"/>
    <w:rsid w:val="00DE02E0"/>
    <w:rsid w:val="00DE0FC4"/>
    <w:rsid w:val="00DE18FD"/>
    <w:rsid w:val="00DE1BF5"/>
    <w:rsid w:val="00DE2066"/>
    <w:rsid w:val="00DE22FD"/>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66B6"/>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831"/>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2EC3"/>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085"/>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hyperlink" Target="https://github.com/ropensci/taxize" TargetMode="External"/><Relationship Id="rId39" Type="http://schemas.openxmlformats.org/officeDocument/2006/relationships/hyperlink" Target="http://tnrs.iplantcollaborative.org/" TargetMode="External"/><Relationship Id="rId21" Type="http://schemas.openxmlformats.org/officeDocument/2006/relationships/image" Target="media/image9.png"/><Relationship Id="rId34" Type="http://schemas.openxmlformats.org/officeDocument/2006/relationships/hyperlink" Target="https://cran.r-project.org/package=raster"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5468/dl.n6u6n0"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hyperlink" Target="http://resolver.globalnames.org/" TargetMode="External"/><Relationship Id="rId37" Type="http://schemas.openxmlformats.org/officeDocument/2006/relationships/hyperlink" Target="https://doi.org/10.5067/MODIS/MOD13C2.006" TargetMode="External"/><Relationship Id="rId40" Type="http://schemas.openxmlformats.org/officeDocument/2006/relationships/hyperlink" Target="https://doi.org/10.21105/joss.01686" TargetMode="Externa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1.png"/><Relationship Id="rId28" Type="http://schemas.openxmlformats.org/officeDocument/2006/relationships/hyperlink" Target="https://doi.org/10.1038/sdata.2015.66" TargetMode="External"/><Relationship Id="rId36" Type="http://schemas.openxmlformats.org/officeDocument/2006/relationships/hyperlink" Target="http://www.itis.gov"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doi.org/10.1093/botlinnean/box010"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i.org/10.1029/2005RG000183" TargetMode="External"/><Relationship Id="rId30" Type="http://schemas.openxmlformats.org/officeDocument/2006/relationships/hyperlink" Target="https://doi.org/10.15468/dl.46okua" TargetMode="External"/><Relationship Id="rId35" Type="http://schemas.openxmlformats.org/officeDocument/2006/relationships/hyperlink" Target="https://doi.org/10.1146/annurev.ecolsys.35.112202.130201" TargetMode="External"/><Relationship Id="rId43" Type="http://schemas.openxmlformats.org/officeDocument/2006/relationships/theme" Target="theme/theme1.xml"/><Relationship Id="rId8" Type="http://schemas.openxmlformats.org/officeDocument/2006/relationships/hyperlink" Target="http://www.iucngisd.org/gis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florabase.dpaw.wa.gov.au/" TargetMode="External"/><Relationship Id="rId33" Type="http://schemas.openxmlformats.org/officeDocument/2006/relationships/hyperlink" Target="https://doi.org/10.1371/journal.pone.0169748" TargetMode="External"/><Relationship Id="rId38" Type="http://schemas.openxmlformats.org/officeDocument/2006/relationships/hyperlink" Target="https://doi.org/10.5067/MODIS/MOD1132.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948F-012E-4267-B090-C031C4DF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23</Pages>
  <Words>2923</Words>
  <Characters>17132</Characters>
  <Application>Microsoft Office Word</Application>
  <DocSecurity>0</DocSecurity>
  <Lines>335</Lines>
  <Paragraphs>115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19940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540</cp:revision>
  <cp:lastPrinted>2019-11-19T13:01:00Z</cp:lastPrinted>
  <dcterms:created xsi:type="dcterms:W3CDTF">2019-12-03T09:32:00Z</dcterms:created>
  <dcterms:modified xsi:type="dcterms:W3CDTF">2020-07-23T15:29:00Z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