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0A625AC9"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0C033F2C" w:rsidR="009B7831" w:rsidRDefault="009017E2" w:rsidP="00E75ABE">
      <w:pPr>
        <w:pStyle w:val="BodyText"/>
        <w:spacing w:before="0"/>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 We 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 xml:space="preserve">). 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473C7F65" w:rsidR="007C308D" w:rsidRPr="005E331E" w:rsidRDefault="007C308D" w:rsidP="007E6AFA">
      <w:pPr>
        <w:spacing w:after="0"/>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69CA17CE" w14:textId="24FEC40E" w:rsidR="00E872A4" w:rsidRPr="00DC6E66" w:rsidRDefault="00E04E6C" w:rsidP="00746253">
      <w:pPr>
        <w:pStyle w:val="BodyText"/>
        <w:spacing w:before="0" w:after="0"/>
      </w:pPr>
      <w:r w:rsidRPr="00480550">
        <w:rPr>
          <w:b/>
          <w:bCs/>
        </w:rPr>
        <w:lastRenderedPageBreak/>
        <w:t>Table S</w:t>
      </w:r>
      <w:r w:rsidR="0001122D">
        <w:rPr>
          <w:b/>
          <w:bCs/>
        </w:rPr>
        <w:t>3</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 xml:space="preserve">† </w:t>
      </w:r>
      <w:r w:rsidR="00F76B7E">
        <w:rPr>
          <w:rFonts w:eastAsia="Times New Roman" w:hAnsi="Times New Roman" w:cs="Times New Roman"/>
          <w:color w:val="000000"/>
          <w:sz w:val="22"/>
          <w:szCs w:val="22"/>
          <w:lang w:val="en-ZA" w:eastAsia="en-ZA"/>
        </w:rPr>
        <w:t>(</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0.337</w:t>
      </w:r>
      <w:r w:rsidR="00F76B7E">
        <w:rPr>
          <w:rFonts w:eastAsia="Times New Roman" w:hAnsi="Times New Roman" w:cs="Times New Roman"/>
          <w:color w:val="000000"/>
          <w:sz w:val="22"/>
          <w:szCs w:val="22"/>
          <w:lang w:val="en-ZA" w:eastAsia="en-ZA"/>
        </w:rPr>
        <w:t xml:space="preserve">) </w:t>
      </w:r>
      <w:r w:rsidR="009C118D">
        <w:rPr>
          <w:rFonts w:eastAsia="Times New Roman" w:hAnsi="Times New Roman" w:cs="Times New Roman"/>
          <w:color w:val="000000"/>
          <w:sz w:val="22"/>
          <w:szCs w:val="22"/>
          <w:lang w:val="en-ZA" w:eastAsia="en-ZA"/>
        </w:rPr>
        <w:t>and ‡</w:t>
      </w:r>
      <w:r w:rsidR="00F76B7E">
        <w:rPr>
          <w:rFonts w:eastAsia="Times New Roman" w:hAnsi="Times New Roman" w:cs="Times New Roman"/>
          <w:color w:val="000000"/>
          <w:sz w:val="22"/>
          <w:szCs w:val="22"/>
          <w:lang w:val="en-ZA" w:eastAsia="en-ZA"/>
        </w:rPr>
        <w:t xml:space="preserve"> (</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0.466</w:t>
      </w:r>
      <w:r w:rsidR="009C118D">
        <w:rPr>
          <w:rFonts w:eastAsia="Times New Roman" w:hAnsi="Times New Roman" w:cs="Times New Roman"/>
          <w:color w:val="000000"/>
          <w:sz w:val="22"/>
          <w:szCs w:val="22"/>
          <w:lang w:val="en-ZA" w:eastAsia="en-ZA"/>
        </w:rPr>
        <w:t>)</w:t>
      </w:r>
      <w:r w:rsidR="00F76B7E">
        <w:rPr>
          <w:rFonts w:eastAsia="Times New Roman" w:hAnsi="Times New Roman" w:cs="Times New Roman"/>
          <w:color w:val="000000"/>
          <w:sz w:val="22"/>
          <w:szCs w:val="22"/>
          <w:lang w:val="en-ZA" w:eastAsia="en-ZA"/>
        </w:rPr>
        <w:t>)</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F0695B">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F0695B">
            <w:pPr>
              <w:spacing w:after="0"/>
              <w:jc w:val="center"/>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F0695B">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F0695B">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F0695B">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F0695B">
        <w:trPr>
          <w:trHeight w:val="285"/>
        </w:trPr>
        <w:tc>
          <w:tcPr>
            <w:tcW w:w="1080" w:type="dxa"/>
            <w:shd w:val="clear" w:color="auto" w:fill="auto"/>
            <w:noWrap/>
            <w:vAlign w:val="bottom"/>
            <w:hideMark/>
          </w:tcPr>
          <w:p w14:paraId="383D182C"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F0695B">
        <w:trPr>
          <w:trHeight w:val="285"/>
        </w:trPr>
        <w:tc>
          <w:tcPr>
            <w:tcW w:w="1080" w:type="dxa"/>
            <w:shd w:val="clear" w:color="auto" w:fill="auto"/>
            <w:noWrap/>
            <w:vAlign w:val="bottom"/>
          </w:tcPr>
          <w:p w14:paraId="298DED5B"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F0695B">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F0695B">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F0695B">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F0695B">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D47A722" w14:textId="18C93CE5" w:rsidR="00AF3EA1" w:rsidRDefault="00AF3EA1" w:rsidP="00E169D5">
      <w:pPr>
        <w:pStyle w:val="BodyText"/>
        <w:spacing w:before="0" w:after="0"/>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(log</w:t>
      </w:r>
      <w:r w:rsidR="00682557" w:rsidRPr="00EB2BE1">
        <w:rPr>
          <w:vertAlign w:val="subscript"/>
        </w:rPr>
        <w:t>10</w:t>
      </w:r>
      <w:r w:rsidR="00682557">
        <w:t>-</w:t>
      </w:r>
      <w:r w:rsidR="00682557" w:rsidRPr="00881AE1">
        <w:t>transformed</w:t>
      </w:r>
      <w:r w:rsidR="00682557">
        <w:t>) environmental heterogeneity (</w:t>
      </w:r>
      <w:r w:rsidR="00900453">
        <w:t>QDS-scale</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0B25D7">
        <w:rPr>
          <w:rFonts w:hAnsi="Times New Roman" w:cs="Times New Roman"/>
        </w:rPr>
        <w:t>–</w:t>
      </w:r>
      <w:r w:rsidR="00682557">
        <w:rPr>
          <w:rFonts w:hAnsi="Times New Roman" w:cs="Times New Roman"/>
        </w:rPr>
        <w:t>S</w:t>
      </w:r>
      <w:r w:rsidR="00682557" w:rsidRPr="005D28B7">
        <w:rPr>
          <w:rFonts w:hAnsi="Times New Roman" w:cs="Times New Roman"/>
        </w:rPr>
        <w:t>3</w:t>
      </w:r>
      <w:r w:rsidR="00682557">
        <w:rPr>
          <w:rFonts w:hAnsi="Times New Roman" w:cs="Times New Roman"/>
        </w:rPr>
        <w:t>.</w:t>
      </w:r>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17B22A1F" w:rsidR="00AF3EA1" w:rsidRDefault="00AF3EA1" w:rsidP="00323C08">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(log</w:t>
      </w:r>
      <w:r w:rsidR="00EA6516" w:rsidRPr="007C6590">
        <w:rPr>
          <w:vertAlign w:val="subscript"/>
        </w:rPr>
        <w:t>10</w:t>
      </w:r>
      <w:r w:rsidR="00EA6516" w:rsidRPr="007C6590">
        <w:t>-transformed) environmental heterogeneity (HDS-scale)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C05BD" w:rsidRPr="007C6590">
        <w:rPr>
          <w:rFonts w:hAnsi="Times New Roman" w:cs="Times New Roman"/>
        </w:rPr>
        <w:t>–</w:t>
      </w:r>
      <w:r w:rsidR="00EA6516" w:rsidRPr="007C6590">
        <w:rPr>
          <w:rFonts w:hAnsi="Times New Roman" w:cs="Times New Roman"/>
        </w:rPr>
        <w:t xml:space="preserve"> S3</w:t>
      </w:r>
      <w:r w:rsidR="0024075E" w:rsidRPr="007C6590">
        <w:rPr>
          <w:rFonts w:hAnsi="Times New Roman" w:cs="Times New Roman"/>
        </w:rPr>
        <w:t xml:space="preserve"> and Figure S1.</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7482FD76" w:rsidR="00272763" w:rsidRDefault="00AF3EA1" w:rsidP="00272763">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environmental heterogeneity (DS-scale)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7C05BD">
        <w:rPr>
          <w:rFonts w:hAnsi="Times New Roman" w:cs="Times New Roman"/>
        </w:rPr>
        <w:t>–</w:t>
      </w:r>
      <w:r w:rsidR="00EA6516">
        <w:rPr>
          <w:rFonts w:hAnsi="Times New Roman" w:cs="Times New Roman"/>
        </w:rPr>
        <w:t>S</w:t>
      </w:r>
      <w:r w:rsidR="00EA6516" w:rsidRPr="004206D0">
        <w:rPr>
          <w:rFonts w:hAnsi="Times New Roman" w:cs="Times New Roman"/>
        </w:rPr>
        <w:t>3</w:t>
      </w:r>
      <w:r w:rsidR="0024075E">
        <w:rPr>
          <w:rFonts w:hAnsi="Times New Roman" w:cs="Times New Roman"/>
        </w:rPr>
        <w:t xml:space="preserve"> and </w:t>
      </w:r>
      <w:r w:rsidR="0024075E" w:rsidRPr="007C6590">
        <w:rPr>
          <w:rFonts w:hAnsi="Times New Roman" w:cs="Times New Roman"/>
        </w:rPr>
        <w:t>Figur</w:t>
      </w:r>
      <w:r w:rsidR="007C05BD" w:rsidRPr="007C6590">
        <w:rPr>
          <w:rFonts w:hAnsi="Times New Roman" w:cs="Times New Roman"/>
        </w:rPr>
        <w:t xml:space="preserve">es </w:t>
      </w:r>
      <w:r w:rsidR="0024075E" w:rsidRPr="007C6590">
        <w:rPr>
          <w:rFonts w:hAnsi="Times New Roman" w:cs="Times New Roman"/>
        </w:rPr>
        <w:t>S1 and S2</w:t>
      </w:r>
      <w:r w:rsidR="00EA6516" w:rsidRPr="007C6590">
        <w:rPr>
          <w:rFonts w:hAnsi="Times New Roman" w:cs="Times New Roman"/>
        </w:rPr>
        <w:t>.</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1D03BECD" w:rsidR="00E55333" w:rsidRDefault="00C22AC7" w:rsidP="008C5774">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0E5F4B" w:rsidRPr="000E5F4B">
        <w:rPr>
          <w:rFonts w:hAnsi="Times New Roman" w:cs="Times New Roman"/>
        </w:rPr>
        <w:t xml:space="preserve"> </w:t>
      </w:r>
      <w:r w:rsidR="000E5F4B">
        <w:rPr>
          <w:rFonts w:hAnsi="Times New Roman" w:cs="Times New Roman"/>
        </w:rPr>
        <w:t>Abbreviations follow that in Tables S</w:t>
      </w:r>
      <w:r w:rsidR="000E5F4B" w:rsidRPr="0073022F">
        <w:rPr>
          <w:rFonts w:hAnsi="Times New Roman" w:cs="Times New Roman"/>
        </w:rPr>
        <w:t>1</w:t>
      </w:r>
      <w:r w:rsidR="00A45D68">
        <w:rPr>
          <w:rFonts w:hAnsi="Times New Roman" w:cs="Times New Roman"/>
        </w:rPr>
        <w:t>–</w:t>
      </w:r>
      <w:r w:rsidR="000E5F4B">
        <w:rPr>
          <w:rFonts w:hAnsi="Times New Roman" w:cs="Times New Roman"/>
        </w:rPr>
        <w:t>S</w:t>
      </w:r>
      <w:r w:rsidR="000E5F4B" w:rsidRPr="003D6C29">
        <w:rPr>
          <w:rFonts w:hAnsi="Times New Roman" w:cs="Times New Roman"/>
        </w:rPr>
        <w:t>3</w:t>
      </w:r>
      <w:r w:rsidR="000E5F4B">
        <w:rPr>
          <w:rFonts w:hAnsi="Times New Roman" w:cs="Times New Roman"/>
        </w:rPr>
        <w:t xml:space="preserve"> </w:t>
      </w:r>
      <w:r w:rsidR="000E5F4B" w:rsidRPr="007C6590">
        <w:rPr>
          <w:rFonts w:hAnsi="Times New Roman" w:cs="Times New Roman"/>
        </w:rPr>
        <w:t>and Figures S1</w:t>
      </w:r>
      <w:r w:rsidR="008F453D" w:rsidRPr="007C6590">
        <w:rPr>
          <w:rFonts w:hAnsi="Times New Roman" w:cs="Times New Roman"/>
        </w:rPr>
        <w:t>–</w:t>
      </w:r>
      <w:r w:rsidR="000E5F4B" w:rsidRPr="007C6590">
        <w:rPr>
          <w:rFonts w:hAnsi="Times New Roman" w:cs="Times New Roman"/>
        </w:rPr>
        <w:t>S3.</w:t>
      </w:r>
      <w:r w:rsidR="008C5774">
        <w:br w:type="page"/>
      </w:r>
    </w:p>
    <w:p w14:paraId="7D82B317" w14:textId="7230018F" w:rsidR="00CA39B1" w:rsidRDefault="00CA39B1" w:rsidP="00CA39B1">
      <w:r w:rsidRPr="00C072BC">
        <w:rPr>
          <w:b/>
        </w:rPr>
        <w:lastRenderedPageBreak/>
        <w:t xml:space="preserve">Figure </w:t>
      </w:r>
      <w:r>
        <w:rPr>
          <w:b/>
        </w:rPr>
        <w:t>S5 (next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r>
        <w:br w:type="page"/>
      </w:r>
    </w:p>
    <w:p w14:paraId="03AF1C23" w14:textId="77777777" w:rsidR="00262CEE" w:rsidRDefault="00262CEE" w:rsidP="00262CEE">
      <w:r>
        <w:rPr>
          <w:noProof/>
        </w:rPr>
        <w:lastRenderedPageBreak/>
        <w:drawing>
          <wp:inline distT="0" distB="0" distL="0" distR="0" wp14:anchorId="2B8B6584" wp14:editId="0DBB76D9">
            <wp:extent cx="6173999" cy="8820000"/>
            <wp:effectExtent l="0" t="0" r="0" b="6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br w:type="page"/>
      </w:r>
    </w:p>
    <w:p w14:paraId="3243DA71" w14:textId="52CBD131" w:rsidR="00B53AE2" w:rsidRDefault="00B53AE2" w:rsidP="00B53AE2">
      <w:r w:rsidRPr="003F24C4">
        <w:rPr>
          <w:b/>
          <w:bCs/>
        </w:rPr>
        <w:lastRenderedPageBreak/>
        <w:t xml:space="preserve">Figure </w:t>
      </w:r>
      <w:r>
        <w:rPr>
          <w:b/>
          <w:bCs/>
        </w:rPr>
        <w:t>S6 (next page)</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No hotspots were found for the SWAFR at the DS-scale. Map projection used: WGS84.</w:t>
      </w:r>
      <w:r>
        <w:br w:type="page"/>
      </w:r>
    </w:p>
    <w:p w14:paraId="485DEB2C" w14:textId="77777777" w:rsidR="00262CEE" w:rsidRDefault="00262CEE" w:rsidP="00262CEE">
      <w:pPr>
        <w:rPr>
          <w:b/>
          <w:bCs/>
        </w:rPr>
      </w:pPr>
      <w:r>
        <w:rPr>
          <w:b/>
          <w:bCs/>
          <w:noProof/>
        </w:rPr>
        <w:lastRenderedPageBreak/>
        <w:drawing>
          <wp:inline distT="0" distB="0" distL="0" distR="0" wp14:anchorId="54249EF5" wp14:editId="16C690B8">
            <wp:extent cx="6173999" cy="8820000"/>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Pr>
          <w:b/>
          <w:bCs/>
        </w:rPr>
        <w:br w:type="page"/>
      </w:r>
    </w:p>
    <w:p w14:paraId="32691877" w14:textId="77777777" w:rsidR="00262CEE" w:rsidRDefault="00262CEE" w:rsidP="00262CEE">
      <w:r>
        <w:rPr>
          <w:noProof/>
        </w:rPr>
        <w:lastRenderedPageBreak/>
        <w:drawing>
          <wp:inline distT="0" distB="0" distL="0" distR="0" wp14:anchorId="139F2F6B" wp14:editId="1FEB7360">
            <wp:extent cx="6840000" cy="2565000"/>
            <wp:effectExtent l="0" t="0" r="0" b="698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refit-PC1-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2565000"/>
                    </a:xfrm>
                    <a:prstGeom prst="rect">
                      <a:avLst/>
                    </a:prstGeom>
                  </pic:spPr>
                </pic:pic>
              </a:graphicData>
            </a:graphic>
          </wp:inline>
        </w:drawing>
      </w:r>
    </w:p>
    <w:p w14:paraId="04DC546B" w14:textId="1FB70EE5" w:rsidR="00262CEE" w:rsidRDefault="00262CEE" w:rsidP="00262CEE">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w:t>
      </w:r>
      <w:r w:rsidR="00C606F9" w:rsidRPr="00C606F9">
        <w:rPr>
          <w:vertAlign w:val="subscript"/>
        </w:rPr>
        <w:t>DS</w:t>
      </w:r>
      <w:r w:rsidR="00C606F9" w:rsidRPr="00C606F9">
        <w:t xml:space="preserve"> (</w:t>
      </w:r>
      <w:r w:rsidR="00C606F9" w:rsidRPr="00C606F9">
        <w:t>b</w:t>
      </w:r>
      <w:r w:rsidR="00C606F9" w:rsidRPr="00C606F9">
        <w:t>)</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r>
        <w:br w:type="page"/>
      </w:r>
    </w:p>
    <w:p w14:paraId="6F8AC7C1" w14:textId="77777777" w:rsidR="00262CEE" w:rsidRPr="00A946F1" w:rsidRDefault="00262CEE" w:rsidP="00262CEE">
      <w:pPr>
        <w:rPr>
          <w:b/>
        </w:rPr>
      </w:pPr>
      <w:r>
        <w:rPr>
          <w:noProof/>
        </w:rPr>
        <w:lastRenderedPageBreak/>
        <w:drawing>
          <wp:inline distT="0" distB="0" distL="0" distR="0" wp14:anchorId="31AD8DA9" wp14:editId="6A205945">
            <wp:extent cx="6840000" cy="390888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refit-multivariate-models_manual-legen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000" cy="3908883"/>
                    </a:xfrm>
                    <a:prstGeom prst="rect">
                      <a:avLst/>
                    </a:prstGeom>
                  </pic:spPr>
                </pic:pic>
              </a:graphicData>
            </a:graphic>
          </wp:inline>
        </w:drawing>
      </w:r>
    </w:p>
    <w:p w14:paraId="3A1E263C" w14:textId="10E692F6" w:rsidR="00262CEE" w:rsidRDefault="00262CEE" w:rsidP="00262CEE">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-transformed and re-scaled) across GCFR and SWAFR. 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r>
        <w:br w:type="page"/>
      </w:r>
    </w:p>
    <w:p w14:paraId="47552A7C" w14:textId="6D8AA431" w:rsidR="006E0760" w:rsidRDefault="006E0760" w:rsidP="006E0760">
      <w:r w:rsidRPr="00890018">
        <w:rPr>
          <w:b/>
        </w:rPr>
        <w:lastRenderedPageBreak/>
        <w:t xml:space="preserve">Figure </w:t>
      </w:r>
      <w:r>
        <w:rPr>
          <w:b/>
        </w:rPr>
        <w:t>S9 (next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r>
        <w:br w:type="page"/>
      </w:r>
    </w:p>
    <w:p w14:paraId="355381F4" w14:textId="484A7D0F" w:rsidR="003E36B7" w:rsidRDefault="00E55333" w:rsidP="00262CEE">
      <w:r>
        <w:rPr>
          <w:noProof/>
        </w:rPr>
        <w:lastRenderedPageBreak/>
        <w:drawing>
          <wp:inline distT="0" distB="0" distL="0" distR="0" wp14:anchorId="749B25D5" wp14:editId="3253CCE3">
            <wp:extent cx="5145000" cy="881999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3E36B7">
        <w:br w:type="page"/>
      </w:r>
    </w:p>
    <w:p w14:paraId="4B3AA353" w14:textId="19C6FA37" w:rsidR="00AC2C8E" w:rsidRDefault="00AC2C8E" w:rsidP="00AC2C8E">
      <w:r w:rsidRPr="00890018">
        <w:rPr>
          <w:b/>
        </w:rPr>
        <w:lastRenderedPageBreak/>
        <w:t xml:space="preserve">Figure </w:t>
      </w:r>
      <w:r>
        <w:rPr>
          <w:b/>
        </w:rPr>
        <w:t>S10 (next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r>
        <w:br w:type="page"/>
      </w:r>
    </w:p>
    <w:p w14:paraId="311102D3" w14:textId="0AF5B61E" w:rsidR="003E36B7" w:rsidRDefault="00E55333">
      <w:r>
        <w:rPr>
          <w:noProof/>
        </w:rPr>
        <w:lastRenderedPageBreak/>
        <w:drawing>
          <wp:inline distT="0" distB="0" distL="0" distR="0" wp14:anchorId="2F7EE2EF" wp14:editId="50182B40">
            <wp:extent cx="5145000"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2"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3"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4" w:history="1">
        <w:r w:rsidR="00A7495E" w:rsidRPr="006F7EB8">
          <w:rPr>
            <w:rStyle w:val="Hyperlink"/>
          </w:rPr>
          <w:t>https://doi.org/</w:t>
        </w:r>
        <w:r w:rsidR="00A7495E" w:rsidRPr="006F7EB8">
          <w:rPr>
            <w:rStyle w:val="Hyperlink"/>
          </w:rPr>
          <w:t>10.1038/sdata.2015.66</w:t>
        </w:r>
      </w:hyperlink>
    </w:p>
    <w:p w14:paraId="590BA579" w14:textId="77777777" w:rsidR="00B47B31" w:rsidRDefault="00BA08E4" w:rsidP="00B47B31">
      <w:pPr>
        <w:pStyle w:val="NormalWeb"/>
        <w:ind w:left="480" w:hanging="480"/>
        <w:rPr>
          <w:rStyle w:val="Hyperlink"/>
        </w:rPr>
      </w:pPr>
      <w:r w:rsidRPr="00BA08E4">
        <w:t>GBIF.org (24 July 2017</w:t>
      </w:r>
      <w:r>
        <w:t>a</w:t>
      </w:r>
      <w:r w:rsidRPr="00BA08E4">
        <w:t>) GBIF Occurrence Download</w:t>
      </w:r>
      <w:r>
        <w:t xml:space="preserve"> </w:t>
      </w:r>
      <w:hyperlink r:id="rId25" w:history="1">
        <w:r w:rsidRPr="000F1325">
          <w:rPr>
            <w:rStyle w:val="Hyperlink"/>
          </w:rPr>
          <w:t>https://doi.org/10.15468/dl.n6u6n0</w:t>
        </w:r>
      </w:hyperlink>
    </w:p>
    <w:p w14:paraId="1A9C2485" w14:textId="77777777" w:rsidR="00B47B31" w:rsidRDefault="00BA08E4" w:rsidP="00B47B31">
      <w:pPr>
        <w:pStyle w:val="NormalWeb"/>
        <w:ind w:left="480" w:hanging="480"/>
        <w:rPr>
          <w:rStyle w:val="Hyperlink"/>
        </w:rPr>
      </w:pPr>
      <w:r w:rsidRPr="00BA08E4">
        <w:t>GBIF.org (24 July 2017</w:t>
      </w:r>
      <w:r>
        <w:t>b</w:t>
      </w:r>
      <w:r w:rsidRPr="00BA08E4">
        <w:t xml:space="preserve">) GBIF Occurrence Download </w:t>
      </w:r>
      <w:hyperlink r:id="rId26"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27" w:history="1">
        <w:r w:rsidRPr="006F7EB8">
          <w:rPr>
            <w:rStyle w:val="Hyperlink"/>
          </w:rPr>
          <w:t>http://resolver.globalnames.org/</w:t>
        </w:r>
      </w:hyperlink>
    </w:p>
    <w:p w14:paraId="73137B14" w14:textId="2161233C" w:rsidR="00B47B31" w:rsidRDefault="00834ED9"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28" w:history="1">
        <w:r w:rsidR="00E43553" w:rsidRPr="006F7EB8">
          <w:rPr>
            <w:rStyle w:val="Hyperlink"/>
          </w:rPr>
          <w:t>https://doi.org/10.1371/journal.pone.0169748</w:t>
        </w:r>
      </w:hyperlink>
      <w:bookmarkStart w:id="1" w:name="_GoBack"/>
      <w:bookmarkEnd w:id="1"/>
    </w:p>
    <w:p w14:paraId="431FB230" w14:textId="55A89AF0" w:rsidR="00D30B59" w:rsidRDefault="00D30B59" w:rsidP="00B47B31">
      <w:pPr>
        <w:pStyle w:val="NormalWeb"/>
        <w:ind w:left="480" w:hanging="480"/>
      </w:pPr>
      <w:r w:rsidRPr="00D30B59">
        <w:t>Integrated Taxonomic Information System (ITIS)</w:t>
      </w:r>
      <w:r>
        <w:t xml:space="preserve">. </w:t>
      </w:r>
      <w:hyperlink r:id="rId29" w:history="1">
        <w:r w:rsidRPr="006F7EB8">
          <w:rPr>
            <w:rStyle w:val="Hyperlink"/>
          </w:rPr>
          <w:t>http://www.itis.gov</w:t>
        </w:r>
      </w:hyperlink>
    </w:p>
    <w:p w14:paraId="2A2F1691" w14:textId="77777777" w:rsidR="00B47B31" w:rsidRDefault="0054528F" w:rsidP="00B47B31">
      <w:pPr>
        <w:pStyle w:val="NormalWeb"/>
        <w:ind w:left="480" w:hanging="480"/>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l3 global 0.05Deg cmg</w:t>
      </w:r>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6326CEF9" w:rsidR="00834ED9" w:rsidRDefault="0054528F" w:rsidP="00B47B31">
      <w:pPr>
        <w:pStyle w:val="NormalWeb"/>
        <w:ind w:left="480" w:hanging="480"/>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l3 global 0.05Deg cmg</w:t>
      </w:r>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0" w:history="1">
        <w:r>
          <w:rPr>
            <w:rStyle w:val="Hyperlink"/>
          </w:rPr>
          <w:t>http://tnrs.iplantcollaborative.org/</w:t>
        </w:r>
      </w:hyperlink>
    </w:p>
    <w:sectPr w:rsidR="0061013D" w:rsidRPr="0061013D" w:rsidSect="00B3633C">
      <w:footerReference w:type="default" r:id="rId31"/>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3F6CA" w14:textId="77777777" w:rsidR="009845F9" w:rsidRDefault="009845F9">
      <w:pPr>
        <w:spacing w:after="0"/>
      </w:pPr>
      <w:r>
        <w:separator/>
      </w:r>
    </w:p>
  </w:endnote>
  <w:endnote w:type="continuationSeparator" w:id="0">
    <w:p w14:paraId="21DBE28A" w14:textId="77777777" w:rsidR="009845F9" w:rsidRDefault="009845F9">
      <w:pPr>
        <w:spacing w:after="0"/>
      </w:pPr>
      <w:r>
        <w:continuationSeparator/>
      </w:r>
    </w:p>
  </w:endnote>
  <w:endnote w:type="continuationNotice" w:id="1">
    <w:p w14:paraId="751D3659" w14:textId="77777777" w:rsidR="009845F9" w:rsidRDefault="009845F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EAF9C" w14:textId="77777777" w:rsidR="009845F9" w:rsidRDefault="009845F9">
      <w:r>
        <w:separator/>
      </w:r>
    </w:p>
  </w:footnote>
  <w:footnote w:type="continuationSeparator" w:id="0">
    <w:p w14:paraId="4F39E60E" w14:textId="77777777" w:rsidR="009845F9" w:rsidRDefault="009845F9">
      <w:r>
        <w:continuationSeparator/>
      </w:r>
    </w:p>
  </w:footnote>
  <w:footnote w:type="continuationNotice" w:id="1">
    <w:p w14:paraId="33D6A0E5" w14:textId="77777777" w:rsidR="009845F9" w:rsidRDefault="009845F9">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753D"/>
    <w:rsid w:val="0036760E"/>
    <w:rsid w:val="00367CC6"/>
    <w:rsid w:val="00367F8D"/>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37B6"/>
    <w:rsid w:val="00563A70"/>
    <w:rsid w:val="00565039"/>
    <w:rsid w:val="0056568D"/>
    <w:rsid w:val="00565EFE"/>
    <w:rsid w:val="00565F05"/>
    <w:rsid w:val="0056633D"/>
    <w:rsid w:val="00570BEE"/>
    <w:rsid w:val="005711DB"/>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2030"/>
    <w:rsid w:val="00782E1B"/>
    <w:rsid w:val="007836C1"/>
    <w:rsid w:val="00784439"/>
    <w:rsid w:val="00784D58"/>
    <w:rsid w:val="00785438"/>
    <w:rsid w:val="00786594"/>
    <w:rsid w:val="0079178A"/>
    <w:rsid w:val="00792C98"/>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400E"/>
    <w:rsid w:val="008F453D"/>
    <w:rsid w:val="008F4F5B"/>
    <w:rsid w:val="008F6104"/>
    <w:rsid w:val="008F6F3A"/>
    <w:rsid w:val="008F78EE"/>
    <w:rsid w:val="008F7ABA"/>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22E4"/>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45F9"/>
    <w:rsid w:val="00985FA7"/>
    <w:rsid w:val="00986266"/>
    <w:rsid w:val="00986D63"/>
    <w:rsid w:val="00987906"/>
    <w:rsid w:val="0099040F"/>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doi.org/10.15468/dl.n6u6n0"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itis.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38/sdata.2015.66"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29/2005RG000183" TargetMode="External"/><Relationship Id="rId28" Type="http://schemas.openxmlformats.org/officeDocument/2006/relationships/hyperlink" Target="https://doi.org/10.1371/journal.pone.0169748" TargetMode="Externa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github.com/ropensci/taxize" TargetMode="External"/><Relationship Id="rId27" Type="http://schemas.openxmlformats.org/officeDocument/2006/relationships/hyperlink" Target="http://resolver.globalnames.org/" TargetMode="External"/><Relationship Id="rId30" Type="http://schemas.openxmlformats.org/officeDocument/2006/relationships/hyperlink" Target="http://tnrs.iplantcollaborative.org/" TargetMode="External"/><Relationship Id="rId8" Type="http://schemas.openxmlformats.org/officeDocument/2006/relationships/hyperlink" Target="http://www.iucngisd.org/gi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4FBFF-C5CA-964B-AAE5-DE1AE17A1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18</Pages>
  <Words>2210</Words>
  <Characters>12601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14782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418</cp:revision>
  <cp:lastPrinted>2019-11-19T13:01:00Z</cp:lastPrinted>
  <dcterms:created xsi:type="dcterms:W3CDTF">2019-12-03T09:32:00Z</dcterms:created>
  <dcterms:modified xsi:type="dcterms:W3CDTF">2020-01-13T10:23:00Z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