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xml:space="preserve">), the </w:t>
      </w:r>
      <w:proofErr w:type="gramStart"/>
      <w:r>
        <w:t>geographically-random</w:t>
      </w:r>
      <w:proofErr w:type="gramEnd"/>
      <w:r>
        <w:t xml:space="preserve">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w:t>
      </w:r>
      <w:proofErr w:type="spellStart"/>
      <w:r w:rsidRPr="00E75ABE">
        <w:t>Tropicos</w:t>
      </w:r>
      <w:proofErr w:type="spellEnd"/>
      <w:r w:rsidRPr="00E75ABE">
        <w:t xml:space="preserve"> and Integrated Taxonomic Information System (ITI</w:t>
      </w:r>
      <w:r w:rsidR="007E4400" w:rsidRPr="00E75ABE">
        <w:t>S</w:t>
      </w:r>
      <w:r w:rsidRPr="00E75ABE">
        <w:t>) for known synonyms, again using “</w:t>
      </w:r>
      <w:proofErr w:type="spellStart"/>
      <w:r w:rsidRPr="00E75ABE">
        <w:t>taxize</w:t>
      </w:r>
      <w:proofErr w:type="spellEnd"/>
      <w:r w:rsidRPr="00E75ABE">
        <w:t>”</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w:t>
            </w:r>
            <w:proofErr w:type="gramStart"/>
            <w:r w:rsidRPr="00537B9C">
              <w:rPr>
                <w:sz w:val="22"/>
              </w:rPr>
              <w:t>a,b</w:t>
            </w:r>
            <w:proofErr w:type="gramEnd"/>
            <w:r w:rsidRPr="00537B9C">
              <w:rPr>
                <w:sz w:val="22"/>
              </w:rPr>
              <w:t>)</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w:t>
            </w:r>
            <w:proofErr w:type="gramStart"/>
            <w:r w:rsidRPr="00537B9C">
              <w:rPr>
                <w:sz w:val="22"/>
              </w:rPr>
              <w:t>a</w:t>
            </w:r>
            <w:r w:rsidR="002F5DB0" w:rsidRPr="00537B9C">
              <w:rPr>
                <w:sz w:val="22"/>
              </w:rPr>
              <w:t>,</w:t>
            </w:r>
            <w:r w:rsidR="00694A54" w:rsidRPr="00537B9C">
              <w:rPr>
                <w:sz w:val="22"/>
              </w:rPr>
              <w:t>b</w:t>
            </w:r>
            <w:proofErr w:type="gramEnd"/>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proofErr w:type="spellStart"/>
            <w:r w:rsidRPr="00537B9C">
              <w:rPr>
                <w:sz w:val="22"/>
              </w:rPr>
              <w:t>Hengl</w:t>
            </w:r>
            <w:proofErr w:type="spellEnd"/>
            <w:r w:rsidRPr="00537B9C">
              <w:rPr>
                <w:sz w:val="22"/>
              </w:rPr>
              <w:t xml:space="preserve">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Pr="00595E8B" w:rsidRDefault="00E04E6C" w:rsidP="00705DE6">
      <w:pPr>
        <w:pStyle w:val="BodyText"/>
        <w:spacing w:before="0"/>
        <w:rPr>
          <w:rFonts w:eastAsia="Times New Roman" w:hAnsi="Times New Roman" w:cs="Times New Roman"/>
          <w:sz w:val="22"/>
          <w:szCs w:val="22"/>
          <w:lang w:val="en-ZA" w:eastAsia="en-ZA"/>
        </w:rPr>
      </w:pPr>
      <w:r w:rsidRPr="00595E8B">
        <w:rPr>
          <w:b/>
          <w:bCs/>
        </w:rPr>
        <w:lastRenderedPageBreak/>
        <w:t>Table S</w:t>
      </w:r>
      <w:r w:rsidR="0001122D" w:rsidRPr="00595E8B">
        <w:rPr>
          <w:b/>
          <w:bCs/>
        </w:rPr>
        <w:t>3</w:t>
      </w:r>
      <w:r w:rsidRPr="00595E8B">
        <w:rPr>
          <w:b/>
          <w:bCs/>
        </w:rPr>
        <w:t>:</w:t>
      </w:r>
      <w:r w:rsidRPr="00595E8B">
        <w:t xml:space="preserve"> </w:t>
      </w:r>
      <w:r w:rsidR="00256F0B" w:rsidRPr="00595E8B">
        <w:t>C</w:t>
      </w:r>
      <w:r w:rsidRPr="00595E8B">
        <w:t>ompari</w:t>
      </w:r>
      <w:r w:rsidR="00256F0B" w:rsidRPr="00595E8B">
        <w:t>sons</w:t>
      </w:r>
      <w:r w:rsidRPr="00595E8B">
        <w:t xml:space="preserve"> </w:t>
      </w:r>
      <w:r w:rsidR="00256F0B" w:rsidRPr="00595E8B">
        <w:t>of the standard deviations (</w:t>
      </w:r>
      <w:r w:rsidR="00256F0B" w:rsidRPr="00595E8B">
        <w:rPr>
          <w:i/>
        </w:rPr>
        <w:t>SD</w:t>
      </w:r>
      <w:r w:rsidR="00256F0B" w:rsidRPr="00595E8B">
        <w:t>)</w:t>
      </w:r>
      <w:r w:rsidRPr="00595E8B">
        <w:t xml:space="preserve"> of residuals from PC1-</w:t>
      </w:r>
      <w:r w:rsidR="00364BDA" w:rsidRPr="00595E8B">
        <w:t>based</w:t>
      </w:r>
      <w:r w:rsidRPr="00595E8B">
        <w:t xml:space="preserve"> and </w:t>
      </w:r>
      <w:r w:rsidR="00364BDA" w:rsidRPr="00595E8B">
        <w:t xml:space="preserve">multivariate (MV) </w:t>
      </w:r>
      <w:r w:rsidRPr="00595E8B">
        <w:t xml:space="preserve">models </w:t>
      </w:r>
      <w:r w:rsidR="00256F0B" w:rsidRPr="00595E8B">
        <w:t>using datasets both including</w:t>
      </w:r>
      <w:r w:rsidRPr="00595E8B">
        <w:t xml:space="preserve"> </w:t>
      </w:r>
      <w:r w:rsidR="00256F0B" w:rsidRPr="00595E8B">
        <w:t xml:space="preserve">excluding vascular plant species </w:t>
      </w:r>
      <w:r w:rsidRPr="00595E8B">
        <w:t>richness hotspots</w:t>
      </w:r>
      <w:r w:rsidR="00256F0B" w:rsidRPr="00595E8B">
        <w:t xml:space="preserve"> across the GCFR and SWAFR, across the three spatial scales</w:t>
      </w:r>
      <w:r w:rsidRPr="00595E8B">
        <w:t>.</w:t>
      </w:r>
      <w:r w:rsidR="00256F0B" w:rsidRPr="00595E8B">
        <w:t xml:space="preserve"> Hotspots excluded fr</w:t>
      </w:r>
      <w:r w:rsidR="00E0628C" w:rsidRPr="00595E8B">
        <w:t>om</w:t>
      </w:r>
      <w:r w:rsidR="00256F0B" w:rsidRPr="00595E8B">
        <w:t xml:space="preserve"> </w:t>
      </w:r>
      <w:r w:rsidR="00E0628C" w:rsidRPr="00595E8B">
        <w:t>each</w:t>
      </w:r>
      <w:r w:rsidR="00256F0B" w:rsidRPr="00595E8B">
        <w:t xml:space="preserve"> model </w:t>
      </w:r>
      <w:r w:rsidR="00E0628C" w:rsidRPr="00595E8B">
        <w:t>were those with residuals greater than two standard deviations from the mean for that model.</w:t>
      </w:r>
      <w:r w:rsidR="00DC6E66" w:rsidRPr="00595E8B">
        <w:t xml:space="preserve"> </w:t>
      </w:r>
      <w:r w:rsidR="0032401D" w:rsidRPr="00595E8B">
        <w:t>All pairs of</w:t>
      </w:r>
      <w:r w:rsidR="0032401D" w:rsidRPr="00595E8B">
        <w:rPr>
          <w:lang w:eastAsia="en-ZA"/>
        </w:rPr>
        <w:t xml:space="preserve"> GCFR and SWAFR </w:t>
      </w:r>
      <w:r w:rsidR="0032401D" w:rsidRPr="00595E8B">
        <w:rPr>
          <w:i/>
          <w:iCs/>
          <w:lang w:eastAsia="en-ZA"/>
        </w:rPr>
        <w:t>SD</w:t>
      </w:r>
      <w:r w:rsidR="0032401D" w:rsidRPr="00595E8B">
        <w:rPr>
          <w:lang w:eastAsia="en-ZA"/>
        </w:rPr>
        <w:t>-values differed significantly (</w:t>
      </w:r>
      <w:r w:rsidR="0032401D" w:rsidRPr="00595E8B">
        <w:rPr>
          <w:i/>
          <w:iCs/>
          <w:lang w:eastAsia="en-ZA"/>
        </w:rPr>
        <w:t>P</w:t>
      </w:r>
      <w:r w:rsidR="0032401D" w:rsidRPr="00595E8B">
        <w:rPr>
          <w:lang w:eastAsia="en-ZA"/>
        </w:rPr>
        <w:t xml:space="preserve"> &lt; 0.01; two-sided </w:t>
      </w:r>
      <w:r w:rsidR="0032401D" w:rsidRPr="00595E8B">
        <w:rPr>
          <w:i/>
          <w:iCs/>
          <w:lang w:eastAsia="en-ZA"/>
        </w:rPr>
        <w:t>F</w:t>
      </w:r>
      <w:r w:rsidR="0032401D" w:rsidRPr="00595E8B">
        <w:rPr>
          <w:lang w:eastAsia="en-ZA"/>
        </w:rPr>
        <w:t>-tests)</w:t>
      </w:r>
      <w:r w:rsidR="0032401D" w:rsidRPr="00595E8B">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595E8B" w:rsidRPr="00595E8B"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single" w:sz="4" w:space="0" w:color="auto"/>
              <w:bottom w:val="nil"/>
            </w:tcBorders>
            <w:vAlign w:val="bottom"/>
          </w:tcPr>
          <w:p w14:paraId="272EEF4F" w14:textId="77777777" w:rsidR="0032401D" w:rsidRPr="00595E8B" w:rsidRDefault="0032401D" w:rsidP="0032401D">
            <w:pPr>
              <w:spacing w:after="0"/>
              <w:jc w:val="center"/>
              <w:rPr>
                <w:rFonts w:eastAsia="Times New Roman" w:hAnsi="Times New Roman" w:cs="Times New Roman"/>
                <w:i/>
                <w:lang w:eastAsia="en-ZA"/>
              </w:rPr>
            </w:pPr>
          </w:p>
        </w:tc>
        <w:tc>
          <w:tcPr>
            <w:tcW w:w="4530" w:type="dxa"/>
            <w:gridSpan w:val="5"/>
            <w:tcBorders>
              <w:top w:val="single" w:sz="4" w:space="0" w:color="auto"/>
              <w:bottom w:val="single" w:sz="4" w:space="0" w:color="auto"/>
            </w:tcBorders>
            <w:vAlign w:val="bottom"/>
          </w:tcPr>
          <w:p w14:paraId="4E9F626B"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i/>
                <w:lang w:eastAsia="en-ZA"/>
              </w:rPr>
              <w:t>SD</w:t>
            </w:r>
            <w:r w:rsidRPr="00595E8B">
              <w:rPr>
                <w:rFonts w:eastAsia="Times New Roman" w:hAnsi="Times New Roman" w:cs="Times New Roman"/>
                <w:lang w:eastAsia="en-ZA"/>
              </w:rPr>
              <w:t xml:space="preserve"> of model residuals</w:t>
            </w:r>
          </w:p>
        </w:tc>
      </w:tr>
      <w:tr w:rsidR="00595E8B" w:rsidRPr="00595E8B"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nil"/>
              <w:bottom w:val="nil"/>
            </w:tcBorders>
            <w:shd w:val="clear" w:color="auto" w:fill="auto"/>
            <w:noWrap/>
            <w:vAlign w:val="bottom"/>
          </w:tcPr>
          <w:p w14:paraId="2F0A23A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nil"/>
              <w:bottom w:val="nil"/>
            </w:tcBorders>
            <w:vAlign w:val="bottom"/>
          </w:tcPr>
          <w:p w14:paraId="33075F44" w14:textId="77777777" w:rsidR="0032401D" w:rsidRPr="00595E8B" w:rsidRDefault="0032401D" w:rsidP="0032401D">
            <w:pPr>
              <w:spacing w:after="0"/>
              <w:jc w:val="center"/>
              <w:rPr>
                <w:rFonts w:eastAsia="Times New Roman" w:hAnsi="Times New Roman" w:cs="Times New Roman"/>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Including hotspots</w:t>
            </w:r>
          </w:p>
        </w:tc>
        <w:tc>
          <w:tcPr>
            <w:tcW w:w="236" w:type="dxa"/>
            <w:tcBorders>
              <w:top w:val="nil"/>
              <w:bottom w:val="nil"/>
            </w:tcBorders>
            <w:vAlign w:val="bottom"/>
          </w:tcPr>
          <w:p w14:paraId="41253C74" w14:textId="77777777" w:rsidR="0032401D" w:rsidRPr="00595E8B" w:rsidRDefault="0032401D" w:rsidP="0032401D">
            <w:pPr>
              <w:spacing w:after="0"/>
              <w:jc w:val="center"/>
              <w:rPr>
                <w:rFonts w:eastAsia="Times New Roman" w:hAnsi="Times New Roman" w:cs="Times New Roman"/>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Excluding hotspots</w:t>
            </w:r>
          </w:p>
        </w:tc>
      </w:tr>
      <w:tr w:rsidR="00595E8B" w:rsidRPr="00595E8B"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Region</w:t>
            </w:r>
          </w:p>
        </w:tc>
        <w:tc>
          <w:tcPr>
            <w:tcW w:w="236" w:type="dxa"/>
            <w:tcBorders>
              <w:top w:val="nil"/>
              <w:bottom w:val="nil"/>
            </w:tcBorders>
            <w:vAlign w:val="bottom"/>
          </w:tcPr>
          <w:p w14:paraId="567A8E10" w14:textId="77777777" w:rsidR="0032401D" w:rsidRPr="00595E8B" w:rsidRDefault="0032401D" w:rsidP="0032401D">
            <w:pPr>
              <w:spacing w:after="0"/>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c>
          <w:tcPr>
            <w:tcW w:w="236" w:type="dxa"/>
            <w:tcBorders>
              <w:top w:val="nil"/>
              <w:bottom w:val="nil"/>
            </w:tcBorders>
            <w:vAlign w:val="bottom"/>
          </w:tcPr>
          <w:p w14:paraId="2C14BF88" w14:textId="77777777" w:rsidR="0032401D" w:rsidRPr="00595E8B" w:rsidRDefault="0032401D" w:rsidP="0032401D">
            <w:pPr>
              <w:spacing w:after="0"/>
              <w:jc w:val="center"/>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r>
      <w:tr w:rsidR="00595E8B" w:rsidRPr="00595E8B" w14:paraId="2740A297" w14:textId="77777777" w:rsidTr="00117924">
        <w:trPr>
          <w:trHeight w:val="285"/>
        </w:trPr>
        <w:tc>
          <w:tcPr>
            <w:tcW w:w="1077" w:type="dxa"/>
            <w:shd w:val="clear" w:color="auto" w:fill="auto"/>
            <w:noWrap/>
            <w:vAlign w:val="bottom"/>
            <w:hideMark/>
          </w:tcPr>
          <w:p w14:paraId="12E8272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(a) QDS</w:t>
            </w:r>
          </w:p>
        </w:tc>
        <w:tc>
          <w:tcPr>
            <w:tcW w:w="1082" w:type="dxa"/>
            <w:shd w:val="clear" w:color="auto" w:fill="auto"/>
            <w:noWrap/>
            <w:vAlign w:val="bottom"/>
            <w:hideMark/>
          </w:tcPr>
          <w:p w14:paraId="6F333E5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vAlign w:val="bottom"/>
          </w:tcPr>
          <w:p w14:paraId="1BEB5F68"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2FB7DD7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343.46</w:t>
            </w:r>
          </w:p>
        </w:tc>
        <w:tc>
          <w:tcPr>
            <w:tcW w:w="1118" w:type="dxa"/>
            <w:shd w:val="clear" w:color="auto" w:fill="auto"/>
            <w:noWrap/>
            <w:vAlign w:val="bottom"/>
            <w:hideMark/>
          </w:tcPr>
          <w:p w14:paraId="3BB8F3E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312.89</w:t>
            </w:r>
          </w:p>
        </w:tc>
        <w:tc>
          <w:tcPr>
            <w:tcW w:w="236" w:type="dxa"/>
            <w:vAlign w:val="bottom"/>
          </w:tcPr>
          <w:p w14:paraId="4171C98C"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454DD78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234.93</w:t>
            </w:r>
          </w:p>
        </w:tc>
        <w:tc>
          <w:tcPr>
            <w:tcW w:w="1188" w:type="dxa"/>
            <w:shd w:val="clear" w:color="auto" w:fill="auto"/>
            <w:noWrap/>
            <w:vAlign w:val="bottom"/>
            <w:hideMark/>
          </w:tcPr>
          <w:p w14:paraId="56521D7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217.56</w:t>
            </w:r>
          </w:p>
        </w:tc>
      </w:tr>
      <w:tr w:rsidR="00595E8B" w:rsidRPr="00595E8B" w14:paraId="0061276D" w14:textId="77777777" w:rsidTr="00117924">
        <w:trPr>
          <w:trHeight w:val="285"/>
        </w:trPr>
        <w:tc>
          <w:tcPr>
            <w:tcW w:w="1077" w:type="dxa"/>
            <w:shd w:val="clear" w:color="auto" w:fill="auto"/>
            <w:noWrap/>
            <w:vAlign w:val="bottom"/>
          </w:tcPr>
          <w:p w14:paraId="75AA3E3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1F21A923"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69625F95"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7DF9B5F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245.77</w:t>
            </w:r>
          </w:p>
        </w:tc>
        <w:tc>
          <w:tcPr>
            <w:tcW w:w="1118" w:type="dxa"/>
            <w:shd w:val="clear" w:color="auto" w:fill="auto"/>
            <w:noWrap/>
            <w:vAlign w:val="bottom"/>
            <w:hideMark/>
          </w:tcPr>
          <w:p w14:paraId="6FC7831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223.05</w:t>
            </w:r>
          </w:p>
        </w:tc>
        <w:tc>
          <w:tcPr>
            <w:tcW w:w="236" w:type="dxa"/>
            <w:vAlign w:val="bottom"/>
          </w:tcPr>
          <w:p w14:paraId="53FD4E57"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37B34DF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203.91</w:t>
            </w:r>
          </w:p>
        </w:tc>
        <w:tc>
          <w:tcPr>
            <w:tcW w:w="1188" w:type="dxa"/>
            <w:shd w:val="clear" w:color="auto" w:fill="auto"/>
            <w:noWrap/>
            <w:vAlign w:val="bottom"/>
            <w:hideMark/>
          </w:tcPr>
          <w:p w14:paraId="74C338A6"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174.97</w:t>
            </w:r>
          </w:p>
        </w:tc>
      </w:tr>
      <w:tr w:rsidR="00595E8B" w:rsidRPr="00595E8B"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(b) HDS</w:t>
            </w:r>
          </w:p>
        </w:tc>
        <w:tc>
          <w:tcPr>
            <w:tcW w:w="1082" w:type="dxa"/>
            <w:tcBorders>
              <w:bottom w:val="nil"/>
            </w:tcBorders>
            <w:shd w:val="clear" w:color="auto" w:fill="auto"/>
            <w:noWrap/>
            <w:vAlign w:val="bottom"/>
            <w:hideMark/>
          </w:tcPr>
          <w:p w14:paraId="652C75BE"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bottom w:val="nil"/>
            </w:tcBorders>
            <w:vAlign w:val="bottom"/>
          </w:tcPr>
          <w:p w14:paraId="75ADF02F" w14:textId="77777777" w:rsidR="0032401D" w:rsidRPr="00595E8B" w:rsidRDefault="0032401D" w:rsidP="0032401D">
            <w:pPr>
              <w:spacing w:after="0"/>
              <w:rPr>
                <w:rFonts w:eastAsia="Times New Roman" w:hAnsi="Times New Roman" w:cs="Times New Roman"/>
                <w:lang w:eastAsia="en-ZA"/>
              </w:rPr>
            </w:pPr>
          </w:p>
        </w:tc>
        <w:tc>
          <w:tcPr>
            <w:tcW w:w="994" w:type="dxa"/>
            <w:tcBorders>
              <w:bottom w:val="nil"/>
            </w:tcBorders>
            <w:shd w:val="clear" w:color="auto" w:fill="auto"/>
            <w:noWrap/>
            <w:vAlign w:val="bottom"/>
            <w:hideMark/>
          </w:tcPr>
          <w:p w14:paraId="2CE4261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638.62</w:t>
            </w:r>
          </w:p>
        </w:tc>
        <w:tc>
          <w:tcPr>
            <w:tcW w:w="1118" w:type="dxa"/>
            <w:tcBorders>
              <w:bottom w:val="nil"/>
            </w:tcBorders>
            <w:shd w:val="clear" w:color="auto" w:fill="auto"/>
            <w:noWrap/>
            <w:vAlign w:val="bottom"/>
            <w:hideMark/>
          </w:tcPr>
          <w:p w14:paraId="47956910"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519.19</w:t>
            </w:r>
          </w:p>
        </w:tc>
        <w:tc>
          <w:tcPr>
            <w:tcW w:w="236" w:type="dxa"/>
            <w:tcBorders>
              <w:bottom w:val="nil"/>
            </w:tcBorders>
            <w:vAlign w:val="bottom"/>
          </w:tcPr>
          <w:p w14:paraId="49EC7390"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bottom w:val="nil"/>
            </w:tcBorders>
            <w:shd w:val="clear" w:color="auto" w:fill="auto"/>
            <w:noWrap/>
            <w:vAlign w:val="bottom"/>
            <w:hideMark/>
          </w:tcPr>
          <w:p w14:paraId="0F1A329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460.39</w:t>
            </w:r>
          </w:p>
        </w:tc>
        <w:tc>
          <w:tcPr>
            <w:tcW w:w="1188" w:type="dxa"/>
            <w:tcBorders>
              <w:bottom w:val="nil"/>
            </w:tcBorders>
            <w:shd w:val="clear" w:color="auto" w:fill="auto"/>
            <w:noWrap/>
            <w:vAlign w:val="bottom"/>
            <w:hideMark/>
          </w:tcPr>
          <w:p w14:paraId="7B142F3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360.47</w:t>
            </w:r>
          </w:p>
        </w:tc>
      </w:tr>
      <w:tr w:rsidR="00595E8B" w:rsidRPr="00595E8B"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595E8B" w:rsidRDefault="0032401D" w:rsidP="0032401D">
            <w:pPr>
              <w:spacing w:after="0"/>
              <w:rPr>
                <w:rFonts w:eastAsia="Times New Roman" w:hAnsi="Times New Roman" w:cs="Times New Roman"/>
                <w:lang w:eastAsia="en-ZA"/>
              </w:rPr>
            </w:pPr>
          </w:p>
        </w:tc>
        <w:tc>
          <w:tcPr>
            <w:tcW w:w="1082" w:type="dxa"/>
            <w:tcBorders>
              <w:top w:val="nil"/>
              <w:bottom w:val="nil"/>
            </w:tcBorders>
            <w:shd w:val="clear" w:color="auto" w:fill="auto"/>
            <w:noWrap/>
            <w:vAlign w:val="bottom"/>
            <w:hideMark/>
          </w:tcPr>
          <w:p w14:paraId="7F22A9DC"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tcBorders>
              <w:top w:val="nil"/>
              <w:bottom w:val="nil"/>
            </w:tcBorders>
            <w:vAlign w:val="bottom"/>
          </w:tcPr>
          <w:p w14:paraId="6FDB552E"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4C5FB414"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334.15</w:t>
            </w:r>
          </w:p>
        </w:tc>
        <w:tc>
          <w:tcPr>
            <w:tcW w:w="1118" w:type="dxa"/>
            <w:tcBorders>
              <w:top w:val="nil"/>
              <w:bottom w:val="nil"/>
            </w:tcBorders>
            <w:shd w:val="clear" w:color="auto" w:fill="auto"/>
            <w:noWrap/>
            <w:vAlign w:val="bottom"/>
            <w:hideMark/>
          </w:tcPr>
          <w:p w14:paraId="0E8C528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290.90</w:t>
            </w:r>
          </w:p>
        </w:tc>
        <w:tc>
          <w:tcPr>
            <w:tcW w:w="236" w:type="dxa"/>
            <w:tcBorders>
              <w:top w:val="nil"/>
              <w:bottom w:val="nil"/>
            </w:tcBorders>
            <w:vAlign w:val="bottom"/>
          </w:tcPr>
          <w:p w14:paraId="3847217E"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1BDCC2C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326.06</w:t>
            </w:r>
          </w:p>
        </w:tc>
        <w:tc>
          <w:tcPr>
            <w:tcW w:w="1188" w:type="dxa"/>
            <w:tcBorders>
              <w:top w:val="nil"/>
              <w:bottom w:val="nil"/>
            </w:tcBorders>
            <w:shd w:val="clear" w:color="auto" w:fill="auto"/>
            <w:noWrap/>
            <w:vAlign w:val="bottom"/>
            <w:hideMark/>
          </w:tcPr>
          <w:p w14:paraId="7F2A1F1D"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273.31</w:t>
            </w:r>
          </w:p>
        </w:tc>
      </w:tr>
      <w:tr w:rsidR="00595E8B" w:rsidRPr="00595E8B"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(c) DS</w:t>
            </w:r>
          </w:p>
        </w:tc>
        <w:tc>
          <w:tcPr>
            <w:tcW w:w="1082" w:type="dxa"/>
            <w:tcBorders>
              <w:top w:val="nil"/>
            </w:tcBorders>
            <w:shd w:val="clear" w:color="auto" w:fill="auto"/>
            <w:noWrap/>
            <w:vAlign w:val="bottom"/>
            <w:hideMark/>
          </w:tcPr>
          <w:p w14:paraId="4D637B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top w:val="nil"/>
            </w:tcBorders>
            <w:vAlign w:val="bottom"/>
          </w:tcPr>
          <w:p w14:paraId="7C961F84"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tcBorders>
            <w:shd w:val="clear" w:color="auto" w:fill="auto"/>
            <w:noWrap/>
            <w:vAlign w:val="bottom"/>
            <w:hideMark/>
          </w:tcPr>
          <w:p w14:paraId="264404C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811.89</w:t>
            </w:r>
          </w:p>
        </w:tc>
        <w:tc>
          <w:tcPr>
            <w:tcW w:w="1118" w:type="dxa"/>
            <w:tcBorders>
              <w:top w:val="nil"/>
            </w:tcBorders>
            <w:shd w:val="clear" w:color="auto" w:fill="auto"/>
            <w:noWrap/>
            <w:vAlign w:val="bottom"/>
            <w:hideMark/>
          </w:tcPr>
          <w:p w14:paraId="1A787A5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6.22</w:t>
            </w:r>
          </w:p>
        </w:tc>
        <w:tc>
          <w:tcPr>
            <w:tcW w:w="236" w:type="dxa"/>
            <w:tcBorders>
              <w:top w:val="nil"/>
            </w:tcBorders>
            <w:vAlign w:val="bottom"/>
          </w:tcPr>
          <w:p w14:paraId="1AFA6E51"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tcBorders>
            <w:shd w:val="clear" w:color="auto" w:fill="auto"/>
            <w:noWrap/>
            <w:vAlign w:val="bottom"/>
            <w:hideMark/>
          </w:tcPr>
          <w:p w14:paraId="1466E5E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588.58</w:t>
            </w:r>
          </w:p>
        </w:tc>
        <w:tc>
          <w:tcPr>
            <w:tcW w:w="1188" w:type="dxa"/>
            <w:tcBorders>
              <w:top w:val="nil"/>
            </w:tcBorders>
            <w:shd w:val="clear" w:color="auto" w:fill="auto"/>
            <w:noWrap/>
            <w:vAlign w:val="bottom"/>
            <w:hideMark/>
          </w:tcPr>
          <w:p w14:paraId="4A8FA065"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r w:rsidR="00595E8B" w:rsidRPr="00595E8B" w14:paraId="5F393325" w14:textId="77777777" w:rsidTr="00117924">
        <w:trPr>
          <w:trHeight w:val="285"/>
        </w:trPr>
        <w:tc>
          <w:tcPr>
            <w:tcW w:w="1077" w:type="dxa"/>
            <w:shd w:val="clear" w:color="auto" w:fill="auto"/>
            <w:noWrap/>
            <w:vAlign w:val="bottom"/>
          </w:tcPr>
          <w:p w14:paraId="103957D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02EB858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206EAC9E"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50E0E6B1"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311.80</w:t>
            </w:r>
          </w:p>
        </w:tc>
        <w:tc>
          <w:tcPr>
            <w:tcW w:w="1118" w:type="dxa"/>
            <w:shd w:val="clear" w:color="auto" w:fill="auto"/>
            <w:noWrap/>
            <w:vAlign w:val="bottom"/>
            <w:hideMark/>
          </w:tcPr>
          <w:p w14:paraId="5EFEF51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226.50</w:t>
            </w:r>
          </w:p>
        </w:tc>
        <w:tc>
          <w:tcPr>
            <w:tcW w:w="236" w:type="dxa"/>
            <w:vAlign w:val="bottom"/>
          </w:tcPr>
          <w:p w14:paraId="760E00B8"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123E92F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297.22</w:t>
            </w:r>
          </w:p>
        </w:tc>
        <w:tc>
          <w:tcPr>
            <w:tcW w:w="1188" w:type="dxa"/>
            <w:shd w:val="clear" w:color="auto" w:fill="auto"/>
            <w:noWrap/>
            <w:vAlign w:val="bottom"/>
            <w:hideMark/>
          </w:tcPr>
          <w:p w14:paraId="05992550"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bl>
    <w:p w14:paraId="335B2068" w14:textId="77777777" w:rsidR="00705DE6" w:rsidRPr="00595E8B" w:rsidRDefault="00705DE6" w:rsidP="00117924">
      <w:pPr>
        <w:spacing w:before="240"/>
        <w:rPr>
          <w:rFonts w:asciiTheme="majorBidi" w:hAnsiTheme="majorBidi"/>
        </w:rPr>
      </w:pPr>
      <w:r w:rsidRPr="00595E8B">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 xml:space="preserve">as follows: 1, elevation; 2, MAP; 3, PDQ; 4, surface T; 5, NDVI; 6, CEC; 7, clay; 8, soil C; 9, </w:t>
      </w:r>
      <w:proofErr w:type="spellStart"/>
      <w:r w:rsidR="00E96900" w:rsidRPr="00A411C8">
        <w:t>pH.</w:t>
      </w:r>
      <w:proofErr w:type="spellEnd"/>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17"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r>
        <w:rPr>
          <w:rFonts w:hAnsi="Times New Roman" w:cs="Times New Roman"/>
          <w:noProof/>
          <w:sz w:val="22"/>
          <w:szCs w:val="22"/>
        </w:rPr>
        <w:lastRenderedPageBreak/>
        <w:drawing>
          <wp:inline distT="0" distB="0" distL="0" distR="0" wp14:anchorId="10D65DB7" wp14:editId="4866171D">
            <wp:extent cx="6839666" cy="39083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39666" cy="3908381"/>
                    </a:xfrm>
                    <a:prstGeom prst="rect">
                      <a:avLst/>
                    </a:prstGeom>
                  </pic:spPr>
                </pic:pic>
              </a:graphicData>
            </a:graphic>
          </wp:inline>
        </w:drawing>
      </w:r>
    </w:p>
    <w:p w14:paraId="340BEE40" w14:textId="2DDC84F1"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9B06C2">
        <w:rPr>
          <w:highlight w:val="yellow"/>
        </w:rPr>
        <w:t>Note, as no outliers were found in either region at the DS-scale [</w:t>
      </w:r>
      <w:r w:rsidR="009B06C2" w:rsidRPr="009B06C2">
        <w:rPr>
          <w:highlight w:val="yellow"/>
        </w:rPr>
        <w:t>…</w:t>
      </w:r>
      <w:r w:rsidR="009B06C2" w:rsidRPr="009B06C2">
        <w:rPr>
          <w:highlight w:val="yellow"/>
        </w:rPr>
        <w:t>]</w:t>
      </w:r>
      <w:r w:rsidR="009B06C2">
        <w:t xml:space="preserve"> </w:t>
      </w:r>
      <w:r>
        <w:t xml:space="preserve">Points with error bars denote partial effect estimates and their 95% confidence intervals. Filled and empty points represent effect </w:t>
      </w:r>
      <w:proofErr w:type="gramStart"/>
      <w:r>
        <w:t>estimates  for</w:t>
      </w:r>
      <w:proofErr w:type="gramEnd"/>
      <w:r>
        <w:t xml:space="preserve">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w:t>
      </w:r>
      <w:proofErr w:type="spellStart"/>
      <w:r>
        <w:t>a,b</w:t>
      </w:r>
      <w:proofErr w:type="spellEnd"/>
      <w:r>
        <w:t>) vascular plant species richness,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r>
        <w:br w:type="page"/>
      </w:r>
    </w:p>
    <w:p w14:paraId="772B1101" w14:textId="5EEF8026" w:rsidR="00EB03F4" w:rsidRDefault="00AC2C8E" w:rsidP="00F14DA5">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w:t>
      </w:r>
      <w:proofErr w:type="spellStart"/>
      <w:r>
        <w:t>a,b</w:t>
      </w:r>
      <w:proofErr w:type="spellEnd"/>
      <w:r>
        <w:t>) vascular plant species richness,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p>
    <w:p w14:paraId="311102D3" w14:textId="1D4D0FFE" w:rsidR="003F6FBC" w:rsidRDefault="00AC2C8E" w:rsidP="00F14DA5">
      <w:pPr>
        <w:spacing w:before="240"/>
      </w:pPr>
      <w:r>
        <w:br w:type="page"/>
      </w:r>
    </w:p>
    <w:p w14:paraId="741D08F8" w14:textId="77777777" w:rsidR="003F6FBC" w:rsidRDefault="003F6FBC" w:rsidP="003F6FBC">
      <w:r>
        <w:rPr>
          <w:noProof/>
        </w:rPr>
        <w:lastRenderedPageBreak/>
        <w:drawing>
          <wp:inline distT="0" distB="0" distL="0" distR="0" wp14:anchorId="00EA57CE" wp14:editId="39372DD6">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8EE16B8" w14:textId="4C8174BA" w:rsidR="003F6FBC" w:rsidRPr="003226B9" w:rsidRDefault="003F6FBC" w:rsidP="003F6FBC">
      <w:r w:rsidRPr="00C07FEA">
        <w:rPr>
          <w:b/>
          <w:bCs/>
        </w:rPr>
        <w:t xml:space="preserve">Figure </w:t>
      </w:r>
      <w:r>
        <w:rPr>
          <w:b/>
          <w:bCs/>
        </w:rPr>
        <w:t>S11:</w:t>
      </w:r>
      <w:r>
        <w:t xml:space="preserve"> </w:t>
      </w:r>
      <w:r w:rsidRPr="006B3905">
        <w:t>Frequency</w:t>
      </w:r>
      <w:r w:rsidRPr="00832261">
        <w:t xml:space="preserve"> </w:t>
      </w:r>
      <w:r>
        <w:t>distribution of vascular plant species</w:t>
      </w:r>
      <w:r>
        <w:t>’</w:t>
      </w:r>
      <w:r>
        <w:t xml:space="preserve"> range sizes (quantified as the number of QDS occupied; log</w:t>
      </w:r>
      <w:r>
        <w:rPr>
          <w:vertAlign w:val="subscript"/>
        </w:rPr>
        <w:t>10</w:t>
      </w:r>
      <w:r>
        <w:t>-axis) in the GCFR and SWAFR, based on the species occurrence dataset used here (see text). Frequencies are scaled as the proportions of species</w:t>
      </w:r>
      <w:r w:rsidRPr="00CC1818">
        <w:t xml:space="preserve"> </w:t>
      </w:r>
      <w:r>
        <w:t>within each region</w:t>
      </w:r>
      <w:r>
        <w:t>’</w:t>
      </w:r>
      <w:r>
        <w:t>s flora. GCFR species have, on average, smaller ranges (ca. 9.7 QDS) than SWAFR species (ca. 17.6 QDS) (</w:t>
      </w:r>
      <w:r>
        <w:rPr>
          <w:i/>
          <w:iCs/>
        </w:rPr>
        <w:t>P</w:t>
      </w:r>
      <w:r>
        <w:t xml:space="preserve"> &lt; 0.001; two-sided </w:t>
      </w:r>
      <w:r>
        <w:rPr>
          <w:i/>
          <w:iCs/>
        </w:rPr>
        <w:t>t</w:t>
      </w:r>
      <w:r>
        <w:t>-test).</w:t>
      </w:r>
    </w:p>
    <w:p w14:paraId="306B3254" w14:textId="05742EF6" w:rsidR="008D5CD4" w:rsidRDefault="003F6FBC">
      <w:r>
        <w:br w:type="page"/>
      </w:r>
    </w:p>
    <w:p w14:paraId="1C572C06" w14:textId="33932DFF" w:rsidR="00E22C72" w:rsidRDefault="00F25E83">
      <w:r>
        <w:rPr>
          <w:noProof/>
        </w:rPr>
        <w:lastRenderedPageBreak/>
        <w:drawing>
          <wp:inline distT="0" distB="0" distL="0" distR="0" wp14:anchorId="35BC2758" wp14:editId="1BEB1FD3">
            <wp:extent cx="6840000" cy="4322880"/>
            <wp:effectExtent l="127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flagged-Perth-species-rang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0000" cy="4322880"/>
                    </a:xfrm>
                    <a:prstGeom prst="rect">
                      <a:avLst/>
                    </a:prstGeom>
                  </pic:spPr>
                </pic:pic>
              </a:graphicData>
            </a:graphic>
          </wp:inline>
        </w:drawing>
      </w:r>
    </w:p>
    <w:p w14:paraId="5B907564" w14:textId="5B39013F" w:rsidR="00F25E83" w:rsidRDefault="00F25E83">
      <w:r w:rsidRPr="00F25E83">
        <w:rPr>
          <w:b/>
          <w:bCs/>
        </w:rPr>
        <w:t>Figure S12:</w:t>
      </w:r>
      <w:r>
        <w:t xml:space="preserve"> </w:t>
      </w:r>
      <w:r w:rsidR="00970549">
        <w:t xml:space="preserve">Examples of vascular plant species from the SWAFR whose occurrence records include outlier localities (in red) near Perth (diamond). Outlier records were determined as those that fall outside the described range for that species (according to distribution maps from </w:t>
      </w:r>
      <w:proofErr w:type="spellStart"/>
      <w:r w:rsidR="00970549">
        <w:t>FloraBase</w:t>
      </w:r>
      <w:proofErr w:type="spellEnd"/>
      <w:r w:rsidR="00970549">
        <w:t xml:space="preserve"> (</w:t>
      </w:r>
      <w:hyperlink r:id="rId24" w:history="1">
        <w:r w:rsidR="00970549" w:rsidRPr="00864889">
          <w:rPr>
            <w:rStyle w:val="Hyperlink"/>
          </w:rPr>
          <w:t>https://florabase.dpaw.wa.gov.au/</w:t>
        </w:r>
      </w:hyperlink>
      <w:r w:rsidR="00970549">
        <w:t xml:space="preserve"> [Accessed 2 March, 2010]). These 22 species were found within a sample of 300 random species in our occurrence dataset that have records within the four QDS-cells including Perth with exceptional richness (Figure S6b).</w:t>
      </w:r>
    </w:p>
    <w:p w14:paraId="553A445F" w14:textId="1C0DE17F" w:rsidR="008D5CD4" w:rsidRDefault="008D5CD4">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w:t>
      </w:r>
      <w:proofErr w:type="spellStart"/>
      <w:r>
        <w:t>Garay</w:t>
      </w:r>
      <w:proofErr w:type="spellEnd"/>
      <w:r>
        <w:t xml:space="preserve">, J. A. R., </w:t>
      </w:r>
      <w:proofErr w:type="spellStart"/>
      <w:r>
        <w:t>Mozzherin</w:t>
      </w:r>
      <w:proofErr w:type="spellEnd"/>
      <w:r>
        <w:t xml:space="preserve">,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5"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6"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Verdin,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7"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8"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9"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0" w:history="1">
        <w:r w:rsidRPr="006F7EB8">
          <w:rPr>
            <w:rStyle w:val="Hyperlink"/>
          </w:rPr>
          <w:t>http://resolver.globalnames.org/</w:t>
        </w:r>
      </w:hyperlink>
    </w:p>
    <w:p w14:paraId="73137B14" w14:textId="2161233C" w:rsidR="00B47B31" w:rsidRDefault="00834ED9" w:rsidP="00B47B31">
      <w:pPr>
        <w:pStyle w:val="NormalWeb"/>
        <w:ind w:left="480" w:hanging="480"/>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E43553">
        <w:t xml:space="preserve"> </w:t>
      </w:r>
      <w:hyperlink r:id="rId31"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32"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xml:space="preserve">. NASA EOSDIS Land Processes DAAC, USGS Earth Resources Observation and Science (EROS) </w:t>
      </w:r>
      <w:proofErr w:type="spellStart"/>
      <w:r w:rsidRPr="001B58F2">
        <w:t>Center</w:t>
      </w:r>
      <w:proofErr w:type="spellEnd"/>
      <w:r w:rsidRPr="001B58F2">
        <w:t>, Sioux Falls, South Dakota</w:t>
      </w:r>
      <w:r w:rsidR="00A322B0" w:rsidRPr="001B58F2">
        <w:t>, U.S.A.</w:t>
      </w:r>
      <w:r w:rsidR="001B58F2" w:rsidRPr="001B58F2">
        <w:t xml:space="preserve"> </w:t>
      </w:r>
      <w:hyperlink r:id="rId33"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xml:space="preserve">. NASA EOSDIS Land Processes DAAC, USGS Earth Resources Observation and Science (EROS) </w:t>
      </w:r>
      <w:proofErr w:type="spellStart"/>
      <w:r w:rsidRPr="001B58F2">
        <w:t>Center</w:t>
      </w:r>
      <w:proofErr w:type="spellEnd"/>
      <w:r w:rsidRPr="001B58F2">
        <w:t>, Sioux Falls, South Dakota</w:t>
      </w:r>
      <w:r w:rsidR="00A322B0" w:rsidRPr="001B58F2">
        <w:t>, U.S.A.</w:t>
      </w:r>
      <w:r w:rsidR="001B58F2" w:rsidRPr="001B58F2">
        <w:t xml:space="preserve"> </w:t>
      </w:r>
      <w:hyperlink r:id="rId34"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5" w:history="1">
        <w:r>
          <w:rPr>
            <w:rStyle w:val="Hyperlink"/>
          </w:rPr>
          <w:t>http://tnrs.iplantcollaborative.org/</w:t>
        </w:r>
      </w:hyperlink>
    </w:p>
    <w:sectPr w:rsidR="0061013D" w:rsidRPr="0061013D" w:rsidSect="00B3633C">
      <w:footerReference w:type="default" r:id="rId36"/>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CD055D" w14:textId="77777777" w:rsidR="00777C99" w:rsidRDefault="00777C99">
      <w:pPr>
        <w:spacing w:after="0"/>
      </w:pPr>
      <w:r>
        <w:separator/>
      </w:r>
    </w:p>
  </w:endnote>
  <w:endnote w:type="continuationSeparator" w:id="0">
    <w:p w14:paraId="2B3728AA" w14:textId="77777777" w:rsidR="00777C99" w:rsidRDefault="00777C99">
      <w:pPr>
        <w:spacing w:after="0"/>
      </w:pPr>
      <w:r>
        <w:continuationSeparator/>
      </w:r>
    </w:p>
  </w:endnote>
  <w:endnote w:type="continuationNotice" w:id="1">
    <w:p w14:paraId="24A60BDF" w14:textId="77777777" w:rsidR="00777C99" w:rsidRDefault="00777C9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6F7D36" w14:textId="77777777" w:rsidR="00777C99" w:rsidRDefault="00777C99">
      <w:r>
        <w:separator/>
      </w:r>
    </w:p>
  </w:footnote>
  <w:footnote w:type="continuationSeparator" w:id="0">
    <w:p w14:paraId="5D158361" w14:textId="77777777" w:rsidR="00777C99" w:rsidRDefault="00777C99">
      <w:r>
        <w:continuationSeparator/>
      </w:r>
    </w:p>
  </w:footnote>
  <w:footnote w:type="continuationNotice" w:id="1">
    <w:p w14:paraId="3D43756A" w14:textId="77777777" w:rsidR="00777C99" w:rsidRDefault="00777C9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17A42"/>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1543"/>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169F"/>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1C03"/>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6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6FBC"/>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AE3"/>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476"/>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5E8B"/>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46CF"/>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77C99"/>
    <w:rsid w:val="0078067F"/>
    <w:rsid w:val="007807E0"/>
    <w:rsid w:val="00780B2E"/>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E52"/>
    <w:rsid w:val="00823FCD"/>
    <w:rsid w:val="00824219"/>
    <w:rsid w:val="008242A3"/>
    <w:rsid w:val="00824571"/>
    <w:rsid w:val="008248B3"/>
    <w:rsid w:val="008259DB"/>
    <w:rsid w:val="00826383"/>
    <w:rsid w:val="008268EC"/>
    <w:rsid w:val="00826E16"/>
    <w:rsid w:val="00827247"/>
    <w:rsid w:val="00830A3B"/>
    <w:rsid w:val="008319AD"/>
    <w:rsid w:val="00832876"/>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5CD4"/>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8F7EA3"/>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549"/>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152"/>
    <w:rsid w:val="00DD2348"/>
    <w:rsid w:val="00DD3BEB"/>
    <w:rsid w:val="00DD467D"/>
    <w:rsid w:val="00DD4716"/>
    <w:rsid w:val="00DD516B"/>
    <w:rsid w:val="00DD57EC"/>
    <w:rsid w:val="00DD6143"/>
    <w:rsid w:val="00DD62FC"/>
    <w:rsid w:val="00DD67B3"/>
    <w:rsid w:val="00DD7030"/>
    <w:rsid w:val="00DD70C7"/>
    <w:rsid w:val="00DD7307"/>
    <w:rsid w:val="00DD7CD4"/>
    <w:rsid w:val="00DE02E0"/>
    <w:rsid w:val="00DE0FC4"/>
    <w:rsid w:val="00DE18FD"/>
    <w:rsid w:val="00DE1BF5"/>
    <w:rsid w:val="00DE2066"/>
    <w:rsid w:val="00DE22FD"/>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2C72"/>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4DA5"/>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5E83"/>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085"/>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029/2005RG000183" TargetMode="External"/><Relationship Id="rId21" Type="http://schemas.openxmlformats.org/officeDocument/2006/relationships/image" Target="media/image10.png"/><Relationship Id="rId34" Type="http://schemas.openxmlformats.org/officeDocument/2006/relationships/hyperlink" Target="https://doi.org/10.5067/MODIS/MOD1132.006"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github.com/ropensci/taxize" TargetMode="External"/><Relationship Id="rId33" Type="http://schemas.openxmlformats.org/officeDocument/2006/relationships/hyperlink" Target="https://doi.org/10.5067/MODIS/MOD13C2.00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lorabase.dpaw.wa.gov.au/" TargetMode="External"/><Relationship Id="rId32" Type="http://schemas.openxmlformats.org/officeDocument/2006/relationships/hyperlink" Target="http://www.itis.gov"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5468/dl.n6u6n0" TargetMode="External"/><Relationship Id="rId36"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doi.org/10.1371/journal.pone.0169748"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11.png"/><Relationship Id="rId27" Type="http://schemas.openxmlformats.org/officeDocument/2006/relationships/hyperlink" Target="https://doi.org/10.1038/sdata.2015.66" TargetMode="External"/><Relationship Id="rId30" Type="http://schemas.openxmlformats.org/officeDocument/2006/relationships/hyperlink" Target="http://resolver.globalnames.org/" TargetMode="External"/><Relationship Id="rId35" Type="http://schemas.openxmlformats.org/officeDocument/2006/relationships/hyperlink" Target="http://tnrs.iplantcollaborative.org/" TargetMode="External"/><Relationship Id="rId8" Type="http://schemas.openxmlformats.org/officeDocument/2006/relationships/hyperlink" Target="http://www.iucngisd.org/gis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9948F-012E-4267-B090-C031C4DFF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20</Pages>
  <Words>2417</Words>
  <Characters>13778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16163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498</cp:revision>
  <cp:lastPrinted>2019-11-19T13:01:00Z</cp:lastPrinted>
  <dcterms:created xsi:type="dcterms:W3CDTF">2019-12-03T09:32:00Z</dcterms:created>
  <dcterms:modified xsi:type="dcterms:W3CDTF">2020-07-21T12:58:00Z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