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0E82" w:rsidRDefault="00B71DAB">
      <w:pPr>
        <w:pStyle w:val="Title"/>
      </w:pPr>
      <w:r>
        <w:t>Environmental heterogeneity patterns plant species richness and turnover in two hyperdiverse floras</w:t>
      </w:r>
    </w:p>
    <w:p w:rsidR="002B0E82" w:rsidRDefault="00B71DAB">
      <w:pPr>
        <w:pStyle w:val="Author"/>
      </w:pPr>
      <w:r>
        <w:t>Ruan van Mazijk, Michael D. Cramer &amp; G. Anthony Verboom</w:t>
      </w:r>
    </w:p>
    <w:p w:rsidR="002B0E82" w:rsidRDefault="00B71DAB">
      <w:pPr>
        <w:pStyle w:val="Date"/>
      </w:pPr>
      <w:r>
        <w:t>2019-03-05</w:t>
      </w:r>
    </w:p>
    <w:p w:rsidR="002B0E82" w:rsidRDefault="00B71DAB">
      <w:pPr>
        <w:pStyle w:val="FirstParagraph"/>
      </w:pPr>
      <w:r>
        <w:t>Department of Biological Sciences, University of Cape Town, Rondebosch, South Africa</w:t>
      </w:r>
    </w:p>
    <w:p w:rsidR="002B0E82" w:rsidRDefault="00B71DAB">
      <w:pPr>
        <w:pStyle w:val="BodyText"/>
      </w:pPr>
      <w:r>
        <w:t>Corresponding author: RVM (</w:t>
      </w:r>
      <w:hyperlink r:id="rId7">
        <w:r>
          <w:rPr>
            <w:rStyle w:val="Hyperlink"/>
          </w:rPr>
          <w:t>ruanvmazijk@gmail.com</w:t>
        </w:r>
      </w:hyperlink>
      <w:r>
        <w:t>, +27 21 650 3684)</w:t>
      </w:r>
    </w:p>
    <w:p w:rsidR="002B0E82" w:rsidRDefault="00B71DAB">
      <w:pPr>
        <w:pStyle w:val="BodyText"/>
      </w:pPr>
      <w:r>
        <w:t>ORCID nos.: RVM: 0000-0003-2659-6909, MDC: 0000-0003-098</w:t>
      </w:r>
      <w:r>
        <w:t>9-3266, GAV: 0000-0002-1363-9781</w:t>
      </w:r>
    </w:p>
    <w:p w:rsidR="002B0E82" w:rsidRDefault="00B71DAB">
      <w:pPr>
        <w:pStyle w:val="BodyText"/>
      </w:pPr>
      <w:r>
        <w:rPr>
          <w:b/>
        </w:rPr>
        <w:t>Running title:</w:t>
      </w:r>
      <w:r>
        <w:t xml:space="preserve"> Environmental heterogeneity and plant species richness</w:t>
      </w:r>
    </w:p>
    <w:p w:rsidR="002B0E82" w:rsidRDefault="00B71DAB">
      <w:pPr>
        <w:pStyle w:val="Heading1"/>
      </w:pPr>
      <w:bookmarkStart w:id="0" w:name="abstract"/>
      <w:r>
        <w:t>Abstract</w:t>
      </w:r>
      <w:bookmarkEnd w:id="0"/>
    </w:p>
    <w:p w:rsidR="002B0E82" w:rsidRDefault="00B71DAB">
      <w:pPr>
        <w:pStyle w:val="FirstParagraph"/>
      </w:pPr>
      <w:r>
        <w:rPr>
          <w:b/>
        </w:rPr>
        <w:t>Aim:</w:t>
      </w:r>
      <w:r>
        <w:t xml:space="preserve"> To quantify the explanatory power of environmental heterogeneity in predicting plant species richness and turnover in two mediterranean-typ</w:t>
      </w:r>
      <w:r>
        <w:t>e biodiversity hotpots, the southwestern Cape of South Africa and southwest Australia (SWA), due to habitat diversity’s stimulating speciation and supporting diverse assemblages. In each region, we compare different forms of environmental heterogeneity, sp</w:t>
      </w:r>
      <w:r>
        <w:t>ecies turnover and the relative importance of different forms of heterogeneity better predict species richness and turnover. We expected the Cape to be more heterogeneous in most environmental axes, and at a finer grain, such that the consequent high level</w:t>
      </w:r>
      <w:r>
        <w:t>s of species turnover explain the Cape’s greater species richness per unit area. We also conjectured that edaphic heterogeneity would be an important factor in predicting species richness patterns in SWA.</w:t>
      </w:r>
    </w:p>
    <w:p w:rsidR="002B0E82" w:rsidRDefault="00B71DAB">
      <w:pPr>
        <w:pStyle w:val="BodyText"/>
      </w:pPr>
      <w:r>
        <w:rPr>
          <w:b/>
        </w:rPr>
        <w:t>Location:</w:t>
      </w:r>
      <w:r>
        <w:t xml:space="preserve"> The Greater Cape Floristic Region in sout</w:t>
      </w:r>
      <w:r>
        <w:t>hwest Africa (the Cape), and the Southwest Australia Floristic Region (SWA)</w:t>
      </w:r>
    </w:p>
    <w:p w:rsidR="002B0E82" w:rsidRDefault="00B71DAB">
      <w:pPr>
        <w:pStyle w:val="BodyText"/>
      </w:pPr>
      <w:r>
        <w:rPr>
          <w:b/>
        </w:rPr>
        <w:t>Taxon:</w:t>
      </w:r>
      <w:r>
        <w:t xml:space="preserve"> Vascular plants</w:t>
      </w:r>
    </w:p>
    <w:p w:rsidR="002B0E82" w:rsidRDefault="00B71DAB">
      <w:pPr>
        <w:pStyle w:val="BodyText"/>
      </w:pPr>
      <w:r>
        <w:rPr>
          <w:b/>
        </w:rPr>
        <w:lastRenderedPageBreak/>
        <w:t>Methods:</w:t>
      </w:r>
      <w:r>
        <w:t xml:space="preserve"> Geospatially explicit floral and environmental data, non-parametric statistics, boosted regression tree modelling</w:t>
      </w:r>
    </w:p>
    <w:p w:rsidR="002B0E82" w:rsidRDefault="00B71DAB">
      <w:pPr>
        <w:pStyle w:val="BodyText"/>
      </w:pPr>
      <w:r>
        <w:rPr>
          <w:b/>
        </w:rPr>
        <w:t>Results:</w:t>
      </w:r>
      <w:r>
        <w:t xml:space="preserve"> The Cape is more environm</w:t>
      </w:r>
      <w:r>
        <w:t>entally heterogeneous and has higher levels of floristic turnover than SWA. We find that environmental heterogeneity is the main predictor of species richness in the Cape, and somewhat less so for SWA. Edaphic conditions are found to be of more biologicall</w:t>
      </w:r>
      <w:r>
        <w:t>y important in the Cape, though this is contingent on the quality of the data modelled.</w:t>
      </w:r>
    </w:p>
    <w:p w:rsidR="002B0E82" w:rsidRDefault="00B71DAB">
      <w:pPr>
        <w:pStyle w:val="BodyText"/>
      </w:pPr>
      <w:r>
        <w:rPr>
          <w:b/>
        </w:rPr>
        <w:t>Main conclusions:</w:t>
      </w:r>
      <w:r>
        <w:t xml:space="preserve"> The Cape was found to have generally more environmentally heterogenous than SWA, though SWA does possess edaphic heterogeneity as great as that in the</w:t>
      </w:r>
      <w:r>
        <w:t xml:space="preserve"> Cape at coarse spatial scales, and greater levels of floristic turnover in vascular plant communities between grid-cells than SWA. Vascular plant species richness and turnover in the Cape was associated more strongly with environmental heterogeneity than </w:t>
      </w:r>
      <w:r>
        <w:t>in SWA, and particularly edaphic heterogeneity, than species richness in SWA. In SWA, patterns of species richness and turnover are more strongly associated with climatic axes. The relative strengths of association of different environmental variables with</w:t>
      </w:r>
      <w:r>
        <w:t xml:space="preserve"> patterns of species richness and turnover was found to vary with spatial scale.</w:t>
      </w:r>
    </w:p>
    <w:p w:rsidR="002B0E82" w:rsidRDefault="00B71DAB">
      <w:pPr>
        <w:pStyle w:val="BodyText"/>
      </w:pPr>
      <w:r>
        <w:rPr>
          <w:i/>
        </w:rPr>
        <w:t>Keywords:</w:t>
      </w:r>
      <w:r>
        <w:t xml:space="preserve"> biodiversity, boosted regression trees, BRTs, environmental heterogeneity, fynbos, Greater Cape Floristic Region, kwongan, macroecology, species richness, species tu</w:t>
      </w:r>
      <w:r>
        <w:t>rnover, vascular plants, Southwest Australia Floristic Region</w:t>
      </w:r>
    </w:p>
    <w:p w:rsidR="002B0E82" w:rsidRDefault="00B71DAB">
      <w:pPr>
        <w:pStyle w:val="Heading1"/>
      </w:pPr>
      <w:bookmarkStart w:id="1" w:name="acknowledgements"/>
      <w:r>
        <w:t>Acknowledgements</w:t>
      </w:r>
      <w:bookmarkEnd w:id="1"/>
    </w:p>
    <w:p w:rsidR="002B0E82" w:rsidRDefault="00B71DAB">
      <w:pPr>
        <w:pStyle w:val="FirstParagraph"/>
      </w:pPr>
      <w:r>
        <w:t>This work was funded by the South African Department of Science and Technology (DST) and the National Research Foundation (NRF) under the DST-NRF Freestanding Innovation Honours</w:t>
      </w:r>
      <w:r>
        <w:t xml:space="preserve"> Scholarship (to RVM), and by the South African Association of Botanists (SAAB) Honours Scholarship (to RVM). Thanks go to the Department of Biological Sciences, University of Cape Town, for providing a 2TB external hard drive for local GIS data storage. M</w:t>
      </w:r>
      <w:r>
        <w:t>any computations were performed using facilities provided by the University of Cape Town’s ICTS High Performance Computing team (</w:t>
      </w:r>
      <w:hyperlink r:id="rId8">
        <w:r>
          <w:rPr>
            <w:rStyle w:val="Hyperlink"/>
          </w:rPr>
          <w:t>http://hpc.uct.ac.za</w:t>
        </w:r>
      </w:hyperlink>
      <w:r>
        <w:t>).</w:t>
      </w:r>
    </w:p>
    <w:p w:rsidR="002B0E82" w:rsidRDefault="00B71DAB">
      <w:pPr>
        <w:pStyle w:val="Heading1"/>
      </w:pPr>
      <w:bookmarkStart w:id="2" w:name="introduction"/>
      <w:r>
        <w:lastRenderedPageBreak/>
        <w:t>Introduction</w:t>
      </w:r>
      <w:bookmarkEnd w:id="2"/>
    </w:p>
    <w:p w:rsidR="002B0E82" w:rsidRDefault="00B71DAB">
      <w:pPr>
        <w:pStyle w:val="FirstParagraph"/>
      </w:pPr>
      <w:r>
        <w:t xml:space="preserve">Biodiversity represents the variety of species and </w:t>
      </w:r>
      <w:r>
        <w:t xml:space="preserve">the ecological and evolutionary processes that bring about those species (Bøhn &amp; Amundsen, </w:t>
      </w:r>
      <w:hyperlink w:anchor="ref-Bohn2004">
        <w:r>
          <w:rPr>
            <w:rStyle w:val="Hyperlink"/>
          </w:rPr>
          <w:t>2004</w:t>
        </w:r>
      </w:hyperlink>
      <w:r>
        <w:t xml:space="preserve">). Studying the distribution of biodiversity in space is a major avenue of biological research (Kerr et al., </w:t>
      </w:r>
      <w:hyperlink w:anchor="ref-Kerr2001">
        <w:r>
          <w:rPr>
            <w:rStyle w:val="Hyperlink"/>
          </w:rPr>
          <w:t>2001</w:t>
        </w:r>
      </w:hyperlink>
      <w:r>
        <w:t xml:space="preserve">; Kreft &amp; Jetz, </w:t>
      </w:r>
      <w:hyperlink w:anchor="ref-Kreft2007">
        <w:r>
          <w:rPr>
            <w:rStyle w:val="Hyperlink"/>
          </w:rPr>
          <w:t>2007</w:t>
        </w:r>
      </w:hyperlink>
      <w:r>
        <w:t xml:space="preserve">). Region-scale geographic patterns in species richness have long been studied, particularly in biodiversity hotspots (Cook et al., </w:t>
      </w:r>
      <w:hyperlink w:anchor="ref-Cook2015">
        <w:r>
          <w:rPr>
            <w:rStyle w:val="Hyperlink"/>
          </w:rPr>
          <w:t>2015</w:t>
        </w:r>
      </w:hyperlink>
      <w:r>
        <w:t>). Inde</w:t>
      </w:r>
      <w:r>
        <w:t>ed, “primary geographic patterns” such as these (sensu Juarez-Barrera et al., 2018) are arguably central when studing the distribution of biota across space. The spatial distribution of species richness can be and often is explained in terms of the physica</w:t>
      </w:r>
      <w:r>
        <w:t xml:space="preserve">l environment. Certain properties of the environment have been suggested to influence species richness in three ways: (i) available resources and energy, which can determine the number of species able to co-exist in an area (Gaston, </w:t>
      </w:r>
      <w:hyperlink w:anchor="ref-Gaston2000">
        <w:r>
          <w:rPr>
            <w:rStyle w:val="Hyperlink"/>
          </w:rPr>
          <w:t>2000</w:t>
        </w:r>
      </w:hyperlink>
      <w:r>
        <w:t xml:space="preserve">; Kreft &amp; Jetz, </w:t>
      </w:r>
      <w:hyperlink w:anchor="ref-Kreft2007">
        <w:r>
          <w:rPr>
            <w:rStyle w:val="Hyperlink"/>
          </w:rPr>
          <w:t>2007</w:t>
        </w:r>
      </w:hyperlink>
      <w:r>
        <w:t xml:space="preserve">; Mouchet et al., </w:t>
      </w:r>
      <w:hyperlink w:anchor="ref-Mouchet2015">
        <w:r>
          <w:rPr>
            <w:rStyle w:val="Hyperlink"/>
          </w:rPr>
          <w:t>2015</w:t>
        </w:r>
      </w:hyperlink>
      <w:r>
        <w:t>); (ii) environmental stability through time, which enables species’ persistence; and (iii) spatial heterogeneity, which c</w:t>
      </w:r>
      <w:r>
        <w:t xml:space="preserve">an both stimulate ecological speciation and possible barriers to gene flow and can facilitate greater levels of species’ co-existence (Thuiller et al., </w:t>
      </w:r>
      <w:hyperlink w:anchor="ref-Thuiller2006">
        <w:r>
          <w:rPr>
            <w:rStyle w:val="Hyperlink"/>
          </w:rPr>
          <w:t>2006</w:t>
        </w:r>
      </w:hyperlink>
      <w:r>
        <w:t xml:space="preserve">; Mouchet et al., </w:t>
      </w:r>
      <w:hyperlink w:anchor="ref-Mouchet2015">
        <w:r>
          <w:rPr>
            <w:rStyle w:val="Hyperlink"/>
          </w:rPr>
          <w:t>2015</w:t>
        </w:r>
      </w:hyperlink>
      <w:r>
        <w:t xml:space="preserve">; Cramer &amp; Verboom, </w:t>
      </w:r>
      <w:hyperlink w:anchor="ref-Cramer2016">
        <w:r>
          <w:rPr>
            <w:rStyle w:val="Hyperlink"/>
          </w:rPr>
          <w:t>2016</w:t>
        </w:r>
      </w:hyperlink>
      <w:r>
        <w:t xml:space="preserve">). The physical environment, then, can be used to explain species richness in both a local-deterministic and historical sense (Ricklefs, </w:t>
      </w:r>
      <w:hyperlink w:anchor="ref-Ricklefs1987">
        <w:r>
          <w:rPr>
            <w:rStyle w:val="Hyperlink"/>
          </w:rPr>
          <w:t>1987</w:t>
        </w:r>
      </w:hyperlink>
      <w:r>
        <w:t>).</w:t>
      </w:r>
    </w:p>
    <w:p w:rsidR="002B0E82" w:rsidRDefault="00B71DAB">
      <w:pPr>
        <w:pStyle w:val="BodyText"/>
      </w:pPr>
      <w:r>
        <w:t xml:space="preserve">The maintenance of species richness, particularly the coexistence of high numbers of species in biodiversity hotspots, is often regarded as “paradoxical” (Hart et al., </w:t>
      </w:r>
      <w:hyperlink w:anchor="ref-Hart2017">
        <w:r>
          <w:rPr>
            <w:rStyle w:val="Hyperlink"/>
          </w:rPr>
          <w:t>2017</w:t>
        </w:r>
      </w:hyperlink>
      <w:r>
        <w:t>), and is a central p</w:t>
      </w:r>
      <w:r>
        <w:t xml:space="preserve">roblem in macro-ecology and biogeography (Ricklefs, </w:t>
      </w:r>
      <w:hyperlink w:anchor="ref-Ricklefs1987">
        <w:r>
          <w:rPr>
            <w:rStyle w:val="Hyperlink"/>
          </w:rPr>
          <w:t>1987</w:t>
        </w:r>
      </w:hyperlink>
      <w:r>
        <w:t xml:space="preserve">; Kreft &amp; Jetz, </w:t>
      </w:r>
      <w:hyperlink w:anchor="ref-Kreft2007">
        <w:r>
          <w:rPr>
            <w:rStyle w:val="Hyperlink"/>
          </w:rPr>
          <w:t>2007</w:t>
        </w:r>
      </w:hyperlink>
      <w:r>
        <w:t xml:space="preserve">; Hart et al., </w:t>
      </w:r>
      <w:hyperlink w:anchor="ref-Hart2017">
        <w:r>
          <w:rPr>
            <w:rStyle w:val="Hyperlink"/>
          </w:rPr>
          <w:t>2017</w:t>
        </w:r>
      </w:hyperlink>
      <w:r>
        <w:t>). Species richness is constrained by the ability o</w:t>
      </w:r>
      <w:r>
        <w:t xml:space="preserve">f habitats to support a variety of species—its ecological carrying capacity (Mateo et al., </w:t>
      </w:r>
      <w:hyperlink w:anchor="ref-Mateo2017">
        <w:r>
          <w:rPr>
            <w:rStyle w:val="Hyperlink"/>
          </w:rPr>
          <w:t>2017</w:t>
        </w:r>
      </w:hyperlink>
      <w:r>
        <w:t>). This is exemplified in modelling approches, wherein species richness is a function of environmental predictors in a correl</w:t>
      </w:r>
      <w:r>
        <w:t xml:space="preserve">ative framework (“macro-ecological models”; Mateo et al., </w:t>
      </w:r>
      <w:hyperlink w:anchor="ref-Mateo2017">
        <w:r>
          <w:rPr>
            <w:rStyle w:val="Hyperlink"/>
          </w:rPr>
          <w:t>2017</w:t>
        </w:r>
      </w:hyperlink>
      <w:r>
        <w:t xml:space="preserve">). Macro-ecological models of species richness implicitly assume that communities are saturated, following species-area and species-energy relationships, and </w:t>
      </w:r>
      <w:r>
        <w:t xml:space="preserve">at equilibrium with the environment (Mateo et al., </w:t>
      </w:r>
      <w:hyperlink w:anchor="ref-Mateo2017">
        <w:r>
          <w:rPr>
            <w:rStyle w:val="Hyperlink"/>
          </w:rPr>
          <w:t>2017</w:t>
        </w:r>
      </w:hyperlink>
      <w:r>
        <w:t xml:space="preserve">). </w:t>
      </w:r>
    </w:p>
    <w:p w:rsidR="002B0E82" w:rsidRDefault="00B71DAB">
      <w:pPr>
        <w:pStyle w:val="BodyText"/>
      </w:pPr>
      <w:r>
        <w:t xml:space="preserve">A solution to the “paradox” of species co-existence is environmental heterogeneity (EH): a more heterogeneous environment exhibits a larger environmental space, </w:t>
      </w:r>
      <w:r>
        <w:t xml:space="preserve">thus facilitating co-existence between more species. Heterogeneity in the physical environment is known to be positively associated with species richness (Rensburg et al., </w:t>
      </w:r>
      <w:hyperlink w:anchor="ref-VanRensburg2002">
        <w:r>
          <w:rPr>
            <w:rStyle w:val="Hyperlink"/>
          </w:rPr>
          <w:t>2002</w:t>
        </w:r>
      </w:hyperlink>
      <w:r>
        <w:t xml:space="preserve">; Hart et al., </w:t>
      </w:r>
      <w:hyperlink w:anchor="ref-Hart2017">
        <w:r>
          <w:rPr>
            <w:rStyle w:val="Hyperlink"/>
          </w:rPr>
          <w:t>2017</w:t>
        </w:r>
      </w:hyperlink>
      <w:r>
        <w:t xml:space="preserve">), and has been demonstrated to do so across many taxa—e.g. Canadian butterflies (Kerr et al., </w:t>
      </w:r>
      <w:hyperlink w:anchor="ref-Kerr2001">
        <w:r>
          <w:rPr>
            <w:rStyle w:val="Hyperlink"/>
          </w:rPr>
          <w:t>2001</w:t>
        </w:r>
      </w:hyperlink>
      <w:r>
        <w:t xml:space="preserve">), European </w:t>
      </w:r>
      <w:r>
        <w:lastRenderedPageBreak/>
        <w:t xml:space="preserve">vertebrates (Mouchet et al., </w:t>
      </w:r>
      <w:hyperlink w:anchor="ref-Mouchet2015">
        <w:r>
          <w:rPr>
            <w:rStyle w:val="Hyperlink"/>
          </w:rPr>
          <w:t>2015</w:t>
        </w:r>
      </w:hyperlink>
      <w:r>
        <w:t xml:space="preserve">), South African birds </w:t>
      </w:r>
      <w:r>
        <w:t xml:space="preserve">(Rensburg et al., </w:t>
      </w:r>
      <w:hyperlink w:anchor="ref-VanRensburg2002">
        <w:r>
          <w:rPr>
            <w:rStyle w:val="Hyperlink"/>
          </w:rPr>
          <w:t>2002</w:t>
        </w:r>
      </w:hyperlink>
      <w:r>
        <w:t xml:space="preserve">), in communities along marine continental margins (Levin et al., </w:t>
      </w:r>
      <w:hyperlink w:anchor="ref-Levin2010">
        <w:r>
          <w:rPr>
            <w:rStyle w:val="Hyperlink"/>
          </w:rPr>
          <w:t>2010</w:t>
        </w:r>
      </w:hyperlink>
      <w:r>
        <w:t xml:space="preserve">), French scarab beetles (Lobo et al., </w:t>
      </w:r>
      <w:hyperlink w:anchor="ref-Lobo2004">
        <w:r>
          <w:rPr>
            <w:rStyle w:val="Hyperlink"/>
          </w:rPr>
          <w:t>2004</w:t>
        </w:r>
      </w:hyperlink>
      <w:r>
        <w:t>), and f</w:t>
      </w:r>
      <w:r>
        <w:t xml:space="preserve">or global terrestrial plants (Kreft &amp; Jetz, </w:t>
      </w:r>
      <w:hyperlink w:anchor="ref-Kreft2007">
        <w:r>
          <w:rPr>
            <w:rStyle w:val="Hyperlink"/>
          </w:rPr>
          <w:t>2007</w:t>
        </w:r>
      </w:hyperlink>
      <w:r>
        <w:t xml:space="preserve">). The spatial scale of heterogeneity, or “grain” of the environment, is also important to consider (Hart et al., </w:t>
      </w:r>
      <w:hyperlink w:anchor="ref-Hart2017">
        <w:r>
          <w:rPr>
            <w:rStyle w:val="Hyperlink"/>
          </w:rPr>
          <w:t>2017</w:t>
        </w:r>
      </w:hyperlink>
      <w:r>
        <w:t>)</w:t>
      </w:r>
      <w:r>
        <w:t xml:space="preserve">, as spatial scale in absolute environmental conditions has also been explored (Kerr et al., </w:t>
      </w:r>
      <w:hyperlink w:anchor="ref-Kerr2001">
        <w:r>
          <w:rPr>
            <w:rStyle w:val="Hyperlink"/>
          </w:rPr>
          <w:t>2001</w:t>
        </w:r>
      </w:hyperlink>
      <w:r>
        <w:t xml:space="preserve">; Baudena et al., </w:t>
      </w:r>
      <w:hyperlink w:anchor="ref-Baudena2015">
        <w:r>
          <w:rPr>
            <w:rStyle w:val="Hyperlink"/>
          </w:rPr>
          <w:t>2015</w:t>
        </w:r>
      </w:hyperlink>
      <w:r>
        <w:t xml:space="preserve">; Mouchet et al., </w:t>
      </w:r>
      <w:hyperlink w:anchor="ref-Mouchet2015">
        <w:r>
          <w:rPr>
            <w:rStyle w:val="Hyperlink"/>
          </w:rPr>
          <w:t>2015</w:t>
        </w:r>
      </w:hyperlink>
      <w:r>
        <w:t>). S</w:t>
      </w:r>
      <w:r>
        <w:t xml:space="preserve">pecies co-existence and biodiversity maintenance is indeed suggested to be scale-dependent (Hart et al., </w:t>
      </w:r>
      <w:hyperlink w:anchor="ref-Hart2017">
        <w:r>
          <w:rPr>
            <w:rStyle w:val="Hyperlink"/>
          </w:rPr>
          <w:t>2017</w:t>
        </w:r>
      </w:hyperlink>
      <w:r>
        <w:t>).</w:t>
      </w:r>
    </w:p>
    <w:p w:rsidR="002B0E82" w:rsidRDefault="00B71DAB">
      <w:pPr>
        <w:pStyle w:val="BodyText"/>
      </w:pPr>
      <w:r>
        <w:t xml:space="preserve">EH is often under-represented in macro-ecological models of species richness, and has recently been found to </w:t>
      </w:r>
      <w:r>
        <w:t xml:space="preserve">explain up to ca. 95% of biome level species richness across South Africa (Cramer &amp; Verboom, </w:t>
      </w:r>
      <w:hyperlink w:anchor="ref-Cramer2016">
        <w:r>
          <w:rPr>
            <w:rStyle w:val="Hyperlink"/>
          </w:rPr>
          <w:t>2016</w:t>
        </w:r>
      </w:hyperlink>
      <w:r>
        <w:t xml:space="preserve">). Indeed, models that include EH yield better estimates of the richness of the Cape flora (Thuiller et al., </w:t>
      </w:r>
      <w:hyperlink w:anchor="ref-Thuiller2006">
        <w:r>
          <w:rPr>
            <w:rStyle w:val="Hyperlink"/>
          </w:rPr>
          <w:t>2006</w:t>
        </w:r>
      </w:hyperlink>
      <w:r>
        <w:t xml:space="preserve">; Cramer &amp; Verboom, </w:t>
      </w:r>
      <w:hyperlink w:anchor="ref-Cramer2016">
        <w:r>
          <w:rPr>
            <w:rStyle w:val="Hyperlink"/>
          </w:rPr>
          <w:t>2016</w:t>
        </w:r>
      </w:hyperlink>
      <w:r>
        <w:t>). Mediterranean-type terrestrial biodiversity hotspots, such as the Cape flora included in the models by Cramer &amp; Verboom (</w:t>
      </w:r>
      <w:hyperlink w:anchor="ref-Cramer2016">
        <w:r>
          <w:rPr>
            <w:rStyle w:val="Hyperlink"/>
          </w:rPr>
          <w:t>2016</w:t>
        </w:r>
      </w:hyperlink>
      <w:r>
        <w:t xml:space="preserve">), present interesting study systems in which to investigate the relationship between the environment and species richness. These systems exhibit far greater species richness than predicted by their areas, productivities and latitudes (Cowling et al., </w:t>
      </w:r>
      <w:hyperlink w:anchor="ref-Cowling1996">
        <w:r>
          <w:rPr>
            <w:rStyle w:val="Hyperlink"/>
          </w:rPr>
          <w:t>1996</w:t>
        </w:r>
      </w:hyperlink>
      <w:r>
        <w:t xml:space="preserve">; Kreft &amp; Jetz, </w:t>
      </w:r>
      <w:hyperlink w:anchor="ref-Kreft2007">
        <w:r>
          <w:rPr>
            <w:rStyle w:val="Hyperlink"/>
          </w:rPr>
          <w:t>2007</w:t>
        </w:r>
      </w:hyperlink>
      <w:r>
        <w:t xml:space="preserve">). There are five Mediterranean biodiversity hotspots on Earth: the California Floristic Province, the Mediterranean Basin, the Chilean Winter Rainfall-Valdivian </w:t>
      </w:r>
      <w:r>
        <w:t xml:space="preserve">Forests, the Greater Cape Floristic Region, and the Southwest Australia Floristic Region (Cowling et al., </w:t>
      </w:r>
      <w:hyperlink w:anchor="ref-Cowling1996">
        <w:r>
          <w:rPr>
            <w:rStyle w:val="Hyperlink"/>
          </w:rPr>
          <w:t>1996</w:t>
        </w:r>
      </w:hyperlink>
      <w:r>
        <w:t xml:space="preserve">; Hopper &amp; Gioia, </w:t>
      </w:r>
      <w:hyperlink w:anchor="ref-Hopper2004">
        <w:r>
          <w:rPr>
            <w:rStyle w:val="Hyperlink"/>
          </w:rPr>
          <w:t>2004</w:t>
        </w:r>
      </w:hyperlink>
      <w:r>
        <w:t xml:space="preserve">; Cook et al., </w:t>
      </w:r>
      <w:hyperlink w:anchor="ref-Cook2015">
        <w:r>
          <w:rPr>
            <w:rStyle w:val="Hyperlink"/>
          </w:rPr>
          <w:t>2015</w:t>
        </w:r>
      </w:hyperlink>
      <w:r>
        <w:t xml:space="preserve">). These ecosystems have regular fire-cycles (Cowling et al., </w:t>
      </w:r>
      <w:hyperlink w:anchor="ref-Cowling1996">
        <w:r>
          <w:rPr>
            <w:rStyle w:val="Hyperlink"/>
          </w:rPr>
          <w:t>1996</w:t>
        </w:r>
      </w:hyperlink>
      <w:r>
        <w:t xml:space="preserve">), climatic buffering, and long term stability (Kreft &amp; Jetz, </w:t>
      </w:r>
      <w:hyperlink w:anchor="ref-Kreft2007">
        <w:r>
          <w:rPr>
            <w:rStyle w:val="Hyperlink"/>
          </w:rPr>
          <w:t>2007</w:t>
        </w:r>
      </w:hyperlink>
      <w:r>
        <w:t>), shrubby, sclerophyllous flora (Hopper &amp; Gi</w:t>
      </w:r>
      <w:r>
        <w:t xml:space="preserve">oia, </w:t>
      </w:r>
      <w:hyperlink w:anchor="ref-Hopper2004">
        <w:r>
          <w:rPr>
            <w:rStyle w:val="Hyperlink"/>
          </w:rPr>
          <w:t>2004</w:t>
        </w:r>
      </w:hyperlink>
      <w:r>
        <w:t xml:space="preserve">). Together, they account for ca. 20% of global vascular plant species, yet only ca. 5% of global land surface areas (Cowling et al., </w:t>
      </w:r>
      <w:hyperlink w:anchor="ref-Cowling1996">
        <w:r>
          <w:rPr>
            <w:rStyle w:val="Hyperlink"/>
          </w:rPr>
          <w:t>1996</w:t>
        </w:r>
      </w:hyperlink>
      <w:r>
        <w:t>). Various hypotheses have been pr</w:t>
      </w:r>
      <w:r>
        <w:t xml:space="preserve">oposed to explain the high levels of plant species richness in these regions (Cook et al., </w:t>
      </w:r>
      <w:hyperlink w:anchor="ref-Cook2015">
        <w:r>
          <w:rPr>
            <w:rStyle w:val="Hyperlink"/>
          </w:rPr>
          <w:t>2015</w:t>
        </w:r>
      </w:hyperlink>
      <w:r>
        <w:t>). The species accumulation hypothesis states that the stability of these regions has allowed many species to accrue. The spec</w:t>
      </w:r>
      <w:r>
        <w:t>ies co-existence hypothesis states that these hotspots may facilitate greater degrees of species co-existence in smaller spatial areas, due to fine-scale heterogeneity in their environments. Indeed, EH has evolutionary implications too, stimulating ecologi</w:t>
      </w:r>
      <w:r>
        <w:t>cal speciation across sharp environmental gradients.</w:t>
      </w:r>
    </w:p>
    <w:p w:rsidR="002B0E82" w:rsidRDefault="00B71DAB">
      <w:pPr>
        <w:pStyle w:val="BodyText"/>
      </w:pPr>
      <w:r>
        <w:t xml:space="preserve">Both the Southwest Australia Floristic Region (SWA) and the Greater Cape Floristic Region (Cape) are Mediterranean-type biodiversity hotspots, particularly in terms of plant species. </w:t>
      </w:r>
      <w:r>
        <w:lastRenderedPageBreak/>
        <w:t>Where the Cape (with an area of ca. 189,000 km</w:t>
      </w:r>
      <w:r>
        <w:rPr>
          <w:vertAlign w:val="superscript"/>
        </w:rPr>
        <w:t>2</w:t>
      </w:r>
      <w:r>
        <w:t>) is known to contain abou</w:t>
      </w:r>
      <w:r>
        <w:t>t 11,400 plant species (about 0.060 species per km</w:t>
      </w:r>
      <w:r>
        <w:rPr>
          <w:vertAlign w:val="superscript"/>
        </w:rPr>
        <w:t>2</w:t>
      </w:r>
      <w:r>
        <w:t>), SWA (area of ca. 270,000 km</w:t>
      </w:r>
      <w:r>
        <w:rPr>
          <w:vertAlign w:val="superscript"/>
        </w:rPr>
        <w:t>2</w:t>
      </w:r>
      <w:r>
        <w:t>) has about 3,700 species (0.014 species per km</w:t>
      </w:r>
      <w:r>
        <w:rPr>
          <w:vertAlign w:val="superscript"/>
        </w:rPr>
        <w:t>2</w:t>
      </w:r>
      <w:r>
        <w:t xml:space="preserve">) (Manning et al., </w:t>
      </w:r>
      <w:hyperlink w:anchor="ref-ManningandGoldblatt2012">
        <w:r>
          <w:rPr>
            <w:rStyle w:val="Hyperlink"/>
          </w:rPr>
          <w:t>2012</w:t>
        </w:r>
      </w:hyperlink>
      <w:r>
        <w:t>). So, the Cape has ca. 4.3 times as many species per</w:t>
      </w:r>
      <w:r>
        <w:t xml:space="preserve"> km</w:t>
      </w:r>
      <w:r>
        <w:rPr>
          <w:vertAlign w:val="superscript"/>
        </w:rPr>
        <w:t>2</w:t>
      </w:r>
      <w:r>
        <w:t xml:space="preserve"> as SWA. The Cape and SWA are appropriately often compared, due to the similarities between their environments (e.g. oligotrophic soils, an oceanically buffered moderate climate) and their plants’ ecologies (Hopper &amp; Gioia, </w:t>
      </w:r>
      <w:hyperlink w:anchor="ref-Hopper2004">
        <w:r>
          <w:rPr>
            <w:rStyle w:val="Hyperlink"/>
          </w:rPr>
          <w:t>2004</w:t>
        </w:r>
      </w:hyperlink>
      <w:r>
        <w:t xml:space="preserve">). These two regions present unique flora out of the five Mediterranean systems, with high levels of endemism (Cowling et al., </w:t>
      </w:r>
      <w:hyperlink w:anchor="ref-Cowling1996">
        <w:r>
          <w:rPr>
            <w:rStyle w:val="Hyperlink"/>
          </w:rPr>
          <w:t>1996</w:t>
        </w:r>
      </w:hyperlink>
      <w:r>
        <w:t xml:space="preserve">), and many obligate fire-adapted species (Cowling et al., </w:t>
      </w:r>
      <w:hyperlink w:anchor="ref-Cowling1996">
        <w:r>
          <w:rPr>
            <w:rStyle w:val="Hyperlink"/>
          </w:rPr>
          <w:t>1996</w:t>
        </w:r>
      </w:hyperlink>
      <w:r>
        <w:t>). Similarities withstanding, SWA is topographically and edaphically distinct from the Cape. The former is topographically rather uniform (i.e. flat)—uniquely so among the world’s five Mediterranean-climate regions (Hopper &amp; Gioi</w:t>
      </w:r>
      <w:r>
        <w:t xml:space="preserve">a, </w:t>
      </w:r>
      <w:hyperlink w:anchor="ref-Hopper2004">
        <w:r>
          <w:rPr>
            <w:rStyle w:val="Hyperlink"/>
          </w:rPr>
          <w:t>2004</w:t>
        </w:r>
      </w:hyperlink>
      <w:r>
        <w:t xml:space="preserve">)). SWA possesses a mesoscale chronosequence dune system (Laliberte et al., </w:t>
      </w:r>
      <w:hyperlink w:anchor="ref-Laliberte2014">
        <w:r>
          <w:rPr>
            <w:rStyle w:val="Hyperlink"/>
          </w:rPr>
          <w:t>2014</w:t>
        </w:r>
      </w:hyperlink>
      <w:r>
        <w:t xml:space="preserve">; Cook et al., </w:t>
      </w:r>
      <w:hyperlink w:anchor="ref-Cook2015">
        <w:r>
          <w:rPr>
            <w:rStyle w:val="Hyperlink"/>
          </w:rPr>
          <w:t>2015</w:t>
        </w:r>
      </w:hyperlink>
      <w:r>
        <w:t>), while the Cape is mountainous, topo</w:t>
      </w:r>
      <w:r>
        <w:t xml:space="preserve">graphically heterogeneous, and therefore associated with a large degree of spatial climatic variability, with a fine-scale mosaic of geologies and soils (Cowling et al., </w:t>
      </w:r>
      <w:hyperlink w:anchor="ref-Cowling1996">
        <w:r>
          <w:rPr>
            <w:rStyle w:val="Hyperlink"/>
          </w:rPr>
          <w:t>1996</w:t>
        </w:r>
      </w:hyperlink>
      <w:r>
        <w:t xml:space="preserve">; Cramer et al., </w:t>
      </w:r>
      <w:hyperlink w:anchor="ref-Cramer2014">
        <w:r>
          <w:rPr>
            <w:rStyle w:val="Hyperlink"/>
          </w:rPr>
          <w:t>2014</w:t>
        </w:r>
      </w:hyperlink>
      <w:r>
        <w:t xml:space="preserve">; Verboom et al., </w:t>
      </w:r>
      <w:hyperlink w:anchor="ref-Verboom2017">
        <w:r>
          <w:rPr>
            <w:rStyle w:val="Hyperlink"/>
          </w:rPr>
          <w:t>2017</w:t>
        </w:r>
      </w:hyperlink>
      <w:r>
        <w:t xml:space="preserve">). </w:t>
      </w:r>
    </w:p>
    <w:p w:rsidR="002B0E82" w:rsidRDefault="00B71DAB">
      <w:pPr>
        <w:pStyle w:val="BodyText"/>
      </w:pPr>
      <w:r>
        <w:t xml:space="preserve">Both regions have sources of edaphic heterogeneity, but at different scales. This edaphic variability may aid in explaining the species richness in these regions (Beard et al., </w:t>
      </w:r>
      <w:hyperlink w:anchor="ref-Beard2000">
        <w:r>
          <w:rPr>
            <w:rStyle w:val="Hyperlink"/>
          </w:rPr>
          <w:t>2000</w:t>
        </w:r>
      </w:hyperlink>
      <w:r>
        <w:t xml:space="preserve">; Verboom et al., </w:t>
      </w:r>
      <w:hyperlink w:anchor="ref-Verboom2017">
        <w:r>
          <w:rPr>
            <w:rStyle w:val="Hyperlink"/>
          </w:rPr>
          <w:t>2017</w:t>
        </w:r>
      </w:hyperlink>
      <w:r>
        <w:t>). EH of many forms will likely be important in macro-ecological models in both regions, as both regions have been relatively environmentally stable over evo</w:t>
      </w:r>
      <w:r>
        <w:t xml:space="preserve">lutionary time-scales (Wardell-Johnson &amp; Horwitz, </w:t>
      </w:r>
      <w:hyperlink w:anchor="ref-Wardell-Johnson1996">
        <w:r>
          <w:rPr>
            <w:rStyle w:val="Hyperlink"/>
          </w:rPr>
          <w:t>1996</w:t>
        </w:r>
      </w:hyperlink>
      <w:r>
        <w:t xml:space="preserve">; Hopper &amp; Gioia, </w:t>
      </w:r>
      <w:hyperlink w:anchor="ref-Hopper2004">
        <w:r>
          <w:rPr>
            <w:rStyle w:val="Hyperlink"/>
          </w:rPr>
          <w:t>2004</w:t>
        </w:r>
      </w:hyperlink>
      <w:r>
        <w:t xml:space="preserve">; Lambers et al., </w:t>
      </w:r>
      <w:hyperlink w:anchor="ref-Lambers2010">
        <w:r>
          <w:rPr>
            <w:rStyle w:val="Hyperlink"/>
          </w:rPr>
          <w:t>2010</w:t>
        </w:r>
      </w:hyperlink>
      <w:r>
        <w:t xml:space="preserve">; Cramer et al., </w:t>
      </w:r>
      <w:hyperlink w:anchor="ref-Cramer2014">
        <w:r>
          <w:rPr>
            <w:rStyle w:val="Hyperlink"/>
          </w:rPr>
          <w:t>2014</w:t>
        </w:r>
      </w:hyperlink>
      <w:r>
        <w:t xml:space="preserve">; Laliberte et al., </w:t>
      </w:r>
      <w:hyperlink w:anchor="ref-Laliberte2014">
        <w:r>
          <w:rPr>
            <w:rStyle w:val="Hyperlink"/>
          </w:rPr>
          <w:t>2014</w:t>
        </w:r>
      </w:hyperlink>
      <w:r>
        <w:t xml:space="preserve">; Cook et al., </w:t>
      </w:r>
      <w:hyperlink w:anchor="ref-Cook2015">
        <w:r>
          <w:rPr>
            <w:rStyle w:val="Hyperlink"/>
          </w:rPr>
          <w:t>2015</w:t>
        </w:r>
      </w:hyperlink>
      <w:r>
        <w:t>)</w:t>
      </w:r>
      <w:r>
        <w:t xml:space="preserve">. For the Cape, high levels of species richness are thought to result from long term climatic stability, and fine grain variation in geology and soils (Cramer et al., </w:t>
      </w:r>
      <w:hyperlink w:anchor="ref-Cramer2014">
        <w:r>
          <w:rPr>
            <w:rStyle w:val="Hyperlink"/>
          </w:rPr>
          <w:t>2014</w:t>
        </w:r>
      </w:hyperlink>
      <w:r>
        <w:t>). The question thus arises whether heterogeneit</w:t>
      </w:r>
      <w:r>
        <w:t xml:space="preserve">y is a significant contributor to SWA species richness. In the absence of topographic variability in SWA, it is proposed that the heterogeneity of that region is due to the juxtaposition of soil types (Laliberte et al., </w:t>
      </w:r>
      <w:hyperlink w:anchor="ref-Laliberte2014">
        <w:r>
          <w:rPr>
            <w:rStyle w:val="Hyperlink"/>
          </w:rPr>
          <w:t>2014</w:t>
        </w:r>
      </w:hyperlink>
      <w:r>
        <w:t xml:space="preserve">; Cook et al., </w:t>
      </w:r>
      <w:hyperlink w:anchor="ref-Cook2015">
        <w:r>
          <w:rPr>
            <w:rStyle w:val="Hyperlink"/>
          </w:rPr>
          <w:t>2015</w:t>
        </w:r>
      </w:hyperlink>
      <w:r>
        <w:t>), creating extreme edaphic variation.</w:t>
      </w:r>
    </w:p>
    <w:p w:rsidR="002B0E82" w:rsidRDefault="00B71DAB">
      <w:pPr>
        <w:pStyle w:val="BodyText"/>
      </w:pPr>
      <w:r>
        <w:t>Our hypotheses concern the Cape and SWA’s environments and floras. Our main hypothesis is that the Cape possesses greater abiotic heterogeneity, and at fin</w:t>
      </w:r>
      <w:r>
        <w:t>er grain, compared to SWA, such as to explain the Cape’s greater species richness per unit area, and proposed greater levels of species turnover between areas. We also conjecture that the heterogeneity that predicts species richness in SWA will be more pro</w:t>
      </w:r>
      <w:r>
        <w:t xml:space="preserve">nounced in terms of edaphic variables. Here we attempt to </w:t>
      </w:r>
      <w:r>
        <w:lastRenderedPageBreak/>
        <w:t>assess five key predictions of this hypothesis, additionally investigating a seventh prediction to test the conjectured role of edaphic heterogeneity in SWA. Dealing with the two regions’ environmen</w:t>
      </w:r>
      <w:r>
        <w:t xml:space="preserve">ts, we assess (i) whether the Cape environment is more heterogeneous than that of SWA and (ii) whether the Cape environment has more pronounced heterogeneity at finer scales than that of SWA. Dealing with the distribution of species in the two regions, we </w:t>
      </w:r>
      <w:r>
        <w:t>assess (iii) whether the Cape exhibits greater levels of species turnover between areas. Relating each regions’ environment and flora, we finally assess (iv) whether species richness and species turnover are adequately predicted by EH in both regions and w</w:t>
      </w:r>
      <w:r>
        <w:t>hether (v) species richness and species turnover are better predicted by different forms of EH in either region (e.g. the importance of edaphic heterogeneity in SWA).</w:t>
      </w:r>
    </w:p>
    <w:p w:rsidR="002B0E82" w:rsidRDefault="00B71DAB">
      <w:pPr>
        <w:pStyle w:val="Heading1"/>
      </w:pPr>
      <w:bookmarkStart w:id="3" w:name="materials-and-methods"/>
      <w:r>
        <w:t>Materials and methods</w:t>
      </w:r>
      <w:bookmarkEnd w:id="3"/>
    </w:p>
    <w:p w:rsidR="002B0E82" w:rsidRDefault="00B71DAB">
      <w:pPr>
        <w:pStyle w:val="Heading2"/>
      </w:pPr>
      <w:bookmarkStart w:id="4" w:name="overview"/>
      <w:r>
        <w:t>Overview</w:t>
      </w:r>
      <w:bookmarkEnd w:id="4"/>
    </w:p>
    <w:p w:rsidR="002B0E82" w:rsidRDefault="00B71DAB">
      <w:pPr>
        <w:pStyle w:val="FirstParagraph"/>
      </w:pPr>
      <w:r>
        <w:t>Our analyses required boundaries for each region and geogr</w:t>
      </w:r>
      <w:r>
        <w:t xml:space="preserve">aphically explicit environmental data and vascular plant occurrence records. The environmental variables chosen (Table 1) for this study were intended to cover a reasonable spread of climatic, edaphic, and ecologically relevant environmental axes, and are </w:t>
      </w:r>
      <w:r>
        <w:t>not intended to be exhaustive. We selected variables describing topography (elevation), productivity (NDVI), soil status and climate and climatic seasonality.</w:t>
      </w:r>
    </w:p>
    <w:p w:rsidR="002B0E82" w:rsidRDefault="00B71DAB">
      <w:pPr>
        <w:pStyle w:val="BodyText"/>
      </w:pPr>
      <w:r>
        <w:t xml:space="preserve">We carried out this investigation at four principal spatial scales: 0.05º x 0.05º squares (the finest common resolution among the environmental data sources used), quarter degree squares (QDS) (Larsen et al., </w:t>
      </w:r>
      <w:hyperlink w:anchor="ref-Larsen2009">
        <w:r>
          <w:rPr>
            <w:rStyle w:val="Hyperlink"/>
          </w:rPr>
          <w:t>2009</w:t>
        </w:r>
      </w:hyperlink>
      <w:r>
        <w:t>), hal</w:t>
      </w:r>
      <w:r>
        <w:t xml:space="preserve">f degree squares (HDS) (Larsen et al., </w:t>
      </w:r>
      <w:hyperlink w:anchor="ref-Larsen2009">
        <w:r>
          <w:rPr>
            <w:rStyle w:val="Hyperlink"/>
          </w:rPr>
          <w:t>2009</w:t>
        </w:r>
      </w:hyperlink>
      <w:r>
        <w:t>) and three-quarter degree squares (3QDS). For the Cape, most plant occurrence records are only accurate to QDS level. Thus, analyses involving species occurence data were nece</w:t>
      </w:r>
      <w:r>
        <w:t>ssary limited to scales including and above QDS.</w:t>
      </w:r>
    </w:p>
    <w:p w:rsidR="002B0E82" w:rsidRDefault="00B71DAB">
      <w:pPr>
        <w:pStyle w:val="BodyText"/>
      </w:pPr>
      <w:r>
        <w:t xml:space="preserve">Analyses were performed in R v3.4.0–3.5.1 (R Core Team, </w:t>
      </w:r>
      <w:hyperlink w:anchor="ref-RCoreTeam2018">
        <w:r>
          <w:rPr>
            <w:rStyle w:val="Hyperlink"/>
          </w:rPr>
          <w:t>2018</w:t>
        </w:r>
      </w:hyperlink>
      <w:r>
        <w:t>). Version-numbers of specific R packages used are presented in the bibliography.</w:t>
      </w:r>
    </w:p>
    <w:p w:rsidR="002B0E82" w:rsidRDefault="00B71DAB">
      <w:pPr>
        <w:pStyle w:val="Heading2"/>
      </w:pPr>
      <w:bookmarkStart w:id="5" w:name="environmental-data-sources"/>
      <w:r>
        <w:lastRenderedPageBreak/>
        <w:t>Environmental data source</w:t>
      </w:r>
      <w:r>
        <w:t>s</w:t>
      </w:r>
      <w:bookmarkEnd w:id="5"/>
    </w:p>
    <w:p w:rsidR="002B0E82" w:rsidRDefault="00B71DAB">
      <w:pPr>
        <w:pStyle w:val="FirstParagraph"/>
      </w:pPr>
      <w:r>
        <w:t xml:space="preserve">The GCFR was treated as the area occupied by the Succulent Karoo and Fynbos biomes in the current delineation of South Africa’s biome boundaries (Mucina &amp; Rutherford, </w:t>
      </w:r>
      <w:hyperlink w:anchor="ref-Mucina2006">
        <w:r>
          <w:rPr>
            <w:rStyle w:val="Hyperlink"/>
          </w:rPr>
          <w:t>2006</w:t>
        </w:r>
      </w:hyperlink>
      <w:r>
        <w:t>). The SWAFR was treated as the areas occupied</w:t>
      </w:r>
      <w:r>
        <w:t xml:space="preserve"> by the Southwest Australia savanna, Swan Coastal Plain Scrub and Woodlands, Jarrah-Karri forest and shrublands, Southwest Australia woodlands, Esperance mallee, and Coolgardie woodlands in the World Wildlife Fund Terrestrial Ecoregions dataset (Olson et a</w:t>
      </w:r>
      <w:r>
        <w:t xml:space="preserve">l., </w:t>
      </w:r>
      <w:hyperlink w:anchor="ref-Olson2001">
        <w:r>
          <w:rPr>
            <w:rStyle w:val="Hyperlink"/>
          </w:rPr>
          <w:t>2001</w:t>
        </w:r>
      </w:hyperlink>
      <w:r>
        <w:t xml:space="preserve">) in order to closely match the currently delineated SWAFR (Gioia &amp; Hopper, </w:t>
      </w:r>
      <w:hyperlink w:anchor="ref-Gioia2017">
        <w:r>
          <w:rPr>
            <w:rStyle w:val="Hyperlink"/>
          </w:rPr>
          <w:t>2017</w:t>
        </w:r>
      </w:hyperlink>
      <w:r>
        <w:t>, Hopper &amp; Gioia (</w:t>
      </w:r>
      <w:hyperlink w:anchor="ref-Hopper2004">
        <w:r>
          <w:rPr>
            <w:rStyle w:val="Hyperlink"/>
          </w:rPr>
          <w:t>2004</w:t>
        </w:r>
      </w:hyperlink>
      <w:r>
        <w:t>)). For the sake of readability, we s</w:t>
      </w:r>
      <w:r>
        <w:t>hall refer to the GCFR and SWAFR simply as the Cape and SWA from hereon.</w:t>
      </w:r>
    </w:p>
    <w:p w:rsidR="002B0E82" w:rsidRDefault="00B71DAB">
      <w:pPr>
        <w:pStyle w:val="BodyText"/>
      </w:pPr>
      <w:r>
        <w:t>Geospatially-explicit raster layers were acquired for a selection of environmental variables (Table 1), for the regions of interest. Raster data were re-projected to a common coordina</w:t>
      </w:r>
      <w:r>
        <w:t xml:space="preserve">te reference: WGS84 (NIMA, </w:t>
      </w:r>
      <w:hyperlink w:anchor="ref-WGS84">
        <w:r>
          <w:rPr>
            <w:rStyle w:val="Hyperlink"/>
          </w:rPr>
          <w:t>2000</w:t>
        </w:r>
      </w:hyperlink>
      <w:r>
        <w:t xml:space="preserve">), using the “rgdal” (Bivand et al., </w:t>
      </w:r>
      <w:hyperlink w:anchor="ref-Bivand2017">
        <w:r>
          <w:rPr>
            <w:rStyle w:val="Hyperlink"/>
          </w:rPr>
          <w:t>2017</w:t>
        </w:r>
      </w:hyperlink>
      <w:r>
        <w:t xml:space="preserve">) package in R (R Core Team, </w:t>
      </w:r>
      <w:hyperlink w:anchor="ref-RCoreTeam2018">
        <w:r>
          <w:rPr>
            <w:rStyle w:val="Hyperlink"/>
          </w:rPr>
          <w:t>2018</w:t>
        </w:r>
      </w:hyperlink>
      <w:r>
        <w:t>). All data were re-sampled to 0.05º resol</w:t>
      </w:r>
      <w:r>
        <w:t xml:space="preserve">ution using the “resample” function in the R package “raster” (Hijmans, </w:t>
      </w:r>
      <w:hyperlink w:anchor="ref-Hijmans2016">
        <w:r>
          <w:rPr>
            <w:rStyle w:val="Hyperlink"/>
          </w:rPr>
          <w:t>2016</w:t>
        </w:r>
      </w:hyperlink>
      <w:r>
        <w:t>), with the “bilinear” method.</w:t>
      </w:r>
    </w:p>
    <w:p w:rsidR="002B0E82" w:rsidRDefault="00B71DAB">
      <w:pPr>
        <w:pStyle w:val="BodyText"/>
      </w:pPr>
      <w:r>
        <w:t>An emphasis was made on using satellite-derived environmental data in this work, in order to minimise differences in data quality and methodologies between the Cape and SWA. Additionally, satellite-derived data have been shown to benefit regional-scale spe</w:t>
      </w:r>
      <w:r>
        <w:t xml:space="preserve">cies distribution models (Deblauwe et al., </w:t>
      </w:r>
      <w:hyperlink w:anchor="ref-Deblauwe2016">
        <w:r>
          <w:rPr>
            <w:rStyle w:val="Hyperlink"/>
          </w:rPr>
          <w:t>2016</w:t>
        </w:r>
      </w:hyperlink>
      <w:r>
        <w:t xml:space="preserve">), thus motivating their use in this regional-scale study. The environmental data used in this study were derived from NASA’s SRTM digital elevation model (Farr et al., </w:t>
      </w:r>
      <w:hyperlink w:anchor="ref-Farr2007">
        <w:r>
          <w:rPr>
            <w:rStyle w:val="Hyperlink"/>
          </w:rPr>
          <w:t>2007</w:t>
        </w:r>
      </w:hyperlink>
      <w:r>
        <w:t xml:space="preserve">), NASA’s MODIS/Terra spectroradiometric data for land surface temperature and NDVI, the Climate Hazards Group’s CHIRPS rainfall dataset (Funk et al., </w:t>
      </w:r>
      <w:hyperlink w:anchor="ref-Funk2015">
        <w:r>
          <w:rPr>
            <w:rStyle w:val="Hyperlink"/>
          </w:rPr>
          <w:t>2015</w:t>
        </w:r>
      </w:hyperlink>
      <w:r>
        <w:t>), and the International Soi</w:t>
      </w:r>
      <w:r>
        <w:t xml:space="preserve">l Reference and Information Centre’s SoilGrids250m edaphic dataset (Hengl et al., </w:t>
      </w:r>
      <w:hyperlink w:anchor="ref-Hengl2017">
        <w:r>
          <w:rPr>
            <w:rStyle w:val="Hyperlink"/>
          </w:rPr>
          <w:t>2017</w:t>
        </w:r>
      </w:hyperlink>
      <w:r>
        <w:t>) (Table 1). SRTM and MODIS are entirely derived from satellite measurements, whereas CHIRPS is interpolated from weather station data</w:t>
      </w:r>
      <w:r>
        <w:t xml:space="preserve"> with satellite-derived radiometric measurements. SoilGrids250m is a machine-learning derived product, based on soil measurements as a function of many covariates, including MODIS and STRM sources (see Hengl et al., </w:t>
      </w:r>
      <w:hyperlink w:anchor="ref-Hengl2017">
        <w:r>
          <w:rPr>
            <w:rStyle w:val="Hyperlink"/>
          </w:rPr>
          <w:t>2017</w:t>
        </w:r>
      </w:hyperlink>
      <w:r>
        <w:t>), using random-forests and other classification-tree-based methods, including gradient-boosting. For the soil data considered here (Table 1), we used depth-interval weighted average values as the value for a particular soil variable in a given place.</w:t>
      </w:r>
    </w:p>
    <w:p w:rsidR="002B0E82" w:rsidRDefault="00B71DAB">
      <w:pPr>
        <w:pStyle w:val="BodyText"/>
      </w:pPr>
      <w:r>
        <w:lastRenderedPageBreak/>
        <w:t>Clim</w:t>
      </w:r>
      <w:r>
        <w:t>atic and spectral data arise from satellites monitoring properties of the Earth’s surface through time. We therefore use the mean annual values for rainfall, surface temperature, and NDVI in each pixel in our analyses. Pronounced seasonality of rainfall is</w:t>
      </w:r>
      <w:r>
        <w:t xml:space="preserve"> a known feature of mediterranean systems . We describe this seasonality by computing computing the precipitation in the driest quarter (PDQ), using methods based on the “biovars” function in the R package “dismo”.</w:t>
      </w:r>
    </w:p>
    <w:p w:rsidR="002B0E82" w:rsidRDefault="00B71DAB">
      <w:pPr>
        <w:pStyle w:val="Heading2"/>
      </w:pPr>
      <w:bookmarkStart w:id="6" w:name="plant-occurrence-data"/>
      <w:r>
        <w:t>Plant occurrence data</w:t>
      </w:r>
      <w:bookmarkEnd w:id="6"/>
    </w:p>
    <w:p w:rsidR="002B0E82" w:rsidRDefault="00B71DAB">
      <w:pPr>
        <w:pStyle w:val="FirstParagraph"/>
      </w:pPr>
      <w:r>
        <w:t>Geospatially-explic</w:t>
      </w:r>
      <w:r>
        <w:t xml:space="preserve">it records of vascular plant occurrences were downloaded from the Global Biodiversity Information Facility (GBIF, Table 1). Queries were made for tracheophyte records from within the borders of the Cape and SWA as treated here (GBIF, 24 July 2017, </w:t>
      </w:r>
      <w:r>
        <w:rPr>
          <w:b/>
        </w:rPr>
        <w:t>???</w:t>
      </w:r>
      <w:r>
        <w:t>). On</w:t>
      </w:r>
      <w:r>
        <w:t>ly records with defined species and intra-specific ranks were kept. Intra-specific occurrences were treated as simply being representative of their species. This resulted in FIXME unique species names in the Cape, and FIXME in SWA.</w:t>
      </w:r>
    </w:p>
    <w:p w:rsidR="002B0E82" w:rsidRDefault="00B71DAB">
      <w:pPr>
        <w:pStyle w:val="BodyText"/>
      </w:pPr>
      <w:r>
        <w:t>We cleaned these data us</w:t>
      </w:r>
      <w:r>
        <w:t xml:space="preserve">ing the R package “taxise” (Scott Chamberlain &amp; Eduard Szocs, </w:t>
      </w:r>
      <w:hyperlink w:anchor="ref-R-taxize">
        <w:r>
          <w:rPr>
            <w:rStyle w:val="Hyperlink"/>
          </w:rPr>
          <w:t>2013</w:t>
        </w:r>
      </w:hyperlink>
      <w:r>
        <w:t xml:space="preserve">; Chamberlain et al., </w:t>
      </w:r>
      <w:hyperlink w:anchor="ref-Chamberlain2016">
        <w:r>
          <w:rPr>
            <w:rStyle w:val="Hyperlink"/>
          </w:rPr>
          <w:t>2018</w:t>
        </w:r>
      </w:hyperlink>
      <w:r>
        <w:t>) to check that these species names had accepted-status among taxonomic databases. We q</w:t>
      </w:r>
      <w:r>
        <w:t>ueried two major taxonomic databases: the Global Name Resolver (GNR), and the Taxonomic Name Resolution Service (TNRS). Should either one of these services return at least one match for a given name, then that name was accepted. Those names for which no fu</w:t>
      </w:r>
      <w:r>
        <w:t xml:space="preserve">ll binomial matches were found in either database were excluded from the final list of species. The number of species names excluded totalled at FIXME and FIXME for the Cape and SWA respectively. Especially for SWA, these numbers may be deemed appreciably </w:t>
      </w:r>
      <w:r>
        <w:t>high. But, the occurrence records that would be dropped, as a consequence of these names’ removals, appeared randomly distributed in geographic space in both regions. As such, any effect of the loss of these records in this analysis is likely uniform withi</w:t>
      </w:r>
      <w:r>
        <w:t>n the two regions.</w:t>
      </w:r>
    </w:p>
    <w:p w:rsidR="002B0E82" w:rsidRDefault="00B71DAB">
      <w:pPr>
        <w:pStyle w:val="BodyText"/>
      </w:pPr>
      <w:r>
        <w:t>After the unaccepted names were removed, it was important to ensure that a species was not listed under multiple synonyms. Such cases would skew estimates of species richness and turnover in this study. In light of this, the remaining na</w:t>
      </w:r>
      <w:r>
        <w:t xml:space="preserve">mes were queried in the Tropicos and Integrated Taxonomic Information System (ITIS) databases for their known synonyms, again using “taxize”. These were collated to produce a nomenclatural “thesaurus” for the Cape and </w:t>
      </w:r>
      <w:r>
        <w:lastRenderedPageBreak/>
        <w:t xml:space="preserve">SWA species. This consisted of a list </w:t>
      </w:r>
      <w:r>
        <w:t>of the accepted species names in a region, each associated with a list of known synonyms. We amended species’ names in the GBIF occurrence data, in order ensure species were listed under only one of these synonyms, replacing all appearances of a species’ s</w:t>
      </w:r>
      <w:r>
        <w:t>ynonyms with the first synonym used in the list.</w:t>
      </w:r>
    </w:p>
    <w:p w:rsidR="002B0E82" w:rsidRDefault="00B71DAB">
      <w:pPr>
        <w:pStyle w:val="BodyText"/>
      </w:pPr>
      <w:r>
        <w:t>Lastly, We removed any species from both regions that are invasive aliens or non-indigenous. Alien species lists for plants in South Africa and Australia were acquired from the IUCN’s Global Invasive Species</w:t>
      </w:r>
      <w:r>
        <w:t xml:space="preserve"> Database (</w:t>
      </w:r>
      <w:hyperlink r:id="rId9">
        <w:r>
          <w:rPr>
            <w:rStyle w:val="Hyperlink"/>
          </w:rPr>
          <w:t>http://www.iucngisd.org/gisd/</w:t>
        </w:r>
      </w:hyperlink>
      <w:r>
        <w:t>).</w:t>
      </w:r>
    </w:p>
    <w:p w:rsidR="002B0E82" w:rsidRDefault="00B71DAB">
      <w:pPr>
        <w:pStyle w:val="BodyText"/>
      </w:pPr>
      <w:r>
        <w:t>The final total plant species richness in each region was FIXME and FIXME for the Cape and SWA respectively. These final collections of species occurrence records w</w:t>
      </w:r>
      <w:r>
        <w:t>ere converted to raster-layers, wherein pixel-values represented the species richness of vascular plants within that pixel. These rasters were produced at QDS, HDS, and 3QDS resolutions.</w:t>
      </w:r>
    </w:p>
    <w:p w:rsidR="002B0E82" w:rsidRDefault="00B71DAB">
      <w:pPr>
        <w:pStyle w:val="Heading2"/>
      </w:pPr>
      <w:bookmarkStart w:id="7" w:name="analyses"/>
      <w:r>
        <w:t>Analyses</w:t>
      </w:r>
      <w:bookmarkEnd w:id="7"/>
    </w:p>
    <w:p w:rsidR="002B0E82" w:rsidRDefault="00B71DAB">
      <w:pPr>
        <w:pStyle w:val="Heading3"/>
      </w:pPr>
      <w:bookmarkStart w:id="8" w:name="quantifying-environmental-heterogeneity"/>
      <w:r>
        <w:t>Quantifying environmental heterogeneity</w:t>
      </w:r>
      <w:bookmarkEnd w:id="8"/>
    </w:p>
    <w:p w:rsidR="002B0E82" w:rsidRDefault="00B71DAB">
      <w:pPr>
        <w:pStyle w:val="FirstParagraph"/>
      </w:pPr>
      <w:r>
        <w:t>In order to assess p</w:t>
      </w:r>
      <w:r>
        <w:t xml:space="preserve">redictions (i) and (ii), we needed to describe the EH in both regions. Using the R package “raster” (Hijmans, </w:t>
      </w:r>
      <w:hyperlink w:anchor="ref-Hijmans2016">
        <w:r>
          <w:rPr>
            <w:rStyle w:val="Hyperlink"/>
          </w:rPr>
          <w:t>2016</w:t>
        </w:r>
      </w:hyperlink>
      <w:r>
        <w:t>), we used a modified version of the “roughness” index in the “terrain” function. For a three by three n</w:t>
      </w:r>
      <w:r>
        <w:t xml:space="preserve">eighbourhood </w:t>
      </w:r>
      <m:oMath>
        <m:r>
          <m:rPr>
            <m:sty m:val="b"/>
          </m:rPr>
          <w:rPr>
            <w:rFonts w:ascii="Cambria Math" w:hAnsi="Cambria Math"/>
          </w:rPr>
          <m:t>N</m:t>
        </m:r>
      </m:oMath>
      <w:r>
        <w:t xml:space="preserve"> of cells, our index of roughness </w:t>
      </w:r>
      <m:oMath>
        <m:r>
          <w:rPr>
            <w:rFonts w:ascii="Cambria Math" w:hAnsi="Cambria Math"/>
          </w:rPr>
          <m:t>R</m:t>
        </m:r>
      </m:oMath>
      <w:r>
        <w:t xml:space="preserve"> is the average square-root of the squared difference between each of the </w:t>
      </w:r>
      <m:oMath>
        <m:r>
          <w:rPr>
            <w:rFonts w:ascii="Cambria Math" w:hAnsi="Cambria Math"/>
          </w:rPr>
          <m:t>n</m:t>
        </m:r>
      </m:oMath>
      <w:r>
        <w:t xml:space="preserve"> neighbour cells’ values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and the central focal cell’s value </w:t>
      </w:r>
      <m:oMath>
        <m:sSub>
          <m:sSubPr>
            <m:ctrlPr>
              <w:rPr>
                <w:rFonts w:ascii="Cambria Math" w:hAnsi="Cambria Math"/>
              </w:rPr>
            </m:ctrlPr>
          </m:sSubPr>
          <m:e>
            <m:r>
              <w:rPr>
                <w:rFonts w:ascii="Cambria Math" w:hAnsi="Cambria Math"/>
              </w:rPr>
              <m:t>x</m:t>
            </m:r>
          </m:e>
          <m:sub>
            <m:r>
              <m:rPr>
                <m:sty m:val="p"/>
              </m:rPr>
              <w:rPr>
                <w:rFonts w:ascii="Cambria Math" w:hAnsi="Cambria Math"/>
              </w:rPr>
              <m:t>focal</m:t>
            </m:r>
          </m:sub>
        </m:sSub>
      </m:oMath>
      <w:r>
        <w:t>:</w:t>
      </w:r>
    </w:p>
    <w:p w:rsidR="002B0E82" w:rsidRDefault="00B71DAB">
      <w:pPr>
        <w:pStyle w:val="BodyText"/>
      </w:pPr>
      <m:oMathPara>
        <m:oMathParaPr>
          <m:jc m:val="center"/>
        </m:oMathParaPr>
        <m:oMath>
          <m:r>
            <w:rPr>
              <w:rFonts w:ascii="Cambria Math" w:hAnsi="Cambria Math"/>
            </w:rPr>
            <m:t>R</m:t>
          </m:r>
          <m:r>
            <w:rPr>
              <w:rFonts w:ascii="Cambria Math" w:hAnsi="Cambria Math"/>
            </w:rPr>
            <m:t>(</m:t>
          </m:r>
          <m:r>
            <m:rPr>
              <m:sty m:val="b"/>
            </m:rPr>
            <w:rPr>
              <w:rFonts w:ascii="Cambria Math" w:hAnsi="Cambria Math"/>
            </w:rPr>
            <m:t>N</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focal</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rad>
          <m:r>
            <w:rPr>
              <w:rFonts w:ascii="Cambria Math" w:hAnsi="Cambria Math"/>
            </w:rPr>
            <m:t>  </m:t>
          </m:r>
          <m:r>
            <w:rPr>
              <w:rFonts w:ascii="Cambria Math" w:hAnsi="Cambria Math"/>
            </w:rPr>
            <m:t>(1)</m:t>
          </m:r>
        </m:oMath>
      </m:oMathPara>
    </w:p>
    <w:p w:rsidR="002B0E82" w:rsidRDefault="00B71DAB">
      <w:pPr>
        <w:pStyle w:val="FirstParagraph"/>
      </w:pPr>
      <w:r>
        <w:t>This value, notional</w:t>
      </w:r>
      <w:r>
        <w:t>ly equivalent to the standard deviation of values relative to the focal value, is ascribed to the focal cell. Note, in order to use as much data from within regions’ borders as possible, roughness was computed if a focal cell had at least one neighbour cel</w:t>
      </w:r>
      <w:r>
        <w:t xml:space="preserve">l. Using this index, we produced raster layers of each of our nine environmental variable’s heterogeneity. We compared the distributions of “roughness” values in each variable in each region with non-parametric Mann-Whitney </w:t>
      </w:r>
      <m:oMath>
        <m:r>
          <w:rPr>
            <w:rFonts w:ascii="Cambria Math" w:hAnsi="Cambria Math"/>
          </w:rPr>
          <m:t>U</m:t>
        </m:r>
      </m:oMath>
      <w:r>
        <w:t xml:space="preserve">-tests, as almost all variables were highly non-normal, and could not </w:t>
      </w:r>
      <w:r>
        <w:lastRenderedPageBreak/>
        <w:t>be normalised by log-transformations. We also compare the effect size of the Cape vs SWA using the “common language effect size” (</w:t>
      </w:r>
      <m:oMath>
        <m:r>
          <w:rPr>
            <w:rFonts w:ascii="Cambria Math" w:hAnsi="Cambria Math"/>
          </w:rPr>
          <m:t>CLES</m:t>
        </m:r>
      </m:oMath>
      <w:r>
        <w:t xml:space="preserve">), using the R package “canprot”. The </w:t>
      </w:r>
      <m:oMath>
        <m:r>
          <w:rPr>
            <w:rFonts w:ascii="Cambria Math" w:hAnsi="Cambria Math"/>
          </w:rPr>
          <m:t>CLES</m:t>
        </m:r>
      </m:oMath>
      <w:r>
        <w:t xml:space="preserve"> i</w:t>
      </w:r>
      <w:r>
        <w:t xml:space="preserve">s the proportion of all pairwise comparisons between two sample groups’ observations where one group’s value is greater than the other’s. We calculated the </w:t>
      </w:r>
      <m:oMath>
        <m:r>
          <w:rPr>
            <w:rFonts w:ascii="Cambria Math" w:hAnsi="Cambria Math"/>
          </w:rPr>
          <m:t>CLES</m:t>
        </m:r>
      </m:oMath>
      <w:r>
        <w:t xml:space="preserve"> as the proportion of pairs where Cape roughness values were greater than that of SWA. This </w:t>
      </w:r>
      <w:r>
        <w:t>allowed us to assess prediction (i). To compare the spatial scales of heterogeneity (prediction (ii)) between each region, we repeated this analysis at all four spatial scales. This entailed recalculating the roughness layer for each variable after the ori</w:t>
      </w:r>
      <w:r>
        <w:t>ginal layer (0.05 degrees resolution) had been rescaled to each of the coarser resolutions.</w:t>
      </w:r>
    </w:p>
    <w:p w:rsidR="002B0E82" w:rsidRDefault="00B71DAB">
      <w:pPr>
        <w:pStyle w:val="Heading3"/>
      </w:pPr>
      <w:bookmarkStart w:id="9" w:name="quantifying-species-turnover"/>
      <w:r>
        <w:t>Quantifying species turnover</w:t>
      </w:r>
      <w:bookmarkEnd w:id="9"/>
    </w:p>
    <w:p w:rsidR="002B0E82" w:rsidRDefault="00B71DAB">
      <w:pPr>
        <w:pStyle w:val="FirstParagraph"/>
      </w:pPr>
      <w:r>
        <w:t>Regarding prediction (iii), we wished to compare the general degree of species turnover in each region. To compare the extent of specie</w:t>
      </w:r>
      <w:r>
        <w:t xml:space="preserve">s turnover between the Cape and SWA, we determined two metrics of species turnover. The first, computes the mean species turnover as Jaccard distances (Oksanen et al., </w:t>
      </w:r>
      <w:hyperlink w:anchor="ref-R-vegan">
        <w:r>
          <w:rPr>
            <w:rStyle w:val="Hyperlink"/>
          </w:rPr>
          <w:t>2018</w:t>
        </w:r>
      </w:hyperlink>
      <w:r>
        <w:t>) between each pair of QDS within each HDS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w:t>
      </w:r>
      <w:r>
        <w:t xml:space="preserve"> based on HDS with </w:t>
      </w:r>
      <m:oMath>
        <m:r>
          <w:rPr>
            <w:rFonts w:ascii="Cambria Math" w:hAnsi="Cambria Math"/>
          </w:rPr>
          <m:t>2≤</m:t>
        </m:r>
        <m:r>
          <w:rPr>
            <w:rFonts w:ascii="Cambria Math" w:hAnsi="Cambria Math"/>
          </w:rPr>
          <m:t>n</m:t>
        </m:r>
        <m:r>
          <w:rPr>
            <w:rFonts w:ascii="Cambria Math" w:hAnsi="Cambria Math"/>
          </w:rPr>
          <m:t>≤4</m:t>
        </m:r>
      </m:oMath>
      <w:r>
        <w:t xml:space="preserve"> QDS) in both regions. The second is defined in terms of Whittaker’s additive definition of </w:t>
      </w:r>
      <m:oMath>
        <m:r>
          <w:rPr>
            <w:rFonts w:ascii="Cambria Math" w:hAnsi="Cambria Math"/>
          </w:rPr>
          <m:t>β</m:t>
        </m:r>
      </m:oMath>
      <w:r>
        <w:t>-diversity , as follows:</w:t>
      </w:r>
    </w:p>
    <w:p w:rsidR="002B0E82" w:rsidRDefault="00B71DAB">
      <w:pPr>
        <w:pStyle w:val="BodyText"/>
      </w:pPr>
      <m:oMathPara>
        <m:oMathParaPr>
          <m:jc m:val="center"/>
        </m:oMathParaPr>
        <m:oMath>
          <m:r>
            <w:rPr>
              <w:rFonts w:ascii="Cambria Math" w:hAnsi="Cambria Math"/>
            </w:rPr>
            <m:t>γ</m:t>
          </m:r>
          <m:r>
            <w:rPr>
              <w:rFonts w:ascii="Cambria Math" w:hAnsi="Cambria Math"/>
            </w:rPr>
            <m:t>=</m:t>
          </m:r>
          <m:r>
            <w:rPr>
              <w:rFonts w:ascii="Cambria Math" w:hAnsi="Cambria Math"/>
            </w:rPr>
            <m:t>α</m:t>
          </m:r>
          <m:r>
            <w:rPr>
              <w:rFonts w:ascii="Cambria Math" w:hAnsi="Cambria Math"/>
            </w:rPr>
            <m:t>+</m:t>
          </m:r>
          <m:r>
            <w:rPr>
              <w:rFonts w:ascii="Cambria Math" w:hAnsi="Cambria Math"/>
            </w:rPr>
            <m:t>β</m:t>
          </m:r>
          <m:r>
            <w:rPr>
              <w:rFonts w:ascii="Cambria Math" w:hAnsi="Cambria Math"/>
            </w:rPr>
            <m:t>  </m:t>
          </m:r>
          <m:r>
            <w:rPr>
              <w:rFonts w:ascii="Cambria Math" w:hAnsi="Cambria Math"/>
            </w:rPr>
            <m:t>(2)</m:t>
          </m:r>
        </m:oMath>
      </m:oMathPara>
    </w:p>
    <w:p w:rsidR="002B0E82" w:rsidRDefault="00B71DAB">
      <w:pPr>
        <w:pStyle w:val="FirstParagraph"/>
      </w:pPr>
      <w:r>
        <w:t>Here, we treat species richness at the HDS-scale (</w:t>
      </w: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xml:space="preserve">) as </w:t>
      </w:r>
      <m:oMath>
        <m:r>
          <w:rPr>
            <w:rFonts w:ascii="Cambria Math" w:hAnsi="Cambria Math"/>
          </w:rPr>
          <m:t>γ</m:t>
        </m:r>
      </m:oMath>
      <w:r>
        <w:t>-diversity and at the QDS-scale (</w:t>
      </w:r>
      <m:oMath>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m:t>
            </m:r>
            <m:r>
              <m:rPr>
                <m:sty m:val="p"/>
              </m:rPr>
              <w:rPr>
                <w:rFonts w:ascii="Cambria Math" w:hAnsi="Cambria Math"/>
              </w:rPr>
              <m:t>DS</m:t>
            </m:r>
          </m:sub>
        </m:sSub>
      </m:oMath>
      <w:r>
        <w:t xml:space="preserve">) as </w:t>
      </w:r>
      <m:oMath>
        <m:r>
          <w:rPr>
            <w:rFonts w:ascii="Cambria Math" w:hAnsi="Cambria Math"/>
          </w:rPr>
          <m:t>α</m:t>
        </m:r>
      </m:oMath>
      <w:r>
        <w:t xml:space="preserve">-diversity. Intuitively, the species richness of an area is the result of some combination of the richness of sites within that area and the difference in species complements between those sites. Thus, we partition </w:t>
      </w:r>
      <m:oMath>
        <m:r>
          <w:rPr>
            <w:rFonts w:ascii="Cambria Math" w:hAnsi="Cambria Math"/>
          </w:rPr>
          <m:t>γ</m:t>
        </m:r>
      </m:oMath>
      <w:r>
        <w:t>-diversity as in Equation (2),</w:t>
      </w:r>
      <w:r>
        <w:t xml:space="preserve"> such that </w:t>
      </w:r>
      <m:oMath>
        <m:r>
          <w:rPr>
            <w:rFonts w:ascii="Cambria Math" w:hAnsi="Cambria Math"/>
          </w:rPr>
          <m:t>β</m:t>
        </m:r>
      </m:oMath>
      <w:r>
        <w:t xml:space="preserve">-diversity is the difference between </w:t>
      </w:r>
      <m:oMath>
        <m:r>
          <w:rPr>
            <w:rFonts w:ascii="Cambria Math" w:hAnsi="Cambria Math"/>
          </w:rPr>
          <m:t>γ</m:t>
        </m:r>
      </m:oMath>
      <w:r>
        <w:t xml:space="preserve">- and </w:t>
      </w:r>
      <m:oMath>
        <m:r>
          <w:rPr>
            <w:rFonts w:ascii="Cambria Math" w:hAnsi="Cambria Math"/>
          </w:rPr>
          <m:t>α</m:t>
        </m:r>
      </m:oMath>
      <w:r>
        <w:t xml:space="preserve">-diversity. We compare the distributions of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and </w:t>
      </w:r>
      <m:oMath>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w:r>
        <w:t xml:space="preserve"> using non-parametric Mann-Whitney </w:t>
      </w:r>
      <m:oMath>
        <m:r>
          <w:rPr>
            <w:rFonts w:ascii="Cambria Math" w:hAnsi="Cambria Math"/>
          </w:rPr>
          <m:t>U</m:t>
        </m:r>
      </m:oMath>
      <w:r>
        <w:t>-tests, in order to guard against non-normality.</w:t>
      </w:r>
    </w:p>
    <w:p w:rsidR="002B0E82" w:rsidRDefault="00B71DAB">
      <w:pPr>
        <w:pStyle w:val="Heading3"/>
      </w:pPr>
      <w:r>
        <w:t>Predicting richness and turnover with environmental</w:t>
      </w:r>
      <w:r>
        <w:t xml:space="preserve"> heterogeneity</w:t>
      </w:r>
    </w:p>
    <w:p w:rsidR="002B0E82" w:rsidRDefault="00B71DAB">
      <w:pPr>
        <w:pStyle w:val="FirstParagraph"/>
      </w:pPr>
      <w:r>
        <w:t>Regarding prediction (iii), we wished to compare the general degree of species turnover in each region. For (iv) and (v) we modelled species richness (</w:t>
      </w:r>
      <m:oMath>
        <m:r>
          <w:rPr>
            <w:rFonts w:ascii="Cambria Math" w:hAnsi="Cambria Math"/>
          </w:rPr>
          <m:t>S</m:t>
        </m:r>
      </m:oMath>
      <w:r>
        <w:t xml:space="preserve">) and turnover as a function of various combinations of environmental and environmental </w:t>
      </w:r>
      <w:r>
        <w:t xml:space="preserve">heterogeneity variables in both regions using </w:t>
      </w:r>
      <w:r>
        <w:lastRenderedPageBreak/>
        <w:t>boosted regression-tree (BRT) modelling techniques. This allowed us to explore which axes of environmental heterogeneity are most influential on vascular plant species richness and turnover, and the differences</w:t>
      </w:r>
      <w:r>
        <w:t xml:space="preserve"> in the importance of such axes between the Cape and SWA.</w:t>
      </w:r>
    </w:p>
    <w:p w:rsidR="002B0E82" w:rsidRDefault="00B71DAB">
      <w:pPr>
        <w:pStyle w:val="BodyText"/>
      </w:pPr>
      <w:r>
        <w:t xml:space="preserve">BRTs are a flexible machine learning-based model of response variables and do so without involving normal null-hypothesis significance testing (Elith et al., </w:t>
      </w:r>
      <w:hyperlink w:anchor="ref-Elith2008">
        <w:r>
          <w:rPr>
            <w:rStyle w:val="Hyperlink"/>
          </w:rPr>
          <w:t>2008</w:t>
        </w:r>
      </w:hyperlink>
      <w:r>
        <w:t xml:space="preserve">), and have been employed previously to model species richness (Thuiller et al., </w:t>
      </w:r>
      <w:hyperlink w:anchor="ref-Thuiller2006">
        <w:r>
          <w:rPr>
            <w:rStyle w:val="Hyperlink"/>
          </w:rPr>
          <w:t>2006</w:t>
        </w:r>
      </w:hyperlink>
      <w:r>
        <w:t xml:space="preserve">; see Mouchet et al., </w:t>
      </w:r>
      <w:hyperlink w:anchor="ref-Mouchet2015">
        <w:r>
          <w:rPr>
            <w:rStyle w:val="Hyperlink"/>
          </w:rPr>
          <w:t>2015</w:t>
        </w:r>
      </w:hyperlink>
      <w:r>
        <w:t xml:space="preserve">; Cramer &amp; Verboom, </w:t>
      </w:r>
      <w:hyperlink w:anchor="ref-Cramer2016">
        <w:r>
          <w:rPr>
            <w:rStyle w:val="Hyperlink"/>
          </w:rPr>
          <w:t>2016</w:t>
        </w:r>
      </w:hyperlink>
      <w:r>
        <w:t>) as ma</w:t>
      </w:r>
      <w:r>
        <w:t xml:space="preserve">cro-ecological models. BRTs are developed through the iterative generation of non-linear regression trees. BRTs are an ensemble-approach, in which a prediction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y</m:t>
                </m:r>
              </m:e>
              <m:sub>
                <m:r>
                  <w:rPr>
                    <w:rFonts w:ascii="Cambria Math" w:hAnsi="Cambria Math"/>
                  </w:rPr>
                  <m:t>i</m:t>
                </m:r>
              </m:sub>
            </m:sSub>
          </m:e>
        </m:groupChr>
      </m:oMath>
      <w:r>
        <w:t xml:space="preserve"> is based on the weighted sum of the predictions of progressively “less important” regressio</w:t>
      </w:r>
      <w:r>
        <w:t>n trees (</w:t>
      </w:r>
      <m:oMath>
        <m:sSub>
          <m:sSubPr>
            <m:ctrlPr>
              <w:rPr>
                <w:rFonts w:ascii="Cambria Math" w:hAnsi="Cambria Math"/>
              </w:rPr>
            </m:ctrlPr>
          </m:sSubPr>
          <m:e>
            <m:r>
              <w:rPr>
                <w:rFonts w:ascii="Cambria Math" w:hAnsi="Cambria Math"/>
              </w:rPr>
              <m:t>t</m:t>
            </m:r>
          </m:e>
          <m:sub>
            <m:r>
              <w:rPr>
                <w:rFonts w:ascii="Cambria Math" w:hAnsi="Cambria Math"/>
              </w:rPr>
              <m:t>k</m:t>
            </m:r>
          </m:sub>
        </m:sSub>
      </m:oMath>
      <w:r>
        <w:t xml:space="preserve">), as opposed to the predictions of one tree (Elith et al., </w:t>
      </w:r>
      <w:hyperlink w:anchor="ref-Elith2008">
        <w:r>
          <w:rPr>
            <w:rStyle w:val="Hyperlink"/>
          </w:rPr>
          <w:t>2008</w:t>
        </w:r>
      </w:hyperlink>
      <w:r>
        <w:t xml:space="preserve">). For </w:t>
      </w:r>
      <m:oMath>
        <m:r>
          <w:rPr>
            <w:rFonts w:ascii="Cambria Math" w:hAnsi="Cambria Math"/>
          </w:rPr>
          <m:t>k</m:t>
        </m:r>
        <m:r>
          <w:rPr>
            <w:rFonts w:ascii="Cambria Math" w:hAnsi="Cambria Math"/>
          </w:rPr>
          <m:t>→</m:t>
        </m:r>
        <m:r>
          <w:rPr>
            <w:rFonts w:ascii="Cambria Math" w:hAnsi="Cambria Math"/>
          </w:rPr>
          <m:t>nt</m:t>
        </m:r>
      </m:oMath>
      <w:r>
        <w:t xml:space="preserve"> </w:t>
      </w:r>
      <w:r>
        <w:t xml:space="preserve">number of trees, where each tree is itself a function of the matrix </w:t>
      </w:r>
      <m:oMath>
        <m:r>
          <m:rPr>
            <m:sty m:val="b"/>
          </m:rPr>
          <w:rPr>
            <w:rFonts w:ascii="Cambria Math" w:hAnsi="Cambria Math"/>
          </w:rPr>
          <m:t>X</m:t>
        </m:r>
      </m:oMath>
      <w:r>
        <w:t xml:space="preserve"> of </w:t>
      </w:r>
      <m:oMath>
        <m:r>
          <w:rPr>
            <w:rFonts w:ascii="Cambria Math" w:hAnsi="Cambria Math"/>
          </w:rPr>
          <m:t>j</m:t>
        </m:r>
      </m:oMath>
      <w:r>
        <w:t xml:space="preserve"> predictor variables (</w:t>
      </w:r>
      <m:oMath>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m:t>
        </m:r>
        <m:r>
          <w:rPr>
            <w:rFonts w:ascii="Cambria Math" w:hAnsi="Cambria Math"/>
          </w:rPr>
          <m:t>f</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oMath>
      <w:r>
        <w:t>), a BRT-model can be represented as follows:</w:t>
      </w:r>
    </w:p>
    <w:p w:rsidR="002B0E82" w:rsidRDefault="00B71DAB">
      <w:pPr>
        <w:pStyle w:val="BodyText"/>
      </w:pPr>
      <m:oMathPara>
        <m:oMathParaPr>
          <m:jc m:val="center"/>
        </m:oMathParaP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y</m:t>
                  </m:r>
                </m:e>
                <m:sub>
                  <m:r>
                    <w:rPr>
                      <w:rFonts w:ascii="Cambria Math" w:hAnsi="Cambria Math"/>
                    </w:rPr>
                    <m:t>i</m:t>
                  </m:r>
                </m:sub>
              </m:sSub>
            </m:e>
          </m:groupChr>
          <m:r>
            <w:rPr>
              <w:rFonts w:ascii="Cambria Math" w:hAnsi="Cambria Math"/>
            </w:rPr>
            <m:t>=</m:t>
          </m:r>
          <m:nary>
            <m:naryPr>
              <m:chr m:val="∑"/>
              <m:limLoc m:val="undOvr"/>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  </m:t>
          </m:r>
          <m:r>
            <w:rPr>
              <w:rFonts w:ascii="Cambria Math" w:hAnsi="Cambria Math"/>
            </w:rPr>
            <m:t>(3)</m:t>
          </m:r>
        </m:oMath>
      </m:oMathPara>
    </w:p>
    <w:p w:rsidR="002B0E82" w:rsidRDefault="00B71DAB">
      <w:pPr>
        <w:pStyle w:val="FirstParagraph"/>
      </w:pPr>
      <w:r>
        <w:t>BRTs have two major meta-parameters over which users have control (Fri</w:t>
      </w:r>
      <w:r>
        <w:t>edman, 2001): the learning rate (</w:t>
      </w:r>
      <m:oMath>
        <m:r>
          <w:rPr>
            <w:rFonts w:ascii="Cambria Math" w:hAnsi="Cambria Math"/>
          </w:rPr>
          <m:t>lr</m:t>
        </m:r>
      </m:oMath>
      <w:r>
        <w:t>, the rate at which iterative trees reduce predictive deviance during model-training,  controlling the contribution of each tree to the final model) and tree complexity (</w:t>
      </w:r>
      <m:oMath>
        <m:r>
          <w:rPr>
            <w:rFonts w:ascii="Cambria Math" w:hAnsi="Cambria Math"/>
          </w:rPr>
          <m:t>tc</m:t>
        </m:r>
      </m:oMath>
      <w:r>
        <w:t>, the number of nodes on a given regression-t</w:t>
      </w:r>
      <w:r>
        <w:t>ree, i.e. the maximum interaction depth the model is permitted to fit).</w:t>
      </w:r>
    </w:p>
    <w:p w:rsidR="002B0E82" w:rsidRDefault="00B71DAB">
      <w:pPr>
        <w:pStyle w:val="BodyText"/>
      </w:pPr>
      <w:r>
        <w:t>BRTs were implemented here to predict both vascular plant species richness and turnover in each HDS, as a function of environmental variables and environmental roughness values in thos</w:t>
      </w:r>
      <w:r>
        <w:t xml:space="preserve">e cells, as Gaussian responses, thus resulting in two BRT-models for each region. We treated richness as </w:t>
      </w:r>
      <m:oMath>
        <m:sSub>
          <m:sSubPr>
            <m:ctrlPr>
              <w:rPr>
                <w:rFonts w:ascii="Cambria Math" w:hAnsi="Cambria Math"/>
              </w:rPr>
            </m:ctrlPr>
          </m:sSubPr>
          <m:e>
            <m:r>
              <w:rPr>
                <w:rFonts w:ascii="Cambria Math" w:hAnsi="Cambria Math"/>
              </w:rPr>
              <m:t>S</m:t>
            </m:r>
          </m:e>
          <m:sub>
            <m:r>
              <w:rPr>
                <w:rFonts w:ascii="Cambria Math" w:hAnsi="Cambria Math"/>
              </w:rPr>
              <m:t>HDS</m:t>
            </m:r>
          </m:sub>
        </m:sSub>
      </m:oMath>
      <w:r>
        <w:t xml:space="preserve"> and turnover as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The natural logarithm of species richness was used, in order to satisfy the assumptions of a Gaussian response. Note, t</w:t>
      </w:r>
      <w:r>
        <w:t>his is not strictly because BRTs have any parametric assumptions concerning the distribution of the response variable, but rather to aid in applying the Gaussian-family of BRT algorithms to the richness data available. Additionally, BRTs were implemented t</w:t>
      </w:r>
      <w:r>
        <w:t>o predict vascular plant species richness at the QDS-scale (</w:t>
      </w:r>
      <m:oMath>
        <m:sSub>
          <m:sSubPr>
            <m:ctrlPr>
              <w:rPr>
                <w:rFonts w:ascii="Cambria Math" w:hAnsi="Cambria Math"/>
              </w:rPr>
            </m:ctrlPr>
          </m:sSubPr>
          <m:e>
            <m:r>
              <w:rPr>
                <w:rFonts w:ascii="Cambria Math" w:hAnsi="Cambria Math"/>
              </w:rPr>
              <m:t>S</m:t>
            </m:r>
          </m:e>
          <m:sub>
            <m:r>
              <m:rPr>
                <m:sty m:val="p"/>
              </m:rPr>
              <w:rPr>
                <w:rFonts w:ascii="Cambria Math" w:hAnsi="Cambria Math"/>
              </w:rPr>
              <m:t>QDS</m:t>
            </m:r>
          </m:sub>
        </m:sSub>
      </m:oMath>
      <w:r>
        <w:t>), thus resulting in a total of six BRT-models presented here.</w:t>
      </w:r>
    </w:p>
    <w:p w:rsidR="002B0E82" w:rsidRDefault="00B71DAB">
      <w:pPr>
        <w:pStyle w:val="BodyText"/>
      </w:pPr>
      <w:r>
        <w:lastRenderedPageBreak/>
        <w:t>As recommended by Elith et al. (</w:t>
      </w:r>
      <w:hyperlink w:anchor="ref-Elith2008">
        <w:r>
          <w:rPr>
            <w:rStyle w:val="Hyperlink"/>
          </w:rPr>
          <w:t>2008</w:t>
        </w:r>
      </w:hyperlink>
      <w:r>
        <w:t>)</w:t>
      </w:r>
      <w:r>
        <w:t xml:space="preserve">, BRT models were trained on a set of non-collinear predictor variables using “gbm.step” in “dismo” (Hijmans et al., </w:t>
      </w:r>
      <w:hyperlink w:anchor="ref-Hijmans2017">
        <w:r>
          <w:rPr>
            <w:rStyle w:val="Hyperlink"/>
          </w:rPr>
          <w:t>2017</w:t>
        </w:r>
      </w:hyperlink>
      <w:r>
        <w:t>) and “gbm” . Collinear predictor variables can skew the interpretation of results, as the relati</w:t>
      </w:r>
      <w:r>
        <w:t>vely influence of mutually collinear variables is reduced. Collinearity among the nine environmental predictor variables and their respective nine roughness-equivalents was assessed using “removeCollinearity” in the R package “virtualspecies” (Leroy et al.</w:t>
      </w:r>
      <w:r>
        <w:t xml:space="preserve">, </w:t>
      </w:r>
      <w:hyperlink w:anchor="ref-Leroy2015">
        <w:r>
          <w:rPr>
            <w:rStyle w:val="Hyperlink"/>
          </w:rPr>
          <w:t>2015</w:t>
        </w:r>
      </w:hyperlink>
      <w:r>
        <w:t xml:space="preserve">) separately for each region, such that variables were no more than 80% collinear (Pearson’s </w:t>
      </w:r>
      <m:oMath>
        <m:r>
          <w:rPr>
            <w:rFonts w:ascii="Cambria Math" w:hAnsi="Cambria Math"/>
          </w:rPr>
          <m:t>r</m:t>
        </m:r>
        <m:r>
          <w:rPr>
            <w:rFonts w:ascii="Cambria Math" w:hAnsi="Cambria Math"/>
          </w:rPr>
          <m:t>≥0.80</m:t>
        </m:r>
      </m:oMath>
      <w:r>
        <w:t>). When faced with a cluster of collinear variables, one variable was chosen manually therefrom. Where possible, t</w:t>
      </w:r>
      <w:r>
        <w:t>he roughness-equivalent of an environmental variable was included if its absolute-equivalent could also be included. When interpreting the results of BRTs, it is important to consider the effects of the variables included as representative of the effect of</w:t>
      </w:r>
      <w:r>
        <w:t xml:space="preserve"> the excluded variables with which it was found to be collinear.</w:t>
      </w:r>
    </w:p>
    <w:p w:rsidR="002B0E82" w:rsidRDefault="00B71DAB">
      <w:pPr>
        <w:pStyle w:val="BodyText"/>
      </w:pPr>
      <w:r>
        <w:t xml:space="preserve">In order to select ideal </w:t>
      </w:r>
      <m:oMath>
        <m:r>
          <w:rPr>
            <w:rFonts w:ascii="Cambria Math" w:hAnsi="Cambria Math"/>
          </w:rPr>
          <m:t>lr</m:t>
        </m:r>
      </m:oMath>
      <w:r>
        <w:t xml:space="preserve"> and </w:t>
      </w:r>
      <m:oMath>
        <m:r>
          <w:rPr>
            <w:rFonts w:ascii="Cambria Math" w:hAnsi="Cambria Math"/>
          </w:rPr>
          <m:t>tc</m:t>
        </m:r>
      </m:oMath>
      <w:r>
        <w:t xml:space="preserve"> all models (described below) were trained on the final non-collinear predictor sets iteratively for 25 combinations of a range of </w:t>
      </w:r>
      <m:oMath>
        <m:r>
          <w:rPr>
            <w:rFonts w:ascii="Cambria Math" w:hAnsi="Cambria Math"/>
          </w:rPr>
          <m:t>tc</m:t>
        </m:r>
      </m:oMath>
      <w:r>
        <w:t xml:space="preserve"> values (1 to 5) a</w:t>
      </w:r>
      <w:r>
        <w:t xml:space="preserve">nd a range of </w:t>
      </w:r>
      <m:oMath>
        <m:r>
          <w:rPr>
            <w:rFonts w:ascii="Cambria Math" w:hAnsi="Cambria Math"/>
          </w:rPr>
          <m:t>lr</m:t>
        </m:r>
      </m:oMath>
      <w:r>
        <w:t xml:space="preserve"> values (0.01, 0.005, 0.001, 5 </w:t>
      </w:r>
      <m:oMath>
        <m:r>
          <w:rPr>
            <w:rFonts w:ascii="Cambria Math" w:hAnsi="Cambria Math"/>
          </w:rPr>
          <m:t>×</m:t>
        </m:r>
      </m:oMath>
      <w:r>
        <w:t xml:space="preserve"> 10</w:t>
      </w:r>
      <w:r>
        <w:rPr>
          <w:vertAlign w:val="superscript"/>
        </w:rPr>
        <w:t>-4</w:t>
      </w:r>
      <w:r>
        <w:t xml:space="preserve">, 1 </w:t>
      </w:r>
      <m:oMath>
        <m:r>
          <w:rPr>
            <w:rFonts w:ascii="Cambria Math" w:hAnsi="Cambria Math"/>
          </w:rPr>
          <m:t>×</m:t>
        </m:r>
      </m:oMath>
      <w:r>
        <w:t xml:space="preserve"> 10</w:t>
      </w:r>
      <w:r>
        <w:rPr>
          <w:vertAlign w:val="superscript"/>
        </w:rPr>
        <w:t>-4</w:t>
      </w:r>
      <w:r>
        <w:t>). The function “gbm.step” optimises the number of trees (</w:t>
      </w:r>
      <m:oMath>
        <m:r>
          <w:rPr>
            <w:rFonts w:ascii="Cambria Math" w:hAnsi="Cambria Math"/>
          </w:rPr>
          <m:t>nt</m:t>
        </m:r>
      </m:oMath>
      <w:r>
        <w:t xml:space="preserve">) using cross-validation during model training (Elith et al., </w:t>
      </w:r>
      <w:hyperlink w:anchor="ref-Elith2008">
        <w:r>
          <w:rPr>
            <w:rStyle w:val="Hyperlink"/>
          </w:rPr>
          <w:t>2008</w:t>
        </w:r>
      </w:hyperlink>
      <w:r>
        <w:t>) by halting iteration when</w:t>
      </w:r>
      <w:r>
        <w:t xml:space="preserve"> predictions begin to overfit. For all models, we used 10 cross-validation folds (i.e. use 10 different randomly selected training data sets), a tolerance-threshold of 0.001, a bagging-fraction of 0.75 (proportion of training data randomly chosen to genera</w:t>
      </w:r>
      <w:r>
        <w:t xml:space="preserve">te each tree), and trained models starting with 50 trees, with each iterative step adding 50 trees at a time, up to a maximum of 10,000 trees. Following this iterative parameter optimisation, Gaussian BRT models were constructed with </w:t>
      </w:r>
      <m:oMath>
        <m:r>
          <w:rPr>
            <w:rFonts w:ascii="Cambria Math" w:hAnsi="Cambria Math"/>
          </w:rPr>
          <m:t>tc</m:t>
        </m:r>
        <m:r>
          <w:rPr>
            <w:rFonts w:ascii="Cambria Math" w:hAnsi="Cambria Math"/>
          </w:rPr>
          <m:t>=3</m:t>
        </m:r>
      </m:oMath>
      <w:r>
        <w:t xml:space="preserve"> and </w:t>
      </w:r>
      <m:oMath>
        <m:r>
          <w:rPr>
            <w:rFonts w:ascii="Cambria Math" w:hAnsi="Cambria Math"/>
          </w:rPr>
          <m:t>lr</m:t>
        </m:r>
        <m:r>
          <w:rPr>
            <w:rFonts w:ascii="Cambria Math" w:hAnsi="Cambria Math"/>
          </w:rPr>
          <m:t>=0.001</m:t>
        </m:r>
      </m:oMath>
      <w:r>
        <w:t>,</w:t>
      </w:r>
      <w:r>
        <w:t xml:space="preserve"> along with the other settings described.</w:t>
      </w:r>
    </w:p>
    <w:p w:rsidR="002B0E82" w:rsidRDefault="00B71DAB">
      <w:pPr>
        <w:pStyle w:val="BodyText"/>
      </w:pPr>
      <w:r>
        <w:t xml:space="preserve">The optimum configuration of </w:t>
      </w:r>
      <m:oMath>
        <m:r>
          <w:rPr>
            <w:rFonts w:ascii="Cambria Math" w:hAnsi="Cambria Math"/>
          </w:rPr>
          <m:t>lr</m:t>
        </m:r>
      </m:oMath>
      <w:r>
        <w:t xml:space="preserve"> and </w:t>
      </w:r>
      <m:oMath>
        <m:r>
          <w:rPr>
            <w:rFonts w:ascii="Cambria Math" w:hAnsi="Cambria Math"/>
          </w:rPr>
          <m:t>tc</m:t>
        </m:r>
      </m:oMath>
      <w:r>
        <w:t xml:space="preserve"> for the final model is a trade-off between model fit (e.g.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Equation (4)) and complexity (</w:t>
      </w:r>
      <m:oMath>
        <m:r>
          <w:rPr>
            <w:rFonts w:ascii="Cambria Math" w:hAnsi="Cambria Math"/>
          </w:rPr>
          <m:t>nt</m:t>
        </m:r>
      </m:oMath>
      <w:r>
        <w:t xml:space="preserve">). A </w:t>
      </w:r>
      <m:oMath>
        <m:r>
          <w:rPr>
            <w:rFonts w:ascii="Cambria Math" w:hAnsi="Cambria Math"/>
          </w:rPr>
          <m:t>tc</m:t>
        </m:r>
      </m:oMath>
      <w:r>
        <w:t xml:space="preserve"> of 5 was chosen for the final model. This follows the re</w:t>
      </w:r>
      <w:r>
        <w:t>commendations of Elith et al. (</w:t>
      </w:r>
      <w:hyperlink w:anchor="ref-Elith2008">
        <w:r>
          <w:rPr>
            <w:rStyle w:val="Hyperlink"/>
          </w:rPr>
          <w:t>2008</w:t>
        </w:r>
      </w:hyperlink>
      <w:r>
        <w:t xml:space="preserve">), where </w:t>
      </w:r>
      <m:oMath>
        <m:r>
          <w:rPr>
            <w:rFonts w:ascii="Cambria Math" w:hAnsi="Cambria Math"/>
          </w:rPr>
          <m:t>lr</m:t>
        </m:r>
      </m:oMath>
      <w:r>
        <w:t xml:space="preserve"> and </w:t>
      </w:r>
      <m:oMath>
        <m:r>
          <w:rPr>
            <w:rFonts w:ascii="Cambria Math" w:hAnsi="Cambria Math"/>
          </w:rPr>
          <m:t>tc</m:t>
        </m:r>
      </m:oMath>
      <w:r>
        <w:t xml:space="preserve"> </w:t>
      </w:r>
      <w:r>
        <w:t xml:space="preserve">are advised to be adjusted inversely. This was chosen in order to account for the complex interactions determining species richness. To avoid overfitting, an intermediate </w:t>
      </w:r>
      <m:oMath>
        <m:r>
          <w:rPr>
            <w:rFonts w:ascii="Cambria Math" w:hAnsi="Cambria Math"/>
          </w:rPr>
          <m:t>lr</m:t>
        </m:r>
      </m:oMath>
      <w:r>
        <w:t xml:space="preserve"> of 0.001 was chosen.</w:t>
      </w:r>
    </w:p>
    <w:p w:rsidR="002B0E82" w:rsidRDefault="00B71DAB">
      <w:pPr>
        <w:pStyle w:val="Heading3"/>
      </w:pPr>
      <w:bookmarkStart w:id="10" w:name="assessing-brt-predictions-fit"/>
      <w:r>
        <w:lastRenderedPageBreak/>
        <w:t>Assessing BRT-predictions’ fit</w:t>
      </w:r>
      <w:bookmarkEnd w:id="10"/>
    </w:p>
    <w:p w:rsidR="002B0E82" w:rsidRDefault="00B71DAB">
      <w:pPr>
        <w:pStyle w:val="FirstParagraph"/>
      </w:pPr>
      <w:r>
        <w:t>BRT-model performance can be</w:t>
      </w:r>
      <w:r>
        <w:t xml:space="preserve"> described by measuring the variance in a dataset a BRT-model has explained, quantified here by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which is the proportion of null deviance </w:t>
      </w:r>
      <m:oMath>
        <m:sSub>
          <m:sSubPr>
            <m:ctrlPr>
              <w:rPr>
                <w:rFonts w:ascii="Cambria Math" w:hAnsi="Cambria Math"/>
              </w:rPr>
            </m:ctrlPr>
          </m:sSubPr>
          <m:e>
            <m:r>
              <w:rPr>
                <w:rFonts w:ascii="Cambria Math" w:hAnsi="Cambria Math"/>
              </w:rPr>
              <m:t>D</m:t>
            </m:r>
          </m:e>
          <m:sub>
            <m:r>
              <w:rPr>
                <w:rFonts w:ascii="Cambria Math" w:hAnsi="Cambria Math"/>
              </w:rPr>
              <m:t>null</m:t>
            </m:r>
          </m:sub>
        </m:sSub>
      </m:oMath>
      <w:r>
        <w:t xml:space="preserve"> explained by some model </w:t>
      </w:r>
      <m:oMath>
        <m:r>
          <w:rPr>
            <w:rFonts w:ascii="Cambria Math" w:hAnsi="Cambria Math"/>
          </w:rPr>
          <m:t>i</m:t>
        </m:r>
      </m:oMath>
      <w:r>
        <w:t>. Formally, it is defined as follows:</w:t>
      </w:r>
    </w:p>
    <w:p w:rsidR="002B0E82" w:rsidRDefault="00B71DAB">
      <w:pPr>
        <w:pStyle w:val="BodyText"/>
      </w:pPr>
      <m:oMathPara>
        <m:oMathParaPr>
          <m:jc m:val="center"/>
        </m:oMathParaP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i</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null</m:t>
                  </m:r>
                </m:sub>
              </m:sSub>
            </m:den>
          </m:f>
          <m:r>
            <w:rPr>
              <w:rFonts w:ascii="Cambria Math" w:hAnsi="Cambria Math"/>
            </w:rPr>
            <m:t>  </m:t>
          </m:r>
          <m:r>
            <w:rPr>
              <w:rFonts w:ascii="Cambria Math" w:hAnsi="Cambria Math"/>
            </w:rPr>
            <m:t>(4)</m:t>
          </m:r>
        </m:oMath>
      </m:oMathPara>
    </w:p>
    <w:p w:rsidR="002B0E82" w:rsidRDefault="00B71DAB">
      <w:pPr>
        <w:pStyle w:val="FirstParagraph"/>
      </w:pPr>
      <w:r>
        <w:t>The d</w:t>
      </w:r>
      <w:r>
        <w:t>erivation of this metric is not easy to interpret, as it is not immediately clear what model deviance is. Alternatively, comparing expected (i.e. model-predicted) and observed data has more heuristic appeal. We employed this metric of BRT-model performance</w:t>
      </w:r>
      <w:r>
        <w:t xml:space="preserve"> too. We regressed expected against observed richness and turnover, and calculated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-value for those regressions (hereafter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w:t>
      </w:r>
    </w:p>
    <w:p w:rsidR="002B0E82" w:rsidRDefault="00B71DAB">
      <w:pPr>
        <w:pStyle w:val="BodyText"/>
      </w:pPr>
      <w:r>
        <w:t>The BRT-model fitting algorithm contains intrinsic stochasticity, due to the random partitions made in a dataset duri</w:t>
      </w:r>
      <w:r>
        <w:t>ng cross-validation. Though this randomness is usually negligible (e.g. variables’ contributions vary from run-to-run by a few decimal places), we reran each of the six BRT-models (see above) 1000 times in order to account for this stochasticity. Where ind</w:t>
      </w:r>
      <w:r>
        <w:t>icated, we either present the averages of these replicate-models’ results or the results of a representative model from each set of replicates.</w:t>
      </w:r>
    </w:p>
    <w:p w:rsidR="002B0E82" w:rsidRDefault="00B71DAB">
      <w:pPr>
        <w:pStyle w:val="BodyText"/>
      </w:pPr>
      <w:r>
        <w:t>In order to assess the reliability of the conclusions drawn from these models, we randomly permuted the response</w:t>
      </w:r>
      <w:r>
        <w:t xml:space="preserve"> data (</w:t>
      </w:r>
      <m:oMath>
        <m:sSub>
          <m:sSubPr>
            <m:ctrlPr>
              <w:rPr>
                <w:rFonts w:ascii="Cambria Math" w:hAnsi="Cambria Math"/>
              </w:rPr>
            </m:ctrlPr>
          </m:sSubPr>
          <m:e>
            <m:r>
              <w:rPr>
                <w:rFonts w:ascii="Cambria Math" w:hAnsi="Cambria Math"/>
              </w:rPr>
              <m:t>S</m:t>
            </m:r>
          </m:e>
          <m:sub>
            <m:r>
              <m:rPr>
                <m:sty m:val="p"/>
              </m:rPr>
              <w:rPr>
                <w:rFonts w:ascii="Cambria Math" w:hAnsi="Cambria Math"/>
              </w:rPr>
              <m:t>QDS</m:t>
            </m:r>
          </m:sub>
        </m:sSub>
      </m:oMath>
      <w: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with respect to the environmental and heterogeneity data, and reran all six BRT-models 999 times (with the final non-collinear predictor sets and preconfigurations above). This also allows us to remove any effect of spatial a</w:t>
      </w:r>
      <w:r>
        <w:t xml:space="preserve">utocorrelation in generating the observed correlations between patterns of species occurrence and environment (Cramer &amp; Verboom, </w:t>
      </w:r>
      <w:hyperlink w:anchor="ref-Cramer2016">
        <w:r>
          <w:rPr>
            <w:rStyle w:val="Hyperlink"/>
          </w:rPr>
          <w:t>2016</w:t>
        </w:r>
      </w:hyperlink>
      <w:r>
        <w:t>), and to allow us to assess the significance of our results relative to a random null</w:t>
      </w:r>
      <w:r>
        <w:t>. Notably, as the predictor variables themselves are likely spatially autocorrelated, correlation structure in model residuals is accounted for by the correlation structure in the environmental data. Nonetheless, we wished to demonstrate our results more r</w:t>
      </w:r>
      <w:r>
        <w:t>obustly and thus carried out these permutation tests. For all six models, the majority of the 999 permuted models failed to find associations between the response and predictor variables. The results of those that succeeded to fit a model to completion (us</w:t>
      </w:r>
      <w:r>
        <w:t xml:space="preserve">ually ca. </w:t>
      </w:r>
      <w:r>
        <w:lastRenderedPageBreak/>
        <w:t xml:space="preserve">200 out of 999) are presented. The replicate and permuted BRT-models were compared using various measures of model performance (above; </w:t>
      </w:r>
      <m:oMath>
        <m:r>
          <w:rPr>
            <w:rFonts w:ascii="Cambria Math" w:hAnsi="Cambria Math"/>
          </w:rPr>
          <m:t>nt</m:t>
        </m:r>
      </m:oMath>
      <w:r>
        <w:t xml:space="preserve">,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(Equation (4)),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 xml:space="preserve">) and the ranks of these values for each replicate BRT-model relative to </w:t>
      </w:r>
      <w:r>
        <w:t>the 999 permuted models for that region/scope.</w:t>
      </w:r>
    </w:p>
    <w:p w:rsidR="002B0E82" w:rsidRDefault="00B71DAB">
      <w:pPr>
        <w:pStyle w:val="Heading1"/>
      </w:pPr>
      <w:bookmarkStart w:id="11" w:name="results"/>
      <w:r>
        <w:t>Results</w:t>
      </w:r>
      <w:bookmarkEnd w:id="11"/>
    </w:p>
    <w:p w:rsidR="002B0E82" w:rsidRDefault="00B71DAB">
      <w:pPr>
        <w:pStyle w:val="Heading2"/>
      </w:pPr>
      <w:bookmarkStart w:id="12" w:name="describing-environmental-heterogeneity-a"/>
      <w:r>
        <w:t>Describing environmental heterogeneity across scales</w:t>
      </w:r>
      <w:bookmarkEnd w:id="12"/>
    </w:p>
    <w:p w:rsidR="002B0E82" w:rsidRDefault="00B71DAB">
      <w:pPr>
        <w:pStyle w:val="FirstParagraph"/>
      </w:pPr>
      <w:r>
        <w:t>Across all variables considered, the Cape is more environmentally heterogeneous in the majority of pairwise comparisons of grid-cells (</w:t>
      </w:r>
      <m:oMath>
        <m:r>
          <w:rPr>
            <w:rFonts w:ascii="Cambria Math" w:hAnsi="Cambria Math"/>
          </w:rPr>
          <m:t>CLES</m:t>
        </m:r>
        <m:r>
          <w:rPr>
            <w:rFonts w:ascii="Cambria Math" w:hAnsi="Cambria Math"/>
          </w:rPr>
          <m:t>&gt;0.50</m:t>
        </m:r>
      </m:oMath>
      <w:r>
        <w:t xml:space="preserve">, Mann-Whitney </w:t>
      </w:r>
      <m:oMath>
        <m:r>
          <w:rPr>
            <w:rFonts w:ascii="Cambria Math" w:hAnsi="Cambria Math"/>
          </w:rPr>
          <m:t>U</m:t>
        </m:r>
      </m:oMath>
      <w:r>
        <w:t xml:space="preserve">-test: </w:t>
      </w:r>
      <m:oMath>
        <m:r>
          <w:rPr>
            <w:rFonts w:ascii="Cambria Math" w:hAnsi="Cambria Math"/>
          </w:rPr>
          <m:t>P</m:t>
        </m:r>
        <m:r>
          <w:rPr>
            <w:rFonts w:ascii="Cambria Math" w:hAnsi="Cambria Math"/>
          </w:rPr>
          <m:t>&lt;0.05</m:t>
        </m:r>
      </m:oMath>
      <w:r>
        <w:t>, Figure 1). The degree to which the Cape is more heterogeneous varies between environmental variables. These effects also vary somewhat across spatial scales. In some variables, the differentiation between Cape and SWA heter</w:t>
      </w:r>
      <w:r>
        <w:t xml:space="preserve">ogeneity lessens at coarser scales (Figure 1b). Indeed, when comparing the overall ranking and medians of Cape vs SWA roughness values for each variable, we only find non-significant differences at the 3QDS scale (Mann-Whitney </w:t>
      </w:r>
      <m:oMath>
        <m:r>
          <w:rPr>
            <w:rFonts w:ascii="Cambria Math" w:hAnsi="Cambria Math"/>
          </w:rPr>
          <m:t>U</m:t>
        </m:r>
      </m:oMath>
      <w:r>
        <w:t xml:space="preserve"> tests, </w:t>
      </w:r>
      <m:oMath>
        <m:r>
          <w:rPr>
            <w:rFonts w:ascii="Cambria Math" w:hAnsi="Cambria Math"/>
          </w:rPr>
          <m:t>P</m:t>
        </m:r>
        <m:r>
          <w:rPr>
            <w:rFonts w:ascii="Cambria Math" w:hAnsi="Cambria Math"/>
          </w:rPr>
          <m:t>&gt;0.05</m:t>
        </m:r>
      </m:oMath>
      <w:r>
        <w:t>, Figure 1b)</w:t>
      </w:r>
      <w:r>
        <w:t>.</w:t>
      </w:r>
    </w:p>
    <w:p w:rsidR="002B0E82" w:rsidRDefault="00B71DAB">
      <w:pPr>
        <w:pStyle w:val="BodyText"/>
      </w:pPr>
      <w:r>
        <w:t>Most obviously, and as expected, topographic heterogeneity is generally greater in the Cape than in SWA (Figure 1). Though SWA has a slightly wider distribution of elevational roughness values at coarse scales compared to fine scales than the Cape, the r</w:t>
      </w:r>
      <w:r>
        <w:t>elative difference in heterogeneity between the two regions seems invariant with spatial scale (</w:t>
      </w:r>
      <m:oMath>
        <m:r>
          <w:rPr>
            <w:rFonts w:ascii="Cambria Math" w:hAnsi="Cambria Math"/>
          </w:rPr>
          <m:t>CLES</m:t>
        </m:r>
        <m:r>
          <w:rPr>
            <w:rFonts w:ascii="Cambria Math" w:hAnsi="Cambria Math"/>
          </w:rPr>
          <m:t>≈0.95</m:t>
        </m:r>
      </m:oMath>
      <w:r>
        <w:t>, Figure 1b). This concurs with our expectations, as the Cape is mountainous and known to have steep elevational gradients , while SWA is much more</w:t>
      </w:r>
      <w:r>
        <w:t xml:space="preserve"> topographically uniform. Elevational roughness differs between the two regions in the manner we expected, giving us more confidence in the environmental reality of our other results here.</w:t>
      </w:r>
    </w:p>
    <w:p w:rsidR="002B0E82" w:rsidRDefault="00B71DAB">
      <w:pPr>
        <w:pStyle w:val="BodyText"/>
      </w:pPr>
      <w:r>
        <w:t xml:space="preserve">Climatic heterogeneity is less differentiated between the Cape and </w:t>
      </w:r>
      <w:r>
        <w:t>SWA than with topographic heterogeneity (Figure 1a), though the Cape is indeed more climatically heterogeneous (Figure ??b). Notably, the difference between roughness in mean annual rainfall (R MAP) and land surface temperature (R Surface T) in the Cape an</w:t>
      </w:r>
      <w:r>
        <w:t xml:space="preserve">d SWA is less pronounced when considered at coarse spatial scales (Figure ??b). At all spatial scales considered, roughness in rainfall </w:t>
      </w:r>
      <w:r>
        <w:lastRenderedPageBreak/>
        <w:t>seasonality (R PDQ), however, is equally more heterogeneous in the Cape than SWA. Biological productivity, as measured b</w:t>
      </w:r>
      <w:r>
        <w:t>y NDVI, is fairly similarly heterogeneous in the Cape and SWA (</w:t>
      </w:r>
      <m:oMath>
        <m:r>
          <w:rPr>
            <w:rFonts w:ascii="Cambria Math" w:hAnsi="Cambria Math"/>
          </w:rPr>
          <m:t>CLES</m:t>
        </m:r>
        <m:r>
          <w:rPr>
            <w:rFonts w:ascii="Cambria Math" w:hAnsi="Cambria Math"/>
          </w:rPr>
          <m:t>&lt;0.60</m:t>
        </m:r>
      </m:oMath>
      <w:r>
        <w:t>, Figure 1). Concerning edaphic variables, the Cape and SWA are similarly heterogeneous at coarser scales, particularly in terms of CEC and Soil C (</w:t>
      </w:r>
      <m:oMath>
        <m:r>
          <w:rPr>
            <w:rFonts w:ascii="Cambria Math" w:hAnsi="Cambria Math"/>
          </w:rPr>
          <m:t>CLES</m:t>
        </m:r>
        <m:r>
          <w:rPr>
            <w:rFonts w:ascii="Cambria Math" w:hAnsi="Cambria Math"/>
          </w:rPr>
          <m:t>≈0.50</m:t>
        </m:r>
      </m:oMath>
      <w:r>
        <w:t>, Figure 1b).</w:t>
      </w:r>
    </w:p>
    <w:p w:rsidR="002B0E82" w:rsidRDefault="00B71DAB">
      <w:pPr>
        <w:pStyle w:val="Heading2"/>
      </w:pPr>
      <w:bookmarkStart w:id="13" w:name="comparing-species-turnover-in-the-two-re"/>
      <w:r>
        <w:t>Comparing species turnover in the two regions</w:t>
      </w:r>
      <w:bookmarkEnd w:id="13"/>
    </w:p>
    <w:p w:rsidR="002B0E82" w:rsidRDefault="00B71DAB">
      <w:pPr>
        <w:pStyle w:val="FirstParagraph"/>
      </w:pPr>
      <w:r>
        <w:t xml:space="preserve">Following calculations of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and </w:t>
      </w:r>
      <m:oMath>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w:r>
        <w:t xml:space="preserve"> for each HDS-cell in each region, we also used non-parametric Mann-Whitney </w:t>
      </w:r>
      <m:oMath>
        <m:r>
          <w:rPr>
            <w:rFonts w:ascii="Cambria Math" w:hAnsi="Cambria Math"/>
          </w:rPr>
          <m:t>U</m:t>
        </m:r>
      </m:oMath>
      <w:r>
        <w:t>-tests to compare the distributions of values in the Cape and SWA. The Cape possesses gener</w:t>
      </w:r>
      <w:r>
        <w:t>ally greater floristic turnover than SWA, for both measures of turnover defined here (</w:t>
      </w:r>
      <m:oMath>
        <m:r>
          <w:rPr>
            <w:rFonts w:ascii="Cambria Math" w:hAnsi="Cambria Math"/>
          </w:rPr>
          <m:t>P</m:t>
        </m:r>
        <m:r>
          <w:rPr>
            <w:rFonts w:ascii="Cambria Math" w:hAnsi="Cambria Math"/>
          </w:rPr>
          <m:t>&lt;0.0001</m:t>
        </m:r>
      </m:oMath>
      <w:r>
        <w:t xml:space="preserve">, Figure 2a,b).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measures the average pairwise Jaccard distance between QDS-cells in each HDS-cell. </w:t>
      </w:r>
      <m:oMath>
        <m:sSub>
          <m:sSubPr>
            <m:ctrlPr>
              <w:rPr>
                <w:rFonts w:ascii="Cambria Math" w:hAnsi="Cambria Math"/>
              </w:rPr>
            </m:ctrlPr>
          </m:sSubPr>
          <m:e>
            <m:r>
              <w:rPr>
                <w:rFonts w:ascii="Cambria Math" w:hAnsi="Cambria Math"/>
              </w:rPr>
              <m:t>T</m:t>
            </m:r>
          </m:e>
          <m:sub>
            <m:r>
              <w:rPr>
                <w:rFonts w:ascii="Cambria Math" w:hAnsi="Cambria Math"/>
              </w:rPr>
              <m:t>HDS</m:t>
            </m:r>
          </m:sub>
        </m:sSub>
      </m:oMath>
      <w:r>
        <w:t xml:space="preserve">, however, represents the inferred </w:t>
      </w:r>
      <m:oMath>
        <m:r>
          <w:rPr>
            <w:rFonts w:ascii="Cambria Math" w:hAnsi="Cambria Math"/>
          </w:rPr>
          <m:t>β</m:t>
        </m:r>
      </m:oMath>
      <w:r>
        <w:t xml:space="preserve"> component </w:t>
      </w:r>
      <w:r>
        <w:t xml:space="preserve">of </w:t>
      </w:r>
      <m:oMath>
        <m:r>
          <w:rPr>
            <w:rFonts w:ascii="Cambria Math" w:hAnsi="Cambria Math"/>
          </w:rPr>
          <m:t>γ</m:t>
        </m:r>
      </m:oMath>
      <w:r>
        <w:t xml:space="preserve">-diversity. As </w:t>
      </w:r>
      <m:oMath>
        <m:r>
          <w:rPr>
            <w:rFonts w:ascii="Cambria Math" w:hAnsi="Cambria Math"/>
          </w:rPr>
          <m:t>γ</m:t>
        </m:r>
      </m:oMath>
      <w:r>
        <w:t>-diversity (</w:t>
      </w:r>
      <m:oMath>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HDS</m:t>
            </m:r>
          </m:sub>
        </m:sSub>
      </m:oMath>
      <w:r>
        <w:t xml:space="preserve">) in the Cape has a greater </w:t>
      </w:r>
      <m:oMath>
        <m:r>
          <w:rPr>
            <w:rFonts w:ascii="Cambria Math" w:hAnsi="Cambria Math"/>
          </w:rPr>
          <m:t>β</m:t>
        </m:r>
      </m:oMath>
      <w:r>
        <w:t>-diversity component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HDS</m:t>
            </m:r>
          </m:sub>
        </m:sSub>
      </m:oMath>
      <w:r>
        <w:t xml:space="preserve">) than SWA, the complement is necessarily true: </w:t>
      </w:r>
      <m:oMath>
        <m:r>
          <w:rPr>
            <w:rFonts w:ascii="Cambria Math" w:hAnsi="Cambria Math"/>
          </w:rPr>
          <m:t>γ</m:t>
        </m:r>
      </m:oMath>
      <w:r>
        <w:t xml:space="preserve">-diversity in the Cape has a lesser </w:t>
      </w:r>
      <m:oMath>
        <m:r>
          <w:rPr>
            <w:rFonts w:ascii="Cambria Math" w:hAnsi="Cambria Math"/>
          </w:rPr>
          <m:t>α</m:t>
        </m:r>
      </m:oMath>
      <w:r>
        <w:t>-diversity component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than SWA.</w:t>
      </w:r>
    </w:p>
    <w:p w:rsidR="002B0E82" w:rsidRDefault="00B71DAB">
      <w:pPr>
        <w:pStyle w:val="Heading2"/>
      </w:pPr>
      <w:bookmarkStart w:id="14" w:name="predicting-richness-and-turnover-with-en"/>
      <w:r>
        <w:t xml:space="preserve">Predicting richness and </w:t>
      </w:r>
      <w:r>
        <w:t>turnover with environmental heterogeneity</w:t>
      </w:r>
      <w:bookmarkEnd w:id="14"/>
    </w:p>
    <w:p w:rsidR="002B0E82" w:rsidRDefault="00B71DAB">
      <w:pPr>
        <w:pStyle w:val="FirstParagraph"/>
      </w:pPr>
      <w:r>
        <w:t>We found vascular plant species richness and turnover both to be predicted primarily by environmental heterogeneity in the Cape (Figure 3a–c) and at least in-part by environmental heterogeneity in SWA (Figure 3d–f)</w:t>
      </w:r>
      <w:r>
        <w:t>. Our six BRT-models performed adequately, and detected relationships between patterns of species occurrence and the environment that do not occur in the permuted datasets (Figures 4 and 3, Table 2).</w:t>
      </w:r>
    </w:p>
    <w:p w:rsidR="002B0E82" w:rsidRDefault="00B71DAB">
      <w:pPr>
        <w:pStyle w:val="BodyText"/>
      </w:pPr>
      <w:r>
        <w:t xml:space="preserve">BRT-models of species richness at the QDS-scale in each </w:t>
      </w:r>
      <w:r>
        <w:t>region generally performed best, as these models had fit greater number of trees (</w:t>
      </w:r>
      <m:oMath>
        <m:r>
          <w:rPr>
            <w:rFonts w:ascii="Cambria Math" w:hAnsi="Cambria Math"/>
          </w:rPr>
          <m:t>nt</m:t>
        </m:r>
      </m:oMath>
      <w:r>
        <w:t xml:space="preserve">, Figure 4a), and possess higher </w:t>
      </w:r>
      <m:oMath>
        <m:sSup>
          <m:sSupPr>
            <m:ctrlPr>
              <w:rPr>
                <w:rFonts w:ascii="Cambria Math" w:hAnsi="Cambria Math"/>
              </w:rPr>
            </m:ctrlPr>
          </m:sSupPr>
          <m:e>
            <m:r>
              <w:rPr>
                <w:rFonts w:ascii="Cambria Math" w:hAnsi="Cambria Math"/>
              </w:rPr>
              <m:t>R</m:t>
            </m:r>
          </m:e>
          <m:sup>
            <m:r>
              <w:rPr>
                <w:rFonts w:ascii="Cambria Math" w:hAnsi="Cambria Math"/>
              </w:rPr>
              <m:t>2</m:t>
            </m:r>
          </m:sup>
        </m:sSup>
      </m:oMath>
      <w:r>
        <w:t>-values (Figure 4b,c). SWA models of species richness and turnover at the HDS-scale out-performed Cape models. At the QDS-scale, the C</w:t>
      </w:r>
      <w:r>
        <w:t>ape and SWA models performed equally well (Figure 4, Table 3).</w:t>
      </w:r>
    </w:p>
    <w:p w:rsidR="002B0E82" w:rsidRDefault="00B71DAB">
      <w:pPr>
        <w:pStyle w:val="BodyText"/>
      </w:pPr>
      <w:r>
        <w:t xml:space="preserve">Across our BRT-models of species richness and turnover, the importance of different environmental variables in predictions differed substantially between the Cape and SWA. </w:t>
      </w:r>
      <w:r>
        <w:lastRenderedPageBreak/>
        <w:t>Additonally, the rela</w:t>
      </w:r>
      <w:r>
        <w:t>tive importance of absolute and heterogeneity variables also differs between the Cape and SWA (Figure 3). Most obviously, species richness and turnover in the Cape are predicted mostly by environmental heterogeneity, which is not the case in SWA (Figure 3)</w:t>
      </w:r>
      <w:r>
        <w:t>. Species richness and turnover in the Cape are predicted by a broad suite of environmental variables, with no individual variable contributing more than ca. 20% to any model prediction (Figure 3a–c). The SWA models’ predictions, however, are largely deter</w:t>
      </w:r>
      <w:r>
        <w:t>mined by MAP (Figure 3d–f).</w:t>
      </w:r>
    </w:p>
    <w:p w:rsidR="002B0E82" w:rsidRDefault="00B71DAB">
      <w:pPr>
        <w:pStyle w:val="BodyText"/>
      </w:pPr>
      <w:r>
        <w:t>Species richness at QDS-scales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and to a lesser extent at HDS-scales (</w:t>
      </w:r>
      <m:oMath>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in the Cape is predicted largely edaphic conditions (Figure 3a,b). Species richness in SWA, at both scales, is mostly predicted by MAP and o</w:t>
      </w:r>
      <w:r>
        <w:t>ther climatic variables (Figure 3d,e). Interestingly, topograhphic heterogeneity did not feature as highly in contributing to Cape predictions as we expected (Figure 3a–c).</w:t>
      </w:r>
    </w:p>
    <w:p w:rsidR="002B0E82" w:rsidRDefault="00B71DAB">
      <w:pPr>
        <w:pStyle w:val="BodyText"/>
      </w:pPr>
      <w:r>
        <w:t>It is important to consider variables not included formally in these BRT-models tha</w:t>
      </w:r>
      <w:r>
        <w:t>t were found to be collinear with some of the variables included (see SI). Here, we interpret the effects of variables excluded from the analyses as well as those included, as the forms and importances of these relationships are likely similar. In the Cape</w:t>
      </w:r>
      <w:r>
        <w:t xml:space="preserve"> (concerning clusters of collinear variables relevant to relevant to those retained during BRT-model fitting), MAP was included in the BRT-analyses as representative of a cluster of collinear variables consisting of itself, NDVI, surface T and soil C at th</w:t>
      </w:r>
      <w:r>
        <w:t>e. Roughness in soil clay content represented itself, roughness in soil pH and roughness in NDVI. In SWA, MAP was select as representative of itself, NDVI and soil C.</w:t>
      </w:r>
    </w:p>
    <w:p w:rsidR="002B0E82" w:rsidRDefault="00B71DAB">
      <w:pPr>
        <w:pStyle w:val="BodyText"/>
      </w:pPr>
      <w:r>
        <w:t xml:space="preserve">Our BRT-models of species richness in both regions rank environmental variables somewhat </w:t>
      </w:r>
      <w:r>
        <w:t>differently at QDS- and HDS-scales (Figure 3a,b,d,e). These differences in rankings are similar to those between two unrelated lists (</w:t>
      </w:r>
      <m:oMath>
        <m:sSub>
          <m:sSubPr>
            <m:ctrlPr>
              <w:rPr>
                <w:rFonts w:ascii="Cambria Math" w:hAnsi="Cambria Math"/>
              </w:rPr>
            </m:ctrlPr>
          </m:sSubPr>
          <m:e>
            <m:r>
              <w:rPr>
                <w:rFonts w:ascii="Cambria Math" w:hAnsi="Cambria Math"/>
              </w:rPr>
              <m:t>P</m:t>
            </m:r>
          </m:e>
          <m:sub>
            <m:r>
              <w:rPr>
                <w:rFonts w:ascii="Cambria Math" w:hAnsi="Cambria Math"/>
              </w:rPr>
              <m:t>1-2</m:t>
            </m:r>
          </m:sub>
        </m:sSub>
        <m:r>
          <w:rPr>
            <w:rFonts w:ascii="Cambria Math" w:hAnsi="Cambria Math"/>
          </w:rPr>
          <m:t>&gt;0.05</m:t>
        </m:r>
      </m:oMath>
      <w:r>
        <w:t>, Figure 5). This suggests some scale-dependence of different environmental variables’ associations with species</w:t>
      </w:r>
      <w:r>
        <w:t xml:space="preserve"> richness.</w:t>
      </w:r>
    </w:p>
    <w:p w:rsidR="002B0E82" w:rsidRDefault="00B71DAB">
      <w:pPr>
        <w:pStyle w:val="BodyText"/>
      </w:pPr>
      <w:r>
        <w:t>It is noteworthy that BRT-models of species turnover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at HDS-scales) (Figure 3c,f) rank variables similarly to models of richness at HDS-scales (</w:t>
      </w:r>
      <m:oMath>
        <m:sSub>
          <m:sSubPr>
            <m:ctrlPr>
              <w:rPr>
                <w:rFonts w:ascii="Cambria Math" w:hAnsi="Cambria Math"/>
              </w:rPr>
            </m:ctrlPr>
          </m:sSubPr>
          <m:e>
            <m:r>
              <w:rPr>
                <w:rFonts w:ascii="Cambria Math" w:hAnsi="Cambria Math"/>
              </w:rPr>
              <m:t>P</m:t>
            </m:r>
          </m:e>
          <m:sub>
            <m:r>
              <w:rPr>
                <w:rFonts w:ascii="Cambria Math" w:hAnsi="Cambria Math"/>
              </w:rPr>
              <m:t>2-3</m:t>
            </m:r>
          </m:sub>
        </m:sSub>
        <m:r>
          <w:rPr>
            <w:rFonts w:ascii="Cambria Math" w:hAnsi="Cambria Math"/>
          </w:rPr>
          <m:t>≤0.005</m:t>
        </m:r>
      </m:oMath>
      <w:r>
        <w:t xml:space="preserve">, Figure 5). This is likely due to the fact that proportional floristic turnover </w:t>
      </w:r>
      <w:r>
        <w:t>covaries with species richness. As such, though the signs of relationships determining turnover may differ from those determining richness, the importances of different variables would be similar.</w:t>
      </w:r>
    </w:p>
    <w:p w:rsidR="002B0E82" w:rsidRDefault="00B71DAB">
      <w:pPr>
        <w:pStyle w:val="BodyText"/>
      </w:pPr>
      <w:r>
        <w:lastRenderedPageBreak/>
        <w:t>In addition to different variables being more strongly asso</w:t>
      </w:r>
      <w:r>
        <w:t>ciated with species richness and turnover in the Cape compared to SWA (Figure 3), the forms of those relationships vary (Figure 6). We found MAP, and roughness therein, to relate positively with species richness in both regions at both scales (Figure 6a,b,</w:t>
      </w:r>
      <w:r>
        <w:t>d,e). As MAP is collinear with NDVI and soil C in both regions (and surface T in the Cape), this can be interpreted as the signal of a biological productivity and resource availability associating with high levels of species richness.</w:t>
      </w:r>
    </w:p>
    <w:p w:rsidR="002B0E82" w:rsidRDefault="00B71DAB">
      <w:pPr>
        <w:pStyle w:val="BodyText"/>
      </w:pPr>
      <w:r>
        <w:t>The positive associat</w:t>
      </w:r>
      <w:r>
        <w:t>ion of heterogeneity variables in the Cape as opposed to SWA (Figure 6a,b vs d,e) concurs with their greater importance in BRT-model predictions (Figure 3).</w:t>
      </w:r>
    </w:p>
    <w:p w:rsidR="002B0E82" w:rsidRDefault="00B71DAB">
      <w:pPr>
        <w:pStyle w:val="BodyText"/>
      </w:pPr>
      <w:r>
        <w:t>The fact that species turnover (</w:t>
      </w:r>
      <m:oMath>
        <m:sSub>
          <m:sSubPr>
            <m:ctrlPr>
              <w:rPr>
                <w:rFonts w:ascii="Cambria Math" w:hAnsi="Cambria Math"/>
              </w:rPr>
            </m:ctrlPr>
          </m:sSubPr>
          <m:e>
            <m:r>
              <w:rPr>
                <w:rFonts w:ascii="Cambria Math" w:hAnsi="Cambria Math"/>
              </w:rPr>
              <m:t>T</m:t>
            </m:r>
          </m:e>
          <m:sub>
            <m: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w:rPr>
                <w:rFonts w:ascii="Cambria Math" w:hAnsi="Cambria Math"/>
              </w:rPr>
              <m:t>QDS</m:t>
            </m:r>
          </m:sub>
        </m:sSub>
      </m:oMath>
      <w:r>
        <w:t xml:space="preserve">) in the Cape and SWA is largely predicted by the </w:t>
      </w:r>
      <w:r>
        <w:t xml:space="preserve">same variables as species richness, but with opposite signs to its relationships (Figure 6c,f), is indicative of the richness-dependence of the measure of floristic turnover used here (Jaccard distances) to quantify turnover at the HDS-scale. </w:t>
      </w:r>
    </w:p>
    <w:p w:rsidR="002B0E82" w:rsidRDefault="00B71DAB">
      <w:pPr>
        <w:pStyle w:val="Heading1"/>
      </w:pPr>
      <w:bookmarkStart w:id="15" w:name="discussion"/>
      <w:r>
        <w:t>Discussion</w:t>
      </w:r>
      <w:bookmarkEnd w:id="15"/>
    </w:p>
    <w:p w:rsidR="002B0E82" w:rsidRDefault="00B71DAB">
      <w:pPr>
        <w:pStyle w:val="FirstParagraph"/>
      </w:pPr>
      <w:r>
        <w:t>Here we have provided support for the hypothesis that the difference in plant species richness between the Cape and SWA is accounted for by the greater abiotic heterogeneity in the Cape. As expected, the Cape is shown to possess (i) a quantifiably more het</w:t>
      </w:r>
      <w:r>
        <w:t>erogeneous environment that is (ii) generally heterogeneous at a finer spatial scale than SWA, with (iii) greater levels of floristic turnover. We have shown that vascular plant species richness (iv) can be explained in terms of environmental conditions in</w:t>
      </w:r>
      <w:r>
        <w:t>cluding environmental heterogeneity in both the Cape and SWA. Also, (v) the sets of environmental axes that explain plant species richness differ between the Cape and SWA. These findings contribute towards an understanding of the ecological conditions asso</w:t>
      </w:r>
      <w:r>
        <w:t>ciated with high levels of species co-existence in these two regions, and strengthens the generality of a positive relationship between EH and biodiversity.</w:t>
      </w:r>
    </w:p>
    <w:p w:rsidR="002B0E82" w:rsidRDefault="00B71DAB">
      <w:pPr>
        <w:pStyle w:val="BodyText"/>
      </w:pPr>
      <w:r>
        <w:t>Cook et al. (</w:t>
      </w:r>
      <w:hyperlink w:anchor="ref-Cook2015">
        <w:r>
          <w:rPr>
            <w:rStyle w:val="Hyperlink"/>
          </w:rPr>
          <w:t>2015</w:t>
        </w:r>
      </w:hyperlink>
      <w:r>
        <w:t>) summarised the suites of hypotheses for the h</w:t>
      </w:r>
      <w:r>
        <w:t>igh levels of plant diversity in mediterranean-type ecosystems. Broadly, these biodiversity hotspots are thought to arise due to greater levels of evolutionary diversification, ecological co-existence and time for species accumulation by either immigration</w:t>
      </w:r>
      <w:r>
        <w:t xml:space="preserve"> or in situ evolution. Our study concerns the dual role of EH in facilitating ecological speciation along environmental gradients and a diversity of habitats in </w:t>
      </w:r>
      <w:r>
        <w:lastRenderedPageBreak/>
        <w:t>wich greater numbers of species may co-exist. We have correlative evidence for these processes,</w:t>
      </w:r>
      <w:r>
        <w:t xml:space="preserve"> in that EH was positively associated with high levels of species richness and turnover in both regions. Further research should be aimed at distinguishing the roles of ecological speciation and species co-existence associated with EH in mediterranean-type</w:t>
      </w:r>
      <w:r>
        <w:t xml:space="preserve"> ecosystems. The role of environmental stability is relevant here (Cook et al., </w:t>
      </w:r>
      <w:hyperlink w:anchor="ref-Cook2015">
        <w:r>
          <w:rPr>
            <w:rStyle w:val="Hyperlink"/>
          </w:rPr>
          <w:t>2015</w:t>
        </w:r>
      </w:hyperlink>
      <w:r>
        <w:t>, Pinto-Ledezma et al., 2018)</w:t>
      </w:r>
      <w:r>
        <w:t>, both by allowing more continuous species accumulation when habitats persists through geologic time and by allowing environmental gradients to be stable long enough for ecological speciation to occur (Pinto-Ledezma et al., 2018). In the contexts of the Ca</w:t>
      </w:r>
      <w:r>
        <w:t xml:space="preserve">pe and SWA, this long term environmental stability, and the stability of EH through time, is indeed expected to contribute to these regions biodiversity (Hopper, </w:t>
      </w:r>
      <w:hyperlink w:anchor="ref-Hopper1979">
        <w:r>
          <w:rPr>
            <w:rStyle w:val="Hyperlink"/>
          </w:rPr>
          <w:t>1979</w:t>
        </w:r>
      </w:hyperlink>
      <w:r>
        <w:t xml:space="preserve">; Cowling et al., </w:t>
      </w:r>
      <w:hyperlink w:anchor="ref-Cowling1996">
        <w:r>
          <w:rPr>
            <w:rStyle w:val="Hyperlink"/>
          </w:rPr>
          <w:t>1996</w:t>
        </w:r>
      </w:hyperlink>
      <w:r>
        <w:t>).</w:t>
      </w:r>
    </w:p>
    <w:p w:rsidR="002B0E82" w:rsidRDefault="00B71DAB">
      <w:pPr>
        <w:pStyle w:val="BodyText"/>
      </w:pPr>
      <w:r>
        <w:rPr>
          <w:i/>
        </w:rPr>
        <w:t>Ed: I’d like to include more information on the landscape/geologic history of the regions here, and link this to the notion of environmental stability and “species accumulation”, sensu Cook et al. (2015) and Pinto-Ledezma et al. (2018).</w:t>
      </w:r>
    </w:p>
    <w:p w:rsidR="002B0E82" w:rsidRDefault="00B71DAB">
      <w:pPr>
        <w:pStyle w:val="BodyText"/>
      </w:pPr>
      <w:r>
        <w:t xml:space="preserve">The Cape </w:t>
      </w:r>
      <w:r>
        <w:t xml:space="preserve">and SWA regions present differentiable environmental spaces, each with varying degrees of heterogeneity across spatial scales and environmental axes. The clear distinction of the regions’ topographic features is as expected. The Cape region has been found </w:t>
      </w:r>
      <w:r>
        <w:t xml:space="preserve">previously to have the second highest median topographic heterogeneity of the five Mediterranean-climate regions (Bradshaw &amp; Cowling, </w:t>
      </w:r>
      <w:hyperlink w:anchor="ref-Bradshaw2014">
        <w:r>
          <w:rPr>
            <w:rStyle w:val="Hyperlink"/>
          </w:rPr>
          <w:t>2014</w:t>
        </w:r>
      </w:hyperlink>
      <w:r>
        <w:t>). In the models developed by Cramer &amp; Verboom (</w:t>
      </w:r>
      <w:hyperlink w:anchor="ref-Cramer2016">
        <w:r>
          <w:rPr>
            <w:rStyle w:val="Hyperlink"/>
          </w:rPr>
          <w:t>2016</w:t>
        </w:r>
      </w:hyperlink>
      <w:r>
        <w:t>) for South Africa, roughness in topography was largely superseded as an important predictor of species richness by other roughness variables. This is the case with our results too, likely as topographic complexity can be considered a proxy for g</w:t>
      </w:r>
      <w:r>
        <w:t xml:space="preserve">radients in other environmental axes, such as rainfall or temperature. In line with our hypotheses, a combination of absolute and heterogeneity variables are associated with species richness and turnover. These effects are region-specific, particularly in </w:t>
      </w:r>
      <w:r>
        <w:t>that patterns in the Cape are more strongly determined by edaphic conditions and EH while SWA patterns are more strongly determined by absolute environmetal conditions, particularly climate. Kreft &amp; Jetz (</w:t>
      </w:r>
      <w:hyperlink w:anchor="ref-Kreft2007">
        <w:r>
          <w:rPr>
            <w:rStyle w:val="Hyperlink"/>
          </w:rPr>
          <w:t>2007</w:t>
        </w:r>
      </w:hyperlink>
      <w:r>
        <w:t xml:space="preserve">) modelled </w:t>
      </w:r>
      <w:r>
        <w:t>global terrestrial vascular plant species richness, which focussed primarily on using absolute environmental variables, underestimated the richness of the Cape flora. Though Kreft &amp; Jetz (</w:t>
      </w:r>
      <w:hyperlink w:anchor="ref-Kreft2007">
        <w:r>
          <w:rPr>
            <w:rStyle w:val="Hyperlink"/>
          </w:rPr>
          <w:t>2007</w:t>
        </w:r>
      </w:hyperlink>
      <w:r>
        <w:t>) did include topographic he</w:t>
      </w:r>
      <w:r>
        <w:t xml:space="preserve">terogeneity in their predictor set, topography is often a proxy for more biologically meaningful variables (Cramer &amp; Verboom, </w:t>
      </w:r>
      <w:hyperlink w:anchor="ref-Cramer2016">
        <w:r>
          <w:rPr>
            <w:rStyle w:val="Hyperlink"/>
          </w:rPr>
          <w:t>2016</w:t>
        </w:r>
      </w:hyperlink>
      <w:r>
        <w:t xml:space="preserve">). This explains why the inclusion </w:t>
      </w:r>
      <w:r>
        <w:lastRenderedPageBreak/>
        <w:t>of these variables (e.g. roughness in mean annual prec</w:t>
      </w:r>
      <w:r>
        <w:t>ipitation) yields more accurate predictions of species richness. Indeed, Thuiller et al. (</w:t>
      </w:r>
      <w:hyperlink w:anchor="ref-Thuiller2006">
        <w:r>
          <w:rPr>
            <w:rStyle w:val="Hyperlink"/>
          </w:rPr>
          <w:t>2006</w:t>
        </w:r>
      </w:hyperlink>
      <w:r>
        <w:t>) also included topographic heterogeneity.</w:t>
      </w:r>
    </w:p>
    <w:p w:rsidR="002B0E82" w:rsidRDefault="00B71DAB">
      <w:pPr>
        <w:pStyle w:val="BodyText"/>
      </w:pPr>
      <w:r>
        <w:t>We also detected strongly non-linear relationships between environmental and het</w:t>
      </w:r>
      <w:r>
        <w:t>erogeneity variables and species richness and turnover. We expected this, as non-linear relationships are common in ecology (Zanne et al. 2018), making our use of machine-learning methods appropriate here.</w:t>
      </w:r>
    </w:p>
    <w:p w:rsidR="002B0E82" w:rsidRDefault="00B71DAB">
      <w:pPr>
        <w:pStyle w:val="BodyText"/>
      </w:pPr>
      <w:r>
        <w:t>Comparing our models to those fit by Cramer &amp; Verb</w:t>
      </w:r>
      <w:r>
        <w:t>oom (</w:t>
      </w:r>
      <w:hyperlink w:anchor="ref-Cramer2016">
        <w:r>
          <w:rPr>
            <w:rStyle w:val="Hyperlink"/>
          </w:rPr>
          <w:t>2016</w:t>
        </w:r>
      </w:hyperlink>
      <w:r>
        <w:t>), we did not directly find spatial heterogeneity in NDVI to be an important determinant of species richness and turnover patterns in the Cape. Rather absolute MAP, which is collinear with absolute NDVI, was fo</w:t>
      </w:r>
      <w:r>
        <w:t xml:space="preserve">und to be important. This speaks to the relationship between vegetation productivity and climate, and how suitably productive habitats can foster more species . An additional interpretation of spatial heterogeneity (and indeed absolute conditions) in NDVI </w:t>
      </w:r>
      <w:r>
        <w:t xml:space="preserve">is that of changing canopy light-contexts (Cramer &amp; Verboom, </w:t>
      </w:r>
      <w:hyperlink w:anchor="ref-Cramer2016">
        <w:r>
          <w:rPr>
            <w:rStyle w:val="Hyperlink"/>
          </w:rPr>
          <w:t>2016</w:t>
        </w:r>
      </w:hyperlink>
      <w:r>
        <w:t>). Power et al. (</w:t>
      </w:r>
      <w:hyperlink w:anchor="ref-Power2017">
        <w:r>
          <w:rPr>
            <w:rStyle w:val="Hyperlink"/>
          </w:rPr>
          <w:t>2017</w:t>
        </w:r>
      </w:hyperlink>
      <w:r>
        <w:t xml:space="preserve">) found that floristic turnover between biomes in South Africa to be associated with differences </w:t>
      </w:r>
      <w:r>
        <w:t xml:space="preserve">in biomes’ leaf area indices. We found NDVI to be more heterogeneous across the Cape than SWA (Figures 1). NDVI is an integrating variable, which captures information about productivity, light availability, and soil nutrients (Power et al., </w:t>
      </w:r>
      <w:hyperlink w:anchor="ref-Power2017">
        <w:r>
          <w:rPr>
            <w:rStyle w:val="Hyperlink"/>
          </w:rPr>
          <w:t>2017</w:t>
        </w:r>
      </w:hyperlink>
      <w:r>
        <w:t xml:space="preserve">). Absolute NDVI and its correlates can be interpreted as contributing to predicting species richness in the Cape. This demonstrates the role of ecological productivity in facilitating the co-existence diverse species assemblages. </w:t>
      </w:r>
      <w:r>
        <w:t>EH, then, must be considered alongside resource- and energy-availability axes when intepreting the drivers of species richness. In so much as a diverse environmental space supports more species, the materials and productivity required for biota to thrive a</w:t>
      </w:r>
      <w:r>
        <w:t xml:space="preserve">re also needed to support species (Gaston, </w:t>
      </w:r>
      <w:hyperlink w:anchor="ref-Gaston2000">
        <w:r>
          <w:rPr>
            <w:rStyle w:val="Hyperlink"/>
          </w:rPr>
          <w:t>2000</w:t>
        </w:r>
      </w:hyperlink>
      <w:r>
        <w:t xml:space="preserve">; Kerr et al., </w:t>
      </w:r>
      <w:hyperlink w:anchor="ref-Kerr2001">
        <w:r>
          <w:rPr>
            <w:rStyle w:val="Hyperlink"/>
          </w:rPr>
          <w:t>2001</w:t>
        </w:r>
      </w:hyperlink>
      <w:r>
        <w:t xml:space="preserve">; Bøhn &amp; Amundsen, </w:t>
      </w:r>
      <w:hyperlink w:anchor="ref-Bohn2004">
        <w:r>
          <w:rPr>
            <w:rStyle w:val="Hyperlink"/>
          </w:rPr>
          <w:t>2004</w:t>
        </w:r>
      </w:hyperlink>
      <w:r>
        <w:t xml:space="preserve">; Kreft &amp; Jetz, </w:t>
      </w:r>
      <w:hyperlink w:anchor="ref-Kreft2007">
        <w:r>
          <w:rPr>
            <w:rStyle w:val="Hyperlink"/>
          </w:rPr>
          <w:t>2007</w:t>
        </w:r>
      </w:hyperlink>
      <w:r>
        <w:t>). A</w:t>
      </w:r>
      <w:r>
        <w:t xml:space="preserve">s such, our findings, along with those of previous studies (Rensburg et al., </w:t>
      </w:r>
      <w:hyperlink w:anchor="ref-VanRensburg2002">
        <w:r>
          <w:rPr>
            <w:rStyle w:val="Hyperlink"/>
          </w:rPr>
          <w:t>2002</w:t>
        </w:r>
      </w:hyperlink>
      <w:r>
        <w:t xml:space="preserve">; Thuiller et al., </w:t>
      </w:r>
      <w:hyperlink w:anchor="ref-Thuiller2006">
        <w:r>
          <w:rPr>
            <w:rStyle w:val="Hyperlink"/>
          </w:rPr>
          <w:t>2006</w:t>
        </w:r>
      </w:hyperlink>
      <w:r>
        <w:t xml:space="preserve">; Kreft &amp; Jetz, </w:t>
      </w:r>
      <w:hyperlink w:anchor="ref-Kreft2007">
        <w:r>
          <w:rPr>
            <w:rStyle w:val="Hyperlink"/>
          </w:rPr>
          <w:t>2007</w:t>
        </w:r>
      </w:hyperlink>
      <w:r>
        <w:t xml:space="preserve">; Cramer &amp; Verboom, </w:t>
      </w:r>
      <w:hyperlink w:anchor="ref-Cramer2016">
        <w:r>
          <w:rPr>
            <w:rStyle w:val="Hyperlink"/>
          </w:rPr>
          <w:t>2016</w:t>
        </w:r>
      </w:hyperlink>
      <w:r>
        <w:t>), suggest that there are ecological and evolutionary consequence to both resource availability and EH.</w:t>
      </w:r>
    </w:p>
    <w:p w:rsidR="002B0E82" w:rsidRDefault="00B71DAB">
      <w:pPr>
        <w:pStyle w:val="BodyText"/>
      </w:pPr>
      <w:r>
        <w:t>We detected a strong set of links between various eda</w:t>
      </w:r>
      <w:r>
        <w:t>phic properties and vascular plant species richness and turnover in the Cape. The importance of absolute pH speaks to the association of many Cape communities with nutrient impoversished, acidic soils . We did not, however, find edaphic conditions to be as</w:t>
      </w:r>
      <w:r>
        <w:t xml:space="preserve"> important as we expected in SWA. This may be due to a real lack of </w:t>
      </w:r>
      <w:r>
        <w:lastRenderedPageBreak/>
        <w:t>importance of edaphic features in driving assemblage patterns in SWA. ALternatively, there is a risk that the quality of soil data provided to our models, from SoilGrids250m , is insuffici</w:t>
      </w:r>
      <w:r>
        <w:t>ent for our purposes here. There are two potential reasons for this. Firstly, teh SoilGrids250m data product is acknowledged to be less accurate at the scales we investigate here , such that the true variation in soil properties in SWA is not represented i</w:t>
      </w:r>
      <w:r>
        <w:t>n our dataset. Secondly, it could be that the link between soils and assemblage patterns in SWA exists, but simply at a finer scale than that at which we performed our analyses here. These two reasons are not mutually exclusive, in that SoilGrids250m may b</w:t>
      </w:r>
      <w:r>
        <w:t>e both inaccurate at the scales we consider here and that our analysis considers scales greater than those important in SWA plant community assemblage patterns. This is particularly relevant to our study, as the Cape has a much wider range of scales exhibi</w:t>
      </w:r>
      <w:r>
        <w:t>ted in the heterogeneity across its environmental axes. Notably, each region has finer scale heterogeneity in some variables, and coarser scale in others—neither region is more fine or coarse than the other over all environmental axes.</w:t>
      </w:r>
    </w:p>
    <w:p w:rsidR="002B0E82" w:rsidRDefault="00B71DAB">
      <w:pPr>
        <w:pStyle w:val="BodyText"/>
      </w:pPr>
      <w:r>
        <w:rPr>
          <w:i/>
        </w:rPr>
        <w:t>Ed: I’d obviously li</w:t>
      </w:r>
      <w:r>
        <w:rPr>
          <w:i/>
        </w:rPr>
        <w:t>ke to include more information on the landscape/geologic history of the regions here too, and with reference to particular soil variables (Mike?).</w:t>
      </w:r>
    </w:p>
    <w:p w:rsidR="002B0E82" w:rsidRDefault="00B71DAB">
      <w:pPr>
        <w:pStyle w:val="BodyText"/>
      </w:pPr>
      <w:r>
        <w:t>Another issue related to spatial scales, as with any ecological study, is that of spatially uniform and repre</w:t>
      </w:r>
      <w:r>
        <w:t>sentative plant species occurence data. Efforts were made herein to minimise differences in data-quality between SWA and Cape by using remote-sensing derived environmental data. Species occurence data, however, prove difficult to obtain with uniform method</w:t>
      </w:r>
      <w:r>
        <w:t>ology. South African biodiversity data is stored only to QDS-level accuracy. As such, our analyses were limited to that as the finest spatial scale, such that our environmental datasets necessarily, then, were also limited to the QDS-scale. This may compli</w:t>
      </w:r>
      <w:r>
        <w:t>cate the interpretation of our analyses, as these data may be too coarse in scale to capture patterns of species richness and turnover and their associations with the environmenta in reality in empirically heterogeneous environments like the Cape and SWA.</w:t>
      </w:r>
    </w:p>
    <w:p w:rsidR="002B0E82" w:rsidRDefault="00B71DAB">
      <w:pPr>
        <w:pStyle w:val="BodyText"/>
      </w:pPr>
      <w:r>
        <w:t xml:space="preserve">In addition to the scale of our data, spatial bias in species occurence data must also be considered. GBIF data are sourced from both herbaria and plot-monitoring datasets. The relative contribution of each of these to GBIF data may vary between countries </w:t>
      </w:r>
      <w:r>
        <w:t>and regions—i.e. between the Cape and SWA. As recently noted by Guerin (</w:t>
      </w:r>
      <w:hyperlink w:anchor="ref-Guerin2018">
        <w:r>
          <w:rPr>
            <w:rStyle w:val="Hyperlink"/>
          </w:rPr>
          <w:t>2018</w:t>
        </w:r>
      </w:hyperlink>
      <w:r>
        <w:t xml:space="preserve">), herbarium records and plot-based inventories describe regional flora with varying accuracy, especially with respect to </w:t>
      </w:r>
      <w:r>
        <w:lastRenderedPageBreak/>
        <w:t>documenting high leve</w:t>
      </w:r>
      <w:r>
        <w:t>ls of floristic turnover. We emphasise here our concerns that there the floral occurence data and soils information use in this study are especially at risk of spatial bias and/or inaccuracies.</w:t>
      </w:r>
    </w:p>
    <w:p w:rsidR="002B0E82" w:rsidRDefault="00B71DAB">
      <w:pPr>
        <w:pStyle w:val="BodyText"/>
      </w:pPr>
      <w:r>
        <w:rPr>
          <w:i/>
        </w:rPr>
        <w:t>…</w:t>
      </w:r>
    </w:p>
    <w:p w:rsidR="002B0E82" w:rsidRDefault="00B71DAB">
      <w:pPr>
        <w:pStyle w:val="BodyText"/>
      </w:pPr>
      <w:r>
        <w:t xml:space="preserve">Jaccard distances, as used here as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are highly richnes</w:t>
      </w:r>
      <w:r>
        <w:t>s dependent. Although they represent the proportional floristic turnover between cells, this proportion itself is sensitive to the richness of sites under comparison. For example, the turnover between two low richness sites has is likely to be greater by c</w:t>
      </w:r>
      <w:r>
        <w:t>hance, due to the absence or presence of a few species, than the turnover between two high richness sites, where the absence or presence of a few species does not greatly affect the turnover calculated.</w:t>
      </w:r>
    </w:p>
    <w:p w:rsidR="002B0E82" w:rsidRDefault="00B71DAB">
      <w:pPr>
        <w:pStyle w:val="BodyText"/>
      </w:pPr>
      <w:r>
        <w:rPr>
          <w:i/>
        </w:rPr>
        <w:t>…</w:t>
      </w:r>
    </w:p>
    <w:p w:rsidR="002B0E82" w:rsidRDefault="00B71DAB">
      <w:pPr>
        <w:pStyle w:val="BodyText"/>
      </w:pPr>
      <w:r>
        <w:t>Our findings here are correlative. There are, howev</w:t>
      </w:r>
      <w:r>
        <w:t>er, many proposed mechanisms to explain the correlative signals demonstrated here. Our findings support the hypothesis that mediterranean systems’ plant species richness is a function of spatial variability in environmental conditions. This can stimulate d</w:t>
      </w:r>
      <w:r>
        <w:t xml:space="preserve">iversification, and maintain that diversity by providing a range of habitats for species co-existence. Oligtrophic soils can stimulate an increase in functional diversity, through the evolution of diverse nutrient acquisition strategies (Lambers et al., </w:t>
      </w:r>
      <w:hyperlink w:anchor="ref-Lambers2010">
        <w:r>
          <w:rPr>
            <w:rStyle w:val="Hyperlink"/>
          </w:rPr>
          <w:t>2010</w:t>
        </w:r>
      </w:hyperlink>
      <w:r>
        <w:t xml:space="preserve">; Verboom et al., </w:t>
      </w:r>
      <w:hyperlink w:anchor="ref-Verboom2017">
        <w:r>
          <w:rPr>
            <w:rStyle w:val="Hyperlink"/>
          </w:rPr>
          <w:t>2017</w:t>
        </w:r>
      </w:hyperlink>
      <w:r>
        <w:t xml:space="preserve">)—e.g. sclerophylly (Cramer et al., </w:t>
      </w:r>
      <w:hyperlink w:anchor="ref-Cramer2014">
        <w:r>
          <w:rPr>
            <w:rStyle w:val="Hyperlink"/>
          </w:rPr>
          <w:t>2014</w:t>
        </w:r>
      </w:hyperlink>
      <w:r>
        <w:t xml:space="preserve">; Cook et al., </w:t>
      </w:r>
      <w:hyperlink w:anchor="ref-Cook2015">
        <w:r>
          <w:rPr>
            <w:rStyle w:val="Hyperlink"/>
          </w:rPr>
          <w:t>2015</w:t>
        </w:r>
      </w:hyperlink>
      <w:r>
        <w:t>). An aspect of the envir</w:t>
      </w:r>
      <w:r>
        <w:t xml:space="preserve">onment I have neglected to consider is fire, shown to also contribute to predictions here in the Cape (Cramer &amp; Verboom, </w:t>
      </w:r>
      <w:hyperlink w:anchor="ref-Cramer2016">
        <w:r>
          <w:rPr>
            <w:rStyle w:val="Hyperlink"/>
          </w:rPr>
          <w:t>2016</w:t>
        </w:r>
      </w:hyperlink>
      <w:r>
        <w:t>). Cardillo (</w:t>
      </w:r>
      <w:hyperlink w:anchor="ref-Cardillo2012">
        <w:r>
          <w:rPr>
            <w:rStyle w:val="Hyperlink"/>
          </w:rPr>
          <w:t>2012</w:t>
        </w:r>
      </w:hyperlink>
      <w:r>
        <w:t>) have shown the structuring forces be</w:t>
      </w:r>
      <w:r>
        <w:t>hind species co-occurrence patterns, and thus likely species richness,differ between species-pairs with different post-fire responses and those with similar post-fire responses.</w:t>
      </w:r>
    </w:p>
    <w:p w:rsidR="002B0E82" w:rsidRDefault="00B71DAB">
      <w:pPr>
        <w:pStyle w:val="BodyText"/>
      </w:pPr>
      <w:r>
        <w:t xml:space="preserve">Following from the understanding that functionally diverse assemblages, which </w:t>
      </w:r>
      <w:r>
        <w:t xml:space="preserve">are more likely to be more species rich, are likely to arise and/or occur in areas with diverse ecological pressures (Molina-Venegas et al., </w:t>
      </w:r>
      <w:hyperlink w:anchor="ref-Molina-Venegas2015">
        <w:r>
          <w:rPr>
            <w:rStyle w:val="Hyperlink"/>
          </w:rPr>
          <w:t>2015</w:t>
        </w:r>
      </w:hyperlink>
      <w:r>
        <w:t>), one would expect, then, heterogeneous habitats such as those in</w:t>
      </w:r>
      <w:r>
        <w:t xml:space="preserve"> Mediterranean-type biodiversity hotspots to exhibit high levels functional beta diversity along steep environmental gradients (Molina-Venegas et al., </w:t>
      </w:r>
      <w:hyperlink w:anchor="ref-Molina-Venegas2015">
        <w:r>
          <w:rPr>
            <w:rStyle w:val="Hyperlink"/>
          </w:rPr>
          <w:t>2015</w:t>
        </w:r>
      </w:hyperlink>
      <w:r>
        <w:t>). If the niches concerning these functions are phylogen</w:t>
      </w:r>
      <w:r>
        <w:t xml:space="preserve">etically conserved among those biota, then one would also expect high levels of species and phylogenetic beta diversity along these gradients (Molina-Venegas et al., </w:t>
      </w:r>
      <w:hyperlink w:anchor="ref-Molina-Venegas2015">
        <w:r>
          <w:rPr>
            <w:rStyle w:val="Hyperlink"/>
          </w:rPr>
          <w:t>2015</w:t>
        </w:r>
      </w:hyperlink>
      <w:r>
        <w:t>). This concurs with the notion put forwa</w:t>
      </w:r>
      <w:r>
        <w:t>rd by Power et al. (</w:t>
      </w:r>
      <w:hyperlink w:anchor="ref-Power2017">
        <w:r>
          <w:rPr>
            <w:rStyle w:val="Hyperlink"/>
          </w:rPr>
          <w:t>2017</w:t>
        </w:r>
      </w:hyperlink>
      <w:r>
        <w:t>), wherein megadiverse systems such as these represent the results of “phylogenetic niche conservatism on a heterogeneous landscape”</w:t>
      </w:r>
      <w:r>
        <w:t>. Thus, species and phylogenetic turnover should covary with environmental heterogeneity in some way. Indeed, endemism, at certain scales, could also follow this pattern. Thuiller et al. (</w:t>
      </w:r>
      <w:hyperlink w:anchor="ref-Thuiller2006">
        <w:r>
          <w:rPr>
            <w:rStyle w:val="Hyperlink"/>
          </w:rPr>
          <w:t>2006</w:t>
        </w:r>
      </w:hyperlink>
      <w:r>
        <w:t>) demonstrated that there</w:t>
      </w:r>
      <w:r>
        <w:t xml:space="preserve"> are phylogenetic and biome-related determinants of species richness. This makes sense in light of the low probability of lineages crossing biome boundaries in Mediterranean systems (Power et al., </w:t>
      </w:r>
      <w:hyperlink w:anchor="ref-Power2017">
        <w:r>
          <w:rPr>
            <w:rStyle w:val="Hyperlink"/>
          </w:rPr>
          <w:t>2017</w:t>
        </w:r>
      </w:hyperlink>
      <w:r>
        <w:t>). NDVI and light a</w:t>
      </w:r>
      <w:r>
        <w:t xml:space="preserve">vailability, and the heterogeneity therein, are associated with high levels of floristic turnover (Power et al., </w:t>
      </w:r>
      <w:hyperlink w:anchor="ref-Power2017">
        <w:r>
          <w:rPr>
            <w:rStyle w:val="Hyperlink"/>
          </w:rPr>
          <w:t>2017</w:t>
        </w:r>
      </w:hyperlink>
      <w:r>
        <w:t>). This may be indicative of ecological specialisation precluding species from crossing these boundarie</w:t>
      </w:r>
      <w:r>
        <w:t>s, thus increasing the level of endemism within a region, while also increasing the level of turnover, and thus likely species richness, along environmental gradients. Although, this may be debated. Beard et al. (</w:t>
      </w:r>
      <w:hyperlink w:anchor="ref-Beard2000">
        <w:r>
          <w:rPr>
            <w:rStyle w:val="Hyperlink"/>
          </w:rPr>
          <w:t>2000</w:t>
        </w:r>
      </w:hyperlink>
      <w:r>
        <w:t>) s</w:t>
      </w:r>
      <w:r>
        <w:t>tate that the high levels of endemism in SWA are function of habitat specialisation to soil mosaics. Cf. Laliberte et al. (</w:t>
      </w:r>
      <w:hyperlink w:anchor="ref-Laliberte2014">
        <w:r>
          <w:rPr>
            <w:rStyle w:val="Hyperlink"/>
          </w:rPr>
          <w:t>2014</w:t>
        </w:r>
      </w:hyperlink>
      <w:r>
        <w:t>), who say that this endemism is likely due to environmental filtering along these soil t</w:t>
      </w:r>
      <w:r>
        <w:t>urnover sequences, as opposed to the juxtaposition of specialised species along soil gradients.</w:t>
      </w:r>
    </w:p>
    <w:p w:rsidR="002B0E82" w:rsidRDefault="00B71DAB">
      <w:pPr>
        <w:pStyle w:val="BodyText"/>
      </w:pPr>
      <w:r>
        <w:rPr>
          <w:i/>
        </w:rPr>
        <w:t>Ed: Is it worth expanding this discussion to functional diversity and phylogenetic diversity metrics too?</w:t>
      </w:r>
    </w:p>
    <w:p w:rsidR="002B0E82" w:rsidRDefault="00B71DAB">
      <w:pPr>
        <w:pStyle w:val="BodyText"/>
      </w:pPr>
      <w:r>
        <w:t>Summarily, we have demonstrated support for the genera</w:t>
      </w:r>
      <w:r>
        <w:t xml:space="preserve">lity of EH as a meaningful predictor of patterns of species richness and turnover in mediterranean-type ecosystems. In SWA and the Cape, high levels of are also likely the results of long-term landscape and climatic stability (Hopper, </w:t>
      </w:r>
      <w:hyperlink w:anchor="ref-Hopper1979">
        <w:r>
          <w:rPr>
            <w:rStyle w:val="Hyperlink"/>
          </w:rPr>
          <w:t>1979</w:t>
        </w:r>
      </w:hyperlink>
      <w:r>
        <w:t>). Thus, the roles of environmental variability through space that persists through deep time are two important ways in which the environment relates to biodiversity in these regions. The efficacy of environmental stability through geol</w:t>
      </w:r>
      <w:r>
        <w:t>ogical time should be explored further, comparing the Cape and SWA.</w:t>
      </w:r>
    </w:p>
    <w:p w:rsidR="002B0E82" w:rsidRDefault="00B71DAB">
      <w:pPr>
        <w:pStyle w:val="Heading1"/>
      </w:pPr>
      <w:bookmarkStart w:id="16" w:name="tables"/>
      <w:r>
        <w:lastRenderedPageBreak/>
        <w:t>Tables</w:t>
      </w:r>
      <w:bookmarkEnd w:id="16"/>
    </w:p>
    <w:p w:rsidR="002B0E82" w:rsidRDefault="00B71DAB">
      <w:pPr>
        <w:pStyle w:val="TableCaption"/>
      </w:pPr>
      <w:r>
        <w:t>Table 1 Georeferenced vascular plant species occurence and environmental data sources used in this study. Data were acquired for the Cape and SWA regions, with the temporal extent o</w:t>
      </w:r>
      <w:r>
        <w:t>f data products used described where applicable. Abbreviations are as follows: MAP, mean annual precipitation; PDQ, precipitation in the driest quarter; CEC, cation exchange capacity.</w:t>
      </w:r>
    </w:p>
    <w:tbl>
      <w:tblPr>
        <w:tblStyle w:val="Table"/>
        <w:tblW w:w="0" w:type="pct"/>
        <w:tblLook w:val="07E0" w:firstRow="1" w:lastRow="1" w:firstColumn="1" w:lastColumn="1" w:noHBand="1" w:noVBand="1"/>
        <w:tblCaption w:val="Table 1 Georeferenced vascular plant species occurence and environmental data sources used in this study. Data were acquired for the Cape and SWA regions, with the temporal extent of data products used described where applicable. Abbreviations are as follows: MAP, mean annual precipitation; PDQ, precipitation in the driest quarter; CEC, cation exchange capacity."/>
      </w:tblPr>
      <w:tblGrid>
        <w:gridCol w:w="2074"/>
        <w:gridCol w:w="2804"/>
        <w:gridCol w:w="1879"/>
        <w:gridCol w:w="2819"/>
      </w:tblGrid>
      <w:tr w:rsidR="002B0E82">
        <w:tc>
          <w:tcPr>
            <w:tcW w:w="0" w:type="auto"/>
            <w:tcBorders>
              <w:bottom w:val="single" w:sz="0" w:space="0" w:color="auto"/>
            </w:tcBorders>
            <w:vAlign w:val="bottom"/>
          </w:tcPr>
          <w:p w:rsidR="002B0E82" w:rsidRDefault="00B71DAB">
            <w:pPr>
              <w:pStyle w:val="Compact"/>
            </w:pPr>
            <w:r>
              <w:t>Variable</w:t>
            </w:r>
          </w:p>
        </w:tc>
        <w:tc>
          <w:tcPr>
            <w:tcW w:w="0" w:type="auto"/>
            <w:tcBorders>
              <w:bottom w:val="single" w:sz="0" w:space="0" w:color="auto"/>
            </w:tcBorders>
            <w:vAlign w:val="bottom"/>
          </w:tcPr>
          <w:p w:rsidR="002B0E82" w:rsidRDefault="00B71DAB">
            <w:pPr>
              <w:pStyle w:val="Compact"/>
            </w:pPr>
            <w:r>
              <w:t>Source</w:t>
            </w:r>
          </w:p>
        </w:tc>
        <w:tc>
          <w:tcPr>
            <w:tcW w:w="0" w:type="auto"/>
            <w:tcBorders>
              <w:bottom w:val="single" w:sz="0" w:space="0" w:color="auto"/>
            </w:tcBorders>
            <w:vAlign w:val="bottom"/>
          </w:tcPr>
          <w:p w:rsidR="002B0E82" w:rsidRDefault="00B71DAB">
            <w:pPr>
              <w:pStyle w:val="Compact"/>
            </w:pPr>
            <w:r>
              <w:t>Temporal extent</w:t>
            </w:r>
          </w:p>
        </w:tc>
        <w:tc>
          <w:tcPr>
            <w:tcW w:w="0" w:type="auto"/>
            <w:tcBorders>
              <w:bottom w:val="single" w:sz="0" w:space="0" w:color="auto"/>
            </w:tcBorders>
            <w:vAlign w:val="bottom"/>
          </w:tcPr>
          <w:p w:rsidR="002B0E82" w:rsidRDefault="00B71DAB">
            <w:pPr>
              <w:pStyle w:val="Compact"/>
            </w:pPr>
            <w:r>
              <w:t>Citation</w:t>
            </w:r>
          </w:p>
        </w:tc>
      </w:tr>
      <w:tr w:rsidR="002B0E82">
        <w:tc>
          <w:tcPr>
            <w:tcW w:w="0" w:type="auto"/>
          </w:tcPr>
          <w:p w:rsidR="002B0E82" w:rsidRDefault="00B71DAB">
            <w:pPr>
              <w:pStyle w:val="Compact"/>
            </w:pPr>
            <w:r>
              <w:t>Plant species occurrences</w:t>
            </w:r>
          </w:p>
        </w:tc>
        <w:tc>
          <w:tcPr>
            <w:tcW w:w="0" w:type="auto"/>
          </w:tcPr>
          <w:p w:rsidR="002B0E82" w:rsidRDefault="00B71DAB">
            <w:pPr>
              <w:pStyle w:val="Compact"/>
            </w:pPr>
            <w:r>
              <w:t>GBIF</w:t>
            </w:r>
          </w:p>
        </w:tc>
        <w:tc>
          <w:tcPr>
            <w:tcW w:w="0" w:type="auto"/>
          </w:tcPr>
          <w:p w:rsidR="002B0E82" w:rsidRDefault="00B71DAB">
            <w:pPr>
              <w:pStyle w:val="Compact"/>
            </w:pPr>
            <w:r>
              <w:t>TODO</w:t>
            </w:r>
          </w:p>
        </w:tc>
        <w:tc>
          <w:tcPr>
            <w:tcW w:w="0" w:type="auto"/>
          </w:tcPr>
          <w:p w:rsidR="002B0E82" w:rsidRDefault="00B71DAB">
            <w:pPr>
              <w:pStyle w:val="Compact"/>
            </w:pPr>
            <w:r>
              <w:t>GBIF (24 July 2017), GBIF (24 July 2017)</w:t>
            </w:r>
          </w:p>
        </w:tc>
      </w:tr>
      <w:tr w:rsidR="002B0E82">
        <w:tc>
          <w:tcPr>
            <w:tcW w:w="0" w:type="auto"/>
          </w:tcPr>
          <w:p w:rsidR="002B0E82" w:rsidRDefault="00B71DAB">
            <w:pPr>
              <w:pStyle w:val="Compact"/>
            </w:pPr>
            <w:r>
              <w:t>Elevation</w:t>
            </w:r>
          </w:p>
        </w:tc>
        <w:tc>
          <w:tcPr>
            <w:tcW w:w="0" w:type="auto"/>
          </w:tcPr>
          <w:p w:rsidR="002B0E82" w:rsidRDefault="00B71DAB">
            <w:pPr>
              <w:pStyle w:val="Compact"/>
            </w:pPr>
            <w:r>
              <w:t>SRTM v2.0</w:t>
            </w:r>
          </w:p>
        </w:tc>
        <w:tc>
          <w:tcPr>
            <w:tcW w:w="0" w:type="auto"/>
          </w:tcPr>
          <w:p w:rsidR="002B0E82" w:rsidRDefault="002B0E82">
            <w:pPr>
              <w:pStyle w:val="Compact"/>
            </w:pPr>
          </w:p>
        </w:tc>
        <w:tc>
          <w:tcPr>
            <w:tcW w:w="0" w:type="auto"/>
          </w:tcPr>
          <w:p w:rsidR="002B0E82" w:rsidRDefault="00B71DAB">
            <w:pPr>
              <w:pStyle w:val="Compact"/>
            </w:pPr>
            <w:r>
              <w:t>Farr et al. (</w:t>
            </w:r>
            <w:hyperlink w:anchor="ref-Farr2007">
              <w:r>
                <w:rPr>
                  <w:rStyle w:val="Hyperlink"/>
                </w:rPr>
                <w:t>2007</w:t>
              </w:r>
            </w:hyperlink>
            <w:r>
              <w:t>)</w:t>
            </w:r>
          </w:p>
        </w:tc>
      </w:tr>
      <w:tr w:rsidR="002B0E82">
        <w:tc>
          <w:tcPr>
            <w:tcW w:w="0" w:type="auto"/>
          </w:tcPr>
          <w:p w:rsidR="002B0E82" w:rsidRDefault="00B71DAB">
            <w:pPr>
              <w:pStyle w:val="Compact"/>
            </w:pPr>
            <w:r>
              <w:t>NDVI</w:t>
            </w:r>
          </w:p>
        </w:tc>
        <w:tc>
          <w:tcPr>
            <w:tcW w:w="0" w:type="auto"/>
          </w:tcPr>
          <w:p w:rsidR="002B0E82" w:rsidRDefault="00B71DAB">
            <w:pPr>
              <w:pStyle w:val="Compact"/>
            </w:pPr>
            <w:r>
              <w:t>MODIS (MOD13C2)</w:t>
            </w:r>
          </w:p>
        </w:tc>
        <w:tc>
          <w:tcPr>
            <w:tcW w:w="0" w:type="auto"/>
          </w:tcPr>
          <w:p w:rsidR="002B0E82" w:rsidRDefault="00B71DAB">
            <w:pPr>
              <w:pStyle w:val="Compact"/>
            </w:pPr>
            <w:r>
              <w:t>Feb. 2000 to Apr. 2017</w:t>
            </w:r>
          </w:p>
        </w:tc>
        <w:tc>
          <w:tcPr>
            <w:tcW w:w="0" w:type="auto"/>
          </w:tcPr>
          <w:p w:rsidR="002B0E82" w:rsidRDefault="00B71DAB">
            <w:pPr>
              <w:pStyle w:val="Compact"/>
            </w:pPr>
            <w:r>
              <w:t>NASA (?)</w:t>
            </w:r>
          </w:p>
        </w:tc>
      </w:tr>
      <w:tr w:rsidR="002B0E82">
        <w:tc>
          <w:tcPr>
            <w:tcW w:w="0" w:type="auto"/>
          </w:tcPr>
          <w:p w:rsidR="002B0E82" w:rsidRDefault="00B71DAB">
            <w:pPr>
              <w:pStyle w:val="Compact"/>
            </w:pPr>
            <w:r>
              <w:t>Surface temperature</w:t>
            </w:r>
          </w:p>
        </w:tc>
        <w:tc>
          <w:tcPr>
            <w:tcW w:w="0" w:type="auto"/>
          </w:tcPr>
          <w:p w:rsidR="002B0E82" w:rsidRDefault="00B71DAB">
            <w:pPr>
              <w:pStyle w:val="Compact"/>
            </w:pPr>
            <w:r>
              <w:t>MODIS (MOD11C3)</w:t>
            </w:r>
          </w:p>
        </w:tc>
        <w:tc>
          <w:tcPr>
            <w:tcW w:w="0" w:type="auto"/>
          </w:tcPr>
          <w:p w:rsidR="002B0E82" w:rsidRDefault="00B71DAB">
            <w:pPr>
              <w:pStyle w:val="Compact"/>
            </w:pPr>
            <w:r>
              <w:t>Feb. 2000 to</w:t>
            </w:r>
            <w:r>
              <w:t xml:space="preserve"> Apr. 2017</w:t>
            </w:r>
          </w:p>
        </w:tc>
        <w:tc>
          <w:tcPr>
            <w:tcW w:w="0" w:type="auto"/>
          </w:tcPr>
          <w:p w:rsidR="002B0E82" w:rsidRDefault="00B71DAB">
            <w:pPr>
              <w:pStyle w:val="Compact"/>
            </w:pPr>
            <w:r>
              <w:t>NASA (?)</w:t>
            </w:r>
          </w:p>
        </w:tc>
      </w:tr>
      <w:tr w:rsidR="002B0E82">
        <w:tc>
          <w:tcPr>
            <w:tcW w:w="0" w:type="auto"/>
          </w:tcPr>
          <w:p w:rsidR="002B0E82" w:rsidRDefault="00B71DAB">
            <w:pPr>
              <w:pStyle w:val="Compact"/>
            </w:pPr>
            <w:r>
              <w:t>MAP</w:t>
            </w:r>
          </w:p>
        </w:tc>
        <w:tc>
          <w:tcPr>
            <w:tcW w:w="0" w:type="auto"/>
          </w:tcPr>
          <w:p w:rsidR="002B0E82" w:rsidRDefault="00B71DAB">
            <w:pPr>
              <w:pStyle w:val="Compact"/>
            </w:pPr>
            <w:r>
              <w:t>CHIRPS v2.0</w:t>
            </w:r>
          </w:p>
        </w:tc>
        <w:tc>
          <w:tcPr>
            <w:tcW w:w="0" w:type="auto"/>
          </w:tcPr>
          <w:p w:rsidR="002B0E82" w:rsidRDefault="00B71DAB">
            <w:pPr>
              <w:pStyle w:val="Compact"/>
            </w:pPr>
            <w:r>
              <w:t>Jan. 1981 to Feb. 2017</w:t>
            </w:r>
          </w:p>
        </w:tc>
        <w:tc>
          <w:tcPr>
            <w:tcW w:w="0" w:type="auto"/>
          </w:tcPr>
          <w:p w:rsidR="002B0E82" w:rsidRDefault="00B71DAB">
            <w:pPr>
              <w:pStyle w:val="Compact"/>
            </w:pPr>
            <w:r>
              <w:t>Funk et al. (</w:t>
            </w:r>
            <w:hyperlink w:anchor="ref-Funk2015">
              <w:r>
                <w:rPr>
                  <w:rStyle w:val="Hyperlink"/>
                </w:rPr>
                <w:t>2015</w:t>
              </w:r>
            </w:hyperlink>
            <w:r>
              <w:t>)</w:t>
            </w:r>
          </w:p>
        </w:tc>
      </w:tr>
      <w:tr w:rsidR="002B0E82">
        <w:tc>
          <w:tcPr>
            <w:tcW w:w="0" w:type="auto"/>
          </w:tcPr>
          <w:p w:rsidR="002B0E82" w:rsidRDefault="00B71DAB">
            <w:pPr>
              <w:pStyle w:val="Compact"/>
            </w:pPr>
            <w:r>
              <w:t>PDQ</w:t>
            </w:r>
          </w:p>
        </w:tc>
        <w:tc>
          <w:tcPr>
            <w:tcW w:w="0" w:type="auto"/>
          </w:tcPr>
          <w:p w:rsidR="002B0E82" w:rsidRDefault="00B71DAB">
            <w:pPr>
              <w:pStyle w:val="Compact"/>
            </w:pPr>
            <w:r>
              <w:t>CHIRPS v2.0</w:t>
            </w:r>
          </w:p>
        </w:tc>
        <w:tc>
          <w:tcPr>
            <w:tcW w:w="0" w:type="auto"/>
          </w:tcPr>
          <w:p w:rsidR="002B0E82" w:rsidRDefault="00B71DAB">
            <w:pPr>
              <w:pStyle w:val="Compact"/>
            </w:pPr>
            <w:r>
              <w:t>Jan. 1981 to Feb. 2017</w:t>
            </w:r>
          </w:p>
        </w:tc>
        <w:tc>
          <w:tcPr>
            <w:tcW w:w="0" w:type="auto"/>
          </w:tcPr>
          <w:p w:rsidR="002B0E82" w:rsidRDefault="00B71DAB">
            <w:pPr>
              <w:pStyle w:val="Compact"/>
            </w:pPr>
            <w:r>
              <w:t>Funk et al. (</w:t>
            </w:r>
            <w:hyperlink w:anchor="ref-Funk2015">
              <w:r>
                <w:rPr>
                  <w:rStyle w:val="Hyperlink"/>
                </w:rPr>
                <w:t>2015</w:t>
              </w:r>
            </w:hyperlink>
            <w:r>
              <w:t>)</w:t>
            </w:r>
          </w:p>
        </w:tc>
      </w:tr>
      <w:tr w:rsidR="002B0E82">
        <w:tc>
          <w:tcPr>
            <w:tcW w:w="0" w:type="auto"/>
          </w:tcPr>
          <w:p w:rsidR="002B0E82" w:rsidRDefault="00B71DAB">
            <w:pPr>
              <w:pStyle w:val="Compact"/>
            </w:pPr>
            <w:r>
              <w:t>CEC</w:t>
            </w:r>
          </w:p>
        </w:tc>
        <w:tc>
          <w:tcPr>
            <w:tcW w:w="0" w:type="auto"/>
          </w:tcPr>
          <w:p w:rsidR="002B0E82" w:rsidRDefault="00B71DAB">
            <w:pPr>
              <w:pStyle w:val="Compact"/>
            </w:pPr>
            <w:r>
              <w:t>SoilGrids250m (CECSOL M 250m)</w:t>
            </w:r>
          </w:p>
        </w:tc>
        <w:tc>
          <w:tcPr>
            <w:tcW w:w="0" w:type="auto"/>
          </w:tcPr>
          <w:p w:rsidR="002B0E82" w:rsidRDefault="002B0E82">
            <w:pPr>
              <w:pStyle w:val="Compact"/>
            </w:pPr>
          </w:p>
        </w:tc>
        <w:tc>
          <w:tcPr>
            <w:tcW w:w="0" w:type="auto"/>
          </w:tcPr>
          <w:p w:rsidR="002B0E82" w:rsidRDefault="00B71DAB">
            <w:pPr>
              <w:pStyle w:val="Compact"/>
            </w:pPr>
            <w:r>
              <w:t>Hengl et al. (</w:t>
            </w:r>
            <w:hyperlink w:anchor="ref-Hengl2017">
              <w:r>
                <w:rPr>
                  <w:rStyle w:val="Hyperlink"/>
                </w:rPr>
                <w:t>2017</w:t>
              </w:r>
            </w:hyperlink>
            <w:r>
              <w:t>)</w:t>
            </w:r>
          </w:p>
        </w:tc>
      </w:tr>
      <w:tr w:rsidR="002B0E82">
        <w:tc>
          <w:tcPr>
            <w:tcW w:w="0" w:type="auto"/>
          </w:tcPr>
          <w:p w:rsidR="002B0E82" w:rsidRDefault="00B71DAB">
            <w:pPr>
              <w:pStyle w:val="Compact"/>
            </w:pPr>
            <w:r>
              <w:t>Clay</w:t>
            </w:r>
          </w:p>
        </w:tc>
        <w:tc>
          <w:tcPr>
            <w:tcW w:w="0" w:type="auto"/>
          </w:tcPr>
          <w:p w:rsidR="002B0E82" w:rsidRDefault="00B71DAB">
            <w:pPr>
              <w:pStyle w:val="Compact"/>
            </w:pPr>
            <w:r>
              <w:t>SoilGrids250m (CLYPPT M 250m)</w:t>
            </w:r>
          </w:p>
        </w:tc>
        <w:tc>
          <w:tcPr>
            <w:tcW w:w="0" w:type="auto"/>
          </w:tcPr>
          <w:p w:rsidR="002B0E82" w:rsidRDefault="002B0E82">
            <w:pPr>
              <w:pStyle w:val="Compact"/>
            </w:pPr>
          </w:p>
        </w:tc>
        <w:tc>
          <w:tcPr>
            <w:tcW w:w="0" w:type="auto"/>
          </w:tcPr>
          <w:p w:rsidR="002B0E82" w:rsidRDefault="002B0E82">
            <w:pPr>
              <w:pStyle w:val="Compact"/>
            </w:pPr>
          </w:p>
        </w:tc>
      </w:tr>
      <w:tr w:rsidR="002B0E82">
        <w:tc>
          <w:tcPr>
            <w:tcW w:w="0" w:type="auto"/>
          </w:tcPr>
          <w:p w:rsidR="002B0E82" w:rsidRDefault="00B71DAB">
            <w:pPr>
              <w:pStyle w:val="Compact"/>
            </w:pPr>
            <w:r>
              <w:t>Soil C</w:t>
            </w:r>
          </w:p>
        </w:tc>
        <w:tc>
          <w:tcPr>
            <w:tcW w:w="0" w:type="auto"/>
          </w:tcPr>
          <w:p w:rsidR="002B0E82" w:rsidRDefault="00B71DAB">
            <w:pPr>
              <w:pStyle w:val="Compact"/>
            </w:pPr>
            <w:r>
              <w:t>SoilGrids250m (OCDENS M 250m)</w:t>
            </w:r>
          </w:p>
        </w:tc>
        <w:tc>
          <w:tcPr>
            <w:tcW w:w="0" w:type="auto"/>
          </w:tcPr>
          <w:p w:rsidR="002B0E82" w:rsidRDefault="002B0E82">
            <w:pPr>
              <w:pStyle w:val="Compact"/>
            </w:pPr>
          </w:p>
        </w:tc>
        <w:tc>
          <w:tcPr>
            <w:tcW w:w="0" w:type="auto"/>
          </w:tcPr>
          <w:p w:rsidR="002B0E82" w:rsidRDefault="002B0E82">
            <w:pPr>
              <w:pStyle w:val="Compact"/>
            </w:pPr>
          </w:p>
        </w:tc>
      </w:tr>
      <w:tr w:rsidR="002B0E82">
        <w:tc>
          <w:tcPr>
            <w:tcW w:w="0" w:type="auto"/>
          </w:tcPr>
          <w:p w:rsidR="002B0E82" w:rsidRDefault="00B71DAB">
            <w:pPr>
              <w:pStyle w:val="Compact"/>
            </w:pPr>
            <w:r>
              <w:t>pH</w:t>
            </w:r>
          </w:p>
        </w:tc>
        <w:tc>
          <w:tcPr>
            <w:tcW w:w="0" w:type="auto"/>
          </w:tcPr>
          <w:p w:rsidR="002B0E82" w:rsidRDefault="00B71DAB">
            <w:pPr>
              <w:pStyle w:val="Compact"/>
            </w:pPr>
            <w:r>
              <w:t>SoilGrids250m (PHIKCL M 250m)</w:t>
            </w:r>
          </w:p>
        </w:tc>
        <w:tc>
          <w:tcPr>
            <w:tcW w:w="0" w:type="auto"/>
          </w:tcPr>
          <w:p w:rsidR="002B0E82" w:rsidRDefault="002B0E82">
            <w:pPr>
              <w:pStyle w:val="Compact"/>
            </w:pPr>
          </w:p>
        </w:tc>
        <w:tc>
          <w:tcPr>
            <w:tcW w:w="0" w:type="auto"/>
          </w:tcPr>
          <w:p w:rsidR="002B0E82" w:rsidRDefault="002B0E82">
            <w:pPr>
              <w:pStyle w:val="Compact"/>
            </w:pPr>
          </w:p>
        </w:tc>
      </w:tr>
    </w:tbl>
    <w:p w:rsidR="002B0E82" w:rsidRDefault="00B71DAB">
      <w:pPr>
        <w:pStyle w:val="Compact"/>
      </w:pPr>
      <w:r>
        <w:t>Table 2 Average proportional-ranks for BRT-model performance measures (</w:t>
      </w:r>
      <m:oMath>
        <m:r>
          <w:rPr>
            <w:rFonts w:ascii="Cambria Math" w:hAnsi="Cambria Math"/>
          </w:rPr>
          <m:t>nt</m:t>
        </m:r>
      </m:oMath>
      <w:r>
        <w:t xml:space="preserve">,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(Equation (4)),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 xml:space="preserve"> (see text)) of the 1000 replicate BRT-models relative to 999 BRT-models </w:t>
      </w:r>
      <w:r>
        <w:lastRenderedPageBreak/>
        <w:t xml:space="preserve">fit to permuted datasets. Each of the 1000 replicate BRT-mdels was ranked </w:t>
      </w:r>
      <w:r>
        <w:t>against the 999 permuted BRT-models. The average rank of each, as a proportion, is presented.</w:t>
      </w:r>
    </w:p>
    <w:p w:rsidR="002B0E82" w:rsidRDefault="00B71DAB">
      <w:pPr>
        <w:pStyle w:val="Compact"/>
      </w:pPr>
      <w:r>
        <w:t>Model</w:t>
      </w:r>
    </w:p>
    <w:p w:rsidR="002B0E82" w:rsidRDefault="00B71DAB">
      <w:pPr>
        <w:pStyle w:val="Compact"/>
      </w:pPr>
      <m:oMathPara>
        <m:oMath>
          <m:r>
            <w:rPr>
              <w:rFonts w:ascii="Cambria Math" w:hAnsi="Cambria Math"/>
            </w:rPr>
            <m:t>nt</m:t>
          </m:r>
        </m:oMath>
      </m:oMathPara>
    </w:p>
    <w:p w:rsidR="002B0E82" w:rsidRDefault="00B71DAB">
      <w:pPr>
        <w:pStyle w:val="Compact"/>
      </w:pPr>
      <m:oMathPara>
        <m:oMath>
          <m:sSubSup>
            <m:sSubSupPr>
              <m:ctrlPr>
                <w:rPr>
                  <w:rFonts w:ascii="Cambria Math" w:hAnsi="Cambria Math"/>
                </w:rPr>
              </m:ctrlPr>
            </m:sSubSupPr>
            <m:e>
              <m:r>
                <w:rPr>
                  <w:rFonts w:ascii="Cambria Math" w:hAnsi="Cambria Math"/>
                </w:rPr>
                <m:t>R</m:t>
              </m:r>
            </m:e>
            <m:sub>
              <m:r>
                <w:rPr>
                  <w:rFonts w:ascii="Cambria Math" w:hAnsi="Cambria Math"/>
                </w:rPr>
                <m:t>pseudo</m:t>
              </m:r>
            </m:sub>
            <m:sup>
              <m:r>
                <w:rPr>
                  <w:rFonts w:ascii="Cambria Math" w:hAnsi="Cambria Math"/>
                </w:rPr>
                <m:t>2</m:t>
              </m:r>
            </m:sup>
          </m:sSubSup>
        </m:oMath>
      </m:oMathPara>
    </w:p>
    <w:p w:rsidR="002B0E82" w:rsidRDefault="00B71DAB">
      <w:pPr>
        <w:pStyle w:val="Compact"/>
      </w:pPr>
      <m:oMathPara>
        <m:oMath>
          <m:sSubSup>
            <m:sSubSupPr>
              <m:ctrlPr>
                <w:rPr>
                  <w:rFonts w:ascii="Cambria Math" w:hAnsi="Cambria Math"/>
                </w:rPr>
              </m:ctrlPr>
            </m:sSubSupPr>
            <m:e>
              <m:r>
                <w:rPr>
                  <w:rFonts w:ascii="Cambria Math" w:hAnsi="Cambria Math"/>
                </w:rPr>
                <m:t>R</m:t>
              </m:r>
            </m:e>
            <m:sub>
              <m:r>
                <w:rPr>
                  <w:rFonts w:ascii="Cambria Math" w:hAnsi="Cambria Math"/>
                </w:rPr>
                <m:t>E</m:t>
              </m:r>
              <m:r>
                <w:rPr>
                  <w:rFonts w:ascii="Cambria Math" w:hAnsi="Cambria Math"/>
                </w:rPr>
                <m:t>-</m:t>
              </m:r>
              <m:r>
                <w:rPr>
                  <w:rFonts w:ascii="Cambria Math" w:hAnsi="Cambria Math"/>
                </w:rPr>
                <m:t>O</m:t>
              </m:r>
            </m:sub>
            <m:sup>
              <m:r>
                <w:rPr>
                  <w:rFonts w:ascii="Cambria Math" w:hAnsi="Cambria Math"/>
                </w:rPr>
                <m:t>2</m:t>
              </m:r>
            </m:sup>
          </m:sSubSup>
        </m:oMath>
      </m:oMathPara>
    </w:p>
    <w:p w:rsidR="002B0E82" w:rsidRDefault="00B71DAB">
      <w:pPr>
        <w:pStyle w:val="Compact"/>
      </w:pPr>
      <w:r>
        <w:t>GCFR</w:t>
      </w:r>
    </w:p>
    <w:p w:rsidR="002B0E82" w:rsidRDefault="00B71DAB">
      <w:pPr>
        <w:pStyle w:val="Compact"/>
      </w:pPr>
      <w:r>
        <w:t>1.000</w:t>
      </w:r>
    </w:p>
    <w:p w:rsidR="002B0E82" w:rsidRDefault="00B71DAB">
      <w:pPr>
        <w:pStyle w:val="Compact"/>
      </w:pPr>
      <w:r>
        <w:t>1.000</w:t>
      </w:r>
    </w:p>
    <w:p w:rsidR="002B0E82" w:rsidRDefault="00B71DAB">
      <w:pPr>
        <w:pStyle w:val="Compact"/>
      </w:pPr>
      <w:r>
        <w:t>1.000</w:t>
      </w:r>
    </w:p>
    <w:p w:rsidR="002B0E82" w:rsidRDefault="00B71DAB">
      <w:pPr>
        <w:pStyle w:val="Compact"/>
      </w:pPr>
      <w:r>
        <w:t>SWAFR</w:t>
      </w:r>
    </w:p>
    <w:p w:rsidR="002B0E82" w:rsidRDefault="00B71DAB">
      <w:pPr>
        <w:pStyle w:val="Compact"/>
      </w:pPr>
      <w:r>
        <w:t>1.000</w:t>
      </w:r>
    </w:p>
    <w:p w:rsidR="002B0E82" w:rsidRDefault="00B71DAB">
      <w:pPr>
        <w:pStyle w:val="Compact"/>
      </w:pPr>
      <w:r>
        <w:t>1.000</w:t>
      </w:r>
    </w:p>
    <w:p w:rsidR="002B0E82" w:rsidRDefault="00B71DAB">
      <w:pPr>
        <w:pStyle w:val="Compact"/>
      </w:pPr>
      <w:r>
        <w:t>1.000</w:t>
      </w:r>
    </w:p>
    <w:p w:rsidR="002B0E82" w:rsidRDefault="00B71DAB">
      <w:pPr>
        <w:pStyle w:val="Compact"/>
      </w:pPr>
      <w:r>
        <w:t>GCFR</w:t>
      </w:r>
    </w:p>
    <w:p w:rsidR="002B0E82" w:rsidRDefault="00B71DAB">
      <w:pPr>
        <w:pStyle w:val="Compact"/>
      </w:pPr>
      <w:r>
        <w:t>0.987</w:t>
      </w:r>
    </w:p>
    <w:p w:rsidR="002B0E82" w:rsidRDefault="00B71DAB">
      <w:pPr>
        <w:pStyle w:val="Compact"/>
      </w:pPr>
      <w:r>
        <w:t>1.000</w:t>
      </w:r>
    </w:p>
    <w:p w:rsidR="002B0E82" w:rsidRDefault="00B71DAB">
      <w:pPr>
        <w:pStyle w:val="Compact"/>
      </w:pPr>
      <w:r>
        <w:t>0.988</w:t>
      </w:r>
    </w:p>
    <w:p w:rsidR="002B0E82" w:rsidRDefault="00B71DAB">
      <w:pPr>
        <w:pStyle w:val="Compact"/>
      </w:pPr>
      <w:r>
        <w:t>SWAFR</w:t>
      </w:r>
    </w:p>
    <w:p w:rsidR="002B0E82" w:rsidRDefault="00B71DAB">
      <w:pPr>
        <w:pStyle w:val="Compact"/>
      </w:pPr>
      <w:r>
        <w:t>1.000</w:t>
      </w:r>
    </w:p>
    <w:p w:rsidR="002B0E82" w:rsidRDefault="00B71DAB">
      <w:pPr>
        <w:pStyle w:val="Compact"/>
      </w:pPr>
      <w:r>
        <w:t>1.000</w:t>
      </w:r>
    </w:p>
    <w:p w:rsidR="002B0E82" w:rsidRDefault="00B71DAB">
      <w:pPr>
        <w:pStyle w:val="Compact"/>
      </w:pPr>
      <w:r>
        <w:t>1.000</w:t>
      </w:r>
    </w:p>
    <w:p w:rsidR="002B0E82" w:rsidRDefault="00B71DAB">
      <w:pPr>
        <w:pStyle w:val="Compact"/>
      </w:pPr>
      <w:r>
        <w:t>GCFR</w:t>
      </w:r>
    </w:p>
    <w:p w:rsidR="002B0E82" w:rsidRDefault="00B71DAB">
      <w:pPr>
        <w:pStyle w:val="Compact"/>
      </w:pPr>
      <w:r>
        <w:t>0.977</w:t>
      </w:r>
    </w:p>
    <w:p w:rsidR="002B0E82" w:rsidRDefault="00B71DAB">
      <w:pPr>
        <w:pStyle w:val="Compact"/>
      </w:pPr>
      <w:r>
        <w:t>0.992</w:t>
      </w:r>
    </w:p>
    <w:p w:rsidR="002B0E82" w:rsidRDefault="00B71DAB">
      <w:pPr>
        <w:pStyle w:val="Compact"/>
      </w:pPr>
      <w:r>
        <w:t>0.979</w:t>
      </w:r>
    </w:p>
    <w:p w:rsidR="002B0E82" w:rsidRDefault="00B71DAB">
      <w:pPr>
        <w:pStyle w:val="Compact"/>
      </w:pPr>
      <w:r>
        <w:t>SWAFR</w:t>
      </w:r>
    </w:p>
    <w:p w:rsidR="002B0E82" w:rsidRDefault="00B71DAB">
      <w:pPr>
        <w:pStyle w:val="Compact"/>
      </w:pPr>
      <w:r>
        <w:t>0.997</w:t>
      </w:r>
    </w:p>
    <w:p w:rsidR="002B0E82" w:rsidRDefault="00B71DAB">
      <w:pPr>
        <w:pStyle w:val="Compact"/>
      </w:pPr>
      <w:r>
        <w:t>1.000</w:t>
      </w:r>
    </w:p>
    <w:p w:rsidR="002B0E82" w:rsidRDefault="00B71DAB">
      <w:pPr>
        <w:pStyle w:val="Compact"/>
      </w:pPr>
      <w:r>
        <w:lastRenderedPageBreak/>
        <w:t>1.000</w:t>
      </w:r>
    </w:p>
    <w:p w:rsidR="002B0E82" w:rsidRDefault="00B71DAB">
      <w:pPr>
        <w:pStyle w:val="Compact"/>
      </w:pPr>
      <w:r>
        <w:t>Table 3 Estimated differences between replicate Cape and SWA BRT-models’ performance measures (</w:t>
      </w:r>
      <m:oMath>
        <m:r>
          <w:rPr>
            <w:rFonts w:ascii="Cambria Math" w:hAnsi="Cambria Math"/>
          </w:rPr>
          <m:t>nt</m:t>
        </m:r>
      </m:oMath>
      <w:r>
        <w:t xml:space="preserve">,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(Equation (4)),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 xml:space="preserve"> (see text)) following two-sided </w:t>
      </w:r>
      <m:oMath>
        <m:r>
          <w:rPr>
            <w:rFonts w:ascii="Cambria Math" w:hAnsi="Cambria Math"/>
          </w:rPr>
          <m:t>t</m:t>
        </m:r>
      </m:oMath>
      <w:r>
        <w:t>-tests. Positive values indicate that the Cape models had greate</w:t>
      </w:r>
      <w:r>
        <w:t>r values. In all cases, the Cape and SWA had highly significantly different values for these quality measures (</w:t>
      </w:r>
      <m:oMath>
        <m:r>
          <w:rPr>
            <w:rFonts w:ascii="Cambria Math" w:hAnsi="Cambria Math"/>
          </w:rPr>
          <m:t>P</m:t>
        </m:r>
        <m:r>
          <w:rPr>
            <w:rFonts w:ascii="Cambria Math" w:hAnsi="Cambria Math"/>
          </w:rPr>
          <m:t>&lt;0.0001</m:t>
        </m:r>
      </m:oMath>
      <w:r>
        <w:t>).</w:t>
      </w:r>
    </w:p>
    <w:p w:rsidR="002B0E82" w:rsidRDefault="00B71DAB">
      <w:pPr>
        <w:pStyle w:val="Compact"/>
      </w:pPr>
      <w:r>
        <w:t>Model</w:t>
      </w:r>
    </w:p>
    <w:p w:rsidR="002B0E82" w:rsidRDefault="00B71DAB">
      <w:pPr>
        <w:pStyle w:val="Compact"/>
      </w:pPr>
      <m:oMathPara>
        <m:oMath>
          <m:r>
            <w:rPr>
              <w:rFonts w:ascii="Cambria Math" w:hAnsi="Cambria Math"/>
            </w:rPr>
            <m:t>nt</m:t>
          </m:r>
        </m:oMath>
      </m:oMathPara>
    </w:p>
    <w:p w:rsidR="002B0E82" w:rsidRDefault="00B71DAB">
      <w:pPr>
        <w:pStyle w:val="Compact"/>
      </w:pPr>
      <m:oMathPara>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m:oMathPara>
    </w:p>
    <w:p w:rsidR="002B0E82" w:rsidRDefault="00B71DAB">
      <w:pPr>
        <w:pStyle w:val="Compact"/>
      </w:pPr>
      <m:oMathPara>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m:oMathPara>
    </w:p>
    <w:p w:rsidR="002B0E82" w:rsidRDefault="00B71DAB">
      <w:pPr>
        <w:pStyle w:val="Compact"/>
      </w:pPr>
      <w:r>
        <w:t>QDS-richness</w:t>
      </w:r>
    </w:p>
    <w:p w:rsidR="002B0E82" w:rsidRDefault="00B71DAB">
      <w:pPr>
        <w:pStyle w:val="Compact"/>
      </w:pPr>
      <w:r>
        <w:t>542.938</w:t>
      </w:r>
    </w:p>
    <w:p w:rsidR="002B0E82" w:rsidRDefault="00B71DAB">
      <w:pPr>
        <w:pStyle w:val="Compact"/>
      </w:pPr>
      <w:r>
        <w:t>0.063</w:t>
      </w:r>
    </w:p>
    <w:p w:rsidR="002B0E82" w:rsidRDefault="00B71DAB">
      <w:pPr>
        <w:pStyle w:val="Compact"/>
      </w:pPr>
      <w:r>
        <w:t>-0.005</w:t>
      </w:r>
    </w:p>
    <w:p w:rsidR="002B0E82" w:rsidRDefault="00B71DAB">
      <w:pPr>
        <w:pStyle w:val="Compact"/>
      </w:pPr>
      <w:r>
        <w:t>HDS-richness</w:t>
      </w:r>
    </w:p>
    <w:p w:rsidR="002B0E82" w:rsidRDefault="00B71DAB">
      <w:pPr>
        <w:pStyle w:val="Compact"/>
      </w:pPr>
      <w:r>
        <w:t>-808.994</w:t>
      </w:r>
    </w:p>
    <w:p w:rsidR="002B0E82" w:rsidRDefault="00B71DAB">
      <w:pPr>
        <w:pStyle w:val="Compact"/>
      </w:pPr>
      <w:r>
        <w:t>-0.064</w:t>
      </w:r>
    </w:p>
    <w:p w:rsidR="002B0E82" w:rsidRDefault="00B71DAB">
      <w:pPr>
        <w:pStyle w:val="Compact"/>
      </w:pPr>
      <w:r>
        <w:t>-0.233</w:t>
      </w:r>
    </w:p>
    <w:p w:rsidR="002B0E82" w:rsidRDefault="00B71DAB">
      <w:pPr>
        <w:pStyle w:val="Compact"/>
      </w:pPr>
      <w:r>
        <w:t>HDS-turnover</w:t>
      </w:r>
    </w:p>
    <w:p w:rsidR="002B0E82" w:rsidRDefault="00B71DAB">
      <w:pPr>
        <w:pStyle w:val="Compact"/>
      </w:pPr>
      <w:r>
        <w:t>-997.045</w:t>
      </w:r>
    </w:p>
    <w:p w:rsidR="002B0E82" w:rsidRDefault="00B71DAB">
      <w:pPr>
        <w:pStyle w:val="Compact"/>
      </w:pPr>
      <w:r>
        <w:t>-0.052</w:t>
      </w:r>
    </w:p>
    <w:p w:rsidR="002B0E82" w:rsidRDefault="00B71DAB">
      <w:pPr>
        <w:pStyle w:val="Compact"/>
      </w:pPr>
      <w:r>
        <w:t>-0.296</w:t>
      </w:r>
    </w:p>
    <w:p w:rsidR="002B0E82" w:rsidRDefault="00B71DAB">
      <w:pPr>
        <w:pStyle w:val="Heading1"/>
      </w:pPr>
      <w:bookmarkStart w:id="17" w:name="figures"/>
      <w:r>
        <w:lastRenderedPageBreak/>
        <w:t>Figures</w:t>
      </w:r>
      <w:bookmarkEnd w:id="17"/>
    </w:p>
    <w:p w:rsidR="002B0E82" w:rsidRDefault="00B71DAB">
      <w:pPr>
        <w:pStyle w:val="CaptionedFigure"/>
      </w:pPr>
      <w:r>
        <w:rPr>
          <w:noProof/>
        </w:rPr>
        <w:drawing>
          <wp:inline distT="0" distB="0" distL="0" distR="0">
            <wp:extent cx="5943600" cy="3962400"/>
            <wp:effectExtent l="0" t="0" r="0" b="0"/>
            <wp:docPr id="1" name="Picture" descr="Figure 1 Comparisons of different types of environmental heterogeneity between the the Greater Cape Floristic Region (Cape) and the Southwest Australia Floristic Region (SWA). We present (a) distributions of roughness values (Equation (1)) for example variables from each broad category of the environment concerned. (b) The common language effect size (CLES; see text) of Cape versus SWA roughness values is shown for all variables, grouped by broad categories of the environment, describing differences in the distributions of Cape and SWA roughness values. We used Mann-Whitney U-tests to assess differences in these distributions. Non-significant differences (P_U &gt; 0.05) are denoted as such (“NS”). Note, U-tests were performed using only a random set of 5000 cells at the 0.05-degree-scale, as the U-test as implemented in R cannot handle more than that many values to compare."/>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1-roughness.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p>
    <w:p w:rsidR="002B0E82" w:rsidRDefault="00B71DAB">
      <w:pPr>
        <w:pStyle w:val="ImageCaption"/>
      </w:pPr>
      <w:r>
        <w:t>Figure 1 Comparisons of different types of environmental heterogeneity between the the Greater Cape Floristic Region (Cape) and the Southwest Australia Floristic Region (SWA). We present (a) distributions of roughness values (Equation (1)) for example vari</w:t>
      </w:r>
      <w:r>
        <w:t>ables from each broad category of the environment concerned. (b) The common language effect size (</w:t>
      </w:r>
      <m:oMath>
        <m:r>
          <w:rPr>
            <w:rFonts w:ascii="Cambria Math" w:hAnsi="Cambria Math"/>
          </w:rPr>
          <m:t>CLES</m:t>
        </m:r>
      </m:oMath>
      <w:r>
        <w:t xml:space="preserve">; see text) of Cape versus SWA roughness values is shown for all variables, grouped by broad categories of the environment, describing differences in </w:t>
      </w:r>
      <w:r>
        <w:t xml:space="preserve">the distributions of Cape and SWA roughness values. We used Mann-Whitney </w:t>
      </w:r>
      <m:oMath>
        <m:r>
          <w:rPr>
            <w:rFonts w:ascii="Cambria Math" w:hAnsi="Cambria Math"/>
          </w:rPr>
          <m:t>U</m:t>
        </m:r>
      </m:oMath>
      <w:r>
        <w:t>-tests to assess differences in these distributions. Non-significant differences (</w:t>
      </w:r>
      <m:oMath>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&gt;0.05</m:t>
        </m:r>
      </m:oMath>
      <w:r>
        <w:t xml:space="preserve">) are denoted as such (“NS”). Note, </w:t>
      </w:r>
      <m:oMath>
        <m:r>
          <w:rPr>
            <w:rFonts w:ascii="Cambria Math" w:hAnsi="Cambria Math"/>
          </w:rPr>
          <m:t>U</m:t>
        </m:r>
      </m:oMath>
      <w:r>
        <w:t>-tests were performed using only a random set of 500</w:t>
      </w:r>
      <w:r>
        <w:t xml:space="preserve">0 cells at the 0.05-degree-scale, as the </w:t>
      </w:r>
      <m:oMath>
        <m:r>
          <w:rPr>
            <w:rFonts w:ascii="Cambria Math" w:hAnsi="Cambria Math"/>
          </w:rPr>
          <m:t>U</m:t>
        </m:r>
      </m:oMath>
      <w:r>
        <w:t>-test as implemented in R cannot handle more than that many values to compare.</w:t>
      </w:r>
    </w:p>
    <w:p w:rsidR="002B0E82" w:rsidRDefault="00B71DAB">
      <w:pPr>
        <w:pStyle w:val="CaptionedFigure"/>
      </w:pPr>
      <w:r>
        <w:rPr>
          <w:noProof/>
        </w:rPr>
        <w:lastRenderedPageBreak/>
        <w:drawing>
          <wp:inline distT="0" distB="0" distL="0" distR="0">
            <wp:extent cx="5943600" cy="2547257"/>
            <wp:effectExtent l="0" t="0" r="0" b="0"/>
            <wp:docPr id="2" name="Picture" descr="Figure 2 Species turnover, described in two forms ((a) mean Jaccard distance between QDS in each HDS (\overline{J}_{\mathrm{QDS}}), (b) additively defined turnover (T_{\mathrm{HDS}}, Equation (2)) as a proportion of HDS richness (S_{\mathrm{HDS}})), compared between the Cape and SWA. Mann-Whitney U-tests between the Cape and SWA distributions of \overline{J}_{\mathrm{QDS}} and T_{\mathrm{HDS}} yielded significant differences (see P-values and common language effect sizes (CLES) inset). "/>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2-turnover.png"/>
                    <pic:cNvPicPr>
                      <a:picLocks noChangeAspect="1" noChangeArrowheads="1"/>
                    </pic:cNvPicPr>
                  </pic:nvPicPr>
                  <pic:blipFill>
                    <a:blip r:embed="rId11"/>
                    <a:stretch>
                      <a:fillRect/>
                    </a:stretch>
                  </pic:blipFill>
                  <pic:spPr bwMode="auto">
                    <a:xfrm>
                      <a:off x="0" y="0"/>
                      <a:ext cx="5943600" cy="2547257"/>
                    </a:xfrm>
                    <a:prstGeom prst="rect">
                      <a:avLst/>
                    </a:prstGeom>
                    <a:noFill/>
                    <a:ln w="9525">
                      <a:noFill/>
                      <a:headEnd/>
                      <a:tailEnd/>
                    </a:ln>
                  </pic:spPr>
                </pic:pic>
              </a:graphicData>
            </a:graphic>
          </wp:inline>
        </w:drawing>
      </w:r>
    </w:p>
    <w:p w:rsidR="002B0E82" w:rsidRDefault="00B71DAB">
      <w:pPr>
        <w:pStyle w:val="ImageCaption"/>
      </w:pPr>
      <w:r>
        <w:t>Figure 2 Species turnover, described in two forms ((a) mean Jaccard distance between QDS in each HDS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(b) additively defined turnover (</w:t>
      </w:r>
      <m:oMath>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w:r>
        <w:t>, Equation (2)) as a proportion of HDS richness (</w:t>
      </w: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xml:space="preserve">)), compared between the Cape and SWA. Mann-Whitney </w:t>
      </w:r>
      <m:oMath>
        <m:r>
          <w:rPr>
            <w:rFonts w:ascii="Cambria Math" w:hAnsi="Cambria Math"/>
          </w:rPr>
          <m:t>U</m:t>
        </m:r>
      </m:oMath>
      <w:r>
        <w:t xml:space="preserve">-tests between the Cape and SWA distributions of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and </w:t>
      </w:r>
      <m:oMath>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w:r>
        <w:t xml:space="preserve"> yielded significant differences (see </w:t>
      </w:r>
      <m:oMath>
        <m:r>
          <w:rPr>
            <w:rFonts w:ascii="Cambria Math" w:hAnsi="Cambria Math"/>
          </w:rPr>
          <m:t>P</m:t>
        </m:r>
      </m:oMath>
      <w:r>
        <w:t>-va</w:t>
      </w:r>
      <w:r>
        <w:t>lues and common language effect sizes (</w:t>
      </w:r>
      <m:oMath>
        <m:r>
          <w:rPr>
            <w:rFonts w:ascii="Cambria Math" w:hAnsi="Cambria Math"/>
          </w:rPr>
          <m:t>CLES</m:t>
        </m:r>
      </m:oMath>
      <w:r>
        <w:t xml:space="preserve">) inset). </w:t>
      </w:r>
    </w:p>
    <w:p w:rsidR="002B0E82" w:rsidRDefault="00B71DAB">
      <w:pPr>
        <w:pStyle w:val="CaptionedFigure"/>
      </w:pPr>
      <w:r>
        <w:rPr>
          <w:noProof/>
        </w:rPr>
        <w:lastRenderedPageBreak/>
        <w:drawing>
          <wp:inline distT="0" distB="0" distL="0" distR="0">
            <wp:extent cx="5943600" cy="3566160"/>
            <wp:effectExtent l="0" t="0" r="0" b="0"/>
            <wp:docPr id="3" name="Picture" descr="Figure 3 Relative influence of environmental variables (including heterogeneity variables—prefixed with “R”) in boosted regression tree (BRT) model predictions in the Greater Cape Floristic Region (Cape, a–c) and the Southwest Australia Floristic Region (SWA, b–d) of vascular plant species richness at the (b,e) QDS-scale (= \overline{S}_{\mathrm{QDS}}), (a,d) HDS-scale (= S_{\mathrm{HDS}}) and (c,f) turnover (= \overline{J}_{\mathrm{QDS}}). All BRT-models were permitted to fit three-way interactions between environmental variables. Points denote the mean contribution of an environmental variable to model-predictions across the 1000 replicate BRT-models for that region/scope. Horizontal ticks denote the mean for the 999 permuted BRT-models. Standard deviations above and below these means are shown with vertical lines. Note, in the case of the replicate, standard deviations are so small such that the vertical lines are obscured by the points. Colours represent the general category of the environment to which a variable belongs (keyed), as in Figure 1b. Left-most piecharts inset in each panel display the same information. Right-most piecharts group contributions according to whether a variable was absolute or roughness-transformed (keyed). F-statistics inset are for one-way ANOVAs of differences in variables’ relative influences—for both the replicate (F_{\mathrm{rep.}}) and permuted (F_{\mathrm{prm.}}) BRT-models.  "/>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3-species-environment-relationships.png"/>
                    <pic:cNvPicPr>
                      <a:picLocks noChangeAspect="1" noChangeArrowheads="1"/>
                    </pic:cNvPicPr>
                  </pic:nvPicPr>
                  <pic:blipFill>
                    <a:blip r:embed="rId12"/>
                    <a:stretch>
                      <a:fillRect/>
                    </a:stretch>
                  </pic:blipFill>
                  <pic:spPr bwMode="auto">
                    <a:xfrm>
                      <a:off x="0" y="0"/>
                      <a:ext cx="5943600" cy="3566160"/>
                    </a:xfrm>
                    <a:prstGeom prst="rect">
                      <a:avLst/>
                    </a:prstGeom>
                    <a:noFill/>
                    <a:ln w="9525">
                      <a:noFill/>
                      <a:headEnd/>
                      <a:tailEnd/>
                    </a:ln>
                  </pic:spPr>
                </pic:pic>
              </a:graphicData>
            </a:graphic>
          </wp:inline>
        </w:drawing>
      </w:r>
    </w:p>
    <w:p w:rsidR="002B0E82" w:rsidRDefault="00B71DAB">
      <w:pPr>
        <w:pStyle w:val="ImageCaption"/>
      </w:pPr>
      <w:r>
        <w:t>Figure 3 Relative influence of environmental variables (including heterogeneity variables—prefixed with “R”) in boosted regression tree (BRT) model predictions in the Greater Cape Floristic Region</w:t>
      </w:r>
      <w:r>
        <w:t xml:space="preserve"> (Cape, a–c) and the Southwest Australia Floristic Region (SWA, b–d) of vascular plant species richness at the (b,e) QDS-scale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(a,d) HDS-scale (</w:t>
      </w:r>
      <m:oMath>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and (c,f) turnover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All BRT-models were permitted to fit three-way interactions betwe</w:t>
      </w:r>
      <w:r>
        <w:t>en environmental variables. Points denote the mean contribution of an environmental variable to model-predictions across the 1000 replicate BRT-models for that region/scope. Horizontal ticks denote the mean for the 999 permuted BRT-models. Standard deviati</w:t>
      </w:r>
      <w:r>
        <w:t xml:space="preserve">ons above and below these means are shown with vertical lines. Note, in the case of the replicate, standard deviations are so small such that the vertical lines are obscured by the points. Colours represent the general category of the environment to which </w:t>
      </w:r>
      <w:r>
        <w:t xml:space="preserve">a variable belongs (keyed), as in Figure 1b. Left-most piecharts inset in each panel display the same information. Right-most piecharts group contributions according to whether a variable was absolute or roughness-transformed (keyed). </w:t>
      </w:r>
      <m:oMath>
        <m:r>
          <w:rPr>
            <w:rFonts w:ascii="Cambria Math" w:hAnsi="Cambria Math"/>
          </w:rPr>
          <m:t>F</m:t>
        </m:r>
      </m:oMath>
      <w:r>
        <w:t>-statistics inset a</w:t>
      </w:r>
      <w:r>
        <w:t>re for one-way ANOVAs of differences in variables’ relative influences—for both the replicate (</w:t>
      </w:r>
      <m:oMath>
        <m:sSub>
          <m:sSubPr>
            <m:ctrlPr>
              <w:rPr>
                <w:rFonts w:ascii="Cambria Math" w:hAnsi="Cambria Math"/>
              </w:rPr>
            </m:ctrlPr>
          </m:sSubPr>
          <m:e>
            <m:r>
              <w:rPr>
                <w:rFonts w:ascii="Cambria Math" w:hAnsi="Cambria Math"/>
              </w:rPr>
              <m:t>F</m:t>
            </m:r>
          </m:e>
          <m:sub>
            <m:r>
              <m:rPr>
                <m:sty m:val="p"/>
              </m:rPr>
              <w:rPr>
                <w:rFonts w:ascii="Cambria Math" w:hAnsi="Cambria Math"/>
              </w:rPr>
              <m:t>rep.</m:t>
            </m:r>
          </m:sub>
        </m:sSub>
      </m:oMath>
      <w:r>
        <w:t>) and permuted (</w:t>
      </w:r>
      <m:oMath>
        <m:sSub>
          <m:sSubPr>
            <m:ctrlPr>
              <w:rPr>
                <w:rFonts w:ascii="Cambria Math" w:hAnsi="Cambria Math"/>
              </w:rPr>
            </m:ctrlPr>
          </m:sSubPr>
          <m:e>
            <m:r>
              <w:rPr>
                <w:rFonts w:ascii="Cambria Math" w:hAnsi="Cambria Math"/>
              </w:rPr>
              <m:t>F</m:t>
            </m:r>
          </m:e>
          <m:sub>
            <m:r>
              <m:rPr>
                <m:sty m:val="p"/>
              </m:rPr>
              <w:rPr>
                <w:rFonts w:ascii="Cambria Math" w:hAnsi="Cambria Math"/>
              </w:rPr>
              <m:t>prm.</m:t>
            </m:r>
          </m:sub>
        </m:sSub>
      </m:oMath>
      <w:r>
        <w:t xml:space="preserve">) BRT-models.  </w:t>
      </w:r>
    </w:p>
    <w:p w:rsidR="002B0E82" w:rsidRDefault="00B71DAB">
      <w:pPr>
        <w:pStyle w:val="CaptionedFigure"/>
      </w:pPr>
      <w:r>
        <w:rPr>
          <w:noProof/>
        </w:rPr>
        <w:lastRenderedPageBreak/>
        <w:drawing>
          <wp:inline distT="0" distB="0" distL="0" distR="0">
            <wp:extent cx="5943600" cy="2971800"/>
            <wp:effectExtent l="0" t="0" r="0" b="0"/>
            <wp:docPr id="4" name="Picture" descr="Figure 4 Distributions of three measures of boosted regression tree (BRT) model performance: (a) the number of trees in the model nt, (b) R_{\mathrm{pseudo}}^2 (Equation (4)), (c) R_{\mathrm{E-O}}^2 (see text). These measures are presented for the six sets of permuted (pale bars) and six sets of replicate BRT-models (dark bars) as in Figure 3, coloured according to the region of interest as in Figures 1a and 2. In all cases, replicate BRT-models almost entirely out-rank the permuted models in terms of performance (Table 2) and the Greater Cape Floristic Region (Cape) and Southwest Australia Floristic Region (SWA) models had significantly different values for each metric (Table 3). Note, the actual differences between Cape and the SWA models’ values is not realistically significant in some cases (e.g. the difference in nt between the Cape and SWA QDS richness models is statistically significant, but are observedly so similar as not to affect interpretation)."/>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4-BRT-model-quality.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rsidR="002B0E82" w:rsidRDefault="00B71DAB">
      <w:pPr>
        <w:pStyle w:val="ImageCaption"/>
      </w:pPr>
      <w:r>
        <w:t>Figure 4 Distributions of three measures of boosted regression tree (BRT) model performance: (a) the number of tree</w:t>
      </w:r>
      <w:r>
        <w:t xml:space="preserve">s in the model </w:t>
      </w:r>
      <m:oMath>
        <m:r>
          <w:rPr>
            <w:rFonts w:ascii="Cambria Math" w:hAnsi="Cambria Math"/>
          </w:rPr>
          <m:t>nt</m:t>
        </m:r>
      </m:oMath>
      <w:r>
        <w:t xml:space="preserve">, (b)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(Equation (4)), (c)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 xml:space="preserve"> (see text). These measures are presented for the six sets of permuted (pale bars) and six sets of replicate BRT-models (dark bars) as in Figure 3, coloured according to the region of interest as</w:t>
      </w:r>
      <w:r>
        <w:t xml:space="preserve"> in Figures 1a and 2. In all cases, replicate BRT-models almost entirely out-rank the permuted models in terms of performance (Table 2) and the Greater Cape Floristic Region (Cape) and Southwest Australia Floristic Region (SWA) models had significantly dif</w:t>
      </w:r>
      <w:r>
        <w:t xml:space="preserve">ferent values for each metric (Table 3). Note, the actual differences between Cape and the SWA models’ values is not realistically significant in some cases (e.g. the difference in </w:t>
      </w:r>
      <m:oMath>
        <m:r>
          <w:rPr>
            <w:rFonts w:ascii="Cambria Math" w:hAnsi="Cambria Math"/>
          </w:rPr>
          <m:t>nt</m:t>
        </m:r>
      </m:oMath>
      <w:r>
        <w:t xml:space="preserve"> between the Cape and SWA QDS richness models is statistically signific</w:t>
      </w:r>
      <w:r>
        <w:t>ant, but are observedly so similar as not to affect interpretation).</w:t>
      </w:r>
    </w:p>
    <w:p w:rsidR="002B0E82" w:rsidRDefault="00B71DAB">
      <w:pPr>
        <w:pStyle w:val="CaptionedFigure"/>
      </w:pPr>
      <w:r>
        <w:rPr>
          <w:noProof/>
        </w:rPr>
        <w:lastRenderedPageBreak/>
        <w:drawing>
          <wp:inline distT="0" distB="0" distL="0" distR="0">
            <wp:extent cx="5943600" cy="2228850"/>
            <wp:effectExtent l="0" t="0" r="0" b="0"/>
            <wp:docPr id="5" name="Picture" descr="Figure 5 Differences in the rankings of environmental variables’ (including heterogeneity variables) relative influences on boosted regression tree (BRT) model predictions of vascular plant species richness and turnover in (a) the Greater Cape Floristic Region (Cape) and (b) Southwest Australia Floristic Region (SWA) (as in Figure 3). Each point represents an environmental variable’s rank in BRT-model importance, decreasing in importance from left to right. Rankings used here are the same as that of the average relative influence for variables across replicate BRT-models, presented in Figure 3. Coloured lines connect points representing the same environmental variable. Points’ outlines are coloured according to the general category of the environment (keyed) to which a variable belongs, as in Figuress 1b and 3, while points’ centres are coloured according to whether a variable was roughness-transformed or not. The comparisons of variables’ rankings of interest are between QDS- and HDS-scale richness (= \overline{S}_{\mathrm{QDS}} and S_{\mathrm{HDS}} respectively; rows nos. 1 and 2) and between HDS-scale richness and turnover (= \overline{J}_{\mathrm{QDS}}) (rows nos. 2 and 3). Statistics (\Delta- and P-values) inset at the top and bottom of each panel refer to these comparisons respectively. \Delta-values represent the average absolute difference in ranks across variables between two models’ rankings. The associate P-value results from ranking the observed \Delta-values against 999 \Delta-values based on random permutations of variables’ rankings (SI1), such that more significant P-values denote rankings more similar than would be expected by chance.   "/>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5-BRT-variable-rank-concordance.png"/>
                    <pic:cNvPicPr>
                      <a:picLocks noChangeAspect="1" noChangeArrowheads="1"/>
                    </pic:cNvPicPr>
                  </pic:nvPicPr>
                  <pic:blipFill>
                    <a:blip r:embed="rId14"/>
                    <a:stretch>
                      <a:fillRect/>
                    </a:stretch>
                  </pic:blipFill>
                  <pic:spPr bwMode="auto">
                    <a:xfrm>
                      <a:off x="0" y="0"/>
                      <a:ext cx="5943600" cy="2228850"/>
                    </a:xfrm>
                    <a:prstGeom prst="rect">
                      <a:avLst/>
                    </a:prstGeom>
                    <a:noFill/>
                    <a:ln w="9525">
                      <a:noFill/>
                      <a:headEnd/>
                      <a:tailEnd/>
                    </a:ln>
                  </pic:spPr>
                </pic:pic>
              </a:graphicData>
            </a:graphic>
          </wp:inline>
        </w:drawing>
      </w:r>
    </w:p>
    <w:p w:rsidR="002B0E82" w:rsidRDefault="00B71DAB">
      <w:pPr>
        <w:pStyle w:val="ImageCaption"/>
      </w:pPr>
      <w:r>
        <w:t>Figure 5 Differences in the rankings of environmental variables’ (including heterogeneity variables) relative influences on boosted regression tree (BRT) model predictions of vascular p</w:t>
      </w:r>
      <w:r>
        <w:t>lant species richness and turnover in (a) the Greater Cape Floristic Region (Cape) and (b) Southwest Australia Floristic Region (SWA) (as in Figure 3). Each point represents an environmental variable’s rank in BRT-model importance, decreasing in importance</w:t>
      </w:r>
      <w:r>
        <w:t xml:space="preserve"> from left to right. Rankings used here are the same as that of the average relative influence for variables across replicate BRT-models, presented in Figure 3. Coloured lines connect points representing the same environmental variable. Points’ outlines ar</w:t>
      </w:r>
      <w:r>
        <w:t>e coloured according to the general category of the environment (keyed) to which a variable belongs, as in Figuress 1b and 3, while points’ centres are coloured according to whether a variable was roughness-transformed or not. The comparisons of variables’</w:t>
      </w:r>
      <w:r>
        <w:t xml:space="preserve"> rankings of interest are between QDS- and HDS-scale richness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xml:space="preserve"> and </w:t>
      </w: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xml:space="preserve"> respectively; rows nos. 1 and 2) and between HDS-scale richness and turnover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(rows nos. 2 and 3). Statistics (</w:t>
      </w:r>
      <m:oMath>
        <m:r>
          <w:rPr>
            <w:rFonts w:ascii="Cambria Math" w:hAnsi="Cambria Math"/>
          </w:rPr>
          <m:t>Δ</m:t>
        </m:r>
      </m:oMath>
      <w:r>
        <w:t xml:space="preserve">- and </w:t>
      </w:r>
      <m:oMath>
        <m:r>
          <w:rPr>
            <w:rFonts w:ascii="Cambria Math" w:hAnsi="Cambria Math"/>
          </w:rPr>
          <m:t>P</m:t>
        </m:r>
      </m:oMath>
      <w:r>
        <w:t>-values) inset at the top and bottom of each pa</w:t>
      </w:r>
      <w:r>
        <w:t xml:space="preserve">nel refer to these comparisons respectively. </w:t>
      </w:r>
      <m:oMath>
        <m:r>
          <w:rPr>
            <w:rFonts w:ascii="Cambria Math" w:hAnsi="Cambria Math"/>
          </w:rPr>
          <m:t>Δ</m:t>
        </m:r>
      </m:oMath>
      <w:r>
        <w:t xml:space="preserve">-values represent the average absolute difference in ranks across variables between two models’ rankings. The associate </w:t>
      </w:r>
      <m:oMath>
        <m:r>
          <w:rPr>
            <w:rFonts w:ascii="Cambria Math" w:hAnsi="Cambria Math"/>
          </w:rPr>
          <m:t>P</m:t>
        </m:r>
      </m:oMath>
      <w:r>
        <w:t xml:space="preserve">-value results from ranking the observed </w:t>
      </w:r>
      <m:oMath>
        <m:r>
          <w:rPr>
            <w:rFonts w:ascii="Cambria Math" w:hAnsi="Cambria Math"/>
          </w:rPr>
          <m:t>Δ</m:t>
        </m:r>
      </m:oMath>
      <w:r>
        <w:t xml:space="preserve">-values against 999 </w:t>
      </w:r>
      <m:oMath>
        <m:r>
          <w:rPr>
            <w:rFonts w:ascii="Cambria Math" w:hAnsi="Cambria Math"/>
          </w:rPr>
          <m:t>Δ</m:t>
        </m:r>
      </m:oMath>
      <w:r>
        <w:t>-values based on rando</w:t>
      </w:r>
      <w:r>
        <w:t xml:space="preserve">m permutations of variables’ rankings (SI1), such that more significant </w:t>
      </w:r>
      <m:oMath>
        <m:r>
          <w:rPr>
            <w:rFonts w:ascii="Cambria Math" w:hAnsi="Cambria Math"/>
          </w:rPr>
          <m:t>P</m:t>
        </m:r>
      </m:oMath>
      <w:r>
        <w:t xml:space="preserve">-values denote rankings more similar than would be expected by chance.   </w:t>
      </w:r>
    </w:p>
    <w:p w:rsidR="002B0E82" w:rsidRDefault="00B71DAB">
      <w:pPr>
        <w:pStyle w:val="CaptionedFigure"/>
      </w:pPr>
      <w:r>
        <w:rPr>
          <w:noProof/>
        </w:rPr>
        <w:lastRenderedPageBreak/>
        <w:drawing>
          <wp:inline distT="0" distB="0" distL="0" distR="0">
            <wp:extent cx="5943600" cy="2971800"/>
            <wp:effectExtent l="0" t="0" r="0" b="0"/>
            <wp:docPr id="6" name="Picture" descr="Figure 6 Marginal effects of environmental conditions and heterogeneity on vascular plant species richness at the QDS-scale (= \overline{S}_{\mathrm{QDS}}; a,d), HDS-scale (= S_{\mathrm{HDS}}; b,e) and turnover (= \overline{J}_{\mathrm{QDS}}; c,f) in response variables in the Greater Cape Floristic Region (Cape; a–c) and Southwest Australia Floristic Region (SWA; d–f) following boosted regression tree (BRT) modelling. Marginal effect functions presented are derived from a representative BRT-model from the set of replicate BRT-models (for each of the six modelling cases) (see SI regarding how representative BRT-models were selected). Marginal effects represent the effect of a predictor variable when all other predictors are set at their means. Marginal effect functions are shown for environmental variables that contributed \geq 10\% to a model’s predictions. Functions are coloured as keyed, with solid lines representing absolute environmental variables and dotted representing heterogeneity variables (“rough”). Environmental variables were all rescaled here such as to be centred on zero (i.e. Z-transformed), facilitating comparison of functions’ forms.   "/>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7-environment-marginal-effects.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rsidR="002B0E82" w:rsidRDefault="00B71DAB">
      <w:pPr>
        <w:pStyle w:val="ImageCaption"/>
      </w:pPr>
      <w:r>
        <w:t>Figure 6 Marginal effects of environmental conditions and heterogeneity on vascular plant species richness</w:t>
      </w:r>
      <w:r>
        <w:t xml:space="preserve"> at the QDS-scale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a,d), HDS-scale (</w:t>
      </w:r>
      <m:oMath>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b,e) and turnover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c,f) in response variables in the Greater Cape Floristic Region (Cape; a–c) and Southwest Australia Floristic Region (SWA; d–f) following boosted regression tree (BRT) modelling. Marginal effect functions presented are derived from a representative BRT-m</w:t>
      </w:r>
      <w:r>
        <w:t xml:space="preserve">odel from the set of replicate BRT-models (for each of the six modelling cases) (see SI regarding how representative BRT-models were selected). Marginal effects represent the effect of a predictor variable when all other predictors are set at their means. </w:t>
      </w:r>
      <w:r>
        <w:t xml:space="preserve">Marginal effect functions are shown for environmental variables that contributed </w:t>
      </w:r>
      <m:oMath>
        <m:r>
          <w:rPr>
            <w:rFonts w:ascii="Cambria Math" w:hAnsi="Cambria Math"/>
          </w:rPr>
          <m:t>≥10%</m:t>
        </m:r>
      </m:oMath>
      <w:r>
        <w:t xml:space="preserve"> to a model’s predictions. Functions are coloured as keyed, with solid lines representing absolute environmental variables and dotted representing heterogeneity variables </w:t>
      </w:r>
      <w:r>
        <w:t xml:space="preserve">(“rough”). Environmental variables were all rescaled here such as to be centred on zero (i.e. </w:t>
      </w:r>
      <m:oMath>
        <m:r>
          <w:rPr>
            <w:rFonts w:ascii="Cambria Math" w:hAnsi="Cambria Math"/>
          </w:rPr>
          <m:t>Z</m:t>
        </m:r>
      </m:oMath>
      <w:r>
        <w:t xml:space="preserve">-transformed), facilitating comparison of functions’ forms.   </w:t>
      </w:r>
    </w:p>
    <w:p w:rsidR="002B0E82" w:rsidRDefault="00B71DAB">
      <w:pPr>
        <w:pStyle w:val="Heading1"/>
      </w:pPr>
      <w:bookmarkStart w:id="18" w:name="biosketches"/>
      <w:r>
        <w:t>Biosketches</w:t>
      </w:r>
      <w:bookmarkEnd w:id="18"/>
    </w:p>
    <w:p w:rsidR="002B0E82" w:rsidRDefault="00B71DAB">
      <w:pPr>
        <w:pStyle w:val="FirstParagraph"/>
      </w:pPr>
      <w:r>
        <w:rPr>
          <w:b/>
        </w:rPr>
        <w:t>Ruan van Mazijk</w:t>
      </w:r>
      <w:r>
        <w:t xml:space="preserve"> </w:t>
      </w:r>
    </w:p>
    <w:p w:rsidR="002B0E82" w:rsidRDefault="00B71DAB">
      <w:pPr>
        <w:pStyle w:val="BodyText"/>
      </w:pPr>
      <w:r>
        <w:rPr>
          <w:b/>
        </w:rPr>
        <w:t>Michael D. Cramer</w:t>
      </w:r>
      <w:r>
        <w:t xml:space="preserve"> </w:t>
      </w:r>
    </w:p>
    <w:p w:rsidR="002B0E82" w:rsidRDefault="00B71DAB">
      <w:pPr>
        <w:pStyle w:val="BodyText"/>
      </w:pPr>
      <w:r>
        <w:rPr>
          <w:b/>
        </w:rPr>
        <w:t>G. Anthony Verboom</w:t>
      </w:r>
      <w:r>
        <w:t xml:space="preserve"> </w:t>
      </w:r>
    </w:p>
    <w:p w:rsidR="002B0E82" w:rsidRDefault="00B71DAB">
      <w:pPr>
        <w:pStyle w:val="Heading1"/>
      </w:pPr>
      <w:bookmarkStart w:id="19" w:name="author-contributions"/>
      <w:r>
        <w:lastRenderedPageBreak/>
        <w:t>Author contributions</w:t>
      </w:r>
      <w:bookmarkEnd w:id="19"/>
    </w:p>
    <w:p w:rsidR="002B0E82" w:rsidRDefault="00B71DAB">
      <w:pPr>
        <w:pStyle w:val="FirstParagraph"/>
      </w:pPr>
      <w:r>
        <w:t xml:space="preserve">MDC and </w:t>
      </w:r>
      <w:r>
        <w:t>GAV conceived the study question, which RVM investigated under their supervision for his BSc Hons project. The analyses and programming work were largely devised by RVM, with input from the other authors, and was carried out by RVM. RVM wrote the first dra</w:t>
      </w:r>
      <w:r>
        <w:t>ft of the manuscript and all authors contributed equally thereafter.</w:t>
      </w:r>
    </w:p>
    <w:p w:rsidR="003264A9" w:rsidRDefault="003264A9">
      <w:pPr>
        <w:rPr>
          <w:rFonts w:asciiTheme="majorBidi" w:eastAsiaTheme="majorEastAsia" w:hAnsiTheme="majorBidi" w:cstheme="majorBidi"/>
          <w:b/>
          <w:bCs/>
          <w:color w:val="000000" w:themeColor="text1"/>
          <w:sz w:val="32"/>
          <w:szCs w:val="32"/>
        </w:rPr>
      </w:pPr>
      <w:bookmarkStart w:id="20" w:name="references"/>
      <w:r>
        <w:br w:type="page"/>
      </w:r>
    </w:p>
    <w:p w:rsidR="002B0E82" w:rsidRDefault="00B71DAB">
      <w:pPr>
        <w:pStyle w:val="Heading1"/>
      </w:pPr>
      <w:bookmarkStart w:id="21" w:name="_GoBack"/>
      <w:bookmarkEnd w:id="21"/>
      <w:r>
        <w:lastRenderedPageBreak/>
        <w:t>References</w:t>
      </w:r>
      <w:bookmarkEnd w:id="20"/>
    </w:p>
    <w:p w:rsidR="002B0E82" w:rsidRDefault="00B71DAB">
      <w:pPr>
        <w:pStyle w:val="Bibliography"/>
      </w:pPr>
      <w:bookmarkStart w:id="22" w:name="ref-Baudena2015"/>
      <w:bookmarkStart w:id="23" w:name="refs"/>
      <w:r>
        <w:t>Baudena, M., Sánchez, A., Georg, C.-P., Ruiz-Benito, P., Rodríguez, M.Á., Zavala, M.A., &amp; Rietkerk, M. (2015) Revealing patterns of local species richness along environmental g</w:t>
      </w:r>
      <w:r>
        <w:t xml:space="preserve">radients with a novel network tool. </w:t>
      </w:r>
      <w:r>
        <w:rPr>
          <w:i/>
        </w:rPr>
        <w:t>Scientific Reports</w:t>
      </w:r>
      <w:r>
        <w:t xml:space="preserve">, </w:t>
      </w:r>
      <w:r>
        <w:rPr>
          <w:b/>
        </w:rPr>
        <w:t>5</w:t>
      </w:r>
      <w:r>
        <w:t xml:space="preserve">, 11561. </w:t>
      </w:r>
    </w:p>
    <w:p w:rsidR="002B0E82" w:rsidRDefault="00B71DAB">
      <w:pPr>
        <w:pStyle w:val="Bibliography"/>
      </w:pPr>
      <w:bookmarkStart w:id="24" w:name="ref-Beard2000"/>
      <w:bookmarkEnd w:id="22"/>
      <w:r>
        <w:t xml:space="preserve">Beard, J.S., Chapman, A.R., &amp; Gioia, P. (2000) Species richness and endemism in the Western Australian flora. </w:t>
      </w:r>
      <w:r>
        <w:rPr>
          <w:i/>
        </w:rPr>
        <w:t>Journal of Biogeography</w:t>
      </w:r>
      <w:r>
        <w:t xml:space="preserve">, </w:t>
      </w:r>
      <w:r>
        <w:rPr>
          <w:b/>
        </w:rPr>
        <w:t>27</w:t>
      </w:r>
      <w:r>
        <w:t xml:space="preserve">, 1257–1268. </w:t>
      </w:r>
    </w:p>
    <w:p w:rsidR="002B0E82" w:rsidRDefault="00B71DAB">
      <w:pPr>
        <w:pStyle w:val="Bibliography"/>
      </w:pPr>
      <w:bookmarkStart w:id="25" w:name="ref-Bivand2017"/>
      <w:bookmarkEnd w:id="24"/>
      <w:r>
        <w:t>Bivand, R., Keitt, T., &amp; Rowlingson, B</w:t>
      </w:r>
      <w:r>
        <w:t xml:space="preserve">. (2017) rgdal: Bindings for the Geospatial Data Abstraction Library. R package version 1.2-7.. </w:t>
      </w:r>
    </w:p>
    <w:p w:rsidR="002B0E82" w:rsidRDefault="00B71DAB">
      <w:pPr>
        <w:pStyle w:val="Bibliography"/>
      </w:pPr>
      <w:bookmarkStart w:id="26" w:name="ref-Bradshaw2014"/>
      <w:bookmarkEnd w:id="25"/>
      <w:r>
        <w:t xml:space="preserve">Bradshaw, P.L. &amp; Cowling, R.M. (2014) Landscapes, rock types, and climate of the Greater Cape Floristic Region. </w:t>
      </w:r>
      <w:r>
        <w:rPr>
          <w:i/>
        </w:rPr>
        <w:t xml:space="preserve">Fynbos: Ecology, evolution and conservation of </w:t>
      </w:r>
      <w:r>
        <w:rPr>
          <w:i/>
        </w:rPr>
        <w:t>a megadiverse region</w:t>
      </w:r>
      <w:r>
        <w:t xml:space="preserve"> (ed. by N. Allsopp, J.F. Colville, and G.A. Verboom), pp. 26–46. Oxford University Press, Oxford. </w:t>
      </w:r>
    </w:p>
    <w:p w:rsidR="002B0E82" w:rsidRDefault="00B71DAB">
      <w:pPr>
        <w:pStyle w:val="Bibliography"/>
      </w:pPr>
      <w:bookmarkStart w:id="27" w:name="ref-Bohn2004"/>
      <w:bookmarkEnd w:id="26"/>
      <w:r>
        <w:t xml:space="preserve">Bøhn, T. &amp; Amundsen, P.-A. (2004) Ecological Interactions and Evolution: Forgotten Parts of Biodiversity? </w:t>
      </w:r>
      <w:r>
        <w:rPr>
          <w:i/>
        </w:rPr>
        <w:t>BioScience</w:t>
      </w:r>
      <w:r>
        <w:t xml:space="preserve">, </w:t>
      </w:r>
      <w:r>
        <w:rPr>
          <w:b/>
        </w:rPr>
        <w:t>54</w:t>
      </w:r>
      <w:r>
        <w:t xml:space="preserve">, 804. </w:t>
      </w:r>
    </w:p>
    <w:p w:rsidR="002B0E82" w:rsidRDefault="00B71DAB">
      <w:pPr>
        <w:pStyle w:val="Bibliography"/>
      </w:pPr>
      <w:bookmarkStart w:id="28" w:name="ref-Cardillo2012"/>
      <w:bookmarkEnd w:id="27"/>
      <w:r>
        <w:t>Cardillo</w:t>
      </w:r>
      <w:r>
        <w:t xml:space="preserve">, M. (2012) The phylogenetic signal of species co-occurrence in high-diversity shrublands: different patterns for fire-killed and fire-resistant species. </w:t>
      </w:r>
      <w:r>
        <w:rPr>
          <w:i/>
        </w:rPr>
        <w:t>BMC Ecology</w:t>
      </w:r>
      <w:r>
        <w:t xml:space="preserve">, </w:t>
      </w:r>
      <w:r>
        <w:rPr>
          <w:b/>
        </w:rPr>
        <w:t>12</w:t>
      </w:r>
      <w:r>
        <w:t xml:space="preserve">, 21. </w:t>
      </w:r>
    </w:p>
    <w:p w:rsidR="002B0E82" w:rsidRDefault="00B71DAB">
      <w:pPr>
        <w:pStyle w:val="Bibliography"/>
      </w:pPr>
      <w:bookmarkStart w:id="29" w:name="ref-Chamberlain2016"/>
      <w:bookmarkEnd w:id="28"/>
      <w:r>
        <w:t>Chamberlain, S., Szoecs, E., Foster, Z., Arendsee, Z., Boettiger, C., Ram, K., B</w:t>
      </w:r>
      <w:r>
        <w:t xml:space="preserve">artomeus, I., Baumgartner, J., O’Donnell, J., Oksanen, J., Tzovaras, B.G., Marchand, P., &amp; Tran, V. (2018) </w:t>
      </w:r>
      <w:r>
        <w:rPr>
          <w:i/>
        </w:rPr>
        <w:t xml:space="preserve">Taxize: Taxonomic information from around the web. </w:t>
      </w:r>
    </w:p>
    <w:p w:rsidR="002B0E82" w:rsidRDefault="00B71DAB">
      <w:pPr>
        <w:pStyle w:val="Bibliography"/>
      </w:pPr>
      <w:bookmarkStart w:id="30" w:name="ref-Cook2015"/>
      <w:bookmarkEnd w:id="29"/>
      <w:r>
        <w:t>Cook, L.G., Hardy, N.B., &amp; Crisp, M.D. (2015) Three explanations for biodiversity hotspots: small</w:t>
      </w:r>
      <w:r>
        <w:t xml:space="preserve"> range size, geographical overlap and time for species accumulation. An Australian case study. </w:t>
      </w:r>
      <w:r>
        <w:rPr>
          <w:i/>
        </w:rPr>
        <w:t>New Phytologist</w:t>
      </w:r>
      <w:r>
        <w:t xml:space="preserve">, </w:t>
      </w:r>
      <w:r>
        <w:rPr>
          <w:b/>
        </w:rPr>
        <w:t>207</w:t>
      </w:r>
      <w:r>
        <w:t xml:space="preserve">, 390–400. </w:t>
      </w:r>
    </w:p>
    <w:p w:rsidR="002B0E82" w:rsidRDefault="00B71DAB">
      <w:pPr>
        <w:pStyle w:val="Bibliography"/>
      </w:pPr>
      <w:bookmarkStart w:id="31" w:name="ref-Cowling1996"/>
      <w:bookmarkEnd w:id="30"/>
      <w:r>
        <w:t xml:space="preserve">Cowling, R.M., Rundel, P.W., Lamont, B.B., Arroyo, M.K., &amp; Arianoutsou, M. (1996) Plant diversity in mediterranean-climate regions. </w:t>
      </w:r>
      <w:r>
        <w:rPr>
          <w:i/>
        </w:rPr>
        <w:t>Trends in Ecology and Evolution</w:t>
      </w:r>
      <w:r>
        <w:t xml:space="preserve">, </w:t>
      </w:r>
      <w:r>
        <w:rPr>
          <w:b/>
        </w:rPr>
        <w:t>11</w:t>
      </w:r>
      <w:r>
        <w:t xml:space="preserve">, 362–366. </w:t>
      </w:r>
    </w:p>
    <w:p w:rsidR="002B0E82" w:rsidRDefault="00B71DAB">
      <w:pPr>
        <w:pStyle w:val="Bibliography"/>
      </w:pPr>
      <w:bookmarkStart w:id="32" w:name="ref-Cramer2016"/>
      <w:bookmarkEnd w:id="31"/>
      <w:r>
        <w:lastRenderedPageBreak/>
        <w:t>Cramer, M.D. &amp; Verboom, G.A. (2016) Measures of biologically relevant environ</w:t>
      </w:r>
      <w:r>
        <w:t xml:space="preserve">mental heterogeneity improve prediction of regional plant species richness. </w:t>
      </w:r>
      <w:r>
        <w:rPr>
          <w:i/>
        </w:rPr>
        <w:t>Journal of Biogeography</w:t>
      </w:r>
      <w:r>
        <w:t xml:space="preserve">, 1–13. </w:t>
      </w:r>
    </w:p>
    <w:p w:rsidR="002B0E82" w:rsidRDefault="00B71DAB">
      <w:pPr>
        <w:pStyle w:val="Bibliography"/>
      </w:pPr>
      <w:bookmarkStart w:id="33" w:name="ref-Cramer2014"/>
      <w:bookmarkEnd w:id="32"/>
      <w:r>
        <w:t xml:space="preserve">Cramer, M.D., West, A.G., Power, S.C., Skelton, R., &amp; Stock, W.D. (2014) Plant ecophysiological diversity. </w:t>
      </w:r>
      <w:r>
        <w:rPr>
          <w:i/>
        </w:rPr>
        <w:t>Fynbos: Ecology, evolution and conservati</w:t>
      </w:r>
      <w:r>
        <w:rPr>
          <w:i/>
        </w:rPr>
        <w:t>on of a megadiverse region</w:t>
      </w:r>
      <w:r>
        <w:t xml:space="preserve"> pp. 248–272. Oxford University Press, Oxford. </w:t>
      </w:r>
    </w:p>
    <w:p w:rsidR="002B0E82" w:rsidRDefault="00B71DAB">
      <w:pPr>
        <w:pStyle w:val="Bibliography"/>
      </w:pPr>
      <w:bookmarkStart w:id="34" w:name="ref-Deblauwe2016"/>
      <w:bookmarkEnd w:id="33"/>
      <w:r>
        <w:t>Deblauwe, V., Droissart, V., Bose, R., Sonké, B., Blach-Overgaard, A., Svenning, J.C., Wieringa, J.J., Ramesh, B.R., Stévart, T., &amp; Couvreur, T.L.P. (2016) Remotely sensed temperatur</w:t>
      </w:r>
      <w:r>
        <w:t xml:space="preserve">e and precipitation data improve species distribution modelling in the tropics. </w:t>
      </w:r>
      <w:r>
        <w:rPr>
          <w:i/>
        </w:rPr>
        <w:t>Global Ecology and Biogeography</w:t>
      </w:r>
      <w:r>
        <w:t xml:space="preserve">, </w:t>
      </w:r>
      <w:r>
        <w:rPr>
          <w:b/>
        </w:rPr>
        <w:t>25</w:t>
      </w:r>
      <w:r>
        <w:t xml:space="preserve">, 443–454. </w:t>
      </w:r>
    </w:p>
    <w:p w:rsidR="002B0E82" w:rsidRDefault="00B71DAB">
      <w:pPr>
        <w:pStyle w:val="Bibliography"/>
      </w:pPr>
      <w:bookmarkStart w:id="35" w:name="ref-Elith2008"/>
      <w:bookmarkEnd w:id="34"/>
      <w:r>
        <w:t xml:space="preserve">Elith, J., Leathwick, J.R., &amp; Hastie, T. (2008) A working guide to boosted regression trees. </w:t>
      </w:r>
      <w:r>
        <w:rPr>
          <w:i/>
        </w:rPr>
        <w:t>Journal of Animal Ecology</w:t>
      </w:r>
      <w:r>
        <w:t xml:space="preserve">, </w:t>
      </w:r>
      <w:r>
        <w:rPr>
          <w:b/>
        </w:rPr>
        <w:t>77</w:t>
      </w:r>
      <w:r>
        <w:t xml:space="preserve">, 802–813. </w:t>
      </w:r>
    </w:p>
    <w:p w:rsidR="002B0E82" w:rsidRDefault="00B71DAB">
      <w:pPr>
        <w:pStyle w:val="Bibliography"/>
      </w:pPr>
      <w:bookmarkStart w:id="36" w:name="ref-Farr2007"/>
      <w:bookmarkEnd w:id="35"/>
      <w:r>
        <w:t>Farr, T., Rosen, P., Caro, E., Crippen, R., Duren, R., Hensley, S., Kobrick, M., Paller, M., Rodriguez, E., Roth, L., Seal, D., Shaffer, S., Shimada, J., Umland, J., Werner, M., Oskin, M., Burbank, D., &amp; Alsdorf, D. (2007) The shuttle radar top</w:t>
      </w:r>
      <w:r>
        <w:t xml:space="preserve">ography mission. </w:t>
      </w:r>
      <w:r>
        <w:rPr>
          <w:i/>
        </w:rPr>
        <w:t>Reviews of Geophysics</w:t>
      </w:r>
      <w:r>
        <w:t xml:space="preserve">, </w:t>
      </w:r>
      <w:r>
        <w:rPr>
          <w:b/>
        </w:rPr>
        <w:t>45</w:t>
      </w:r>
      <w:r>
        <w:t xml:space="preserve">, 1–33. </w:t>
      </w:r>
    </w:p>
    <w:p w:rsidR="002B0E82" w:rsidRDefault="00B71DAB">
      <w:pPr>
        <w:pStyle w:val="Bibliography"/>
      </w:pPr>
      <w:bookmarkStart w:id="37" w:name="ref-Funk2015"/>
      <w:bookmarkEnd w:id="36"/>
      <w:r>
        <w:t>Funk, C.C., Peterson, P.J., Landsfeld, M., Pedreros, D.H., Verdin, J., Shukla, S., Husak, G., Rowland, J.D., Harrison, L., Hoell, A., &amp; Michaelsen, J. (2015) The climate hazards infrared precipitation with</w:t>
      </w:r>
      <w:r>
        <w:t xml:space="preserve"> stations—a new environmental record for monitoring extremes. </w:t>
      </w:r>
      <w:r>
        <w:rPr>
          <w:i/>
        </w:rPr>
        <w:t>Scientific Data</w:t>
      </w:r>
      <w:r>
        <w:t xml:space="preserve">, </w:t>
      </w:r>
      <w:r>
        <w:rPr>
          <w:b/>
        </w:rPr>
        <w:t>2</w:t>
      </w:r>
      <w:r>
        <w:t xml:space="preserve">, 150066. </w:t>
      </w:r>
    </w:p>
    <w:p w:rsidR="002B0E82" w:rsidRDefault="00B71DAB">
      <w:pPr>
        <w:pStyle w:val="Bibliography"/>
      </w:pPr>
      <w:bookmarkStart w:id="38" w:name="ref-Gaston2000"/>
      <w:bookmarkEnd w:id="37"/>
      <w:r>
        <w:t xml:space="preserve">Gaston, K.J. (2000) Global patterns in biodiversity. </w:t>
      </w:r>
      <w:r>
        <w:rPr>
          <w:i/>
        </w:rPr>
        <w:t>Nature</w:t>
      </w:r>
      <w:r>
        <w:t xml:space="preserve">, </w:t>
      </w:r>
      <w:r>
        <w:rPr>
          <w:b/>
        </w:rPr>
        <w:t>405</w:t>
      </w:r>
      <w:r>
        <w:t xml:space="preserve">, 220–227. </w:t>
      </w:r>
    </w:p>
    <w:p w:rsidR="002B0E82" w:rsidRDefault="00B71DAB">
      <w:pPr>
        <w:pStyle w:val="Bibliography"/>
      </w:pPr>
      <w:bookmarkStart w:id="39" w:name="ref-GBIFCape"/>
      <w:bookmarkEnd w:id="38"/>
      <w:r>
        <w:t xml:space="preserve">GBIF (24 July 2017) GBIF Occurrence Download.. </w:t>
      </w:r>
    </w:p>
    <w:p w:rsidR="002B0E82" w:rsidRDefault="00B71DAB">
      <w:pPr>
        <w:pStyle w:val="Bibliography"/>
      </w:pPr>
      <w:bookmarkStart w:id="40" w:name="ref-GBIFSWA"/>
      <w:bookmarkEnd w:id="39"/>
      <w:r>
        <w:t>GBIF (24 July 2017) GBIF Occurrence Downl</w:t>
      </w:r>
      <w:r>
        <w:t xml:space="preserve">oad.. </w:t>
      </w:r>
    </w:p>
    <w:p w:rsidR="002B0E82" w:rsidRDefault="00B71DAB">
      <w:pPr>
        <w:pStyle w:val="Bibliography"/>
      </w:pPr>
      <w:bookmarkStart w:id="41" w:name="ref-Gioia2017"/>
      <w:bookmarkEnd w:id="40"/>
      <w:r>
        <w:t xml:space="preserve">Gioia, P. &amp; Hopper, S.D. (2017) A new phytogeographic map for the Southwest Australian Floristic Region after an exceptional decade of collection and discovery. </w:t>
      </w:r>
      <w:r>
        <w:rPr>
          <w:i/>
        </w:rPr>
        <w:t>Botanical Journal of the Linnean Society</w:t>
      </w:r>
      <w:r>
        <w:t xml:space="preserve">, </w:t>
      </w:r>
      <w:r>
        <w:rPr>
          <w:b/>
        </w:rPr>
        <w:t>184</w:t>
      </w:r>
      <w:r>
        <w:t xml:space="preserve">, 1–15. </w:t>
      </w:r>
    </w:p>
    <w:p w:rsidR="002B0E82" w:rsidRDefault="00B71DAB">
      <w:pPr>
        <w:pStyle w:val="Bibliography"/>
      </w:pPr>
      <w:bookmarkStart w:id="42" w:name="ref-Guerin2018"/>
      <w:bookmarkEnd w:id="41"/>
      <w:r>
        <w:lastRenderedPageBreak/>
        <w:t>Guerin, G. et a. (2018) When macro</w:t>
      </w:r>
      <w:r>
        <w:t xml:space="preserve">ecological transitions are a fiction of sampling: Comparing herbarium records to plot-based species inventory data. </w:t>
      </w:r>
      <w:r>
        <w:rPr>
          <w:i/>
        </w:rPr>
        <w:t>Ecography</w:t>
      </w:r>
      <w:r>
        <w:t xml:space="preserve">, 1864–1875. </w:t>
      </w:r>
    </w:p>
    <w:p w:rsidR="002B0E82" w:rsidRDefault="00B71DAB">
      <w:pPr>
        <w:pStyle w:val="Bibliography"/>
      </w:pPr>
      <w:bookmarkStart w:id="43" w:name="ref-Hart2017"/>
      <w:bookmarkEnd w:id="42"/>
      <w:r>
        <w:t xml:space="preserve">Hart, S.P., Usinowicz, J., &amp; Levine, J.M. (2017) The spatial scales of species coexistence. </w:t>
      </w:r>
      <w:r>
        <w:rPr>
          <w:i/>
        </w:rPr>
        <w:t>Nature Ecology &amp; Evolutio</w:t>
      </w:r>
      <w:r>
        <w:rPr>
          <w:i/>
        </w:rPr>
        <w:t>n</w:t>
      </w:r>
      <w:r>
        <w:t xml:space="preserve">, </w:t>
      </w:r>
      <w:r>
        <w:rPr>
          <w:b/>
        </w:rPr>
        <w:t>1</w:t>
      </w:r>
      <w:r>
        <w:t xml:space="preserve">, 1066–1073. </w:t>
      </w:r>
    </w:p>
    <w:p w:rsidR="002B0E82" w:rsidRDefault="00B71DAB">
      <w:pPr>
        <w:pStyle w:val="Bibliography"/>
      </w:pPr>
      <w:bookmarkStart w:id="44" w:name="ref-Hengl2017"/>
      <w:bookmarkEnd w:id="43"/>
      <w:r>
        <w:t>Hengl, T., Mendes de Jesus, J., Heuvelink, G.B.M., Ruiperez Gonzalez, M., Kilibarda, M., Blagoti?, A., Shangguan, W., Wright, M.N., Geng, X., Bauer-Marschallinger, B., Guevara, M.A., Vargas, R., MacMillan, R.A., Batjes, N.H., Leenaars, J.</w:t>
      </w:r>
      <w:r>
        <w:t xml:space="preserve">G.B., Ribeiro, E., Wheeler, I., Mantel, S., &amp; Kempen, B. (2017) SoilGrids250m: Global gridded soil information based on machine learning. </w:t>
      </w:r>
      <w:r>
        <w:rPr>
          <w:i/>
        </w:rPr>
        <w:t>PLoS ONE</w:t>
      </w:r>
      <w:r>
        <w:t xml:space="preserve">, </w:t>
      </w:r>
      <w:r>
        <w:rPr>
          <w:b/>
        </w:rPr>
        <w:t>12</w:t>
      </w:r>
      <w:r>
        <w:t xml:space="preserve">, e0169748. </w:t>
      </w:r>
    </w:p>
    <w:p w:rsidR="002B0E82" w:rsidRDefault="00B71DAB">
      <w:pPr>
        <w:pStyle w:val="Bibliography"/>
      </w:pPr>
      <w:bookmarkStart w:id="45" w:name="ref-Hijmans2016"/>
      <w:bookmarkEnd w:id="44"/>
      <w:r>
        <w:t>Hijmans, R.J. (2016) raster: Geographic Data Analysis and Modeling. R package version 2.5-8..</w:t>
      </w:r>
      <w:r>
        <w:t xml:space="preserve"> </w:t>
      </w:r>
    </w:p>
    <w:p w:rsidR="002B0E82" w:rsidRDefault="00B71DAB">
      <w:pPr>
        <w:pStyle w:val="Bibliography"/>
      </w:pPr>
      <w:bookmarkStart w:id="46" w:name="ref-Hijmans2017"/>
      <w:bookmarkEnd w:id="45"/>
      <w:r>
        <w:t xml:space="preserve">Hijmans, R.J., Phillips, S., Leathwick, J., &amp; Elith, J. (2017) dismo: Species Distribution Modeling. R package version 1.1-4.. </w:t>
      </w:r>
    </w:p>
    <w:p w:rsidR="002B0E82" w:rsidRDefault="00B71DAB">
      <w:pPr>
        <w:pStyle w:val="Bibliography"/>
      </w:pPr>
      <w:bookmarkStart w:id="47" w:name="ref-Hopper1979"/>
      <w:bookmarkEnd w:id="46"/>
      <w:r>
        <w:t xml:space="preserve">Hopper, S.D. (1979) Biogeographical Aspects of Speciation in the Southwest Australian Flora. </w:t>
      </w:r>
      <w:r>
        <w:rPr>
          <w:i/>
        </w:rPr>
        <w:t>Annual Review of Ecology and Syst</w:t>
      </w:r>
      <w:r>
        <w:rPr>
          <w:i/>
        </w:rPr>
        <w:t>ematics</w:t>
      </w:r>
      <w:r>
        <w:t xml:space="preserve">, </w:t>
      </w:r>
      <w:r>
        <w:rPr>
          <w:b/>
        </w:rPr>
        <w:t>10</w:t>
      </w:r>
      <w:r>
        <w:t xml:space="preserve">, 399–422. </w:t>
      </w:r>
    </w:p>
    <w:p w:rsidR="002B0E82" w:rsidRDefault="00B71DAB">
      <w:pPr>
        <w:pStyle w:val="Bibliography"/>
      </w:pPr>
      <w:bookmarkStart w:id="48" w:name="ref-Hopper2004"/>
      <w:bookmarkEnd w:id="47"/>
      <w:r>
        <w:t xml:space="preserve">Hopper, S.D. &amp; Gioia, P. (2004) The Southwest Australian Floristic Region: Evolution and Conservation of a Global Hot Spot of Biodiversity. </w:t>
      </w:r>
      <w:r>
        <w:rPr>
          <w:i/>
        </w:rPr>
        <w:t>Annual Review of Ecology, Evolution, and Systematics</w:t>
      </w:r>
      <w:r>
        <w:t xml:space="preserve">, </w:t>
      </w:r>
      <w:r>
        <w:rPr>
          <w:b/>
        </w:rPr>
        <w:t>35</w:t>
      </w:r>
      <w:r>
        <w:t xml:space="preserve">, 623–650. </w:t>
      </w:r>
    </w:p>
    <w:p w:rsidR="002B0E82" w:rsidRDefault="00B71DAB">
      <w:pPr>
        <w:pStyle w:val="Bibliography"/>
      </w:pPr>
      <w:bookmarkStart w:id="49" w:name="ref-Kerr2001"/>
      <w:bookmarkEnd w:id="48"/>
      <w:r>
        <w:t>Kerr, J.T., Southwood, T.</w:t>
      </w:r>
      <w:r>
        <w:t xml:space="preserve">R., &amp; Cihlar, J. (2001) Remotely sensed habitat diversity predicts butterfly species richness and community similarity in Canada. </w:t>
      </w:r>
      <w:r>
        <w:rPr>
          <w:i/>
        </w:rPr>
        <w:t>Proceedings of the National Academy of Sciences of the United States of America</w:t>
      </w:r>
      <w:r>
        <w:t xml:space="preserve">, </w:t>
      </w:r>
      <w:r>
        <w:rPr>
          <w:b/>
        </w:rPr>
        <w:t>98</w:t>
      </w:r>
      <w:r>
        <w:t xml:space="preserve">, 11365–11370. </w:t>
      </w:r>
    </w:p>
    <w:p w:rsidR="002B0E82" w:rsidRDefault="00B71DAB">
      <w:pPr>
        <w:pStyle w:val="Bibliography"/>
      </w:pPr>
      <w:bookmarkStart w:id="50" w:name="ref-Kreft2007"/>
      <w:bookmarkEnd w:id="49"/>
      <w:r>
        <w:t>Kreft, H. &amp; Jetz, W. (2007)</w:t>
      </w:r>
      <w:r>
        <w:t xml:space="preserve"> Global patterns and determinants of vascular plant diversity. </w:t>
      </w:r>
      <w:r>
        <w:rPr>
          <w:i/>
        </w:rPr>
        <w:t>Proceedings of the National Academy of Sciences</w:t>
      </w:r>
      <w:r>
        <w:t xml:space="preserve">, </w:t>
      </w:r>
      <w:r>
        <w:rPr>
          <w:b/>
        </w:rPr>
        <w:t>104</w:t>
      </w:r>
      <w:r>
        <w:t xml:space="preserve">, 5925–5930. </w:t>
      </w:r>
    </w:p>
    <w:p w:rsidR="002B0E82" w:rsidRDefault="00B71DAB">
      <w:pPr>
        <w:pStyle w:val="Bibliography"/>
      </w:pPr>
      <w:bookmarkStart w:id="51" w:name="ref-Laliberte2014"/>
      <w:bookmarkEnd w:id="50"/>
      <w:r>
        <w:t xml:space="preserve">Laliberte, E., Zemunik, G., &amp; Turner, B.L. (2014) Environmental filtering explains variation in plant diversity along resource </w:t>
      </w:r>
      <w:r>
        <w:t xml:space="preserve">gradients. </w:t>
      </w:r>
      <w:r>
        <w:rPr>
          <w:i/>
        </w:rPr>
        <w:t>Science</w:t>
      </w:r>
      <w:r>
        <w:t xml:space="preserve">, </w:t>
      </w:r>
      <w:r>
        <w:rPr>
          <w:b/>
        </w:rPr>
        <w:t>345</w:t>
      </w:r>
      <w:r>
        <w:t xml:space="preserve">, 1602–1605. </w:t>
      </w:r>
    </w:p>
    <w:p w:rsidR="002B0E82" w:rsidRDefault="00B71DAB">
      <w:pPr>
        <w:pStyle w:val="Bibliography"/>
      </w:pPr>
      <w:bookmarkStart w:id="52" w:name="ref-Lambers2010"/>
      <w:bookmarkEnd w:id="51"/>
      <w:r>
        <w:lastRenderedPageBreak/>
        <w:t>Lambers, H., Brundrett, M.C., Raven, J.A., &amp; Hopper, S.D. (2010) Plant mineral nutrition in ancient landscapes: high plant species diversity on infertile soils is linked to functional diversity for nutritional strategie</w:t>
      </w:r>
      <w:r>
        <w:t xml:space="preserve">s. </w:t>
      </w:r>
      <w:r>
        <w:rPr>
          <w:i/>
        </w:rPr>
        <w:t>Plant and Soil</w:t>
      </w:r>
      <w:r>
        <w:t xml:space="preserve">, </w:t>
      </w:r>
      <w:r>
        <w:rPr>
          <w:b/>
        </w:rPr>
        <w:t>334</w:t>
      </w:r>
      <w:r>
        <w:t xml:space="preserve">, 11–31. </w:t>
      </w:r>
    </w:p>
    <w:p w:rsidR="002B0E82" w:rsidRDefault="00B71DAB">
      <w:pPr>
        <w:pStyle w:val="Bibliography"/>
      </w:pPr>
      <w:bookmarkStart w:id="53" w:name="ref-Larsen2009"/>
      <w:bookmarkEnd w:id="52"/>
      <w:r>
        <w:t xml:space="preserve">Larsen, R., Holmern, T., Prager, S.D., Maliti, H., &amp; Røskaft, E. (2009) Using the extended quarter degree grid cell system to unify mapping and sharing of biodiversity data. </w:t>
      </w:r>
      <w:r>
        <w:rPr>
          <w:i/>
        </w:rPr>
        <w:t>African Journal of Ecology</w:t>
      </w:r>
      <w:r>
        <w:t xml:space="preserve">, </w:t>
      </w:r>
      <w:r>
        <w:rPr>
          <w:b/>
        </w:rPr>
        <w:t>47</w:t>
      </w:r>
      <w:r>
        <w:t xml:space="preserve">, 382–392. </w:t>
      </w:r>
    </w:p>
    <w:p w:rsidR="002B0E82" w:rsidRDefault="00B71DAB">
      <w:pPr>
        <w:pStyle w:val="Bibliography"/>
      </w:pPr>
      <w:bookmarkStart w:id="54" w:name="ref-Leroy2015"/>
      <w:bookmarkEnd w:id="53"/>
      <w:r>
        <w:t>Leroy, B</w:t>
      </w:r>
      <w:r>
        <w:t xml:space="preserve">., Meynard, C.N., Bellard, C., &amp; Courchamp, F. (2015) Virtualspecies, an r package to generate virtual species distributions. </w:t>
      </w:r>
      <w:r>
        <w:rPr>
          <w:i/>
        </w:rPr>
        <w:t>Ecography</w:t>
      </w:r>
      <w:r>
        <w:t xml:space="preserve">,. </w:t>
      </w:r>
    </w:p>
    <w:p w:rsidR="002B0E82" w:rsidRDefault="00B71DAB">
      <w:pPr>
        <w:pStyle w:val="Bibliography"/>
      </w:pPr>
      <w:bookmarkStart w:id="55" w:name="ref-Levin2010"/>
      <w:bookmarkEnd w:id="54"/>
      <w:r>
        <w:t>Levin, L.A., Sibuet, M., Gooday, A.J., Smith, C.R., &amp; Vanreusel, A. (2010) The roles of habitat heterogeneity in gene</w:t>
      </w:r>
      <w:r>
        <w:t xml:space="preserve">rating and maintaining biodiversity on continental margins: an introduction. </w:t>
      </w:r>
      <w:r>
        <w:rPr>
          <w:i/>
        </w:rPr>
        <w:t>Marine Ecology</w:t>
      </w:r>
      <w:r>
        <w:t xml:space="preserve">, </w:t>
      </w:r>
      <w:r>
        <w:rPr>
          <w:b/>
        </w:rPr>
        <w:t>31</w:t>
      </w:r>
      <w:r>
        <w:t xml:space="preserve">, 1–5. </w:t>
      </w:r>
    </w:p>
    <w:p w:rsidR="002B0E82" w:rsidRDefault="00B71DAB">
      <w:pPr>
        <w:pStyle w:val="Bibliography"/>
      </w:pPr>
      <w:bookmarkStart w:id="56" w:name="ref-Lobo2004"/>
      <w:bookmarkEnd w:id="55"/>
      <w:r>
        <w:t xml:space="preserve">Lobo, J.M., Jay-robert, P., Lumaret, J.-p., Lobo, J.M., Jay-robert, P., &amp; Lumaret, J.-p. (2004) Modelling the Species Richness Distribution for French Aphodiidae (Coleoptera, Scarabaeoidea). </w:t>
      </w:r>
      <w:r>
        <w:rPr>
          <w:i/>
        </w:rPr>
        <w:t>Ecography</w:t>
      </w:r>
      <w:r>
        <w:t xml:space="preserve">, </w:t>
      </w:r>
      <w:r>
        <w:rPr>
          <w:b/>
        </w:rPr>
        <w:t>27</w:t>
      </w:r>
      <w:r>
        <w:t xml:space="preserve">, 145–156. </w:t>
      </w:r>
    </w:p>
    <w:p w:rsidR="002B0E82" w:rsidRDefault="00B71DAB">
      <w:pPr>
        <w:pStyle w:val="Bibliography"/>
      </w:pPr>
      <w:bookmarkStart w:id="57" w:name="ref-ManningandGoldblatt2012"/>
      <w:bookmarkEnd w:id="56"/>
      <w:r>
        <w:t>Manning, J., Goldblatt, P., &amp; Others (20</w:t>
      </w:r>
      <w:r>
        <w:t xml:space="preserve">12) </w:t>
      </w:r>
      <w:r>
        <w:rPr>
          <w:i/>
        </w:rPr>
        <w:t xml:space="preserve">Plants of the Greater Cape Floristic Region. 1: The Core Cape flora. </w:t>
      </w:r>
      <w:r>
        <w:t xml:space="preserve">South African National Biodiversity Institute, </w:t>
      </w:r>
    </w:p>
    <w:p w:rsidR="002B0E82" w:rsidRDefault="00B71DAB">
      <w:pPr>
        <w:pStyle w:val="Bibliography"/>
      </w:pPr>
      <w:bookmarkStart w:id="58" w:name="ref-Mateo2017"/>
      <w:bookmarkEnd w:id="57"/>
      <w:r>
        <w:t xml:space="preserve">Mateo, R.G., Mokany, K., &amp; Guisan, A. (2017) Biodiversity Models: What If Unsaturation Is the Rule? </w:t>
      </w:r>
      <w:r>
        <w:rPr>
          <w:i/>
        </w:rPr>
        <w:t>Trends in Ecology &amp; Evolution</w:t>
      </w:r>
      <w:r>
        <w:t xml:space="preserve">, </w:t>
      </w:r>
      <w:r>
        <w:rPr>
          <w:b/>
        </w:rPr>
        <w:t>32</w:t>
      </w:r>
      <w:r>
        <w:t xml:space="preserve">, </w:t>
      </w:r>
      <w:r>
        <w:t xml:space="preserve">556–566. </w:t>
      </w:r>
    </w:p>
    <w:p w:rsidR="002B0E82" w:rsidRDefault="00B71DAB">
      <w:pPr>
        <w:pStyle w:val="Bibliography"/>
      </w:pPr>
      <w:bookmarkStart w:id="59" w:name="ref-Molina-Venegas2015"/>
      <w:bookmarkEnd w:id="58"/>
      <w:r>
        <w:t>Molina-Venegas, R., Aparicio, A., Slingsby, J.A., Lavergne, S., &amp; Arroyo, J. (2015) Investigating the evolutionary assembly of a Mediterranean biodiversity hotspot: Deep phylogenetic signal in the distribution of eudicots across elevational belts</w:t>
      </w:r>
      <w:r>
        <w:t xml:space="preserve">. </w:t>
      </w:r>
      <w:r>
        <w:rPr>
          <w:i/>
        </w:rPr>
        <w:t>Journal of Biogeography</w:t>
      </w:r>
      <w:r>
        <w:t xml:space="preserve">, </w:t>
      </w:r>
      <w:r>
        <w:rPr>
          <w:b/>
        </w:rPr>
        <w:t>42</w:t>
      </w:r>
      <w:r>
        <w:t xml:space="preserve">, 507–518. </w:t>
      </w:r>
    </w:p>
    <w:p w:rsidR="002B0E82" w:rsidRDefault="00B71DAB">
      <w:pPr>
        <w:pStyle w:val="Bibliography"/>
      </w:pPr>
      <w:bookmarkStart w:id="60" w:name="ref-Mouchet2015"/>
      <w:bookmarkEnd w:id="59"/>
      <w:r>
        <w:t xml:space="preserve">Mouchet, M., Levers, C., Zupan, L., Kuemmerle, T., Plutzar, C., Erb, K., Lavorel, S., Thuiller, W., &amp; Haberl, H. (2015) Testing the effectiveness of environmental variables to explain European terrestrial vertebrate species richness across biogeographical </w:t>
      </w:r>
      <w:r>
        <w:t xml:space="preserve">scales. </w:t>
      </w:r>
      <w:r>
        <w:rPr>
          <w:i/>
        </w:rPr>
        <w:t>PLoS ONE</w:t>
      </w:r>
      <w:r>
        <w:t xml:space="preserve">, </w:t>
      </w:r>
      <w:r>
        <w:rPr>
          <w:b/>
        </w:rPr>
        <w:t>10</w:t>
      </w:r>
      <w:r>
        <w:t xml:space="preserve">, 1–16. </w:t>
      </w:r>
    </w:p>
    <w:p w:rsidR="002B0E82" w:rsidRDefault="00B71DAB">
      <w:pPr>
        <w:pStyle w:val="Bibliography"/>
      </w:pPr>
      <w:bookmarkStart w:id="61" w:name="ref-Mucina2006"/>
      <w:bookmarkEnd w:id="60"/>
      <w:r>
        <w:lastRenderedPageBreak/>
        <w:t xml:space="preserve">Mucina, L. &amp; Rutherford, M.C. (2006) </w:t>
      </w:r>
      <w:r>
        <w:rPr>
          <w:i/>
        </w:rPr>
        <w:t xml:space="preserve">The vegetation of South Africa, Lesotho and Swaziland. </w:t>
      </w:r>
      <w:r>
        <w:t xml:space="preserve">South African National Biodiversity Institute, </w:t>
      </w:r>
    </w:p>
    <w:p w:rsidR="002B0E82" w:rsidRDefault="00B71DAB">
      <w:pPr>
        <w:pStyle w:val="Bibliography"/>
      </w:pPr>
      <w:bookmarkStart w:id="62" w:name="ref-MOD13C2"/>
      <w:bookmarkEnd w:id="61"/>
      <w:r>
        <w:t xml:space="preserve">NASA (?) Vegetation indices monthly l3 global 0.05Deg cmg (mod13c2) v[Version]. </w:t>
      </w:r>
      <w:r>
        <w:rPr>
          <w:i/>
        </w:rPr>
        <w:t>NASA EO</w:t>
      </w:r>
      <w:r>
        <w:rPr>
          <w:i/>
        </w:rPr>
        <w:t>SDIS Land Processes DAAC, USGS Earth Resources Observation and Science (EROS) Center, Sioux Falls, South Dakota</w:t>
      </w:r>
      <w:r>
        <w:t xml:space="preserve">,. </w:t>
      </w:r>
    </w:p>
    <w:p w:rsidR="002B0E82" w:rsidRDefault="00B71DAB">
      <w:pPr>
        <w:pStyle w:val="Bibliography"/>
      </w:pPr>
      <w:bookmarkStart w:id="63" w:name="ref-MOD11C3"/>
      <w:bookmarkEnd w:id="62"/>
      <w:r>
        <w:t xml:space="preserve">NASA (?) Land surface temperature/emissivity monthly l3 global 0.05Deg cmg (mod11c3) v[Version]. </w:t>
      </w:r>
      <w:r>
        <w:rPr>
          <w:i/>
        </w:rPr>
        <w:t xml:space="preserve">NASA EOSDIS Land Processes DAAC, USGS Earth </w:t>
      </w:r>
      <w:r>
        <w:rPr>
          <w:i/>
        </w:rPr>
        <w:t>Resources Observation and Science (EROS) Center, Sioux Falls, South Dakota</w:t>
      </w:r>
      <w:r>
        <w:t xml:space="preserve">,. </w:t>
      </w:r>
    </w:p>
    <w:p w:rsidR="002B0E82" w:rsidRDefault="00B71DAB">
      <w:pPr>
        <w:pStyle w:val="Bibliography"/>
      </w:pPr>
      <w:bookmarkStart w:id="64" w:name="ref-WGS84"/>
      <w:bookmarkEnd w:id="63"/>
      <w:r>
        <w:t xml:space="preserve">NIMA (2000) Amendment 1. 3 January 2000. Department of Defense World Geodetic System 1984. Its Definition and Relationships with Local Geodetic Systems. 1–3. </w:t>
      </w:r>
    </w:p>
    <w:p w:rsidR="002B0E82" w:rsidRDefault="00B71DAB">
      <w:pPr>
        <w:pStyle w:val="Bibliography"/>
      </w:pPr>
      <w:bookmarkStart w:id="65" w:name="ref-R-vegan"/>
      <w:bookmarkEnd w:id="64"/>
      <w:r>
        <w:t>Oksanen, J., Blanch</w:t>
      </w:r>
      <w:r>
        <w:t xml:space="preserve">et, F.G., Friendly, M., Kindt, R., Legendre, P., McGlinn, D., Minchin, P.R., O’Hara, R.B., Simpson, G.L., Solymos, P., Stevens, M.H.H., Szoecs, E., &amp; Wagner, H. (2018) </w:t>
      </w:r>
      <w:r>
        <w:rPr>
          <w:i/>
        </w:rPr>
        <w:t xml:space="preserve">Vegan: Community ecology package. </w:t>
      </w:r>
    </w:p>
    <w:p w:rsidR="002B0E82" w:rsidRDefault="00B71DAB">
      <w:pPr>
        <w:pStyle w:val="Bibliography"/>
      </w:pPr>
      <w:bookmarkStart w:id="66" w:name="ref-Olson2001"/>
      <w:bookmarkEnd w:id="65"/>
      <w:r>
        <w:t>Olson, D.M., Dinerstein, E., Wikramanayake, E.D., Bur</w:t>
      </w:r>
      <w:r>
        <w:t>gess, N.D., Powell, G.V.N., Underwood, E.C., D’amico, J.A., Itoua, I., Strand, H.E., Morrison, J.C., &amp; Others (2001) Terrestrial Ecoregions of the World: A New Map of Life on Earth: A new global map of terrestrial ecoregions provides an innovative tool for</w:t>
      </w:r>
      <w:r>
        <w:t xml:space="preserve"> conserving biodiversity. </w:t>
      </w:r>
      <w:r>
        <w:rPr>
          <w:i/>
        </w:rPr>
        <w:t>BioScience</w:t>
      </w:r>
      <w:r>
        <w:t xml:space="preserve">, </w:t>
      </w:r>
      <w:r>
        <w:rPr>
          <w:b/>
        </w:rPr>
        <w:t>51</w:t>
      </w:r>
      <w:r>
        <w:t xml:space="preserve">, 933–938. </w:t>
      </w:r>
    </w:p>
    <w:p w:rsidR="002B0E82" w:rsidRDefault="00B71DAB">
      <w:pPr>
        <w:pStyle w:val="Bibliography"/>
      </w:pPr>
      <w:bookmarkStart w:id="67" w:name="ref-Power2017"/>
      <w:bookmarkEnd w:id="66"/>
      <w:r>
        <w:t xml:space="preserve">Power, S.C., Verboom, G.A., Bond, W.J., &amp; Cramer, M.D. (2017) Environmental correlates of biome-level floristic turnover in South Africa. </w:t>
      </w:r>
      <w:r>
        <w:rPr>
          <w:i/>
        </w:rPr>
        <w:t>Journal of Biogeography</w:t>
      </w:r>
      <w:r>
        <w:t xml:space="preserve">, </w:t>
      </w:r>
      <w:r>
        <w:rPr>
          <w:b/>
        </w:rPr>
        <w:t>44</w:t>
      </w:r>
      <w:r>
        <w:t xml:space="preserve">, 1745–1757. </w:t>
      </w:r>
    </w:p>
    <w:p w:rsidR="002B0E82" w:rsidRDefault="00B71DAB">
      <w:pPr>
        <w:pStyle w:val="Bibliography"/>
      </w:pPr>
      <w:bookmarkStart w:id="68" w:name="ref-RCoreTeam2018"/>
      <w:bookmarkEnd w:id="67"/>
      <w:r>
        <w:t xml:space="preserve">R Core Team (2018) </w:t>
      </w:r>
      <w:r>
        <w:rPr>
          <w:i/>
        </w:rPr>
        <w:t>R: A L</w:t>
      </w:r>
      <w:r>
        <w:rPr>
          <w:i/>
        </w:rPr>
        <w:t xml:space="preserve">anguage and Environment for Statistical Computing. Version 3.5.0. </w:t>
      </w:r>
      <w:r>
        <w:t xml:space="preserve">R Foundation for Statistical Computing, Vienna, Austria. </w:t>
      </w:r>
    </w:p>
    <w:p w:rsidR="002B0E82" w:rsidRDefault="00B71DAB">
      <w:pPr>
        <w:pStyle w:val="Bibliography"/>
      </w:pPr>
      <w:bookmarkStart w:id="69" w:name="ref-VanRensburg2002"/>
      <w:bookmarkEnd w:id="68"/>
      <w:r>
        <w:t>Rensburg, B.J. van, Chown, S.L., &amp; Gaston, K.J. (2002) Species Richness, Environmental Correlates, and Spatial Scale: A Test Using S</w:t>
      </w:r>
      <w:r>
        <w:t xml:space="preserve">outh African Birds. </w:t>
      </w:r>
      <w:r>
        <w:rPr>
          <w:i/>
        </w:rPr>
        <w:t>The American Naturalist</w:t>
      </w:r>
      <w:r>
        <w:t xml:space="preserve">, </w:t>
      </w:r>
      <w:r>
        <w:rPr>
          <w:b/>
        </w:rPr>
        <w:t>159</w:t>
      </w:r>
      <w:r>
        <w:t xml:space="preserve">, 566–577. </w:t>
      </w:r>
    </w:p>
    <w:p w:rsidR="002B0E82" w:rsidRDefault="00B71DAB">
      <w:pPr>
        <w:pStyle w:val="Bibliography"/>
      </w:pPr>
      <w:bookmarkStart w:id="70" w:name="ref-Ricklefs1987"/>
      <w:bookmarkEnd w:id="69"/>
      <w:r>
        <w:t xml:space="preserve">Ricklefs, R.E. (1987) Community diversity: relative roles of local and regional processes. </w:t>
      </w:r>
      <w:r>
        <w:rPr>
          <w:i/>
        </w:rPr>
        <w:t>Science, New Series</w:t>
      </w:r>
      <w:r>
        <w:t xml:space="preserve">, </w:t>
      </w:r>
      <w:r>
        <w:rPr>
          <w:b/>
        </w:rPr>
        <w:t>235</w:t>
      </w:r>
      <w:r>
        <w:t xml:space="preserve">, 167–171. </w:t>
      </w:r>
    </w:p>
    <w:p w:rsidR="002B0E82" w:rsidRDefault="00B71DAB">
      <w:pPr>
        <w:pStyle w:val="Bibliography"/>
      </w:pPr>
      <w:bookmarkStart w:id="71" w:name="ref-R-taxize"/>
      <w:bookmarkEnd w:id="70"/>
      <w:r>
        <w:lastRenderedPageBreak/>
        <w:t>Scott Chamberlain &amp; Eduard Szocs (2013) Taxize - taxonomic search and</w:t>
      </w:r>
      <w:r>
        <w:t xml:space="preserve"> retrieval in r. </w:t>
      </w:r>
      <w:r>
        <w:rPr>
          <w:i/>
        </w:rPr>
        <w:t>F1000Research</w:t>
      </w:r>
      <w:r>
        <w:t xml:space="preserve">,. </w:t>
      </w:r>
    </w:p>
    <w:p w:rsidR="002B0E82" w:rsidRDefault="00B71DAB">
      <w:pPr>
        <w:pStyle w:val="Bibliography"/>
      </w:pPr>
      <w:bookmarkStart w:id="72" w:name="ref-Thuiller2006"/>
      <w:bookmarkEnd w:id="71"/>
      <w:r>
        <w:t xml:space="preserve">Thuiller, W., Midgley, G.F., Rouget, M., Cowling, R.M., F. Midgley, G., Rougeti, M., &amp; M. Cowling, R. (2006) Predicting patterns of plant species richness in megadiverse South Africa. </w:t>
      </w:r>
      <w:r>
        <w:rPr>
          <w:i/>
        </w:rPr>
        <w:t>Ecography</w:t>
      </w:r>
      <w:r>
        <w:t xml:space="preserve">, </w:t>
      </w:r>
      <w:r>
        <w:rPr>
          <w:b/>
        </w:rPr>
        <w:t>29</w:t>
      </w:r>
      <w:r>
        <w:t xml:space="preserve">, 733–744. </w:t>
      </w:r>
    </w:p>
    <w:p w:rsidR="002B0E82" w:rsidRDefault="00B71DAB">
      <w:pPr>
        <w:pStyle w:val="Bibliography"/>
      </w:pPr>
      <w:bookmarkStart w:id="73" w:name="ref-Verboom2017"/>
      <w:bookmarkEnd w:id="72"/>
      <w:r>
        <w:t>Verboom, G.A.</w:t>
      </w:r>
      <w:r>
        <w:t xml:space="preserve">, Stock, W.D., &amp; Cramer, M.D. (2017) Specialization to extremely low-nutrient soils limits the nutritional adaptability of plant lineages. </w:t>
      </w:r>
      <w:r>
        <w:rPr>
          <w:i/>
        </w:rPr>
        <w:t>The American Naturalist</w:t>
      </w:r>
      <w:r>
        <w:t xml:space="preserve">, </w:t>
      </w:r>
      <w:r>
        <w:rPr>
          <w:b/>
        </w:rPr>
        <w:t>In press</w:t>
      </w:r>
      <w:r>
        <w:t xml:space="preserve">,. </w:t>
      </w:r>
    </w:p>
    <w:p w:rsidR="002B0E82" w:rsidRDefault="00B71DAB">
      <w:pPr>
        <w:pStyle w:val="Bibliography"/>
      </w:pPr>
      <w:bookmarkStart w:id="74" w:name="ref-Wardell-Johnson1996"/>
      <w:bookmarkEnd w:id="73"/>
      <w:r>
        <w:t>Wardell-Johnson, G. &amp; Horwitz, P. (1996) Conserving biodiversity and the recogni</w:t>
      </w:r>
      <w:r>
        <w:t xml:space="preserve">tion of heterogeneity in ancient landscapes: a case study from south-western Australia. </w:t>
      </w:r>
      <w:r>
        <w:rPr>
          <w:i/>
        </w:rPr>
        <w:t>Forest Ecology and Management</w:t>
      </w:r>
      <w:r>
        <w:t xml:space="preserve">, </w:t>
      </w:r>
      <w:r>
        <w:rPr>
          <w:b/>
        </w:rPr>
        <w:t>85</w:t>
      </w:r>
      <w:r>
        <w:t xml:space="preserve">, 219–238. </w:t>
      </w:r>
      <w:bookmarkEnd w:id="23"/>
      <w:bookmarkEnd w:id="74"/>
    </w:p>
    <w:sectPr w:rsidR="002B0E82" w:rsidSect="009333C9">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1DAB" w:rsidRDefault="00B71DAB">
      <w:pPr>
        <w:spacing w:after="0"/>
      </w:pPr>
      <w:r>
        <w:separator/>
      </w:r>
    </w:p>
  </w:endnote>
  <w:endnote w:type="continuationSeparator" w:id="0">
    <w:p w:rsidR="00B71DAB" w:rsidRDefault="00B71D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1DAB" w:rsidRDefault="00B71DAB">
      <w:r>
        <w:separator/>
      </w:r>
    </w:p>
  </w:footnote>
  <w:footnote w:type="continuationSeparator" w:id="0">
    <w:p w:rsidR="00B71DAB" w:rsidRDefault="00B71D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4D21AD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8D600C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B9609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3F616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4B63C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6F2B54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876BC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480D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078CE3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AC0A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4"/>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B0E82"/>
    <w:rsid w:val="003264A9"/>
    <w:rsid w:val="004E29B3"/>
    <w:rsid w:val="00590D07"/>
    <w:rsid w:val="00784D58"/>
    <w:rsid w:val="008D6863"/>
    <w:rsid w:val="00B71DAB"/>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docId w15:val="{FC8F193D-C696-6043-83F6-C76316B5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110450"/>
    <w:pPr>
      <w:keepNext/>
      <w:keepLines/>
      <w:spacing w:before="200" w:after="0" w:line="360" w:lineRule="auto"/>
      <w:outlineLvl w:val="1"/>
    </w:pPr>
    <w:rPr>
      <w:rFonts w:asciiTheme="majorBidi" w:eastAsiaTheme="majorEastAsia" w:hAnsiTheme="majorBidi" w:cstheme="majorBidi"/>
      <w:b/>
      <w:bCs/>
      <w:color w:val="000000" w:themeColor="text1"/>
      <w:sz w:val="32"/>
      <w:szCs w:val="32"/>
    </w:rPr>
  </w:style>
  <w:style w:type="paragraph" w:styleId="Heading3">
    <w:name w:val="heading 3"/>
    <w:basedOn w:val="Normal"/>
    <w:next w:val="BodyText"/>
    <w:uiPriority w:val="9"/>
    <w:unhideWhenUsed/>
    <w:qFormat/>
    <w:rsid w:val="00110450"/>
    <w:pPr>
      <w:keepNext/>
      <w:keepLines/>
      <w:spacing w:before="200" w:after="0" w:line="360" w:lineRule="auto"/>
      <w:outlineLvl w:val="2"/>
    </w:pPr>
    <w:rPr>
      <w:rFonts w:asciiTheme="majorBidi" w:eastAsiaTheme="majorEastAsia" w:hAnsiTheme="majorBidi" w:cstheme="majorBidi"/>
      <w:b/>
      <w:bCs/>
      <w:color w:val="000000" w:themeColor="tex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10450"/>
    <w:pPr>
      <w:spacing w:before="180" w:after="180" w:line="360" w:lineRule="auto"/>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110450"/>
    <w:rPr>
      <w:rFonts w:asciiTheme="majorBidi" w:hAnsiTheme="majorBidi"/>
    </w:rPr>
  </w:style>
  <w:style w:type="character" w:styleId="LineNumber">
    <w:name w:val="line number"/>
    <w:basedOn w:val="DefaultParagraphFont"/>
    <w:semiHidden/>
    <w:unhideWhenUsed/>
    <w:rsid w:val="00026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hpc.uct.ac.za"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ruanvmazijk@gmail.com"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iucngisd.org/gis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38</Pages>
  <Words>11408</Words>
  <Characters>65255</Characters>
  <Application>Microsoft Office Word</Application>
  <DocSecurity>0</DocSecurity>
  <Lines>1052</Lines>
  <Paragraphs>323</Paragraphs>
  <ScaleCrop>false</ScaleCrop>
  <HeadingPairs>
    <vt:vector size="2" baseType="variant">
      <vt:variant>
        <vt:lpstr>Title</vt:lpstr>
      </vt:variant>
      <vt:variant>
        <vt:i4>1</vt:i4>
      </vt:variant>
    </vt:vector>
  </HeadingPairs>
  <TitlesOfParts>
    <vt:vector size="1" baseType="lpstr">
      <vt:lpstr>Environmental heterogeneity patterns plant species richness and turnover in two hyperdiverse floras</vt:lpstr>
    </vt:vector>
  </TitlesOfParts>
  <Company/>
  <LinksUpToDate>false</LinksUpToDate>
  <CharactersWithSpaces>76340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patterns plant species richness and turnover in two hyperdiverse floras</dc:title>
  <dc:creator>Ruan van Mazijk, Michael D. Cramer &amp; G. Anthony Verboom</dc:creator>
  <cp:keywords/>
  <cp:lastModifiedBy>Ruan Van Mazijk</cp:lastModifiedBy>
  <cp:revision>2</cp:revision>
  <dcterms:created xsi:type="dcterms:W3CDTF">2019-03-05T09:47:00Z</dcterms:created>
  <dcterms:modified xsi:type="dcterms:W3CDTF">2019-03-29T12:56:00Z</dcterms:modified>
</cp:coreProperties>
</file>