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2C20EB" w:rsidRDefault="006B3D28" w:rsidP="008A4E97">
      <w:pPr>
        <w:pStyle w:val="Subtitle"/>
        <w:spacing w:line="240" w:lineRule="auto"/>
        <w:jc w:val="left"/>
        <w:rPr>
          <w:sz w:val="28"/>
        </w:rPr>
      </w:pPr>
      <w:r w:rsidRPr="002C20EB">
        <w:rPr>
          <w:sz w:val="28"/>
        </w:rPr>
        <w:t xml:space="preserve">Running title: </w:t>
      </w:r>
      <w:r w:rsidR="00C767AE" w:rsidRPr="00C767AE">
        <w:rPr>
          <w:b w:val="0"/>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 xml:space="preserve">Corresponding author: </w:t>
      </w:r>
      <w:proofErr w:type="spellStart"/>
      <w:r>
        <w:t>R</w:t>
      </w:r>
      <w:r w:rsidR="002A0204">
        <w:t>v</w:t>
      </w:r>
      <w:r>
        <w:t>M</w:t>
      </w:r>
      <w:proofErr w:type="spellEnd"/>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commentRangeStart w:id="3"/>
      <w:r>
        <w:t>Abstract</w:t>
      </w:r>
      <w:bookmarkEnd w:id="2"/>
      <w:commentRangeEnd w:id="3"/>
      <w:r w:rsidR="00964A63">
        <w:rPr>
          <w:rStyle w:val="CommentReference"/>
          <w:rFonts w:ascii="Times New Roman" w:eastAsiaTheme="minorHAnsi" w:hAnsiTheme="minorHAnsi" w:cstheme="minorBidi"/>
          <w:b w:val="0"/>
          <w:bCs w:val="0"/>
          <w:color w:val="auto"/>
        </w:rPr>
        <w:commentReference w:id="3"/>
      </w:r>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bookmarkStart w:id="4" w:name="_GoBack"/>
      <w:bookmarkEnd w:id="4"/>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1F74C9E0"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w:t>
      </w:r>
      <w:commentRangeStart w:id="5"/>
      <w:r w:rsidR="007743CF" w:rsidRPr="00E71232">
        <w:t>and the</w:t>
      </w:r>
      <w:r w:rsidR="00623216" w:rsidRPr="00E71232">
        <w:t xml:space="preserve"> </w:t>
      </w:r>
      <w:r w:rsidR="00872425" w:rsidRPr="00E71232">
        <w:t xml:space="preserve">residual </w:t>
      </w:r>
      <w:r w:rsidR="00623216" w:rsidRPr="00E71232">
        <w:t xml:space="preserve">variation in heterogeneity </w:t>
      </w:r>
      <w:r w:rsidR="00872425" w:rsidRPr="00E71232">
        <w:t>remaining from</w:t>
      </w:r>
      <w:r w:rsidR="0086734A" w:rsidRPr="00E71232">
        <w:t xml:space="preserve"> </w:t>
      </w:r>
      <w:r w:rsidR="008F1E4D" w:rsidRPr="00E71232">
        <w:t xml:space="preserve">the </w:t>
      </w:r>
      <w:r w:rsidR="00694B43" w:rsidRPr="00E71232">
        <w:t xml:space="preserve">first axis </w:t>
      </w:r>
      <w:r w:rsidR="00872425" w:rsidRPr="00E71232">
        <w:t xml:space="preserve">of </w:t>
      </w:r>
      <w:r w:rsidR="00694B43" w:rsidRPr="00E71232">
        <w:t>the PCAs</w:t>
      </w:r>
      <w:commentRangeEnd w:id="5"/>
      <w:r w:rsidR="001508F3">
        <w:rPr>
          <w:rStyle w:val="CommentReference"/>
          <w:rFonts w:ascii="Times New Roman" w:hAnsiTheme="minorHAnsi"/>
        </w:rPr>
        <w:commentReference w:id="5"/>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42E5A392" w14:textId="06C20412" w:rsidR="00C41A61" w:rsidRDefault="00024A7B" w:rsidP="00F70B73">
      <w:pPr>
        <w:pStyle w:val="BodyText"/>
        <w:rPr>
          <w:highlight w:val="yellow"/>
        </w:rPr>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7DFDC87"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its diversification history and any locally-deterministic, environmental features (e.g. productivity, heterogeneity) that influence species persistence and coexistence (</w:t>
      </w:r>
      <w:proofErr w:type="spellStart"/>
      <w:r w:rsidRPr="00F73528">
        <w:rPr>
          <w:highlight w:val="yellow"/>
        </w:rPr>
        <w:t>Ricklefs</w:t>
      </w:r>
      <w:proofErr w:type="spellEnd"/>
      <w:r w:rsidR="00D216E9" w:rsidRPr="00F73528">
        <w:rPr>
          <w:highlight w:val="yellow"/>
        </w:rPr>
        <w:t>,</w:t>
      </w:r>
      <w:r w:rsidRPr="00F73528">
        <w:rPr>
          <w:highlight w:val="yellow"/>
        </w:rPr>
        <w:t xml:space="preserve"> 1987,</w:t>
      </w:r>
      <w:r w:rsidR="0081050E">
        <w:rPr>
          <w:highlight w:val="yellow"/>
        </w:rPr>
        <w:t xml:space="preserve"> </w:t>
      </w:r>
      <w:r w:rsidRPr="00F73528">
        <w:rPr>
          <w:highlight w:val="yellow"/>
        </w:rPr>
        <w:t>2004</w:t>
      </w:r>
      <w:r w:rsidR="00870B87">
        <w:t xml:space="preserve">; </w:t>
      </w:r>
      <w:proofErr w:type="spellStart"/>
      <w:r w:rsidR="00870B87" w:rsidRPr="002C20EB">
        <w:rPr>
          <w:highlight w:val="green"/>
        </w:rPr>
        <w:t>Bøhn</w:t>
      </w:r>
      <w:proofErr w:type="spellEnd"/>
      <w:r w:rsidR="00870B87" w:rsidRPr="002C20EB">
        <w:rPr>
          <w:highlight w:val="green"/>
        </w:rPr>
        <w:t xml:space="preserve">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proofErr w:type="spellStart"/>
      <w:r w:rsidRPr="00066121">
        <w:rPr>
          <w:highlight w:val="yellow"/>
        </w:rPr>
        <w:t>Ackerly</w:t>
      </w:r>
      <w:proofErr w:type="spellEnd"/>
      <w:r w:rsidRPr="00066121">
        <w:rPr>
          <w:highlight w:val="yellow"/>
        </w:rPr>
        <w:t>, Donoghue</w:t>
      </w:r>
      <w:r w:rsidR="00235637" w:rsidRPr="00066121">
        <w:rPr>
          <w:highlight w:val="yellow"/>
        </w:rPr>
        <w:t xml:space="preserve"> &amp; </w:t>
      </w:r>
      <w:r w:rsidRPr="00066121">
        <w:rPr>
          <w:highlight w:val="yellow"/>
        </w:rPr>
        <w:t>Crisp</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most models (</w:t>
      </w:r>
      <w:r w:rsidRPr="00066121">
        <w:rPr>
          <w:highlight w:val="yellow"/>
        </w:rPr>
        <w:t>Wiens</w:t>
      </w:r>
      <w:r w:rsidR="00B847F4">
        <w:rPr>
          <w:highlight w:val="yellow"/>
        </w:rPr>
        <w:t>,</w:t>
      </w:r>
      <w:r w:rsidRPr="00066121">
        <w:rPr>
          <w:highlight w:val="yellow"/>
        </w:rPr>
        <w:t xml:space="preserve"> 2004a,b; Sobel et al.</w:t>
      </w:r>
      <w:r w:rsidR="00B847F4">
        <w:rPr>
          <w:highlight w:val="yellow"/>
        </w:rPr>
        <w:t>,</w:t>
      </w:r>
      <w:r w:rsidRPr="00066121">
        <w:rPr>
          <w:highlight w:val="yellow"/>
        </w:rPr>
        <w:t xml:space="preserve"> 2010</w:t>
      </w:r>
      <w:r w:rsidRPr="002F0553">
        <w:t xml:space="preserve">). </w:t>
      </w:r>
      <w:commentRangeStart w:id="6"/>
      <w:commentRangeStart w:id="7"/>
      <w:r w:rsidRPr="002F0553">
        <w:t xml:space="preserve">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3A604B" w:rsidRPr="00632570">
        <w:t>Byrne 2008</w:t>
      </w:r>
      <w:r w:rsidRPr="002F0553">
        <w:t xml:space="preserve">). </w:t>
      </w:r>
      <w:commentRangeEnd w:id="6"/>
      <w:r w:rsidR="00217AAC">
        <w:rPr>
          <w:rStyle w:val="CommentReference"/>
          <w:rFonts w:ascii="Times New Roman" w:hAnsiTheme="minorHAnsi"/>
        </w:rPr>
        <w:commentReference w:id="6"/>
      </w:r>
      <w:commentRangeEnd w:id="7"/>
      <w:r w:rsidR="009239A6">
        <w:rPr>
          <w:rStyle w:val="CommentReference"/>
          <w:rFonts w:ascii="Times New Roman" w:hAnsiTheme="minorHAnsi"/>
        </w:rPr>
        <w:commentReference w:id="7"/>
      </w:r>
      <w:r w:rsidRPr="002F0553">
        <w:t xml:space="preserve">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5F33A8DD"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CB7719">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Region","type":"article-journal","volume":"34"},"uris":["http://www.mendeley.com/documents/?uuid=633d6fb4-fc19-4b70-bbab-fd8689e947c3"]}],"mendeley":{"formattedCitation":"(Born, Linder, &amp; Desmet, 2007)","manualFormatting":"Born, Linder, &amp; Desmet, 2007)","plainTextFormattedCitation":"(Born, Linder, &amp; Desmet, 2007)","previouslyFormattedCitation":"(Born,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Pr="00E103F8">
        <w:rPr>
          <w:highlight w:val="yellow"/>
        </w:rPr>
        <w:t xml:space="preserve">Lamont </w:t>
      </w:r>
      <w:r w:rsidR="00B8268E" w:rsidRPr="00E103F8">
        <w:rPr>
          <w:highlight w:val="yellow"/>
        </w:rPr>
        <w:t>&amp;</w:t>
      </w:r>
      <w:r w:rsidRPr="00E103F8">
        <w:rPr>
          <w:highlight w:val="yellow"/>
        </w:rPr>
        <w:t xml:space="preserve"> He</w:t>
      </w:r>
      <w:r w:rsidR="00B847F4" w:rsidRPr="00E103F8">
        <w:rPr>
          <w:highlight w:val="yellow"/>
        </w:rPr>
        <w:t>,</w:t>
      </w:r>
      <w:r w:rsidRPr="00E103F8">
        <w:rPr>
          <w:highlight w:val="yellow"/>
        </w:rPr>
        <w:t xml:space="preserve"> 2017</w:t>
      </w:r>
      <w:r w:rsidRPr="002F0553">
        <w:t xml:space="preserve">) or Late Miocene (GCFR: </w:t>
      </w:r>
      <w:r w:rsidR="0049005E">
        <w:fldChar w:fldCharType="begin" w:fldLock="1"/>
      </w:r>
      <w:r w:rsidR="00CB7719">
        <w:instrText>ADDIN CSL_CITATION {"citationItems":[{"id":"ITEM-1","itemData":{"DOI":"10.1111/j.1365-2699.2011.02476.x","ISBN":"0305-0270","ISSN":"03050270","abstract":"Aim To test whether the radiation of the extremely rich Cape flora is correlated with marine-driven climate change. Location Middle to Late Miocene in the south-east Atlantic and the Benguela Upwelling System (BUS) off the west coast of South Africa. Methods We studied the palynology of the thoroughly dated Middle to Late Miocene sediments of Ocean Drilling Program (ODP) Site 1085 retrieved from the Atlantic off the mouth of the Orange River. Both marine upwelling and terrestrial input are recorded at this site, which allows a direct correlation between changes in the terrestrial flora and the marine BUS in the south-east Atlantic. Results Pollen types from plants of tropical affinity disappeared, and those from the Cape flora gradually increased, between 10 and 6 Ma. Our data corroborate the inferred dating of the diversification in Aizoaceae c. 8 Ma. Main conclusions Inferred vegetation changes for the Late Miocene south- western African coast are the disappearance of Podocarpus-dominated Afromontane forests, and a change in the vegetation of the coastal plain from tropical grassland and thicket to semi-arid succulent vegetation. These changes are indicative of an increased summer drought, and are in step with the development of the southern BUS. They pre-date the Pliocene uplift of the East African escarpment, suggesting that this did not play a role in stimulating vegetation change. Some Fynbos elements were present throughout the recorded period (from 11 Ma), suggesting that at least some elements of this vegetation were already in place during the onset of the BUS. This is consistent with a marine-driven climate change in south-western Africa triggering substantial radiation in the terrestrial flora, especially in the Aizoaceae. Keywords Aizoaceae, Benguela Upwelling System, Cape Flora, Late Miocene,","author":[{"dropping-particle":"","family":"Dupont","given":"Lydie M.","non-dropping-particle":"","parse-names":false,"suffix":""},{"dropping-particle":"","family":"Linder","given":"Hans Peter","non-dropping-particle":"","parse-names":false,"suffix":""},{"dropping-particle":"","family":"Rommerskirchen","given":"Florian","non-dropping-particle":"","parse-names":false,"suffix":""},{"dropping-particle":"","family":"Schefuss","given":"Enno","non-dropping-particle":"","parse-names":false,"suffix":""}],"container-title":"Journal of Biogeography","id":"ITEM-1","issue":"6","issued":{"date-parts":[["2011"]]},"page":"1059-1068","title":"Climate-driven rampant speciation of the Cape flora","type":"article-journal","volume":"38"},"uris":["http://www.mendeley.com/documents/?uuid=035f37eb-792e-4407-aedc-7a833e3a0c68"]},{"id":"ITEM-2","itemData":{"DOI":"10.1371/journal.pone.0137847","ISBN":"2008091600","ISSN":"19326203","PMID":"26422465","abstract":"In the context of molecularly-dated phylogenies, inferences informed by ancestral habitat reconstruction can yield valuable insights into the origins of biomes, palaeoenvironments and landforms. In this paper, we use dated phylogenies of 12 plant clades from the Cape Floristic Region (CFR) in southern Africa to test hypotheses of Neogene climatic and geomorphic evolution. Our combined dataset for the CFR strengthens and refines previous palaeoenvironmental reconstructions based on a sparse, mostly offshore fossil record. Our reconstructions show remarkable consistency across all 12 clades with regard to both the types of environments identified as ancestral, and the timing of shifts to alternative conditions. They reveal that Early Miocene land surfaces of the CFR were wetter than at present and were dominated by quartzitic substrata. These conditions continue to characterize the higher-elevation settings of the Cape Fold Belt, where they have fostered the persistence of ancient fynbos lineages. The Middle Miocene (13–17 Ma) saw the development of perennial to weakly-seasonal arid conditions, with the strongly seasonal rainfall regime of the west coast arising ~6.5–8 Ma. Although the Late Miocene may have seen some exposure of the underlying shale substrata, the present-day substrate diversity of the CFR lowlands was shaped by Pliocene-Pleistocene events. Particularly important was renewed erosion, following the post-African II uplift episode, and the reworking of sediments on the coastal platform as a consequence of marine transgressions and tectonic uplift. These changes facilitated adaptive radiations in some, but not all, lineages studied.","author":[{"dropping-particle":"","family":"Hoffmann","given":"Vera","non-dropping-particle":"","parse-names":false,"suffix":""},{"dropping-particle":"","family":"Verboom","given":"G. Anthony","non-dropping-particle":"","parse-names":false,"suffix":""},{"dropping-particle":"","family":"Cotterill","given":"Fenton P.D.","non-dropping-particle":"","parse-names":false,"suffix":""}],"container-title":"PLoS ONE","id":"ITEM-2","issue":"9","issued":{"date-parts":[["2015"]]},"page":"1-25","title":"Dated plant phylogenies resolve Neogene climate and landscape evolution in the cape floristic region","type":"article-journal","volume":"10"},"uris":["http://www.mendeley.com/documents/?uuid=e23f7942-99d6-4663-9ce5-487824fa8bcb"]}],"mendeley":{"formattedCitation":"(Dupont, Linder, Rommerskirchen, &amp; Schefuss, 2011; Hoffmann, Verboom, &amp; Cotterill, 2015)","manualFormatting":"Dupont, Linder, Rommerskirchen, &amp; Schefuss, 2011; Hoffmann, Verboom, &amp; Cotterill, 2015)","plainTextFormattedCitation":"(Dupont, Linder, Rommerskirchen, &amp; Schefuss, 2011; Hoffmann, Verboom, &amp; Cotterill, 2015)","previouslyFormattedCitation":"(Dupont, Linder, Rommerskirchen, &amp; Schefuss, 2011; Hoffmann, Verboom, &amp; Cotterill, 2015)"},"properties":{"noteIndex":0},"schema":"https://github.com/citation-style-language/schema/raw/master/csl-citation.json"}</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500890">
        <w:rPr>
          <w:highlight w:val="yellow"/>
        </w:rPr>
        <w:t xml:space="preserve">Stock </w:t>
      </w:r>
      <w:r w:rsidR="00B8268E" w:rsidRPr="00500890">
        <w:rPr>
          <w:highlight w:val="yellow"/>
        </w:rPr>
        <w:t>&amp;</w:t>
      </w:r>
      <w:r w:rsidRPr="00500890">
        <w:rPr>
          <w:highlight w:val="yellow"/>
        </w:rPr>
        <w:t xml:space="preserve"> </w:t>
      </w:r>
      <w:proofErr w:type="spellStart"/>
      <w:r w:rsidRPr="00500890">
        <w:rPr>
          <w:highlight w:val="yellow"/>
        </w:rPr>
        <w:t>Verboom</w:t>
      </w:r>
      <w:proofErr w:type="spellEnd"/>
      <w:r w:rsidR="00B847F4" w:rsidRPr="00500890">
        <w:rPr>
          <w:highlight w:val="yellow"/>
        </w:rPr>
        <w:t>,</w:t>
      </w:r>
      <w:r w:rsidR="00C40608" w:rsidRPr="00500890">
        <w:rPr>
          <w:highlight w:val="yellow"/>
        </w:rPr>
        <w:t xml:space="preserve"> </w:t>
      </w:r>
      <w:r w:rsidR="00705608" w:rsidRPr="00632570">
        <w:rPr>
          <w:highlight w:val="yellow"/>
        </w:rPr>
        <w:t>2012</w:t>
      </w:r>
      <w:r w:rsidRPr="00A432DE">
        <w:t>)</w:t>
      </w:r>
      <w:r>
        <w:t xml:space="preserve">, hence their designation as </w:t>
      </w:r>
      <w:r w:rsidR="00217AAC">
        <w:t xml:space="preserve">old, climatically-buffered infertile landscapes </w:t>
      </w:r>
      <w:r>
        <w:t>(</w:t>
      </w:r>
      <w:r w:rsidR="00217AAC">
        <w:t>OCBILs</w:t>
      </w:r>
      <w:r>
        <w:t xml:space="preserve">; </w:t>
      </w:r>
      <w:r w:rsidRPr="00E103F8">
        <w:rPr>
          <w:highlight w:val="yellow"/>
        </w:rPr>
        <w:t>Hopper</w:t>
      </w:r>
      <w:r w:rsidR="00B847F4" w:rsidRPr="00E103F8">
        <w:rPr>
          <w:highlight w:val="yellow"/>
        </w:rPr>
        <w:t>,</w:t>
      </w:r>
      <w:r w:rsidRPr="00E103F8">
        <w:rPr>
          <w:highlight w:val="yellow"/>
        </w:rPr>
        <w:t xml:space="preserve"> 2009</w:t>
      </w:r>
      <w:r>
        <w:t xml:space="preserve">). Owing to these environmental similarities, the SWAFR and GCFR floras are very similar </w:t>
      </w:r>
      <w:r w:rsidR="00217AAC">
        <w:t>with respect to</w:t>
      </w:r>
      <w:r>
        <w:t xml:space="preserve"> their </w:t>
      </w:r>
      <w:r w:rsidR="00644D4A">
        <w:t xml:space="preserve">plant </w:t>
      </w:r>
      <w:r>
        <w:t>functional trait spectra (</w:t>
      </w:r>
      <w:r w:rsidRPr="00E103F8">
        <w:rPr>
          <w:highlight w:val="yellow"/>
        </w:rPr>
        <w:t xml:space="preserve">Cowling </w:t>
      </w:r>
      <w:r w:rsidR="00B8268E" w:rsidRPr="00E103F8">
        <w:rPr>
          <w:highlight w:val="yellow"/>
        </w:rPr>
        <w:t>&amp;</w:t>
      </w:r>
      <w:r w:rsidRPr="00E103F8">
        <w:rPr>
          <w:highlight w:val="yellow"/>
        </w:rPr>
        <w:t xml:space="preserve"> Witkowski</w:t>
      </w:r>
      <w:r w:rsidR="00B847F4" w:rsidRPr="00E103F8">
        <w:rPr>
          <w:highlight w:val="yellow"/>
        </w:rPr>
        <w:t>,</w:t>
      </w:r>
      <w:r w:rsidRPr="00E103F8">
        <w:rPr>
          <w:highlight w:val="yellow"/>
        </w:rPr>
        <w:t xml:space="preserve"> 1994</w:t>
      </w:r>
      <w:r>
        <w:t xml:space="preserve">), </w:t>
      </w:r>
      <w:r w:rsidR="00217AAC">
        <w:t>al</w:t>
      </w:r>
      <w:r>
        <w:t xml:space="preserve">though the presence of a significant </w:t>
      </w:r>
      <w:commentRangeStart w:id="8"/>
      <w:commentRangeStart w:id="9"/>
      <w:commentRangeStart w:id="10"/>
      <w:r>
        <w:t xml:space="preserve">tree </w:t>
      </w:r>
      <w:commentRangeEnd w:id="8"/>
      <w:r w:rsidR="00236CF0">
        <w:rPr>
          <w:rStyle w:val="CommentReference"/>
          <w:rFonts w:ascii="Times New Roman" w:hAnsiTheme="minorHAnsi"/>
        </w:rPr>
        <w:commentReference w:id="8"/>
      </w:r>
      <w:r>
        <w:t>component in the SWAFR underpins a striking difference in vegetation physiognomy (</w:t>
      </w:r>
      <w:proofErr w:type="spellStart"/>
      <w:r w:rsidR="0097673D" w:rsidRPr="00B64138">
        <w:rPr>
          <w:highlight w:val="yellow"/>
        </w:rPr>
        <w:t>Milewski</w:t>
      </w:r>
      <w:proofErr w:type="spellEnd"/>
      <w:r w:rsidR="0097673D" w:rsidRPr="00B64138">
        <w:rPr>
          <w:highlight w:val="yellow"/>
        </w:rPr>
        <w:t xml:space="preserve"> 1981; Beard et al. 2000</w:t>
      </w:r>
      <w:r>
        <w:t xml:space="preserve">). </w:t>
      </w:r>
      <w:commentRangeEnd w:id="9"/>
      <w:r w:rsidR="00236CF0">
        <w:rPr>
          <w:rStyle w:val="CommentReference"/>
          <w:rFonts w:ascii="Times New Roman" w:hAnsiTheme="minorHAnsi"/>
        </w:rPr>
        <w:commentReference w:id="9"/>
      </w:r>
      <w:commentRangeEnd w:id="10"/>
      <w:r w:rsidR="00C6184E">
        <w:rPr>
          <w:rStyle w:val="CommentReference"/>
          <w:rFonts w:ascii="Times New Roman" w:hAnsiTheme="minorHAnsi"/>
        </w:rPr>
        <w:commentReference w:id="10"/>
      </w:r>
      <w:r>
        <w:t xml:space="preserve">Moreover, the long-term climatic and geological stability of the two regions ensures that the native floras of both reflect long histories of assembly, extending back to the </w:t>
      </w:r>
      <w:proofErr w:type="spellStart"/>
      <w:r>
        <w:t>Palaeocene</w:t>
      </w:r>
      <w:proofErr w:type="spellEnd"/>
      <w:r>
        <w:t xml:space="preserve"> and possibly even earlier (</w:t>
      </w:r>
      <w:r w:rsidRPr="004D5D8A">
        <w:rPr>
          <w:highlight w:val="yellow"/>
        </w:rPr>
        <w:t>refs</w:t>
      </w:r>
      <w:r>
        <w:t>), with evidence of a long history of transoceanic dispersal between the</w:t>
      </w:r>
      <w:r w:rsidR="00705608">
        <w:t>m</w:t>
      </w:r>
      <w:r>
        <w:t xml:space="preserve"> (</w:t>
      </w:r>
      <w:r w:rsidR="00705608" w:rsidRPr="00B64138">
        <w:rPr>
          <w:highlight w:val="yellow"/>
        </w:rPr>
        <w:t>Bergh &amp; Linder 2009</w:t>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6FE43554" w:rsidR="00D04776" w:rsidRPr="002C20EB" w:rsidRDefault="00D04776" w:rsidP="002C20EB">
      <w:pPr>
        <w:pStyle w:val="BodyText"/>
        <w:rPr>
          <w:lang w:val="en-ZA"/>
        </w:rPr>
      </w:pPr>
      <w:r>
        <w:lastRenderedPageBreak/>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proofErr w:type="spellStart"/>
      <w:r w:rsidRPr="00E103F8">
        <w:rPr>
          <w:highlight w:val="yellow"/>
        </w:rPr>
        <w:t>Snijman</w:t>
      </w:r>
      <w:proofErr w:type="spellEnd"/>
      <w:r w:rsidR="00B847F4" w:rsidRPr="00E103F8">
        <w:rPr>
          <w:highlight w:val="yellow"/>
        </w:rPr>
        <w:t>,</w:t>
      </w:r>
      <w:r w:rsidRPr="00E103F8">
        <w:rPr>
          <w:highlight w:val="yellow"/>
        </w:rPr>
        <w:t xml:space="preserve"> 2013</w:t>
      </w:r>
      <w:r>
        <w:t xml:space="preserve">). </w:t>
      </w:r>
      <w:r w:rsidR="00872425">
        <w:t xml:space="preserve">Although on-going identification of new species </w:t>
      </w:r>
      <w:r w:rsidR="000D32D5">
        <w:t xml:space="preserve">may change these statistics (e.g. </w:t>
      </w:r>
      <w:proofErr w:type="spellStart"/>
      <w:r w:rsidR="000D32D5">
        <w:t>Gioia</w:t>
      </w:r>
      <w:proofErr w:type="spellEnd"/>
      <w:r w:rsidR="000D32D5">
        <w:t xml:space="preserve"> et al., 2017),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03F8">
        <w:rPr>
          <w:highlight w:val="yellow"/>
        </w:rPr>
        <w:t>Goldblatt</w:t>
      </w:r>
      <w:r w:rsidR="00B847F4" w:rsidRPr="00E103F8">
        <w:rPr>
          <w:highlight w:val="yellow"/>
        </w:rPr>
        <w:t>,</w:t>
      </w:r>
      <w:r w:rsidRPr="00E103F8">
        <w:rPr>
          <w:highlight w:val="yellow"/>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commentRangeStart w:id="11"/>
      <w:r w:rsidR="003B49FB">
        <w:rPr>
          <w:lang w:val="en-ZA"/>
        </w:rPr>
        <w:t xml:space="preserve">CFR </w:t>
      </w:r>
      <w:commentRangeEnd w:id="11"/>
      <w:r w:rsidR="00F12728">
        <w:rPr>
          <w:rStyle w:val="CommentReference"/>
          <w:rFonts w:ascii="Times New Roman" w:hAnsiTheme="minorHAnsi"/>
        </w:rPr>
        <w:commentReference w:id="11"/>
      </w:r>
      <w:r w:rsidR="003B49FB">
        <w:rPr>
          <w:lang w:val="en-ZA"/>
        </w:rPr>
        <w:t>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E561E1" w:rsidRPr="002C20EB">
        <w:rPr>
          <w:highlight w:val="green"/>
          <w:lang w:val="en-ZA"/>
        </w:rPr>
        <w:t>Bradshaw &amp; Cowling, 2014</w:t>
      </w:r>
      <w:r w:rsidR="00E561E1" w:rsidRPr="00E87C83">
        <w:rPr>
          <w:lang w:val="en-ZA"/>
        </w:rPr>
        <w:t>).</w:t>
      </w:r>
      <w:r w:rsidR="00E561E1">
        <w:rPr>
          <w:lang w:val="en-ZA"/>
        </w:rPr>
        <w:t xml:space="preserve"> </w:t>
      </w:r>
      <w:r w:rsidR="003B49FB">
        <w:rPr>
          <w:lang w:val="en-ZA"/>
        </w:rPr>
        <w:t>Critically, s</w:t>
      </w:r>
      <w:proofErr w:type="spellStart"/>
      <w:r>
        <w:t>ince</w:t>
      </w:r>
      <w:proofErr w:type="spellEnd"/>
      <w:r>
        <w:t xml:space="preserv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12" w:name="comparing-regions-environmental-heteroge"/>
      <w:r>
        <w:t>2.1</w:t>
      </w:r>
      <w:r w:rsidR="00F31AF3">
        <w:t>:</w:t>
      </w:r>
      <w:r>
        <w:t xml:space="preserve"> </w:t>
      </w:r>
      <w:r w:rsidR="00D04776">
        <w:t>Comparing species richness</w:t>
      </w:r>
    </w:p>
    <w:p w14:paraId="52348C6B" w14:textId="50BEA55F" w:rsidR="006A239A" w:rsidRDefault="00D04776" w:rsidP="00FE0731">
      <w:pPr>
        <w:pStyle w:val="FirstParagraph"/>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1).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oodlands (</w:t>
      </w:r>
      <w:r w:rsidR="001C5D8A" w:rsidRPr="008533D7">
        <w:rPr>
          <w:highlight w:val="yellow"/>
        </w:rPr>
        <w:t>Olson et al.</w:t>
      </w:r>
      <w:r w:rsidR="00B847F4" w:rsidRPr="008533D7">
        <w:rPr>
          <w:highlight w:val="yellow"/>
        </w:rPr>
        <w:t>,</w:t>
      </w:r>
      <w:r w:rsidR="001C5D8A" w:rsidRPr="008533D7">
        <w:rPr>
          <w:highlight w:val="yellow"/>
        </w:rPr>
        <w:t xml:space="preserve"> 2001</w:t>
      </w:r>
      <w:r w:rsidR="001C5D8A">
        <w:t>) in order to match the current deli</w:t>
      </w:r>
      <w:r w:rsidR="006F0BA2">
        <w:t>mitation of the</w:t>
      </w:r>
      <w:r w:rsidR="001C5D8A">
        <w:t xml:space="preserve"> SWAFR </w:t>
      </w:r>
      <w:r w:rsidR="00184015">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2004)","plainTextFormattedCitation":"(Gioia &amp; Hopper, 2017; Hopper &amp; Gioia, 2004)","previouslyFormattedCitation":"(Gioia &amp; Hopper, 2017; Hopper &amp; Gioia, 2004)"},"properties":{"noteIndex":0},"schema":"https://github.com/citation-style-language/schema/raw/master/csl-citation.json"}</w:instrText>
      </w:r>
      <w:r w:rsidR="00184015">
        <w:fldChar w:fldCharType="separate"/>
      </w:r>
      <w:r w:rsidR="00B1341B" w:rsidRPr="00B1341B">
        <w:rPr>
          <w:noProof/>
        </w:rPr>
        <w:t>(Gioia &amp; Hopper, 2017; Hopper &amp; Gioia, 2004)</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CE21A6" w:rsidRPr="002C20EB">
        <w:rPr>
          <w:highlight w:val="yellow"/>
        </w:rPr>
        <w:t>SI</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BE7107">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Start w:id="13"/>
      <w:commentRangeStart w:id="14"/>
      <w:r>
        <w:t>The</w:t>
      </w:r>
      <w:commentRangeEnd w:id="13"/>
      <w:r w:rsidR="000D32D5">
        <w:rPr>
          <w:rStyle w:val="CommentReference"/>
          <w:rFonts w:ascii="Times New Roman" w:hAnsiTheme="minorHAnsi"/>
        </w:rPr>
        <w:commentReference w:id="13"/>
      </w:r>
      <w:commentRangeEnd w:id="14"/>
      <w:r w:rsidR="00F0240E">
        <w:rPr>
          <w:rStyle w:val="CommentReference"/>
          <w:rFonts w:ascii="Times New Roman" w:hAnsiTheme="minorHAnsi"/>
        </w:rPr>
        <w:commentReference w:id="14"/>
      </w:r>
      <w:r>
        <w:t xml:space="preserv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w:t>
      </w:r>
      <w:commentRangeStart w:id="15"/>
      <w:r w:rsidR="00841086">
        <w:t>Note, we excluded occurrence data (and indeed environmental data, below) originating from coastal pixels at the 0.05</w:t>
      </w:r>
      <w:r w:rsidR="00841086">
        <w:rPr>
          <w:rFonts w:cstheme="majorBidi"/>
        </w:rPr>
        <w:t>° resolution.</w:t>
      </w:r>
      <w:commentRangeEnd w:id="15"/>
      <w:r w:rsidR="00540260">
        <w:rPr>
          <w:rStyle w:val="CommentReference"/>
          <w:rFonts w:ascii="Times New Roman" w:hAnsiTheme="minorHAnsi"/>
        </w:rPr>
        <w:commentReference w:id="15"/>
      </w:r>
    </w:p>
    <w:p w14:paraId="26664BCB" w14:textId="6BC681F2"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lastRenderedPageBreak/>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4C1745BF" w:rsidR="00FE0731" w:rsidRPr="00FE0731" w:rsidRDefault="006019FD"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r>
            <w:rPr>
              <w:rFonts w:ascii="Cambria Math" w:eastAsiaTheme="minorEastAsia" w:hAnsi="Cambria Math"/>
            </w:rPr>
            <m:t xml:space="preserve"> </m:t>
          </m:r>
        </m:oMath>
      </m:oMathPara>
    </w:p>
    <w:p w14:paraId="5E14789F" w14:textId="3787E63B" w:rsidR="00FE0731" w:rsidRPr="00FE0731" w:rsidRDefault="006019FD"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4E2476F9" w:rsidR="00DD2348" w:rsidRDefault="00970650" w:rsidP="008A4E97">
      <w:pPr>
        <w:pStyle w:val="Heading2"/>
        <w:spacing w:line="240" w:lineRule="auto"/>
      </w:pPr>
      <w:r>
        <w:t>2.2</w:t>
      </w:r>
      <w:r w:rsidR="00305C02">
        <w:t>:</w:t>
      </w:r>
      <w:r>
        <w:t xml:space="preserve"> </w:t>
      </w:r>
      <w:r w:rsidR="005F0FFB">
        <w:t>Comparing environmental heterogeneity</w:t>
      </w:r>
      <w:bookmarkEnd w:id="12"/>
    </w:p>
    <w:p w14:paraId="16702F9A" w14:textId="72E6903B"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 xml:space="preserve">(Table S1)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commentRangeStart w:id="16"/>
      <w:commentRangeStart w:id="17"/>
      <w:r w:rsidR="00E25251">
        <w:t>gradients</w:t>
      </w:r>
      <w:commentRangeEnd w:id="16"/>
      <w:r w:rsidR="008F78EE">
        <w:rPr>
          <w:rStyle w:val="CommentReference"/>
          <w:rFonts w:ascii="Times New Roman" w:hAnsiTheme="minorHAnsi"/>
        </w:rPr>
        <w:commentReference w:id="16"/>
      </w:r>
      <w:commentRangeEnd w:id="17"/>
      <w:r w:rsidR="00E37201">
        <w:rPr>
          <w:rStyle w:val="CommentReference"/>
          <w:rFonts w:ascii="Times New Roman" w:hAnsiTheme="minorHAnsi"/>
        </w:rPr>
        <w:commentReference w:id="17"/>
      </w:r>
      <w:r w:rsidR="00E25251">
        <w:t xml:space="preserve">. </w:t>
      </w:r>
      <w:r w:rsidR="00086052">
        <w:t xml:space="preserve">As far as possible, these variables were selected to represent environmental axes which are </w:t>
      </w:r>
      <w:r w:rsidR="00086052" w:rsidRPr="00BE0660">
        <w:rPr>
          <w:highlight w:val="yellow"/>
        </w:rPr>
        <w:t>considered regionally important</w:t>
      </w:r>
      <w:r w:rsidR="004066C3" w:rsidRPr="00BE0660">
        <w:rPr>
          <w:highlight w:val="yellow"/>
        </w:rPr>
        <w:t xml:space="preserve"> and </w:t>
      </w:r>
      <w:commentRangeStart w:id="18"/>
      <w:commentRangeStart w:id="19"/>
      <w:r w:rsidR="004066C3" w:rsidRPr="00BE0660">
        <w:rPr>
          <w:highlight w:val="yellow"/>
        </w:rPr>
        <w:t xml:space="preserve">nominally </w:t>
      </w:r>
      <w:commentRangeEnd w:id="18"/>
      <w:r w:rsidR="008F78EE" w:rsidRPr="00BE0660">
        <w:rPr>
          <w:rStyle w:val="CommentReference"/>
          <w:rFonts w:ascii="Times New Roman" w:hAnsiTheme="minorHAnsi"/>
          <w:highlight w:val="yellow"/>
        </w:rPr>
        <w:commentReference w:id="18"/>
      </w:r>
      <w:commentRangeEnd w:id="19"/>
      <w:r w:rsidR="00F0240E" w:rsidRPr="00BE0660">
        <w:rPr>
          <w:rStyle w:val="CommentReference"/>
          <w:rFonts w:ascii="Times New Roman" w:hAnsiTheme="minorHAnsi"/>
          <w:highlight w:val="yellow"/>
        </w:rPr>
        <w:commentReference w:id="19"/>
      </w:r>
      <w:r w:rsidR="004066C3" w:rsidRPr="00BE0660">
        <w:rPr>
          <w:highlight w:val="yellow"/>
        </w:rPr>
        <w:t>independent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A0573E"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w:t>
      </w:r>
      <w:commentRangeStart w:id="20"/>
      <w:commentRangeStart w:id="21"/>
      <w:r w:rsidR="00FD3C3A">
        <w:t xml:space="preserve">both </w:t>
      </w:r>
      <w:commentRangeEnd w:id="20"/>
      <w:r w:rsidR="0076433F">
        <w:rPr>
          <w:rStyle w:val="CommentReference"/>
          <w:rFonts w:ascii="Times New Roman" w:hAnsiTheme="minorHAnsi"/>
        </w:rPr>
        <w:commentReference w:id="20"/>
      </w:r>
      <w:commentRangeEnd w:id="21"/>
      <w:r w:rsidR="008156BB">
        <w:rPr>
          <w:rStyle w:val="CommentReference"/>
          <w:rFonts w:ascii="Times New Roman" w:hAnsiTheme="minorHAnsi"/>
        </w:rPr>
        <w:commentReference w:id="21"/>
      </w:r>
      <w:r w:rsidR="00FD3C3A">
        <w:t xml:space="preserve">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 xml:space="preserve">first </w:t>
      </w:r>
      <w:commentRangeStart w:id="22"/>
      <w:commentRangeStart w:id="23"/>
      <w:r w:rsidR="00F358D2">
        <w:t>log</w:t>
      </w:r>
      <w:r w:rsidR="00F70EA3">
        <w:rPr>
          <w:vertAlign w:val="subscript"/>
        </w:rPr>
        <w:t>10</w:t>
      </w:r>
      <w:r w:rsidR="00F70EA3">
        <w:t>-</w:t>
      </w:r>
      <w:r w:rsidR="00F358D2">
        <w:t xml:space="preserve">transformed </w:t>
      </w:r>
      <w:commentRangeEnd w:id="22"/>
      <w:r w:rsidR="0076433F">
        <w:rPr>
          <w:rStyle w:val="CommentReference"/>
          <w:rFonts w:ascii="Times New Roman" w:hAnsiTheme="minorHAnsi"/>
        </w:rPr>
        <w:commentReference w:id="22"/>
      </w:r>
      <w:commentRangeEnd w:id="23"/>
      <w:r w:rsidR="00CF1356">
        <w:rPr>
          <w:rStyle w:val="CommentReference"/>
          <w:rFonts w:ascii="Times New Roman" w:hAnsiTheme="minorHAnsi"/>
        </w:rPr>
        <w:commentReference w:id="23"/>
      </w:r>
      <w:r w:rsidR="00F358D2">
        <w:t xml:space="preserve">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p>
    <w:p w14:paraId="043425BC" w14:textId="2EA7E361" w:rsidR="007E72DA" w:rsidRPr="00DE7007" w:rsidRDefault="00BE3A41" w:rsidP="00BE3A41">
      <w:pPr>
        <w:pStyle w:val="BodyText"/>
      </w:pPr>
      <w:r w:rsidRPr="000519A1">
        <w:lastRenderedPageBreak/>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w:t>
      </w:r>
      <w:proofErr w:type="spellStart"/>
      <w:r w:rsidR="000519A1">
        <w:t>canprot</w:t>
      </w:r>
      <w:proofErr w:type="spellEnd"/>
      <w:r w:rsidR="000519A1">
        <w: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24" w:name="environmental-heterogeneity-as-an-explan"/>
      <w:r>
        <w:t>2.3</w:t>
      </w:r>
      <w:r w:rsidR="0009179A">
        <w:t>:</w:t>
      </w:r>
      <w:r>
        <w:t xml:space="preserve"> </w:t>
      </w:r>
      <w:r w:rsidR="005F0FFB">
        <w:t>Environmental heterogeneity as an explanation of species richness</w:t>
      </w:r>
      <w:bookmarkEnd w:id="24"/>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28E756C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 xml:space="preserve">model simplification was done using </w:t>
      </w:r>
      <w:r w:rsidR="0059394E" w:rsidRPr="0059394E">
        <w:t>reverse stepwise regression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7BF1585B"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(Figure 3) and </w:t>
      </w:r>
      <w:r w:rsidR="00887059">
        <w:t xml:space="preserve">the </w:t>
      </w:r>
      <w:r w:rsidR="00DC385A">
        <w:t>multiple regression models (Figure 4)</w:t>
      </w:r>
      <w:r w:rsidR="00887059">
        <w:t>, at all three spatial scales,</w:t>
      </w:r>
      <w:r w:rsidR="00DC385A">
        <w:t xml:space="preserve"> </w:t>
      </w:r>
      <w:r w:rsidR="00887059">
        <w:t xml:space="preserve">to identify outlier points. For this purpose outliers </w:t>
      </w:r>
      <w:r w:rsidR="003D2B4F">
        <w:t xml:space="preserve">were defined as any </w:t>
      </w:r>
      <w:r w:rsidR="00887059">
        <w:t xml:space="preserve">points </w:t>
      </w:r>
      <w:r w:rsidR="0072431B">
        <w:t>with residual species richness</w:t>
      </w:r>
      <w:r w:rsidR="00887059">
        <w:t xml:space="preserve"> more than two standard deviations from the mean. We also used an </w:t>
      </w:r>
      <w:r w:rsidR="00887059" w:rsidRPr="00C47FAF">
        <w:rPr>
          <w:i/>
        </w:rPr>
        <w:t>F</w:t>
      </w:r>
      <w:r w:rsidR="00887059">
        <w:t xml:space="preserve">-test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commentRangeStart w:id="25"/>
      <w:r w:rsidR="00265947">
        <w:t>to assess</w:t>
      </w:r>
      <w:r w:rsidR="003D2B4F">
        <w:t xml:space="preserve"> whether the exceptional richness of hotspots is best explained by factors other than environmental heterogeneity</w:t>
      </w:r>
      <w:commentRangeEnd w:id="25"/>
      <w:r w:rsidR="00125C57">
        <w:rPr>
          <w:rStyle w:val="CommentReference"/>
          <w:rFonts w:ascii="Times New Roman" w:hAnsiTheme="minorHAnsi"/>
        </w:rPr>
        <w:commentReference w:id="25"/>
      </w:r>
      <w:r w:rsidR="003D2B4F">
        <w:t xml:space="preserve">, we </w:t>
      </w:r>
      <w:r w:rsidR="003D2B4F">
        <w:lastRenderedPageBreak/>
        <w:t>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26" w:name="results"/>
      <w:r>
        <w:t>3</w:t>
      </w:r>
      <w:r w:rsidR="00E4661A">
        <w:t>:</w:t>
      </w:r>
      <w:r>
        <w:t xml:space="preserve"> </w:t>
      </w:r>
      <w:r w:rsidR="00D04776">
        <w:t>Results</w:t>
      </w:r>
      <w:bookmarkEnd w:id="26"/>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07DEEB4" w:rsidR="002C32D6" w:rsidRPr="00B332AF" w:rsidRDefault="002C32D6" w:rsidP="002C32D6">
      <w:pPr>
        <w:pStyle w:val="FirstParagraph"/>
        <w:rPr>
          <w:i/>
        </w:rPr>
      </w:pPr>
      <w:r>
        <w:t xml:space="preserve">Vascular plant species richness varies spatially in both the GCFR and SWAFR, with both regions possessing a hotspot of exceptional richness (the </w:t>
      </w:r>
      <w:proofErr w:type="spellStart"/>
      <w:r>
        <w:t>Kogelberg</w:t>
      </w:r>
      <w:proofErr w:type="spellEnd"/>
      <w:r>
        <w:t xml:space="preserve"> Centre in the GCFR; Greater Perth in the SWAFR) and declining species richness towards its interior margin (Figure 5a, b). </w:t>
      </w:r>
      <w:r w:rsidRPr="00B332AF">
        <w:t>Comparison</w:t>
      </w:r>
      <w:r>
        <w:t>s</w:t>
      </w:r>
      <w:r w:rsidRPr="00B332AF">
        <w:t xml:space="preserve"> of species richness</w:t>
      </w:r>
      <w:r>
        <w:t xml:space="preserve"> between the regions</w:t>
      </w:r>
      <w:r w:rsidRPr="00B332AF">
        <w:t xml:space="preserve"> </w:t>
      </w:r>
      <w:r>
        <w:t>using two-sided Mann</w:t>
      </w:r>
      <w:r w:rsidRPr="000E5000">
        <w:t xml:space="preserve">-Whitney </w:t>
      </w:r>
      <w:r w:rsidRPr="000E5000">
        <w:rPr>
          <w:i/>
        </w:rPr>
        <w:t>U</w:t>
      </w:r>
      <w:r>
        <w:t xml:space="preserve"> </w:t>
      </w:r>
      <w:r w:rsidRPr="000E5000">
        <w:t>tests</w:t>
      </w:r>
      <w:r w:rsidRPr="00B332AF">
        <w:t xml:space="preserve"> </w:t>
      </w:r>
      <w:r>
        <w:t>reveal</w:t>
      </w:r>
      <w:r w:rsidRPr="00B332AF">
        <w:t xml:space="preserve"> </w:t>
      </w:r>
      <w:r>
        <w:t xml:space="preserve">that </w:t>
      </w:r>
      <w:commentRangeStart w:id="27"/>
      <w:commentRangeStart w:id="28"/>
      <w:r>
        <w:t>species</w:t>
      </w:r>
      <w:r w:rsidRPr="00B332AF">
        <w:t xml:space="preserve"> richness </w:t>
      </w:r>
      <w:r>
        <w:t>per unit area is similar at the QDS</w:t>
      </w:r>
      <w:commentRangeEnd w:id="27"/>
      <w:r w:rsidR="00CA131C">
        <w:rPr>
          <w:rStyle w:val="CommentReference"/>
          <w:rFonts w:ascii="Times New Roman" w:hAnsiTheme="minorHAnsi"/>
        </w:rPr>
        <w:commentReference w:id="27"/>
      </w:r>
      <w:commentRangeEnd w:id="28"/>
      <w:r w:rsidR="00F77185">
        <w:rPr>
          <w:rStyle w:val="CommentReference"/>
          <w:rFonts w:ascii="Times New Roman" w:hAnsiTheme="minorHAnsi"/>
        </w:rPr>
        <w:commentReference w:id="28"/>
      </w:r>
      <w:r>
        <w:t>- (</w:t>
      </w:r>
      <w:r w:rsidRPr="00E013BB">
        <w:rPr>
          <w:highlight w:val="red"/>
        </w:rPr>
        <w:t>Figure 2a</w:t>
      </w:r>
      <w:r>
        <w:t>;</w:t>
      </w:r>
      <w:r w:rsidRPr="000E5000">
        <w:rPr>
          <w:i/>
        </w:rPr>
        <w:t xml:space="preserve"> P</w:t>
      </w:r>
      <w:r w:rsidRPr="000E5000">
        <w:t xml:space="preserve"> </w:t>
      </w:r>
      <w:r>
        <w:t>=</w:t>
      </w:r>
      <w:r w:rsidRPr="000E5000">
        <w:t xml:space="preserve"> 0.</w:t>
      </w:r>
      <w:r>
        <w:t xml:space="preserve">402, </w:t>
      </w:r>
      <w:r w:rsidRPr="00E87AB4">
        <w:rPr>
          <w:i/>
          <w:iCs/>
        </w:rPr>
        <w:t>CLES</w:t>
      </w:r>
      <w:r>
        <w:t xml:space="preserve"> = </w:t>
      </w:r>
      <w:r w:rsidRPr="006C43DF">
        <w:t>0.516</w:t>
      </w:r>
      <w:r>
        <w:t>) and HDS-scales (Figure 2b;</w:t>
      </w:r>
      <w:r w:rsidRPr="000E5000">
        <w:rPr>
          <w:i/>
        </w:rPr>
        <w:t xml:space="preserve"> P</w:t>
      </w:r>
      <w:r w:rsidRPr="000E5000">
        <w:t xml:space="preserve"> </w:t>
      </w:r>
      <w:r>
        <w:t>=</w:t>
      </w:r>
      <w:r w:rsidRPr="000E5000">
        <w:t xml:space="preserve"> 0.</w:t>
      </w:r>
      <w:r>
        <w:t xml:space="preserve">275, </w:t>
      </w:r>
      <w:r w:rsidRPr="00E87AB4">
        <w:rPr>
          <w:i/>
          <w:iCs/>
        </w:rPr>
        <w:t>CLES</w:t>
      </w:r>
      <w:r>
        <w:t xml:space="preserve"> = </w:t>
      </w:r>
      <w:r w:rsidRPr="006C43DF">
        <w:t>0.542</w:t>
      </w:r>
      <w:r>
        <w:t>), but that the GCFR is significantly more species-rich than the SWAFR at the DS-scale (</w:t>
      </w:r>
      <w:commentRangeStart w:id="29"/>
      <w:commentRangeStart w:id="30"/>
      <w:r w:rsidRPr="00E013BB">
        <w:rPr>
          <w:highlight w:val="red"/>
        </w:rPr>
        <w:t xml:space="preserve">Figure </w:t>
      </w:r>
      <w:commentRangeEnd w:id="29"/>
      <w:r w:rsidR="0057720E" w:rsidRPr="00E013BB">
        <w:rPr>
          <w:highlight w:val="red"/>
        </w:rPr>
        <w:t>2</w:t>
      </w:r>
      <w:r w:rsidR="00CA131C" w:rsidRPr="00E013BB">
        <w:rPr>
          <w:rStyle w:val="CommentReference"/>
          <w:rFonts w:ascii="Times New Roman" w:hAnsiTheme="minorHAnsi"/>
          <w:highlight w:val="red"/>
        </w:rPr>
        <w:commentReference w:id="29"/>
      </w:r>
      <w:commentRangeEnd w:id="30"/>
      <w:r w:rsidR="004E7A80" w:rsidRPr="00E013BB">
        <w:rPr>
          <w:rStyle w:val="CommentReference"/>
          <w:rFonts w:ascii="Times New Roman" w:hAnsiTheme="minorHAnsi"/>
          <w:highlight w:val="red"/>
        </w:rPr>
        <w:commentReference w:id="30"/>
      </w:r>
      <w:r>
        <w:t>;</w:t>
      </w:r>
      <w:r w:rsidRPr="002C20EB">
        <w:rPr>
          <w:i/>
        </w:rPr>
        <w:t xml:space="preserve"> P</w:t>
      </w:r>
      <w:r>
        <w:t xml:space="preserve"> = 0.038, </w:t>
      </w:r>
      <w:r w:rsidRPr="002C20EB">
        <w:rPr>
          <w:i/>
        </w:rPr>
        <w:t>CLES</w:t>
      </w:r>
      <w:r>
        <w:t xml:space="preserve"> = 0.658).</w:t>
      </w:r>
    </w:p>
    <w:p w14:paraId="3BE0333B" w14:textId="1ED8411E" w:rsidR="002C32D6" w:rsidRPr="003F5B2B" w:rsidRDefault="002C32D6" w:rsidP="002C32D6">
      <w:pPr>
        <w:pStyle w:val="BodyText"/>
        <w:rPr>
          <w:i/>
        </w:rPr>
      </w:pPr>
      <w:r>
        <w:t>P</w:t>
      </w:r>
      <w:r w:rsidRPr="00D16E1A">
        <w:t>artition</w:t>
      </w:r>
      <w:r>
        <w:t>ing</w:t>
      </w:r>
      <w:r w:rsidRPr="00D16E1A">
        <w:t xml:space="preserve"> </w:t>
      </w:r>
      <w:r w:rsidRPr="00D16E1A">
        <w:rPr>
          <w:i/>
        </w:rPr>
        <w:t>S</w:t>
      </w:r>
      <w:r w:rsidRPr="00D16E1A">
        <w:rPr>
          <w:vertAlign w:val="subscript"/>
        </w:rPr>
        <w:t>HDS</w:t>
      </w:r>
      <w:r w:rsidRPr="00D16E1A">
        <w:t xml:space="preserve"> into its </w:t>
      </w:r>
      <w:r w:rsidRPr="009A6ABA">
        <w:rPr>
          <w:rFonts w:cstheme="majorBidi"/>
          <w:i/>
        </w:rPr>
        <w:t>α</w:t>
      </w:r>
      <w:r w:rsidRPr="00D16E1A">
        <w:t xml:space="preserve">- and </w:t>
      </w:r>
      <w:r w:rsidRPr="009A6ABA">
        <w:rPr>
          <w:rFonts w:cstheme="majorBidi"/>
          <w:i/>
        </w:rPr>
        <w:t>β</w:t>
      </w:r>
      <w:r w:rsidRPr="00D16E1A">
        <w:t>-components (</w:t>
      </w:r>
      <m:oMath>
        <m:bar>
          <m:barPr>
            <m:pos m:val="top"/>
            <m:ctrlPr>
              <w:rPr>
                <w:rFonts w:ascii="Cambria Math" w:hAnsi="Cambria Math"/>
              </w:rPr>
            </m:ctrlPr>
          </m:barPr>
          <m:e>
            <m:r>
              <w:rPr>
                <w:rFonts w:ascii="Cambria Math" w:hAnsi="Cambria Math"/>
              </w:rPr>
              <m:t>S</m:t>
            </m:r>
          </m:e>
        </m:bar>
      </m:oMath>
      <w:r w:rsidRPr="00D16E1A">
        <w:rPr>
          <w:vertAlign w:val="subscript"/>
        </w:rPr>
        <w:t>QDS</w:t>
      </w:r>
      <w:r w:rsidRPr="00D16E1A">
        <w:t xml:space="preserve"> and </w:t>
      </w:r>
      <w:r w:rsidRPr="00D16E1A">
        <w:rPr>
          <w:i/>
        </w:rPr>
        <w:t>T</w:t>
      </w:r>
      <w:r w:rsidRPr="00D16E1A">
        <w:rPr>
          <w:vertAlign w:val="subscript"/>
        </w:rPr>
        <w:t>QDS</w:t>
      </w:r>
      <w:r w:rsidRPr="00D16E1A">
        <w:t xml:space="preserve"> respectively</w:t>
      </w:r>
      <w:r>
        <w:t xml:space="preserve">; </w:t>
      </w:r>
      <w:r w:rsidRPr="00E013BB">
        <w:rPr>
          <w:highlight w:val="red"/>
        </w:rPr>
        <w:t>Figure 2c</w:t>
      </w:r>
      <w:r w:rsidRPr="00D16E1A">
        <w:t>)</w:t>
      </w:r>
      <w:r>
        <w:t>, we</w:t>
      </w:r>
      <w:r w:rsidRPr="00D16E1A">
        <w:t xml:space="preserve"> </w:t>
      </w:r>
      <w:r>
        <w:t>found</w:t>
      </w:r>
      <w:r w:rsidRPr="00D16E1A">
        <w:t xml:space="preserve"> </w:t>
      </w:r>
      <w:r>
        <w:t xml:space="preserve">that the proportional contribution of </w:t>
      </w:r>
      <w:r w:rsidRPr="00D16E1A">
        <w:t>floristic turnover</w:t>
      </w:r>
      <w:r>
        <w:t xml:space="preserve"> (i.e. </w:t>
      </w:r>
      <w:r w:rsidRPr="00D16E1A">
        <w:rPr>
          <w:i/>
        </w:rPr>
        <w:t>T</w:t>
      </w:r>
      <w:r w:rsidRPr="00D16E1A">
        <w:rPr>
          <w:vertAlign w:val="subscript"/>
        </w:rPr>
        <w:t>QDS</w:t>
      </w:r>
      <w:r>
        <w:t>/</w:t>
      </w:r>
      <w:r w:rsidRPr="00D16E1A">
        <w:rPr>
          <w:i/>
        </w:rPr>
        <w:t>S</w:t>
      </w:r>
      <w:r w:rsidRPr="00D16E1A">
        <w:rPr>
          <w:vertAlign w:val="subscript"/>
        </w:rPr>
        <w:t>HDS</w:t>
      </w:r>
      <w:r>
        <w:t xml:space="preserve">; </w:t>
      </w:r>
      <w:r w:rsidRPr="00E013BB">
        <w:rPr>
          <w:highlight w:val="red"/>
        </w:rPr>
        <w:t>Figure 2d</w:t>
      </w:r>
      <w:r>
        <w:t>) is greater in the</w:t>
      </w:r>
      <w:r w:rsidRPr="00D16E1A">
        <w:t xml:space="preserve"> GCFR </w:t>
      </w:r>
      <w:r>
        <w:t xml:space="preserve">(0.64) </w:t>
      </w:r>
      <w:r w:rsidRPr="00D16E1A">
        <w:t xml:space="preserve">than in the </w:t>
      </w:r>
      <w:r w:rsidRPr="00550A5A">
        <w:t>SWAFR (</w:t>
      </w:r>
      <w:r>
        <w:t>0.60) (two-sided Mann</w:t>
      </w:r>
      <w:r w:rsidRPr="000E5000">
        <w:t xml:space="preserve">-Whitney </w:t>
      </w:r>
      <w:r w:rsidRPr="000E5000">
        <w:rPr>
          <w:i/>
        </w:rPr>
        <w:t>U</w:t>
      </w:r>
      <w:r>
        <w:t xml:space="preserve"> </w:t>
      </w:r>
      <w:r w:rsidRPr="000E5000">
        <w:t>test</w:t>
      </w:r>
      <w:r>
        <w:t xml:space="preserve">, </w:t>
      </w:r>
      <w:r w:rsidRPr="002C20EB">
        <w:rPr>
          <w:i/>
        </w:rPr>
        <w:t>P</w:t>
      </w:r>
      <w:r>
        <w:t xml:space="preserve"> &lt; 0.001; </w:t>
      </w:r>
      <w:r w:rsidRPr="00017E2E">
        <w:rPr>
          <w:i/>
          <w:iCs/>
        </w:rPr>
        <w:t>CLES</w:t>
      </w:r>
      <w:r>
        <w:t xml:space="preserve"> = </w:t>
      </w:r>
      <w:r w:rsidRPr="00550A5A">
        <w:t>0.696</w:t>
      </w:r>
      <w:r>
        <w:t>). This is also the case at the DS-</w:t>
      </w:r>
      <w:r w:rsidRPr="00C5501E">
        <w:t>scale (</w:t>
      </w:r>
      <w:r w:rsidRPr="00E013BB">
        <w:rPr>
          <w:highlight w:val="red"/>
        </w:rPr>
        <w:t xml:space="preserve">Figure </w:t>
      </w:r>
      <w:r w:rsidR="00E013BB" w:rsidRPr="00E013BB">
        <w:rPr>
          <w:highlight w:val="red"/>
        </w:rPr>
        <w:t>2</w:t>
      </w:r>
      <w:r w:rsidR="00FE217D">
        <w:t xml:space="preserve">; </w:t>
      </w:r>
      <w:r w:rsidR="00CA131C" w:rsidRPr="00D16E1A">
        <w:rPr>
          <w:i/>
        </w:rPr>
        <w:t>T</w:t>
      </w:r>
      <w:r w:rsidR="00CA131C" w:rsidRPr="00D16E1A">
        <w:rPr>
          <w:vertAlign w:val="subscript"/>
        </w:rPr>
        <w:t>QDS</w:t>
      </w:r>
      <w:r w:rsidR="00CA131C">
        <w:t>/</w:t>
      </w:r>
      <w:r w:rsidR="00CA131C" w:rsidRPr="00D16E1A">
        <w:rPr>
          <w:i/>
        </w:rPr>
        <w:t>S</w:t>
      </w:r>
      <w:r w:rsidR="00CA131C" w:rsidRPr="00D16E1A">
        <w:rPr>
          <w:vertAlign w:val="subscript"/>
        </w:rPr>
        <w:t>HDS</w:t>
      </w:r>
      <w:r w:rsidR="001A29B8">
        <w:t>,</w:t>
      </w:r>
      <w:r w:rsidR="00CA131C">
        <w:t xml:space="preserve"> </w:t>
      </w:r>
      <w:r>
        <w:t>GCFR:</w:t>
      </w:r>
      <w:r w:rsidR="00CA131C" w:rsidRPr="00CA131C">
        <w:rPr>
          <w:i/>
        </w:rPr>
        <w:t xml:space="preserve"> </w:t>
      </w:r>
      <w:r w:rsidRPr="009070DE">
        <w:t>0.55</w:t>
      </w:r>
      <w:r>
        <w:t xml:space="preserve">, SWAFR: </w:t>
      </w:r>
      <w:r w:rsidRPr="009070DE">
        <w:t>0.48</w:t>
      </w:r>
      <w:r>
        <w:t>; two-sided Mann</w:t>
      </w:r>
      <w:r w:rsidRPr="000E5000">
        <w:t xml:space="preserve">-Whitney </w:t>
      </w:r>
      <w:r w:rsidRPr="000E5000">
        <w:rPr>
          <w:i/>
        </w:rPr>
        <w:t>U</w:t>
      </w:r>
      <w:r>
        <w:t xml:space="preserve"> </w:t>
      </w:r>
      <w:r w:rsidRPr="000E5000">
        <w:t>test</w:t>
      </w:r>
      <w:r>
        <w:t xml:space="preserve">, </w:t>
      </w:r>
      <w:r w:rsidRPr="00C5501E">
        <w:rPr>
          <w:i/>
        </w:rPr>
        <w:t>P</w:t>
      </w:r>
      <w:r w:rsidRPr="00C5501E">
        <w:t xml:space="preserve"> = 0.001, </w:t>
      </w:r>
      <w:r w:rsidRPr="00C5501E">
        <w:rPr>
          <w:i/>
        </w:rPr>
        <w:t>CLES</w:t>
      </w:r>
      <w:r w:rsidRPr="00C5501E">
        <w:t xml:space="preserve"> = 0.741</w:t>
      </w:r>
      <w:r w:rsidRPr="00007E6B">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68DBE43" w:rsidR="00AD4DCC" w:rsidRDefault="00AD1230" w:rsidP="008A4E97">
      <w:pPr>
        <w:pStyle w:val="FirstParagraph"/>
      </w:pPr>
      <w:r>
        <w:t xml:space="preserve">With a few exceptions (MAP, NDVI and CEC at the DS-scale; Figure 1b, e, 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(Fig</w:t>
      </w:r>
      <w:r w:rsidR="001640D1" w:rsidRPr="00916B93">
        <w:t>ure</w:t>
      </w:r>
      <w:r w:rsidR="0060601F" w:rsidRPr="00916B93">
        <w:t xml:space="preserve"> 1</w:t>
      </w:r>
      <w:r w:rsidR="00826383" w:rsidRPr="00916B93">
        <w:t>)</w:t>
      </w:r>
      <w:r w:rsidR="00A778BB" w:rsidRPr="00916B93">
        <w:t xml:space="preserve">. </w:t>
      </w:r>
      <w:r w:rsidR="00FA78DF" w:rsidRPr="00916B93">
        <w:t>The same was true for the major axis of heterogeneity described by PC1</w:t>
      </w:r>
      <w:r w:rsidR="00AF1477">
        <w:t xml:space="preserve"> (Figure </w:t>
      </w:r>
      <w:r w:rsidR="00EC0576">
        <w:t xml:space="preserve">1j; </w:t>
      </w:r>
      <w:r w:rsidR="00E32EE7">
        <w:t xml:space="preserve">Figure </w:t>
      </w:r>
      <w:r w:rsidR="00AF1477">
        <w:t>5c,</w:t>
      </w:r>
      <w:r w:rsidR="00E32EE7">
        <w:t xml:space="preserve"> </w:t>
      </w:r>
      <w:r w:rsidR="00AF1477">
        <w:t>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general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E67A7C" w:rsidRPr="009A6ABA">
        <w:rPr>
          <w:lang w:val="en-ZA"/>
        </w:rPr>
        <w:t>Figure 1a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E67A7C" w:rsidRPr="009A6ABA">
        <w:rPr>
          <w:lang w:val="en-ZA"/>
        </w:rPr>
        <w:t>Figure 1f</w:t>
      </w:r>
      <w:r w:rsidR="00E67A7C" w:rsidRPr="009A6ABA">
        <w:t>–</w:t>
      </w:r>
      <w:proofErr w:type="spellStart"/>
      <w:r w:rsidR="000962CB">
        <w:t>i</w:t>
      </w:r>
      <w:proofErr w:type="spellEnd"/>
      <w:r w:rsidR="00E67A7C" w:rsidRPr="009A6ABA">
        <w:t>)</w:t>
      </w:r>
      <w:r w:rsidR="00F3440B">
        <w:rPr>
          <w:lang w:val="en-ZA"/>
        </w:rPr>
        <w:t>.</w:t>
      </w:r>
    </w:p>
    <w:p w14:paraId="5FF97D42" w14:textId="32DFEAD9"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(Figure 1</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(Figure 1e,</w:t>
      </w:r>
      <w:r>
        <w:t xml:space="preserve"> </w:t>
      </w:r>
      <w:r w:rsidR="00BF546E">
        <w:t xml:space="preserv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(Figure 1</w:t>
      </w:r>
      <w:r w:rsidR="007755AC">
        <w:t>j</w:t>
      </w:r>
      <w:r w:rsidR="00633C2F">
        <w:t>)</w:t>
      </w:r>
      <w:r w:rsidR="000C5BB8">
        <w:t>.</w:t>
      </w:r>
    </w:p>
    <w:p w14:paraId="6A280C6C" w14:textId="3E44A148" w:rsidR="00D04776" w:rsidRPr="00FB7B57" w:rsidRDefault="00DD7307" w:rsidP="008A4E97">
      <w:pPr>
        <w:pStyle w:val="Heading2"/>
        <w:spacing w:line="240" w:lineRule="auto"/>
      </w:pPr>
      <w:r>
        <w:t>3.3</w:t>
      </w:r>
      <w:r w:rsidR="00F055C7">
        <w:t>:</w:t>
      </w:r>
      <w:r>
        <w:t xml:space="preserve"> </w:t>
      </w:r>
      <w:r w:rsidR="00D04776">
        <w:t>Environme</w:t>
      </w:r>
      <w:r w:rsidR="00D04776" w:rsidRPr="00FB7B57">
        <w:t>ntal heterogeneity as an explanation of species richness</w:t>
      </w:r>
    </w:p>
    <w:p w14:paraId="13E7AA58" w14:textId="7006884F" w:rsidR="009B180C" w:rsidRPr="00C47FAF" w:rsidRDefault="006B7A26">
      <w:pPr>
        <w:pStyle w:val="FirstParagraph"/>
        <w:rPr>
          <w:rFonts w:eastAsiaTheme="minorEastAsia" w:cstheme="majorBidi"/>
        </w:rPr>
      </w:pPr>
      <w:commentRangeStart w:id="31"/>
      <w:commentRangeStart w:id="32"/>
      <w:r>
        <w:t xml:space="preserve">The </w:t>
      </w:r>
      <w:r w:rsidR="00F554DF">
        <w:t xml:space="preserve">ANCOVA </w:t>
      </w:r>
      <w:r w:rsidR="002C7612">
        <w:t>results show</w:t>
      </w:r>
      <w:r w:rsidR="00F554DF">
        <w:t xml:space="preserve"> that </w:t>
      </w:r>
      <w:r w:rsidR="00F554DF">
        <w:rPr>
          <w:rFonts w:eastAsiaTheme="minorEastAsia"/>
        </w:rPr>
        <w:t>h</w:t>
      </w:r>
      <w:commentRangeEnd w:id="31"/>
      <w:r w:rsidR="0090296A">
        <w:rPr>
          <w:rStyle w:val="CommentReference"/>
          <w:rFonts w:ascii="Times New Roman" w:hAnsiTheme="minorHAnsi"/>
        </w:rPr>
        <w:commentReference w:id="31"/>
      </w:r>
      <w:commentRangeEnd w:id="32"/>
      <w:r w:rsidR="008A19FB">
        <w:rPr>
          <w:rStyle w:val="CommentReference"/>
          <w:rFonts w:ascii="Times New Roman" w:hAnsiTheme="minorHAnsi"/>
        </w:rPr>
        <w:commentReference w:id="32"/>
      </w:r>
      <w:r w:rsidR="00F554DF">
        <w:rPr>
          <w:rFonts w:eastAsiaTheme="minorEastAsia"/>
        </w:rPr>
        <w:t xml:space="preserve">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Table 2b, c; Figure 3b,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w:t>
      </w:r>
      <w:proofErr w:type="spellStart"/>
      <w:r w:rsidR="00D874F0">
        <w:rPr>
          <w:rFonts w:eastAsiaTheme="minorEastAsia" w:cstheme="majorBidi"/>
        </w:rPr>
        <w:t>favoured</w:t>
      </w:r>
      <w:proofErr w:type="spellEnd"/>
      <w:r w:rsidR="00D874F0">
        <w:rPr>
          <w:rFonts w:eastAsiaTheme="minorEastAsia" w:cstheme="majorBidi"/>
        </w:rPr>
        <w:t xml:space="preserve">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2a)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w:t>
      </w:r>
      <w:r w:rsidR="001A7D58">
        <w:rPr>
          <w:rFonts w:eastAsiaTheme="minorEastAsia" w:cstheme="majorBidi"/>
        </w:rPr>
        <w:lastRenderedPageBreak/>
        <w:t>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commentRangeStart w:id="33"/>
      <w:commentRangeStart w:id="34"/>
      <w:r w:rsidR="001A7D58" w:rsidRPr="0087034A">
        <w:rPr>
          <w:i/>
          <w:iCs/>
        </w:rPr>
        <w:t>SD</w:t>
      </w:r>
      <w:r w:rsidR="00827247">
        <w:rPr>
          <w:iCs/>
          <w:vertAlign w:val="subscript"/>
        </w:rPr>
        <w:t>GCFR</w:t>
      </w:r>
      <w:r w:rsidR="001A7D58">
        <w:t xml:space="preserve"> </w:t>
      </w:r>
      <w:commentRangeEnd w:id="33"/>
      <w:r w:rsidR="001A7D58">
        <w:rPr>
          <w:rStyle w:val="CommentReference"/>
          <w:rFonts w:ascii="Times New Roman" w:hAnsiTheme="minorHAnsi"/>
        </w:rPr>
        <w:commentReference w:id="33"/>
      </w:r>
      <w:commentRangeEnd w:id="34"/>
      <w:r w:rsidR="001A7D58">
        <w:rPr>
          <w:rStyle w:val="CommentReference"/>
          <w:rFonts w:ascii="Times New Roman" w:hAnsiTheme="minorHAnsi"/>
        </w:rPr>
        <w:commentReference w:id="34"/>
      </w:r>
      <w:r w:rsidR="001A7D58">
        <w:t xml:space="preserve">= </w:t>
      </w:r>
      <w:r w:rsidR="00827247">
        <w:t>335</w:t>
      </w:r>
      <w:r w:rsidR="001A7D58" w:rsidRPr="0087034A">
        <w:t>.</w:t>
      </w:r>
      <w:r w:rsidR="00827247">
        <w:t xml:space="preserve">2; </w:t>
      </w:r>
      <w:commentRangeStart w:id="35"/>
      <w:commentRangeStart w:id="36"/>
      <w:r w:rsidR="00827247" w:rsidRPr="0087034A">
        <w:rPr>
          <w:i/>
          <w:iCs/>
        </w:rPr>
        <w:t>SD</w:t>
      </w:r>
      <w:r w:rsidR="00827247">
        <w:rPr>
          <w:iCs/>
          <w:vertAlign w:val="subscript"/>
        </w:rPr>
        <w:t>SWAFR</w:t>
      </w:r>
      <w:r w:rsidR="00827247">
        <w:t xml:space="preserve"> </w:t>
      </w:r>
      <w:commentRangeEnd w:id="35"/>
      <w:r w:rsidR="00827247">
        <w:t>= 247.4</w:t>
      </w:r>
      <w:r w:rsidR="00827247">
        <w:rPr>
          <w:rStyle w:val="CommentReference"/>
          <w:rFonts w:ascii="Times New Roman" w:hAnsiTheme="minorHAnsi"/>
        </w:rPr>
        <w:commentReference w:id="35"/>
      </w:r>
      <w:commentRangeEnd w:id="36"/>
      <w:r w:rsidR="00827247">
        <w:rPr>
          <w:rStyle w:val="CommentReference"/>
          <w:rFonts w:ascii="Times New Roman" w:hAnsiTheme="minorHAnsi"/>
        </w:rPr>
        <w:commentReference w:id="36"/>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commentRangeStart w:id="37"/>
      <w:r w:rsidR="00B2312C" w:rsidRPr="00807C54">
        <w:rPr>
          <w:rFonts w:eastAsiaTheme="minorEastAsia" w:cstheme="majorBidi"/>
          <w:highlight w:val="yellow"/>
        </w:rPr>
        <w:t xml:space="preserve">see also SI. Figure </w:t>
      </w:r>
      <w:commentRangeStart w:id="38"/>
      <w:r w:rsidR="00B2312C" w:rsidRPr="00807C54">
        <w:rPr>
          <w:rFonts w:eastAsiaTheme="minorEastAsia" w:cstheme="majorBidi"/>
          <w:highlight w:val="yellow"/>
        </w:rPr>
        <w:t>A</w:t>
      </w:r>
      <w:commentRangeEnd w:id="38"/>
      <w:r w:rsidR="0090296A" w:rsidRPr="00807C54">
        <w:rPr>
          <w:rStyle w:val="CommentReference"/>
          <w:rFonts w:ascii="Times New Roman" w:hAnsiTheme="minorHAnsi"/>
          <w:highlight w:val="yellow"/>
        </w:rPr>
        <w:commentReference w:id="38"/>
      </w:r>
      <w:commentRangeEnd w:id="37"/>
      <w:r w:rsidR="000F6938">
        <w:rPr>
          <w:rStyle w:val="CommentReference"/>
          <w:rFonts w:ascii="Times New Roman" w:hAnsiTheme="minorHAnsi"/>
        </w:rPr>
        <w:commentReference w:id="37"/>
      </w:r>
      <w:r w:rsidR="00B2312C">
        <w:rPr>
          <w:rFonts w:eastAsiaTheme="minorEastAsia" w:cstheme="majorBidi"/>
        </w:rPr>
        <w:t>)</w:t>
      </w:r>
      <w:r w:rsidR="001A7D58">
        <w:rPr>
          <w:rFonts w:eastAsiaTheme="minorEastAsia" w:cstheme="majorBidi"/>
        </w:rPr>
        <w:t>.</w:t>
      </w:r>
    </w:p>
    <w:p w14:paraId="6B93ECCA" w14:textId="4C2A2BD8" w:rsidR="00FC1C62" w:rsidRDefault="00B930DF">
      <w:pPr>
        <w:pStyle w:val="FirstParagraph"/>
      </w:pPr>
      <w:r>
        <w:t xml:space="preserve">With the exception of pH at all spatial scales and elevation at the DS-scale, the partial </w:t>
      </w:r>
      <w:r w:rsidR="0064694B">
        <w:t xml:space="preserve">main </w:t>
      </w:r>
      <w:r>
        <w:t xml:space="preserve">effects of all heterogeneity predictors retained in the optimal multiple regression models </w:t>
      </w:r>
      <w:r w:rsidR="00350FE5">
        <w:t>a</w:t>
      </w:r>
      <w: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(Figure 4)</w:t>
      </w:r>
      <w:r w:rsidR="00350FE5">
        <w:t xml:space="preserve">. Moreover, where </w:t>
      </w:r>
      <w:r w:rsidR="0064694B">
        <w:t>these</w:t>
      </w:r>
      <w:r w:rsidR="00350FE5">
        <w:t xml:space="preserve"> </w:t>
      </w:r>
      <w:r w:rsidR="00230147">
        <w:t xml:space="preserve">partial </w:t>
      </w:r>
      <w:r w:rsidR="00350FE5">
        <w:t>effects are negative this is almost certainly due to collinearities of pH and elevation with the other variables retained in the model</w:t>
      </w:r>
      <w:r w:rsidR="008E779F">
        <w:t>s</w:t>
      </w:r>
      <w:r w:rsidR="0032574D">
        <w:t>, particularly MAP which has the greatest explanatory power in all models (</w:t>
      </w:r>
      <w:r w:rsidR="00D17FCB" w:rsidRPr="00D17FCB">
        <w:rPr>
          <w:highlight w:val="yellow"/>
        </w:rPr>
        <w:t>Table S2</w:t>
      </w:r>
      <w:r w:rsidR="0032574D">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(Fig</w:t>
      </w:r>
      <w:r w:rsidR="00CA688A">
        <w:t>ure 4)</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commentRangeStart w:id="39"/>
      <w:commentRangeStart w:id="40"/>
      <w:r w:rsidR="003E77D9" w:rsidRPr="0087034A">
        <w:rPr>
          <w:i/>
          <w:iCs/>
        </w:rPr>
        <w:t>SD</w:t>
      </w:r>
      <w:r w:rsidR="003E77D9">
        <w:rPr>
          <w:iCs/>
          <w:vertAlign w:val="subscript"/>
        </w:rPr>
        <w:t>GCFR</w:t>
      </w:r>
      <w:r w:rsidR="003E77D9">
        <w:t xml:space="preserve"> </w:t>
      </w:r>
      <w:commentRangeEnd w:id="39"/>
      <w:r w:rsidR="003E77D9">
        <w:rPr>
          <w:rStyle w:val="CommentReference"/>
          <w:rFonts w:ascii="Times New Roman" w:hAnsiTheme="minorHAnsi"/>
        </w:rPr>
        <w:commentReference w:id="39"/>
      </w:r>
      <w:commentRangeEnd w:id="40"/>
      <w:r w:rsidR="003E77D9">
        <w:rPr>
          <w:rStyle w:val="CommentReference"/>
          <w:rFonts w:ascii="Times New Roman" w:hAnsiTheme="minorHAnsi"/>
        </w:rPr>
        <w:commentReference w:id="40"/>
      </w:r>
      <w:r w:rsidR="003E77D9">
        <w:t xml:space="preserve">= 315.5; </w:t>
      </w:r>
      <w:r w:rsidR="003E77D9" w:rsidRPr="0087034A">
        <w:rPr>
          <w:i/>
          <w:iCs/>
        </w:rPr>
        <w:t>SD</w:t>
      </w:r>
      <w:r w:rsidR="003E77D9">
        <w:rPr>
          <w:iCs/>
          <w:vertAlign w:val="subscript"/>
        </w:rPr>
        <w:t>SWAFR</w:t>
      </w:r>
      <w:r w:rsidR="003E77D9">
        <w:t xml:space="preserve"> = 230.1; HDS: </w:t>
      </w:r>
      <w:commentRangeStart w:id="41"/>
      <w:commentRangeStart w:id="42"/>
      <w:r w:rsidR="003E77D9" w:rsidRPr="0087034A">
        <w:rPr>
          <w:i/>
          <w:iCs/>
        </w:rPr>
        <w:t>SD</w:t>
      </w:r>
      <w:r w:rsidR="003E77D9">
        <w:rPr>
          <w:iCs/>
          <w:vertAlign w:val="subscript"/>
        </w:rPr>
        <w:t>GCFR</w:t>
      </w:r>
      <w:r w:rsidR="003E77D9">
        <w:t xml:space="preserve"> </w:t>
      </w:r>
      <w:commentRangeEnd w:id="41"/>
      <w:r w:rsidR="003E77D9">
        <w:rPr>
          <w:rStyle w:val="CommentReference"/>
          <w:rFonts w:ascii="Times New Roman" w:hAnsiTheme="minorHAnsi"/>
        </w:rPr>
        <w:commentReference w:id="41"/>
      </w:r>
      <w:commentRangeEnd w:id="42"/>
      <w:r w:rsidR="003E77D9">
        <w:rPr>
          <w:rStyle w:val="CommentReference"/>
          <w:rFonts w:ascii="Times New Roman" w:hAnsiTheme="minorHAnsi"/>
        </w:rPr>
        <w:commentReference w:id="42"/>
      </w:r>
      <w:r w:rsidR="003E77D9">
        <w:t xml:space="preserve">=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commentRangeStart w:id="43"/>
      <w:commentRangeStart w:id="44"/>
      <w:r w:rsidR="00C96F57" w:rsidRPr="0087034A">
        <w:rPr>
          <w:i/>
          <w:iCs/>
        </w:rPr>
        <w:t>SD</w:t>
      </w:r>
      <w:r w:rsidR="00C96F57">
        <w:rPr>
          <w:iCs/>
          <w:vertAlign w:val="subscript"/>
        </w:rPr>
        <w:t>GCFR</w:t>
      </w:r>
      <w:r w:rsidR="00C96F57">
        <w:t xml:space="preserve"> </w:t>
      </w:r>
      <w:commentRangeEnd w:id="43"/>
      <w:r w:rsidR="00C96F57">
        <w:rPr>
          <w:rStyle w:val="CommentReference"/>
          <w:rFonts w:ascii="Times New Roman" w:hAnsiTheme="minorHAnsi"/>
        </w:rPr>
        <w:commentReference w:id="43"/>
      </w:r>
      <w:commentRangeEnd w:id="44"/>
      <w:r w:rsidR="00C96F57">
        <w:rPr>
          <w:rStyle w:val="CommentReference"/>
          <w:rFonts w:ascii="Times New Roman" w:hAnsiTheme="minorHAnsi"/>
        </w:rPr>
        <w:commentReference w:id="44"/>
      </w:r>
      <w:r w:rsidR="00C96F57">
        <w:t xml:space="preserve">= 638.4; </w:t>
      </w:r>
      <w:r w:rsidR="00C96F57" w:rsidRPr="0087034A">
        <w:rPr>
          <w:i/>
          <w:iCs/>
        </w:rPr>
        <w:t>SD</w:t>
      </w:r>
      <w:r w:rsidR="00C96F57">
        <w:rPr>
          <w:iCs/>
          <w:vertAlign w:val="subscript"/>
        </w:rPr>
        <w:t>SWAFR</w:t>
      </w:r>
      <w:r w:rsidR="00C96F57">
        <w:t xml:space="preserve"> = 353.9)</w:t>
      </w:r>
      <w:r w:rsidR="0032574D">
        <w:t xml:space="preserve">. </w:t>
      </w:r>
      <w:commentRangeStart w:id="45"/>
      <w:commentRangeStart w:id="46"/>
      <w:r w:rsidR="00C96F57">
        <w:t xml:space="preserve">Where the </w:t>
      </w:r>
      <w:r w:rsidR="00230147">
        <w:t xml:space="preserve">significant </w:t>
      </w:r>
      <w:r w:rsidR="00C96F57">
        <w:t>negative coefficients</w:t>
      </w:r>
      <w:r w:rsidR="00230147">
        <w:t xml:space="preserve"> associated with</w:t>
      </w:r>
      <w:r w:rsidR="00C96F57">
        <w:t xml:space="preserve"> surface T and clay heterogeneity </w:t>
      </w:r>
      <w:r w:rsidR="00230147">
        <w:t xml:space="preserve">imply that these variables </w:t>
      </w:r>
      <w:r w:rsidR="00C96F57">
        <w:t xml:space="preserve">exert a greater positive influence on species richness in the GCFR </w:t>
      </w:r>
      <w:r w:rsidR="00230147">
        <w:t>than</w:t>
      </w:r>
      <w:r w:rsidR="00C96F57">
        <w:t xml:space="preserve"> in the SWAFR, the positive coefficients </w:t>
      </w:r>
      <w:r w:rsidR="00230147">
        <w:t>associated with elevation and pH</w:t>
      </w:r>
      <w:r w:rsidR="00FC1C62">
        <w:t xml:space="preserve"> heterogeneity</w:t>
      </w:r>
      <w:r w:rsidR="00230147">
        <w:t xml:space="preserve"> have the effect of cancelling (in the SWAFR) the partial main effects of these variables, both of which are a consequence of collinearities. </w:t>
      </w:r>
      <w:commentRangeEnd w:id="45"/>
      <w:r w:rsidR="0090296A">
        <w:rPr>
          <w:rStyle w:val="CommentReference"/>
          <w:rFonts w:ascii="Times New Roman" w:hAnsiTheme="minorHAnsi"/>
        </w:rPr>
        <w:commentReference w:id="45"/>
      </w:r>
      <w:commentRangeEnd w:id="46"/>
      <w:r w:rsidR="00C30EFE">
        <w:rPr>
          <w:rStyle w:val="CommentReference"/>
          <w:rFonts w:ascii="Times New Roman" w:hAnsiTheme="minorHAnsi"/>
        </w:rPr>
        <w:commentReference w:id="46"/>
      </w:r>
    </w:p>
    <w:p w14:paraId="2C47BF37" w14:textId="186C100D" w:rsidR="00350FE5" w:rsidRDefault="00E81245">
      <w:pPr>
        <w:pStyle w:val="FirstParagraph"/>
      </w:pPr>
      <w:r>
        <w:t>That the coefficients of determi</w:t>
      </w:r>
      <w:r w:rsidR="006F4CB8">
        <w:t>nation associated with the opti</w:t>
      </w:r>
      <w:r>
        <w:t>mum regression models</w:t>
      </w:r>
      <w:r w:rsidR="006F4CB8">
        <w:t xml:space="preserve"> (</w:t>
      </w:r>
      <w:commentRangeStart w:id="47"/>
      <w:commentRangeStart w:id="48"/>
      <w:r w:rsidR="006F4CB8">
        <w:t>Figure 4</w:t>
      </w:r>
      <w:commentRangeEnd w:id="47"/>
      <w:r w:rsidR="00103D7E">
        <w:rPr>
          <w:rStyle w:val="CommentReference"/>
          <w:rFonts w:ascii="Times New Roman" w:hAnsiTheme="minorHAnsi"/>
        </w:rPr>
        <w:commentReference w:id="47"/>
      </w:r>
      <w:commentRangeEnd w:id="48"/>
      <w:r w:rsidR="00EF443E">
        <w:rPr>
          <w:rStyle w:val="CommentReference"/>
          <w:rFonts w:ascii="Times New Roman" w:hAnsiTheme="minorHAnsi"/>
        </w:rPr>
        <w:commentReference w:id="48"/>
      </w:r>
      <w:r w:rsidR="00BA3932">
        <w:t xml:space="preserve">: </w:t>
      </w:r>
      <w:r w:rsidR="00BA3932" w:rsidRPr="00095788">
        <w:rPr>
          <w:i/>
          <w:iCs/>
        </w:rPr>
        <w:t>R</w:t>
      </w:r>
      <w:r w:rsidR="00BA3932">
        <w:softHyphen/>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(Figure 3</w:t>
      </w:r>
      <w:r w:rsidR="00BA3932">
        <w:t xml:space="preserve">: </w:t>
      </w:r>
      <w:r w:rsidR="00BA3932" w:rsidRPr="00095788">
        <w:rPr>
          <w:i/>
          <w:iCs/>
        </w:rPr>
        <w:t>R</w:t>
      </w:r>
      <w:r w:rsidR="00BA3932">
        <w:softHyphen/>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47E18C2C" w:rsidR="00D06C06"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(Figure 5; Suppl. Figure ***)</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w:t>
      </w:r>
      <w:proofErr w:type="spellStart"/>
      <w:r w:rsidR="006B0D68">
        <w:t>Kogelberg</w:t>
      </w:r>
      <w:proofErr w:type="spellEnd"/>
      <w:r w:rsidR="006B0D68">
        <w:t>-Hottentots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ANCOVA and multiple regression</w:t>
      </w:r>
      <w:r w:rsidR="00301369">
        <w:t>s</w:t>
      </w:r>
      <w:r w:rsidR="003047D0">
        <w:t xml:space="preserve"> 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664EED">
        <w:t xml:space="preserve"> (</w:t>
      </w:r>
      <w:r w:rsidR="008374CE" w:rsidRPr="008374CE">
        <w:rPr>
          <w:highlight w:val="yellow"/>
        </w:rPr>
        <w:t>SI</w:t>
      </w:r>
      <w:r w:rsidR="00664EED">
        <w:t>)</w:t>
      </w:r>
      <w:r w:rsidR="003047D0">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5C1D97A0" w:rsidR="001E1442" w:rsidRDefault="006A4B08" w:rsidP="002C20EB">
      <w:pPr>
        <w:pStyle w:val="BodyText"/>
        <w:tabs>
          <w:tab w:val="left" w:pos="6189"/>
        </w:tabs>
      </w:pPr>
      <w:bookmarkStart w:id="49" w:name="tables"/>
      <w:r>
        <w:t>Consistent with a recent meta-analysis identifying environmental heterogeneity as a universal driver of species richness</w:t>
      </w:r>
      <w:r w:rsidR="00925DAC">
        <w:t xml:space="preserve"> (Stein et al. 2014)</w:t>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lastRenderedPageBreak/>
        <w:t>coefficient</w:t>
      </w:r>
      <w:r w:rsidR="006435FF">
        <w:t>s of pH and elevation</w:t>
      </w:r>
      <w:r w:rsidR="00D839BD" w:rsidRPr="00D839BD">
        <w:t xml:space="preserve"> </w:t>
      </w:r>
      <w:r w:rsidR="00D839BD">
        <w:t>in the multiple regressions</w:t>
      </w:r>
      <w:r w:rsidR="006435FF">
        <w:t xml:space="preserve">, which </w:t>
      </w:r>
      <w:r w:rsidR="00DB42AF">
        <w:t>a</w:t>
      </w:r>
      <w:r w:rsidR="006435FF">
        <w:t xml:space="preserve">re negative on account of their collinearity with other variables,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proofErr w:type="spellStart"/>
      <w:r w:rsidR="007A7C1E">
        <w:t>Allouche</w:t>
      </w:r>
      <w:proofErr w:type="spellEnd"/>
      <w:r w:rsidR="007A7C1E">
        <w:t xml:space="preserve"> et al. 2012; </w:t>
      </w:r>
      <w:proofErr w:type="spellStart"/>
      <w:r w:rsidR="007A7C1E">
        <w:t>Carnicer</w:t>
      </w:r>
      <w:proofErr w:type="spellEnd"/>
      <w:r w:rsidR="007A7C1E">
        <w:t xml:space="preserve"> et al. 2013)</w:t>
      </w:r>
      <w:r w:rsidR="00004BFE">
        <w:t xml:space="preserve">. </w:t>
      </w:r>
      <w:r w:rsidR="002376C5">
        <w:t xml:space="preserve">Additionally, and </w:t>
      </w:r>
      <w:r w:rsidR="00670FB5">
        <w:t xml:space="preserve">also </w:t>
      </w:r>
      <w:r w:rsidR="00D13C71">
        <w:t>consistent with Stein et al. (2014),</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proofErr w:type="spellStart"/>
      <w:r w:rsidR="001F0A16">
        <w:t>Wuest</w:t>
      </w:r>
      <w:proofErr w:type="spellEnd"/>
      <w:r w:rsidR="001F0A16">
        <w:t xml:space="preserve"> et al. 2019), </w:t>
      </w:r>
      <w:r w:rsidR="00485517">
        <w:t>and so facilitate stronger heterogeneity-species richness relationships (</w:t>
      </w:r>
      <w:r w:rsidR="000F6938">
        <w:t>V</w:t>
      </w:r>
      <w:r w:rsidR="00485517">
        <w:t>an Rensburg et al. 2002)</w:t>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spatial scale of speciation (Stein et al. 2014)</w:t>
      </w:r>
      <w:r w:rsidR="00D839BD">
        <w:t xml:space="preserve">, </w:t>
      </w:r>
      <w:commentRangeStart w:id="50"/>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commentRangeEnd w:id="50"/>
      <w:r w:rsidR="00A57067">
        <w:rPr>
          <w:rStyle w:val="CommentReference"/>
          <w:rFonts w:ascii="Times New Roman" w:hAnsiTheme="minorHAnsi"/>
        </w:rPr>
        <w:commentReference w:id="50"/>
      </w:r>
    </w:p>
    <w:p w14:paraId="3B792383" w14:textId="400E278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Cowling et al. (2015) 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 xml:space="preserve">In addition, the greater heterogeneity of the GCFR might facilitate denser species packing, through the provision of greater niche diversity, at a range of scales (refs).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 (Linder 2019).</w:t>
      </w:r>
    </w:p>
    <w:p w14:paraId="2B259CB7" w14:textId="4F031E4F"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FD7934">
        <w:t>Cramer et al. (2019),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F06213">
        <w:t>(</w:t>
      </w:r>
      <w:proofErr w:type="spellStart"/>
      <w:r w:rsidR="008D30F0">
        <w:t>Figueiredo</w:t>
      </w:r>
      <w:proofErr w:type="spellEnd"/>
      <w:r w:rsidR="008D30F0">
        <w:t xml:space="preserve"> et al. 2018</w:t>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120FD9">
        <w:t xml:space="preserve"> (Born and Linder 2019)</w:t>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 (Hopper and </w:t>
      </w:r>
      <w:proofErr w:type="spellStart"/>
      <w:r w:rsidR="00996D75">
        <w:t>Gioia</w:t>
      </w:r>
      <w:proofErr w:type="spellEnd"/>
      <w:r w:rsidR="00996D75">
        <w:t xml:space="preserve"> 2004).</w:t>
      </w:r>
    </w:p>
    <w:p w14:paraId="67982DFE" w14:textId="65FC132A" w:rsidR="00CF6AF3" w:rsidRDefault="00DE487A" w:rsidP="00E3070E">
      <w:pPr>
        <w:pStyle w:val="BodyText"/>
        <w:tabs>
          <w:tab w:val="left" w:pos="6189"/>
        </w:tabs>
      </w:pPr>
      <w:r>
        <w:lastRenderedPageBreak/>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873A2C">
        <w:t xml:space="preserve">Currie 1991; Hawkins et al. 2003; </w:t>
      </w:r>
      <w:proofErr w:type="spellStart"/>
      <w:r w:rsidR="00873A2C">
        <w:t>Kreft</w:t>
      </w:r>
      <w:proofErr w:type="spellEnd"/>
      <w:r w:rsidR="00873A2C">
        <w:t xml:space="preserve"> and </w:t>
      </w:r>
      <w:proofErr w:type="spellStart"/>
      <w:r w:rsidR="00873A2C">
        <w:t>Jetz</w:t>
      </w:r>
      <w:proofErr w:type="spellEnd"/>
      <w:r w:rsidR="00873A2C">
        <w:t xml:space="preserve"> 2008</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CF6AF3" w:rsidRPr="00CC1848">
        <w:rPr>
          <w:highlight w:val="yellow"/>
        </w:rPr>
        <w:t>.</w:t>
      </w:r>
    </w:p>
    <w:p w14:paraId="0610530F" w14:textId="341713CC"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(Gotelli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Colwell, 2001) or coverage-based rarefaction techniques (Chao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Jost, 2012) </w:t>
      </w:r>
      <w:r w:rsidR="00E823D6">
        <w:t xml:space="preserve">to correct for </w:t>
      </w:r>
      <w:r w:rsidR="002D35E5">
        <w:t xml:space="preserve">variable </w:t>
      </w:r>
      <w:r w:rsidR="00E823D6">
        <w:t>collection effort</w:t>
      </w:r>
      <w:r w:rsidR="002D35E5">
        <w:t xml:space="preserve"> (</w:t>
      </w:r>
      <w:r w:rsidR="00375621" w:rsidRPr="003C5ACF">
        <w:rPr>
          <w:rFonts w:ascii="Times New Roman" w:hAnsi="Times New Roman" w:cs="Times New Roman"/>
          <w:noProof/>
          <w:lang w:val="en-GB"/>
        </w:rPr>
        <w:t>Engemann et al., 2015</w:t>
      </w:r>
      <w:r w:rsidR="002D35E5">
        <w:t>)</w:t>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(Cramer and </w:t>
      </w:r>
      <w:proofErr w:type="spellStart"/>
      <w:r w:rsidR="002D35E5">
        <w:t>Verboom</w:t>
      </w:r>
      <w:proofErr w:type="spellEnd"/>
      <w:r w:rsidR="00D6081B">
        <w:t>,</w:t>
      </w:r>
      <w:r w:rsidR="002D35E5">
        <w:t xml:space="preserve"> </w:t>
      </w:r>
      <w:commentRangeStart w:id="51"/>
      <w:r w:rsidR="002D35E5">
        <w:t>2017</w:t>
      </w:r>
      <w:commentRangeEnd w:id="51"/>
      <w:r w:rsidR="00AD171B">
        <w:rPr>
          <w:rStyle w:val="CommentReference"/>
          <w:rFonts w:ascii="Times New Roman" w:hAnsiTheme="minorHAnsi"/>
        </w:rPr>
        <w:commentReference w:id="51"/>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2F32A1">
        <w:t xml:space="preserve">Cramer and </w:t>
      </w:r>
      <w:proofErr w:type="spellStart"/>
      <w:r w:rsidR="002F32A1">
        <w:t>Verboom</w:t>
      </w:r>
      <w:proofErr w:type="spellEnd"/>
      <w:r w:rsidR="002F32A1">
        <w:t xml:space="preserve"> (2017)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 xml:space="preserve">; </w:t>
      </w:r>
      <w:proofErr w:type="spellStart"/>
      <w:r w:rsidR="00375621" w:rsidRPr="003C5ACF">
        <w:rPr>
          <w:rFonts w:ascii="Times New Roman" w:hAnsi="Times New Roman" w:cs="Times New Roman"/>
          <w:lang w:val="en-GB"/>
        </w:rPr>
        <w:t>Rebelo</w:t>
      </w:r>
      <w:proofErr w:type="spellEnd"/>
      <w:r w:rsidR="00375621" w:rsidRPr="003C5ACF">
        <w:rPr>
          <w:rFonts w:ascii="Times New Roman" w:hAnsi="Times New Roman" w:cs="Times New Roman"/>
          <w:lang w:val="en-GB"/>
        </w:rPr>
        <w:t>, 200</w:t>
      </w:r>
      <w:r w:rsidR="00375621">
        <w:rPr>
          <w:rFonts w:ascii="Times New Roman" w:hAnsi="Times New Roman" w:cs="Times New Roman"/>
          <w:lang w:val="en-GB"/>
        </w:rPr>
        <w:t>1</w:t>
      </w:r>
      <w:r w:rsidR="00375621" w:rsidRPr="003C5ACF">
        <w:rPr>
          <w:rFonts w:ascii="Times New Roman" w:hAnsi="Times New Roman" w:cs="Times New Roman"/>
          <w:lang w:val="en-GB"/>
        </w:rPr>
        <w:t>)</w:t>
      </w:r>
      <w:r w:rsidR="002F32A1">
        <w:rPr>
          <w:rFonts w:ascii="Times New Roman" w:hAnsi="Times New Roman" w:cs="Times New Roman"/>
          <w:lang w:val="en-GB"/>
        </w:rPr>
        <w:t xml:space="preserve"> with low collecting bias (</w:t>
      </w:r>
      <w:proofErr w:type="spellStart"/>
      <w:r w:rsidR="002F32A1">
        <w:rPr>
          <w:rFonts w:ascii="Times New Roman" w:hAnsi="Times New Roman" w:cs="Times New Roman"/>
          <w:lang w:val="en-GB"/>
        </w:rPr>
        <w:t>Merow</w:t>
      </w:r>
      <w:proofErr w:type="spellEnd"/>
      <w:r w:rsidR="002F32A1">
        <w:rPr>
          <w:rFonts w:ascii="Times New Roman" w:hAnsi="Times New Roman" w:cs="Times New Roman"/>
          <w:lang w:val="en-GB"/>
        </w:rPr>
        <w:t xml:space="preserve"> et al 2013). </w:t>
      </w:r>
    </w:p>
    <w:p w14:paraId="73FD09B2" w14:textId="115A9687"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Oliver et al. 1983; </w:t>
      </w:r>
      <w:proofErr w:type="spellStart"/>
      <w:r w:rsidR="0092446E">
        <w:t>Gioia</w:t>
      </w:r>
      <w:proofErr w:type="spellEnd"/>
      <w:r w:rsidR="0092446E">
        <w:t xml:space="preserve"> and Hopper 2017)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Pr>
          <w:i/>
        </w:rPr>
        <w:t>sensu</w:t>
      </w:r>
      <w:proofErr w:type="spellEnd"/>
      <w:r w:rsidR="00422E7C">
        <w:t xml:space="preserve"> Goldblatt 1978),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(Cowling and Lombard 2002; Cowling et al. 2017)</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B1888">
        <w:t>(</w:t>
      </w:r>
      <w:proofErr w:type="spellStart"/>
      <w:r w:rsidR="00D279AB">
        <w:t>Wuest</w:t>
      </w:r>
      <w:proofErr w:type="spellEnd"/>
      <w:r w:rsidR="00D279AB">
        <w:t xml:space="preserve"> et al. 2019; Linder 2019).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(Meadows and </w:t>
      </w:r>
      <w:proofErr w:type="spellStart"/>
      <w:r w:rsidR="008E7CC7">
        <w:t>Sugden</w:t>
      </w:r>
      <w:proofErr w:type="spellEnd"/>
      <w:r w:rsidR="008E7CC7">
        <w:t xml:space="preserve"> 1991, 1993; Meadows et al. 2010).</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(Byrne and Hines 2004; Byrne 2008)</w:t>
      </w:r>
      <w:r w:rsidR="00865292">
        <w:t xml:space="preserve">, the </w:t>
      </w:r>
      <w:r w:rsidR="0084063D">
        <w:t>exact posi</w:t>
      </w:r>
      <w:r w:rsidR="005143E0">
        <w:t xml:space="preserve">tion of putative refugia </w:t>
      </w:r>
      <w:r w:rsidR="00A44F62">
        <w:t xml:space="preserve">in the </w:t>
      </w:r>
      <w:r w:rsidR="00A44F62">
        <w:lastRenderedPageBreak/>
        <w:t xml:space="preserve">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4A61A21C"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(McLaughlin et al. (2017)</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(Cowling and Lombard 2002; </w:t>
      </w:r>
      <w:proofErr w:type="spellStart"/>
      <w:r w:rsidR="006A1997">
        <w:t>Verboom</w:t>
      </w:r>
      <w:proofErr w:type="spellEnd"/>
      <w:r w:rsidR="006A1997">
        <w:t xml:space="preserve"> et al. 2014; Cowling et al. 2017),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 xml:space="preserve">towards the second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(Linder 2019),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proofErr w:type="spellStart"/>
      <w:r w:rsidR="00C250BB">
        <w:t>Slingsby</w:t>
      </w:r>
      <w:proofErr w:type="spellEnd"/>
      <w:r w:rsidR="00C250BB">
        <w:t xml:space="preserve"> et al. </w:t>
      </w:r>
      <w:commentRangeStart w:id="52"/>
      <w:r w:rsidR="00C250BB">
        <w:t>2018</w:t>
      </w:r>
      <w:commentRangeEnd w:id="52"/>
      <w:r w:rsidR="00D72F4D">
        <w:rPr>
          <w:rStyle w:val="CommentReference"/>
          <w:rFonts w:ascii="Times New Roman" w:hAnsiTheme="minorHAnsi"/>
        </w:rPr>
        <w:commentReference w:id="52"/>
      </w:r>
      <w:r w:rsidR="00C250BB">
        <w:t>)</w:t>
      </w:r>
      <w:r w:rsidR="003E5F41">
        <w:t>.</w:t>
      </w:r>
      <w:r w:rsidR="00461C06">
        <w:t xml:space="preserve"> The long-term integrity of groundwater-dependent terrestrial vegetation is similarly threatened by </w:t>
      </w:r>
      <w:r w:rsidR="00D51B17">
        <w:t>groundwater abstraction in the Perth area of the SWAFR (</w:t>
      </w:r>
      <w:proofErr w:type="spellStart"/>
      <w:r w:rsidR="00D51B17">
        <w:t>Froend</w:t>
      </w:r>
      <w:proofErr w:type="spellEnd"/>
      <w:r w:rsidR="00D51B17">
        <w:t xml:space="preserve"> and Sommer 2010; Barron et al. 2014).</w:t>
      </w:r>
    </w:p>
    <w:p w14:paraId="73EE69CB" w14:textId="16B0AF23"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 (</w:t>
      </w:r>
      <w:proofErr w:type="spellStart"/>
      <w:r w:rsidR="00AB7C3A">
        <w:rPr>
          <w:sz w:val="24"/>
          <w:szCs w:val="24"/>
        </w:rPr>
        <w:t>Kreft</w:t>
      </w:r>
      <w:proofErr w:type="spellEnd"/>
      <w:r w:rsidR="00AB7C3A">
        <w:rPr>
          <w:sz w:val="24"/>
          <w:szCs w:val="24"/>
        </w:rPr>
        <w:t xml:space="preserve"> and </w:t>
      </w:r>
      <w:proofErr w:type="spellStart"/>
      <w:r w:rsidR="00AB7C3A">
        <w:rPr>
          <w:sz w:val="24"/>
          <w:szCs w:val="24"/>
        </w:rPr>
        <w:t>Jetz</w:t>
      </w:r>
      <w:proofErr w:type="spellEnd"/>
      <w:r w:rsidR="00AB7C3A">
        <w:rPr>
          <w:sz w:val="24"/>
          <w:szCs w:val="24"/>
        </w:rPr>
        <w:t xml:space="preserve"> 2008),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711CBD">
        <w:rPr>
          <w:sz w:val="24"/>
          <w:szCs w:val="24"/>
        </w:rPr>
        <w:t>(</w:t>
      </w:r>
      <w:r w:rsidR="005C122F">
        <w:rPr>
          <w:sz w:val="24"/>
          <w:szCs w:val="24"/>
        </w:rPr>
        <w:t>Cowling et al. 2015)</w:t>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49"/>
    </w:p>
    <w:p w14:paraId="71033F34" w14:textId="08072B34" w:rsidR="00146F57" w:rsidRDefault="00D04776" w:rsidP="002C20EB">
      <w:pPr>
        <w:spacing w:after="0"/>
      </w:pPr>
      <w:r w:rsidRPr="00643806">
        <w:rPr>
          <w:b/>
        </w:rPr>
        <w:t>Table 2:</w:t>
      </w:r>
      <w:r w:rsidRPr="00FE718A">
        <w:t xml:space="preserve"> </w:t>
      </w:r>
      <w:r w:rsidR="00F75284">
        <w:t>Signs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A5C22">
        <w:trPr>
          <w:trHeight w:val="20"/>
        </w:trPr>
        <w:tc>
          <w:tcPr>
            <w:tcW w:w="1134" w:type="dxa"/>
            <w:tcBorders>
              <w:top w:val="single" w:sz="4" w:space="0" w:color="auto"/>
              <w:bottom w:val="single" w:sz="2" w:space="0" w:color="auto"/>
            </w:tcBorders>
            <w:vAlign w:val="bottom"/>
          </w:tcPr>
          <w:p w14:paraId="62EBEFAF" w14:textId="77777777" w:rsidR="00750943" w:rsidRPr="00840830" w:rsidRDefault="00750943" w:rsidP="0018462C">
            <w:pPr>
              <w:pStyle w:val="Compact"/>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18462C">
            <w:pPr>
              <w:pStyle w:val="Compact"/>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18462C">
            <w:pPr>
              <w:pStyle w:val="Compact"/>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8041FB">
            <w:pPr>
              <w:pStyle w:val="Compact"/>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8041FB">
            <w:pPr>
              <w:pStyle w:val="Compact"/>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750943">
            <w:pPr>
              <w:pStyle w:val="Compact"/>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A5C22">
        <w:trPr>
          <w:trHeight w:val="20"/>
        </w:trPr>
        <w:tc>
          <w:tcPr>
            <w:tcW w:w="1134" w:type="dxa"/>
            <w:tcBorders>
              <w:top w:val="single" w:sz="4" w:space="0" w:color="auto"/>
            </w:tcBorders>
          </w:tcPr>
          <w:p w14:paraId="7FDF71C7" w14:textId="65BB2C33" w:rsidR="00D51F88" w:rsidRPr="00840830" w:rsidRDefault="00D51F88" w:rsidP="00D51F88">
            <w:pPr>
              <w:pStyle w:val="Compact"/>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D51F88">
            <w:pPr>
              <w:pStyle w:val="Compact"/>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D51F88">
            <w:pPr>
              <w:pStyle w:val="Compact"/>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pPr>
              <w:pStyle w:val="Compact"/>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D51F88">
            <w:pPr>
              <w:pStyle w:val="Compact"/>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D51F88">
            <w:pPr>
              <w:pStyle w:val="Compact"/>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D51F88">
            <w:pPr>
              <w:pStyle w:val="Compact"/>
              <w:rPr>
                <w:rFonts w:ascii="Times New Roman" w:hAnsi="Times New Roman" w:cs="Times New Roman"/>
                <w:sz w:val="22"/>
                <w:szCs w:val="22"/>
              </w:rPr>
            </w:pPr>
            <w:r w:rsidRPr="00840830">
              <w:rPr>
                <w:sz w:val="22"/>
                <w:szCs w:val="22"/>
              </w:rPr>
              <w:t>***</w:t>
            </w:r>
          </w:p>
        </w:tc>
      </w:tr>
      <w:tr w:rsidR="00D51F88" w:rsidRPr="00840830" w14:paraId="7933C511" w14:textId="0C98D100" w:rsidTr="009A5C22">
        <w:trPr>
          <w:trHeight w:val="20"/>
        </w:trPr>
        <w:tc>
          <w:tcPr>
            <w:tcW w:w="1134" w:type="dxa"/>
          </w:tcPr>
          <w:p w14:paraId="0FFC9D5B" w14:textId="77777777" w:rsidR="00D51F88" w:rsidRPr="00840830" w:rsidRDefault="00D51F88" w:rsidP="00D51F88">
            <w:pPr>
              <w:pStyle w:val="Compact"/>
              <w:rPr>
                <w:rFonts w:ascii="Times New Roman" w:hAnsi="Times New Roman" w:cs="Times New Roman"/>
                <w:sz w:val="22"/>
                <w:szCs w:val="22"/>
              </w:rPr>
            </w:pPr>
          </w:p>
        </w:tc>
        <w:tc>
          <w:tcPr>
            <w:tcW w:w="2268" w:type="dxa"/>
          </w:tcPr>
          <w:p w14:paraId="692D782F" w14:textId="5A935545"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D51F88">
            <w:pPr>
              <w:pStyle w:val="Compact"/>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D51F88">
            <w:pPr>
              <w:pStyle w:val="Compact"/>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D51F88">
            <w:pPr>
              <w:pStyle w:val="Compact"/>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D51F88">
            <w:pPr>
              <w:pStyle w:val="Compact"/>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D51F88">
            <w:pPr>
              <w:pStyle w:val="Compact"/>
              <w:rPr>
                <w:rFonts w:ascii="Times New Roman" w:hAnsi="Times New Roman" w:cs="Times New Roman"/>
                <w:sz w:val="22"/>
                <w:szCs w:val="22"/>
              </w:rPr>
            </w:pPr>
            <w:r w:rsidRPr="00840830">
              <w:rPr>
                <w:sz w:val="22"/>
                <w:szCs w:val="22"/>
              </w:rPr>
              <w:t>***</w:t>
            </w:r>
          </w:p>
        </w:tc>
      </w:tr>
      <w:tr w:rsidR="00D51F88" w:rsidRPr="00840830" w14:paraId="791B7B7E" w14:textId="759D253E" w:rsidTr="009A5C22">
        <w:trPr>
          <w:trHeight w:val="20"/>
        </w:trPr>
        <w:tc>
          <w:tcPr>
            <w:tcW w:w="1134" w:type="dxa"/>
          </w:tcPr>
          <w:p w14:paraId="521C1AFB" w14:textId="77777777" w:rsidR="00D51F88" w:rsidRPr="00840830" w:rsidRDefault="00D51F88" w:rsidP="00D51F88">
            <w:pPr>
              <w:pStyle w:val="Compact"/>
              <w:rPr>
                <w:rFonts w:ascii="Times New Roman" w:hAnsi="Times New Roman" w:cs="Times New Roman"/>
                <w:sz w:val="22"/>
                <w:szCs w:val="22"/>
              </w:rPr>
            </w:pPr>
          </w:p>
        </w:tc>
        <w:tc>
          <w:tcPr>
            <w:tcW w:w="2268" w:type="dxa"/>
          </w:tcPr>
          <w:p w14:paraId="1B43E820" w14:textId="1E144F7B"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D51F88">
            <w:pPr>
              <w:pStyle w:val="Compact"/>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D51F88">
            <w:pPr>
              <w:pStyle w:val="Compact"/>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D51F88">
            <w:pPr>
              <w:pStyle w:val="Compact"/>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D51F88">
            <w:pPr>
              <w:pStyle w:val="Compact"/>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D51F88">
            <w:pPr>
              <w:pStyle w:val="Compact"/>
              <w:rPr>
                <w:rFonts w:ascii="Times New Roman" w:hAnsi="Times New Roman" w:cs="Times New Roman"/>
                <w:sz w:val="22"/>
                <w:szCs w:val="22"/>
              </w:rPr>
            </w:pPr>
            <w:r w:rsidRPr="00840830">
              <w:rPr>
                <w:sz w:val="22"/>
                <w:szCs w:val="22"/>
              </w:rPr>
              <w:t>**</w:t>
            </w:r>
          </w:p>
        </w:tc>
      </w:tr>
      <w:tr w:rsidR="00D51F88" w:rsidRPr="00840830" w14:paraId="3395C1A3" w14:textId="351C6C7E" w:rsidTr="009A5C22">
        <w:trPr>
          <w:trHeight w:val="20"/>
        </w:trPr>
        <w:tc>
          <w:tcPr>
            <w:tcW w:w="1134" w:type="dxa"/>
          </w:tcPr>
          <w:p w14:paraId="2E5D80CB" w14:textId="77777777" w:rsidR="00D51F88" w:rsidRPr="00840830" w:rsidRDefault="00D51F88" w:rsidP="00D51F88">
            <w:pPr>
              <w:pStyle w:val="Compact"/>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D51F88">
            <w:pPr>
              <w:pStyle w:val="Compact"/>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D51F88">
            <w:pPr>
              <w:pStyle w:val="Compact"/>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D51F88">
            <w:pPr>
              <w:pStyle w:val="Compact"/>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D51F88">
            <w:pPr>
              <w:pStyle w:val="Compact"/>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D51F88">
            <w:pPr>
              <w:pStyle w:val="Compact"/>
              <w:rPr>
                <w:rFonts w:ascii="Times New Roman" w:hAnsi="Times New Roman" w:cs="Times New Roman"/>
                <w:sz w:val="22"/>
                <w:szCs w:val="22"/>
              </w:rPr>
            </w:pPr>
            <w:r w:rsidRPr="00840830">
              <w:rPr>
                <w:sz w:val="22"/>
                <w:szCs w:val="22"/>
              </w:rPr>
              <w:t>*</w:t>
            </w:r>
          </w:p>
        </w:tc>
      </w:tr>
      <w:tr w:rsidR="00750943" w:rsidRPr="00840830" w14:paraId="4503C606" w14:textId="6E6034DE" w:rsidTr="009A5C22">
        <w:trPr>
          <w:trHeight w:val="20"/>
        </w:trPr>
        <w:tc>
          <w:tcPr>
            <w:tcW w:w="1134" w:type="dxa"/>
          </w:tcPr>
          <w:p w14:paraId="13326302" w14:textId="77777777" w:rsidR="00750943" w:rsidRPr="00840830" w:rsidRDefault="00750943" w:rsidP="00750943">
            <w:pPr>
              <w:pStyle w:val="Compact"/>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750943">
            <w:pPr>
              <w:pStyle w:val="Compact"/>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750943">
            <w:pPr>
              <w:pStyle w:val="Compact"/>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750943">
            <w:pPr>
              <w:pStyle w:val="Compact"/>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750943">
            <w:pPr>
              <w:pStyle w:val="Compact"/>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750943">
            <w:pPr>
              <w:pStyle w:val="Compact"/>
              <w:rPr>
                <w:rFonts w:ascii="Times New Roman" w:hAnsi="Times New Roman" w:cs="Times New Roman"/>
                <w:sz w:val="22"/>
                <w:szCs w:val="22"/>
              </w:rPr>
            </w:pPr>
          </w:p>
        </w:tc>
      </w:tr>
      <w:tr w:rsidR="00750943" w:rsidRPr="00840830" w14:paraId="2061C68C" w14:textId="54BEE7D7" w:rsidTr="009A5C22">
        <w:trPr>
          <w:trHeight w:val="20"/>
        </w:trPr>
        <w:tc>
          <w:tcPr>
            <w:tcW w:w="1134" w:type="dxa"/>
          </w:tcPr>
          <w:p w14:paraId="3CD09BF6" w14:textId="77777777" w:rsidR="00750943" w:rsidRPr="00840830" w:rsidRDefault="00750943" w:rsidP="00750943">
            <w:pPr>
              <w:pStyle w:val="Compact"/>
              <w:rPr>
                <w:rFonts w:ascii="Times New Roman" w:hAnsi="Times New Roman" w:cs="Times New Roman"/>
                <w:sz w:val="22"/>
                <w:szCs w:val="22"/>
              </w:rPr>
            </w:pPr>
          </w:p>
        </w:tc>
        <w:tc>
          <w:tcPr>
            <w:tcW w:w="2268" w:type="dxa"/>
          </w:tcPr>
          <w:p w14:paraId="29FC06A8" w14:textId="7C7FB2D9" w:rsidR="00750943" w:rsidRPr="00840830" w:rsidRDefault="00750943" w:rsidP="00750943">
            <w:pPr>
              <w:pStyle w:val="Compact"/>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750943">
            <w:pPr>
              <w:pStyle w:val="Compact"/>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750943">
            <w:pPr>
              <w:pStyle w:val="Compact"/>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750943">
            <w:pPr>
              <w:pStyle w:val="Compact"/>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750943">
            <w:pPr>
              <w:pStyle w:val="Compact"/>
              <w:jc w:val="right"/>
              <w:rPr>
                <w:rFonts w:ascii="Times New Roman" w:hAnsi="Times New Roman" w:cs="Times New Roman"/>
                <w:sz w:val="22"/>
                <w:szCs w:val="22"/>
              </w:rPr>
            </w:pPr>
          </w:p>
        </w:tc>
        <w:tc>
          <w:tcPr>
            <w:tcW w:w="701" w:type="dxa"/>
          </w:tcPr>
          <w:p w14:paraId="3AD10EA1" w14:textId="42E0ECBD" w:rsidR="00750943" w:rsidRPr="00840830" w:rsidRDefault="00750943" w:rsidP="00750943">
            <w:pPr>
              <w:pStyle w:val="Compact"/>
              <w:rPr>
                <w:rFonts w:ascii="Times New Roman" w:hAnsi="Times New Roman" w:cs="Times New Roman"/>
                <w:sz w:val="22"/>
                <w:szCs w:val="22"/>
              </w:rPr>
            </w:pPr>
          </w:p>
        </w:tc>
      </w:tr>
      <w:tr w:rsidR="00D51F88" w:rsidRPr="00840830" w14:paraId="61021E01" w14:textId="012B0312" w:rsidTr="009A5C22">
        <w:trPr>
          <w:trHeight w:val="20"/>
        </w:trPr>
        <w:tc>
          <w:tcPr>
            <w:tcW w:w="1134" w:type="dxa"/>
          </w:tcPr>
          <w:p w14:paraId="620A9F7B" w14:textId="77777777" w:rsidR="00D51F88" w:rsidRPr="00840830" w:rsidRDefault="00D51F88" w:rsidP="00D51F88">
            <w:pPr>
              <w:pStyle w:val="Compact"/>
              <w:rPr>
                <w:rFonts w:ascii="Times New Roman" w:hAnsi="Times New Roman" w:cs="Times New Roman"/>
                <w:sz w:val="22"/>
                <w:szCs w:val="22"/>
              </w:rPr>
            </w:pPr>
          </w:p>
        </w:tc>
        <w:tc>
          <w:tcPr>
            <w:tcW w:w="2268" w:type="dxa"/>
          </w:tcPr>
          <w:p w14:paraId="4C951B7B" w14:textId="2457F46C"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D51F88">
            <w:pPr>
              <w:pStyle w:val="Compact"/>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D51F88">
            <w:pPr>
              <w:pStyle w:val="Compact"/>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D51F88">
            <w:pPr>
              <w:pStyle w:val="Compact"/>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D51F88">
            <w:pPr>
              <w:pStyle w:val="Compact"/>
              <w:jc w:val="right"/>
              <w:rPr>
                <w:rFonts w:ascii="Times New Roman" w:hAnsi="Times New Roman" w:cs="Times New Roman"/>
                <w:sz w:val="22"/>
                <w:szCs w:val="22"/>
              </w:rPr>
            </w:pPr>
          </w:p>
        </w:tc>
        <w:tc>
          <w:tcPr>
            <w:tcW w:w="701" w:type="dxa"/>
          </w:tcPr>
          <w:p w14:paraId="6A216F13" w14:textId="37618B7B" w:rsidR="00D51F88" w:rsidRPr="00840830" w:rsidRDefault="00D51F88" w:rsidP="00D51F88">
            <w:pPr>
              <w:pStyle w:val="Compact"/>
              <w:rPr>
                <w:rFonts w:ascii="Times New Roman" w:hAnsi="Times New Roman" w:cs="Times New Roman"/>
                <w:sz w:val="22"/>
                <w:szCs w:val="22"/>
              </w:rPr>
            </w:pPr>
          </w:p>
        </w:tc>
      </w:tr>
      <w:tr w:rsidR="00D51F88" w:rsidRPr="00840830" w14:paraId="36C98A9B" w14:textId="1FAF2C2F" w:rsidTr="009A5C22">
        <w:trPr>
          <w:trHeight w:val="20"/>
        </w:trPr>
        <w:tc>
          <w:tcPr>
            <w:tcW w:w="1134" w:type="dxa"/>
          </w:tcPr>
          <w:p w14:paraId="2945E947" w14:textId="77777777" w:rsidR="00D51F88" w:rsidRPr="00840830" w:rsidRDefault="00D51F88" w:rsidP="00D51F88">
            <w:pPr>
              <w:pStyle w:val="Compact"/>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D51F88">
            <w:pPr>
              <w:pStyle w:val="Compact"/>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D51F88">
            <w:pPr>
              <w:pStyle w:val="Compact"/>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D51F88">
            <w:pPr>
              <w:pStyle w:val="Compact"/>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D51F88">
            <w:pPr>
              <w:pStyle w:val="Compact"/>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D51F88">
            <w:pPr>
              <w:pStyle w:val="Compact"/>
              <w:rPr>
                <w:rFonts w:ascii="Times New Roman" w:hAnsi="Times New Roman" w:cs="Times New Roman"/>
                <w:sz w:val="22"/>
                <w:szCs w:val="22"/>
              </w:rPr>
            </w:pPr>
          </w:p>
        </w:tc>
      </w:tr>
      <w:tr w:rsidR="00750943" w:rsidRPr="00840830" w14:paraId="14F91A09" w14:textId="6911532D" w:rsidTr="009A5C22">
        <w:trPr>
          <w:trHeight w:val="20"/>
        </w:trPr>
        <w:tc>
          <w:tcPr>
            <w:tcW w:w="1134" w:type="dxa"/>
          </w:tcPr>
          <w:p w14:paraId="6CD73313" w14:textId="77777777" w:rsidR="00750943" w:rsidRPr="00840830" w:rsidRDefault="00750943" w:rsidP="00750943">
            <w:pPr>
              <w:pStyle w:val="Compact"/>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750943">
            <w:pPr>
              <w:pStyle w:val="Compact"/>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750943">
            <w:pPr>
              <w:pStyle w:val="Compact"/>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750943">
            <w:pPr>
              <w:pStyle w:val="Compact"/>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750943">
            <w:pPr>
              <w:pStyle w:val="Compact"/>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750943">
            <w:pPr>
              <w:pStyle w:val="Compact"/>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750943">
            <w:pPr>
              <w:pStyle w:val="Compact"/>
              <w:rPr>
                <w:rFonts w:ascii="Times New Roman" w:hAnsi="Times New Roman" w:cs="Times New Roman"/>
                <w:sz w:val="22"/>
                <w:szCs w:val="22"/>
              </w:rPr>
            </w:pPr>
          </w:p>
        </w:tc>
      </w:tr>
      <w:tr w:rsidR="00750943" w:rsidRPr="00840830" w14:paraId="64E78183" w14:textId="1132F423" w:rsidTr="009A5C22">
        <w:trPr>
          <w:trHeight w:val="20"/>
        </w:trPr>
        <w:tc>
          <w:tcPr>
            <w:tcW w:w="1134" w:type="dxa"/>
            <w:tcBorders>
              <w:bottom w:val="single" w:sz="4" w:space="0" w:color="auto"/>
            </w:tcBorders>
          </w:tcPr>
          <w:p w14:paraId="336879F3" w14:textId="77777777" w:rsidR="00750943" w:rsidRPr="00840830" w:rsidRDefault="00750943" w:rsidP="00750943">
            <w:pPr>
              <w:pStyle w:val="Compact"/>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750943">
            <w:pPr>
              <w:pStyle w:val="Compact"/>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750943">
            <w:pPr>
              <w:pStyle w:val="Compact"/>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750943">
            <w:pPr>
              <w:pStyle w:val="Compact"/>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750943">
            <w:pPr>
              <w:pStyle w:val="Compact"/>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750943">
            <w:pPr>
              <w:pStyle w:val="Compact"/>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750943">
            <w:pPr>
              <w:pStyle w:val="Compact"/>
              <w:rPr>
                <w:rFonts w:ascii="Times New Roman" w:hAnsi="Times New Roman" w:cs="Times New Roman"/>
                <w:sz w:val="22"/>
                <w:szCs w:val="22"/>
              </w:rPr>
            </w:pPr>
          </w:p>
        </w:tc>
      </w:tr>
      <w:tr w:rsidR="00D15B52" w:rsidRPr="00840830" w14:paraId="1D077985" w14:textId="45FE03B9" w:rsidTr="009A5C22">
        <w:trPr>
          <w:trHeight w:val="20"/>
        </w:trPr>
        <w:tc>
          <w:tcPr>
            <w:tcW w:w="1134" w:type="dxa"/>
            <w:tcBorders>
              <w:top w:val="single" w:sz="4" w:space="0" w:color="auto"/>
            </w:tcBorders>
          </w:tcPr>
          <w:p w14:paraId="6E4CF490" w14:textId="041C0560" w:rsidR="00D15B52" w:rsidRPr="00840830" w:rsidRDefault="00D15B52" w:rsidP="00D15B52">
            <w:pPr>
              <w:pStyle w:val="Compact"/>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D15B52">
            <w:pPr>
              <w:pStyle w:val="Compact"/>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D15B52">
            <w:pPr>
              <w:pStyle w:val="Compact"/>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D15B52">
            <w:pPr>
              <w:pStyle w:val="Compact"/>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750943">
            <w:pPr>
              <w:pStyle w:val="Compact"/>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750943">
            <w:pPr>
              <w:pStyle w:val="Compact"/>
              <w:rPr>
                <w:rFonts w:ascii="Times New Roman" w:hAnsi="Times New Roman" w:cs="Times New Roman"/>
                <w:sz w:val="22"/>
                <w:szCs w:val="22"/>
              </w:rPr>
            </w:pPr>
          </w:p>
        </w:tc>
      </w:tr>
      <w:tr w:rsidR="00D15B52" w:rsidRPr="00840830" w14:paraId="6B625CED" w14:textId="378D684F" w:rsidTr="009A5C22">
        <w:trPr>
          <w:trHeight w:val="20"/>
        </w:trPr>
        <w:tc>
          <w:tcPr>
            <w:tcW w:w="1134" w:type="dxa"/>
          </w:tcPr>
          <w:p w14:paraId="42CDAA33" w14:textId="77777777" w:rsidR="00D15B52" w:rsidRPr="00840830" w:rsidRDefault="00D15B52" w:rsidP="00D15B52">
            <w:pPr>
              <w:pStyle w:val="Compact"/>
              <w:rPr>
                <w:rFonts w:ascii="Times New Roman" w:hAnsi="Times New Roman" w:cs="Times New Roman"/>
                <w:sz w:val="22"/>
                <w:szCs w:val="22"/>
              </w:rPr>
            </w:pPr>
          </w:p>
        </w:tc>
        <w:tc>
          <w:tcPr>
            <w:tcW w:w="2268" w:type="dxa"/>
          </w:tcPr>
          <w:p w14:paraId="670739EC" w14:textId="77777777" w:rsidR="00D15B52" w:rsidRPr="00840830" w:rsidRDefault="00D15B52" w:rsidP="00D15B52">
            <w:pPr>
              <w:pStyle w:val="Compact"/>
              <w:rPr>
                <w:rFonts w:ascii="Times New Roman" w:hAnsi="Times New Roman" w:cs="Times New Roman"/>
                <w:sz w:val="22"/>
                <w:szCs w:val="22"/>
              </w:rPr>
            </w:pPr>
          </w:p>
        </w:tc>
        <w:tc>
          <w:tcPr>
            <w:tcW w:w="1418" w:type="dxa"/>
          </w:tcPr>
          <w:p w14:paraId="1B45F2F2" w14:textId="53862390" w:rsidR="00D15B52" w:rsidRPr="00840830" w:rsidRDefault="00D15B52" w:rsidP="00D15B52">
            <w:pPr>
              <w:pStyle w:val="Compact"/>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D15B52">
            <w:pPr>
              <w:pStyle w:val="Compact"/>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46E7734B" w14:textId="77777777" w:rsidR="00D15B52" w:rsidRPr="00840830" w:rsidRDefault="00D15B52" w:rsidP="00750943">
            <w:pPr>
              <w:pStyle w:val="Compact"/>
              <w:rPr>
                <w:rFonts w:ascii="Times New Roman" w:hAnsi="Times New Roman" w:cs="Times New Roman"/>
                <w:sz w:val="22"/>
                <w:szCs w:val="22"/>
              </w:rPr>
            </w:pPr>
          </w:p>
        </w:tc>
      </w:tr>
      <w:tr w:rsidR="00D15B52" w:rsidRPr="00840830" w14:paraId="5210E479" w14:textId="383EE0DC" w:rsidTr="009A5C22">
        <w:trPr>
          <w:trHeight w:val="20"/>
        </w:trPr>
        <w:tc>
          <w:tcPr>
            <w:tcW w:w="1134" w:type="dxa"/>
          </w:tcPr>
          <w:p w14:paraId="3793E1B1" w14:textId="77777777" w:rsidR="00D15B52" w:rsidRPr="00840830" w:rsidRDefault="00D15B52" w:rsidP="00D15B52">
            <w:pPr>
              <w:pStyle w:val="Compact"/>
              <w:rPr>
                <w:rFonts w:ascii="Times New Roman" w:hAnsi="Times New Roman" w:cs="Times New Roman"/>
                <w:sz w:val="22"/>
                <w:szCs w:val="22"/>
              </w:rPr>
            </w:pPr>
          </w:p>
        </w:tc>
        <w:tc>
          <w:tcPr>
            <w:tcW w:w="2268" w:type="dxa"/>
          </w:tcPr>
          <w:p w14:paraId="3F4604DD" w14:textId="77777777" w:rsidR="00D15B52" w:rsidRPr="00840830" w:rsidRDefault="00D15B52" w:rsidP="00D15B52">
            <w:pPr>
              <w:pStyle w:val="Compact"/>
              <w:rPr>
                <w:rFonts w:ascii="Times New Roman" w:hAnsi="Times New Roman" w:cs="Times New Roman"/>
                <w:sz w:val="22"/>
                <w:szCs w:val="22"/>
              </w:rPr>
            </w:pPr>
          </w:p>
        </w:tc>
        <w:tc>
          <w:tcPr>
            <w:tcW w:w="1418" w:type="dxa"/>
          </w:tcPr>
          <w:p w14:paraId="7C3569A6" w14:textId="3E798513" w:rsidR="00D15B52" w:rsidRPr="00840830" w:rsidRDefault="00D15B52" w:rsidP="00D15B52">
            <w:pPr>
              <w:pStyle w:val="Compact"/>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D15B52">
            <w:pPr>
              <w:pStyle w:val="Compact"/>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5F451EE1" w14:textId="77777777" w:rsidR="00D15B52" w:rsidRPr="00840830" w:rsidRDefault="00D15B52" w:rsidP="00750943">
            <w:pPr>
              <w:pStyle w:val="Compact"/>
              <w:rPr>
                <w:rFonts w:ascii="Times New Roman" w:hAnsi="Times New Roman" w:cs="Times New Roman"/>
                <w:sz w:val="22"/>
                <w:szCs w:val="22"/>
              </w:rPr>
            </w:pPr>
          </w:p>
        </w:tc>
      </w:tr>
      <w:tr w:rsidR="00D15B52" w:rsidRPr="00840830" w14:paraId="67434E0C" w14:textId="79BE7819" w:rsidTr="009A5C22">
        <w:trPr>
          <w:trHeight w:val="20"/>
        </w:trPr>
        <w:tc>
          <w:tcPr>
            <w:tcW w:w="1134" w:type="dxa"/>
          </w:tcPr>
          <w:p w14:paraId="6D19E55F" w14:textId="77777777" w:rsidR="00D15B52" w:rsidRPr="00840830" w:rsidRDefault="00D15B52" w:rsidP="00D15B52">
            <w:pPr>
              <w:pStyle w:val="Compact"/>
              <w:rPr>
                <w:rFonts w:ascii="Times New Roman" w:hAnsi="Times New Roman" w:cs="Times New Roman"/>
                <w:sz w:val="22"/>
                <w:szCs w:val="22"/>
              </w:rPr>
            </w:pPr>
          </w:p>
        </w:tc>
        <w:tc>
          <w:tcPr>
            <w:tcW w:w="2268" w:type="dxa"/>
          </w:tcPr>
          <w:p w14:paraId="1581718A" w14:textId="77777777" w:rsidR="00D15B52" w:rsidRPr="00840830" w:rsidRDefault="00D15B52" w:rsidP="00D15B52">
            <w:pPr>
              <w:pStyle w:val="Compact"/>
              <w:rPr>
                <w:rFonts w:ascii="Times New Roman" w:hAnsi="Times New Roman" w:cs="Times New Roman"/>
                <w:sz w:val="22"/>
                <w:szCs w:val="22"/>
              </w:rPr>
            </w:pPr>
          </w:p>
        </w:tc>
        <w:tc>
          <w:tcPr>
            <w:tcW w:w="1418" w:type="dxa"/>
          </w:tcPr>
          <w:p w14:paraId="21ED70B5" w14:textId="2C1716B0" w:rsidR="00D15B52" w:rsidRPr="00840830" w:rsidRDefault="00D15B52" w:rsidP="00D15B52">
            <w:pPr>
              <w:pStyle w:val="Compact"/>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D15B52">
            <w:pPr>
              <w:pStyle w:val="Compact"/>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1B125989" w14:textId="77777777" w:rsidR="00D15B52" w:rsidRPr="00840830" w:rsidRDefault="00D15B52" w:rsidP="00750943">
            <w:pPr>
              <w:pStyle w:val="Compact"/>
              <w:rPr>
                <w:rFonts w:ascii="Times New Roman" w:hAnsi="Times New Roman" w:cs="Times New Roman"/>
                <w:sz w:val="22"/>
                <w:szCs w:val="22"/>
              </w:rPr>
            </w:pPr>
          </w:p>
        </w:tc>
      </w:tr>
      <w:tr w:rsidR="00D15B52" w:rsidRPr="00840830" w14:paraId="27B21AD3" w14:textId="2A019963" w:rsidTr="009A5C22">
        <w:trPr>
          <w:trHeight w:val="20"/>
        </w:trPr>
        <w:tc>
          <w:tcPr>
            <w:tcW w:w="1134" w:type="dxa"/>
          </w:tcPr>
          <w:p w14:paraId="1C1616E0" w14:textId="77777777" w:rsidR="00D15B52" w:rsidRPr="00840830" w:rsidRDefault="00D15B52" w:rsidP="00D15B52">
            <w:pPr>
              <w:pStyle w:val="Compact"/>
              <w:rPr>
                <w:rFonts w:ascii="Times New Roman" w:hAnsi="Times New Roman" w:cs="Times New Roman"/>
                <w:sz w:val="22"/>
                <w:szCs w:val="22"/>
              </w:rPr>
            </w:pPr>
          </w:p>
        </w:tc>
        <w:tc>
          <w:tcPr>
            <w:tcW w:w="2268" w:type="dxa"/>
          </w:tcPr>
          <w:p w14:paraId="16785429" w14:textId="77777777" w:rsidR="00D15B52" w:rsidRPr="00840830" w:rsidRDefault="00D15B52" w:rsidP="00D15B52">
            <w:pPr>
              <w:pStyle w:val="Compact"/>
              <w:rPr>
                <w:rFonts w:ascii="Times New Roman" w:hAnsi="Times New Roman" w:cs="Times New Roman"/>
                <w:sz w:val="22"/>
                <w:szCs w:val="22"/>
              </w:rPr>
            </w:pPr>
          </w:p>
        </w:tc>
        <w:tc>
          <w:tcPr>
            <w:tcW w:w="1418" w:type="dxa"/>
          </w:tcPr>
          <w:p w14:paraId="214178FF" w14:textId="7361BE08" w:rsidR="00D15B52" w:rsidRPr="00840830" w:rsidRDefault="00D15B52" w:rsidP="00D15B52">
            <w:pPr>
              <w:pStyle w:val="Compact"/>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D15B52">
            <w:pPr>
              <w:pStyle w:val="Compact"/>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1A6642C9" w14:textId="77777777" w:rsidR="00D15B52" w:rsidRPr="00840830" w:rsidRDefault="00D15B52" w:rsidP="00750943">
            <w:pPr>
              <w:pStyle w:val="Compact"/>
              <w:rPr>
                <w:rFonts w:ascii="Times New Roman" w:hAnsi="Times New Roman" w:cs="Times New Roman"/>
                <w:sz w:val="22"/>
                <w:szCs w:val="22"/>
              </w:rPr>
            </w:pPr>
          </w:p>
        </w:tc>
      </w:tr>
      <w:tr w:rsidR="00D15B52" w:rsidRPr="00840830" w14:paraId="122B6F0E" w14:textId="601CC7FF" w:rsidTr="009A5C22">
        <w:trPr>
          <w:trHeight w:val="20"/>
        </w:trPr>
        <w:tc>
          <w:tcPr>
            <w:tcW w:w="1134" w:type="dxa"/>
          </w:tcPr>
          <w:p w14:paraId="76BBEAF0" w14:textId="77777777" w:rsidR="00D15B52" w:rsidRPr="00840830" w:rsidRDefault="00D15B52" w:rsidP="00D15B52">
            <w:pPr>
              <w:pStyle w:val="Compact"/>
              <w:rPr>
                <w:rFonts w:ascii="Times New Roman" w:hAnsi="Times New Roman" w:cs="Times New Roman"/>
                <w:sz w:val="22"/>
                <w:szCs w:val="22"/>
              </w:rPr>
            </w:pPr>
          </w:p>
        </w:tc>
        <w:tc>
          <w:tcPr>
            <w:tcW w:w="2268" w:type="dxa"/>
          </w:tcPr>
          <w:p w14:paraId="2230F4AC" w14:textId="77777777" w:rsidR="00D15B52" w:rsidRPr="00840830" w:rsidRDefault="00D15B52" w:rsidP="00D15B52">
            <w:pPr>
              <w:pStyle w:val="Compact"/>
              <w:rPr>
                <w:rFonts w:ascii="Times New Roman" w:hAnsi="Times New Roman" w:cs="Times New Roman"/>
                <w:sz w:val="22"/>
                <w:szCs w:val="22"/>
              </w:rPr>
            </w:pPr>
          </w:p>
        </w:tc>
        <w:tc>
          <w:tcPr>
            <w:tcW w:w="1418" w:type="dxa"/>
          </w:tcPr>
          <w:p w14:paraId="4B272B26" w14:textId="2A2A68B2" w:rsidR="00D15B52" w:rsidRPr="00840830" w:rsidRDefault="00D15B52" w:rsidP="00D15B52">
            <w:pPr>
              <w:pStyle w:val="Compact"/>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D15B52">
            <w:pPr>
              <w:pStyle w:val="Compact"/>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4B317D91" w14:textId="77777777" w:rsidR="00D15B52" w:rsidRPr="00840830" w:rsidRDefault="00D15B52" w:rsidP="00750943">
            <w:pPr>
              <w:pStyle w:val="Compact"/>
              <w:rPr>
                <w:rFonts w:ascii="Times New Roman" w:hAnsi="Times New Roman" w:cs="Times New Roman"/>
                <w:sz w:val="22"/>
                <w:szCs w:val="22"/>
              </w:rPr>
            </w:pPr>
          </w:p>
        </w:tc>
      </w:tr>
      <w:tr w:rsidR="00D15B52" w:rsidRPr="00840830" w14:paraId="5ABA2A23" w14:textId="44AB0E26" w:rsidTr="009A5C22">
        <w:trPr>
          <w:trHeight w:val="20"/>
        </w:trPr>
        <w:tc>
          <w:tcPr>
            <w:tcW w:w="1134" w:type="dxa"/>
          </w:tcPr>
          <w:p w14:paraId="2750288F" w14:textId="77777777" w:rsidR="00D15B52" w:rsidRPr="00840830" w:rsidRDefault="00D15B52" w:rsidP="00D15B52">
            <w:pPr>
              <w:pStyle w:val="Compact"/>
              <w:rPr>
                <w:rFonts w:ascii="Times New Roman" w:hAnsi="Times New Roman" w:cs="Times New Roman"/>
                <w:sz w:val="22"/>
                <w:szCs w:val="22"/>
              </w:rPr>
            </w:pPr>
          </w:p>
        </w:tc>
        <w:tc>
          <w:tcPr>
            <w:tcW w:w="2268" w:type="dxa"/>
          </w:tcPr>
          <w:p w14:paraId="4930B078" w14:textId="77777777" w:rsidR="00D15B52" w:rsidRPr="00840830" w:rsidRDefault="00D15B52" w:rsidP="00D15B52">
            <w:pPr>
              <w:pStyle w:val="Compact"/>
              <w:rPr>
                <w:rFonts w:ascii="Times New Roman" w:hAnsi="Times New Roman" w:cs="Times New Roman"/>
                <w:sz w:val="22"/>
                <w:szCs w:val="22"/>
              </w:rPr>
            </w:pPr>
          </w:p>
        </w:tc>
        <w:tc>
          <w:tcPr>
            <w:tcW w:w="1418" w:type="dxa"/>
          </w:tcPr>
          <w:p w14:paraId="6BEEC01C" w14:textId="55D36674" w:rsidR="00D15B52" w:rsidRPr="00840830" w:rsidRDefault="00D15B52" w:rsidP="00D15B52">
            <w:pPr>
              <w:pStyle w:val="Compact"/>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D15B52">
            <w:pPr>
              <w:pStyle w:val="Compact"/>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714AA5E9" w14:textId="77777777" w:rsidR="00D15B52" w:rsidRPr="00840830" w:rsidRDefault="00D15B52" w:rsidP="00750943">
            <w:pPr>
              <w:pStyle w:val="Compact"/>
              <w:rPr>
                <w:rFonts w:ascii="Times New Roman" w:hAnsi="Times New Roman" w:cs="Times New Roman"/>
                <w:sz w:val="22"/>
                <w:szCs w:val="22"/>
              </w:rPr>
            </w:pPr>
          </w:p>
        </w:tc>
      </w:tr>
      <w:tr w:rsidR="00D15B52" w:rsidRPr="00840830" w14:paraId="06A9E078" w14:textId="57CBE13E" w:rsidTr="009A5C22">
        <w:trPr>
          <w:trHeight w:val="20"/>
        </w:trPr>
        <w:tc>
          <w:tcPr>
            <w:tcW w:w="1134" w:type="dxa"/>
          </w:tcPr>
          <w:p w14:paraId="32EF69C4" w14:textId="77777777" w:rsidR="00D15B52" w:rsidRPr="00840830" w:rsidRDefault="00D15B52" w:rsidP="00D15B52">
            <w:pPr>
              <w:pStyle w:val="Compact"/>
              <w:rPr>
                <w:rFonts w:ascii="Times New Roman" w:hAnsi="Times New Roman" w:cs="Times New Roman"/>
                <w:sz w:val="22"/>
                <w:szCs w:val="22"/>
              </w:rPr>
            </w:pPr>
          </w:p>
        </w:tc>
        <w:tc>
          <w:tcPr>
            <w:tcW w:w="2268" w:type="dxa"/>
          </w:tcPr>
          <w:p w14:paraId="25B95102" w14:textId="77777777" w:rsidR="00D15B52" w:rsidRPr="00840830" w:rsidRDefault="00D15B52" w:rsidP="00D15B52">
            <w:pPr>
              <w:pStyle w:val="Compact"/>
              <w:rPr>
                <w:rFonts w:ascii="Times New Roman" w:hAnsi="Times New Roman" w:cs="Times New Roman"/>
                <w:sz w:val="22"/>
                <w:szCs w:val="22"/>
              </w:rPr>
            </w:pPr>
          </w:p>
        </w:tc>
        <w:tc>
          <w:tcPr>
            <w:tcW w:w="1418" w:type="dxa"/>
          </w:tcPr>
          <w:p w14:paraId="5165742B" w14:textId="27ABA4CD" w:rsidR="00D15B52" w:rsidRPr="00840830" w:rsidRDefault="00D15B52" w:rsidP="00D15B52">
            <w:pPr>
              <w:pStyle w:val="Compact"/>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D15B52">
            <w:pPr>
              <w:pStyle w:val="Compact"/>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438CDC44" w14:textId="77777777" w:rsidR="00D15B52" w:rsidRPr="00840830" w:rsidRDefault="00D15B52" w:rsidP="00750943">
            <w:pPr>
              <w:pStyle w:val="Compact"/>
              <w:rPr>
                <w:rFonts w:ascii="Times New Roman" w:hAnsi="Times New Roman" w:cs="Times New Roman"/>
                <w:sz w:val="22"/>
                <w:szCs w:val="22"/>
              </w:rPr>
            </w:pPr>
          </w:p>
        </w:tc>
      </w:tr>
      <w:tr w:rsidR="00D15B52" w:rsidRPr="00840830" w14:paraId="7180B734" w14:textId="0DEB0741" w:rsidTr="009A5C22">
        <w:trPr>
          <w:trHeight w:val="20"/>
        </w:trPr>
        <w:tc>
          <w:tcPr>
            <w:tcW w:w="1134" w:type="dxa"/>
          </w:tcPr>
          <w:p w14:paraId="3E151716" w14:textId="77777777" w:rsidR="00D15B52" w:rsidRPr="00840830" w:rsidRDefault="00D15B52" w:rsidP="00D15B52">
            <w:pPr>
              <w:pStyle w:val="Compact"/>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D15B52">
            <w:pPr>
              <w:pStyle w:val="Compact"/>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D15B52">
            <w:pPr>
              <w:pStyle w:val="Compact"/>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D15B52">
            <w:pPr>
              <w:pStyle w:val="Compact"/>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750943">
            <w:pPr>
              <w:pStyle w:val="Compact"/>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750943">
            <w:pPr>
              <w:pStyle w:val="Compact"/>
              <w:rPr>
                <w:rFonts w:ascii="Times New Roman" w:hAnsi="Times New Roman" w:cs="Times New Roman"/>
                <w:sz w:val="22"/>
                <w:szCs w:val="22"/>
              </w:rPr>
            </w:pPr>
          </w:p>
        </w:tc>
      </w:tr>
      <w:tr w:rsidR="00D51F88" w:rsidRPr="00840830" w14:paraId="193508D6" w14:textId="735FFCA0" w:rsidTr="009A5C22">
        <w:trPr>
          <w:trHeight w:val="20"/>
        </w:trPr>
        <w:tc>
          <w:tcPr>
            <w:tcW w:w="1134" w:type="dxa"/>
            <w:tcBorders>
              <w:bottom w:val="single" w:sz="4" w:space="0" w:color="auto"/>
            </w:tcBorders>
          </w:tcPr>
          <w:p w14:paraId="72012CC4" w14:textId="77777777" w:rsidR="00D51F88" w:rsidRPr="00840830" w:rsidRDefault="00D51F88" w:rsidP="00D51F88">
            <w:pPr>
              <w:pStyle w:val="Compact"/>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D51F88">
            <w:pPr>
              <w:pStyle w:val="Compact"/>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D51F88">
            <w:pPr>
              <w:pStyle w:val="Compact"/>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D51F88">
            <w:pPr>
              <w:pStyle w:val="Compact"/>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D51F88">
            <w:pPr>
              <w:pStyle w:val="Compact"/>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D51F88">
            <w:pPr>
              <w:pStyle w:val="Compact"/>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D51F88">
            <w:pPr>
              <w:pStyle w:val="Compact"/>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D51F88">
            <w:pPr>
              <w:pStyle w:val="Compact"/>
              <w:rPr>
                <w:rFonts w:ascii="Times New Roman" w:hAnsi="Times New Roman" w:cs="Times New Roman"/>
                <w:sz w:val="22"/>
                <w:szCs w:val="22"/>
              </w:rPr>
            </w:pPr>
          </w:p>
        </w:tc>
      </w:tr>
      <w:tr w:rsidR="00D15B52" w:rsidRPr="00840830" w14:paraId="732DC4E4" w14:textId="6B551E89" w:rsidTr="009A5C22">
        <w:trPr>
          <w:trHeight w:val="20"/>
        </w:trPr>
        <w:tc>
          <w:tcPr>
            <w:tcW w:w="1134" w:type="dxa"/>
          </w:tcPr>
          <w:p w14:paraId="45910090" w14:textId="1CD4D8BF" w:rsidR="00D15B52" w:rsidRPr="00840830" w:rsidRDefault="00D15B52" w:rsidP="00D15B52">
            <w:pPr>
              <w:pStyle w:val="Compact"/>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D15B52">
            <w:pPr>
              <w:pStyle w:val="Compact"/>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D15B52">
            <w:pPr>
              <w:pStyle w:val="Compact"/>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D15B52">
            <w:pPr>
              <w:pStyle w:val="Compact"/>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750943">
            <w:pPr>
              <w:pStyle w:val="Compact"/>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750943">
            <w:pPr>
              <w:pStyle w:val="Compact"/>
              <w:rPr>
                <w:rFonts w:ascii="Times New Roman" w:hAnsi="Times New Roman" w:cs="Times New Roman"/>
                <w:sz w:val="22"/>
                <w:szCs w:val="22"/>
              </w:rPr>
            </w:pPr>
          </w:p>
        </w:tc>
      </w:tr>
      <w:tr w:rsidR="00D15B52" w:rsidRPr="00840830" w14:paraId="3202EACA" w14:textId="6FA6D84D" w:rsidTr="009A5C22">
        <w:trPr>
          <w:trHeight w:val="20"/>
        </w:trPr>
        <w:tc>
          <w:tcPr>
            <w:tcW w:w="1134" w:type="dxa"/>
          </w:tcPr>
          <w:p w14:paraId="41C4392E" w14:textId="50CFE1DD" w:rsidR="00D15B52" w:rsidRPr="00840830" w:rsidRDefault="00D15B52" w:rsidP="00D15B52">
            <w:pPr>
              <w:pStyle w:val="Compact"/>
              <w:rPr>
                <w:rFonts w:ascii="Times New Roman" w:hAnsi="Times New Roman" w:cs="Times New Roman"/>
                <w:sz w:val="22"/>
                <w:szCs w:val="22"/>
              </w:rPr>
            </w:pPr>
          </w:p>
        </w:tc>
        <w:tc>
          <w:tcPr>
            <w:tcW w:w="2268" w:type="dxa"/>
          </w:tcPr>
          <w:p w14:paraId="1FD269A9" w14:textId="77777777" w:rsidR="00D15B52" w:rsidRPr="00840830" w:rsidRDefault="00D15B52" w:rsidP="00D15B52">
            <w:pPr>
              <w:pStyle w:val="Compact"/>
              <w:rPr>
                <w:rFonts w:ascii="Times New Roman" w:hAnsi="Times New Roman" w:cs="Times New Roman"/>
                <w:sz w:val="22"/>
                <w:szCs w:val="22"/>
              </w:rPr>
            </w:pPr>
          </w:p>
        </w:tc>
        <w:tc>
          <w:tcPr>
            <w:tcW w:w="1418" w:type="dxa"/>
          </w:tcPr>
          <w:p w14:paraId="662C4AF7" w14:textId="3E35B70C" w:rsidR="00D15B52" w:rsidRPr="00840830" w:rsidRDefault="00D15B52" w:rsidP="00D15B52">
            <w:pPr>
              <w:pStyle w:val="Compact"/>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D15B52">
            <w:pPr>
              <w:pStyle w:val="Compact"/>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6EC4FD9A" w14:textId="77777777" w:rsidR="00D15B52" w:rsidRPr="00840830" w:rsidRDefault="00D15B52" w:rsidP="00750943">
            <w:pPr>
              <w:pStyle w:val="Compact"/>
              <w:rPr>
                <w:rFonts w:ascii="Times New Roman" w:hAnsi="Times New Roman" w:cs="Times New Roman"/>
                <w:sz w:val="22"/>
                <w:szCs w:val="22"/>
              </w:rPr>
            </w:pPr>
          </w:p>
        </w:tc>
      </w:tr>
      <w:tr w:rsidR="00D15B52" w:rsidRPr="00840830" w14:paraId="24D9F533" w14:textId="1641F210" w:rsidTr="009A5C22">
        <w:trPr>
          <w:trHeight w:val="20"/>
        </w:trPr>
        <w:tc>
          <w:tcPr>
            <w:tcW w:w="1134" w:type="dxa"/>
          </w:tcPr>
          <w:p w14:paraId="16CD37FC" w14:textId="77777777" w:rsidR="00D15B52" w:rsidRPr="00840830" w:rsidRDefault="00D15B52" w:rsidP="00D15B52">
            <w:pPr>
              <w:pStyle w:val="Compact"/>
              <w:rPr>
                <w:rFonts w:ascii="Times New Roman" w:hAnsi="Times New Roman" w:cs="Times New Roman"/>
                <w:sz w:val="22"/>
                <w:szCs w:val="22"/>
              </w:rPr>
            </w:pPr>
          </w:p>
        </w:tc>
        <w:tc>
          <w:tcPr>
            <w:tcW w:w="2268" w:type="dxa"/>
          </w:tcPr>
          <w:p w14:paraId="59E974A5" w14:textId="77777777" w:rsidR="00D15B52" w:rsidRPr="00840830" w:rsidRDefault="00D15B52" w:rsidP="00D15B52">
            <w:pPr>
              <w:pStyle w:val="Compact"/>
              <w:rPr>
                <w:rFonts w:ascii="Times New Roman" w:hAnsi="Times New Roman" w:cs="Times New Roman"/>
                <w:sz w:val="22"/>
                <w:szCs w:val="22"/>
              </w:rPr>
            </w:pPr>
          </w:p>
        </w:tc>
        <w:tc>
          <w:tcPr>
            <w:tcW w:w="1418" w:type="dxa"/>
          </w:tcPr>
          <w:p w14:paraId="6C2CBD53" w14:textId="4D9AA60C" w:rsidR="00D15B52" w:rsidRPr="00840830" w:rsidRDefault="00D15B52" w:rsidP="00D15B52">
            <w:pPr>
              <w:pStyle w:val="Compact"/>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D15B52">
            <w:pPr>
              <w:pStyle w:val="Compact"/>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7AEFFFB0" w14:textId="77777777" w:rsidR="00D15B52" w:rsidRPr="00840830" w:rsidRDefault="00D15B52" w:rsidP="00750943">
            <w:pPr>
              <w:pStyle w:val="Compact"/>
              <w:rPr>
                <w:rFonts w:ascii="Times New Roman" w:hAnsi="Times New Roman" w:cs="Times New Roman"/>
                <w:sz w:val="22"/>
                <w:szCs w:val="22"/>
              </w:rPr>
            </w:pPr>
          </w:p>
        </w:tc>
      </w:tr>
      <w:tr w:rsidR="00D15B52" w:rsidRPr="00840830" w14:paraId="4BAEC65F" w14:textId="643105C3" w:rsidTr="009A5C22">
        <w:trPr>
          <w:trHeight w:val="20"/>
        </w:trPr>
        <w:tc>
          <w:tcPr>
            <w:tcW w:w="1134" w:type="dxa"/>
          </w:tcPr>
          <w:p w14:paraId="4712CEB3" w14:textId="77777777" w:rsidR="00D15B52" w:rsidRPr="00840830" w:rsidRDefault="00D15B52" w:rsidP="00D15B52">
            <w:pPr>
              <w:pStyle w:val="Compact"/>
              <w:rPr>
                <w:rFonts w:ascii="Times New Roman" w:hAnsi="Times New Roman" w:cs="Times New Roman"/>
                <w:sz w:val="22"/>
                <w:szCs w:val="22"/>
              </w:rPr>
            </w:pPr>
          </w:p>
        </w:tc>
        <w:tc>
          <w:tcPr>
            <w:tcW w:w="2268" w:type="dxa"/>
          </w:tcPr>
          <w:p w14:paraId="37907335" w14:textId="77777777" w:rsidR="00D15B52" w:rsidRPr="00840830" w:rsidRDefault="00D15B52" w:rsidP="00D15B52">
            <w:pPr>
              <w:pStyle w:val="Compact"/>
              <w:rPr>
                <w:rFonts w:ascii="Times New Roman" w:hAnsi="Times New Roman" w:cs="Times New Roman"/>
                <w:sz w:val="22"/>
                <w:szCs w:val="22"/>
              </w:rPr>
            </w:pPr>
          </w:p>
        </w:tc>
        <w:tc>
          <w:tcPr>
            <w:tcW w:w="1418" w:type="dxa"/>
          </w:tcPr>
          <w:p w14:paraId="3BA08B5A" w14:textId="5925A2F9" w:rsidR="00D15B52" w:rsidRPr="00840830" w:rsidRDefault="00D15B52" w:rsidP="00D15B52">
            <w:pPr>
              <w:pStyle w:val="Compact"/>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D15B52">
            <w:pPr>
              <w:pStyle w:val="Compact"/>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47B6E960" w14:textId="77777777" w:rsidR="00D15B52" w:rsidRPr="00840830" w:rsidRDefault="00D15B52" w:rsidP="00750943">
            <w:pPr>
              <w:pStyle w:val="Compact"/>
              <w:rPr>
                <w:rFonts w:ascii="Times New Roman" w:hAnsi="Times New Roman" w:cs="Times New Roman"/>
                <w:sz w:val="22"/>
                <w:szCs w:val="22"/>
              </w:rPr>
            </w:pPr>
          </w:p>
        </w:tc>
      </w:tr>
      <w:tr w:rsidR="00D15B52" w:rsidRPr="00840830" w14:paraId="734D55D8" w14:textId="4F23D20E" w:rsidTr="009A5C22">
        <w:trPr>
          <w:trHeight w:val="20"/>
        </w:trPr>
        <w:tc>
          <w:tcPr>
            <w:tcW w:w="1134" w:type="dxa"/>
          </w:tcPr>
          <w:p w14:paraId="3EE9157F" w14:textId="77777777" w:rsidR="00D15B52" w:rsidRPr="00840830" w:rsidRDefault="00D15B52" w:rsidP="00D15B52">
            <w:pPr>
              <w:pStyle w:val="Compact"/>
              <w:rPr>
                <w:rFonts w:ascii="Times New Roman" w:hAnsi="Times New Roman" w:cs="Times New Roman"/>
                <w:sz w:val="22"/>
                <w:szCs w:val="22"/>
              </w:rPr>
            </w:pPr>
          </w:p>
        </w:tc>
        <w:tc>
          <w:tcPr>
            <w:tcW w:w="2268" w:type="dxa"/>
          </w:tcPr>
          <w:p w14:paraId="0EEA7AA9" w14:textId="77777777" w:rsidR="00D15B52" w:rsidRPr="00840830" w:rsidRDefault="00D15B52" w:rsidP="00D15B52">
            <w:pPr>
              <w:pStyle w:val="Compact"/>
              <w:rPr>
                <w:rFonts w:ascii="Times New Roman" w:hAnsi="Times New Roman" w:cs="Times New Roman"/>
                <w:sz w:val="22"/>
                <w:szCs w:val="22"/>
              </w:rPr>
            </w:pPr>
          </w:p>
        </w:tc>
        <w:tc>
          <w:tcPr>
            <w:tcW w:w="1418" w:type="dxa"/>
          </w:tcPr>
          <w:p w14:paraId="547070D9" w14:textId="525660DD" w:rsidR="00D15B52" w:rsidRPr="00840830" w:rsidRDefault="00D15B52" w:rsidP="00D15B52">
            <w:pPr>
              <w:pStyle w:val="Compact"/>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D15B52">
            <w:pPr>
              <w:pStyle w:val="Compact"/>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2C3E362F" w14:textId="77777777" w:rsidR="00D15B52" w:rsidRPr="00840830" w:rsidRDefault="00D15B52" w:rsidP="00750943">
            <w:pPr>
              <w:pStyle w:val="Compact"/>
              <w:rPr>
                <w:rFonts w:ascii="Times New Roman" w:hAnsi="Times New Roman" w:cs="Times New Roman"/>
                <w:sz w:val="22"/>
                <w:szCs w:val="22"/>
              </w:rPr>
            </w:pPr>
          </w:p>
        </w:tc>
      </w:tr>
      <w:tr w:rsidR="00D15B52" w:rsidRPr="00840830" w14:paraId="49B40E0E" w14:textId="69B16D68" w:rsidTr="009A5C22">
        <w:trPr>
          <w:trHeight w:val="20"/>
        </w:trPr>
        <w:tc>
          <w:tcPr>
            <w:tcW w:w="1134" w:type="dxa"/>
          </w:tcPr>
          <w:p w14:paraId="1BC98CC9" w14:textId="77777777" w:rsidR="00D15B52" w:rsidRPr="00840830" w:rsidRDefault="00D15B52" w:rsidP="00D15B52">
            <w:pPr>
              <w:pStyle w:val="Compact"/>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D15B52">
            <w:pPr>
              <w:pStyle w:val="Compact"/>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D15B52">
            <w:pPr>
              <w:pStyle w:val="Compact"/>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D15B52">
            <w:pPr>
              <w:pStyle w:val="Compact"/>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750943">
            <w:pPr>
              <w:pStyle w:val="Compact"/>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750943">
            <w:pPr>
              <w:pStyle w:val="Compact"/>
              <w:rPr>
                <w:rFonts w:ascii="Times New Roman" w:hAnsi="Times New Roman" w:cs="Times New Roman"/>
                <w:sz w:val="22"/>
                <w:szCs w:val="22"/>
              </w:rPr>
            </w:pPr>
          </w:p>
        </w:tc>
      </w:tr>
      <w:tr w:rsidR="00D51F88" w:rsidRPr="00840830" w14:paraId="03DCF9E4" w14:textId="7D8061FA" w:rsidTr="009A5C22">
        <w:trPr>
          <w:trHeight w:val="20"/>
        </w:trPr>
        <w:tc>
          <w:tcPr>
            <w:tcW w:w="1134" w:type="dxa"/>
          </w:tcPr>
          <w:p w14:paraId="2C26BCAD" w14:textId="77777777" w:rsidR="00D51F88" w:rsidRPr="00840830" w:rsidRDefault="00D51F88" w:rsidP="00D51F88">
            <w:pPr>
              <w:pStyle w:val="Compact"/>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D51F88">
            <w:pPr>
              <w:pStyle w:val="Compact"/>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D51F88">
            <w:pPr>
              <w:pStyle w:val="Compact"/>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D51F88">
            <w:pPr>
              <w:pStyle w:val="Compact"/>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D51F88">
            <w:pPr>
              <w:pStyle w:val="Compact"/>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D51F88">
            <w:pPr>
              <w:pStyle w:val="Compact"/>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D51F88">
            <w:pPr>
              <w:pStyle w:val="Compact"/>
              <w:rPr>
                <w:rFonts w:ascii="Times New Roman" w:hAnsi="Times New Roman" w:cs="Times New Roman"/>
                <w:sz w:val="22"/>
                <w:szCs w:val="22"/>
              </w:rPr>
            </w:pPr>
          </w:p>
        </w:tc>
      </w:tr>
      <w:tr w:rsidR="00D51F88" w:rsidRPr="00840830" w14:paraId="6EC09B0B" w14:textId="29DAE2E9" w:rsidTr="009A5C22">
        <w:trPr>
          <w:trHeight w:val="20"/>
        </w:trPr>
        <w:tc>
          <w:tcPr>
            <w:tcW w:w="1134" w:type="dxa"/>
          </w:tcPr>
          <w:p w14:paraId="417441BF" w14:textId="77777777" w:rsidR="00D51F88" w:rsidRPr="00840830" w:rsidRDefault="00D51F88" w:rsidP="00D51F88">
            <w:pPr>
              <w:pStyle w:val="Compact"/>
              <w:rPr>
                <w:rFonts w:ascii="Times New Roman" w:hAnsi="Times New Roman" w:cs="Times New Roman"/>
                <w:sz w:val="22"/>
                <w:szCs w:val="22"/>
              </w:rPr>
            </w:pPr>
          </w:p>
        </w:tc>
        <w:tc>
          <w:tcPr>
            <w:tcW w:w="2268" w:type="dxa"/>
          </w:tcPr>
          <w:p w14:paraId="240B1F12" w14:textId="77777777" w:rsidR="00D51F88" w:rsidRPr="00840830" w:rsidRDefault="00D51F88" w:rsidP="00D51F88">
            <w:pPr>
              <w:pStyle w:val="Compact"/>
              <w:rPr>
                <w:rFonts w:ascii="Times New Roman" w:hAnsi="Times New Roman" w:cs="Times New Roman"/>
                <w:sz w:val="22"/>
                <w:szCs w:val="22"/>
              </w:rPr>
            </w:pPr>
          </w:p>
        </w:tc>
        <w:tc>
          <w:tcPr>
            <w:tcW w:w="1418" w:type="dxa"/>
          </w:tcPr>
          <w:p w14:paraId="59B3B17B" w14:textId="2629FA7E" w:rsidR="00D51F88" w:rsidRPr="00840830" w:rsidRDefault="00D51F88" w:rsidP="00D51F88">
            <w:pPr>
              <w:pStyle w:val="Compact"/>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D51F88">
            <w:pPr>
              <w:pStyle w:val="Compact"/>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D51F88">
            <w:pPr>
              <w:pStyle w:val="Compact"/>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D51F88">
            <w:pPr>
              <w:pStyle w:val="Compact"/>
              <w:jc w:val="right"/>
              <w:rPr>
                <w:rFonts w:ascii="Times New Roman" w:hAnsi="Times New Roman" w:cs="Times New Roman"/>
                <w:sz w:val="22"/>
                <w:szCs w:val="22"/>
              </w:rPr>
            </w:pPr>
          </w:p>
        </w:tc>
        <w:tc>
          <w:tcPr>
            <w:tcW w:w="701" w:type="dxa"/>
          </w:tcPr>
          <w:p w14:paraId="4D3FDD5C" w14:textId="77777777" w:rsidR="00D51F88" w:rsidRPr="00840830" w:rsidRDefault="00D51F88" w:rsidP="00D51F88">
            <w:pPr>
              <w:pStyle w:val="Compact"/>
              <w:rPr>
                <w:rFonts w:ascii="Times New Roman" w:hAnsi="Times New Roman" w:cs="Times New Roman"/>
                <w:sz w:val="22"/>
                <w:szCs w:val="22"/>
              </w:rPr>
            </w:pPr>
          </w:p>
        </w:tc>
      </w:tr>
      <w:tr w:rsidR="00D51F88" w:rsidRPr="00840830" w14:paraId="134D8943" w14:textId="261BEEA9" w:rsidTr="009A5C22">
        <w:trPr>
          <w:trHeight w:val="20"/>
        </w:trPr>
        <w:tc>
          <w:tcPr>
            <w:tcW w:w="1134" w:type="dxa"/>
          </w:tcPr>
          <w:p w14:paraId="6D8D73E7" w14:textId="77777777" w:rsidR="00D51F88" w:rsidRPr="00840830" w:rsidRDefault="00D51F88" w:rsidP="00D51F88">
            <w:pPr>
              <w:pStyle w:val="Compact"/>
              <w:rPr>
                <w:rFonts w:ascii="Times New Roman" w:hAnsi="Times New Roman" w:cs="Times New Roman"/>
                <w:sz w:val="22"/>
                <w:szCs w:val="22"/>
              </w:rPr>
            </w:pPr>
          </w:p>
        </w:tc>
        <w:tc>
          <w:tcPr>
            <w:tcW w:w="2268" w:type="dxa"/>
          </w:tcPr>
          <w:p w14:paraId="66A44EB7" w14:textId="77777777" w:rsidR="00D51F88" w:rsidRPr="00840830" w:rsidRDefault="00D51F88" w:rsidP="00D51F88">
            <w:pPr>
              <w:pStyle w:val="Compact"/>
              <w:rPr>
                <w:rFonts w:ascii="Times New Roman" w:hAnsi="Times New Roman" w:cs="Times New Roman"/>
                <w:sz w:val="22"/>
                <w:szCs w:val="22"/>
              </w:rPr>
            </w:pPr>
          </w:p>
        </w:tc>
        <w:tc>
          <w:tcPr>
            <w:tcW w:w="1418" w:type="dxa"/>
          </w:tcPr>
          <w:p w14:paraId="486CAE9A" w14:textId="4533B437" w:rsidR="00D51F88" w:rsidRPr="00840830" w:rsidRDefault="00D51F88" w:rsidP="00D51F88">
            <w:pPr>
              <w:pStyle w:val="Compact"/>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D51F88">
            <w:pPr>
              <w:pStyle w:val="Compact"/>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D51F88">
            <w:pPr>
              <w:pStyle w:val="Compact"/>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D51F88">
            <w:pPr>
              <w:pStyle w:val="Compact"/>
              <w:jc w:val="right"/>
              <w:rPr>
                <w:rFonts w:ascii="Times New Roman" w:hAnsi="Times New Roman" w:cs="Times New Roman"/>
                <w:sz w:val="22"/>
                <w:szCs w:val="22"/>
              </w:rPr>
            </w:pPr>
          </w:p>
        </w:tc>
        <w:tc>
          <w:tcPr>
            <w:tcW w:w="701" w:type="dxa"/>
          </w:tcPr>
          <w:p w14:paraId="189F93E0" w14:textId="77777777" w:rsidR="00D51F88" w:rsidRPr="00840830" w:rsidRDefault="00D51F88" w:rsidP="00D51F88">
            <w:pPr>
              <w:pStyle w:val="Compact"/>
              <w:rPr>
                <w:rFonts w:ascii="Times New Roman" w:hAnsi="Times New Roman" w:cs="Times New Roman"/>
                <w:sz w:val="22"/>
                <w:szCs w:val="22"/>
              </w:rPr>
            </w:pPr>
          </w:p>
        </w:tc>
      </w:tr>
      <w:tr w:rsidR="00D51F88" w:rsidRPr="00840830" w14:paraId="1660C718" w14:textId="3CF8C0FB" w:rsidTr="009A5C22">
        <w:trPr>
          <w:trHeight w:val="20"/>
        </w:trPr>
        <w:tc>
          <w:tcPr>
            <w:tcW w:w="1134" w:type="dxa"/>
            <w:tcBorders>
              <w:bottom w:val="single" w:sz="4" w:space="0" w:color="auto"/>
            </w:tcBorders>
          </w:tcPr>
          <w:p w14:paraId="5C8E4A60" w14:textId="77777777" w:rsidR="00D51F88" w:rsidRPr="00840830" w:rsidRDefault="00D51F88" w:rsidP="00D51F88">
            <w:pPr>
              <w:pStyle w:val="Compact"/>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D51F88">
            <w:pPr>
              <w:pStyle w:val="Compact"/>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D51F88">
            <w:pPr>
              <w:pStyle w:val="Compact"/>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D51F88">
            <w:pPr>
              <w:pStyle w:val="Compact"/>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D51F88">
            <w:pPr>
              <w:pStyle w:val="Compact"/>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D51F88">
            <w:pPr>
              <w:pStyle w:val="Compact"/>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D51F88">
            <w:pPr>
              <w:pStyle w:val="Compact"/>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1F74DD6" w:rsidR="00874A01" w:rsidRPr="0069122B" w:rsidRDefault="00874A01" w:rsidP="002C20EB">
      <w:pPr>
        <w:pStyle w:val="BodyText"/>
        <w:spacing w:before="0" w:after="0"/>
      </w:pPr>
      <w:bookmarkStart w:id="53" w:name="figures"/>
      <w:r w:rsidRPr="00874A01">
        <w:rPr>
          <w:b/>
          <w:bCs/>
        </w:rPr>
        <w:lastRenderedPageBreak/>
        <w:t>Table 3:</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against the major axis of environmental heterogeneity (PC1; Table 2</w:t>
      </w:r>
      <w:r w:rsidR="00F7254D">
        <w:t>,</w:t>
      </w:r>
      <w:r w:rsidR="0069122B">
        <w:t xml:space="preserve"> Figure 3) and the multivariate regressions (Figure 4).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874A01">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874A01">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874A01">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874A01">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874A01">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53"/>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0D4CAB43">
            <wp:extent cx="6012401" cy="3435658"/>
            <wp:effectExtent l="0" t="0" r="0" b="635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012401" cy="3435658"/>
                    </a:xfrm>
                    <a:prstGeom prst="rect">
                      <a:avLst/>
                    </a:prstGeom>
                    <a:noFill/>
                    <a:ln w="9525">
                      <a:noFill/>
                      <a:headEnd/>
                      <a:tailEnd/>
                    </a:ln>
                  </pic:spPr>
                </pic:pic>
              </a:graphicData>
            </a:graphic>
          </wp:inline>
        </w:drawing>
      </w:r>
    </w:p>
    <w:p w14:paraId="5CEC371A" w14:textId="54B56F76" w:rsidR="00D04776" w:rsidRDefault="002C037D" w:rsidP="0018462C">
      <w:pPr>
        <w:pStyle w:val="BodyText"/>
      </w:pPr>
      <w:r w:rsidRPr="00242181">
        <w:rPr>
          <w:b/>
        </w:rPr>
        <w:t>Figure 1:</w:t>
      </w:r>
      <w:r>
        <w:t xml:space="preserve"> </w:t>
      </w:r>
      <w:r w:rsidR="006A6996" w:rsidRPr="006A6996">
        <w:t>The common language effect size (</w:t>
      </w:r>
      <w:r w:rsidR="006A6996" w:rsidRPr="008E45A8">
        <w:rPr>
          <w:i/>
        </w:rPr>
        <w:t>CLES</w:t>
      </w:r>
      <w:r w:rsidR="006A6996" w:rsidRPr="006A6996">
        <w:t>) of (a–</w:t>
      </w:r>
      <w:proofErr w:type="spellStart"/>
      <w:r w:rsidR="006A6996" w:rsidRPr="006A6996">
        <w:t>i</w:t>
      </w:r>
      <w:proofErr w:type="spellEnd"/>
      <w:r w:rsidR="006A6996" w:rsidRPr="006A6996">
        <w:t>)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365BA">
        <w:t>2</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0D2CBC63">
            <wp:extent cx="6521312" cy="5706148"/>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521312" cy="5706148"/>
                    </a:xfrm>
                    <a:prstGeom prst="rect">
                      <a:avLst/>
                    </a:prstGeom>
                    <a:noFill/>
                    <a:ln w="9525">
                      <a:noFill/>
                      <a:headEnd/>
                      <a:tailEnd/>
                    </a:ln>
                  </pic:spPr>
                </pic:pic>
              </a:graphicData>
            </a:graphic>
          </wp:inline>
        </w:drawing>
      </w:r>
    </w:p>
    <w:p w14:paraId="75739017" w14:textId="40AD9D9A" w:rsidR="00D04776" w:rsidRDefault="002C037D" w:rsidP="00FF3CE7">
      <w:pPr>
        <w:pStyle w:val="ImageCaption"/>
        <w:spacing w:line="240" w:lineRule="auto"/>
      </w:pPr>
      <w:r w:rsidRPr="00242181">
        <w:rPr>
          <w:b/>
        </w:rPr>
        <w:t>Figure 2:</w:t>
      </w:r>
      <w:r>
        <w:t xml:space="preserve"> </w:t>
      </w:r>
      <w:commentRangeStart w:id="54"/>
      <w:commentRangeStart w:id="55"/>
      <w:r w:rsidR="00F330A8">
        <w:t xml:space="preserve">Frequency </w:t>
      </w:r>
      <w:commentRangeStart w:id="56"/>
      <w:commentRangeStart w:id="57"/>
      <w:r w:rsidR="00F330A8">
        <w:t>d</w:t>
      </w:r>
      <w:r w:rsidRPr="002C037D">
        <w:t xml:space="preserve">istributions </w:t>
      </w:r>
      <w:commentRangeEnd w:id="56"/>
      <w:r w:rsidR="00F330A8">
        <w:rPr>
          <w:rStyle w:val="CommentReference"/>
          <w:rFonts w:ascii="Times New Roman" w:hAnsiTheme="minorHAnsi"/>
        </w:rPr>
        <w:commentReference w:id="56"/>
      </w:r>
      <w:commentRangeEnd w:id="57"/>
      <w:r w:rsidR="006F5A52">
        <w:rPr>
          <w:rStyle w:val="CommentReference"/>
          <w:rFonts w:ascii="Times New Roman" w:hAnsiTheme="minorHAnsi"/>
        </w:rPr>
        <w:commentReference w:id="57"/>
      </w:r>
      <w:commentRangeEnd w:id="54"/>
      <w:r w:rsidR="006125FF">
        <w:rPr>
          <w:rStyle w:val="CommentReference"/>
          <w:rFonts w:ascii="Times New Roman" w:hAnsiTheme="minorHAnsi"/>
        </w:rPr>
        <w:commentReference w:id="54"/>
      </w:r>
      <w:commentRangeEnd w:id="55"/>
      <w:r w:rsidR="00644312">
        <w:rPr>
          <w:rStyle w:val="CommentReference"/>
          <w:rFonts w:ascii="Times New Roman" w:hAnsiTheme="minorHAnsi"/>
        </w:rPr>
        <w:commentReference w:id="55"/>
      </w:r>
      <w:r w:rsidRPr="002C037D">
        <w:t>of (a) QDS- and (b) HDS-scale vascular plant species richness in the GCFR and SWAFR. (c) Scatter plot of mean QDS-scale richness (</w:t>
      </w:r>
      <m:oMath>
        <m:bar>
          <m:barPr>
            <m:pos m:val="top"/>
            <m:ctrlPr>
              <w:rPr>
                <w:rFonts w:ascii="Cambria Math" w:hAnsi="Cambria Math"/>
              </w:rPr>
            </m:ctrlPr>
          </m:barPr>
          <m:e>
            <m:r>
              <w:rPr>
                <w:rFonts w:ascii="Cambria Math" w:hAnsi="Cambria Math"/>
              </w:rPr>
              <m:t>S</m:t>
            </m:r>
          </m:e>
        </m:bar>
      </m:oMath>
      <w:r w:rsidRPr="00074006">
        <w:rPr>
          <w:vertAlign w:val="subscript"/>
        </w:rPr>
        <w:t>QDS</w:t>
      </w:r>
      <w:r w:rsidRPr="002C037D">
        <w:t>) and turnover (</w:t>
      </w:r>
      <w:r w:rsidRPr="00074006">
        <w:rPr>
          <w:i/>
        </w:rPr>
        <w:t>T</w:t>
      </w:r>
      <w:r w:rsidRPr="00074006">
        <w:rPr>
          <w:vertAlign w:val="subscript"/>
        </w:rPr>
        <w:t>QDS</w:t>
      </w:r>
      <w:r w:rsidRPr="002C037D">
        <w:t xml:space="preserve">) with contour lines denoting the </w:t>
      </w:r>
      <w:r w:rsidRPr="00D81A2B">
        <w:rPr>
          <w:i/>
        </w:rPr>
        <w:t>S</w:t>
      </w:r>
      <w:r w:rsidRPr="00D81A2B">
        <w:rPr>
          <w:vertAlign w:val="subscript"/>
        </w:rPr>
        <w:t>HDS</w:t>
      </w:r>
      <w:r w:rsidRPr="002C037D">
        <w:t xml:space="preserve"> that arises as their sum. (d) The distribution of the turnover partition of </w:t>
      </w:r>
      <w:r w:rsidRPr="00D81A2B">
        <w:rPr>
          <w:i/>
        </w:rPr>
        <w:t>S</w:t>
      </w:r>
      <w:r w:rsidRPr="00D81A2B">
        <w:rPr>
          <w:vertAlign w:val="subscript"/>
        </w:rPr>
        <w:t>HDS</w:t>
      </w:r>
      <w:r w:rsidRPr="002C037D">
        <w:t xml:space="preserve"> expressed as a proportion (</w:t>
      </w:r>
      <w:r w:rsidRPr="00D81A2B">
        <w:rPr>
          <w:i/>
        </w:rPr>
        <w:t>T</w:t>
      </w:r>
      <w:r w:rsidRPr="00D81A2B">
        <w:rPr>
          <w:vertAlign w:val="subscript"/>
        </w:rPr>
        <w:t>QDS</w:t>
      </w:r>
      <w:r w:rsidR="00211A46">
        <w:rPr>
          <w:vertAlign w:val="subscript"/>
        </w:rPr>
        <w:t xml:space="preserve"> </w:t>
      </w:r>
      <w:r w:rsidR="00211A46" w:rsidRPr="002C20EB">
        <w:t>/</w:t>
      </w:r>
      <w:r w:rsidR="00211A46" w:rsidRPr="00211A46">
        <w:rPr>
          <w:i/>
        </w:rPr>
        <w:t xml:space="preserve"> </w:t>
      </w:r>
      <w:r w:rsidR="00211A46" w:rsidRPr="00D81A2B">
        <w:rPr>
          <w:i/>
        </w:rPr>
        <w:t>S</w:t>
      </w:r>
      <w:r w:rsidR="00211A46" w:rsidRPr="00D81A2B">
        <w:rPr>
          <w:vertAlign w:val="subscript"/>
        </w:rPr>
        <w:t>HDS</w:t>
      </w:r>
      <w:r w:rsidR="00DB3FDF">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A108109">
            <wp:extent cx="6663564" cy="2221188"/>
            <wp:effectExtent l="0" t="0" r="4445" b="8255"/>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663564" cy="2221188"/>
                    </a:xfrm>
                    <a:prstGeom prst="rect">
                      <a:avLst/>
                    </a:prstGeom>
                    <a:noFill/>
                    <a:ln w="9525">
                      <a:noFill/>
                      <a:headEnd/>
                      <a:tailEnd/>
                    </a:ln>
                  </pic:spPr>
                </pic:pic>
              </a:graphicData>
            </a:graphic>
          </wp:inline>
        </w:drawing>
      </w:r>
    </w:p>
    <w:p w14:paraId="7180F251" w14:textId="5B0CB71B" w:rsidR="00D04776" w:rsidRDefault="00D04776" w:rsidP="008B688E">
      <w:pPr>
        <w:pStyle w:val="ImageCaption"/>
        <w:spacing w:line="240" w:lineRule="auto"/>
      </w:pPr>
      <w:r w:rsidRPr="00242181">
        <w:rPr>
          <w:b/>
        </w:rPr>
        <w:t>Figure 3:</w:t>
      </w:r>
      <w:r w:rsidRPr="000951C2">
        <w:t xml:space="preserve"> </w:t>
      </w:r>
      <w:r w:rsidR="004D7400" w:rsidRPr="000951C2">
        <w:t>S</w:t>
      </w:r>
      <w:r w:rsidRPr="000951C2">
        <w:t xml:space="preserve">imple linear regressions of </w:t>
      </w:r>
      <w:r w:rsidR="00132E42" w:rsidRPr="000951C2">
        <w:t xml:space="preserve">vascular plant species richness as </w:t>
      </w:r>
      <w:r w:rsidRPr="000951C2">
        <w:t xml:space="preserve">(a) </w:t>
      </w:r>
      <w:r w:rsidRPr="000951C2">
        <w:rPr>
          <w:i/>
        </w:rPr>
        <w:t>S</w:t>
      </w:r>
      <w:r w:rsidR="000951C2">
        <w:rPr>
          <w:vertAlign w:val="subscript"/>
        </w:rPr>
        <w:t>Q</w:t>
      </w:r>
      <w:r w:rsidRPr="000951C2">
        <w:rPr>
          <w:vertAlign w:val="subscript"/>
        </w:rPr>
        <w:t>DS</w:t>
      </w:r>
      <w:r w:rsidR="000951C2">
        <w:t xml:space="preserve">, </w:t>
      </w:r>
      <w:r w:rsidRPr="000951C2">
        <w:t xml:space="preserve">(b) </w:t>
      </w:r>
      <w:r w:rsidRPr="000951C2">
        <w:rPr>
          <w:i/>
        </w:rPr>
        <w:t>S</w:t>
      </w:r>
      <w:r w:rsidR="000951C2">
        <w:rPr>
          <w:vertAlign w:val="subscript"/>
        </w:rPr>
        <w:t>H</w:t>
      </w:r>
      <w:r w:rsidRPr="000951C2">
        <w:rPr>
          <w:vertAlign w:val="subscript"/>
        </w:rPr>
        <w:t>DS</w:t>
      </w:r>
      <w:r w:rsidRPr="000951C2">
        <w:t xml:space="preserve"> </w:t>
      </w:r>
      <w:r w:rsidR="000951C2">
        <w:t xml:space="preserve">and (c) </w:t>
      </w:r>
      <w:r w:rsidR="00603141" w:rsidRPr="00603141">
        <w:rPr>
          <w:i/>
        </w:rPr>
        <w:t>S</w:t>
      </w:r>
      <w:r w:rsidR="00603141">
        <w:rPr>
          <w:vertAlign w:val="subscript"/>
        </w:rPr>
        <w:t>DS</w:t>
      </w:r>
      <w:r w:rsidR="00AF3C81">
        <w:t xml:space="preserve"> </w:t>
      </w:r>
      <w:r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Pr="000951C2">
        <w:t xml:space="preserve">. </w:t>
      </w:r>
      <w:r w:rsidR="003939AA">
        <w:t>These three linear models are presented in Table 2</w:t>
      </w:r>
      <w:r w:rsidR="00AA17FE">
        <w:t xml:space="preserve">, all with highly </w:t>
      </w:r>
      <w:commentRangeStart w:id="58"/>
      <w:r w:rsidR="00AA17FE">
        <w:t xml:space="preserve">significant slopes </w:t>
      </w:r>
      <w:commentRangeEnd w:id="58"/>
      <w:r w:rsidR="00A57067">
        <w:rPr>
          <w:rStyle w:val="CommentReference"/>
          <w:rFonts w:ascii="Times New Roman" w:hAnsiTheme="minorHAnsi"/>
        </w:rPr>
        <w:commentReference w:id="58"/>
      </w:r>
      <w:r w:rsidR="00AA17FE">
        <w:t>(</w:t>
      </w:r>
      <w:r w:rsidR="00AA17FE" w:rsidRPr="007C06EE">
        <w:rPr>
          <w:i/>
        </w:rPr>
        <w:t>P</w:t>
      </w:r>
      <w:r w:rsidR="00AA17FE">
        <w:t xml:space="preserve"> &lt; 0.001)</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2a).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2679FAD4">
            <wp:extent cx="6819864" cy="3897064"/>
            <wp:effectExtent l="0" t="0" r="635" b="8255"/>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819864" cy="3897064"/>
                    </a:xfrm>
                    <a:prstGeom prst="rect">
                      <a:avLst/>
                    </a:prstGeom>
                    <a:noFill/>
                    <a:ln w="9525">
                      <a:noFill/>
                      <a:headEnd/>
                      <a:tailEnd/>
                    </a:ln>
                  </pic:spPr>
                </pic:pic>
              </a:graphicData>
            </a:graphic>
          </wp:inline>
        </w:drawing>
      </w:r>
    </w:p>
    <w:p w14:paraId="784FFE15" w14:textId="5F83EBFE" w:rsidR="00762256" w:rsidRDefault="00D04776" w:rsidP="00A9751F">
      <w:pPr>
        <w:pStyle w:val="ImageCaption"/>
        <w:spacing w:line="240" w:lineRule="auto"/>
      </w:pPr>
      <w:commentRangeStart w:id="59"/>
      <w:commentRangeStart w:id="60"/>
      <w:r w:rsidRPr="00242181">
        <w:rPr>
          <w:b/>
        </w:rPr>
        <w:t>Figure 4:</w:t>
      </w:r>
      <w:r w:rsidRPr="00EB7331">
        <w:t xml:space="preserve"> </w:t>
      </w:r>
      <w:commentRangeEnd w:id="59"/>
      <w:r w:rsidR="006125FF">
        <w:rPr>
          <w:rStyle w:val="CommentReference"/>
          <w:rFonts w:ascii="Times New Roman" w:hAnsiTheme="minorHAnsi"/>
        </w:rPr>
        <w:commentReference w:id="59"/>
      </w:r>
      <w:commentRangeEnd w:id="60"/>
      <w:r w:rsidR="00AC2235">
        <w:rPr>
          <w:rStyle w:val="CommentReference"/>
          <w:rFonts w:ascii="Times New Roman" w:hAnsiTheme="minorHAnsi"/>
        </w:rPr>
        <w:commentReference w:id="60"/>
      </w:r>
      <w:r w:rsidRPr="00EB7331">
        <w:t xml:space="preserve">Slope estimates </w:t>
      </w:r>
      <w:r w:rsidR="00FD18C0" w:rsidRPr="00EB7331">
        <w:t xml:space="preserve">from </w:t>
      </w:r>
      <w:r w:rsidRPr="00EB7331">
        <w:t xml:space="preserve">multiple linear regressions of </w:t>
      </w:r>
      <w:r w:rsidR="00466172" w:rsidRPr="00EB7331">
        <w:t xml:space="preserve">vascular plant species richness as </w:t>
      </w:r>
      <w:r w:rsidRPr="00EB7331">
        <w:t xml:space="preserve">(a) </w:t>
      </w:r>
      <w:r w:rsidRPr="00EB7331">
        <w:rPr>
          <w:i/>
        </w:rPr>
        <w:t>S</w:t>
      </w:r>
      <w:r w:rsidR="00F53C09">
        <w:rPr>
          <w:vertAlign w:val="subscript"/>
        </w:rPr>
        <w:t>Q</w:t>
      </w:r>
      <w:r w:rsidRPr="00EB7331">
        <w:rPr>
          <w:vertAlign w:val="subscript"/>
        </w:rPr>
        <w:t>DS</w:t>
      </w:r>
      <w:r w:rsidR="00F53C09">
        <w:t>,</w:t>
      </w:r>
      <w:r w:rsidRPr="00EB7331">
        <w:t xml:space="preserve"> (b) </w:t>
      </w:r>
      <w:r w:rsidRPr="00EB7331">
        <w:rPr>
          <w:i/>
        </w:rPr>
        <w:t>S</w:t>
      </w:r>
      <w:r w:rsidR="00F53C09">
        <w:rPr>
          <w:vertAlign w:val="subscript"/>
        </w:rPr>
        <w:t>H</w:t>
      </w:r>
      <w:r w:rsidRPr="00EB7331">
        <w:rPr>
          <w:vertAlign w:val="subscript"/>
        </w:rPr>
        <w:t>DS</w:t>
      </w:r>
      <w:r w:rsidRPr="00EB7331">
        <w:t xml:space="preserve"> </w:t>
      </w:r>
      <w:r w:rsidR="00F53C09">
        <w:t>and (c</w:t>
      </w:r>
      <w:r w:rsidRPr="00EB7331">
        <w:t xml:space="preserve">) </w:t>
      </w:r>
      <w:r w:rsidR="00F53C09" w:rsidRPr="00F53C09">
        <w:rPr>
          <w:i/>
        </w:rPr>
        <w:t>S</w:t>
      </w:r>
      <w:r w:rsidR="00F53C09">
        <w:rPr>
          <w:vertAlign w:val="subscript"/>
        </w:rPr>
        <w:t>DS</w:t>
      </w:r>
      <w:r w:rsidR="00F53C09">
        <w:t xml:space="preserve"> </w:t>
      </w:r>
      <w:r w:rsidRPr="00EB7331">
        <w:t>again</w:t>
      </w:r>
      <w:r w:rsidR="008F0AB7" w:rsidRPr="00EB7331">
        <w:t>s</w:t>
      </w:r>
      <w:r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scaled) </w:t>
      </w:r>
      <w:r w:rsidR="00741F6E" w:rsidRPr="00EB7331">
        <w:t>across GCFR</w:t>
      </w:r>
      <w:r w:rsidR="00F53C09">
        <w:t xml:space="preserve"> and </w:t>
      </w:r>
      <w:r w:rsidR="00741F6E" w:rsidRPr="00EB7331">
        <w:t>SWAFR</w:t>
      </w:r>
      <w:r w:rsidRPr="00EB7331">
        <w:t>. Points with error bars denote</w:t>
      </w:r>
      <w:r w:rsidR="004318FF">
        <w:t xml:space="preserve"> </w:t>
      </w:r>
      <w:r w:rsidR="00865E47" w:rsidRPr="004318FF">
        <w:t>partial</w:t>
      </w:r>
      <w:r w:rsidR="00786594">
        <w:t xml:space="preserve"> effect</w:t>
      </w:r>
      <w:r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Pr="00EB7331">
        <w:t>Estimates illustrated in black were significant (</w:t>
      </w:r>
      <w:r w:rsidRPr="00EB7331">
        <w:rPr>
          <w:i/>
        </w:rPr>
        <w:t>P</w:t>
      </w:r>
      <w:r w:rsidRPr="00EB7331">
        <w:t xml:space="preserve"> &lt; 0.05), while those in grey were not</w:t>
      </w:r>
      <w:r w:rsidR="00381E28" w:rsidRPr="00EB7331">
        <w:t>,</w:t>
      </w:r>
      <w:r w:rsidR="00BB3353" w:rsidRPr="00EB7331">
        <w:t xml:space="preserve"> but still retained during stepwise model selection</w:t>
      </w:r>
      <w:r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C2751C">
        <w:t>2</w:t>
      </w:r>
      <w:r w:rsidR="006255A4" w:rsidRPr="00EB7331">
        <w:t xml:space="preserve"> and Figure 1.</w:t>
      </w:r>
      <w:r w:rsidR="00F614B4">
        <w:br w:type="page"/>
      </w:r>
      <w:bookmarkStart w:id="61" w:name="references"/>
    </w:p>
    <w:p w14:paraId="0BD64C4E" w14:textId="2D0B4B2B" w:rsidR="006056E9" w:rsidRDefault="00A45444" w:rsidP="002C20EB">
      <w:pPr>
        <w:pStyle w:val="BodyText"/>
      </w:pPr>
      <w:r>
        <w:rPr>
          <w:noProof/>
          <w:lang w:val="en-ZA" w:eastAsia="en-ZA"/>
        </w:rPr>
        <w:lastRenderedPageBreak/>
        <w:drawing>
          <wp:inline distT="0" distB="0" distL="0" distR="0" wp14:anchorId="6CD6A0FF" wp14:editId="40ACFF47">
            <wp:extent cx="5118100" cy="877388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59468" cy="8844803"/>
                    </a:xfrm>
                    <a:prstGeom prst="rect">
                      <a:avLst/>
                    </a:prstGeom>
                  </pic:spPr>
                </pic:pic>
              </a:graphicData>
            </a:graphic>
          </wp:inline>
        </w:drawing>
      </w:r>
    </w:p>
    <w:p w14:paraId="20EF5617" w14:textId="15703A38" w:rsidR="00A45444" w:rsidRPr="002C20EB" w:rsidRDefault="00A45444" w:rsidP="0074274A">
      <w:pPr>
        <w:pStyle w:val="BodyText"/>
      </w:pPr>
      <w:r w:rsidRPr="00242181">
        <w:rPr>
          <w:b/>
        </w:rPr>
        <w:lastRenderedPageBreak/>
        <w:t xml:space="preserve">Figure </w:t>
      </w:r>
      <w:r>
        <w:rPr>
          <w:b/>
        </w:rPr>
        <w:t>5</w:t>
      </w:r>
      <w:r w:rsidR="005649C9">
        <w:rPr>
          <w:b/>
        </w:rPr>
        <w:t xml:space="preserve"> (previous page)</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w:t>
      </w:r>
      <w:proofErr w:type="spellStart"/>
      <w:r w:rsidR="00C9106C">
        <w:t>a,b</w:t>
      </w:r>
      <w:proofErr w:type="spellEnd"/>
      <w:r w:rsidR="00C9106C">
        <w:t>) vascular plant species richness, (</w:t>
      </w:r>
      <w:proofErr w:type="spellStart"/>
      <w:r w:rsidR="00C9106C">
        <w:t>c,d</w:t>
      </w:r>
      <w:proofErr w:type="spellEnd"/>
      <w:r w:rsidR="00C9106C">
        <w:t>)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w:t>
      </w:r>
      <w:proofErr w:type="spellStart"/>
      <w:r w:rsidR="00C9106C">
        <w:t>e,f</w:t>
      </w:r>
      <w:proofErr w:type="spellEnd"/>
      <w:r w:rsidR="00C9106C">
        <w:t>) PC1 (Figure 3b) and (</w:t>
      </w:r>
      <w:proofErr w:type="spellStart"/>
      <w:r w:rsidR="00C9106C">
        <w:t>g,h</w:t>
      </w:r>
      <w:proofErr w:type="spellEnd"/>
      <w:r w:rsidR="00C9106C">
        <w:t xml:space="preserve">) the multivariate (MV) model (Figure 4b). Map projection used: WGS84. QDS- and DS-scale equivalents of these maps are available in the online version </w:t>
      </w:r>
      <w:r w:rsidR="00C9106C" w:rsidRPr="00C9106C">
        <w:rPr>
          <w:highlight w:val="yellow"/>
        </w:rPr>
        <w:t>(SI)</w:t>
      </w:r>
      <w:r w:rsidR="00C9106C" w:rsidRPr="00C9106C">
        <w:t>.</w:t>
      </w:r>
      <w:r>
        <w:rPr>
          <w:highlight w:val="yellow"/>
        </w:rP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7" w:history="1">
        <w:r w:rsidR="00A56EBA" w:rsidRPr="000F1325">
          <w:rPr>
            <w:rStyle w:val="Hyperlink"/>
          </w:rPr>
          <w:t>https://doi.org/10.15468/dl.n6u6n0</w:t>
        </w:r>
      </w:hyperlink>
      <w:r>
        <w:t xml:space="preserve">; SWAFR: </w:t>
      </w:r>
      <w:hyperlink r:id="rId18"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9"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61"/>
    </w:p>
    <w:p w14:paraId="5F5D945C" w14:textId="0463685F" w:rsidR="00BE7107" w:rsidRPr="00BE7107" w:rsidRDefault="008E0DFC" w:rsidP="00BE7107">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BE7107" w:rsidRPr="00BE7107">
        <w:rPr>
          <w:rFonts w:hAnsi="Times New Roman" w:cs="Times New Roman"/>
          <w:noProof/>
        </w:rPr>
        <w:t>Bivand, R., Keitt, T., &amp; Rowlingson, B. (2017). rgdal: Bindings for the Geospatial Data Abstraction Library. R package version 1.2-7. Retrieved from https://cran.r-project.org/package=rgdal</w:t>
      </w:r>
    </w:p>
    <w:p w14:paraId="2411781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Born, J., Linder, H. P., &amp; Desmet, P. (2007). The Greater Cape Floristic Region.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34</w:t>
      </w:r>
      <w:r w:rsidRPr="00BE7107">
        <w:rPr>
          <w:rFonts w:hAnsi="Times New Roman" w:cs="Times New Roman"/>
          <w:noProof/>
        </w:rPr>
        <w:t>(1), 147–162. https://doi.org/10.1111/j.1365-2699.2006.01595.x</w:t>
      </w:r>
    </w:p>
    <w:p w14:paraId="4D3A156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4852F517"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Cramer, M. D., &amp; Verboom, G. A. (2016). Measures of biologically relevant environmental heterogeneity improve prediction of regional plant species richness.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44</w:t>
      </w:r>
      <w:r w:rsidRPr="00BE7107">
        <w:rPr>
          <w:rFonts w:hAnsi="Times New Roman" w:cs="Times New Roman"/>
          <w:noProof/>
        </w:rPr>
        <w:t>(3), 1–13. https://doi.org/10.1111/jbi.12911</w:t>
      </w:r>
    </w:p>
    <w:p w14:paraId="31915EC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Dupont, L. M., Linder, H. P., Rommerskirchen, F., &amp; Schefuss, E. (2011). Climate-driven rampant speciation of the Cape flora.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38</w:t>
      </w:r>
      <w:r w:rsidRPr="00BE7107">
        <w:rPr>
          <w:rFonts w:hAnsi="Times New Roman" w:cs="Times New Roman"/>
          <w:noProof/>
        </w:rPr>
        <w:t>(6), 1059–1068. https://doi.org/10.1111/j.1365-2699.2011.02476.x</w:t>
      </w:r>
    </w:p>
    <w:p w14:paraId="30EECA72"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Gioia, P., &amp; Hopper, S. D. (2017). A new phytogeographic map for the Southwest Australian Floristic Region after an exceptional decade of collection and discovery. </w:t>
      </w:r>
      <w:r w:rsidRPr="00BE7107">
        <w:rPr>
          <w:rFonts w:hAnsi="Times New Roman" w:cs="Times New Roman"/>
          <w:i/>
          <w:iCs/>
          <w:noProof/>
        </w:rPr>
        <w:t>Botanical Journal of the Linnean Society</w:t>
      </w:r>
      <w:r w:rsidRPr="00BE7107">
        <w:rPr>
          <w:rFonts w:hAnsi="Times New Roman" w:cs="Times New Roman"/>
          <w:noProof/>
        </w:rPr>
        <w:t xml:space="preserve">, </w:t>
      </w:r>
      <w:r w:rsidRPr="00BE7107">
        <w:rPr>
          <w:rFonts w:hAnsi="Times New Roman" w:cs="Times New Roman"/>
          <w:i/>
          <w:iCs/>
          <w:noProof/>
        </w:rPr>
        <w:t>184</w:t>
      </w:r>
      <w:r w:rsidRPr="00BE7107">
        <w:rPr>
          <w:rFonts w:hAnsi="Times New Roman" w:cs="Times New Roman"/>
          <w:noProof/>
        </w:rPr>
        <w:t>(1), 1–15. https://doi.org/10.1093/botlinnean/box010</w:t>
      </w:r>
    </w:p>
    <w:p w14:paraId="53D9477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Hijmans, R. J. (2016). raster: Geographic Data Analysis and Modeling. R package version 2.5-8. Retrieved from https://cran.r-project.org/package=raster</w:t>
      </w:r>
    </w:p>
    <w:p w14:paraId="51966D3A"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Hoffmann, V., Verboom, G. A., &amp; Cotterill, F. P. D. (2015). Dated plant phylogenies resolve Neogene climate and landscape evolution in the cape floristic region. </w:t>
      </w:r>
      <w:r w:rsidRPr="00BE7107">
        <w:rPr>
          <w:rFonts w:hAnsi="Times New Roman" w:cs="Times New Roman"/>
          <w:i/>
          <w:iCs/>
          <w:noProof/>
        </w:rPr>
        <w:t>PLoS ONE</w:t>
      </w:r>
      <w:r w:rsidRPr="00BE7107">
        <w:rPr>
          <w:rFonts w:hAnsi="Times New Roman" w:cs="Times New Roman"/>
          <w:noProof/>
        </w:rPr>
        <w:t xml:space="preserve">, </w:t>
      </w:r>
      <w:r w:rsidRPr="00BE7107">
        <w:rPr>
          <w:rFonts w:hAnsi="Times New Roman" w:cs="Times New Roman"/>
          <w:i/>
          <w:iCs/>
          <w:noProof/>
        </w:rPr>
        <w:t>10</w:t>
      </w:r>
      <w:r w:rsidRPr="00BE7107">
        <w:rPr>
          <w:rFonts w:hAnsi="Times New Roman" w:cs="Times New Roman"/>
          <w:noProof/>
        </w:rPr>
        <w:t>(9), 1–25. https://doi.org/10.1371/journal.pone.0137847</w:t>
      </w:r>
    </w:p>
    <w:p w14:paraId="12E9263C"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Hopper, S. D., &amp; Gioia, P. (2004). The Southwest Australian Floristic Region : Evolution and Conservation of a Global Hot Spot of Biodiversity.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35</w:t>
      </w:r>
      <w:r w:rsidRPr="00BE7107">
        <w:rPr>
          <w:rFonts w:hAnsi="Times New Roman" w:cs="Times New Roman"/>
          <w:noProof/>
        </w:rPr>
        <w:t>(1), 623–650. https://doi.org/10.1146/annurev.ecolsys.35.112202.130201</w:t>
      </w:r>
    </w:p>
    <w:p w14:paraId="156C8F4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Larsen, R., Holmern, T., Prager, S. D., Maliti, H., &amp; Røskaft, E. (2009). Using the extended quarter degree grid cell system to unify mapping and sharing of biodiversity data. </w:t>
      </w:r>
      <w:r w:rsidRPr="00BE7107">
        <w:rPr>
          <w:rFonts w:hAnsi="Times New Roman" w:cs="Times New Roman"/>
          <w:i/>
          <w:iCs/>
          <w:noProof/>
        </w:rPr>
        <w:t>African Journal of Ecology</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(3), 382–392. https://doi.org/10.1111/j.1365-2028.2008.00997.x</w:t>
      </w:r>
    </w:p>
    <w:p w14:paraId="00C2966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Mucina, L., &amp; Rutherford, M. C. (2006). </w:t>
      </w:r>
      <w:r w:rsidRPr="00BE7107">
        <w:rPr>
          <w:rFonts w:hAnsi="Times New Roman" w:cs="Times New Roman"/>
          <w:i/>
          <w:iCs/>
          <w:noProof/>
        </w:rPr>
        <w:t>The vegetation of South Africa, Lesotho and Swaziland.</w:t>
      </w:r>
      <w:r w:rsidRPr="00BE7107">
        <w:rPr>
          <w:rFonts w:hAnsi="Times New Roman" w:cs="Times New Roman"/>
          <w:noProof/>
        </w:rPr>
        <w:t xml:space="preserve"> South African National Biodiversity Institute.</w:t>
      </w:r>
    </w:p>
    <w:p w14:paraId="4411AD70" w14:textId="1C145788" w:rsid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lastRenderedPageBreak/>
        <w:t xml:space="preserve">Rundel, P. W., Arroyo, M. T. K., Cowling, R. M., Keeley, J. E., Lamont, B. B., &amp; Vargas, P. (2016). Mediterranean Biomes: Evolution of Their Vegetation, Floras, and Climate.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(1), 383–407. https://doi.org/10.1146/annurev-ecolsys-121415-032330</w:t>
      </w:r>
    </w:p>
    <w:p w14:paraId="536ECE14" w14:textId="285528D2" w:rsidR="002F32A1" w:rsidRDefault="002F32A1" w:rsidP="009F6E75">
      <w:pPr>
        <w:widowControl w:val="0"/>
        <w:autoSpaceDE w:val="0"/>
        <w:autoSpaceDN w:val="0"/>
        <w:adjustRightInd w:val="0"/>
        <w:spacing w:after="180"/>
        <w:rPr>
          <w:rFonts w:hAnsi="Times New Roman" w:cs="Times New Roman"/>
          <w:noProof/>
        </w:rPr>
      </w:pPr>
    </w:p>
    <w:p w14:paraId="03C3FA09" w14:textId="77777777" w:rsidR="002F32A1" w:rsidRPr="00F66C40" w:rsidRDefault="002F32A1" w:rsidP="002F32A1">
      <w:pPr>
        <w:widowControl w:val="0"/>
        <w:autoSpaceDE w:val="0"/>
        <w:autoSpaceDN w:val="0"/>
        <w:adjustRightInd w:val="0"/>
        <w:ind w:left="720" w:hanging="720"/>
        <w:rPr>
          <w:rFonts w:hAnsi="Times New Roman" w:cs="Times New Roman"/>
          <w:noProof/>
          <w:lang w:val="en-GB"/>
        </w:rPr>
      </w:pPr>
      <w:r w:rsidRPr="00F66C40">
        <w:rPr>
          <w:rFonts w:hAnsi="Times New Roman" w:cs="Times New Roman"/>
          <w:noProof/>
          <w:lang w:val="en-GB"/>
        </w:rPr>
        <w:t xml:space="preserve">Chao A. &amp; Jost L. (2012) Coverage-based rarefaction and extrapolation: Standardizing samples by completeness rather than size. </w:t>
      </w:r>
      <w:r w:rsidRPr="00F66C40">
        <w:rPr>
          <w:rFonts w:hAnsi="Times New Roman" w:cs="Times New Roman"/>
          <w:i/>
          <w:iCs/>
          <w:noProof/>
          <w:lang w:val="en-GB"/>
        </w:rPr>
        <w:t>Ecology</w:t>
      </w:r>
      <w:r w:rsidRPr="00F66C40">
        <w:rPr>
          <w:rFonts w:hAnsi="Times New Roman" w:cs="Times New Roman"/>
          <w:noProof/>
          <w:lang w:val="en-GB"/>
        </w:rPr>
        <w:t xml:space="preserve">, </w:t>
      </w:r>
      <w:r w:rsidRPr="00F66C40">
        <w:rPr>
          <w:rFonts w:hAnsi="Times New Roman" w:cs="Times New Roman"/>
          <w:b/>
          <w:bCs/>
          <w:noProof/>
          <w:lang w:val="en-GB"/>
        </w:rPr>
        <w:t>93</w:t>
      </w:r>
      <w:r w:rsidRPr="00F66C40">
        <w:rPr>
          <w:rFonts w:hAnsi="Times New Roman" w:cs="Times New Roman"/>
          <w:noProof/>
          <w:lang w:val="en-GB"/>
        </w:rPr>
        <w:t xml:space="preserve">, 2533–2547. </w:t>
      </w:r>
    </w:p>
    <w:p w14:paraId="105BDFB9" w14:textId="77777777" w:rsidR="002F32A1" w:rsidRPr="00F66C40" w:rsidRDefault="002F32A1" w:rsidP="002F32A1">
      <w:pPr>
        <w:ind w:left="480" w:hanging="480"/>
        <w:rPr>
          <w:rFonts w:hAnsi="Times New Roman" w:cs="Times New Roman"/>
          <w:noProof/>
          <w:lang w:val="en-GB"/>
        </w:rPr>
      </w:pPr>
      <w:r w:rsidRPr="00F66C40">
        <w:rPr>
          <w:rFonts w:hAnsi="Times New Roman" w:cs="Times New Roman"/>
          <w:noProof/>
          <w:lang w:val="en-GB"/>
        </w:rPr>
        <w:t>Colville, J.C., Potts A.J., Bradshaw P.L., Measey J., Snyman D., Picker M.D. Procheş S., Bowie R.C.K. &amp; Manning J.C. (2014) Floristic and faunal Cape biochoria: do they exist.</w:t>
      </w:r>
      <w:r w:rsidRPr="00F66C40">
        <w:rPr>
          <w:rFonts w:hAnsi="Times New Roman" w:cs="Times New Roman"/>
          <w:i/>
          <w:noProof/>
          <w:lang w:val="en-GB"/>
        </w:rPr>
        <w:t xml:space="preserve"> Fynbos: ecology, evolution, and conservation of a megadiverse region </w:t>
      </w:r>
      <w:r w:rsidRPr="00F66C40">
        <w:rPr>
          <w:rFonts w:hAnsi="Times New Roman" w:cs="Times New Roman"/>
          <w:noProof/>
          <w:lang w:val="en-GB"/>
        </w:rPr>
        <w:t>(ed. by N. Allsopp, J.F. Colville, G.A. Verboom and R.M. Cowling), pp. 73–93, Oxford University Press, Oxford.</w:t>
      </w:r>
    </w:p>
    <w:p w14:paraId="2FA27561" w14:textId="77777777" w:rsidR="002F32A1" w:rsidRPr="00F66C40" w:rsidRDefault="002F32A1" w:rsidP="002F32A1">
      <w:pPr>
        <w:ind w:left="720" w:hanging="720"/>
        <w:rPr>
          <w:rFonts w:hAnsi="Times New Roman" w:cs="Times New Roman"/>
          <w:noProof/>
          <w:lang w:val="en-GB"/>
        </w:rPr>
      </w:pPr>
      <w:r w:rsidRPr="00F66C40">
        <w:rPr>
          <w:rFonts w:hAnsi="Times New Roman" w:cs="Times New Roman"/>
          <w:noProof/>
          <w:lang w:val="en-GB"/>
        </w:rPr>
        <w:t xml:space="preserve">Engemann K., Enquist B.J., Sandel B., Boyle B., Jørgensen P.M., Morueta-Holme N., Peet R.K., Violle C., &amp; Svenning J.-C. (2015) Limited sampling hampers “big data” estimation of species richness in a tropical biodiversity hotspot. </w:t>
      </w:r>
      <w:r w:rsidRPr="00F66C40">
        <w:rPr>
          <w:rFonts w:hAnsi="Times New Roman" w:cs="Times New Roman"/>
          <w:i/>
          <w:iCs/>
          <w:noProof/>
          <w:lang w:val="en-GB"/>
        </w:rPr>
        <w:t>Ecology and Evolution</w:t>
      </w:r>
      <w:r w:rsidRPr="00F66C40">
        <w:rPr>
          <w:rFonts w:hAnsi="Times New Roman" w:cs="Times New Roman"/>
          <w:noProof/>
          <w:lang w:val="en-GB"/>
        </w:rPr>
        <w:t xml:space="preserve">, </w:t>
      </w:r>
      <w:r w:rsidRPr="00F66C40">
        <w:rPr>
          <w:rFonts w:hAnsi="Times New Roman" w:cs="Times New Roman"/>
          <w:b/>
          <w:bCs/>
          <w:noProof/>
          <w:lang w:val="en-GB"/>
        </w:rPr>
        <w:t>5</w:t>
      </w:r>
      <w:r w:rsidRPr="00F66C40">
        <w:rPr>
          <w:rFonts w:hAnsi="Times New Roman" w:cs="Times New Roman"/>
          <w:noProof/>
          <w:lang w:val="en-GB"/>
        </w:rPr>
        <w:t xml:space="preserve">, 807–820. </w:t>
      </w:r>
    </w:p>
    <w:p w14:paraId="244ADFF8" w14:textId="77777777" w:rsidR="002F32A1" w:rsidRPr="00F66C40" w:rsidRDefault="002F32A1" w:rsidP="002F32A1">
      <w:pPr>
        <w:ind w:left="480" w:hanging="480"/>
        <w:rPr>
          <w:rFonts w:hAnsi="Times New Roman" w:cs="Times New Roman"/>
          <w:noProof/>
          <w:lang w:val="en-GB"/>
        </w:rPr>
      </w:pPr>
      <w:r w:rsidRPr="00F66C40">
        <w:rPr>
          <w:rFonts w:hAnsi="Times New Roman" w:cs="Times New Roman"/>
          <w:noProof/>
          <w:lang w:val="en-GB"/>
        </w:rPr>
        <w:t xml:space="preserve">Gotelli N.J. &amp; Colwell R.K. (2001) Quantifying biodiversity: Procedures and pitfalls in the measurement and comparison of species richness. </w:t>
      </w:r>
      <w:r w:rsidRPr="00F66C40">
        <w:rPr>
          <w:rFonts w:hAnsi="Times New Roman" w:cs="Times New Roman"/>
          <w:i/>
          <w:iCs/>
          <w:noProof/>
          <w:lang w:val="en-GB"/>
        </w:rPr>
        <w:t>Ecology Letters</w:t>
      </w:r>
      <w:r w:rsidRPr="00F66C40">
        <w:rPr>
          <w:rFonts w:hAnsi="Times New Roman" w:cs="Times New Roman"/>
          <w:noProof/>
          <w:lang w:val="en-GB"/>
        </w:rPr>
        <w:t xml:space="preserve">, </w:t>
      </w:r>
      <w:r w:rsidRPr="00F66C40">
        <w:rPr>
          <w:rFonts w:hAnsi="Times New Roman" w:cs="Times New Roman"/>
          <w:b/>
          <w:bCs/>
          <w:noProof/>
          <w:lang w:val="en-GB"/>
        </w:rPr>
        <w:t>4</w:t>
      </w:r>
      <w:r w:rsidRPr="00F66C40">
        <w:rPr>
          <w:rFonts w:hAnsi="Times New Roman" w:cs="Times New Roman"/>
          <w:noProof/>
          <w:lang w:val="en-GB"/>
        </w:rPr>
        <w:t xml:space="preserve">, 379–391. </w:t>
      </w:r>
    </w:p>
    <w:p w14:paraId="677EF16D" w14:textId="77777777" w:rsidR="002F32A1" w:rsidRDefault="002F32A1" w:rsidP="002F32A1">
      <w:pPr>
        <w:ind w:left="480" w:hanging="480"/>
        <w:rPr>
          <w:rFonts w:hAnsi="Times New Roman" w:cs="Times New Roman"/>
          <w:noProof/>
          <w:lang w:val="en-GB"/>
        </w:rPr>
      </w:pPr>
      <w:r w:rsidRPr="00F66C40">
        <w:rPr>
          <w:rFonts w:hAnsi="Times New Roman" w:cs="Times New Roman"/>
          <w:noProof/>
          <w:lang w:val="en-GB"/>
        </w:rPr>
        <w:t xml:space="preserve">Merow C., Smith M.J., &amp; Silander J.A. (2013) A practical guide to MaxEnt for modeling species’ distributions: What it does, and why inputs and settings matter. </w:t>
      </w:r>
      <w:r w:rsidRPr="00F66C40">
        <w:rPr>
          <w:rFonts w:hAnsi="Times New Roman" w:cs="Times New Roman"/>
          <w:i/>
          <w:iCs/>
          <w:noProof/>
          <w:lang w:val="en-GB"/>
        </w:rPr>
        <w:t>Ecography</w:t>
      </w:r>
      <w:r w:rsidRPr="00F66C40">
        <w:rPr>
          <w:rFonts w:hAnsi="Times New Roman" w:cs="Times New Roman"/>
          <w:noProof/>
          <w:lang w:val="en-GB"/>
        </w:rPr>
        <w:t xml:space="preserve">, </w:t>
      </w:r>
      <w:r w:rsidRPr="00F66C40">
        <w:rPr>
          <w:rFonts w:hAnsi="Times New Roman" w:cs="Times New Roman"/>
          <w:b/>
          <w:bCs/>
          <w:noProof/>
          <w:lang w:val="en-GB"/>
        </w:rPr>
        <w:t>36</w:t>
      </w:r>
      <w:r w:rsidRPr="00F66C40">
        <w:rPr>
          <w:rFonts w:hAnsi="Times New Roman" w:cs="Times New Roman"/>
          <w:noProof/>
          <w:lang w:val="en-GB"/>
        </w:rPr>
        <w:t xml:space="preserve">, 1058–1069. </w:t>
      </w:r>
    </w:p>
    <w:p w14:paraId="0C00D59E" w14:textId="77777777" w:rsidR="002F32A1" w:rsidRDefault="002F32A1" w:rsidP="002F32A1">
      <w:pPr>
        <w:widowControl w:val="0"/>
        <w:autoSpaceDE w:val="0"/>
        <w:autoSpaceDN w:val="0"/>
        <w:adjustRightInd w:val="0"/>
        <w:ind w:left="720" w:hanging="720"/>
        <w:rPr>
          <w:rFonts w:hAnsi="Times New Roman" w:cs="Times New Roman"/>
          <w:noProof/>
        </w:rPr>
      </w:pPr>
      <w:r w:rsidRPr="00F66C40">
        <w:rPr>
          <w:rFonts w:hAnsi="Times New Roman" w:cs="Times New Roman"/>
          <w:noProof/>
        </w:rPr>
        <w:t xml:space="preserve">Rebelo T. (2001) </w:t>
      </w:r>
      <w:r w:rsidRPr="00F66C40">
        <w:rPr>
          <w:rFonts w:hAnsi="Times New Roman" w:cs="Times New Roman"/>
          <w:i/>
          <w:noProof/>
        </w:rPr>
        <w:t>Proteas: A Field Guide to the Proteas of Southern Africa</w:t>
      </w:r>
      <w:r w:rsidRPr="00F66C40">
        <w:rPr>
          <w:rFonts w:hAnsi="Times New Roman" w:cs="Times New Roman"/>
          <w:noProof/>
        </w:rPr>
        <w:t xml:space="preserve">. Fernwood Press, Cape Town. </w:t>
      </w:r>
    </w:p>
    <w:p w14:paraId="660BC7FE" w14:textId="0A0FE09B" w:rsidR="009F6E75" w:rsidRDefault="009F6E75">
      <w:pPr>
        <w:rPr>
          <w:rFonts w:hAnsi="Times New Roman" w:cs="Times New Roman"/>
          <w:noProof/>
        </w:rPr>
      </w:pPr>
      <w:r>
        <w:rPr>
          <w:rFonts w:hAnsi="Times New Roman" w:cs="Times New Roman"/>
          <w:noProof/>
        </w:rPr>
        <w:br w:type="page"/>
      </w:r>
    </w:p>
    <w:p w14:paraId="48A13E83" w14:textId="163E3BF1" w:rsidR="00EF41C1" w:rsidRDefault="008E0DFC" w:rsidP="002C20EB">
      <w:pPr>
        <w:pStyle w:val="Heading1"/>
      </w:pPr>
      <w:r>
        <w:rPr>
          <w:b w:val="0"/>
          <w:bCs w:val="0"/>
        </w:rPr>
        <w:lastRenderedPageBreak/>
        <w:fldChar w:fldCharType="end"/>
      </w:r>
      <w:proofErr w:type="spellStart"/>
      <w:r w:rsidR="004D4AE1" w:rsidRPr="004D4AE1">
        <w:t>Biosketch</w:t>
      </w:r>
      <w:r w:rsidR="004D4AE1">
        <w:t>es</w:t>
      </w:r>
      <w:proofErr w:type="spellEnd"/>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CD5330">
        <w:rPr>
          <w:highlight w:val="yellow"/>
        </w:rPr>
        <w:t>A</w:t>
      </w:r>
      <w:r w:rsidRPr="00CD5330">
        <w:rPr>
          <w:highlight w:val="yellow"/>
        </w:rPr>
        <w:t xml:space="preserve">ll authors contributed equally </w:t>
      </w:r>
      <w:r w:rsidR="00DE68BB" w:rsidRPr="00CD5330">
        <w:rPr>
          <w:highlight w:val="yellow"/>
        </w:rPr>
        <w:t>to the writing thereafter</w:t>
      </w:r>
      <w:r w:rsidRPr="00CD5330">
        <w:rPr>
          <w:highlight w:val="yellow"/>
        </w:rPr>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2" w:history="1">
        <w:r w:rsidRPr="002C20EB">
          <w:rPr>
            <w:rStyle w:val="Hyperlink"/>
          </w:rPr>
          <w:t>https://orcid.org/0000-0002-1363-9781</w:t>
        </w:r>
      </w:hyperlink>
    </w:p>
    <w:sectPr w:rsidR="00B46208" w:rsidRPr="00B46208" w:rsidSect="002C20EB">
      <w:footerReference w:type="default" r:id="rId23"/>
      <w:pgSz w:w="12240" w:h="15840"/>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Ruan Van Mazijk" w:date="2019-12-03T12:46:00Z" w:initials="RVM">
    <w:p w14:paraId="346C3B27" w14:textId="00BBE662" w:rsidR="00FC3AFE" w:rsidRDefault="00FC3AFE">
      <w:pPr>
        <w:pStyle w:val="CommentText"/>
      </w:pPr>
      <w:r>
        <w:rPr>
          <w:rStyle w:val="CommentReference"/>
        </w:rPr>
        <w:annotationRef/>
      </w:r>
      <w:r>
        <w:t>Journal of Biogeography style for now</w:t>
      </w:r>
    </w:p>
  </w:comment>
  <w:comment w:id="5" w:author="Ruan Van Mazijk" w:date="2019-12-03T12:24:00Z" w:initials="RVM">
    <w:p w14:paraId="2C95E568" w14:textId="110A8F45" w:rsidR="00FC3AFE" w:rsidRDefault="00FC3AFE">
      <w:pPr>
        <w:pStyle w:val="CommentText"/>
      </w:pPr>
      <w:r>
        <w:rPr>
          <w:rStyle w:val="CommentReference"/>
        </w:rPr>
        <w:annotationRef/>
      </w:r>
      <w:r>
        <w:rPr>
          <w:rStyle w:val="CommentReference"/>
        </w:rPr>
        <w:t>We</w:t>
      </w:r>
      <w:r>
        <w:t xml:space="preserve"> didn</w:t>
      </w:r>
      <w:r>
        <w:t>’</w:t>
      </w:r>
      <w:r>
        <w:t>t do this?</w:t>
      </w:r>
    </w:p>
  </w:comment>
  <w:comment w:id="6" w:author="Michael Cramer" w:date="2019-10-06T08:53:00Z" w:initials="MC">
    <w:p w14:paraId="16A5BD8E" w14:textId="64EEAEFD" w:rsidR="00FC3AFE" w:rsidRDefault="00FC3AFE">
      <w:pPr>
        <w:pStyle w:val="CommentText"/>
      </w:pPr>
      <w:r>
        <w:rPr>
          <w:rStyle w:val="CommentReference"/>
        </w:rPr>
        <w:annotationRef/>
      </w:r>
      <w:r>
        <w:t>Isn</w:t>
      </w:r>
      <w:r>
        <w:t>’</w:t>
      </w:r>
      <w:r>
        <w:t>t this restating the sentence 1 back?</w:t>
      </w:r>
    </w:p>
  </w:comment>
  <w:comment w:id="7" w:author="Ruan Van Mazijk" w:date="2019-10-07T15:41:00Z" w:initials="RVM">
    <w:p w14:paraId="739A862A" w14:textId="7767E5B8" w:rsidR="00FC3AFE" w:rsidRDefault="00FC3AFE">
      <w:pPr>
        <w:pStyle w:val="CommentText"/>
      </w:pPr>
      <w:r>
        <w:rPr>
          <w:rStyle w:val="CommentReference"/>
        </w:rPr>
        <w:annotationRef/>
      </w:r>
      <w:r>
        <w:t>I think the sentence 1 back is more about heterogeneity providing gradients along which speciation can occur, while this sentence is more about heterogeneity increasing the diversity of habitats that may be refugia for lineages, allowing them to accumulate with time in spite of climatic fluctuations.</w:t>
      </w:r>
    </w:p>
  </w:comment>
  <w:comment w:id="8" w:author="Michael Cramer" w:date="2019-10-06T09:02:00Z" w:initials="MC">
    <w:p w14:paraId="1A2D83B2" w14:textId="49140011" w:rsidR="00FC3AFE" w:rsidRDefault="00FC3AFE">
      <w:pPr>
        <w:pStyle w:val="CommentText"/>
      </w:pPr>
      <w:r>
        <w:rPr>
          <w:rStyle w:val="CommentReference"/>
        </w:rPr>
        <w:annotationRef/>
      </w:r>
      <w:r>
        <w:t>Does a woody component mean bigger individuals, lower density, lower species richness?</w:t>
      </w:r>
    </w:p>
  </w:comment>
  <w:comment w:id="9" w:author="Michael Cramer" w:date="2019-10-06T08:56:00Z" w:initials="MC">
    <w:p w14:paraId="0D85E42B" w14:textId="713185B3" w:rsidR="00FC3AFE" w:rsidRDefault="00FC3AFE">
      <w:pPr>
        <w:pStyle w:val="CommentText"/>
      </w:pPr>
      <w:r>
        <w:rPr>
          <w:rStyle w:val="CommentReference"/>
        </w:rPr>
        <w:annotationRef/>
      </w:r>
      <w:r>
        <w:t>This tree component only occurs on more nutrient rich soils or area with high rainfall (Cramer</w:t>
      </w:r>
      <w:r>
        <w:t>…</w:t>
      </w:r>
      <w:r>
        <w:t xml:space="preserve">XXXX). To me this kind of makes it a different beast to </w:t>
      </w:r>
      <w:proofErr w:type="spellStart"/>
      <w:r>
        <w:t>kwongan</w:t>
      </w:r>
      <w:proofErr w:type="spellEnd"/>
      <w:r>
        <w:t xml:space="preserve">/fynbos. We also have a </w:t>
      </w:r>
      <w:r>
        <w:t>“</w:t>
      </w:r>
      <w:r>
        <w:t>significant tree</w:t>
      </w:r>
      <w:r>
        <w:t>”</w:t>
      </w:r>
      <w:r>
        <w:t xml:space="preserve"> component but localized in geographic extent to riverine </w:t>
      </w:r>
      <w:proofErr w:type="spellStart"/>
      <w:r>
        <w:t>etc</w:t>
      </w:r>
      <w:proofErr w:type="spellEnd"/>
      <w:r>
        <w:t xml:space="preserve"> bands.</w:t>
      </w:r>
    </w:p>
  </w:comment>
  <w:comment w:id="10" w:author="Ruan Van Mazijk" w:date="2019-10-07T15:43:00Z" w:initials="RVM">
    <w:p w14:paraId="50E697F5" w14:textId="121413FD" w:rsidR="00FC3AFE" w:rsidRDefault="00FC3AFE">
      <w:pPr>
        <w:pStyle w:val="CommentText"/>
      </w:pPr>
      <w:r>
        <w:rPr>
          <w:rStyle w:val="CommentReference"/>
        </w:rPr>
        <w:annotationRef/>
      </w:r>
      <w:r>
        <w:t>This is a good point</w:t>
      </w:r>
      <w:r>
        <w:t>…</w:t>
      </w:r>
      <w:r>
        <w:t xml:space="preserve"> Shall we chat more about this at some point?</w:t>
      </w:r>
    </w:p>
  </w:comment>
  <w:comment w:id="11" w:author="Ruan Van Mazijk" w:date="2019-12-03T12:30:00Z" w:initials="RVM">
    <w:p w14:paraId="276D846E" w14:textId="7583AD33" w:rsidR="00FC3AFE" w:rsidRDefault="00FC3AFE">
      <w:pPr>
        <w:pStyle w:val="CommentText"/>
      </w:pPr>
      <w:r>
        <w:rPr>
          <w:rStyle w:val="CommentReference"/>
        </w:rPr>
        <w:annotationRef/>
      </w:r>
      <w:r>
        <w:t>GCFR?</w:t>
      </w:r>
    </w:p>
  </w:comment>
  <w:comment w:id="13" w:author="Michael Cramer" w:date="2019-12-02T11:15:00Z" w:initials="MC">
    <w:p w14:paraId="03CFEB10" w14:textId="7AC156BE" w:rsidR="00FC3AFE" w:rsidRDefault="00FC3AFE">
      <w:pPr>
        <w:pStyle w:val="CommentText"/>
      </w:pPr>
      <w:r>
        <w:rPr>
          <w:rStyle w:val="CommentReference"/>
        </w:rPr>
        <w:annotationRef/>
      </w:r>
      <w:r>
        <w:t xml:space="preserve">I am wondering whether we need to pre-empt the rarefaction argument better here. For example, I might be bold and say that rarefaction is entirely inappropriate for museum/herbarium specimens. </w:t>
      </w:r>
    </w:p>
  </w:comment>
  <w:comment w:id="14" w:author="Ruan Van Mazijk" w:date="2019-12-03T12:32:00Z" w:initials="RVM">
    <w:p w14:paraId="52802E12" w14:textId="0E283C27" w:rsidR="00FC3AFE" w:rsidRDefault="00FC3AFE">
      <w:pPr>
        <w:pStyle w:val="CommentText"/>
      </w:pPr>
      <w:r>
        <w:rPr>
          <w:rStyle w:val="CommentReference"/>
        </w:rPr>
        <w:annotationRef/>
      </w:r>
      <w:r>
        <w:t>That</w:t>
      </w:r>
      <w:r>
        <w:t>’</w:t>
      </w:r>
      <w:r>
        <w:t>s a good point!</w:t>
      </w:r>
    </w:p>
  </w:comment>
  <w:comment w:id="15" w:author="Ruan Van Mazijk" w:date="2019-12-04T10:53:00Z" w:initials="RVM">
    <w:p w14:paraId="1C33D467" w14:textId="570F1950" w:rsidR="00FC3AFE" w:rsidRDefault="00FC3AFE">
      <w:pPr>
        <w:pStyle w:val="CommentText"/>
      </w:pPr>
      <w:r>
        <w:rPr>
          <w:rStyle w:val="CommentReference"/>
        </w:rPr>
        <w:annotationRef/>
      </w:r>
      <w:r>
        <w:t>Added this statement. Reword?</w:t>
      </w:r>
    </w:p>
  </w:comment>
  <w:comment w:id="16" w:author="Michael Cramer" w:date="2019-12-02T11:29:00Z" w:initials="MC">
    <w:p w14:paraId="5228A70D" w14:textId="4456D76A" w:rsidR="00FC3AFE" w:rsidRDefault="00FC3AFE">
      <w:pPr>
        <w:pStyle w:val="CommentText"/>
      </w:pPr>
      <w:r>
        <w:rPr>
          <w:rStyle w:val="CommentReference"/>
        </w:rPr>
        <w:annotationRef/>
      </w:r>
      <w:r>
        <w:t>What was the in the broader set that was left out?</w:t>
      </w:r>
    </w:p>
  </w:comment>
  <w:comment w:id="17" w:author="Ruan Van Mazijk" w:date="2019-12-04T11:07:00Z" w:initials="RVM">
    <w:p w14:paraId="7FCF8830" w14:textId="0D899BBA" w:rsidR="00FC3AFE" w:rsidRDefault="00FC3AFE">
      <w:pPr>
        <w:pStyle w:val="CommentText"/>
      </w:pPr>
      <w:r>
        <w:rPr>
          <w:rStyle w:val="CommentReference"/>
        </w:rPr>
        <w:annotationRef/>
      </w:r>
      <w:r>
        <w:t>You</w:t>
      </w:r>
      <w:r>
        <w:t>’</w:t>
      </w:r>
      <w:r>
        <w:t>re right in asking. There weren</w:t>
      </w:r>
      <w:r>
        <w:t>’</w:t>
      </w:r>
      <w:r>
        <w:t>t really any, save the absolute vars. I think the way I</w:t>
      </w:r>
      <w:r>
        <w:t>’</w:t>
      </w:r>
      <w:r>
        <w:t>ve phrased it now works better?</w:t>
      </w:r>
    </w:p>
  </w:comment>
  <w:comment w:id="18" w:author="Michael Cramer" w:date="2019-12-02T11:30:00Z" w:initials="MC">
    <w:p w14:paraId="34FAFFC4" w14:textId="55845394" w:rsidR="00FC3AFE" w:rsidRDefault="00FC3AFE">
      <w:pPr>
        <w:pStyle w:val="CommentText"/>
      </w:pPr>
      <w:r>
        <w:rPr>
          <w:rStyle w:val="CommentReference"/>
        </w:rPr>
        <w:annotationRef/>
      </w:r>
      <w:r>
        <w:t xml:space="preserve">Why nominally? This should been informed by </w:t>
      </w:r>
      <w:proofErr w:type="spellStart"/>
      <w:r>
        <w:t>collinearty</w:t>
      </w:r>
      <w:proofErr w:type="spellEnd"/>
      <w:r>
        <w:t xml:space="preserve"> tests and so surely </w:t>
      </w:r>
      <w:proofErr w:type="spellStart"/>
      <w:r>
        <w:t>nimonally</w:t>
      </w:r>
      <w:proofErr w:type="spellEnd"/>
      <w:r>
        <w:t xml:space="preserve"> is not an accurate description?</w:t>
      </w:r>
    </w:p>
  </w:comment>
  <w:comment w:id="19" w:author="Ruan Van Mazijk" w:date="2019-12-03T12:33:00Z" w:initials="RVM">
    <w:p w14:paraId="0FE22BDB" w14:textId="51654128" w:rsidR="00FC3AFE" w:rsidRDefault="00FC3AFE">
      <w:pPr>
        <w:pStyle w:val="CommentText"/>
      </w:pPr>
      <w:r>
        <w:rPr>
          <w:rStyle w:val="CommentReference"/>
        </w:rPr>
        <w:annotationRef/>
      </w:r>
      <w:r>
        <w:t>Fair point! I</w:t>
      </w:r>
      <w:r>
        <w:t>’</w:t>
      </w:r>
      <w:r>
        <w:t>ve check this and will add as supplementary (will discuss with you guys too).</w:t>
      </w:r>
    </w:p>
  </w:comment>
  <w:comment w:id="20" w:author="Michael Cramer" w:date="2019-10-06T20:10:00Z" w:initials="MC">
    <w:p w14:paraId="5AED77A5" w14:textId="45F362C3" w:rsidR="00FC3AFE" w:rsidRDefault="00FC3AFE">
      <w:pPr>
        <w:pStyle w:val="CommentText"/>
      </w:pPr>
      <w:r>
        <w:rPr>
          <w:rStyle w:val="CommentReference"/>
        </w:rPr>
        <w:annotationRef/>
      </w:r>
      <w:r>
        <w:t>This suggests they were lumped together?</w:t>
      </w:r>
    </w:p>
  </w:comment>
  <w:comment w:id="21" w:author="Ruan Van Mazijk" w:date="2019-10-07T15:44:00Z" w:initials="RVM">
    <w:p w14:paraId="1E812954" w14:textId="484F8BEE" w:rsidR="00FC3AFE" w:rsidRDefault="00FC3AFE">
      <w:pPr>
        <w:pStyle w:val="CommentText"/>
      </w:pPr>
      <w:r>
        <w:rPr>
          <w:rStyle w:val="CommentReference"/>
        </w:rPr>
        <w:annotationRef/>
      </w:r>
      <w:r>
        <w:t>They were! It was a single PCA</w:t>
      </w:r>
      <w:r>
        <w:t>…</w:t>
      </w:r>
    </w:p>
  </w:comment>
  <w:comment w:id="22" w:author="Michael Cramer" w:date="2019-10-06T20:11:00Z" w:initials="MC">
    <w:p w14:paraId="3D93755E" w14:textId="0E76DB81" w:rsidR="00FC3AFE" w:rsidRDefault="00FC3AFE">
      <w:pPr>
        <w:pStyle w:val="CommentText"/>
      </w:pPr>
      <w:r>
        <w:rPr>
          <w:rStyle w:val="CommentReference"/>
        </w:rPr>
        <w:annotationRef/>
      </w:r>
      <w:r>
        <w:t xml:space="preserve">Is the standard not to </w:t>
      </w:r>
      <w:r>
        <w:t>“</w:t>
      </w:r>
      <w:r>
        <w:t>scale</w:t>
      </w:r>
      <w:r>
        <w:t>”</w:t>
      </w:r>
      <w:r>
        <w:t xml:space="preserve"> the variables for PCA anyway?</w:t>
      </w:r>
    </w:p>
  </w:comment>
  <w:comment w:id="23" w:author="Ruan Van Mazijk" w:date="2019-10-07T11:59:00Z" w:initials="RVM">
    <w:p w14:paraId="4E6C485B" w14:textId="2B0CE332" w:rsidR="00FC3AFE" w:rsidRDefault="00FC3AFE">
      <w:pPr>
        <w:pStyle w:val="CommentText"/>
      </w:pPr>
      <w:r>
        <w:rPr>
          <w:rStyle w:val="CommentReference"/>
        </w:rPr>
        <w:annotationRef/>
      </w:r>
      <w:r>
        <w:t>It is the standard yes, but the log10-transofrm is not the scaling. The transformation made sure the data wasn</w:t>
      </w:r>
      <w:r>
        <w:t>’</w:t>
      </w:r>
      <w:r>
        <w:t>t skewed</w:t>
      </w:r>
      <w:r>
        <w:t>…</w:t>
      </w:r>
    </w:p>
  </w:comment>
  <w:comment w:id="25" w:author="Ruan Van Mazijk" w:date="2019-12-03T11:34:00Z" w:initials="RVM">
    <w:p w14:paraId="13E1EB9E" w14:textId="4CDF16C1" w:rsidR="00FC3AFE" w:rsidRDefault="00FC3AFE">
      <w:pPr>
        <w:pStyle w:val="CommentText"/>
      </w:pPr>
      <w:r>
        <w:rPr>
          <w:rStyle w:val="CommentReference"/>
        </w:rPr>
        <w:annotationRef/>
      </w:r>
      <w:r>
        <w:t>And to home-in on the relationships in the non-hotspot parts of the two regions?</w:t>
      </w:r>
    </w:p>
  </w:comment>
  <w:comment w:id="27" w:author="Michael Cramer" w:date="2019-12-03T08:06:00Z" w:initials="MC">
    <w:p w14:paraId="3FA9A013" w14:textId="31BD4F42" w:rsidR="00FC3AFE" w:rsidRDefault="00FC3AFE">
      <w:pPr>
        <w:pStyle w:val="CommentText"/>
      </w:pPr>
      <w:r>
        <w:rPr>
          <w:rStyle w:val="CommentReference"/>
        </w:rPr>
        <w:annotationRef/>
      </w:r>
      <w:r>
        <w:t>It is not easy to see this from Fig 2. There was some discussion about relativizing this but I don</w:t>
      </w:r>
      <w:r>
        <w:t>’</w:t>
      </w:r>
      <w:r>
        <w:t>t remember what happened to that.</w:t>
      </w:r>
    </w:p>
  </w:comment>
  <w:comment w:id="28" w:author="Ruan Van Mazijk" w:date="2019-12-03T12:14:00Z" w:initials="RVM">
    <w:p w14:paraId="3121CA7E" w14:textId="42932269" w:rsidR="00FC3AFE" w:rsidRDefault="00FC3AFE">
      <w:pPr>
        <w:pStyle w:val="CommentText"/>
      </w:pPr>
      <w:r>
        <w:rPr>
          <w:rStyle w:val="CommentReference"/>
        </w:rPr>
        <w:annotationRef/>
      </w:r>
      <w:r>
        <w:t>Still don</w:t>
      </w:r>
      <w:r>
        <w:t>’</w:t>
      </w:r>
      <w:r>
        <w:t xml:space="preserve">t know what you mean by </w:t>
      </w:r>
      <w:proofErr w:type="spellStart"/>
      <w:r>
        <w:t>relativising</w:t>
      </w:r>
      <w:proofErr w:type="spellEnd"/>
      <w:r>
        <w:t xml:space="preserve"> or </w:t>
      </w:r>
      <w:proofErr w:type="spellStart"/>
      <w:r>
        <w:t>standardising</w:t>
      </w:r>
      <w:proofErr w:type="spellEnd"/>
      <w:r>
        <w:t xml:space="preserve"> here?</w:t>
      </w:r>
    </w:p>
  </w:comment>
  <w:comment w:id="29" w:author="Michael Cramer" w:date="2019-12-03T08:07:00Z" w:initials="MC">
    <w:p w14:paraId="330C274F" w14:textId="162472F8" w:rsidR="00FC3AFE" w:rsidRDefault="00FC3AFE">
      <w:pPr>
        <w:pStyle w:val="CommentText"/>
      </w:pPr>
      <w:r>
        <w:rPr>
          <w:rStyle w:val="CommentReference"/>
        </w:rPr>
        <w:annotationRef/>
      </w:r>
      <w:r>
        <w:t>Strange to have this result in S rather than with other panels in Fig 2.</w:t>
      </w:r>
    </w:p>
  </w:comment>
  <w:comment w:id="30" w:author="Ruan Van Mazijk" w:date="2019-12-03T11:55:00Z" w:initials="RVM">
    <w:p w14:paraId="1C54F278" w14:textId="40FFA1DC" w:rsidR="00FC3AFE" w:rsidRDefault="00FC3AFE">
      <w:pPr>
        <w:pStyle w:val="CommentText"/>
      </w:pPr>
      <w:r>
        <w:rPr>
          <w:rStyle w:val="CommentReference"/>
        </w:rPr>
        <w:annotationRef/>
      </w:r>
      <w:r>
        <w:t>I agree. The updated version of the figure has it.</w:t>
      </w:r>
    </w:p>
  </w:comment>
  <w:comment w:id="31" w:author="Michael Cramer" w:date="2019-12-03T08:17:00Z" w:initials="MC">
    <w:p w14:paraId="5C360526" w14:textId="3EE07712" w:rsidR="00FC3AFE" w:rsidRDefault="00FC3AFE">
      <w:pPr>
        <w:pStyle w:val="CommentText"/>
      </w:pPr>
      <w:r>
        <w:rPr>
          <w:rStyle w:val="CommentReference"/>
        </w:rPr>
        <w:annotationRef/>
      </w:r>
      <w:r>
        <w:t xml:space="preserve">I think just refer to the table/figure (which?) rather than saying this. </w:t>
      </w:r>
    </w:p>
  </w:comment>
  <w:comment w:id="32" w:author="Ruan Van Mazijk" w:date="2019-12-03T11:57:00Z" w:initials="RVM">
    <w:p w14:paraId="07C22E28" w14:textId="471300FA" w:rsidR="00FC3AFE" w:rsidRDefault="00FC3AFE">
      <w:pPr>
        <w:pStyle w:val="CommentText"/>
      </w:pPr>
      <w:r>
        <w:rPr>
          <w:rStyle w:val="CommentReference"/>
        </w:rPr>
        <w:annotationRef/>
      </w:r>
      <w:r>
        <w:t>The table is for the univariate (ANCOVA) results, the figure for the multivariate results.</w:t>
      </w:r>
    </w:p>
  </w:comment>
  <w:comment w:id="33" w:author="Michael Cramer" w:date="2019-10-06T20:52:00Z" w:initials="MC">
    <w:p w14:paraId="44AE895E" w14:textId="77777777" w:rsidR="00FC3AFE" w:rsidRDefault="00FC3AFE" w:rsidP="001A7D58">
      <w:pPr>
        <w:pStyle w:val="CommentText"/>
      </w:pPr>
      <w:r>
        <w:rPr>
          <w:rStyle w:val="CommentReference"/>
        </w:rPr>
        <w:annotationRef/>
      </w:r>
      <w:r>
        <w:t>Why is this SD?</w:t>
      </w:r>
    </w:p>
  </w:comment>
  <w:comment w:id="34" w:author="Ruan Van Mazijk" w:date="2019-10-08T09:24:00Z" w:initials="RVM">
    <w:p w14:paraId="76D8A660" w14:textId="77777777" w:rsidR="00FC3AFE" w:rsidRDefault="00FC3AFE" w:rsidP="001A7D58">
      <w:pPr>
        <w:pStyle w:val="CommentText"/>
      </w:pPr>
      <w:r>
        <w:rPr>
          <w:rStyle w:val="CommentReference"/>
        </w:rPr>
        <w:annotationRef/>
      </w:r>
      <w:r>
        <w:t>Should it be the variance rather?</w:t>
      </w:r>
    </w:p>
  </w:comment>
  <w:comment w:id="35" w:author="Michael Cramer" w:date="2019-10-06T20:52:00Z" w:initials="MC">
    <w:p w14:paraId="72002478" w14:textId="77777777" w:rsidR="00FC3AFE" w:rsidRDefault="00FC3AFE" w:rsidP="00827247">
      <w:pPr>
        <w:pStyle w:val="CommentText"/>
      </w:pPr>
      <w:r>
        <w:rPr>
          <w:rStyle w:val="CommentReference"/>
        </w:rPr>
        <w:annotationRef/>
      </w:r>
      <w:r>
        <w:t>Why is this SD?</w:t>
      </w:r>
    </w:p>
  </w:comment>
  <w:comment w:id="36" w:author="Ruan Van Mazijk" w:date="2019-10-08T09:24:00Z" w:initials="RVM">
    <w:p w14:paraId="0A83FFEA" w14:textId="77777777" w:rsidR="00FC3AFE" w:rsidRDefault="00FC3AFE" w:rsidP="00827247">
      <w:pPr>
        <w:pStyle w:val="CommentText"/>
      </w:pPr>
      <w:r>
        <w:rPr>
          <w:rStyle w:val="CommentReference"/>
        </w:rPr>
        <w:annotationRef/>
      </w:r>
      <w:r>
        <w:t>Should it be the variance rather?</w:t>
      </w:r>
    </w:p>
  </w:comment>
  <w:comment w:id="38" w:author="Michael Cramer" w:date="2019-12-03T08:19:00Z" w:initials="MC">
    <w:p w14:paraId="20553D95" w14:textId="4D7D575C" w:rsidR="00FC3AFE" w:rsidRDefault="00FC3AFE">
      <w:pPr>
        <w:pStyle w:val="CommentText"/>
      </w:pPr>
      <w:r>
        <w:rPr>
          <w:rStyle w:val="CommentReference"/>
        </w:rPr>
        <w:annotationRef/>
      </w:r>
      <w:r>
        <w:t>Nice!</w:t>
      </w:r>
    </w:p>
  </w:comment>
  <w:comment w:id="37" w:author="Ruan Van Mazijk" w:date="2019-12-03T11:36:00Z" w:initials="RVM">
    <w:p w14:paraId="1CDB9C49" w14:textId="31B3356C" w:rsidR="00FC3AFE" w:rsidRDefault="00FC3AFE">
      <w:pPr>
        <w:pStyle w:val="CommentText"/>
      </w:pPr>
      <w:r>
        <w:rPr>
          <w:rStyle w:val="CommentReference"/>
        </w:rPr>
        <w:annotationRef/>
      </w:r>
      <w:r>
        <w:rPr>
          <w:rStyle w:val="CommentReference"/>
        </w:rPr>
        <w:annotationRef/>
      </w:r>
      <w:r>
        <w:t>Do you mean Figure 3a? If not, what sort of supporting figure do you wish?</w:t>
      </w:r>
    </w:p>
  </w:comment>
  <w:comment w:id="39" w:author="Michael Cramer" w:date="2019-10-06T20:52:00Z" w:initials="MC">
    <w:p w14:paraId="151A031E" w14:textId="77777777" w:rsidR="00FC3AFE" w:rsidRDefault="00FC3AFE" w:rsidP="003E77D9">
      <w:pPr>
        <w:pStyle w:val="CommentText"/>
      </w:pPr>
      <w:r>
        <w:rPr>
          <w:rStyle w:val="CommentReference"/>
        </w:rPr>
        <w:annotationRef/>
      </w:r>
      <w:r>
        <w:t>Why is this SD?</w:t>
      </w:r>
    </w:p>
  </w:comment>
  <w:comment w:id="40" w:author="Ruan Van Mazijk" w:date="2019-10-08T09:24:00Z" w:initials="RVM">
    <w:p w14:paraId="21F65C2F" w14:textId="77777777" w:rsidR="00FC3AFE" w:rsidRDefault="00FC3AFE" w:rsidP="003E77D9">
      <w:pPr>
        <w:pStyle w:val="CommentText"/>
      </w:pPr>
      <w:r>
        <w:rPr>
          <w:rStyle w:val="CommentReference"/>
        </w:rPr>
        <w:annotationRef/>
      </w:r>
      <w:r>
        <w:t>Should it be the variance rather?</w:t>
      </w:r>
    </w:p>
  </w:comment>
  <w:comment w:id="41" w:author="Michael Cramer" w:date="2019-10-06T20:52:00Z" w:initials="MC">
    <w:p w14:paraId="35D2187B" w14:textId="77777777" w:rsidR="00FC3AFE" w:rsidRDefault="00FC3AFE" w:rsidP="003E77D9">
      <w:pPr>
        <w:pStyle w:val="CommentText"/>
      </w:pPr>
      <w:r>
        <w:rPr>
          <w:rStyle w:val="CommentReference"/>
        </w:rPr>
        <w:annotationRef/>
      </w:r>
      <w:r>
        <w:t>Why is this SD?</w:t>
      </w:r>
    </w:p>
  </w:comment>
  <w:comment w:id="42" w:author="Ruan Van Mazijk" w:date="2019-10-08T09:24:00Z" w:initials="RVM">
    <w:p w14:paraId="5801EF70" w14:textId="77777777" w:rsidR="00FC3AFE" w:rsidRDefault="00FC3AFE" w:rsidP="003E77D9">
      <w:pPr>
        <w:pStyle w:val="CommentText"/>
      </w:pPr>
      <w:r>
        <w:rPr>
          <w:rStyle w:val="CommentReference"/>
        </w:rPr>
        <w:annotationRef/>
      </w:r>
      <w:r>
        <w:t>Should it be the variance rather?</w:t>
      </w:r>
    </w:p>
  </w:comment>
  <w:comment w:id="43" w:author="Michael Cramer" w:date="2019-10-06T20:52:00Z" w:initials="MC">
    <w:p w14:paraId="4CA8A44E" w14:textId="77777777" w:rsidR="00FC3AFE" w:rsidRDefault="00FC3AFE" w:rsidP="00C96F57">
      <w:pPr>
        <w:pStyle w:val="CommentText"/>
      </w:pPr>
      <w:r>
        <w:rPr>
          <w:rStyle w:val="CommentReference"/>
        </w:rPr>
        <w:annotationRef/>
      </w:r>
      <w:r>
        <w:t>Why is this SD?</w:t>
      </w:r>
    </w:p>
  </w:comment>
  <w:comment w:id="44" w:author="Ruan Van Mazijk" w:date="2019-10-08T09:24:00Z" w:initials="RVM">
    <w:p w14:paraId="7CB43028" w14:textId="77777777" w:rsidR="00FC3AFE" w:rsidRDefault="00FC3AFE" w:rsidP="00C96F57">
      <w:pPr>
        <w:pStyle w:val="CommentText"/>
      </w:pPr>
      <w:r>
        <w:rPr>
          <w:rStyle w:val="CommentReference"/>
        </w:rPr>
        <w:annotationRef/>
      </w:r>
      <w:r>
        <w:t>Should it be the variance rather?</w:t>
      </w:r>
    </w:p>
  </w:comment>
  <w:comment w:id="45" w:author="Michael Cramer" w:date="2019-12-03T08:21:00Z" w:initials="MC">
    <w:p w14:paraId="6585E7F5" w14:textId="714E833D" w:rsidR="00FC3AFE" w:rsidRDefault="00FC3AFE">
      <w:pPr>
        <w:pStyle w:val="CommentText"/>
      </w:pPr>
      <w:r>
        <w:rPr>
          <w:rStyle w:val="CommentReference"/>
        </w:rPr>
        <w:annotationRef/>
      </w:r>
      <w:r>
        <w:t>This is a little mind-bending I think.</w:t>
      </w:r>
    </w:p>
  </w:comment>
  <w:comment w:id="46" w:author="Ruan Van Mazijk" w:date="2019-12-03T12:04:00Z" w:initials="RVM">
    <w:p w14:paraId="3D3E71FC" w14:textId="5D03FC9C" w:rsidR="00FC3AFE" w:rsidRDefault="00FC3AFE">
      <w:pPr>
        <w:pStyle w:val="CommentText"/>
      </w:pPr>
      <w:r>
        <w:rPr>
          <w:rStyle w:val="CommentReference"/>
        </w:rPr>
        <w:annotationRef/>
      </w:r>
      <w:r>
        <w:t xml:space="preserve">Mind-bending like confusing? Or mind-binding like </w:t>
      </w:r>
      <w:r>
        <w:t>“</w:t>
      </w:r>
      <w:r>
        <w:t>wow</w:t>
      </w:r>
      <w:r>
        <w:t>”</w:t>
      </w:r>
      <w:r>
        <w:t>?...</w:t>
      </w:r>
    </w:p>
  </w:comment>
  <w:comment w:id="47" w:author="Michael Cramer" w:date="2019-12-03T11:05:00Z" w:initials="MC">
    <w:p w14:paraId="72D2893D" w14:textId="4CE8149C" w:rsidR="00FC3AFE" w:rsidRDefault="00FC3AFE">
      <w:pPr>
        <w:pStyle w:val="CommentText"/>
      </w:pPr>
      <w:r>
        <w:rPr>
          <w:rStyle w:val="CommentReference"/>
        </w:rPr>
        <w:annotationRef/>
      </w:r>
      <w:r>
        <w:t>This is the only reference to Figure 4</w:t>
      </w:r>
    </w:p>
  </w:comment>
  <w:comment w:id="48" w:author="Ruan Van Mazijk" w:date="2019-12-03T12:07:00Z" w:initials="RVM">
    <w:p w14:paraId="39197D3F" w14:textId="7E9A817E" w:rsidR="00FC3AFE" w:rsidRDefault="00FC3AFE">
      <w:pPr>
        <w:pStyle w:val="CommentText"/>
      </w:pPr>
      <w:r>
        <w:rPr>
          <w:rStyle w:val="CommentReference"/>
        </w:rPr>
        <w:annotationRef/>
      </w:r>
      <w:r>
        <w:t xml:space="preserve">Added missing references to it above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50" w:author="Michael Cramer" w:date="2019-12-03T08:28:00Z" w:initials="MC">
    <w:p w14:paraId="7BAA7050" w14:textId="1B13D596" w:rsidR="00FC3AFE" w:rsidRDefault="00FC3AFE">
      <w:pPr>
        <w:pStyle w:val="CommentText"/>
      </w:pPr>
      <w:r>
        <w:rPr>
          <w:rStyle w:val="CommentReference"/>
        </w:rPr>
        <w:annotationRef/>
      </w:r>
      <w:r>
        <w:t>I am not at all convinced by this argument. Isn</w:t>
      </w:r>
      <w:r>
        <w:t>’</w:t>
      </w:r>
      <w:r>
        <w:t>t this just a necessary consequence of data aggregation?</w:t>
      </w:r>
    </w:p>
  </w:comment>
  <w:comment w:id="51" w:author="Michael Cramer" w:date="2019-12-03T08:42:00Z" w:initials="MC">
    <w:p w14:paraId="6DD55F01" w14:textId="4C4083CF" w:rsidR="00FC3AFE" w:rsidRDefault="00FC3AFE">
      <w:pPr>
        <w:pStyle w:val="CommentText"/>
      </w:pPr>
      <w:r>
        <w:rPr>
          <w:rStyle w:val="CommentReference"/>
        </w:rPr>
        <w:annotationRef/>
      </w:r>
      <w:r>
        <w:t xml:space="preserve">The point I would like to make is that there is no way to correct for deliberate collection of rarer species. This is not represented by sampling effort at all. I am a bit worried about this aspect because I can just see Hopper picking on this. I think we need to do a good job of defending this. </w:t>
      </w:r>
    </w:p>
  </w:comment>
  <w:comment w:id="52" w:author="Michael Cramer" w:date="2019-12-03T10:43:00Z" w:initials="MC">
    <w:p w14:paraId="12C42DED" w14:textId="5819E472" w:rsidR="00FC3AFE" w:rsidRDefault="00FC3AFE">
      <w:pPr>
        <w:pStyle w:val="CommentText"/>
      </w:pPr>
      <w:r>
        <w:rPr>
          <w:rStyle w:val="CommentReference"/>
        </w:rPr>
        <w:annotationRef/>
      </w:r>
      <w:r>
        <w:t>Don</w:t>
      </w:r>
      <w:r>
        <w:t>’</w:t>
      </w:r>
      <w:r>
        <w:t>t you think that Perth requires a mention too. There is a different matter. It is the potential inflation of species richness by anthropogenic imports.</w:t>
      </w:r>
    </w:p>
    <w:p w14:paraId="5F3E149F" w14:textId="6DD801A6" w:rsidR="00FC3AFE" w:rsidRDefault="00FC3AFE">
      <w:pPr>
        <w:pStyle w:val="CommentText"/>
      </w:pPr>
    </w:p>
  </w:comment>
  <w:comment w:id="56" w:author="Michael Cramer" w:date="2019-10-07T10:02:00Z" w:initials="MC">
    <w:p w14:paraId="4937B472" w14:textId="0312FCE7" w:rsidR="00FC3AFE" w:rsidRDefault="00FC3AFE" w:rsidP="006F5A52">
      <w:pPr>
        <w:pStyle w:val="CommentText"/>
      </w:pPr>
      <w:r>
        <w:rPr>
          <w:rStyle w:val="CommentReference"/>
        </w:rPr>
        <w:annotationRef/>
      </w:r>
      <w:r>
        <w:t>Should these be normalized for the total number of QDS or HDS?</w:t>
      </w:r>
    </w:p>
  </w:comment>
  <w:comment w:id="57" w:author="Ruan Van Mazijk" w:date="2019-10-07T12:19:00Z" w:initials="RVM">
    <w:p w14:paraId="77A93CC5" w14:textId="3A13C47F" w:rsidR="00FC3AFE" w:rsidRDefault="00FC3AFE">
      <w:pPr>
        <w:pStyle w:val="CommentText"/>
      </w:pPr>
      <w:r>
        <w:rPr>
          <w:rStyle w:val="CommentReference"/>
        </w:rPr>
        <w:annotationRef/>
      </w:r>
      <w:r>
        <w:t>Note sure what you mean?</w:t>
      </w:r>
    </w:p>
  </w:comment>
  <w:comment w:id="54" w:author="Michael Cramer" w:date="2019-12-03T10:58:00Z" w:initials="MC">
    <w:p w14:paraId="11E838FE" w14:textId="753F8830" w:rsidR="00FC3AFE" w:rsidRDefault="00FC3AFE">
      <w:pPr>
        <w:pStyle w:val="CommentText"/>
      </w:pPr>
      <w:r>
        <w:rPr>
          <w:rStyle w:val="CommentReference"/>
        </w:rPr>
        <w:annotationRef/>
      </w:r>
      <w:r>
        <w:t>I am not sure about this combination of figures being appropriate. The exclusion of DS here seems strange. Maybe this can be rearranged.</w:t>
      </w:r>
    </w:p>
  </w:comment>
  <w:comment w:id="55" w:author="Ruan Van Mazijk" w:date="2019-12-03T12:17:00Z" w:initials="RVM">
    <w:p w14:paraId="20D71E78" w14:textId="544E27A0" w:rsidR="00FC3AFE" w:rsidRDefault="00FC3AFE">
      <w:pPr>
        <w:pStyle w:val="CommentText"/>
      </w:pPr>
      <w:r>
        <w:rPr>
          <w:rStyle w:val="CommentReference"/>
        </w:rPr>
        <w:annotationRef/>
      </w:r>
      <w:r>
        <w:t>Updated figure does this, I think.</w:t>
      </w:r>
    </w:p>
  </w:comment>
  <w:comment w:id="58" w:author="Michael Cramer" w:date="2019-12-03T08:32:00Z" w:initials="MC">
    <w:p w14:paraId="350C35AF" w14:textId="7ED0BEDD" w:rsidR="00FC3AFE" w:rsidRDefault="00FC3AFE">
      <w:pPr>
        <w:pStyle w:val="CommentText"/>
      </w:pPr>
      <w:r>
        <w:rPr>
          <w:rStyle w:val="CommentReference"/>
        </w:rPr>
        <w:annotationRef/>
      </w:r>
      <w:r>
        <w:t>What does the steeper slope at DS mean? Is it steeper in fact? Actually I don</w:t>
      </w:r>
      <w:r>
        <w:t>’</w:t>
      </w:r>
      <w:r>
        <w:t>t know what the slope means</w:t>
      </w:r>
      <w:r>
        <w:t>…</w:t>
      </w:r>
      <w:r>
        <w:t xml:space="preserve">. </w:t>
      </w:r>
    </w:p>
  </w:comment>
  <w:comment w:id="59" w:author="Michael Cramer" w:date="2019-12-03T11:02:00Z" w:initials="MC">
    <w:p w14:paraId="43265982" w14:textId="7C216E94" w:rsidR="00FC3AFE" w:rsidRDefault="00FC3AFE">
      <w:pPr>
        <w:pStyle w:val="CommentText"/>
      </w:pPr>
      <w:r>
        <w:rPr>
          <w:rStyle w:val="CommentReference"/>
        </w:rPr>
        <w:annotationRef/>
      </w:r>
      <w:r>
        <w:t xml:space="preserve">What is SWAFR in the predictor list? Should this be </w:t>
      </w:r>
      <w:r>
        <w:t>“</w:t>
      </w:r>
      <w:r>
        <w:t>Region</w:t>
      </w:r>
      <w:r>
        <w:t>”</w:t>
      </w:r>
      <w:r>
        <w:t>?</w:t>
      </w:r>
    </w:p>
  </w:comment>
  <w:comment w:id="60" w:author="Ruan Van Mazijk" w:date="2019-12-03T12:16:00Z" w:initials="RVM">
    <w:p w14:paraId="151CA642" w14:textId="69319484" w:rsidR="00FC3AFE" w:rsidRPr="00AC2235" w:rsidRDefault="00FC3AFE">
      <w:pPr>
        <w:pStyle w:val="CommentText"/>
      </w:pPr>
      <w:r>
        <w:rPr>
          <w:rStyle w:val="CommentReference"/>
        </w:rPr>
        <w:annotationRef/>
      </w:r>
      <w:r>
        <w:t xml:space="preserve">Think </w:t>
      </w:r>
      <w:r>
        <w:t>“</w:t>
      </w:r>
      <w:proofErr w:type="spellStart"/>
      <w:r>
        <w:t>Region</w:t>
      </w:r>
      <w:r>
        <w:rPr>
          <w:vertAlign w:val="subscript"/>
        </w:rPr>
        <w:t>SWAFR</w:t>
      </w:r>
      <w:proofErr w:type="spellEnd"/>
      <w:r>
        <w:t>”</w:t>
      </w:r>
      <w:r>
        <w:t>. The updated version of the figure hopefully helps?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46C3B27" w15:done="1"/>
  <w15:commentEx w15:paraId="2C95E568" w15:done="0"/>
  <w15:commentEx w15:paraId="16A5BD8E" w15:done="1"/>
  <w15:commentEx w15:paraId="739A862A" w15:paraIdParent="16A5BD8E" w15:done="1"/>
  <w15:commentEx w15:paraId="1A2D83B2" w15:done="0"/>
  <w15:commentEx w15:paraId="0D85E42B" w15:done="0"/>
  <w15:commentEx w15:paraId="50E697F5" w15:paraIdParent="0D85E42B" w15:done="0"/>
  <w15:commentEx w15:paraId="276D846E" w15:done="1"/>
  <w15:commentEx w15:paraId="03CFEB10" w15:done="0"/>
  <w15:commentEx w15:paraId="52802E12" w15:paraIdParent="03CFEB10" w15:done="0"/>
  <w15:commentEx w15:paraId="1C33D467" w15:done="0"/>
  <w15:commentEx w15:paraId="5228A70D" w15:done="1"/>
  <w15:commentEx w15:paraId="7FCF8830" w15:paraIdParent="5228A70D" w15:done="1"/>
  <w15:commentEx w15:paraId="34FAFFC4" w15:done="0"/>
  <w15:commentEx w15:paraId="0FE22BDB" w15:paraIdParent="34FAFFC4" w15:done="0"/>
  <w15:commentEx w15:paraId="5AED77A5" w15:done="1"/>
  <w15:commentEx w15:paraId="1E812954" w15:paraIdParent="5AED77A5" w15:done="1"/>
  <w15:commentEx w15:paraId="3D93755E" w15:done="1"/>
  <w15:commentEx w15:paraId="4E6C485B" w15:paraIdParent="3D93755E" w15:done="1"/>
  <w15:commentEx w15:paraId="13E1EB9E" w15:done="0"/>
  <w15:commentEx w15:paraId="3FA9A013" w15:done="1"/>
  <w15:commentEx w15:paraId="3121CA7E" w15:paraIdParent="3FA9A013" w15:done="1"/>
  <w15:commentEx w15:paraId="330C274F" w15:done="1"/>
  <w15:commentEx w15:paraId="1C54F278" w15:paraIdParent="330C274F" w15:done="1"/>
  <w15:commentEx w15:paraId="5C360526" w15:done="1"/>
  <w15:commentEx w15:paraId="07C22E28" w15:paraIdParent="5C360526" w15:done="1"/>
  <w15:commentEx w15:paraId="44AE895E" w15:done="1"/>
  <w15:commentEx w15:paraId="76D8A660" w15:paraIdParent="44AE895E" w15:done="1"/>
  <w15:commentEx w15:paraId="72002478" w15:done="1"/>
  <w15:commentEx w15:paraId="0A83FFEA" w15:paraIdParent="72002478" w15:done="1"/>
  <w15:commentEx w15:paraId="20553D95" w15:done="1"/>
  <w15:commentEx w15:paraId="1CDB9C49" w15:done="0"/>
  <w15:commentEx w15:paraId="151A031E" w15:done="1"/>
  <w15:commentEx w15:paraId="21F65C2F" w15:paraIdParent="151A031E" w15:done="1"/>
  <w15:commentEx w15:paraId="35D2187B" w15:done="1"/>
  <w15:commentEx w15:paraId="5801EF70" w15:paraIdParent="35D2187B" w15:done="1"/>
  <w15:commentEx w15:paraId="4CA8A44E" w15:done="1"/>
  <w15:commentEx w15:paraId="7CB43028" w15:paraIdParent="4CA8A44E" w15:done="1"/>
  <w15:commentEx w15:paraId="6585E7F5" w15:done="0"/>
  <w15:commentEx w15:paraId="3D3E71FC" w15:paraIdParent="6585E7F5" w15:done="0"/>
  <w15:commentEx w15:paraId="72D2893D" w15:done="1"/>
  <w15:commentEx w15:paraId="39197D3F" w15:paraIdParent="72D2893D" w15:done="1"/>
  <w15:commentEx w15:paraId="7BAA7050" w15:done="0"/>
  <w15:commentEx w15:paraId="6DD55F01" w15:done="0"/>
  <w15:commentEx w15:paraId="5F3E149F" w15:done="0"/>
  <w15:commentEx w15:paraId="4937B472" w15:done="1"/>
  <w15:commentEx w15:paraId="77A93CC5" w15:paraIdParent="4937B472" w15:done="1"/>
  <w15:commentEx w15:paraId="11E838FE" w15:done="1"/>
  <w15:commentEx w15:paraId="20D71E78" w15:paraIdParent="11E838FE" w15:done="1"/>
  <w15:commentEx w15:paraId="350C35AF" w15:done="0"/>
  <w15:commentEx w15:paraId="43265982" w15:done="1"/>
  <w15:commentEx w15:paraId="151CA642" w15:paraIdParent="43265982"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6C3B27" w16cid:durableId="2190D7AA"/>
  <w16cid:commentId w16cid:paraId="2C95E568" w16cid:durableId="2190D293"/>
  <w16cid:commentId w16cid:paraId="16A5BD8E" w16cid:durableId="21442A21"/>
  <w16cid:commentId w16cid:paraId="739A862A" w16cid:durableId="2145DB17"/>
  <w16cid:commentId w16cid:paraId="1A2D83B2" w16cid:durableId="21442C0E"/>
  <w16cid:commentId w16cid:paraId="0D85E42B" w16cid:durableId="21442AB3"/>
  <w16cid:commentId w16cid:paraId="50E697F5" w16cid:durableId="2145DB8F"/>
  <w16cid:commentId w16cid:paraId="276D846E" w16cid:durableId="2190D3EA"/>
  <w16cid:commentId w16cid:paraId="03CFEB10" w16cid:durableId="218F70CB"/>
  <w16cid:commentId w16cid:paraId="52802E12" w16cid:durableId="2190D45C"/>
  <w16cid:commentId w16cid:paraId="1C33D467" w16cid:durableId="21920EA1"/>
  <w16cid:commentId w16cid:paraId="5228A70D" w16cid:durableId="218F7430"/>
  <w16cid:commentId w16cid:paraId="7FCF8830" w16cid:durableId="219211E2"/>
  <w16cid:commentId w16cid:paraId="34FAFFC4" w16cid:durableId="218F7469"/>
  <w16cid:commentId w16cid:paraId="0FE22BDB" w16cid:durableId="2190D4AA"/>
  <w16cid:commentId w16cid:paraId="5AED77A5" w16cid:durableId="2144C8B0"/>
  <w16cid:commentId w16cid:paraId="1E812954" w16cid:durableId="2145DBC4"/>
  <w16cid:commentId w16cid:paraId="3D93755E" w16cid:durableId="2144C8FE"/>
  <w16cid:commentId w16cid:paraId="4E6C485B" w16cid:durableId="2145A72D"/>
  <w16cid:commentId w16cid:paraId="13E1EB9E" w16cid:durableId="2190C6D0"/>
  <w16cid:commentId w16cid:paraId="3FA9A013" w16cid:durableId="219095EA"/>
  <w16cid:commentId w16cid:paraId="3121CA7E" w16cid:durableId="2190D02E"/>
  <w16cid:commentId w16cid:paraId="330C274F" w16cid:durableId="2190962E"/>
  <w16cid:commentId w16cid:paraId="1C54F278" w16cid:durableId="2190CBBA"/>
  <w16cid:commentId w16cid:paraId="5C360526" w16cid:durableId="21909896"/>
  <w16cid:commentId w16cid:paraId="07C22E28" w16cid:durableId="2190CC27"/>
  <w16cid:commentId w16cid:paraId="44AE895E" w16cid:durableId="2184E6EA"/>
  <w16cid:commentId w16cid:paraId="76D8A660" w16cid:durableId="2184E6EB"/>
  <w16cid:commentId w16cid:paraId="72002478" w16cid:durableId="2184E6EC"/>
  <w16cid:commentId w16cid:paraId="0A83FFEA" w16cid:durableId="2184E6ED"/>
  <w16cid:commentId w16cid:paraId="20553D95" w16cid:durableId="219098F8"/>
  <w16cid:commentId w16cid:paraId="1CDB9C49" w16cid:durableId="2190C739"/>
  <w16cid:commentId w16cid:paraId="151A031E" w16cid:durableId="2184E6F3"/>
  <w16cid:commentId w16cid:paraId="21F65C2F" w16cid:durableId="2184E6F4"/>
  <w16cid:commentId w16cid:paraId="35D2187B" w16cid:durableId="2184E6F5"/>
  <w16cid:commentId w16cid:paraId="5801EF70" w16cid:durableId="2184E6F6"/>
  <w16cid:commentId w16cid:paraId="4CA8A44E" w16cid:durableId="2184E6F7"/>
  <w16cid:commentId w16cid:paraId="7CB43028" w16cid:durableId="2184E6F8"/>
  <w16cid:commentId w16cid:paraId="6585E7F5" w16cid:durableId="2190997A"/>
  <w16cid:commentId w16cid:paraId="3D3E71FC" w16cid:durableId="2190CDBC"/>
  <w16cid:commentId w16cid:paraId="72D2893D" w16cid:durableId="2190BFEA"/>
  <w16cid:commentId w16cid:paraId="39197D3F" w16cid:durableId="2190CE91"/>
  <w16cid:commentId w16cid:paraId="7BAA7050" w16cid:durableId="21909B1E"/>
  <w16cid:commentId w16cid:paraId="6DD55F01" w16cid:durableId="21909E66"/>
  <w16cid:commentId w16cid:paraId="5F3E149F" w16cid:durableId="2190BADA"/>
  <w16cid:commentId w16cid:paraId="4937B472" w16cid:durableId="21458BBA"/>
  <w16cid:commentId w16cid:paraId="77A93CC5" w16cid:durableId="2145ABD6"/>
  <w16cid:commentId w16cid:paraId="11E838FE" w16cid:durableId="2190BE71"/>
  <w16cid:commentId w16cid:paraId="20D71E78" w16cid:durableId="2190D0CB"/>
  <w16cid:commentId w16cid:paraId="350C35AF" w16cid:durableId="21909C1C"/>
  <w16cid:commentId w16cid:paraId="43265982" w16cid:durableId="2190BF47"/>
  <w16cid:commentId w16cid:paraId="151CA642" w16cid:durableId="2190D0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372393" w14:textId="77777777" w:rsidR="006019FD" w:rsidRDefault="006019FD">
      <w:pPr>
        <w:spacing w:after="0"/>
      </w:pPr>
      <w:r>
        <w:separator/>
      </w:r>
    </w:p>
  </w:endnote>
  <w:endnote w:type="continuationSeparator" w:id="0">
    <w:p w14:paraId="03D6025A" w14:textId="77777777" w:rsidR="006019FD" w:rsidRDefault="006019FD">
      <w:pPr>
        <w:spacing w:after="0"/>
      </w:pPr>
      <w:r>
        <w:continuationSeparator/>
      </w:r>
    </w:p>
  </w:endnote>
  <w:endnote w:type="continuationNotice" w:id="1">
    <w:p w14:paraId="5829E0CB" w14:textId="77777777" w:rsidR="006019FD" w:rsidRDefault="006019F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FC3AFE" w:rsidRDefault="00FC3AFE">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FC3AFE" w:rsidRDefault="00FC3A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79D85A" w14:textId="77777777" w:rsidR="006019FD" w:rsidRDefault="006019FD">
      <w:r>
        <w:separator/>
      </w:r>
    </w:p>
  </w:footnote>
  <w:footnote w:type="continuationSeparator" w:id="0">
    <w:p w14:paraId="3CC21BAC" w14:textId="77777777" w:rsidR="006019FD" w:rsidRDefault="006019FD">
      <w:r>
        <w:continuationSeparator/>
      </w:r>
    </w:p>
  </w:footnote>
  <w:footnote w:type="continuationNotice" w:id="1">
    <w:p w14:paraId="59A526EE" w14:textId="77777777" w:rsidR="006019FD" w:rsidRDefault="006019FD">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6E29"/>
    <w:rsid w:val="00007536"/>
    <w:rsid w:val="000075FC"/>
    <w:rsid w:val="00010D0D"/>
    <w:rsid w:val="00011C8B"/>
    <w:rsid w:val="000134E5"/>
    <w:rsid w:val="00015987"/>
    <w:rsid w:val="00017062"/>
    <w:rsid w:val="0001739B"/>
    <w:rsid w:val="00017D5E"/>
    <w:rsid w:val="00017E2E"/>
    <w:rsid w:val="000202B4"/>
    <w:rsid w:val="00020DE2"/>
    <w:rsid w:val="00022A4F"/>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70D03"/>
    <w:rsid w:val="000714AC"/>
    <w:rsid w:val="00072164"/>
    <w:rsid w:val="00072A60"/>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698A"/>
    <w:rsid w:val="000D6AB1"/>
    <w:rsid w:val="000D6FAE"/>
    <w:rsid w:val="000D78B0"/>
    <w:rsid w:val="000E0454"/>
    <w:rsid w:val="000E04C6"/>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3B47"/>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C63"/>
    <w:rsid w:val="001A0AB2"/>
    <w:rsid w:val="001A123A"/>
    <w:rsid w:val="001A150C"/>
    <w:rsid w:val="001A1879"/>
    <w:rsid w:val="001A20FA"/>
    <w:rsid w:val="001A23A6"/>
    <w:rsid w:val="001A29B8"/>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3585"/>
    <w:rsid w:val="001F3C80"/>
    <w:rsid w:val="001F48A1"/>
    <w:rsid w:val="001F4B4C"/>
    <w:rsid w:val="002007E7"/>
    <w:rsid w:val="00200991"/>
    <w:rsid w:val="00200A28"/>
    <w:rsid w:val="00200C02"/>
    <w:rsid w:val="002011C9"/>
    <w:rsid w:val="0020179E"/>
    <w:rsid w:val="00201A80"/>
    <w:rsid w:val="00202291"/>
    <w:rsid w:val="00202A32"/>
    <w:rsid w:val="00204D2C"/>
    <w:rsid w:val="00205DC2"/>
    <w:rsid w:val="002065E6"/>
    <w:rsid w:val="0020680A"/>
    <w:rsid w:val="002071E8"/>
    <w:rsid w:val="00210CA7"/>
    <w:rsid w:val="00211350"/>
    <w:rsid w:val="0021176B"/>
    <w:rsid w:val="00211A46"/>
    <w:rsid w:val="00211FC5"/>
    <w:rsid w:val="00212118"/>
    <w:rsid w:val="00213749"/>
    <w:rsid w:val="00213D02"/>
    <w:rsid w:val="0021685A"/>
    <w:rsid w:val="00217498"/>
    <w:rsid w:val="00217AAC"/>
    <w:rsid w:val="00220A65"/>
    <w:rsid w:val="00220D2B"/>
    <w:rsid w:val="00221518"/>
    <w:rsid w:val="00221BC9"/>
    <w:rsid w:val="00221C0F"/>
    <w:rsid w:val="002234E3"/>
    <w:rsid w:val="00226569"/>
    <w:rsid w:val="00230147"/>
    <w:rsid w:val="00230ABA"/>
    <w:rsid w:val="00230AF5"/>
    <w:rsid w:val="00230C87"/>
    <w:rsid w:val="00230DBA"/>
    <w:rsid w:val="002314C2"/>
    <w:rsid w:val="00231B2B"/>
    <w:rsid w:val="002333AE"/>
    <w:rsid w:val="00233C17"/>
    <w:rsid w:val="00234AA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CF"/>
    <w:rsid w:val="00252DA8"/>
    <w:rsid w:val="002536E4"/>
    <w:rsid w:val="00253F7E"/>
    <w:rsid w:val="00254F18"/>
    <w:rsid w:val="002565DD"/>
    <w:rsid w:val="002566BD"/>
    <w:rsid w:val="00257896"/>
    <w:rsid w:val="002604CE"/>
    <w:rsid w:val="00261A54"/>
    <w:rsid w:val="002624D4"/>
    <w:rsid w:val="002626CC"/>
    <w:rsid w:val="00262EF2"/>
    <w:rsid w:val="00262F02"/>
    <w:rsid w:val="002644D2"/>
    <w:rsid w:val="002658EC"/>
    <w:rsid w:val="00265947"/>
    <w:rsid w:val="00267348"/>
    <w:rsid w:val="00270A25"/>
    <w:rsid w:val="00270B4B"/>
    <w:rsid w:val="002711B7"/>
    <w:rsid w:val="00271377"/>
    <w:rsid w:val="00272E07"/>
    <w:rsid w:val="00273150"/>
    <w:rsid w:val="002736BC"/>
    <w:rsid w:val="00273E3C"/>
    <w:rsid w:val="00274581"/>
    <w:rsid w:val="0027541F"/>
    <w:rsid w:val="00275CEB"/>
    <w:rsid w:val="002766E7"/>
    <w:rsid w:val="002779ED"/>
    <w:rsid w:val="00277C9E"/>
    <w:rsid w:val="002808AF"/>
    <w:rsid w:val="002810B1"/>
    <w:rsid w:val="00281A14"/>
    <w:rsid w:val="0028331C"/>
    <w:rsid w:val="0028338C"/>
    <w:rsid w:val="0028496B"/>
    <w:rsid w:val="00285784"/>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6BE"/>
    <w:rsid w:val="002A7DA8"/>
    <w:rsid w:val="002B028E"/>
    <w:rsid w:val="002B0B88"/>
    <w:rsid w:val="002B0F5B"/>
    <w:rsid w:val="002B270F"/>
    <w:rsid w:val="002B2755"/>
    <w:rsid w:val="002B3741"/>
    <w:rsid w:val="002B390D"/>
    <w:rsid w:val="002B49E3"/>
    <w:rsid w:val="002B4C08"/>
    <w:rsid w:val="002B54C7"/>
    <w:rsid w:val="002B5DBF"/>
    <w:rsid w:val="002B7732"/>
    <w:rsid w:val="002B7852"/>
    <w:rsid w:val="002C0152"/>
    <w:rsid w:val="002C016E"/>
    <w:rsid w:val="002C037D"/>
    <w:rsid w:val="002C08A1"/>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509"/>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3038"/>
    <w:rsid w:val="00364F0A"/>
    <w:rsid w:val="00365CC9"/>
    <w:rsid w:val="0036753D"/>
    <w:rsid w:val="0036760E"/>
    <w:rsid w:val="00367CC6"/>
    <w:rsid w:val="00371EA1"/>
    <w:rsid w:val="00372023"/>
    <w:rsid w:val="00374287"/>
    <w:rsid w:val="0037447E"/>
    <w:rsid w:val="003745E1"/>
    <w:rsid w:val="00375621"/>
    <w:rsid w:val="00377F87"/>
    <w:rsid w:val="00381E28"/>
    <w:rsid w:val="00381ECD"/>
    <w:rsid w:val="0038260D"/>
    <w:rsid w:val="0038290C"/>
    <w:rsid w:val="00382BBB"/>
    <w:rsid w:val="00382BC5"/>
    <w:rsid w:val="00382E74"/>
    <w:rsid w:val="0038369B"/>
    <w:rsid w:val="00384049"/>
    <w:rsid w:val="003847BF"/>
    <w:rsid w:val="00385BA5"/>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5C8"/>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1655F"/>
    <w:rsid w:val="00420576"/>
    <w:rsid w:val="0042088C"/>
    <w:rsid w:val="00421309"/>
    <w:rsid w:val="004218EE"/>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2407"/>
    <w:rsid w:val="00472798"/>
    <w:rsid w:val="00472BBD"/>
    <w:rsid w:val="00473F34"/>
    <w:rsid w:val="00474DE5"/>
    <w:rsid w:val="0047615F"/>
    <w:rsid w:val="004769C5"/>
    <w:rsid w:val="004816AD"/>
    <w:rsid w:val="00481C6F"/>
    <w:rsid w:val="00482491"/>
    <w:rsid w:val="00483556"/>
    <w:rsid w:val="00485163"/>
    <w:rsid w:val="00485174"/>
    <w:rsid w:val="00485517"/>
    <w:rsid w:val="00485879"/>
    <w:rsid w:val="00486861"/>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692"/>
    <w:rsid w:val="00506F78"/>
    <w:rsid w:val="00513A76"/>
    <w:rsid w:val="00513AF7"/>
    <w:rsid w:val="005143E0"/>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7DAB"/>
    <w:rsid w:val="00531FB3"/>
    <w:rsid w:val="00531FF2"/>
    <w:rsid w:val="00532A81"/>
    <w:rsid w:val="00532F79"/>
    <w:rsid w:val="0053496F"/>
    <w:rsid w:val="005350C1"/>
    <w:rsid w:val="005358D9"/>
    <w:rsid w:val="00537B9C"/>
    <w:rsid w:val="00540260"/>
    <w:rsid w:val="005446B2"/>
    <w:rsid w:val="00544C0F"/>
    <w:rsid w:val="0054528F"/>
    <w:rsid w:val="005454DD"/>
    <w:rsid w:val="00547291"/>
    <w:rsid w:val="00547693"/>
    <w:rsid w:val="00547C58"/>
    <w:rsid w:val="0055026D"/>
    <w:rsid w:val="00550A5A"/>
    <w:rsid w:val="0055258A"/>
    <w:rsid w:val="005527B5"/>
    <w:rsid w:val="005547C0"/>
    <w:rsid w:val="005571AB"/>
    <w:rsid w:val="00557805"/>
    <w:rsid w:val="0056013D"/>
    <w:rsid w:val="0056017E"/>
    <w:rsid w:val="00560AF9"/>
    <w:rsid w:val="00561A45"/>
    <w:rsid w:val="00561FC0"/>
    <w:rsid w:val="005637B6"/>
    <w:rsid w:val="00563A70"/>
    <w:rsid w:val="005649C9"/>
    <w:rsid w:val="00565039"/>
    <w:rsid w:val="0056568D"/>
    <w:rsid w:val="00565EFE"/>
    <w:rsid w:val="00565F05"/>
    <w:rsid w:val="0056633D"/>
    <w:rsid w:val="00570BEE"/>
    <w:rsid w:val="005732D5"/>
    <w:rsid w:val="00573ACA"/>
    <w:rsid w:val="0057611C"/>
    <w:rsid w:val="00576C2F"/>
    <w:rsid w:val="0057720E"/>
    <w:rsid w:val="00580D25"/>
    <w:rsid w:val="00581125"/>
    <w:rsid w:val="00581450"/>
    <w:rsid w:val="00582CFA"/>
    <w:rsid w:val="00583EAA"/>
    <w:rsid w:val="005845A2"/>
    <w:rsid w:val="00585F8F"/>
    <w:rsid w:val="0058659A"/>
    <w:rsid w:val="0058677B"/>
    <w:rsid w:val="005876BE"/>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1374"/>
    <w:rsid w:val="005D1597"/>
    <w:rsid w:val="005D24D5"/>
    <w:rsid w:val="005D307E"/>
    <w:rsid w:val="005D31A4"/>
    <w:rsid w:val="005D33A7"/>
    <w:rsid w:val="005D3EDD"/>
    <w:rsid w:val="005D4530"/>
    <w:rsid w:val="005D59E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19FD"/>
    <w:rsid w:val="006026B4"/>
    <w:rsid w:val="00602D3B"/>
    <w:rsid w:val="00603141"/>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5A1"/>
    <w:rsid w:val="00620ABE"/>
    <w:rsid w:val="00621603"/>
    <w:rsid w:val="00623216"/>
    <w:rsid w:val="006236CD"/>
    <w:rsid w:val="006255A4"/>
    <w:rsid w:val="006265CD"/>
    <w:rsid w:val="006277B7"/>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8DF"/>
    <w:rsid w:val="006A6996"/>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A5A"/>
    <w:rsid w:val="006D6FEA"/>
    <w:rsid w:val="006D73B6"/>
    <w:rsid w:val="006E039C"/>
    <w:rsid w:val="006E35D4"/>
    <w:rsid w:val="006E62E9"/>
    <w:rsid w:val="006E6649"/>
    <w:rsid w:val="006F043C"/>
    <w:rsid w:val="006F0BA2"/>
    <w:rsid w:val="006F1CA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DC3"/>
    <w:rsid w:val="00715F59"/>
    <w:rsid w:val="00716A94"/>
    <w:rsid w:val="00717D5B"/>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D10"/>
    <w:rsid w:val="00765D62"/>
    <w:rsid w:val="00765FAE"/>
    <w:rsid w:val="007660F8"/>
    <w:rsid w:val="00767B72"/>
    <w:rsid w:val="00767DB5"/>
    <w:rsid w:val="007704C7"/>
    <w:rsid w:val="00771DE5"/>
    <w:rsid w:val="00771E0F"/>
    <w:rsid w:val="00773D2C"/>
    <w:rsid w:val="007743CF"/>
    <w:rsid w:val="00774484"/>
    <w:rsid w:val="00774C5C"/>
    <w:rsid w:val="00774D41"/>
    <w:rsid w:val="007755AC"/>
    <w:rsid w:val="00775A42"/>
    <w:rsid w:val="00776E99"/>
    <w:rsid w:val="00777C00"/>
    <w:rsid w:val="0078067F"/>
    <w:rsid w:val="007807E0"/>
    <w:rsid w:val="00782030"/>
    <w:rsid w:val="00782E1B"/>
    <w:rsid w:val="007836C1"/>
    <w:rsid w:val="00784439"/>
    <w:rsid w:val="00784D58"/>
    <w:rsid w:val="00785438"/>
    <w:rsid w:val="00786594"/>
    <w:rsid w:val="0079178A"/>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F67"/>
    <w:rsid w:val="007D673C"/>
    <w:rsid w:val="007D7D37"/>
    <w:rsid w:val="007E2349"/>
    <w:rsid w:val="007E4A90"/>
    <w:rsid w:val="007E4A9C"/>
    <w:rsid w:val="007E55CB"/>
    <w:rsid w:val="007E6D61"/>
    <w:rsid w:val="007E72DA"/>
    <w:rsid w:val="007E78CD"/>
    <w:rsid w:val="007E7D27"/>
    <w:rsid w:val="007F0700"/>
    <w:rsid w:val="007F13C1"/>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6BB"/>
    <w:rsid w:val="00815C93"/>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940"/>
    <w:rsid w:val="008337E4"/>
    <w:rsid w:val="0083425C"/>
    <w:rsid w:val="0083497A"/>
    <w:rsid w:val="00834ED9"/>
    <w:rsid w:val="0083503C"/>
    <w:rsid w:val="008353FD"/>
    <w:rsid w:val="00835502"/>
    <w:rsid w:val="0083610B"/>
    <w:rsid w:val="008365BA"/>
    <w:rsid w:val="00836BCB"/>
    <w:rsid w:val="008374CE"/>
    <w:rsid w:val="00837D0B"/>
    <w:rsid w:val="00837E72"/>
    <w:rsid w:val="0084063D"/>
    <w:rsid w:val="00840830"/>
    <w:rsid w:val="00841086"/>
    <w:rsid w:val="00841EAF"/>
    <w:rsid w:val="00841F89"/>
    <w:rsid w:val="00842CA9"/>
    <w:rsid w:val="00842DF6"/>
    <w:rsid w:val="00843584"/>
    <w:rsid w:val="00844A5C"/>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23B9"/>
    <w:rsid w:val="008841AF"/>
    <w:rsid w:val="00884304"/>
    <w:rsid w:val="00884827"/>
    <w:rsid w:val="00885AB7"/>
    <w:rsid w:val="00886BD9"/>
    <w:rsid w:val="00887059"/>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407"/>
    <w:rsid w:val="008A683E"/>
    <w:rsid w:val="008A68AA"/>
    <w:rsid w:val="008A6F1B"/>
    <w:rsid w:val="008A6F9A"/>
    <w:rsid w:val="008A7439"/>
    <w:rsid w:val="008B0471"/>
    <w:rsid w:val="008B0A90"/>
    <w:rsid w:val="008B33E1"/>
    <w:rsid w:val="008B3F0E"/>
    <w:rsid w:val="008B4347"/>
    <w:rsid w:val="008B445A"/>
    <w:rsid w:val="008B4DBD"/>
    <w:rsid w:val="008B5685"/>
    <w:rsid w:val="008B688E"/>
    <w:rsid w:val="008B6F00"/>
    <w:rsid w:val="008C1638"/>
    <w:rsid w:val="008C1C71"/>
    <w:rsid w:val="008C33E4"/>
    <w:rsid w:val="008C42F3"/>
    <w:rsid w:val="008C453E"/>
    <w:rsid w:val="008C51FD"/>
    <w:rsid w:val="008C61EA"/>
    <w:rsid w:val="008C67F4"/>
    <w:rsid w:val="008D03E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CD7"/>
    <w:rsid w:val="00916B93"/>
    <w:rsid w:val="0092191B"/>
    <w:rsid w:val="009239A6"/>
    <w:rsid w:val="00923DF4"/>
    <w:rsid w:val="0092446E"/>
    <w:rsid w:val="00925CA0"/>
    <w:rsid w:val="00925DAC"/>
    <w:rsid w:val="009266B9"/>
    <w:rsid w:val="00930D80"/>
    <w:rsid w:val="0093209B"/>
    <w:rsid w:val="00932EF4"/>
    <w:rsid w:val="00933CCA"/>
    <w:rsid w:val="00934B42"/>
    <w:rsid w:val="00936825"/>
    <w:rsid w:val="00936C52"/>
    <w:rsid w:val="00937AAF"/>
    <w:rsid w:val="009408BD"/>
    <w:rsid w:val="00940FE7"/>
    <w:rsid w:val="009422D5"/>
    <w:rsid w:val="0094242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6198"/>
    <w:rsid w:val="0097673D"/>
    <w:rsid w:val="00976F6A"/>
    <w:rsid w:val="00977493"/>
    <w:rsid w:val="00977607"/>
    <w:rsid w:val="0098075C"/>
    <w:rsid w:val="00980EDB"/>
    <w:rsid w:val="00981480"/>
    <w:rsid w:val="00982A0A"/>
    <w:rsid w:val="00983D13"/>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2537"/>
    <w:rsid w:val="009C2E6A"/>
    <w:rsid w:val="009C356A"/>
    <w:rsid w:val="009C5008"/>
    <w:rsid w:val="009C6AA0"/>
    <w:rsid w:val="009C6DAC"/>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54C5"/>
    <w:rsid w:val="009F5919"/>
    <w:rsid w:val="009F6305"/>
    <w:rsid w:val="009F6E75"/>
    <w:rsid w:val="009F704C"/>
    <w:rsid w:val="00A006BE"/>
    <w:rsid w:val="00A017D8"/>
    <w:rsid w:val="00A020E5"/>
    <w:rsid w:val="00A02E1B"/>
    <w:rsid w:val="00A04DC4"/>
    <w:rsid w:val="00A04ED0"/>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B2B"/>
    <w:rsid w:val="00A61581"/>
    <w:rsid w:val="00A6199A"/>
    <w:rsid w:val="00A646E1"/>
    <w:rsid w:val="00A64EBD"/>
    <w:rsid w:val="00A65D58"/>
    <w:rsid w:val="00A716D1"/>
    <w:rsid w:val="00A7173D"/>
    <w:rsid w:val="00A71D7E"/>
    <w:rsid w:val="00A74BCA"/>
    <w:rsid w:val="00A75F43"/>
    <w:rsid w:val="00A76FDF"/>
    <w:rsid w:val="00A77872"/>
    <w:rsid w:val="00A778BB"/>
    <w:rsid w:val="00A8087D"/>
    <w:rsid w:val="00A82266"/>
    <w:rsid w:val="00A828D7"/>
    <w:rsid w:val="00A82B4F"/>
    <w:rsid w:val="00A82E78"/>
    <w:rsid w:val="00A8363E"/>
    <w:rsid w:val="00A85228"/>
    <w:rsid w:val="00A87D09"/>
    <w:rsid w:val="00A90499"/>
    <w:rsid w:val="00A91799"/>
    <w:rsid w:val="00A921F9"/>
    <w:rsid w:val="00A940C8"/>
    <w:rsid w:val="00A9441F"/>
    <w:rsid w:val="00A95D88"/>
    <w:rsid w:val="00A968BF"/>
    <w:rsid w:val="00A9751F"/>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D032E"/>
    <w:rsid w:val="00AD1230"/>
    <w:rsid w:val="00AD171B"/>
    <w:rsid w:val="00AD2575"/>
    <w:rsid w:val="00AD2B72"/>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7025C"/>
    <w:rsid w:val="00B70AC8"/>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570"/>
    <w:rsid w:val="00BA0095"/>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5C4F"/>
    <w:rsid w:val="00BD5EE2"/>
    <w:rsid w:val="00BD72CC"/>
    <w:rsid w:val="00BD7A0C"/>
    <w:rsid w:val="00BD7BCB"/>
    <w:rsid w:val="00BE042E"/>
    <w:rsid w:val="00BE0660"/>
    <w:rsid w:val="00BE18DF"/>
    <w:rsid w:val="00BE1C44"/>
    <w:rsid w:val="00BE2326"/>
    <w:rsid w:val="00BE374A"/>
    <w:rsid w:val="00BE3A41"/>
    <w:rsid w:val="00BE42FC"/>
    <w:rsid w:val="00BE5001"/>
    <w:rsid w:val="00BE7107"/>
    <w:rsid w:val="00BE79AD"/>
    <w:rsid w:val="00BE7B31"/>
    <w:rsid w:val="00BE7B44"/>
    <w:rsid w:val="00BE7C13"/>
    <w:rsid w:val="00BE7DDB"/>
    <w:rsid w:val="00BF0B3F"/>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0BD2"/>
    <w:rsid w:val="00C116AB"/>
    <w:rsid w:val="00C11B97"/>
    <w:rsid w:val="00C12BA4"/>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5C4"/>
    <w:rsid w:val="00C95B1E"/>
    <w:rsid w:val="00C964C6"/>
    <w:rsid w:val="00C96F57"/>
    <w:rsid w:val="00C971F1"/>
    <w:rsid w:val="00C97C12"/>
    <w:rsid w:val="00CA03AC"/>
    <w:rsid w:val="00CA0D48"/>
    <w:rsid w:val="00CA0ECD"/>
    <w:rsid w:val="00CA131C"/>
    <w:rsid w:val="00CA2A08"/>
    <w:rsid w:val="00CA485B"/>
    <w:rsid w:val="00CA4E84"/>
    <w:rsid w:val="00CA5BE6"/>
    <w:rsid w:val="00CA688A"/>
    <w:rsid w:val="00CA7709"/>
    <w:rsid w:val="00CB0067"/>
    <w:rsid w:val="00CB06B0"/>
    <w:rsid w:val="00CB28CA"/>
    <w:rsid w:val="00CB3833"/>
    <w:rsid w:val="00CB6BFA"/>
    <w:rsid w:val="00CB7719"/>
    <w:rsid w:val="00CC00F5"/>
    <w:rsid w:val="00CC0323"/>
    <w:rsid w:val="00CC1042"/>
    <w:rsid w:val="00CC1848"/>
    <w:rsid w:val="00CC1A42"/>
    <w:rsid w:val="00CC2706"/>
    <w:rsid w:val="00CC3BF9"/>
    <w:rsid w:val="00CC4049"/>
    <w:rsid w:val="00CC43D5"/>
    <w:rsid w:val="00CC4536"/>
    <w:rsid w:val="00CC531D"/>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4AB5"/>
    <w:rsid w:val="00D44B1E"/>
    <w:rsid w:val="00D44BB7"/>
    <w:rsid w:val="00D44C27"/>
    <w:rsid w:val="00D44DF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90C"/>
    <w:rsid w:val="00EA59B7"/>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1B78"/>
    <w:rsid w:val="00F1205D"/>
    <w:rsid w:val="00F12350"/>
    <w:rsid w:val="00F12728"/>
    <w:rsid w:val="00F13219"/>
    <w:rsid w:val="00F1488F"/>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371"/>
    <w:rsid w:val="00F3440B"/>
    <w:rsid w:val="00F358D2"/>
    <w:rsid w:val="00F35C29"/>
    <w:rsid w:val="00F3637F"/>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C1A"/>
    <w:rsid w:val="00F85498"/>
    <w:rsid w:val="00F8593E"/>
    <w:rsid w:val="00F85B67"/>
    <w:rsid w:val="00F8740B"/>
    <w:rsid w:val="00F9010D"/>
    <w:rsid w:val="00F92E75"/>
    <w:rsid w:val="00F93BC4"/>
    <w:rsid w:val="00F94881"/>
    <w:rsid w:val="00F9631E"/>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2.png"/><Relationship Id="rId18" Type="http://schemas.openxmlformats.org/officeDocument/2006/relationships/hyperlink" Target="https://doi.org/10.15468/dl.46okua"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doi.org/10.15468/dl.n6u6n0"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hyperlink" Target="https://github.com/rvanmazijk/Cape-vs-SWA/"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ECF8D3-0CCC-474B-B461-EDB86BDBB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21</Pages>
  <Words>11747</Words>
  <Characters>66959</Characters>
  <Application>Microsoft Office Word</Application>
  <DocSecurity>0</DocSecurity>
  <Lines>557</Lines>
  <Paragraphs>157</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78549</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212</cp:revision>
  <cp:lastPrinted>2019-11-19T13:01:00Z</cp:lastPrinted>
  <dcterms:created xsi:type="dcterms:W3CDTF">2019-12-03T09:32:00Z</dcterms:created>
  <dcterms:modified xsi:type="dcterms:W3CDTF">2019-12-09T16:03:00Z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true</vt:lpwstr>
  </property>
  <property fmtid="{D5CDD505-2E9C-101B-9397-08002B2CF9AE}" pid="24" name="Mendeley Citation Style_1">
    <vt:lpwstr>http://www.zotero.org/styles/apa</vt:lpwstr>
  </property>
</Properties>
</file>