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E0FE39E"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1A05EDFC" w:rsidR="006B3D28" w:rsidRPr="002C20EB" w:rsidRDefault="006B3D28" w:rsidP="008A4E97">
      <w:pPr>
        <w:pStyle w:val="Subtitle"/>
        <w:spacing w:line="240" w:lineRule="auto"/>
        <w:jc w:val="left"/>
        <w:rPr>
          <w:sz w:val="28"/>
        </w:rPr>
      </w:pPr>
      <w:r w:rsidRPr="002C20EB">
        <w:rPr>
          <w:sz w:val="28"/>
        </w:rPr>
        <w:t xml:space="preserve">Running title: </w:t>
      </w:r>
      <w:r w:rsidR="00C767AE" w:rsidRPr="00C767AE">
        <w:rPr>
          <w:b w:val="0"/>
          <w:sz w:val="28"/>
        </w:rPr>
        <w:t>Heterogeneity and species richness</w:t>
      </w:r>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w:t>
      </w:r>
      <w:proofErr w:type="spellStart"/>
      <w:r w:rsidRPr="002C20EB">
        <w:rPr>
          <w:sz w:val="28"/>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286CE2E6"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commentRangeStart w:id="3"/>
      <w:r>
        <w:t>Abstract</w:t>
      </w:r>
      <w:bookmarkEnd w:id="2"/>
      <w:commentRangeEnd w:id="3"/>
      <w:r w:rsidR="00964A63">
        <w:rPr>
          <w:rStyle w:val="CommentReference"/>
          <w:rFonts w:ascii="Times New Roman" w:eastAsiaTheme="minorHAnsi" w:hAnsiTheme="minorHAnsi" w:cstheme="minorBidi"/>
          <w:b w:val="0"/>
          <w:bCs w:val="0"/>
          <w:color w:val="auto"/>
        </w:rPr>
        <w:commentReference w:id="3"/>
      </w:r>
    </w:p>
    <w:p w14:paraId="064B794C" w14:textId="56931D54" w:rsidR="00024A7B" w:rsidRPr="00964A63" w:rsidRDefault="00024A7B" w:rsidP="008A4E97">
      <w:pPr>
        <w:pStyle w:val="BodyText"/>
      </w:pPr>
      <w:r w:rsidRPr="00024A7B">
        <w:rPr>
          <w:b/>
        </w:rPr>
        <w:t>Aim:</w:t>
      </w:r>
      <w:r w:rsidR="004C00F7" w:rsidRPr="004C00F7">
        <w:t xml:space="preserve"> </w:t>
      </w:r>
      <w:r w:rsidR="00893E00">
        <w:t>To</w:t>
      </w:r>
      <w:r w:rsidR="0019107E">
        <w:t xml:space="preserve"> assess whether the difference in species richness per unit area </w:t>
      </w:r>
      <w:r w:rsidR="00E664E2">
        <w:t>between two mediterranean-type biodiversity hotspots</w:t>
      </w:r>
      <w:r w:rsidR="00E664E2" w:rsidDel="006C4B60">
        <w:t xml:space="preserve"> </w:t>
      </w:r>
      <w:r w:rsidR="009D0DC8">
        <w:t xml:space="preserve">is explained by </w:t>
      </w:r>
      <w:r w:rsidR="0019107E">
        <w:t>differences in environmental heterogeneity.</w:t>
      </w:r>
    </w:p>
    <w:p w14:paraId="4E5A0187" w14:textId="2EA9DCAD"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r w:rsidR="00242EDD">
        <w:rPr>
          <w:bCs/>
        </w:rPr>
        <w:t>.</w:t>
      </w:r>
    </w:p>
    <w:p w14:paraId="64618502" w14:textId="5DC6B12B"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r w:rsidR="00242EDD">
        <w:rPr>
          <w:bCs/>
        </w:rPr>
        <w:t>.</w:t>
      </w:r>
    </w:p>
    <w:p w14:paraId="1FCA4F09" w14:textId="3A7E6A85"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per unit area</w:t>
      </w:r>
      <w:r w:rsidR="009D0DC8">
        <w:t>,</w:t>
      </w:r>
      <w:r w:rsidR="003C3E31">
        <w:t xml:space="preserve">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 s</w:t>
      </w:r>
      <w:r w:rsidR="00273E3C">
        <w:t xml:space="preserve">pecies richness </w:t>
      </w:r>
      <w:r w:rsidR="00900B79">
        <w:t xml:space="preserve">was also regressed </w:t>
      </w:r>
      <w:r w:rsidR="00273E3C">
        <w:t xml:space="preserve">against </w:t>
      </w:r>
      <w:r w:rsidR="00900B79">
        <w:t>a major axis of</w:t>
      </w:r>
      <w:r w:rsidR="00D639A3">
        <w:t xml:space="preserve"> environmental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9D0DC8">
        <w:t>,</w:t>
      </w:r>
      <w:r w:rsidR="00CD04A6">
        <w:t xml:space="preserve"> </w:t>
      </w:r>
      <w:r w:rsidR="00086992">
        <w:t>and</w:t>
      </w:r>
      <w:r w:rsidR="009D0DC8">
        <w:t>, using multiple regression,</w:t>
      </w:r>
      <w:r w:rsidR="00086992">
        <w:t xml:space="preserve"> against </w:t>
      </w:r>
      <w:r w:rsidR="00D2022F">
        <w:t>heterogeneity</w:t>
      </w:r>
      <w:r w:rsidR="009D0DC8" w:rsidRPr="009D0DC8">
        <w:t xml:space="preserve"> </w:t>
      </w:r>
      <w:r w:rsidR="009D0DC8">
        <w:t>in individual environmental variables</w:t>
      </w:r>
      <w:r w:rsidR="00D2022F">
        <w:t>.</w:t>
      </w:r>
    </w:p>
    <w:p w14:paraId="39C1CEA1" w14:textId="1F74C9E0"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which </w:t>
      </w:r>
      <w:r w:rsidR="006D6A5A">
        <w:t>explain</w:t>
      </w:r>
      <w:r w:rsidR="009D0DC8">
        <w:t>s</w:t>
      </w:r>
      <w:r w:rsidR="00CD04A6">
        <w:t xml:space="preserve"> ca. 38–42%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w:t>
      </w:r>
      <w:commentRangeStart w:id="4"/>
      <w:r w:rsidR="007743CF" w:rsidRPr="00E71232">
        <w:t>and the</w:t>
      </w:r>
      <w:r w:rsidR="00623216" w:rsidRPr="00E71232">
        <w:t xml:space="preserve"> </w:t>
      </w:r>
      <w:r w:rsidR="00872425" w:rsidRPr="00E71232">
        <w:t xml:space="preserve">residual </w:t>
      </w:r>
      <w:r w:rsidR="00623216" w:rsidRPr="00E71232">
        <w:t xml:space="preserve">variation in heterogeneity </w:t>
      </w:r>
      <w:r w:rsidR="00872425" w:rsidRPr="00E71232">
        <w:t>remaining from</w:t>
      </w:r>
      <w:r w:rsidR="0086734A" w:rsidRPr="00E71232">
        <w:t xml:space="preserve"> </w:t>
      </w:r>
      <w:r w:rsidR="008F1E4D" w:rsidRPr="00E71232">
        <w:t xml:space="preserve">the </w:t>
      </w:r>
      <w:r w:rsidR="00694B43" w:rsidRPr="00E71232">
        <w:t xml:space="preserve">first axis </w:t>
      </w:r>
      <w:r w:rsidR="00872425" w:rsidRPr="00E71232">
        <w:t xml:space="preserve">of </w:t>
      </w:r>
      <w:r w:rsidR="00694B43" w:rsidRPr="00E71232">
        <w:t>the PCAs</w:t>
      </w:r>
      <w:commentRangeEnd w:id="4"/>
      <w:r w:rsidR="001508F3">
        <w:rPr>
          <w:rStyle w:val="CommentReference"/>
          <w:rFonts w:ascii="Times New Roman" w:hAnsiTheme="minorHAnsi"/>
        </w:rPr>
        <w:commentReference w:id="4"/>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that differed between the two regions</w:t>
      </w:r>
      <w:r w:rsidR="00183126" w:rsidRPr="00E71232">
        <w:t>.</w:t>
      </w:r>
    </w:p>
    <w:p w14:paraId="3D4EE8B5" w14:textId="7B3A4DA7"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977607" w:rsidRPr="00E71232">
        <w:t>, broadly indepen</w:t>
      </w:r>
      <w:r w:rsidR="00372023" w:rsidRPr="00E71232">
        <w:t>den</w:t>
      </w:r>
      <w:r w:rsidR="00977607" w:rsidRPr="00E71232">
        <w:t>t of spatial-scale. Though there are region-specific effects</w:t>
      </w:r>
      <w:r w:rsidR="005B0DBE" w:rsidRPr="00E71232">
        <w:t xml:space="preserve">, </w:t>
      </w:r>
      <w:r w:rsidR="00C7143F" w:rsidRPr="00E71232">
        <w:rPr>
          <w:highlight w:val="yellow"/>
        </w:rPr>
        <w:t>[</w:t>
      </w:r>
      <w:r w:rsidR="005B0DBE" w:rsidRPr="00E71232">
        <w:rPr>
          <w:highlight w:val="yellow"/>
        </w:rPr>
        <w:t>…</w:t>
      </w:r>
      <w:r w:rsidR="00C7143F" w:rsidRPr="00E71232">
        <w:rPr>
          <w:highlight w:val="yellow"/>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67DFDC87"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w:t>
      </w:r>
      <w:r w:rsidR="0081050E">
        <w:rPr>
          <w:highlight w:val="yellow"/>
        </w:rPr>
        <w:t xml:space="preserve"> </w:t>
      </w:r>
      <w:r w:rsidRPr="00F73528">
        <w:rPr>
          <w:highlight w:val="yellow"/>
        </w:rPr>
        <w:t>2004</w:t>
      </w:r>
      <w:r w:rsidR="00870B87">
        <w:t xml:space="preserve">; </w:t>
      </w:r>
      <w:proofErr w:type="spellStart"/>
      <w:r w:rsidR="00870B87" w:rsidRPr="002C20EB">
        <w:rPr>
          <w:highlight w:val="green"/>
        </w:rPr>
        <w:t>Bøhn</w:t>
      </w:r>
      <w:proofErr w:type="spellEnd"/>
      <w:r w:rsidR="00870B87" w:rsidRPr="002C20EB">
        <w:rPr>
          <w:highlight w:val="green"/>
        </w:rPr>
        <w:t xml:space="preserve">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w:t>
      </w:r>
      <w:r w:rsidRPr="002F0553">
        <w:t xml:space="preserve">). </w:t>
      </w:r>
      <w:commentRangeStart w:id="5"/>
      <w:commentRangeStart w:id="6"/>
      <w:r w:rsidRPr="002F0553">
        <w:t xml:space="preserve">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003A604B" w:rsidRPr="00632570">
        <w:t>Byrne 2008</w:t>
      </w:r>
      <w:r w:rsidRPr="002F0553">
        <w:t xml:space="preserve">). </w:t>
      </w:r>
      <w:commentRangeEnd w:id="5"/>
      <w:r w:rsidR="00217AAC">
        <w:rPr>
          <w:rStyle w:val="CommentReference"/>
          <w:rFonts w:ascii="Times New Roman" w:hAnsiTheme="minorHAnsi"/>
        </w:rPr>
        <w:commentReference w:id="5"/>
      </w:r>
      <w:commentRangeEnd w:id="6"/>
      <w:r w:rsidR="009239A6">
        <w:rPr>
          <w:rStyle w:val="CommentReference"/>
          <w:rFonts w:ascii="Times New Roman" w:hAnsiTheme="minorHAnsi"/>
        </w:rPr>
        <w:commentReference w:id="6"/>
      </w:r>
      <w:r w:rsidRPr="002F0553">
        <w:t xml:space="preserve">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5F33A8DD"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009735F1">
        <w:fldChar w:fldCharType="begin" w:fldLock="1"/>
      </w:r>
      <w:r w:rsidR="000F117A">
        <w:instrText>true</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both regions have been unglaciated since the Permian and are dominated by ancient, weathered landscapes whose soil-nutritional status is amongst the lowest of any landscape on Earth (</w:t>
      </w:r>
      <w:r w:rsidRPr="00500890">
        <w:rPr>
          <w:highlight w:val="yellow"/>
        </w:rPr>
        <w:t xml:space="preserve">Stock </w:t>
      </w:r>
      <w:r w:rsidR="00B8268E" w:rsidRPr="00500890">
        <w:rPr>
          <w:highlight w:val="yellow"/>
        </w:rPr>
        <w:t>&amp;</w:t>
      </w:r>
      <w:r w:rsidRPr="00500890">
        <w:rPr>
          <w:highlight w:val="yellow"/>
        </w:rPr>
        <w:t xml:space="preserve"> </w:t>
      </w:r>
      <w:proofErr w:type="spellStart"/>
      <w:r w:rsidRPr="00500890">
        <w:rPr>
          <w:highlight w:val="yellow"/>
        </w:rPr>
        <w:t>Verboom</w:t>
      </w:r>
      <w:proofErr w:type="spellEnd"/>
      <w:r w:rsidR="00B847F4" w:rsidRPr="00500890">
        <w:rPr>
          <w:highlight w:val="yellow"/>
        </w:rPr>
        <w:t>,</w:t>
      </w:r>
      <w:r w:rsidR="00C40608" w:rsidRPr="00500890">
        <w:rPr>
          <w:highlight w:val="yellow"/>
        </w:rPr>
        <w:t xml:space="preserve"> </w:t>
      </w:r>
      <w:r w:rsidR="00705608" w:rsidRPr="00632570">
        <w:rPr>
          <w:highlight w:val="yellow"/>
        </w:rPr>
        <w:t>2012</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7"/>
      <w:commentRangeStart w:id="8"/>
      <w:commentRangeStart w:id="9"/>
      <w:r>
        <w:t xml:space="preserve">tree </w:t>
      </w:r>
      <w:commentRangeEnd w:id="7"/>
      <w:r w:rsidR="00236CF0">
        <w:rPr>
          <w:rStyle w:val="CommentReference"/>
          <w:rFonts w:ascii="Times New Roman" w:hAnsiTheme="minorHAnsi"/>
        </w:rPr>
        <w:commentReference w:id="7"/>
      </w:r>
      <w:r>
        <w:t>component in the SWAFR underpins a striking difference in vegetation physiognomy (</w:t>
      </w:r>
      <w:proofErr w:type="spellStart"/>
      <w:r w:rsidR="0097673D" w:rsidRPr="00B64138">
        <w:rPr>
          <w:highlight w:val="yellow"/>
        </w:rPr>
        <w:t>Milewski</w:t>
      </w:r>
      <w:proofErr w:type="spellEnd"/>
      <w:r w:rsidR="0097673D" w:rsidRPr="00B64138">
        <w:rPr>
          <w:highlight w:val="yellow"/>
        </w:rPr>
        <w:t xml:space="preserve"> 1981; Beard et al. 2000</w:t>
      </w:r>
      <w:r>
        <w:t xml:space="preserve">). </w:t>
      </w:r>
      <w:commentRangeEnd w:id="8"/>
      <w:r w:rsidR="00236CF0">
        <w:rPr>
          <w:rStyle w:val="CommentReference"/>
          <w:rFonts w:ascii="Times New Roman" w:hAnsiTheme="minorHAnsi"/>
        </w:rPr>
        <w:commentReference w:id="8"/>
      </w:r>
      <w:commentRangeEnd w:id="9"/>
      <w:r w:rsidR="00C6184E">
        <w:rPr>
          <w:rStyle w:val="CommentReference"/>
          <w:rFonts w:ascii="Times New Roman" w:hAnsiTheme="minorHAnsi"/>
        </w:rPr>
        <w:commentReference w:id="9"/>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w:t>
      </w:r>
      <w:r w:rsidR="00705608">
        <w:t>m</w:t>
      </w:r>
      <w:r>
        <w:t xml:space="preserve"> (</w:t>
      </w:r>
      <w:r w:rsidR="00705608" w:rsidRPr="00B64138">
        <w:rPr>
          <w:highlight w:val="yellow"/>
        </w:rPr>
        <w:t>Bergh &amp; Linder 2009</w:t>
      </w:r>
      <w:r>
        <w:t>). In this context, it is unsurprising that the two floras show strong taxonomic affinities and that both are species-rich with high levels of regional endemism (</w:t>
      </w:r>
      <w:r w:rsidRPr="00F20A95">
        <w:rPr>
          <w:highlight w:val="yellow"/>
        </w:rPr>
        <w:t>refs</w:t>
      </w:r>
      <w:r>
        <w:t>).</w:t>
      </w:r>
    </w:p>
    <w:p w14:paraId="33297E6E" w14:textId="6FE43554" w:rsidR="00D04776" w:rsidRPr="002C20EB" w:rsidRDefault="00D04776" w:rsidP="002C20EB">
      <w:pPr>
        <w:pStyle w:val="BodyText"/>
        <w:rPr>
          <w:lang w:val="en-ZA"/>
        </w:rPr>
      </w:pPr>
      <w:r>
        <w:lastRenderedPageBreak/>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w:t>
      </w:r>
      <w:r w:rsidR="00872425">
        <w:t xml:space="preserve">Although on-going identification of new species </w:t>
      </w:r>
      <w:r w:rsidR="000D32D5">
        <w:t xml:space="preserve">may change these statistics (e.g. </w:t>
      </w:r>
      <w:proofErr w:type="spellStart"/>
      <w:r w:rsidR="000D32D5">
        <w:t>Gioia</w:t>
      </w:r>
      <w:proofErr w:type="spellEnd"/>
      <w:r w:rsidR="000D32D5">
        <w:t xml:space="preserve"> et al., 2017), the overall differences in species km</w:t>
      </w:r>
      <w:r w:rsidR="000D32D5" w:rsidRPr="00F12728">
        <w:rPr>
          <w:vertAlign w:val="superscript"/>
        </w:rPr>
        <w:t>-2</w:t>
      </w:r>
      <w:r w:rsidR="000D32D5">
        <w:t xml:space="preserve"> are quite dramatic. </w:t>
      </w:r>
      <w:r>
        <w:t xml:space="preserve">One </w:t>
      </w:r>
      <w:r w:rsidR="000D32D5">
        <w:t xml:space="preserve">possible </w:t>
      </w:r>
      <w:r>
        <w:t xml:space="preserve">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r w:rsidR="00E561E1">
        <w:t xml:space="preserve">, </w:t>
      </w:r>
      <w:r w:rsidR="00E561E1">
        <w:rPr>
          <w:lang w:val="en-ZA"/>
        </w:rPr>
        <w:t xml:space="preserve">the </w:t>
      </w:r>
      <w:commentRangeStart w:id="10"/>
      <w:r w:rsidR="003B49FB">
        <w:rPr>
          <w:lang w:val="en-ZA"/>
        </w:rPr>
        <w:t xml:space="preserve">CFR </w:t>
      </w:r>
      <w:commentRangeEnd w:id="10"/>
      <w:r w:rsidR="00F12728">
        <w:rPr>
          <w:rStyle w:val="CommentReference"/>
          <w:rFonts w:ascii="Times New Roman" w:hAnsiTheme="minorHAnsi"/>
        </w:rPr>
        <w:commentReference w:id="10"/>
      </w:r>
      <w:r w:rsidR="003B49FB">
        <w:rPr>
          <w:lang w:val="en-ZA"/>
        </w:rPr>
        <w:t>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E561E1" w:rsidRPr="002C20EB">
        <w:rPr>
          <w:highlight w:val="green"/>
          <w:lang w:val="en-ZA"/>
        </w:rPr>
        <w:t>Bradshaw &amp; Cowling, 2014</w:t>
      </w:r>
      <w:r w:rsidR="00E561E1" w:rsidRPr="00E87C83">
        <w:rPr>
          <w:lang w:val="en-ZA"/>
        </w:rPr>
        <w:t>).</w:t>
      </w:r>
      <w:r w:rsidR="00E561E1">
        <w:rPr>
          <w:lang w:val="en-ZA"/>
        </w:rPr>
        <w:t xml:space="preserve"> </w:t>
      </w:r>
      <w:r w:rsidR="003B49FB">
        <w:rPr>
          <w:lang w:val="en-ZA"/>
        </w:rPr>
        <w:t>Critically, s</w:t>
      </w:r>
      <w:proofErr w:type="spellStart"/>
      <w:r>
        <w:t>ince</w:t>
      </w:r>
      <w:proofErr w:type="spellEnd"/>
      <w:r>
        <w:t xml:space="preserve"> the strong relief of the GCFR underlies steep climat</w:t>
      </w:r>
      <w:r w:rsidR="001541B2">
        <w:t>ic and edaphic gradients (</w:t>
      </w:r>
      <w:r w:rsidR="001541B2" w:rsidRPr="00B847F4">
        <w:rPr>
          <w:highlight w:val="yellow"/>
        </w:rPr>
        <w:t>refs</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1" w:name="comparing-regions-environmental-heteroge"/>
      <w:r>
        <w:t>2.1</w:t>
      </w:r>
      <w:r w:rsidR="00F31AF3">
        <w:t>:</w:t>
      </w:r>
      <w:r>
        <w:t xml:space="preserve"> </w:t>
      </w:r>
      <w:r w:rsidR="00D04776">
        <w:t>Comparing species richness</w:t>
      </w:r>
    </w:p>
    <w:p w14:paraId="52348C6B" w14:textId="50BEA55F"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 xml:space="preserve">using </w:t>
      </w:r>
      <w:r w:rsidR="00166053">
        <w:t>the “</w:t>
      </w:r>
      <w:proofErr w:type="spellStart"/>
      <w:r w:rsidR="00166053">
        <w:t>taxize</w:t>
      </w:r>
      <w:proofErr w:type="spellEnd"/>
      <w:r w:rsidR="00166053">
        <w:t xml:space="preserv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r w:rsidR="003E3635">
        <w:t>in R (</w:t>
      </w:r>
      <w:r w:rsidR="003E3635" w:rsidRPr="00E87AB4">
        <w:rPr>
          <w:highlight w:val="yellow"/>
        </w:rPr>
        <w:t>ref</w:t>
      </w:r>
      <w:r w:rsidR="003E3635">
        <w:t>)</w:t>
      </w:r>
      <w:r w:rsidR="003E3635" w:rsidRPr="00166053">
        <w:t xml:space="preserve"> </w:t>
      </w:r>
      <w:r w:rsidR="00CE21A6">
        <w:t>(</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r w:rsidR="004B5BA7">
        <w:rPr>
          <w:noProof/>
        </w:rPr>
        <w:t>,</w:t>
      </w:r>
      <w:r w:rsidR="00455488">
        <w:rPr>
          <w:noProof/>
        </w:rPr>
        <w:t xml:space="preserve"> </w:t>
      </w:r>
      <w:r w:rsidR="00CB7719" w:rsidRPr="00CB7719">
        <w:rPr>
          <w:noProof/>
        </w:rPr>
        <w:t>2016)</w:t>
      </w:r>
      <w:r w:rsidR="00CB7719">
        <w:fldChar w:fldCharType="end"/>
      </w:r>
      <w:r w:rsidR="00B853C4">
        <w:t>.</w:t>
      </w:r>
      <w:r w:rsidR="00CF1908">
        <w:t xml:space="preserve"> </w:t>
      </w:r>
      <w:commentRangeStart w:id="12"/>
      <w:commentRangeStart w:id="13"/>
      <w:r>
        <w:t>The</w:t>
      </w:r>
      <w:commentRangeEnd w:id="12"/>
      <w:r w:rsidR="000D32D5">
        <w:rPr>
          <w:rStyle w:val="CommentReference"/>
          <w:rFonts w:ascii="Times New Roman" w:hAnsiTheme="minorHAnsi"/>
        </w:rPr>
        <w:commentReference w:id="12"/>
      </w:r>
      <w:commentRangeEnd w:id="13"/>
      <w:r w:rsidR="00F0240E">
        <w:rPr>
          <w:rStyle w:val="CommentReference"/>
          <w:rFonts w:ascii="Times New Roman" w:hAnsiTheme="minorHAnsi"/>
        </w:rPr>
        <w:commentReference w:id="13"/>
      </w:r>
      <w:r>
        <w:t xml:space="preserv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DE66AC">
        <w:t>8,578</w:t>
      </w:r>
      <w:r>
        <w:t xml:space="preserve"> and </w:t>
      </w:r>
      <w:r w:rsidR="00DE66AC">
        <w:t>6,558</w:t>
      </w:r>
      <w:r>
        <w:t>.</w:t>
      </w:r>
      <w:r w:rsidR="00841086">
        <w:t xml:space="preserve"> </w:t>
      </w:r>
      <w:commentRangeStart w:id="14"/>
      <w:r w:rsidR="00841086">
        <w:t>Note, we excluded occurrence data (and indeed environmental data, below) originating from coastal pixels at the 0.05</w:t>
      </w:r>
      <w:r w:rsidR="00841086">
        <w:rPr>
          <w:rFonts w:cstheme="majorBidi"/>
        </w:rPr>
        <w:t>° resolution.</w:t>
      </w:r>
      <w:commentRangeEnd w:id="14"/>
      <w:r w:rsidR="00540260">
        <w:rPr>
          <w:rStyle w:val="CommentReference"/>
          <w:rFonts w:ascii="Times New Roman" w:hAnsiTheme="minorHAnsi"/>
        </w:rPr>
        <w:commentReference w:id="14"/>
      </w:r>
    </w:p>
    <w:p w14:paraId="26664BCB" w14:textId="6BC681F2"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lastRenderedPageBreak/>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59446D"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59446D"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37B20A1A"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in each HDS and DS</w:t>
      </w:r>
      <w:r w:rsidR="003563D1">
        <w:t>,</w:t>
      </w:r>
      <w:r w:rsidR="00D50517">
        <w:t xml:space="preserve"> respectively (i.e.</w:t>
      </w:r>
      <w:r w:rsidR="003563D1">
        <w:t xml:space="preserve"> mean</w:t>
      </w:r>
      <w:r w:rsidR="00D50517">
        <w:t xml:space="preserve"> </w:t>
      </w:r>
      <w:r w:rsidR="00D50517" w:rsidRPr="003562E3">
        <w:rPr>
          <w:rFonts w:cstheme="majorBidi"/>
          <w:i/>
        </w:rPr>
        <w:t>α</w:t>
      </w:r>
      <w:r w:rsidR="003563D1">
        <w:rPr>
          <w:rFonts w:cstheme="majorBidi"/>
        </w:rPr>
        <w:t xml:space="preserve"> richness</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 xml:space="preserve">the residual (i.e. turnover-based) </w:t>
      </w:r>
      <w:r w:rsidR="009D7AE2" w:rsidRPr="003562E3">
        <w:rPr>
          <w:rFonts w:cstheme="majorBidi"/>
          <w:i/>
        </w:rPr>
        <w:t>β</w:t>
      </w:r>
      <w:r w:rsidR="009D7AE2">
        <w:t xml:space="preserve"> </w:t>
      </w:r>
      <w:r w:rsidR="003D65D2">
        <w:t xml:space="preserve">richness, </w:t>
      </w:r>
      <w:r>
        <w:t>determined 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1"/>
    </w:p>
    <w:p w14:paraId="16702F9A" w14:textId="72E6903B"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 xml:space="preserve">(Table S1) </w:t>
      </w:r>
      <w:r w:rsidR="005F0FFB">
        <w:t>in the form of raster layers</w:t>
      </w:r>
      <w:r w:rsidR="00E37201">
        <w:t xml:space="preserve"> </w:t>
      </w:r>
      <w:r w:rsidR="00086052">
        <w:t xml:space="preserve">to </w:t>
      </w:r>
      <w:r w:rsidR="007612C7">
        <w:t>represent</w:t>
      </w:r>
      <w:r w:rsidR="00E25251">
        <w:t xml:space="preserve"> topographic (elevation), climatic (surface T, MAP, PDQ), edaphic (clay content, soil C, pH, CEC) and vegetational </w:t>
      </w:r>
      <w:r w:rsidR="00086052">
        <w:t xml:space="preserve">(NDVI) </w:t>
      </w:r>
      <w:commentRangeStart w:id="15"/>
      <w:commentRangeStart w:id="16"/>
      <w:r w:rsidR="00E25251">
        <w:t>gradients</w:t>
      </w:r>
      <w:commentRangeEnd w:id="15"/>
      <w:r w:rsidR="008F78EE">
        <w:rPr>
          <w:rStyle w:val="CommentReference"/>
          <w:rFonts w:ascii="Times New Roman" w:hAnsiTheme="minorHAnsi"/>
        </w:rPr>
        <w:commentReference w:id="15"/>
      </w:r>
      <w:commentRangeEnd w:id="16"/>
      <w:r w:rsidR="00E37201">
        <w:rPr>
          <w:rStyle w:val="CommentReference"/>
          <w:rFonts w:ascii="Times New Roman" w:hAnsiTheme="minorHAnsi"/>
        </w:rPr>
        <w:commentReference w:id="16"/>
      </w:r>
      <w:r w:rsidR="00E25251">
        <w:t xml:space="preserve">. </w:t>
      </w:r>
      <w:r w:rsidR="00086052">
        <w:t xml:space="preserve">As far as possible, these variables were selected to represent environmental axes which are </w:t>
      </w:r>
      <w:r w:rsidR="00086052" w:rsidRPr="00BE0660">
        <w:rPr>
          <w:highlight w:val="yellow"/>
        </w:rPr>
        <w:t>considered regionally important</w:t>
      </w:r>
      <w:r w:rsidR="004066C3" w:rsidRPr="00BE0660">
        <w:rPr>
          <w:highlight w:val="yellow"/>
        </w:rPr>
        <w:t xml:space="preserve"> and </w:t>
      </w:r>
      <w:commentRangeStart w:id="17"/>
      <w:commentRangeStart w:id="18"/>
      <w:r w:rsidR="004066C3" w:rsidRPr="00BE0660">
        <w:rPr>
          <w:highlight w:val="yellow"/>
        </w:rPr>
        <w:t xml:space="preserve">nominally </w:t>
      </w:r>
      <w:commentRangeEnd w:id="17"/>
      <w:r w:rsidR="008F78EE" w:rsidRPr="00BE0660">
        <w:rPr>
          <w:rStyle w:val="CommentReference"/>
          <w:rFonts w:ascii="Times New Roman" w:hAnsiTheme="minorHAnsi"/>
          <w:highlight w:val="yellow"/>
        </w:rPr>
        <w:commentReference w:id="17"/>
      </w:r>
      <w:commentRangeEnd w:id="18"/>
      <w:r w:rsidR="00F0240E" w:rsidRPr="00BE0660">
        <w:rPr>
          <w:rStyle w:val="CommentReference"/>
          <w:rFonts w:ascii="Times New Roman" w:hAnsiTheme="minorHAnsi"/>
          <w:highlight w:val="yellow"/>
        </w:rPr>
        <w:commentReference w:id="18"/>
      </w:r>
      <w:r w:rsidR="004066C3" w:rsidRPr="00BE0660">
        <w:rPr>
          <w:highlight w:val="yellow"/>
        </w:rPr>
        <w:t>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r w:rsidR="00FA10B3">
        <w:t xml:space="preserve">, </w:t>
      </w:r>
      <w:r w:rsidR="00086052">
        <w:t xml:space="preserve">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74D8719F" w14:textId="73CD5DDE"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Pr>
          <w:rFonts w:cstheme="majorBidi"/>
        </w:rPr>
        <w:t>°×</w:t>
      </w:r>
      <w:r w:rsidR="003E6B88">
        <w:t>0.10</w:t>
      </w:r>
      <w:r w:rsidR="003E6B88">
        <w:rPr>
          <w:rFonts w:ascii="Times New Roman" w:hAnsi="Times New Roman"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2810B1">
        <w:t>the four sub-</w:t>
      </w:r>
      <w:r w:rsidR="0051498F">
        <w:t>squares</w:t>
      </w:r>
      <w:r w:rsidR="003E6B88">
        <w:t xml:space="preserve"> (i.e. 0.05</w:t>
      </w:r>
      <w:r w:rsidR="003E6B88">
        <w:rPr>
          <w:rFonts w:cstheme="majorBidi"/>
        </w:rPr>
        <w:t>°×</w:t>
      </w:r>
      <w:r w:rsidR="003E6B88">
        <w:t>0.05</w:t>
      </w:r>
      <w:r w:rsidR="003E6B88">
        <w:rPr>
          <w:rFonts w:ascii="Times New Roman" w:hAnsi="Times New Roman" w:cs="Times New Roman"/>
        </w:rPr>
        <w:t>°</w:t>
      </w:r>
      <w:r w:rsidR="00444B5F">
        <w:rPr>
          <w:rFonts w:ascii="Times New Roman" w:hAnsi="Times New Roman" w:cs="Times New Roman"/>
        </w:rPr>
        <w:t>-</w:t>
      </w:r>
      <w:r w:rsidR="003E6B88" w:rsidRPr="00946957">
        <w:t>, eighth-</w:t>
      </w:r>
      <w:r w:rsidR="003E6B88">
        <w:t>degree square</w:t>
      </w:r>
      <w:r w:rsidR="00444B5F">
        <w:t>-</w:t>
      </w:r>
      <w:r w:rsidR="003E6B88" w:rsidRPr="00946957">
        <w:t>,</w:t>
      </w:r>
      <w:r w:rsidR="003E6B88">
        <w:t xml:space="preserve"> </w:t>
      </w:r>
      <w:r w:rsidR="003E6B88" w:rsidRPr="00946957">
        <w:t>QDS</w:t>
      </w:r>
      <w:r w:rsidR="00444B5F">
        <w:t>-</w:t>
      </w:r>
      <w:r w:rsidR="003E6B88">
        <w:t xml:space="preserve"> and </w:t>
      </w:r>
      <w:r w:rsidR="003E6B88" w:rsidRPr="00946957">
        <w:t>HDS</w:t>
      </w:r>
      <w:r w:rsidR="00444B5F">
        <w:t>-scale</w:t>
      </w:r>
      <w:r w:rsidR="003E6B88">
        <w:t>)</w:t>
      </w:r>
      <w:r w:rsidR="0051498F">
        <w:t xml:space="preserve"> </w:t>
      </w:r>
      <w:r w:rsidR="003E6B88">
        <w:t>nested within it</w:t>
      </w:r>
      <w:r w:rsidR="002810B1">
        <w:t xml:space="preserve">. </w:t>
      </w:r>
      <w:r w:rsidR="003E6B88">
        <w:t>T</w:t>
      </w:r>
      <w:r w:rsidR="00E7429C" w:rsidRPr="0001739B">
        <w:t xml:space="preserve">his </w:t>
      </w:r>
      <w:r w:rsidR="003E6B88">
        <w:t>was d</w:t>
      </w:r>
      <w:r w:rsidR="00444B5F">
        <w:t>one</w:t>
      </w:r>
      <w:r w:rsidR="003E6B88">
        <w:t xml:space="preserve"> </w:t>
      </w:r>
      <w:r w:rsidR="00E7429C" w:rsidRPr="0001739B">
        <w:t>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r w:rsidR="003E6B88">
        <w:t>,</w:t>
      </w:r>
      <w:r w:rsidR="008E6F1C">
        <w:t xml:space="preserve"> </w:t>
      </w:r>
      <w:r w:rsidR="0076433F">
        <w:t xml:space="preserve">with </w:t>
      </w:r>
      <w:r w:rsidR="00BD5C4F">
        <w:t xml:space="preserve">variance </w:t>
      </w:r>
      <w:r w:rsidR="003E6B88">
        <w:t xml:space="preserve">set </w:t>
      </w:r>
      <w:r w:rsidR="00BD5C4F">
        <w:t>as the aggregation function</w:t>
      </w:r>
      <w:r w:rsidR="00A30A5A">
        <w:t>.</w:t>
      </w:r>
      <w:r w:rsidR="00DE7007">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14:paraId="4910D4CC" w14:textId="28A0573E"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19"/>
      <w:commentRangeStart w:id="20"/>
      <w:r w:rsidR="00FD3C3A">
        <w:t xml:space="preserve">both </w:t>
      </w:r>
      <w:commentRangeEnd w:id="19"/>
      <w:r w:rsidR="0076433F">
        <w:rPr>
          <w:rStyle w:val="CommentReference"/>
          <w:rFonts w:ascii="Times New Roman" w:hAnsiTheme="minorHAnsi"/>
        </w:rPr>
        <w:commentReference w:id="19"/>
      </w:r>
      <w:commentRangeEnd w:id="20"/>
      <w:r w:rsidR="008156BB">
        <w:rPr>
          <w:rStyle w:val="CommentReference"/>
          <w:rFonts w:ascii="Times New Roman" w:hAnsiTheme="minorHAnsi"/>
        </w:rPr>
        <w:commentReference w:id="20"/>
      </w:r>
      <w:r w:rsidR="00FD3C3A">
        <w:t xml:space="preserve">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1"/>
      <w:commentRangeStart w:id="22"/>
      <w:r w:rsidR="00F358D2">
        <w:t>log</w:t>
      </w:r>
      <w:r w:rsidR="00F70EA3">
        <w:rPr>
          <w:vertAlign w:val="subscript"/>
        </w:rPr>
        <w:t>10</w:t>
      </w:r>
      <w:r w:rsidR="00F70EA3">
        <w:t>-</w:t>
      </w:r>
      <w:r w:rsidR="00F358D2">
        <w:t xml:space="preserve">transformed </w:t>
      </w:r>
      <w:commentRangeEnd w:id="21"/>
      <w:r w:rsidR="0076433F">
        <w:rPr>
          <w:rStyle w:val="CommentReference"/>
          <w:rFonts w:ascii="Times New Roman" w:hAnsiTheme="minorHAnsi"/>
        </w:rPr>
        <w:commentReference w:id="21"/>
      </w:r>
      <w:commentRangeEnd w:id="22"/>
      <w:r w:rsidR="00CF1356">
        <w:rPr>
          <w:rStyle w:val="CommentReference"/>
          <w:rFonts w:ascii="Times New Roman" w:hAnsiTheme="minorHAnsi"/>
        </w:rPr>
        <w:commentReference w:id="22"/>
      </w:r>
      <w:r w:rsidR="00F358D2">
        <w:t xml:space="preserve">to ensure normality. A separate PCA was </w:t>
      </w:r>
      <w:r w:rsidR="00DA6161">
        <w:t>then run at</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DA6161">
        <w:t xml:space="preserve">thus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p>
    <w:p w14:paraId="043425BC" w14:textId="2EA7E361" w:rsidR="007E72DA" w:rsidRPr="00DE7007" w:rsidRDefault="00BE3A41" w:rsidP="00BE3A41">
      <w:pPr>
        <w:pStyle w:val="BodyText"/>
      </w:pPr>
      <w:r w:rsidRPr="000519A1">
        <w:lastRenderedPageBreak/>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w:t>
      </w:r>
      <w:r w:rsidR="00F1656B">
        <w:t xml:space="preserve">of a variable </w:t>
      </w:r>
      <w:r w:rsidR="000519A1">
        <w:t xml:space="preserve">between two categories </w:t>
      </w:r>
      <w:r w:rsidR="00F53D6B">
        <w:t xml:space="preserve">in which </w:t>
      </w:r>
      <w:r w:rsidR="00F1656B">
        <w:t>the value in on</w:t>
      </w:r>
      <w:r w:rsidR="000519A1">
        <w:t xml:space="preserve">e category </w:t>
      </w:r>
      <w:r w:rsidR="00104ADF">
        <w:t>exceed</w:t>
      </w:r>
      <w:r w:rsidR="00F1656B">
        <w:t>s</w:t>
      </w:r>
      <w:r w:rsidR="000519A1">
        <w:t xml:space="preserve"> th</w:t>
      </w:r>
      <w:r w:rsidR="00F1656B">
        <w:t>at in the other</w:t>
      </w:r>
      <w:r w:rsidR="000519A1">
        <w:t>.</w:t>
      </w:r>
      <w:r w:rsidR="0032532C">
        <w:t xml:space="preserve"> </w:t>
      </w:r>
      <w:r w:rsidR="00312AA7">
        <w:t>Additionally</w:t>
      </w:r>
      <w:r w:rsidR="005C752F">
        <w:t xml:space="preserve">, we tested for differences in </w:t>
      </w:r>
      <w:r w:rsidR="00F1656B">
        <w:t xml:space="preserve">regional </w:t>
      </w:r>
      <w:r w:rsidR="005C752F">
        <w:t xml:space="preserve">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w:t>
      </w:r>
      <w:r w:rsidR="00F1656B">
        <w:t xml:space="preserve">as implemented </w:t>
      </w:r>
      <w:r w:rsidR="0061190A">
        <w:t>in R</w:t>
      </w:r>
      <w:r w:rsidR="005C752F">
        <w:t>.</w:t>
      </w:r>
      <w:r w:rsidR="00DE7007">
        <w:t xml:space="preserve"> </w:t>
      </w:r>
      <w:r w:rsidR="00F1656B">
        <w:t>Both analyses were done</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14:paraId="362E99FC" w14:textId="77122C2B" w:rsidR="00DD2348" w:rsidRDefault="00DD7307" w:rsidP="008A4E97">
      <w:pPr>
        <w:pStyle w:val="Heading2"/>
        <w:spacing w:line="240" w:lineRule="auto"/>
      </w:pPr>
      <w:bookmarkStart w:id="23" w:name="environmental-heterogeneity-as-an-explan"/>
      <w:r>
        <w:t>2.3</w:t>
      </w:r>
      <w:r w:rsidR="0009179A">
        <w:t>:</w:t>
      </w:r>
      <w:r>
        <w:t xml:space="preserve"> </w:t>
      </w:r>
      <w:r w:rsidR="005F0FFB">
        <w:t>Environmental heterogeneity as an explanation of species richness</w:t>
      </w:r>
      <w:bookmarkEnd w:id="23"/>
    </w:p>
    <w:p w14:paraId="23BA1837" w14:textId="6F1F13DB" w:rsidR="002F092D" w:rsidRDefault="001E723F" w:rsidP="00DF0226">
      <w:pPr>
        <w:pStyle w:val="FirstParagraph"/>
        <w:rPr>
          <w:rFonts w:eastAsiaTheme="minorEastAsia"/>
        </w:rPr>
      </w:pPr>
      <w:r>
        <w:t>W</w:t>
      </w:r>
      <w:r w:rsidR="00FE3E67">
        <w:t>e used linear</w:t>
      </w:r>
      <w:r w:rsidR="00FE4E23">
        <w:t xml:space="preserve"> </w:t>
      </w:r>
      <w:r w:rsidR="00FE3E67">
        <w:t>models</w:t>
      </w:r>
      <w:r w:rsidR="00CD7A9B">
        <w:t xml:space="preserve"> </w:t>
      </w:r>
      <w:r w:rsidR="00FE3E67">
        <w:t xml:space="preserve">to assess </w:t>
      </w:r>
      <w:r w:rsidR="005F0FFB">
        <w:t xml:space="preserve">the explanatory power of </w:t>
      </w:r>
      <w:r w:rsidR="007948F4">
        <w:t>heterogeneity</w:t>
      </w:r>
      <w:r w:rsidR="005F0FFB">
        <w:t xml:space="preserve"> </w:t>
      </w:r>
      <w:r w:rsidR="00793F46">
        <w:t xml:space="preserve">in the nine selected </w:t>
      </w:r>
      <w:r w:rsidR="00352C55">
        <w:t xml:space="preserve">environmental </w:t>
      </w:r>
      <w:r w:rsidR="00793F46">
        <w:t>variables, and the major heterogeneity axis represented by PC1</w:t>
      </w:r>
      <w:r w:rsidR="00352C55">
        <w:t>,</w:t>
      </w:r>
      <w:r w:rsidR="00793F46">
        <w:t xml:space="preserve"> </w:t>
      </w:r>
      <w:r w:rsidR="00FE3E67">
        <w:t>as determinant</w:t>
      </w:r>
      <w:r w:rsidR="00963268">
        <w:t>s</w:t>
      </w:r>
      <w:r w:rsidR="00FE3E67">
        <w:t xml:space="preserve"> of</w:t>
      </w:r>
      <w:r w:rsidR="005F0FFB">
        <w:t xml:space="preserve"> species richness</w:t>
      </w:r>
      <w:r w:rsidR="00FE3E67">
        <w:t xml:space="preserve"> </w:t>
      </w:r>
      <w:r w:rsidR="00793F46">
        <w:t>across the two regions</w:t>
      </w:r>
      <w:r w:rsidR="00A13B07">
        <w:t>.</w:t>
      </w:r>
    </w:p>
    <w:p w14:paraId="738597DF" w14:textId="30FEB7AD" w:rsidR="000A2EAE" w:rsidRPr="00516F90" w:rsidRDefault="00FE4E23">
      <w:pPr>
        <w:pStyle w:val="FirstParagraph"/>
        <w:rPr>
          <w:rFonts w:eastAsiaTheme="minorEastAsia"/>
        </w:rPr>
      </w:pPr>
      <w:r>
        <w:rPr>
          <w:rFonts w:eastAsiaTheme="minorEastAsia"/>
        </w:rPr>
        <w:t xml:space="preserve">We first used </w:t>
      </w:r>
      <w:r w:rsidR="00963268">
        <w:rPr>
          <w:rFonts w:eastAsiaTheme="minorEastAsia"/>
        </w:rPr>
        <w:t>analyses of covariance</w:t>
      </w:r>
      <w:r w:rsidR="00A13B07">
        <w:rPr>
          <w:rFonts w:eastAsiaTheme="minorEastAsia"/>
        </w:rPr>
        <w:t xml:space="preserve"> (ANCOVA)</w:t>
      </w:r>
      <w:r w:rsidR="00A13B07">
        <w:t>, at the QDS-, HDS- and DS-scales,</w:t>
      </w:r>
      <w:r>
        <w:rPr>
          <w:rFonts w:eastAsiaTheme="minorEastAsia"/>
        </w:rPr>
        <w:t xml:space="preserve"> to relate species richness to </w:t>
      </w:r>
      <w:r w:rsidR="00963268">
        <w:rPr>
          <w:rFonts w:eastAsiaTheme="minorEastAsia"/>
        </w:rPr>
        <w:t xml:space="preserve">the </w:t>
      </w:r>
      <w:r>
        <w:rPr>
          <w:rFonts w:eastAsiaTheme="minorEastAsia"/>
        </w:rPr>
        <w:t>heterogeneit</w:t>
      </w:r>
      <w:r w:rsidR="00963268">
        <w:rPr>
          <w:rFonts w:eastAsiaTheme="minorEastAsia"/>
        </w:rPr>
        <w:t xml:space="preserve">y </w:t>
      </w:r>
      <w:r>
        <w:rPr>
          <w:rFonts w:eastAsiaTheme="minorEastAsia"/>
        </w:rPr>
        <w:t xml:space="preserve">of </w:t>
      </w:r>
      <w:r w:rsidR="00963268">
        <w:rPr>
          <w:rFonts w:eastAsiaTheme="minorEastAsia"/>
        </w:rPr>
        <w:t>each</w:t>
      </w:r>
      <w:r>
        <w:rPr>
          <w:rFonts w:eastAsiaTheme="minorEastAsia"/>
        </w:rPr>
        <w:t xml:space="preserve"> environmental variable</w:t>
      </w:r>
      <w:r w:rsidR="00A13B07">
        <w:rPr>
          <w:rFonts w:eastAsiaTheme="minorEastAsia"/>
        </w:rPr>
        <w:t>, and</w:t>
      </w:r>
      <w:r w:rsidR="00A15FD6">
        <w:rPr>
          <w:rFonts w:eastAsiaTheme="minorEastAsia"/>
        </w:rPr>
        <w:t xml:space="preserve"> </w:t>
      </w:r>
      <w:r w:rsidR="00A13B07">
        <w:rPr>
          <w:rFonts w:eastAsiaTheme="minorEastAsia"/>
        </w:rPr>
        <w:t xml:space="preserve">to </w:t>
      </w:r>
      <w:r>
        <w:rPr>
          <w:rFonts w:eastAsiaTheme="minorEastAsia"/>
        </w:rPr>
        <w:t xml:space="preserve">the major axis of heterogeneity, </w:t>
      </w:r>
      <w:r w:rsidR="00963268">
        <w:rPr>
          <w:rFonts w:eastAsiaTheme="minorEastAsia"/>
        </w:rPr>
        <w:t>across the two regions</w:t>
      </w:r>
      <w:r>
        <w:rPr>
          <w:rFonts w:eastAsiaTheme="minorEastAsia"/>
        </w:rPr>
        <w:t xml:space="preserve">. </w:t>
      </w:r>
      <w:r w:rsidR="00A465FD">
        <w:rPr>
          <w:rFonts w:eastAsiaTheme="minorEastAsia"/>
        </w:rPr>
        <w:t>I</w:t>
      </w:r>
      <w:r>
        <w:rPr>
          <w:rFonts w:eastAsiaTheme="minorEastAsia"/>
        </w:rPr>
        <w:t>n order to assess whether th</w:t>
      </w:r>
      <w:r w:rsidR="00547291">
        <w:rPr>
          <w:rFonts w:eastAsiaTheme="minorEastAsia"/>
        </w:rPr>
        <w:t>ese</w:t>
      </w:r>
      <w:r>
        <w:rPr>
          <w:rFonts w:eastAsiaTheme="minorEastAsia"/>
        </w:rPr>
        <w:t xml:space="preserve"> relationship</w:t>
      </w:r>
      <w:r w:rsidR="00547291">
        <w:rPr>
          <w:rFonts w:eastAsiaTheme="minorEastAsia"/>
        </w:rPr>
        <w:t>s are</w:t>
      </w:r>
      <w:r>
        <w:rPr>
          <w:rFonts w:eastAsiaTheme="minorEastAsia"/>
        </w:rPr>
        <w:t xml:space="preserve"> identical</w:t>
      </w:r>
      <w:r w:rsidR="00547291">
        <w:rPr>
          <w:rFonts w:eastAsiaTheme="minorEastAsia"/>
        </w:rPr>
        <w:t xml:space="preserve"> in form</w:t>
      </w:r>
      <w:r>
        <w:rPr>
          <w:rFonts w:eastAsiaTheme="minorEastAsia"/>
        </w:rPr>
        <w:t xml:space="preserve"> </w:t>
      </w:r>
      <w:r w:rsidR="00547291">
        <w:rPr>
          <w:rFonts w:eastAsiaTheme="minorEastAsia"/>
        </w:rPr>
        <w:t>across</w:t>
      </w:r>
      <w:r>
        <w:rPr>
          <w:rFonts w:eastAsiaTheme="minorEastAsia"/>
        </w:rPr>
        <w:t xml:space="preserve"> the two regions</w:t>
      </w:r>
      <w:r w:rsidR="00711950">
        <w:rPr>
          <w:rFonts w:eastAsiaTheme="minorEastAsia"/>
        </w:rPr>
        <w:t>,</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sidR="00711950">
        <w:rPr>
          <w:rFonts w:eastAsiaTheme="minorEastAsia"/>
        </w:rPr>
        <w:t xml:space="preserve"> for </w:t>
      </w:r>
      <w:r w:rsidR="00547291">
        <w:rPr>
          <w:rFonts w:eastAsiaTheme="minorEastAsia"/>
        </w:rPr>
        <w:t xml:space="preserve">each heterogeneity predictor </w:t>
      </w:r>
      <w:r w:rsidR="00547291" w:rsidRPr="00D51E2F">
        <w:rPr>
          <w:rFonts w:eastAsiaTheme="minorEastAsia"/>
          <w:i/>
        </w:rPr>
        <w:t>X</w:t>
      </w:r>
      <w:r w:rsidR="00547291">
        <w:rPr>
          <w:rFonts w:eastAsiaTheme="minorEastAsia"/>
        </w:rPr>
        <w:t xml:space="preserve">, as follows: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w:t>
      </w:r>
      <w:r w:rsidR="00C07B05">
        <w:rPr>
          <w:rFonts w:eastAsiaTheme="minorEastAsia"/>
        </w:rPr>
        <w:t xml:space="preserve">“main effect </w:t>
      </w:r>
      <w:r w:rsidR="00C07B05">
        <w:rPr>
          <w:rFonts w:eastAsiaTheme="minorEastAsia" w:cstheme="majorBidi"/>
        </w:rPr>
        <w:t>×</w:t>
      </w:r>
      <w:r w:rsidR="00C07B05">
        <w:rPr>
          <w:rFonts w:eastAsiaTheme="minorEastAsia"/>
        </w:rPr>
        <w:t xml:space="preserve"> region” </w:t>
      </w:r>
      <w:r w:rsidR="004511B3">
        <w:rPr>
          <w:rFonts w:eastAsiaTheme="minorEastAsia"/>
        </w:rPr>
        <w:t xml:space="preserve">model </w:t>
      </w:r>
      <w:r w:rsidR="00C07B05">
        <w:rPr>
          <w:rFonts w:eastAsiaTheme="minorEastAsia"/>
        </w:rPr>
        <w:t>which includes</w:t>
      </w:r>
      <w:r w:rsidR="00A15FD6">
        <w:rPr>
          <w:rFonts w:eastAsiaTheme="minorEastAsia"/>
        </w:rPr>
        <w:t xml:space="preserve"> </w:t>
      </w:r>
      <w:r w:rsidR="004511B3">
        <w:rPr>
          <w:rFonts w:eastAsiaTheme="minorEastAsia"/>
        </w:rPr>
        <w:t xml:space="preserve">an interaction </w:t>
      </w:r>
      <w:r w:rsidR="00A15FD6">
        <w:rPr>
          <w:rFonts w:eastAsiaTheme="minorEastAsia"/>
        </w:rPr>
        <w:t xml:space="preserve">between heterogeneity and </w:t>
      </w:r>
      <w:r w:rsidR="004511B3">
        <w:rPr>
          <w:rFonts w:eastAsiaTheme="minorEastAsia"/>
        </w:rPr>
        <w:t>region</w:t>
      </w:r>
      <w:r w:rsidR="00723D01">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w:t>
      </w:r>
      <w:r w:rsidR="00547291">
        <w:rPr>
          <w:rFonts w:eastAsiaTheme="minorEastAsia"/>
        </w:rPr>
        <w:t>For each of the ten predictor</w:t>
      </w:r>
      <w:r w:rsidR="00A13B07">
        <w:rPr>
          <w:rFonts w:eastAsiaTheme="minorEastAsia"/>
        </w:rPr>
        <w:t>s</w:t>
      </w:r>
      <w:r w:rsidR="00547291">
        <w:rPr>
          <w:rFonts w:eastAsiaTheme="minorEastAsia"/>
        </w:rPr>
        <w:t>, t</w:t>
      </w:r>
      <w:r w:rsidR="00042E25">
        <w:rPr>
          <w:rFonts w:eastAsiaTheme="minorEastAsia"/>
        </w:rPr>
        <w:t xml:space="preserve">he best fitting </w:t>
      </w:r>
      <w:r w:rsidR="00547291">
        <w:rPr>
          <w:rFonts w:eastAsiaTheme="minorEastAsia"/>
        </w:rPr>
        <w:t>model</w:t>
      </w:r>
      <w:r w:rsidR="00042E25">
        <w:rPr>
          <w:rFonts w:eastAsiaTheme="minorEastAsia"/>
        </w:rPr>
        <w:t xml:space="preserve">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w:t>
      </w:r>
      <w:r w:rsidR="00A465FD">
        <w:t xml:space="preserve">as </w:t>
      </w:r>
      <w:r w:rsidR="00472BBD">
        <w:t xml:space="preserve">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B07EC3">
        <w:rPr>
          <w:rFonts w:eastAsiaTheme="minorEastAsia"/>
        </w:rPr>
        <w:t>Where the</w:t>
      </w:r>
      <w:r w:rsidR="000A2EAE">
        <w:rPr>
          <w:rFonts w:eastAsiaTheme="minorEastAsia"/>
        </w:rPr>
        <w:t xml:space="preserve"> “main effect only” model </w:t>
      </w:r>
      <w:r w:rsidR="00B07EC3">
        <w:rPr>
          <w:rFonts w:eastAsiaTheme="minorEastAsia"/>
        </w:rPr>
        <w:t xml:space="preserve">describes </w:t>
      </w:r>
      <w:r w:rsidR="00A13B07">
        <w:rPr>
          <w:rFonts w:eastAsiaTheme="minorEastAsia"/>
        </w:rPr>
        <w:t>heterogeneity</w:t>
      </w:r>
      <w:r w:rsidR="00B07EC3">
        <w:rPr>
          <w:rFonts w:eastAsiaTheme="minorEastAsia"/>
        </w:rPr>
        <w:t xml:space="preserve"> </w:t>
      </w:r>
      <w:r w:rsidR="00A15FD6">
        <w:rPr>
          <w:rFonts w:eastAsiaTheme="minorEastAsia"/>
        </w:rPr>
        <w:t xml:space="preserve">as having a uniform effect </w:t>
      </w:r>
      <w:r w:rsidR="00B07EC3">
        <w:rPr>
          <w:rFonts w:eastAsiaTheme="minorEastAsia"/>
        </w:rPr>
        <w:t>on species richness across the two regions</w:t>
      </w:r>
      <w:r w:rsidR="00A15FD6">
        <w:rPr>
          <w:rFonts w:eastAsiaTheme="minorEastAsia"/>
        </w:rPr>
        <w:t xml:space="preserve"> (i.e. a common relationship)</w:t>
      </w:r>
      <w:r w:rsidR="00B07EC3">
        <w:rPr>
          <w:rFonts w:eastAsiaTheme="minorEastAsia"/>
        </w:rPr>
        <w:t xml:space="preserve">, the “main effect + region” and “main effect </w:t>
      </w:r>
      <w:r w:rsidR="00B07EC3">
        <w:rPr>
          <w:rFonts w:eastAsiaTheme="minorEastAsia" w:cstheme="majorBidi"/>
        </w:rPr>
        <w:t>×</w:t>
      </w:r>
      <w:r w:rsidR="00B07EC3">
        <w:rPr>
          <w:rFonts w:eastAsiaTheme="minorEastAsia"/>
        </w:rPr>
        <w:t xml:space="preserve"> region” models </w:t>
      </w:r>
      <w:r w:rsidR="009D235A">
        <w:rPr>
          <w:rFonts w:eastAsiaTheme="minorEastAsia"/>
        </w:rPr>
        <w:t>describe the relationship</w:t>
      </w:r>
      <w:r w:rsidR="00A15FD6">
        <w:rPr>
          <w:rFonts w:eastAsiaTheme="minorEastAsia"/>
        </w:rPr>
        <w:t>s</w:t>
      </w:r>
      <w:r w:rsidR="009D235A">
        <w:rPr>
          <w:rFonts w:eastAsiaTheme="minorEastAsia"/>
        </w:rPr>
        <w:t xml:space="preserve"> </w:t>
      </w:r>
      <w:r w:rsidR="00A15FD6">
        <w:rPr>
          <w:rFonts w:eastAsiaTheme="minorEastAsia"/>
        </w:rPr>
        <w:t>of</w:t>
      </w:r>
      <w:r w:rsidR="009D235A">
        <w:rPr>
          <w:rFonts w:eastAsiaTheme="minorEastAsia"/>
        </w:rPr>
        <w:t xml:space="preserve"> species richness </w:t>
      </w:r>
      <w:r w:rsidR="00A15FD6">
        <w:rPr>
          <w:rFonts w:eastAsiaTheme="minorEastAsia"/>
        </w:rPr>
        <w:t>to</w:t>
      </w:r>
      <w:r w:rsidR="009D235A">
        <w:rPr>
          <w:rFonts w:eastAsiaTheme="minorEastAsia"/>
        </w:rPr>
        <w:t xml:space="preserve"> heterogeneity as being region</w:t>
      </w:r>
      <w:r w:rsidR="00A13B07">
        <w:rPr>
          <w:rFonts w:eastAsiaTheme="minorEastAsia"/>
        </w:rPr>
        <w:t>-dependent</w:t>
      </w:r>
      <w:r w:rsidR="009D235A">
        <w:rPr>
          <w:rFonts w:eastAsiaTheme="minorEastAsia"/>
        </w:rPr>
        <w:t>. Specifically, where the “main effect + region” model describe</w:t>
      </w:r>
      <w:r w:rsidR="00A15FD6">
        <w:rPr>
          <w:rFonts w:eastAsiaTheme="minorEastAsia"/>
        </w:rPr>
        <w:t>s</w:t>
      </w:r>
      <w:r w:rsidR="009D235A">
        <w:rPr>
          <w:rFonts w:eastAsiaTheme="minorEastAsia"/>
        </w:rPr>
        <w:t xml:space="preserve"> these relationships as being identical in terms of slope but not intercept, the “main effect </w:t>
      </w:r>
      <w:r w:rsidR="009D235A">
        <w:rPr>
          <w:rFonts w:eastAsiaTheme="minorEastAsia" w:cstheme="majorBidi"/>
        </w:rPr>
        <w:t>×</w:t>
      </w:r>
      <w:r w:rsidR="009D235A">
        <w:rPr>
          <w:rFonts w:eastAsiaTheme="minorEastAsia"/>
        </w:rPr>
        <w:t xml:space="preserve"> region” describes them as differing in both intercept and slope.</w:t>
      </w:r>
    </w:p>
    <w:p w14:paraId="08FB22C3" w14:textId="28E756CC" w:rsidR="00E01AE6" w:rsidRDefault="00A465FD">
      <w:pPr>
        <w:pStyle w:val="FirstParagraph"/>
      </w:pPr>
      <w:r>
        <w:rPr>
          <w:rFonts w:eastAsiaTheme="minorEastAsia"/>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Starting from a 19-predictor model</w:t>
      </w:r>
      <w:r w:rsidR="00094CB2">
        <w:t>,</w:t>
      </w:r>
      <w:r w:rsidR="00D6426B">
        <w:t xml:space="preserve"> including 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the latter with region, </w:t>
      </w:r>
      <w:r w:rsidR="005E220D">
        <w:t xml:space="preserve">model simplification was done using </w:t>
      </w:r>
      <w:r w:rsidR="0059394E" w:rsidRPr="0059394E">
        <w:t>reverse stepwise regression model selection</w:t>
      </w:r>
      <w:r w:rsidR="00520D38">
        <w:t xml:space="preserve"> (</w:t>
      </w:r>
      <w:r w:rsidR="00520D38" w:rsidRPr="00520D38">
        <w:rPr>
          <w:highlight w:val="yellow"/>
        </w:rPr>
        <w:t>ref</w:t>
      </w:r>
      <w:r w:rsidR="00520D38">
        <w:t>)</w:t>
      </w:r>
      <w:r w:rsidR="0059394E" w:rsidRPr="0059394E">
        <w:t xml:space="preserve">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species richness on heterogeneity differs between the two regions. </w:t>
      </w:r>
      <w:r w:rsidR="009D474B">
        <w:t>Conversely</w:t>
      </w:r>
      <w:r w:rsidR="00094CB2">
        <w:t>, where only the main effect</w:t>
      </w:r>
      <w:r w:rsidR="009D474B">
        <w:t xml:space="preserve"> is</w:t>
      </w:r>
      <w:r w:rsidR="00094CB2">
        <w:t xml:space="preserve"> significant</w:t>
      </w:r>
      <w:r w:rsidR="009D474B">
        <w:t xml:space="preserve"> the dependence of species richness on heterogeneity is inferred to be uniform across the two regions.</w:t>
      </w:r>
    </w:p>
    <w:p w14:paraId="22B60912" w14:textId="05E4684D"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14:paraId="42F144AD" w14:textId="7BF1585B"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 xml:space="preserve">exceeds </w:t>
      </w:r>
      <w:r w:rsidR="00887059">
        <w:t>that</w:t>
      </w:r>
      <w:r w:rsidR="00DC385A">
        <w:t xml:space="preserve"> expected on the basis of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(Figure 3) and </w:t>
      </w:r>
      <w:r w:rsidR="00887059">
        <w:t xml:space="preserve">the </w:t>
      </w:r>
      <w:r w:rsidR="00DC385A">
        <w:t>multiple regression models (Figure 4)</w:t>
      </w:r>
      <w:r w:rsidR="00887059">
        <w:t>, at all three spatial scales,</w:t>
      </w:r>
      <w:r w:rsidR="00DC385A">
        <w:t xml:space="preserve"> </w:t>
      </w:r>
      <w:r w:rsidR="00887059">
        <w:t xml:space="preserve">to identify outlier points. For this purpose outliers </w:t>
      </w:r>
      <w:r w:rsidR="003D2B4F">
        <w:t xml:space="preserve">were defined as any </w:t>
      </w:r>
      <w:r w:rsidR="00887059">
        <w:t xml:space="preserve">points </w:t>
      </w:r>
      <w:r w:rsidR="0072431B">
        <w:t>with residual species richness</w:t>
      </w:r>
      <w:r w:rsidR="00887059">
        <w:t xml:space="preserve"> more than two standard deviations from the mean. We also used an </w:t>
      </w:r>
      <w:r w:rsidR="00887059" w:rsidRPr="00C47FAF">
        <w:rPr>
          <w:i/>
        </w:rPr>
        <w:t>F</w:t>
      </w:r>
      <w:r w:rsidR="00887059">
        <w:t xml:space="preserve">-test to assess whether the </w:t>
      </w:r>
      <w:r w:rsidR="003D2B4F">
        <w:t xml:space="preserve">variances of the </w:t>
      </w:r>
      <w:r w:rsidR="00887059">
        <w:t>residual</w:t>
      </w:r>
      <w:r w:rsidR="003D2B4F">
        <w:t>s associated with ANCOVA and multiple regressions</w:t>
      </w:r>
      <w:r w:rsidR="00887059">
        <w:t xml:space="preserve"> differed between the GCFR and SWAFR. Finally, </w:t>
      </w:r>
      <w:commentRangeStart w:id="24"/>
      <w:r w:rsidR="00265947">
        <w:t>to assess</w:t>
      </w:r>
      <w:r w:rsidR="003D2B4F">
        <w:t xml:space="preserve"> whether the exceptional richness of hotspots is best explained by factors other than environmental heterogeneity</w:t>
      </w:r>
      <w:commentRangeEnd w:id="24"/>
      <w:r w:rsidR="00125C57">
        <w:rPr>
          <w:rStyle w:val="CommentReference"/>
          <w:rFonts w:ascii="Times New Roman" w:hAnsiTheme="minorHAnsi"/>
        </w:rPr>
        <w:commentReference w:id="24"/>
      </w:r>
      <w:r w:rsidR="003D2B4F">
        <w:t xml:space="preserve">, we </w:t>
      </w:r>
      <w:r w:rsidR="003D2B4F">
        <w:lastRenderedPageBreak/>
        <w:t>repeated the ANCOVA and multiple regression analyses with hotspots omitted, and compared the coefficients of determination.</w:t>
      </w:r>
    </w:p>
    <w:p w14:paraId="5B8B0085" w14:textId="716A78D0" w:rsidR="00D04776" w:rsidRDefault="00DD7307" w:rsidP="008A4E97">
      <w:pPr>
        <w:pStyle w:val="Heading1"/>
        <w:spacing w:line="240" w:lineRule="auto"/>
      </w:pPr>
      <w:bookmarkStart w:id="25" w:name="results"/>
      <w:r>
        <w:t>3</w:t>
      </w:r>
      <w:r w:rsidR="00E4661A">
        <w:t>:</w:t>
      </w:r>
      <w:r>
        <w:t xml:space="preserve"> </w:t>
      </w:r>
      <w:r w:rsidR="00D04776">
        <w:t>Results</w:t>
      </w:r>
      <w:bookmarkEnd w:id="25"/>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2713C102" w14:textId="107DEEB4" w:rsidR="002C32D6" w:rsidRPr="00B332AF" w:rsidRDefault="002C32D6" w:rsidP="002C32D6">
      <w:pPr>
        <w:pStyle w:val="FirstParagraph"/>
        <w:rPr>
          <w:i/>
        </w:rPr>
      </w:pPr>
      <w:r>
        <w:t xml:space="preserve">Vascular plant species richness varies spatially in both the GCFR and SWAFR, with both regions possessing a hotspot of exceptional richness (the </w:t>
      </w:r>
      <w:proofErr w:type="spellStart"/>
      <w:r>
        <w:t>Kogelberg</w:t>
      </w:r>
      <w:proofErr w:type="spellEnd"/>
      <w:r>
        <w:t xml:space="preserve"> Centre in the GCFR; Greater Perth in the SWAFR) and declining species richness towards its interior margin (Figure 5a, b). </w:t>
      </w:r>
      <w:r w:rsidRPr="00B332AF">
        <w:t>Comparison</w:t>
      </w:r>
      <w:r>
        <w:t>s</w:t>
      </w:r>
      <w:r w:rsidRPr="00B332AF">
        <w:t xml:space="preserve"> of species richness</w:t>
      </w:r>
      <w:r>
        <w:t xml:space="preserve"> between the regions</w:t>
      </w:r>
      <w:r w:rsidRPr="00B332AF">
        <w:t xml:space="preserve"> </w:t>
      </w:r>
      <w:r>
        <w:t>using two-sided Mann</w:t>
      </w:r>
      <w:r w:rsidRPr="000E5000">
        <w:t xml:space="preserve">-Whitney </w:t>
      </w:r>
      <w:r w:rsidRPr="000E5000">
        <w:rPr>
          <w:i/>
        </w:rPr>
        <w:t>U</w:t>
      </w:r>
      <w:r>
        <w:t xml:space="preserve"> </w:t>
      </w:r>
      <w:r w:rsidRPr="000E5000">
        <w:t>tests</w:t>
      </w:r>
      <w:r w:rsidRPr="00B332AF">
        <w:t xml:space="preserve"> </w:t>
      </w:r>
      <w:r>
        <w:t>reveal</w:t>
      </w:r>
      <w:r w:rsidRPr="00B332AF">
        <w:t xml:space="preserve"> </w:t>
      </w:r>
      <w:r>
        <w:t xml:space="preserve">that </w:t>
      </w:r>
      <w:commentRangeStart w:id="26"/>
      <w:commentRangeStart w:id="27"/>
      <w:r>
        <w:t>species</w:t>
      </w:r>
      <w:r w:rsidRPr="00B332AF">
        <w:t xml:space="preserve"> richness </w:t>
      </w:r>
      <w:r>
        <w:t>per unit area is similar at the QDS</w:t>
      </w:r>
      <w:commentRangeEnd w:id="26"/>
      <w:r w:rsidR="00CA131C">
        <w:rPr>
          <w:rStyle w:val="CommentReference"/>
          <w:rFonts w:ascii="Times New Roman" w:hAnsiTheme="minorHAnsi"/>
        </w:rPr>
        <w:commentReference w:id="26"/>
      </w:r>
      <w:commentRangeEnd w:id="27"/>
      <w:r w:rsidR="00F77185">
        <w:rPr>
          <w:rStyle w:val="CommentReference"/>
          <w:rFonts w:ascii="Times New Roman" w:hAnsiTheme="minorHAnsi"/>
        </w:rPr>
        <w:commentReference w:id="27"/>
      </w:r>
      <w:r>
        <w:t>- (</w:t>
      </w:r>
      <w:r w:rsidRPr="00E013BB">
        <w:rPr>
          <w:highlight w:val="red"/>
        </w:rPr>
        <w:t>Figure 2a</w:t>
      </w:r>
      <w:r>
        <w:t>;</w:t>
      </w:r>
      <w:r w:rsidRPr="000E5000">
        <w:rPr>
          <w:i/>
        </w:rPr>
        <w:t xml:space="preserve"> P</w:t>
      </w:r>
      <w:r w:rsidRPr="000E5000">
        <w:t xml:space="preserve"> </w:t>
      </w:r>
      <w:r>
        <w:t>=</w:t>
      </w:r>
      <w:r w:rsidRPr="000E5000">
        <w:t xml:space="preserve"> 0.</w:t>
      </w:r>
      <w:r>
        <w:t xml:space="preserve">402, </w:t>
      </w:r>
      <w:r w:rsidRPr="00E87AB4">
        <w:rPr>
          <w:i/>
          <w:iCs/>
        </w:rPr>
        <w:t>CLES</w:t>
      </w:r>
      <w:r>
        <w:t xml:space="preserve"> = </w:t>
      </w:r>
      <w:r w:rsidRPr="006C43DF">
        <w:t>0.516</w:t>
      </w:r>
      <w:r>
        <w:t>) and HDS-scales (Figure 2b;</w:t>
      </w:r>
      <w:r w:rsidRPr="000E5000">
        <w:rPr>
          <w:i/>
        </w:rPr>
        <w:t xml:space="preserve"> P</w:t>
      </w:r>
      <w:r w:rsidRPr="000E5000">
        <w:t xml:space="preserve"> </w:t>
      </w:r>
      <w:r>
        <w:t>=</w:t>
      </w:r>
      <w:r w:rsidRPr="000E5000">
        <w:t xml:space="preserve"> 0.</w:t>
      </w:r>
      <w:r>
        <w:t xml:space="preserve">275, </w:t>
      </w:r>
      <w:r w:rsidRPr="00E87AB4">
        <w:rPr>
          <w:i/>
          <w:iCs/>
        </w:rPr>
        <w:t>CLES</w:t>
      </w:r>
      <w:r>
        <w:t xml:space="preserve"> = </w:t>
      </w:r>
      <w:r w:rsidRPr="006C43DF">
        <w:t>0.542</w:t>
      </w:r>
      <w:r>
        <w:t>), but that the GCFR is significantly more species-rich than the SWAFR at the DS-scale (</w:t>
      </w:r>
      <w:commentRangeStart w:id="28"/>
      <w:commentRangeStart w:id="29"/>
      <w:r w:rsidRPr="00E013BB">
        <w:rPr>
          <w:highlight w:val="red"/>
        </w:rPr>
        <w:t xml:space="preserve">Figure </w:t>
      </w:r>
      <w:commentRangeEnd w:id="28"/>
      <w:r w:rsidR="0057720E" w:rsidRPr="00E013BB">
        <w:rPr>
          <w:highlight w:val="red"/>
        </w:rPr>
        <w:t>2</w:t>
      </w:r>
      <w:r w:rsidR="00CA131C" w:rsidRPr="00E013BB">
        <w:rPr>
          <w:rStyle w:val="CommentReference"/>
          <w:rFonts w:ascii="Times New Roman" w:hAnsiTheme="minorHAnsi"/>
          <w:highlight w:val="red"/>
        </w:rPr>
        <w:commentReference w:id="28"/>
      </w:r>
      <w:commentRangeEnd w:id="29"/>
      <w:r w:rsidR="004E7A80" w:rsidRPr="00E013BB">
        <w:rPr>
          <w:rStyle w:val="CommentReference"/>
          <w:rFonts w:ascii="Times New Roman" w:hAnsiTheme="minorHAnsi"/>
          <w:highlight w:val="red"/>
        </w:rPr>
        <w:commentReference w:id="29"/>
      </w:r>
      <w:r>
        <w:t>;</w:t>
      </w:r>
      <w:r w:rsidRPr="002C20EB">
        <w:rPr>
          <w:i/>
        </w:rPr>
        <w:t xml:space="preserve"> P</w:t>
      </w:r>
      <w:r>
        <w:t xml:space="preserve"> = 0.038, </w:t>
      </w:r>
      <w:r w:rsidRPr="002C20EB">
        <w:rPr>
          <w:i/>
        </w:rPr>
        <w:t>CLES</w:t>
      </w:r>
      <w:r>
        <w:t xml:space="preserve"> = 0.658).</w:t>
      </w:r>
    </w:p>
    <w:p w14:paraId="3BE0333B" w14:textId="1ED8411E" w:rsidR="002C32D6" w:rsidRPr="003F5B2B" w:rsidRDefault="002C32D6" w:rsidP="002C32D6">
      <w:pPr>
        <w:pStyle w:val="BodyText"/>
        <w:rPr>
          <w:i/>
        </w:rPr>
      </w:pPr>
      <w:r>
        <w:t>P</w:t>
      </w:r>
      <w:r w:rsidRPr="00D16E1A">
        <w:t>artition</w:t>
      </w:r>
      <w:r>
        <w:t>ing</w:t>
      </w:r>
      <w:r w:rsidRPr="00D16E1A">
        <w:t xml:space="preserve"> </w:t>
      </w:r>
      <w:r w:rsidRPr="00D16E1A">
        <w:rPr>
          <w:i/>
        </w:rPr>
        <w:t>S</w:t>
      </w:r>
      <w:r w:rsidRPr="00D16E1A">
        <w:rPr>
          <w:vertAlign w:val="subscript"/>
        </w:rPr>
        <w:t>HDS</w:t>
      </w:r>
      <w:r w:rsidRPr="00D16E1A">
        <w:t xml:space="preserve"> into its </w:t>
      </w:r>
      <w:r w:rsidRPr="009A6ABA">
        <w:rPr>
          <w:rFonts w:cstheme="majorBidi"/>
          <w:i/>
        </w:rPr>
        <w:t>α</w:t>
      </w:r>
      <w:r w:rsidRPr="00D16E1A">
        <w:t xml:space="preserve">- and </w:t>
      </w:r>
      <w:r w:rsidRPr="009A6ABA">
        <w:rPr>
          <w:rFonts w:cstheme="majorBidi"/>
          <w:i/>
        </w:rPr>
        <w:t>β</w:t>
      </w:r>
      <w:r w:rsidRPr="00D16E1A">
        <w:t>-components (</w:t>
      </w:r>
      <m:oMath>
        <m:bar>
          <m:barPr>
            <m:pos m:val="top"/>
            <m:ctrlPr>
              <w:rPr>
                <w:rFonts w:ascii="Cambria Math" w:hAnsi="Cambria Math"/>
              </w:rPr>
            </m:ctrlPr>
          </m:barPr>
          <m:e>
            <m:r>
              <w:rPr>
                <w:rFonts w:ascii="Cambria Math" w:hAnsi="Cambria Math"/>
              </w:rPr>
              <m:t>S</m:t>
            </m:r>
          </m:e>
        </m:bar>
      </m:oMath>
      <w:r w:rsidRPr="00D16E1A">
        <w:rPr>
          <w:vertAlign w:val="subscript"/>
        </w:rPr>
        <w:t>QDS</w:t>
      </w:r>
      <w:r w:rsidRPr="00D16E1A">
        <w:t xml:space="preserve"> and </w:t>
      </w:r>
      <w:r w:rsidRPr="00D16E1A">
        <w:rPr>
          <w:i/>
        </w:rPr>
        <w:t>T</w:t>
      </w:r>
      <w:r w:rsidRPr="00D16E1A">
        <w:rPr>
          <w:vertAlign w:val="subscript"/>
        </w:rPr>
        <w:t>QDS</w:t>
      </w:r>
      <w:r w:rsidRPr="00D16E1A">
        <w:t xml:space="preserve"> respectively</w:t>
      </w:r>
      <w:r>
        <w:t xml:space="preserve">; </w:t>
      </w:r>
      <w:r w:rsidRPr="00E013BB">
        <w:rPr>
          <w:highlight w:val="red"/>
        </w:rPr>
        <w:t>Figure 2c</w:t>
      </w:r>
      <w:r w:rsidRPr="00D16E1A">
        <w:t>)</w:t>
      </w:r>
      <w:r>
        <w:t>, we</w:t>
      </w:r>
      <w:r w:rsidRPr="00D16E1A">
        <w:t xml:space="preserve"> </w:t>
      </w:r>
      <w:r>
        <w:t>found</w:t>
      </w:r>
      <w:r w:rsidRPr="00D16E1A">
        <w:t xml:space="preserve"> </w:t>
      </w:r>
      <w:r>
        <w:t xml:space="preserve">that the proportional contribution of </w:t>
      </w:r>
      <w:r w:rsidRPr="00D16E1A">
        <w:t>floristic turnover</w:t>
      </w:r>
      <w:r>
        <w:t xml:space="preserve"> (i.e. </w:t>
      </w:r>
      <w:r w:rsidRPr="00D16E1A">
        <w:rPr>
          <w:i/>
        </w:rPr>
        <w:t>T</w:t>
      </w:r>
      <w:r w:rsidRPr="00D16E1A">
        <w:rPr>
          <w:vertAlign w:val="subscript"/>
        </w:rPr>
        <w:t>QDS</w:t>
      </w:r>
      <w:r>
        <w:t>/</w:t>
      </w:r>
      <w:r w:rsidRPr="00D16E1A">
        <w:rPr>
          <w:i/>
        </w:rPr>
        <w:t>S</w:t>
      </w:r>
      <w:r w:rsidRPr="00D16E1A">
        <w:rPr>
          <w:vertAlign w:val="subscript"/>
        </w:rPr>
        <w:t>HDS</w:t>
      </w:r>
      <w:r>
        <w:t xml:space="preserve">; </w:t>
      </w:r>
      <w:r w:rsidRPr="00E013BB">
        <w:rPr>
          <w:highlight w:val="red"/>
        </w:rPr>
        <w:t>Figure 2d</w:t>
      </w:r>
      <w:r>
        <w:t>) is greater in the</w:t>
      </w:r>
      <w:r w:rsidRPr="00D16E1A">
        <w:t xml:space="preserve"> GCFR </w:t>
      </w:r>
      <w:r>
        <w:t xml:space="preserve">(0.64) </w:t>
      </w:r>
      <w:r w:rsidRPr="00D16E1A">
        <w:t xml:space="preserve">than in the </w:t>
      </w:r>
      <w:r w:rsidRPr="00550A5A">
        <w:t>SWAFR (</w:t>
      </w:r>
      <w:r>
        <w:t>0.60) (two-sided Mann</w:t>
      </w:r>
      <w:r w:rsidRPr="000E5000">
        <w:t xml:space="preserve">-Whitney </w:t>
      </w:r>
      <w:r w:rsidRPr="000E5000">
        <w:rPr>
          <w:i/>
        </w:rPr>
        <w:t>U</w:t>
      </w:r>
      <w:r>
        <w:t xml:space="preserve"> </w:t>
      </w:r>
      <w:r w:rsidRPr="000E5000">
        <w:t>test</w:t>
      </w:r>
      <w:r>
        <w:t xml:space="preserve">, </w:t>
      </w:r>
      <w:r w:rsidRPr="002C20EB">
        <w:rPr>
          <w:i/>
        </w:rPr>
        <w:t>P</w:t>
      </w:r>
      <w:r>
        <w:t xml:space="preserve"> &lt; 0.001; </w:t>
      </w:r>
      <w:r w:rsidRPr="00017E2E">
        <w:rPr>
          <w:i/>
          <w:iCs/>
        </w:rPr>
        <w:t>CLES</w:t>
      </w:r>
      <w:r>
        <w:t xml:space="preserve"> = </w:t>
      </w:r>
      <w:r w:rsidRPr="00550A5A">
        <w:t>0.696</w:t>
      </w:r>
      <w:r>
        <w:t>). This is also the case at the DS-</w:t>
      </w:r>
      <w:r w:rsidRPr="00C5501E">
        <w:t>scale (</w:t>
      </w:r>
      <w:r w:rsidRPr="00E013BB">
        <w:rPr>
          <w:highlight w:val="red"/>
        </w:rPr>
        <w:t xml:space="preserve">Figure </w:t>
      </w:r>
      <w:r w:rsidR="00E013BB" w:rsidRPr="00E013BB">
        <w:rPr>
          <w:highlight w:val="red"/>
        </w:rPr>
        <w:t>2</w:t>
      </w:r>
      <w:r w:rsidR="00FE217D">
        <w:t xml:space="preserve">; </w:t>
      </w:r>
      <w:r w:rsidR="00CA131C" w:rsidRPr="00D16E1A">
        <w:rPr>
          <w:i/>
        </w:rPr>
        <w:t>T</w:t>
      </w:r>
      <w:r w:rsidR="00CA131C" w:rsidRPr="00D16E1A">
        <w:rPr>
          <w:vertAlign w:val="subscript"/>
        </w:rPr>
        <w:t>QDS</w:t>
      </w:r>
      <w:r w:rsidR="00CA131C">
        <w:t>/</w:t>
      </w:r>
      <w:r w:rsidR="00CA131C" w:rsidRPr="00D16E1A">
        <w:rPr>
          <w:i/>
        </w:rPr>
        <w:t>S</w:t>
      </w:r>
      <w:r w:rsidR="00CA131C" w:rsidRPr="00D16E1A">
        <w:rPr>
          <w:vertAlign w:val="subscript"/>
        </w:rPr>
        <w:t>HDS</w:t>
      </w:r>
      <w:r w:rsidR="001A29B8">
        <w:t>,</w:t>
      </w:r>
      <w:r w:rsidR="00CA131C">
        <w:t xml:space="preserve"> </w:t>
      </w:r>
      <w:r>
        <w:t>GCFR:</w:t>
      </w:r>
      <w:r w:rsidR="00CA131C" w:rsidRPr="00CA131C">
        <w:rPr>
          <w:i/>
        </w:rPr>
        <w:t xml:space="preserve"> </w:t>
      </w:r>
      <w:r w:rsidRPr="009070DE">
        <w:t>0.55</w:t>
      </w:r>
      <w:r>
        <w:t xml:space="preserve">, SWAFR: </w:t>
      </w:r>
      <w:r w:rsidRPr="009070DE">
        <w:t>0.48</w:t>
      </w:r>
      <w:r>
        <w:t>; two-sided Mann</w:t>
      </w:r>
      <w:r w:rsidRPr="000E5000">
        <w:t xml:space="preserve">-Whitney </w:t>
      </w:r>
      <w:r w:rsidRPr="000E5000">
        <w:rPr>
          <w:i/>
        </w:rPr>
        <w:t>U</w:t>
      </w:r>
      <w:r>
        <w:t xml:space="preserve"> </w:t>
      </w:r>
      <w:r w:rsidRPr="000E5000">
        <w:t>test</w:t>
      </w:r>
      <w:r>
        <w:t xml:space="preserve">, </w:t>
      </w:r>
      <w:r w:rsidRPr="00C5501E">
        <w:rPr>
          <w:i/>
        </w:rPr>
        <w:t>P</w:t>
      </w:r>
      <w:r w:rsidRPr="00C5501E">
        <w:t xml:space="preserve"> = 0.001, </w:t>
      </w:r>
      <w:r w:rsidRPr="00C5501E">
        <w:rPr>
          <w:i/>
        </w:rPr>
        <w:t>CLES</w:t>
      </w:r>
      <w:r w:rsidRPr="00C5501E">
        <w:t xml:space="preserve"> = 0.741</w:t>
      </w:r>
      <w:r w:rsidRPr="00007E6B">
        <w:t>).</w:t>
      </w:r>
    </w:p>
    <w:p w14:paraId="7E9FCA66" w14:textId="3D92E970" w:rsidR="00D04776" w:rsidRDefault="00DD7307">
      <w:pPr>
        <w:pStyle w:val="Heading2"/>
        <w:spacing w:line="240" w:lineRule="auto"/>
      </w:pPr>
      <w:r>
        <w:t>3.2</w:t>
      </w:r>
      <w:r w:rsidR="00462611">
        <w:t>:</w:t>
      </w:r>
      <w:r>
        <w:t xml:space="preserve"> </w:t>
      </w:r>
      <w:r w:rsidR="00D04776">
        <w:t>Comparing environmental heterogeneity</w:t>
      </w:r>
    </w:p>
    <w:p w14:paraId="11E8A663" w14:textId="368DBE43" w:rsidR="00AD4DCC" w:rsidRDefault="00AD1230" w:rsidP="008A4E97">
      <w:pPr>
        <w:pStyle w:val="FirstParagraph"/>
      </w:pPr>
      <w:r>
        <w:t xml:space="preserve">With a few exceptions (MAP, NDVI and CEC at the DS-scale; Figure 1b, e, f), </w:t>
      </w:r>
      <w:r w:rsidR="001A23A6" w:rsidRPr="00916B93">
        <w:rPr>
          <w:i/>
        </w:rPr>
        <w:t>CLES</w:t>
      </w:r>
      <w:r w:rsidR="00776E99">
        <w:t xml:space="preserve"> comparisons revealed</w:t>
      </w:r>
      <w:r w:rsidR="0060601F" w:rsidRPr="00916B93">
        <w:t xml:space="preserve"> the GCFR </w:t>
      </w:r>
      <w:r w:rsidR="00776E99">
        <w:t>to</w:t>
      </w:r>
      <w:r w:rsidR="00776E99" w:rsidRPr="00916B93">
        <w:t xml:space="preserve"> </w:t>
      </w:r>
      <w:r w:rsidR="00776E99">
        <w:t>be</w:t>
      </w:r>
      <w:r w:rsidR="0060601F" w:rsidRPr="00916B93">
        <w:t xml:space="preserve"> more heterogeneous</w:t>
      </w:r>
      <w:r w:rsidR="00AB36BF" w:rsidRPr="009A6ABA">
        <w:rPr>
          <w:lang w:val="en-ZA"/>
        </w:rPr>
        <w:t xml:space="preserve"> </w:t>
      </w:r>
      <w:r w:rsidR="0060601F" w:rsidRPr="00916B93">
        <w:t xml:space="preserve">than the SWAFR </w:t>
      </w:r>
      <w:r w:rsidR="00E32EE7">
        <w:t>in</w:t>
      </w:r>
      <w:r w:rsidR="00E32EE7" w:rsidRPr="00916B93">
        <w:t xml:space="preserve"> </w:t>
      </w:r>
      <w:r w:rsidR="0060601F" w:rsidRPr="00916B93">
        <w:t xml:space="preserve">all nine environmental variables, </w:t>
      </w:r>
      <w:r w:rsidR="00AB21A1">
        <w:t xml:space="preserve">and </w:t>
      </w:r>
      <w:r w:rsidR="0060601F" w:rsidRPr="00916B93">
        <w:t>across the full range of spatial scales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r w:rsidR="00E32EE7">
        <w:t xml:space="preserve">Figure </w:t>
      </w:r>
      <w:r w:rsidR="00AF1477">
        <w:t>5c,</w:t>
      </w:r>
      <w:r w:rsidR="00E32EE7">
        <w:t xml:space="preserve"> </w:t>
      </w:r>
      <w:r w:rsidR="00AF1477">
        <w:t>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w:t>
      </w:r>
      <w:r w:rsidR="00F84C1A">
        <w:t>0.10</w:t>
      </w:r>
      <w:r w:rsidR="00F84C1A">
        <w:rPr>
          <w:rFonts w:cstheme="majorBidi"/>
        </w:rPr>
        <w:t>°×</w:t>
      </w:r>
      <w:r w:rsidR="00F84C1A">
        <w:t>0.10</w:t>
      </w:r>
      <w:r w:rsidR="00F84C1A">
        <w:rPr>
          <w:rFonts w:ascii="Times New Roman" w:hAnsi="Times New Roman" w:cs="Times New Roman"/>
        </w:rPr>
        <w:t>°</w:t>
      </w:r>
      <w:r w:rsidR="00C52934">
        <w:t xml:space="preserve">-degree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r w:rsidR="00EF0EC1">
        <w:t xml:space="preserve">In general the </w:t>
      </w:r>
      <w:r w:rsidR="00AB21A1" w:rsidRPr="009A6ABA">
        <w:rPr>
          <w:lang w:val="en-ZA"/>
        </w:rPr>
        <w:t xml:space="preserve">disparity in </w:t>
      </w:r>
      <w:r w:rsidR="00AB21A1">
        <w:rPr>
          <w:lang w:val="en-ZA"/>
        </w:rPr>
        <w:t xml:space="preserve">heterogeneity between the two regions </w:t>
      </w:r>
      <w:r w:rsidR="00AB21A1">
        <w:t>is greater for</w:t>
      </w:r>
      <w:r w:rsidR="00E67A7C" w:rsidRPr="009A6ABA">
        <w:rPr>
          <w:lang w:val="en-ZA"/>
        </w:rPr>
        <w:t xml:space="preserve"> topographic and climatic (</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proofErr w:type="spellStart"/>
      <w:r w:rsidR="000962CB">
        <w:t>i</w:t>
      </w:r>
      <w:proofErr w:type="spellEnd"/>
      <w:r w:rsidR="00E67A7C" w:rsidRPr="009A6ABA">
        <w:t>)</w:t>
      </w:r>
      <w:r w:rsidR="00F3440B">
        <w:rPr>
          <w:lang w:val="en-ZA"/>
        </w:rPr>
        <w:t>.</w:t>
      </w:r>
    </w:p>
    <w:p w14:paraId="5FF97D42" w14:textId="32DFEAD9"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largely scale-independent</w:t>
      </w:r>
      <w:r w:rsidR="00346C28">
        <w:t>, with the notable exception</w:t>
      </w:r>
      <w:r w:rsidR="00BF546E">
        <w:t>s</w:t>
      </w:r>
      <w:r w:rsidR="00346C28">
        <w:t xml:space="preserve"> of MAP (Figure 1</w:t>
      </w:r>
      <w:r w:rsidR="0012073A">
        <w:t>b</w:t>
      </w:r>
      <w:r w:rsidR="00346C28">
        <w:t>)</w:t>
      </w:r>
      <w:r w:rsidR="000C5AAD">
        <w:t xml:space="preserve">, </w:t>
      </w:r>
      <w:r>
        <w:t>in</w:t>
      </w:r>
      <w:r w:rsidR="00776E99">
        <w:t xml:space="preserve"> </w:t>
      </w:r>
      <w:r w:rsidR="000C5AAD">
        <w:t xml:space="preserve">which the GCFR </w:t>
      </w:r>
      <w:r w:rsidR="00776E99">
        <w:t xml:space="preserve">is disproportionately more heterogeneous </w:t>
      </w:r>
      <w:r w:rsidR="000C5AAD">
        <w:t xml:space="preserve">at </w:t>
      </w:r>
      <w:r w:rsidR="00776E99">
        <w:t>fine</w:t>
      </w:r>
      <w:r w:rsidR="000C5AAD">
        <w:t xml:space="preserve"> scales</w:t>
      </w:r>
      <w:r w:rsidR="00BF546E">
        <w:t>, and NDVI and clay (Figure 1e,</w:t>
      </w:r>
      <w:r>
        <w:t xml:space="preserve"> </w:t>
      </w:r>
      <w:r w:rsidR="00BF546E">
        <w:t xml:space="preserve">g), </w:t>
      </w:r>
      <w:r>
        <w:t xml:space="preserve">in which the </w:t>
      </w:r>
      <w:r w:rsidR="00BF546E">
        <w:t xml:space="preserve">GCFR </w:t>
      </w:r>
      <w:r>
        <w:t>is disproportionately more heterogeneous</w:t>
      </w:r>
      <w:r w:rsidR="00BF546E">
        <w:t xml:space="preserve"> at coarse spatial scales.</w:t>
      </w:r>
      <w:r w:rsidR="005171EA">
        <w:t xml:space="preserve"> 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AB21A1">
        <w:t>more or less uniform</w:t>
      </w:r>
      <w:r w:rsidR="00633C2F">
        <w:t xml:space="preserve"> </w:t>
      </w:r>
      <w:r w:rsidR="000F7FB0">
        <w:t>across</w:t>
      </w:r>
      <w:r w:rsidR="00633C2F">
        <w:t xml:space="preserve"> spatial</w:t>
      </w:r>
      <w:r w:rsidR="000F7FB0">
        <w:t xml:space="preserve"> scales</w:t>
      </w:r>
      <w:r w:rsidR="00633C2F">
        <w:t xml:space="preserve"> (Figure 1</w:t>
      </w:r>
      <w:r w:rsidR="007755AC">
        <w:t>j</w:t>
      </w:r>
      <w:r w:rsidR="00633C2F">
        <w:t>)</w:t>
      </w:r>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13E7AA58" w14:textId="7006884F" w:rsidR="009B180C" w:rsidRPr="00C47FAF" w:rsidRDefault="006B7A26">
      <w:pPr>
        <w:pStyle w:val="FirstParagraph"/>
        <w:rPr>
          <w:rFonts w:eastAsiaTheme="minorEastAsia" w:cstheme="majorBidi"/>
        </w:rPr>
      </w:pPr>
      <w:commentRangeStart w:id="30"/>
      <w:commentRangeStart w:id="31"/>
      <w:r>
        <w:t xml:space="preserve">The </w:t>
      </w:r>
      <w:r w:rsidR="00F554DF">
        <w:t xml:space="preserve">ANCOVA </w:t>
      </w:r>
      <w:r w:rsidR="002C7612">
        <w:t>results show</w:t>
      </w:r>
      <w:r w:rsidR="00F554DF">
        <w:t xml:space="preserve"> that </w:t>
      </w:r>
      <w:r w:rsidR="00F554DF">
        <w:rPr>
          <w:rFonts w:eastAsiaTheme="minorEastAsia"/>
        </w:rPr>
        <w:t>h</w:t>
      </w:r>
      <w:commentRangeEnd w:id="30"/>
      <w:r w:rsidR="0090296A">
        <w:rPr>
          <w:rStyle w:val="CommentReference"/>
          <w:rFonts w:ascii="Times New Roman" w:hAnsiTheme="minorHAnsi"/>
        </w:rPr>
        <w:commentReference w:id="30"/>
      </w:r>
      <w:commentRangeEnd w:id="31"/>
      <w:r w:rsidR="008A19FB">
        <w:rPr>
          <w:rStyle w:val="CommentReference"/>
          <w:rFonts w:ascii="Times New Roman" w:hAnsiTheme="minorHAnsi"/>
        </w:rPr>
        <w:commentReference w:id="31"/>
      </w:r>
      <w:r w:rsidR="00F554DF">
        <w:rPr>
          <w:rFonts w:eastAsiaTheme="minorEastAsia"/>
        </w:rPr>
        <w:t xml:space="preserve">eterogeneity in each of the nine environmental variables, as well as the main axis of heterogeneity (PC1), influence species richness in a consistently positive manner across the two study regions. In addition, </w:t>
      </w:r>
      <w:r w:rsidR="002C7612">
        <w:rPr>
          <w:rFonts w:eastAsiaTheme="minorEastAsia"/>
        </w:rPr>
        <w:t>they</w:t>
      </w:r>
      <w:r w:rsidR="00F554DF">
        <w:rPr>
          <w:rFonts w:eastAsiaTheme="minorEastAsia"/>
        </w:rPr>
        <w:t xml:space="preserve"> show</w:t>
      </w:r>
      <w:r w:rsidR="002C7612">
        <w:rPr>
          <w:rFonts w:eastAsiaTheme="minorEastAsia"/>
        </w:rPr>
        <w:t xml:space="preserve"> that,</w:t>
      </w:r>
      <w:r w:rsidR="003E7233">
        <w:t xml:space="preserve"> at the HDS- and DS-scales</w:t>
      </w:r>
      <w:r w:rsidR="00983D13">
        <w:t>,</w:t>
      </w:r>
      <w:r w:rsidR="003E7233">
        <w:t xml:space="preserve"> </w:t>
      </w:r>
      <w:r w:rsidR="002C7612">
        <w:rPr>
          <w:rFonts w:eastAsiaTheme="minorEastAsia"/>
        </w:rPr>
        <w:t>the effect of</w:t>
      </w:r>
      <w:r w:rsidR="003E7233">
        <w:rPr>
          <w:rFonts w:eastAsiaTheme="minorEastAsia"/>
        </w:rPr>
        <w:t xml:space="preserve"> </w:t>
      </w:r>
      <w:r w:rsidR="002C7612">
        <w:rPr>
          <w:rFonts w:eastAsiaTheme="minorEastAsia"/>
        </w:rPr>
        <w:t xml:space="preserve">heterogeneity in each environmental variable, and of PC1, on </w:t>
      </w:r>
      <w:r w:rsidR="003E7233">
        <w:rPr>
          <w:rFonts w:eastAsiaTheme="minorEastAsia"/>
        </w:rPr>
        <w:t xml:space="preserve">species richness </w:t>
      </w:r>
      <w:r w:rsidR="002C7612">
        <w:rPr>
          <w:rFonts w:eastAsiaTheme="minorEastAsia"/>
        </w:rPr>
        <w:t>is uniform</w:t>
      </w:r>
      <w:r w:rsidR="00E64B6B">
        <w:rPr>
          <w:rFonts w:eastAsiaTheme="minorEastAsia"/>
        </w:rPr>
        <w:t xml:space="preserve"> </w:t>
      </w:r>
      <w:r w:rsidR="003E7233">
        <w:rPr>
          <w:rFonts w:eastAsiaTheme="minorEastAsia"/>
        </w:rPr>
        <w:t>across the two regions</w:t>
      </w:r>
      <w:r w:rsidR="00983D13">
        <w:rPr>
          <w:rFonts w:eastAsiaTheme="minorEastAsia"/>
        </w:rPr>
        <w:t xml:space="preserve"> (</w:t>
      </w:r>
      <w:r w:rsidR="00A23494">
        <w:rPr>
          <w:rFonts w:eastAsiaTheme="minorEastAsia"/>
        </w:rPr>
        <w:t>i.e. “main effect</w:t>
      </w:r>
      <w:r w:rsidR="00EC5B19">
        <w:rPr>
          <w:rFonts w:eastAsiaTheme="minorEastAsia"/>
        </w:rPr>
        <w:t xml:space="preserve"> only</w:t>
      </w:r>
      <w:r w:rsidR="00A23494">
        <w:rPr>
          <w:rFonts w:eastAsiaTheme="minorEastAsia"/>
        </w:rPr>
        <w:t xml:space="preserve">” model </w:t>
      </w:r>
      <w:proofErr w:type="spellStart"/>
      <w:r w:rsidR="00A23494">
        <w:rPr>
          <w:rFonts w:eastAsiaTheme="minorEastAsia"/>
        </w:rPr>
        <w:t>favoured</w:t>
      </w:r>
      <w:proofErr w:type="spellEnd"/>
      <w:r w:rsidR="00A23494">
        <w:rPr>
          <w:rFonts w:eastAsiaTheme="minorEastAsia"/>
        </w:rPr>
        <w:t xml:space="preserve">: </w:t>
      </w:r>
      <w:r w:rsidR="00983D13">
        <w:rPr>
          <w:rFonts w:eastAsiaTheme="minorEastAsia"/>
        </w:rPr>
        <w:t>Table 2b, c; Figure 3b, c)</w:t>
      </w:r>
      <w:r w:rsidR="003E7233">
        <w:rPr>
          <w:rFonts w:eastAsiaTheme="minorEastAsia"/>
        </w:rPr>
        <w:t xml:space="preserve">. </w:t>
      </w:r>
      <w:r w:rsidR="006C19C9">
        <w:rPr>
          <w:rFonts w:eastAsiaTheme="minorEastAsia"/>
        </w:rPr>
        <w:t>By contrast, t</w:t>
      </w:r>
      <w:r w:rsidR="00B9531E">
        <w:t>he</w:t>
      </w:r>
      <w:r w:rsidR="00D874F0">
        <w:t xml:space="preserve"> relationship of species richness to heterogeneity</w:t>
      </w:r>
      <w:r w:rsidR="00A23494">
        <w:t xml:space="preserve"> </w:t>
      </w:r>
      <w:r w:rsidR="001A7D58">
        <w:rPr>
          <w:rFonts w:eastAsiaTheme="minorEastAsia"/>
        </w:rPr>
        <w:t xml:space="preserve">at the </w:t>
      </w:r>
      <w:r w:rsidR="001A7D58">
        <w:t xml:space="preserve">QDS-scale </w:t>
      </w:r>
      <w:r w:rsidR="007D1813">
        <w:t>is</w:t>
      </w:r>
      <w:r w:rsidR="007F71F9">
        <w:t xml:space="preserve"> </w:t>
      </w:r>
      <w:r w:rsidR="006C19C9">
        <w:t>generall</w:t>
      </w:r>
      <w:r w:rsidR="002C7612">
        <w:t>y</w:t>
      </w:r>
      <w:r w:rsidR="007D1813">
        <w:t xml:space="preserve"> region-dependent</w:t>
      </w:r>
      <w:r w:rsidR="00D874F0">
        <w:t xml:space="preserve">, the “main effect </w:t>
      </w:r>
      <w:r w:rsidR="00D874F0">
        <w:rPr>
          <w:rFonts w:eastAsiaTheme="minorEastAsia" w:cstheme="majorBidi"/>
        </w:rPr>
        <w:t xml:space="preserve">× region” model being </w:t>
      </w:r>
      <w:proofErr w:type="spellStart"/>
      <w:r w:rsidR="00D874F0">
        <w:rPr>
          <w:rFonts w:eastAsiaTheme="minorEastAsia" w:cstheme="majorBidi"/>
        </w:rPr>
        <w:t>favoured</w:t>
      </w:r>
      <w:proofErr w:type="spellEnd"/>
      <w:r w:rsidR="00D874F0">
        <w:rPr>
          <w:rFonts w:eastAsiaTheme="minorEastAsia" w:cstheme="majorBidi"/>
        </w:rPr>
        <w:t xml:space="preserve"> for three </w:t>
      </w:r>
      <w:r w:rsidR="006C19C9">
        <w:rPr>
          <w:rFonts w:eastAsiaTheme="minorEastAsia" w:cstheme="majorBidi"/>
        </w:rPr>
        <w:t xml:space="preserve">environmental </w:t>
      </w:r>
      <w:r w:rsidR="007D1813">
        <w:rPr>
          <w:rFonts w:eastAsiaTheme="minorEastAsia" w:cstheme="majorBidi"/>
        </w:rPr>
        <w:t>variables</w:t>
      </w:r>
      <w:r w:rsidR="00D874F0">
        <w:rPr>
          <w:rFonts w:eastAsiaTheme="minorEastAsia" w:cstheme="majorBidi"/>
        </w:rPr>
        <w:t xml:space="preserve"> </w:t>
      </w:r>
      <w:r w:rsidR="006C19C9">
        <w:rPr>
          <w:rFonts w:eastAsiaTheme="minorEastAsia" w:cstheme="majorBidi"/>
        </w:rPr>
        <w:t>and</w:t>
      </w:r>
      <w:r w:rsidR="001A7D58">
        <w:rPr>
          <w:rFonts w:eastAsiaTheme="minorEastAsia" w:cstheme="majorBidi"/>
        </w:rPr>
        <w:t xml:space="preserve"> PC1</w:t>
      </w:r>
      <w:r w:rsidR="002644D2">
        <w:rPr>
          <w:rFonts w:eastAsiaTheme="minorEastAsia" w:cstheme="majorBidi"/>
        </w:rPr>
        <w:t>,</w:t>
      </w:r>
      <w:r w:rsidR="001A7D58">
        <w:rPr>
          <w:rFonts w:eastAsiaTheme="minorEastAsia" w:cstheme="majorBidi"/>
        </w:rPr>
        <w:t xml:space="preserve"> </w:t>
      </w:r>
      <w:r w:rsidR="00D874F0">
        <w:rPr>
          <w:rFonts w:eastAsiaTheme="minorEastAsia" w:cstheme="majorBidi"/>
        </w:rPr>
        <w:t xml:space="preserve">and </w:t>
      </w:r>
      <w:r w:rsidR="00D874F0">
        <w:t xml:space="preserve">the “main effect </w:t>
      </w:r>
      <w:r w:rsidR="00502524">
        <w:rPr>
          <w:rFonts w:eastAsiaTheme="minorEastAsia" w:cstheme="majorBidi"/>
        </w:rPr>
        <w:t>+</w:t>
      </w:r>
      <w:r w:rsidR="00D874F0">
        <w:rPr>
          <w:rFonts w:eastAsiaTheme="minorEastAsia" w:cstheme="majorBidi"/>
        </w:rPr>
        <w:t xml:space="preserve"> region” model </w:t>
      </w:r>
      <w:r w:rsidR="001A7D58">
        <w:rPr>
          <w:rFonts w:eastAsiaTheme="minorEastAsia" w:cstheme="majorBidi"/>
        </w:rPr>
        <w:t>for four</w:t>
      </w:r>
      <w:r w:rsidR="002644D2">
        <w:rPr>
          <w:rFonts w:eastAsiaTheme="minorEastAsia" w:cstheme="majorBidi"/>
        </w:rPr>
        <w:t xml:space="preserve"> variables</w:t>
      </w:r>
      <w:r w:rsidR="001A7D58">
        <w:rPr>
          <w:rFonts w:eastAsiaTheme="minorEastAsia" w:cstheme="majorBidi"/>
        </w:rPr>
        <w:t xml:space="preserve"> (Table 2a)</w:t>
      </w:r>
      <w:r w:rsidR="00827247">
        <w:rPr>
          <w:rFonts w:eastAsiaTheme="minorEastAsia" w:cstheme="majorBidi"/>
        </w:rPr>
        <w:t>. However</w:t>
      </w:r>
      <w:r w:rsidR="001A7D58">
        <w:rPr>
          <w:rFonts w:eastAsiaTheme="minorEastAsia" w:cstheme="majorBidi"/>
        </w:rPr>
        <w:t xml:space="preserve">, the </w:t>
      </w:r>
      <w:r w:rsidR="009F192B">
        <w:rPr>
          <w:rFonts w:eastAsiaTheme="minorEastAsia" w:cstheme="majorBidi"/>
        </w:rPr>
        <w:t>coefficient</w:t>
      </w:r>
      <w:r w:rsidR="006C19C9">
        <w:rPr>
          <w:rFonts w:eastAsiaTheme="minorEastAsia" w:cstheme="majorBidi"/>
        </w:rPr>
        <w:t xml:space="preserve">s </w:t>
      </w:r>
      <w:r w:rsidR="009F192B">
        <w:rPr>
          <w:rFonts w:eastAsiaTheme="minorEastAsia" w:cstheme="majorBidi"/>
        </w:rPr>
        <w:t xml:space="preserve">of </w:t>
      </w:r>
      <w:r w:rsidR="001A7D58">
        <w:rPr>
          <w:rFonts w:eastAsiaTheme="minorEastAsia" w:cstheme="majorBidi"/>
        </w:rPr>
        <w:t xml:space="preserve">the significant interaction </w:t>
      </w:r>
      <w:r w:rsidR="006C19C9">
        <w:rPr>
          <w:rFonts w:eastAsiaTheme="minorEastAsia" w:cstheme="majorBidi"/>
        </w:rPr>
        <w:t xml:space="preserve">(24.6 to 89.4) </w:t>
      </w:r>
      <w:r w:rsidR="001A7D58">
        <w:rPr>
          <w:rFonts w:eastAsiaTheme="minorEastAsia" w:cstheme="majorBidi"/>
        </w:rPr>
        <w:t xml:space="preserve">and region </w:t>
      </w:r>
      <w:r w:rsidR="006C19C9">
        <w:rPr>
          <w:rFonts w:eastAsiaTheme="minorEastAsia" w:cstheme="majorBidi"/>
        </w:rPr>
        <w:t xml:space="preserve">(50.5 to 72.6) </w:t>
      </w:r>
      <w:r w:rsidR="009F192B">
        <w:rPr>
          <w:rFonts w:eastAsiaTheme="minorEastAsia" w:cstheme="majorBidi"/>
        </w:rPr>
        <w:t>terms</w:t>
      </w:r>
      <w:r w:rsidR="001A7D58">
        <w:rPr>
          <w:rFonts w:eastAsiaTheme="minorEastAsia" w:cstheme="majorBidi"/>
        </w:rPr>
        <w:t xml:space="preserve"> are </w:t>
      </w:r>
      <w:r w:rsidR="001A7D58">
        <w:rPr>
          <w:rFonts w:eastAsiaTheme="minorEastAsia" w:cstheme="majorBidi"/>
        </w:rPr>
        <w:lastRenderedPageBreak/>
        <w:t>small</w:t>
      </w:r>
      <w:r w:rsidR="003E77D9">
        <w:rPr>
          <w:rFonts w:eastAsiaTheme="minorEastAsia" w:cstheme="majorBidi"/>
        </w:rPr>
        <w:t xml:space="preserve"> in magnitude</w:t>
      </w:r>
      <w:r w:rsidR="001A7D58">
        <w:rPr>
          <w:rFonts w:eastAsiaTheme="minorEastAsia" w:cstheme="majorBidi"/>
        </w:rPr>
        <w:t xml:space="preserve"> relative to the </w:t>
      </w:r>
      <w:r w:rsidR="00827247">
        <w:rPr>
          <w:rFonts w:eastAsiaTheme="minorEastAsia" w:cstheme="majorBidi"/>
        </w:rPr>
        <w:t xml:space="preserve">spread of residual </w:t>
      </w:r>
      <w:r w:rsidR="001A7D58">
        <w:rPr>
          <w:rFonts w:eastAsiaTheme="minorEastAsia" w:cstheme="majorBidi"/>
        </w:rPr>
        <w:t xml:space="preserve">species richness </w:t>
      </w:r>
      <w:r w:rsidR="009E0429">
        <w:rPr>
          <w:rFonts w:eastAsiaTheme="minorEastAsia" w:cstheme="majorBidi"/>
        </w:rPr>
        <w:t xml:space="preserve">at the </w:t>
      </w:r>
      <w:r w:rsidR="001A7D58">
        <w:rPr>
          <w:rFonts w:eastAsiaTheme="minorEastAsia" w:cstheme="majorBidi"/>
        </w:rPr>
        <w:t>QDS</w:t>
      </w:r>
      <w:r w:rsidR="009E0429">
        <w:rPr>
          <w:rFonts w:eastAsiaTheme="minorEastAsia" w:cstheme="majorBidi"/>
        </w:rPr>
        <w:t>-scale within</w:t>
      </w:r>
      <w:r w:rsidR="001A7D58">
        <w:rPr>
          <w:rFonts w:eastAsiaTheme="minorEastAsia" w:cstheme="majorBidi"/>
        </w:rPr>
        <w:t xml:space="preserve"> </w:t>
      </w:r>
      <w:r w:rsidR="009E0429">
        <w:rPr>
          <w:rFonts w:eastAsiaTheme="minorEastAsia" w:cstheme="majorBidi"/>
        </w:rPr>
        <w:t xml:space="preserve">each region </w:t>
      </w:r>
      <w:r w:rsidR="001A7D58">
        <w:t>(</w:t>
      </w:r>
      <w:commentRangeStart w:id="32"/>
      <w:commentRangeStart w:id="33"/>
      <w:r w:rsidR="001A7D58" w:rsidRPr="0087034A">
        <w:rPr>
          <w:i/>
          <w:iCs/>
        </w:rPr>
        <w:t>SD</w:t>
      </w:r>
      <w:r w:rsidR="00827247">
        <w:rPr>
          <w:iCs/>
          <w:vertAlign w:val="subscript"/>
        </w:rPr>
        <w:t>GCFR</w:t>
      </w:r>
      <w:r w:rsidR="001A7D58">
        <w:t xml:space="preserve"> </w:t>
      </w:r>
      <w:commentRangeEnd w:id="32"/>
      <w:r w:rsidR="001A7D58">
        <w:rPr>
          <w:rStyle w:val="CommentReference"/>
          <w:rFonts w:ascii="Times New Roman" w:hAnsiTheme="minorHAnsi"/>
        </w:rPr>
        <w:commentReference w:id="32"/>
      </w:r>
      <w:commentRangeEnd w:id="33"/>
      <w:r w:rsidR="001A7D58">
        <w:rPr>
          <w:rStyle w:val="CommentReference"/>
          <w:rFonts w:ascii="Times New Roman" w:hAnsiTheme="minorHAnsi"/>
        </w:rPr>
        <w:commentReference w:id="33"/>
      </w:r>
      <w:r w:rsidR="001A7D58">
        <w:t xml:space="preserve">= </w:t>
      </w:r>
      <w:r w:rsidR="00827247">
        <w:t>335</w:t>
      </w:r>
      <w:r w:rsidR="001A7D58" w:rsidRPr="0087034A">
        <w:t>.</w:t>
      </w:r>
      <w:r w:rsidR="00827247">
        <w:t xml:space="preserve">2; </w:t>
      </w:r>
      <w:commentRangeStart w:id="34"/>
      <w:commentRangeStart w:id="35"/>
      <w:r w:rsidR="00827247" w:rsidRPr="0087034A">
        <w:rPr>
          <w:i/>
          <w:iCs/>
        </w:rPr>
        <w:t>SD</w:t>
      </w:r>
      <w:r w:rsidR="00827247">
        <w:rPr>
          <w:iCs/>
          <w:vertAlign w:val="subscript"/>
        </w:rPr>
        <w:t>SWAFR</w:t>
      </w:r>
      <w:r w:rsidR="00827247">
        <w:t xml:space="preserve"> </w:t>
      </w:r>
      <w:commentRangeEnd w:id="34"/>
      <w:r w:rsidR="00827247">
        <w:t>= 247.4</w:t>
      </w:r>
      <w:r w:rsidR="00827247">
        <w:rPr>
          <w:rStyle w:val="CommentReference"/>
          <w:rFonts w:ascii="Times New Roman" w:hAnsiTheme="minorHAnsi"/>
        </w:rPr>
        <w:commentReference w:id="34"/>
      </w:r>
      <w:commentRangeEnd w:id="35"/>
      <w:r w:rsidR="00827247">
        <w:rPr>
          <w:rStyle w:val="CommentReference"/>
          <w:rFonts w:ascii="Times New Roman" w:hAnsiTheme="minorHAnsi"/>
        </w:rPr>
        <w:commentReference w:id="35"/>
      </w:r>
      <w:r w:rsidR="001A7D58">
        <w:t>).</w:t>
      </w:r>
      <w:r w:rsidR="007F71F9">
        <w:rPr>
          <w:rFonts w:eastAsiaTheme="minorEastAsia" w:cstheme="majorBidi"/>
        </w:rPr>
        <w:t xml:space="preserve"> </w:t>
      </w:r>
      <w:r w:rsidR="001A7D58">
        <w:rPr>
          <w:rFonts w:eastAsiaTheme="minorEastAsia" w:cstheme="majorBidi"/>
        </w:rPr>
        <w:t xml:space="preserve">This </w:t>
      </w:r>
      <w:r w:rsidR="00A46153">
        <w:rPr>
          <w:rFonts w:eastAsiaTheme="minorEastAsia" w:cstheme="majorBidi"/>
        </w:rPr>
        <w:t>indicates</w:t>
      </w:r>
      <w:r w:rsidR="001A7D58">
        <w:rPr>
          <w:rFonts w:eastAsiaTheme="minorEastAsia" w:cstheme="majorBidi"/>
        </w:rPr>
        <w:t xml:space="preserve"> that </w:t>
      </w:r>
      <w:r w:rsidR="002644D2">
        <w:rPr>
          <w:rFonts w:eastAsiaTheme="minorEastAsia" w:cstheme="majorBidi"/>
        </w:rPr>
        <w:t xml:space="preserve">regional differences in the form of the </w:t>
      </w:r>
      <w:r w:rsidR="009E0429">
        <w:rPr>
          <w:rFonts w:eastAsiaTheme="minorEastAsia" w:cstheme="majorBidi"/>
        </w:rPr>
        <w:t xml:space="preserve">QDS-scale </w:t>
      </w:r>
      <w:r w:rsidR="002644D2">
        <w:rPr>
          <w:rFonts w:eastAsiaTheme="minorEastAsia" w:cstheme="majorBidi"/>
        </w:rPr>
        <w:t>species richness-heterogeneity relationship</w:t>
      </w:r>
      <w:r w:rsidR="00EB3F26">
        <w:t xml:space="preserve">, while statistically significant, </w:t>
      </w:r>
      <w:r w:rsidR="001A7D58">
        <w:rPr>
          <w:rFonts w:eastAsiaTheme="minorEastAsia" w:cstheme="majorBidi"/>
        </w:rPr>
        <w:t xml:space="preserve"> are </w:t>
      </w:r>
      <w:r w:rsidR="009B4280">
        <w:rPr>
          <w:rFonts w:eastAsiaTheme="minorEastAsia" w:cstheme="majorBidi"/>
        </w:rPr>
        <w:t>subtle</w:t>
      </w:r>
      <w:r w:rsidR="00B2312C">
        <w:rPr>
          <w:rFonts w:eastAsiaTheme="minorEastAsia" w:cstheme="majorBidi"/>
        </w:rPr>
        <w:t xml:space="preserve"> (</w:t>
      </w:r>
      <w:commentRangeStart w:id="36"/>
      <w:r w:rsidR="00B2312C" w:rsidRPr="00807C54">
        <w:rPr>
          <w:rFonts w:eastAsiaTheme="minorEastAsia" w:cstheme="majorBidi"/>
          <w:highlight w:val="yellow"/>
        </w:rPr>
        <w:t xml:space="preserve">see also SI. Figure </w:t>
      </w:r>
      <w:commentRangeStart w:id="37"/>
      <w:r w:rsidR="00B2312C" w:rsidRPr="00807C54">
        <w:rPr>
          <w:rFonts w:eastAsiaTheme="minorEastAsia" w:cstheme="majorBidi"/>
          <w:highlight w:val="yellow"/>
        </w:rPr>
        <w:t>A</w:t>
      </w:r>
      <w:commentRangeEnd w:id="37"/>
      <w:r w:rsidR="0090296A" w:rsidRPr="00807C54">
        <w:rPr>
          <w:rStyle w:val="CommentReference"/>
          <w:rFonts w:ascii="Times New Roman" w:hAnsiTheme="minorHAnsi"/>
          <w:highlight w:val="yellow"/>
        </w:rPr>
        <w:commentReference w:id="37"/>
      </w:r>
      <w:commentRangeEnd w:id="36"/>
      <w:r w:rsidR="000F6938">
        <w:rPr>
          <w:rStyle w:val="CommentReference"/>
          <w:rFonts w:ascii="Times New Roman" w:hAnsiTheme="minorHAnsi"/>
        </w:rPr>
        <w:commentReference w:id="36"/>
      </w:r>
      <w:r w:rsidR="00B2312C">
        <w:rPr>
          <w:rFonts w:eastAsiaTheme="minorEastAsia" w:cstheme="majorBidi"/>
        </w:rPr>
        <w:t>)</w:t>
      </w:r>
      <w:r w:rsidR="001A7D58">
        <w:rPr>
          <w:rFonts w:eastAsiaTheme="minorEastAsia" w:cstheme="majorBidi"/>
        </w:rPr>
        <w:t>.</w:t>
      </w:r>
    </w:p>
    <w:p w14:paraId="6B93ECCA" w14:textId="4C2A2BD8" w:rsidR="00FC1C62" w:rsidRDefault="00B930DF">
      <w:pPr>
        <w:pStyle w:val="FirstParagraph"/>
      </w:pPr>
      <w:r>
        <w:t xml:space="preserve">With the exception of pH at all spatial scales and elevation at the DS-scale, the partial </w:t>
      </w:r>
      <w:r w:rsidR="0064694B">
        <w:t xml:space="preserve">main </w:t>
      </w:r>
      <w:r>
        <w:t xml:space="preserve">effects of all heterogeneity predictors retained in the optimal multiple regression models </w:t>
      </w:r>
      <w:r w:rsidR="00350FE5">
        <w:t>a</w:t>
      </w:r>
      <w:r>
        <w:t>re consistently positive</w:t>
      </w:r>
      <w:r w:rsidR="00350FE5">
        <w:t xml:space="preserve">, </w:t>
      </w:r>
      <w:r w:rsidR="0064694B">
        <w:t>corroborating the</w:t>
      </w:r>
      <w:r w:rsidR="00350FE5">
        <w:t xml:space="preserve"> generally </w:t>
      </w:r>
      <w:r w:rsidR="0090296A">
        <w:t>positive</w:t>
      </w:r>
      <w:r w:rsidR="00350FE5">
        <w:t xml:space="preserve"> influence of heterogeneity on species richness</w:t>
      </w:r>
      <w:r w:rsidR="00684D2A">
        <w:t xml:space="preserve"> (Figure 4)</w:t>
      </w:r>
      <w:r w:rsidR="00350FE5">
        <w:t xml:space="preserve">. Moreover, where </w:t>
      </w:r>
      <w:r w:rsidR="0064694B">
        <w:t>these</w:t>
      </w:r>
      <w:r w:rsidR="00350FE5">
        <w:t xml:space="preserve"> </w:t>
      </w:r>
      <w:r w:rsidR="00230147">
        <w:t xml:space="preserve">partial </w:t>
      </w:r>
      <w:r w:rsidR="00350FE5">
        <w:t>effects are negative this is almost certainly due to collinearities of pH and elevation with the other variables retained in the model</w:t>
      </w:r>
      <w:r w:rsidR="008E779F">
        <w:t>s</w:t>
      </w:r>
      <w:r w:rsidR="0032574D">
        <w:t>, particularly MAP which has the greatest explanatory power in all models (</w:t>
      </w:r>
      <w:r w:rsidR="00D17FCB" w:rsidRPr="00D17FCB">
        <w:rPr>
          <w:highlight w:val="yellow"/>
        </w:rPr>
        <w:t>Table S2</w:t>
      </w:r>
      <w:r w:rsidR="0032574D">
        <w:t>)</w:t>
      </w:r>
      <w:r w:rsidR="00350FE5">
        <w:t xml:space="preserve">. </w:t>
      </w:r>
      <w:r w:rsidR="0028338C">
        <w:t xml:space="preserve">In contrast to </w:t>
      </w:r>
      <w:r w:rsidR="00237525">
        <w:t xml:space="preserve">the </w:t>
      </w:r>
      <w:r w:rsidR="006B7A26">
        <w:t xml:space="preserve">optimal </w:t>
      </w:r>
      <w:r>
        <w:t>ANCOVA</w:t>
      </w:r>
      <w:r w:rsidR="006B7A26">
        <w:t xml:space="preserve"> models, multiple</w:t>
      </w:r>
      <w:r w:rsidR="00350FE5">
        <w:t xml:space="preserve"> </w:t>
      </w:r>
      <w:r w:rsidR="00983D13">
        <w:t>regression</w:t>
      </w:r>
      <w:r w:rsidR="00350FE5">
        <w:t xml:space="preserve"> model</w:t>
      </w:r>
      <w:r w:rsidR="009F3EA3">
        <w:t xml:space="preserve">s </w:t>
      </w:r>
      <w:r w:rsidR="00473F34">
        <w:t>suggest</w:t>
      </w:r>
      <w:r w:rsidR="00D06C06">
        <w:t xml:space="preserve"> region-dependence </w:t>
      </w:r>
      <w:r w:rsidR="00262F02">
        <w:t xml:space="preserve">in the relationships of species dependence to environmental heterogeneity </w:t>
      </w:r>
      <w:r w:rsidR="00D06C06">
        <w:t>at all three spatial scales</w:t>
      </w:r>
      <w:r w:rsidR="003115F6">
        <w:t xml:space="preserve"> (Fig</w:t>
      </w:r>
      <w:r w:rsidR="00CA688A">
        <w:t>ure 4)</w:t>
      </w:r>
      <w:r w:rsidR="00473F34">
        <w:t>. However,</w:t>
      </w:r>
      <w:r w:rsidR="003E77D9">
        <w:t xml:space="preserve"> the coefficients associated with the significant interaction terms are small in </w:t>
      </w:r>
      <w:r w:rsidR="00473F34">
        <w:t>magnitude</w:t>
      </w:r>
      <w:r w:rsidR="003E77D9">
        <w:t xml:space="preserve"> at </w:t>
      </w:r>
      <w:r w:rsidR="00473F34">
        <w:t xml:space="preserve">both </w:t>
      </w:r>
      <w:r w:rsidR="003E77D9">
        <w:t>the QDS- (54.2 to 65.8) and HDS-scale</w:t>
      </w:r>
      <w:r w:rsidR="0032574D">
        <w:t>s</w:t>
      </w:r>
      <w:r w:rsidR="003E77D9">
        <w:t xml:space="preserve"> (200.8, 210.8)</w:t>
      </w:r>
      <w:r w:rsidR="00EB3F26">
        <w:t>,</w:t>
      </w:r>
      <w:r w:rsidR="003E77D9">
        <w:t xml:space="preserve"> relative to the spread of residual species richness within each region (QDS: </w:t>
      </w:r>
      <w:commentRangeStart w:id="38"/>
      <w:commentRangeStart w:id="39"/>
      <w:r w:rsidR="003E77D9" w:rsidRPr="0087034A">
        <w:rPr>
          <w:i/>
          <w:iCs/>
        </w:rPr>
        <w:t>SD</w:t>
      </w:r>
      <w:r w:rsidR="003E77D9">
        <w:rPr>
          <w:iCs/>
          <w:vertAlign w:val="subscript"/>
        </w:rPr>
        <w:t>GCFR</w:t>
      </w:r>
      <w:r w:rsidR="003E77D9">
        <w:t xml:space="preserve"> </w:t>
      </w:r>
      <w:commentRangeEnd w:id="38"/>
      <w:r w:rsidR="003E77D9">
        <w:rPr>
          <w:rStyle w:val="CommentReference"/>
          <w:rFonts w:ascii="Times New Roman" w:hAnsiTheme="minorHAnsi"/>
        </w:rPr>
        <w:commentReference w:id="38"/>
      </w:r>
      <w:commentRangeEnd w:id="39"/>
      <w:r w:rsidR="003E77D9">
        <w:rPr>
          <w:rStyle w:val="CommentReference"/>
          <w:rFonts w:ascii="Times New Roman" w:hAnsiTheme="minorHAnsi"/>
        </w:rPr>
        <w:commentReference w:id="39"/>
      </w:r>
      <w:r w:rsidR="003E77D9">
        <w:t xml:space="preserve">= 315.5; </w:t>
      </w:r>
      <w:r w:rsidR="003E77D9" w:rsidRPr="0087034A">
        <w:rPr>
          <w:i/>
          <w:iCs/>
        </w:rPr>
        <w:t>SD</w:t>
      </w:r>
      <w:r w:rsidR="003E77D9">
        <w:rPr>
          <w:iCs/>
          <w:vertAlign w:val="subscript"/>
        </w:rPr>
        <w:t>SWAFR</w:t>
      </w:r>
      <w:r w:rsidR="003E77D9">
        <w:t xml:space="preserve"> = 230.1; HDS: </w:t>
      </w:r>
      <w:commentRangeStart w:id="40"/>
      <w:commentRangeStart w:id="41"/>
      <w:r w:rsidR="003E77D9" w:rsidRPr="0087034A">
        <w:rPr>
          <w:i/>
          <w:iCs/>
        </w:rPr>
        <w:t>SD</w:t>
      </w:r>
      <w:r w:rsidR="003E77D9">
        <w:rPr>
          <w:iCs/>
          <w:vertAlign w:val="subscript"/>
        </w:rPr>
        <w:t>GCFR</w:t>
      </w:r>
      <w:r w:rsidR="003E77D9">
        <w:t xml:space="preserve"> </w:t>
      </w:r>
      <w:commentRangeEnd w:id="40"/>
      <w:r w:rsidR="003E77D9">
        <w:rPr>
          <w:rStyle w:val="CommentReference"/>
          <w:rFonts w:ascii="Times New Roman" w:hAnsiTheme="minorHAnsi"/>
        </w:rPr>
        <w:commentReference w:id="40"/>
      </w:r>
      <w:commentRangeEnd w:id="41"/>
      <w:r w:rsidR="003E77D9">
        <w:rPr>
          <w:rStyle w:val="CommentReference"/>
          <w:rFonts w:ascii="Times New Roman" w:hAnsiTheme="minorHAnsi"/>
        </w:rPr>
        <w:commentReference w:id="41"/>
      </w:r>
      <w:r w:rsidR="003E77D9">
        <w:t xml:space="preserve">= </w:t>
      </w:r>
      <w:r w:rsidR="00473F34">
        <w:t>540.2</w:t>
      </w:r>
      <w:r w:rsidR="003E77D9">
        <w:t xml:space="preserve">; </w:t>
      </w:r>
      <w:r w:rsidR="003E77D9" w:rsidRPr="0087034A">
        <w:rPr>
          <w:i/>
          <w:iCs/>
        </w:rPr>
        <w:t>SD</w:t>
      </w:r>
      <w:r w:rsidR="003E77D9">
        <w:rPr>
          <w:iCs/>
          <w:vertAlign w:val="subscript"/>
        </w:rPr>
        <w:t>SWAFR</w:t>
      </w:r>
      <w:r w:rsidR="003E77D9">
        <w:t xml:space="preserve"> = </w:t>
      </w:r>
      <w:r w:rsidR="00473F34">
        <w:t>337.3</w:t>
      </w:r>
      <w:r w:rsidR="003E77D9">
        <w:t>)</w:t>
      </w:r>
      <w:r w:rsidR="00473F34">
        <w:t>. As before, this suggests that regional differences in the relationship of species richness to heterogeneity</w:t>
      </w:r>
      <w:r w:rsidR="000B2398">
        <w:t xml:space="preserve"> at these scales</w:t>
      </w:r>
      <w:r w:rsidR="00473F34">
        <w:t xml:space="preserve">, while statistically significant, are subtle. At the DS-scale, however, the </w:t>
      </w:r>
      <w:r w:rsidR="00C96F57">
        <w:t xml:space="preserve">significant </w:t>
      </w:r>
      <w:r w:rsidR="00473F34">
        <w:t>coefficients are</w:t>
      </w:r>
      <w:r w:rsidR="0032574D">
        <w:t xml:space="preserve"> </w:t>
      </w:r>
      <w:r w:rsidR="00C96F57">
        <w:t>large (500.0 to 1622.9) relative to the spread of residual species richness within each region (</w:t>
      </w:r>
      <w:commentRangeStart w:id="42"/>
      <w:commentRangeStart w:id="43"/>
      <w:r w:rsidR="00C96F57" w:rsidRPr="0087034A">
        <w:rPr>
          <w:i/>
          <w:iCs/>
        </w:rPr>
        <w:t>SD</w:t>
      </w:r>
      <w:r w:rsidR="00C96F57">
        <w:rPr>
          <w:iCs/>
          <w:vertAlign w:val="subscript"/>
        </w:rPr>
        <w:t>GCFR</w:t>
      </w:r>
      <w:r w:rsidR="00C96F57">
        <w:t xml:space="preserve"> </w:t>
      </w:r>
      <w:commentRangeEnd w:id="42"/>
      <w:r w:rsidR="00C96F57">
        <w:rPr>
          <w:rStyle w:val="CommentReference"/>
          <w:rFonts w:ascii="Times New Roman" w:hAnsiTheme="minorHAnsi"/>
        </w:rPr>
        <w:commentReference w:id="42"/>
      </w:r>
      <w:commentRangeEnd w:id="43"/>
      <w:r w:rsidR="00C96F57">
        <w:rPr>
          <w:rStyle w:val="CommentReference"/>
          <w:rFonts w:ascii="Times New Roman" w:hAnsiTheme="minorHAnsi"/>
        </w:rPr>
        <w:commentReference w:id="43"/>
      </w:r>
      <w:r w:rsidR="00C96F57">
        <w:t xml:space="preserve">= 638.4; </w:t>
      </w:r>
      <w:r w:rsidR="00C96F57" w:rsidRPr="0087034A">
        <w:rPr>
          <w:i/>
          <w:iCs/>
        </w:rPr>
        <w:t>SD</w:t>
      </w:r>
      <w:r w:rsidR="00C96F57">
        <w:rPr>
          <w:iCs/>
          <w:vertAlign w:val="subscript"/>
        </w:rPr>
        <w:t>SWAFR</w:t>
      </w:r>
      <w:r w:rsidR="00C96F57">
        <w:t xml:space="preserve"> = 353.9)</w:t>
      </w:r>
      <w:r w:rsidR="0032574D">
        <w:t xml:space="preserve">. </w:t>
      </w:r>
      <w:commentRangeStart w:id="44"/>
      <w:commentRangeStart w:id="45"/>
      <w:r w:rsidR="00C96F57">
        <w:t xml:space="preserve">Where the </w:t>
      </w:r>
      <w:r w:rsidR="00230147">
        <w:t xml:space="preserve">significant </w:t>
      </w:r>
      <w:r w:rsidR="00C96F57">
        <w:t>negative coefficients</w:t>
      </w:r>
      <w:r w:rsidR="00230147">
        <w:t xml:space="preserve"> associated with</w:t>
      </w:r>
      <w:r w:rsidR="00C96F57">
        <w:t xml:space="preserve"> surface T and clay heterogeneity </w:t>
      </w:r>
      <w:r w:rsidR="00230147">
        <w:t xml:space="preserve">imply that these variables </w:t>
      </w:r>
      <w:r w:rsidR="00C96F57">
        <w:t xml:space="preserve">exert a greater positive influence on species richness in the GCFR </w:t>
      </w:r>
      <w:r w:rsidR="00230147">
        <w:t>than</w:t>
      </w:r>
      <w:r w:rsidR="00C96F57">
        <w:t xml:space="preserve"> in the SWAFR, the positive coefficients </w:t>
      </w:r>
      <w:r w:rsidR="00230147">
        <w:t>associated with elevation and pH</w:t>
      </w:r>
      <w:r w:rsidR="00FC1C62">
        <w:t xml:space="preserve"> heterogeneity</w:t>
      </w:r>
      <w:r w:rsidR="00230147">
        <w:t xml:space="preserve"> have the effect of cancelling (in the SWAFR) the partial main effects of these variables, both of which are a consequence of collinearities. </w:t>
      </w:r>
      <w:commentRangeEnd w:id="44"/>
      <w:r w:rsidR="0090296A">
        <w:rPr>
          <w:rStyle w:val="CommentReference"/>
          <w:rFonts w:ascii="Times New Roman" w:hAnsiTheme="minorHAnsi"/>
        </w:rPr>
        <w:commentReference w:id="44"/>
      </w:r>
      <w:commentRangeEnd w:id="45"/>
      <w:r w:rsidR="00C30EFE">
        <w:rPr>
          <w:rStyle w:val="CommentReference"/>
          <w:rFonts w:ascii="Times New Roman" w:hAnsiTheme="minorHAnsi"/>
        </w:rPr>
        <w:commentReference w:id="45"/>
      </w:r>
    </w:p>
    <w:p w14:paraId="2C47BF37" w14:textId="186C100D" w:rsidR="00350FE5" w:rsidRDefault="00E81245">
      <w:pPr>
        <w:pStyle w:val="FirstParagraph"/>
      </w:pPr>
      <w:r>
        <w:t>That the coefficients of determi</w:t>
      </w:r>
      <w:r w:rsidR="006F4CB8">
        <w:t>nation associated with the opti</w:t>
      </w:r>
      <w:r>
        <w:t>mum regression models</w:t>
      </w:r>
      <w:r w:rsidR="006F4CB8">
        <w:t xml:space="preserve"> (</w:t>
      </w:r>
      <w:commentRangeStart w:id="46"/>
      <w:commentRangeStart w:id="47"/>
      <w:r w:rsidR="006F4CB8">
        <w:t>Figure 4</w:t>
      </w:r>
      <w:commentRangeEnd w:id="46"/>
      <w:r w:rsidR="00103D7E">
        <w:rPr>
          <w:rStyle w:val="CommentReference"/>
          <w:rFonts w:ascii="Times New Roman" w:hAnsiTheme="minorHAnsi"/>
        </w:rPr>
        <w:commentReference w:id="46"/>
      </w:r>
      <w:commentRangeEnd w:id="47"/>
      <w:r w:rsidR="00EF443E">
        <w:rPr>
          <w:rStyle w:val="CommentReference"/>
          <w:rFonts w:ascii="Times New Roman" w:hAnsiTheme="minorHAnsi"/>
        </w:rPr>
        <w:commentReference w:id="47"/>
      </w:r>
      <w:r w:rsidR="00BA3932">
        <w:t xml:space="preserve">: </w:t>
      </w:r>
      <w:r w:rsidR="00BA3932" w:rsidRPr="00095788">
        <w:rPr>
          <w:i/>
          <w:iCs/>
        </w:rPr>
        <w:t>R</w:t>
      </w:r>
      <w:r w:rsidR="00BA3932">
        <w:softHyphen/>
      </w:r>
      <w:r w:rsidR="00BA3932">
        <w:rPr>
          <w:vertAlign w:val="superscript"/>
        </w:rPr>
        <w:t>2</w:t>
      </w:r>
      <w:r w:rsidR="00BA3932">
        <w:t xml:space="preserve"> = 0.24, 0.33 and 0.61</w:t>
      </w:r>
      <w:r w:rsidR="006F4CB8">
        <w:t>)</w:t>
      </w:r>
      <w:r>
        <w:t xml:space="preserve"> </w:t>
      </w:r>
      <w:r w:rsidR="006F4CB8">
        <w:t>are consistently</w:t>
      </w:r>
      <w:r>
        <w:t xml:space="preserve"> greate</w:t>
      </w:r>
      <w:r w:rsidR="006F4CB8">
        <w:t>r than those associated with the optimal ANCOVA models based on PC1 (Figure 3</w:t>
      </w:r>
      <w:r w:rsidR="00BA3932">
        <w:t xml:space="preserve">: </w:t>
      </w:r>
      <w:r w:rsidR="00BA3932" w:rsidRPr="00095788">
        <w:rPr>
          <w:i/>
          <w:iCs/>
        </w:rPr>
        <w:t>R</w:t>
      </w:r>
      <w:r w:rsidR="00BA3932">
        <w:softHyphen/>
      </w:r>
      <w:r w:rsidR="00BA3932">
        <w:rPr>
          <w:vertAlign w:val="superscript"/>
        </w:rPr>
        <w:t>2</w:t>
      </w:r>
      <w:r w:rsidR="00BA3932">
        <w:t xml:space="preserve"> = 0.14, 0.19 and 0.28</w:t>
      </w:r>
      <w:r w:rsidR="006F4CB8">
        <w:t xml:space="preserve">) </w:t>
      </w:r>
      <w:r w:rsidR="0090296A">
        <w:t xml:space="preserve">is because </w:t>
      </w:r>
      <w:r w:rsidR="006F4CB8">
        <w:t xml:space="preserve">PC1 </w:t>
      </w:r>
      <w:r w:rsidR="0090296A">
        <w:t xml:space="preserve">does not </w:t>
      </w:r>
      <w:r w:rsidR="006F4CB8">
        <w:t xml:space="preserve"> capture </w:t>
      </w:r>
      <w:r w:rsidR="000075FC">
        <w:t xml:space="preserve">some </w:t>
      </w:r>
      <w:r w:rsidR="0090296A">
        <w:t xml:space="preserve">environmental heterogeneity </w:t>
      </w:r>
      <w:r w:rsidR="006F4CB8">
        <w:t>relevant to the prediction of species richness.</w:t>
      </w:r>
    </w:p>
    <w:p w14:paraId="4DC1AF30" w14:textId="7AD6C6A2"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14:paraId="3B4BD914" w14:textId="47E18C2C" w:rsidR="00D06C06" w:rsidRDefault="00390A5D" w:rsidP="00C47FA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(Figure 5; Suppl. Figure ***)</w:t>
      </w:r>
      <w:r w:rsidR="006B7A26">
        <w:t xml:space="preserve">. For both the GCFR and SWAFR, outliers </w:t>
      </w:r>
      <w:r w:rsidR="00123A7A">
        <w:t>a</w:t>
      </w:r>
      <w:r w:rsidR="006B7A26">
        <w:t>r</w:t>
      </w:r>
      <w:r w:rsidR="00C64450">
        <w:t xml:space="preserve">e geographically clustered, in areas corresponding to recognized diversity </w:t>
      </w:r>
      <w:proofErr w:type="spellStart"/>
      <w:r w:rsidR="00C64450">
        <w:t>centres</w:t>
      </w:r>
      <w:proofErr w:type="spellEnd"/>
      <w:r w:rsidR="00C64450">
        <w:t xml:space="preserve">. At the QDS-scale, for example, GCFR outliers </w:t>
      </w:r>
      <w:r w:rsidR="00123A7A">
        <w:t>a</w:t>
      </w:r>
      <w:r w:rsidR="00C64450">
        <w:t xml:space="preserve">re concentrated in the </w:t>
      </w:r>
      <w:proofErr w:type="spellStart"/>
      <w:r w:rsidR="00C64450">
        <w:t>Kogelberg</w:t>
      </w:r>
      <w:proofErr w:type="spellEnd"/>
      <w:r w:rsidR="00C64450">
        <w:t>-Hottentots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w:t>
      </w:r>
      <w:proofErr w:type="spellStart"/>
      <w:r w:rsidR="00C64450">
        <w:t>Lesueur</w:t>
      </w:r>
      <w:proofErr w:type="spellEnd"/>
      <w:r w:rsidR="00C64450">
        <w:t xml:space="preserve">, Perth, Stirling-Albany and Fitzgerald River </w:t>
      </w:r>
      <w:r w:rsidR="0028496B">
        <w:t>area</w:t>
      </w:r>
      <w:r w:rsidR="00C64450">
        <w:t>s.</w:t>
      </w:r>
      <w:r w:rsidR="006B0D68">
        <w:t xml:space="preserve"> </w:t>
      </w:r>
      <w:r w:rsidR="00123A7A">
        <w:t xml:space="preserve">Fewer hotspots are </w:t>
      </w:r>
      <w:r w:rsidR="00A57067">
        <w:t xml:space="preserve">necessarily </w:t>
      </w:r>
      <w:r w:rsidR="00123A7A">
        <w:t>resolved a</w:t>
      </w:r>
      <w:r w:rsidR="006B0D68">
        <w:t xml:space="preserve">t the HDS-scale </w:t>
      </w:r>
      <w:r w:rsidR="00123A7A">
        <w:t>(i.e. the</w:t>
      </w:r>
      <w:r w:rsidR="006B0D68">
        <w:t xml:space="preserve"> </w:t>
      </w:r>
      <w:proofErr w:type="spellStart"/>
      <w:r w:rsidR="006B0D68">
        <w:t>Kogelberg</w:t>
      </w:r>
      <w:proofErr w:type="spellEnd"/>
      <w:r w:rsidR="006B0D68">
        <w:t>-Hottentots</w:t>
      </w:r>
      <w:r w:rsidR="000C33EC">
        <w:t>-</w:t>
      </w:r>
      <w:r w:rsidR="006B0D68">
        <w:t xml:space="preserve">Holland </w:t>
      </w:r>
      <w:r w:rsidR="0028496B">
        <w:t>area</w:t>
      </w:r>
      <w:r w:rsidR="006B0D68">
        <w:t xml:space="preserve"> in the GCFR and the Perth </w:t>
      </w:r>
      <w:r w:rsidR="0028496B">
        <w:t>area</w:t>
      </w:r>
      <w:r w:rsidR="006B0D68">
        <w:t xml:space="preserve"> in the SWAFR</w:t>
      </w:r>
      <w:r w:rsidR="00123A7A">
        <w:t>) and only one a</w:t>
      </w:r>
      <w:r w:rsidR="000C33EC">
        <w:t>t</w:t>
      </w:r>
      <w:r w:rsidR="001B4B9F">
        <w:t xml:space="preserve"> </w:t>
      </w:r>
      <w:r w:rsidR="006B0D68">
        <w:t xml:space="preserve">the DS-scale </w:t>
      </w:r>
      <w:r w:rsidR="00123A7A">
        <w:t>(the</w:t>
      </w:r>
      <w:r w:rsidR="006B0D68">
        <w:t xml:space="preserve"> Hottentots Holland </w:t>
      </w:r>
      <w:r w:rsidR="00123A7A">
        <w:t>area</w:t>
      </w:r>
      <w:r w:rsidR="000D6FAE">
        <w:t xml:space="preserve"> in the GCFR</w:t>
      </w:r>
      <w:r w:rsidR="00123A7A">
        <w:t>)</w:t>
      </w:r>
      <w:r w:rsidR="0040353B">
        <w:t>.</w:t>
      </w:r>
      <w:r w:rsidR="00C4302C">
        <w:t xml:space="preserve"> </w:t>
      </w:r>
      <w:r w:rsidR="003047D0">
        <w:t>Omission of outlier</w:t>
      </w:r>
      <w:r w:rsidR="00EF067C">
        <w:t>s</w:t>
      </w:r>
      <w:r w:rsidR="003047D0">
        <w:t xml:space="preserve"> from the ANCOVA and multiple regression</w:t>
      </w:r>
      <w:r w:rsidR="00301369">
        <w:t>s</w:t>
      </w:r>
      <w:r w:rsidR="003047D0">
        <w:t xml:space="preserve"> yielded </w:t>
      </w:r>
      <w:r w:rsidR="00C4302C">
        <w:t xml:space="preserve">qualitatively similar </w:t>
      </w:r>
      <w:r w:rsidR="003047D0">
        <w:t>models</w:t>
      </w:r>
      <w:r w:rsidR="00EC5B19">
        <w:t xml:space="preserve"> </w:t>
      </w:r>
      <w:r w:rsidR="00EF067C">
        <w:t xml:space="preserve">as before, but </w:t>
      </w:r>
      <w:r w:rsidR="00EC5B19">
        <w:t xml:space="preserve">generally </w:t>
      </w:r>
      <w:r w:rsidR="00FC7DE5">
        <w:t xml:space="preserve">with slightly </w:t>
      </w:r>
      <w:r w:rsidR="00EC5B19">
        <w:t>improved coefficients of determination</w:t>
      </w:r>
      <w:r w:rsidR="00664EED">
        <w:t xml:space="preserve"> (</w:t>
      </w:r>
      <w:r w:rsidR="008374CE" w:rsidRPr="008374CE">
        <w:rPr>
          <w:highlight w:val="yellow"/>
        </w:rPr>
        <w:t>SI</w:t>
      </w:r>
      <w:r w:rsidR="00664EED">
        <w:t>)</w:t>
      </w:r>
      <w:r w:rsidR="003047D0">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6DC64564" w14:textId="5C1D97A0" w:rsidR="001E1442" w:rsidRDefault="006A4B08" w:rsidP="002C20EB">
      <w:pPr>
        <w:pStyle w:val="BodyText"/>
        <w:tabs>
          <w:tab w:val="left" w:pos="6189"/>
        </w:tabs>
      </w:pPr>
      <w:bookmarkStart w:id="48" w:name="tables"/>
      <w:r>
        <w:t>Consistent with a recent meta-analysis identifying environmental heterogeneity as a universal driver of species richness</w:t>
      </w:r>
      <w:r w:rsidR="00925DAC">
        <w:t xml:space="preserve"> (Stein et al. 2014)</w:t>
      </w:r>
      <w:r>
        <w:t xml:space="preserve">, </w:t>
      </w:r>
      <w:r w:rsidR="00186541">
        <w:t>we found</w:t>
      </w:r>
      <w:r w:rsidR="00925DAC">
        <w:t xml:space="preserve"> heterogeneity to have a consistently positive influence on species richness in the GCFR and SWAFR.</w:t>
      </w:r>
      <w:r w:rsidR="003A63A6">
        <w:t xml:space="preserve"> </w:t>
      </w:r>
      <w:r w:rsidR="006435FF">
        <w:t xml:space="preserve">Except for the </w:t>
      </w:r>
      <w:r w:rsidR="00A2083E">
        <w:t xml:space="preserve">partial </w:t>
      </w:r>
      <w:r w:rsidR="007A7C1E">
        <w:lastRenderedPageBreak/>
        <w:t>coefficient</w:t>
      </w:r>
      <w:r w:rsidR="006435FF">
        <w:t>s of pH and elevation</w:t>
      </w:r>
      <w:r w:rsidR="00D839BD" w:rsidRPr="00D839BD">
        <w:t xml:space="preserve"> </w:t>
      </w:r>
      <w:r w:rsidR="00D839BD">
        <w:t>in the multiple regressions</w:t>
      </w:r>
      <w:r w:rsidR="006435FF">
        <w:t xml:space="preserve">, </w:t>
      </w:r>
      <w:commentRangeStart w:id="49"/>
      <w:r w:rsidR="006435FF">
        <w:t xml:space="preserve">which </w:t>
      </w:r>
      <w:r w:rsidR="00DB42AF">
        <w:t>a</w:t>
      </w:r>
      <w:r w:rsidR="006435FF">
        <w:t>re negative on account of their collinearity with other variables</w:t>
      </w:r>
      <w:commentRangeEnd w:id="49"/>
      <w:r w:rsidR="008D0795">
        <w:rPr>
          <w:rStyle w:val="CommentReference"/>
          <w:rFonts w:ascii="Times New Roman" w:hAnsiTheme="minorHAnsi"/>
        </w:rPr>
        <w:commentReference w:id="49"/>
      </w:r>
      <w:r w:rsidR="006435FF">
        <w:t xml:space="preserve">, all </w:t>
      </w:r>
      <w:r w:rsidR="00186541">
        <w:t xml:space="preserve">significant </w:t>
      </w:r>
      <w:r w:rsidR="006435FF">
        <w:t>coefficients associated with environmental heterogeneity</w:t>
      </w:r>
      <w:r w:rsidR="002376C5">
        <w:t xml:space="preserve"> terms</w:t>
      </w:r>
      <w:r w:rsidR="006435FF">
        <w:t xml:space="preserve"> in our </w:t>
      </w:r>
      <w:r w:rsidR="00186541">
        <w:t xml:space="preserve">ANCOVA and multiple regression </w:t>
      </w:r>
      <w:r w:rsidR="006435FF">
        <w:t xml:space="preserve">models </w:t>
      </w:r>
      <w:r w:rsidR="00DB42AF">
        <w:t>a</w:t>
      </w:r>
      <w:r w:rsidR="006435FF">
        <w:t>re positive. 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species richness </w:t>
      </w:r>
      <w:r w:rsidR="00D13C71">
        <w:t xml:space="preserve">to heterogeneity </w:t>
      </w:r>
      <w:r w:rsidR="007F0700">
        <w:t>anticipat</w:t>
      </w:r>
      <w:r w:rsidR="00D13C71">
        <w:t>ed by some authors</w:t>
      </w:r>
      <w:r w:rsidR="007A7C1E">
        <w:t xml:space="preserve"> (</w:t>
      </w:r>
      <w:proofErr w:type="spellStart"/>
      <w:r w:rsidR="007A7C1E">
        <w:t>Allouche</w:t>
      </w:r>
      <w:proofErr w:type="spellEnd"/>
      <w:r w:rsidR="007A7C1E">
        <w:t xml:space="preserve"> et al. 2012; </w:t>
      </w:r>
      <w:proofErr w:type="spellStart"/>
      <w:r w:rsidR="007A7C1E">
        <w:t>Carnicer</w:t>
      </w:r>
      <w:proofErr w:type="spellEnd"/>
      <w:r w:rsidR="007A7C1E">
        <w:t xml:space="preserve"> et al. 2013)</w:t>
      </w:r>
      <w:r w:rsidR="00004BFE">
        <w:t xml:space="preserve">. </w:t>
      </w:r>
      <w:r w:rsidR="002376C5">
        <w:t xml:space="preserve">Additionally, and </w:t>
      </w:r>
      <w:r w:rsidR="00670FB5">
        <w:t xml:space="preserve">also </w:t>
      </w:r>
      <w:r w:rsidR="00D13C71">
        <w:t>consistent with Stein et al. (2014),</w:t>
      </w:r>
      <w:r w:rsidR="00A2083E">
        <w:t xml:space="preserve"> </w:t>
      </w:r>
      <w:r w:rsidR="00186541">
        <w:t>we f</w:t>
      </w:r>
      <w:r w:rsidR="00DB42AF">
        <w:t>i</w:t>
      </w:r>
      <w:r w:rsidR="00186541">
        <w:t>nd</w:t>
      </w:r>
      <w:r w:rsidR="002376C5">
        <w:t xml:space="preserve"> </w:t>
      </w:r>
      <w:r w:rsidR="00D839BD">
        <w:t xml:space="preserve">the strength of the heterogeneity-species 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 (grain)</w:t>
      </w:r>
      <w:r w:rsidR="001E1442">
        <w:t xml:space="preserve">, </w:t>
      </w:r>
      <w:r w:rsidR="0090296A">
        <w:t>as evidenced</w:t>
      </w:r>
      <w:bookmarkStart w:id="50" w:name="_GoBack"/>
      <w:bookmarkEnd w:id="50"/>
      <w:r w:rsidR="0090296A">
        <w:t xml:space="preserve"> by that fact that </w:t>
      </w:r>
      <w:r w:rsidR="001E1442">
        <w:t xml:space="preserve">the coefficients of determination associated with </w:t>
      </w:r>
      <w:r w:rsidR="00186541">
        <w:t>our ANCOVA and multiple regression models</w:t>
      </w:r>
      <w:r w:rsidR="001E1442">
        <w:t xml:space="preserve"> </w:t>
      </w:r>
      <w:r w:rsidR="0090296A">
        <w:t>were</w:t>
      </w:r>
      <w:r w:rsidR="00186541">
        <w:t xml:space="preserve"> greatest at the DS-scale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proofErr w:type="spellStart"/>
      <w:r w:rsidR="001F0A16">
        <w:t>Wuest</w:t>
      </w:r>
      <w:proofErr w:type="spellEnd"/>
      <w:r w:rsidR="001F0A16">
        <w:t xml:space="preserve"> et al. 2019), </w:t>
      </w:r>
      <w:r w:rsidR="00485517">
        <w:t>and so facilitate stronger heterogeneity-species richness relationships (</w:t>
      </w:r>
      <w:r w:rsidR="000F6938">
        <w:t>V</w:t>
      </w:r>
      <w:r w:rsidR="00485517">
        <w:t>an Rensburg et al. 2002)</w:t>
      </w:r>
      <w:r w:rsidR="000A7820">
        <w:t>.</w:t>
      </w:r>
      <w:r w:rsidR="00670FB5">
        <w:t xml:space="preserve"> </w:t>
      </w:r>
      <w:r w:rsidR="000A7820">
        <w:t>I</w:t>
      </w:r>
      <w:r w:rsidR="00B24543">
        <w:t>n speciation hotspot</w:t>
      </w:r>
      <w:r w:rsidR="00D839BD">
        <w:t>s</w:t>
      </w:r>
      <w:r w:rsidR="00B24543">
        <w:t xml:space="preserve"> 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spatial scale of speciation (Stein et al. 2014)</w:t>
      </w:r>
      <w:r w:rsidR="00D839BD">
        <w:t xml:space="preserve">, </w:t>
      </w:r>
      <w:commentRangeStart w:id="51"/>
      <w:r w:rsidR="00D839BD">
        <w:t>with the stronger coupling of species richness</w:t>
      </w:r>
      <w:r w:rsidR="003617CF">
        <w:t xml:space="preserve"> to heterogeneity </w:t>
      </w:r>
      <w:r w:rsidR="000A7820">
        <w:t xml:space="preserve">at the DS-scale </w:t>
      </w:r>
      <w:r w:rsidR="00C85C59">
        <w:t xml:space="preserve">possibly </w:t>
      </w:r>
      <w:r w:rsidR="00D839BD">
        <w:t>arising</w:t>
      </w:r>
      <w:r w:rsidR="003617CF">
        <w:t xml:space="preserve"> because </w:t>
      </w:r>
      <w:r w:rsidR="00C85C59">
        <w:t>the DS, in contrast to the QDS and HDS,</w:t>
      </w:r>
      <w:r w:rsidR="00BE7B44">
        <w:t xml:space="preserve"> </w:t>
      </w:r>
      <w:r w:rsidR="003617CF">
        <w:t>is sufficiently large</w:t>
      </w:r>
      <w:r w:rsidR="00D13C71">
        <w:t xml:space="preserve"> </w:t>
      </w:r>
      <w:r w:rsidR="00BE7B44">
        <w:t xml:space="preserve">to </w:t>
      </w:r>
      <w:r w:rsidR="00896B4A">
        <w:t>capture</w:t>
      </w:r>
      <w:r w:rsidR="00BE7B44">
        <w:t xml:space="preserve"> allopatric speci</w:t>
      </w:r>
      <w:r w:rsidR="00C85C59">
        <w:t>ation processes</w:t>
      </w:r>
      <w:r w:rsidR="00BE7B44">
        <w:t>.</w:t>
      </w:r>
      <w:commentRangeEnd w:id="51"/>
      <w:r w:rsidR="00A57067">
        <w:rPr>
          <w:rStyle w:val="CommentReference"/>
          <w:rFonts w:ascii="Times New Roman" w:hAnsiTheme="minorHAnsi"/>
        </w:rPr>
        <w:commentReference w:id="51"/>
      </w:r>
    </w:p>
    <w:p w14:paraId="3B792383" w14:textId="400E278E" w:rsidR="00E3070E" w:rsidRDefault="0016731D" w:rsidP="00E3070E">
      <w:pPr>
        <w:pStyle w:val="BodyText"/>
        <w:tabs>
          <w:tab w:val="left" w:pos="6189"/>
        </w:tabs>
      </w:pPr>
      <w:r>
        <w:t>The</w:t>
      </w:r>
      <w:r w:rsidR="001E1442">
        <w:t xml:space="preserve"> observation that species richness </w:t>
      </w:r>
      <w:r w:rsidR="004F61BD">
        <w:t>r</w:t>
      </w:r>
      <w:r w:rsidR="005048A3">
        <w:t xml:space="preserve">esponds to environmental heterogeneity in </w:t>
      </w:r>
      <w:r w:rsidR="00B53C15">
        <w:t>a uniform</w:t>
      </w:r>
      <w:r w:rsidR="005048A3">
        <w:t xml:space="preserve"> manner </w:t>
      </w:r>
      <w:r w:rsidR="001E1442">
        <w:t>across the GCFR and SWAFR</w:t>
      </w:r>
      <w:r w:rsidR="005048A3">
        <w:t xml:space="preserve"> </w:t>
      </w:r>
      <w:r w:rsidR="00A342A8">
        <w:t>or</w:t>
      </w:r>
      <w:r w:rsidR="00BB20AD">
        <w:t xml:space="preserve"> at least</w:t>
      </w:r>
      <w:r w:rsidR="00B26384">
        <w:t>, where this is not the case,</w:t>
      </w:r>
      <w:r w:rsidR="005048A3">
        <w:t xml:space="preserve"> </w:t>
      </w:r>
      <w:r w:rsidR="004F61BD">
        <w:t xml:space="preserve">that </w:t>
      </w:r>
      <w:r w:rsidR="005048A3">
        <w:t>regional differences in the form of the richness-heterogeneity relationship are subtle,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Cowling et al. (2015) the lower heterogeneity of SWAFR, both now and during the Tertiary, would have constrained opportunities for radiation</w:t>
      </w:r>
      <w:r w:rsidR="00E3070E">
        <w:t>, thereby</w:t>
      </w:r>
      <w:r w:rsidR="00B26384">
        <w:t xml:space="preserve"> produc</w:t>
      </w:r>
      <w:r w:rsidR="00E3070E">
        <w:t>ing</w:t>
      </w:r>
      <w:r w:rsidR="00B26384">
        <w:t xml:space="preserve"> a flora that is generally less diverse. </w:t>
      </w:r>
      <w:r w:rsidR="00E3070E">
        <w:t xml:space="preserve">In addition, the greater heterogeneity of the GCFR might facilitate denser species packing, through the provision of greater niche diversity, at a range of scales (refs).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274581">
        <w:t xml:space="preserve">QDS- and HDS-scale </w:t>
      </w:r>
      <w:r w:rsidR="00BB20AD">
        <w:t xml:space="preserve">species turnover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in the Cape. This interpretation is consistent with evidence for a much high</w:t>
      </w:r>
      <w:r w:rsidR="0058677B">
        <w:t>er</w:t>
      </w:r>
      <w:r w:rsidR="0072106C">
        <w:t xml:space="preserve"> frequency of single-site endemic taxa in the Cape than in the Australian flora (Linder 2019).</w:t>
      </w:r>
    </w:p>
    <w:p w14:paraId="2B259CB7" w14:textId="4F031E4F"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 xml:space="preserve">the generally low coefficients of determination associated with these relationships indicate </w:t>
      </w:r>
      <w:r w:rsidR="00653FBE">
        <w:t xml:space="preserve">a </w:t>
      </w:r>
      <w:r w:rsidR="008B5685">
        <w:t>role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0C6E98">
        <w:t xml:space="preserve">, some of which </w:t>
      </w:r>
      <w:r w:rsidR="00A234EE">
        <w:t xml:space="preserve">may </w:t>
      </w:r>
      <w:r w:rsidR="001F48A1">
        <w:t xml:space="preserve">vary at spatial scales beyond the resolution of </w:t>
      </w:r>
      <w:r w:rsidR="003362FE">
        <w:t>available</w:t>
      </w:r>
      <w:r w:rsidR="001F48A1">
        <w:t xml:space="preserve"> environmental layers. </w:t>
      </w:r>
      <w:r w:rsidR="00FD7934">
        <w:t>Cramer et al. (2019), for example, recently highlighted the superiority of locally-modelled soil layers</w:t>
      </w:r>
      <w:r w:rsidR="008D30F0">
        <w:t xml:space="preserve">, which also </w:t>
      </w:r>
      <w:r w:rsidR="001F48A1">
        <w:t>include aspects of</w:t>
      </w:r>
      <w:r w:rsidR="008D30F0">
        <w:t xml:space="preserve"> soil chemistry,</w:t>
      </w:r>
      <w:r w:rsidR="00FD7934">
        <w:t xml:space="preserve"> as predictors of vegetation type in the GCFR,</w:t>
      </w:r>
      <w:r w:rsidR="00BD7A0C">
        <w:t xml:space="preserve"> compared with the globally-modelled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for the SWAFR.</w:t>
      </w:r>
      <w:r w:rsidR="0074652D">
        <w:t xml:space="preserve"> </w:t>
      </w:r>
      <w:r w:rsidR="00BD7A0C">
        <w:t>I</w:t>
      </w:r>
      <w:r w:rsidR="00F06213">
        <w:t xml:space="preserve">n any </w:t>
      </w:r>
      <w:r w:rsidR="001F48A1">
        <w:t>event</w:t>
      </w:r>
      <w:r w:rsidR="00F06213">
        <w:t xml:space="preserve">, </w:t>
      </w:r>
      <w:r w:rsidR="00BD7A0C">
        <w:t>despite the</w:t>
      </w:r>
      <w:r w:rsidR="003362FE">
        <w:t xml:space="preserve"> obvious importance of soil variables</w:t>
      </w:r>
      <w:r w:rsidR="00BD7A0C">
        <w:t xml:space="preserve"> as determinants of plant distribution,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F06213">
        <w:t>(</w:t>
      </w:r>
      <w:proofErr w:type="spellStart"/>
      <w:r w:rsidR="008D30F0">
        <w:t>Figueiredo</w:t>
      </w:r>
      <w:proofErr w:type="spellEnd"/>
      <w:r w:rsidR="008D30F0">
        <w:t xml:space="preserve"> et al. 2018</w:t>
      </w:r>
      <w:r w:rsidR="00F06213">
        <w:t xml:space="preserve">). </w:t>
      </w:r>
      <w:r w:rsidR="00E806A3">
        <w:t>Similarly</w:t>
      </w:r>
      <w:r w:rsidR="003362FE">
        <w:t>, the association of many point</w:t>
      </w:r>
      <w:r w:rsidR="00A179C9">
        <w:t>-</w:t>
      </w:r>
      <w:r w:rsidR="00BC31F1">
        <w:t xml:space="preserve">endemics in the GCFR </w:t>
      </w:r>
      <w:r w:rsidR="003362FE">
        <w:t xml:space="preserve">with </w:t>
      </w:r>
      <w:r w:rsidR="008B5685">
        <w:t>highly-</w:t>
      </w:r>
      <w:r w:rsidR="00E806A3">
        <w:t xml:space="preserve">localized </w:t>
      </w:r>
      <w:r w:rsidR="00A179C9">
        <w:t>bogs</w:t>
      </w:r>
      <w:r w:rsidR="00E806A3">
        <w:t>,</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climatically-determined</w:t>
      </w:r>
      <w:r w:rsidR="00E806A3">
        <w:t>,</w:t>
      </w:r>
      <w:r w:rsidR="00164E10">
        <w:t xml:space="preserve"> presents challenges </w:t>
      </w:r>
      <w:r w:rsidR="00E806A3">
        <w:t xml:space="preserve">for species distribution modelling </w:t>
      </w:r>
      <w:r w:rsidR="003B08CE">
        <w:t>on account of their small size</w:t>
      </w:r>
      <w:r w:rsidR="00120FD9">
        <w:t xml:space="preserve"> (Born and Linder 2019)</w:t>
      </w:r>
      <w:r w:rsidR="00164E10">
        <w:t>.</w:t>
      </w:r>
      <w:r w:rsidR="00996D75">
        <w:t xml:space="preserve"> The same may </w:t>
      </w:r>
      <w:r w:rsidR="00B31A36">
        <w:t xml:space="preserve">well </w:t>
      </w:r>
      <w:r w:rsidR="00996D75">
        <w:t>be true for the SWAFR flora where phylogenetically-</w:t>
      </w:r>
      <w:proofErr w:type="spellStart"/>
      <w:r w:rsidR="00996D75">
        <w:t>relictual</w:t>
      </w:r>
      <w:proofErr w:type="spellEnd"/>
      <w:r w:rsidR="00996D75">
        <w:t xml:space="preserve"> species typically inhabit waterlogged situations (Hopper and </w:t>
      </w:r>
      <w:proofErr w:type="spellStart"/>
      <w:r w:rsidR="00996D75">
        <w:t>Gioia</w:t>
      </w:r>
      <w:proofErr w:type="spellEnd"/>
      <w:r w:rsidR="00996D75">
        <w:t xml:space="preserve"> 2004).</w:t>
      </w:r>
    </w:p>
    <w:p w14:paraId="67982DFE" w14:textId="65FC132A" w:rsidR="00CF6AF3" w:rsidRDefault="00DE487A" w:rsidP="00E3070E">
      <w:pPr>
        <w:pStyle w:val="BodyText"/>
        <w:tabs>
          <w:tab w:val="left" w:pos="6189"/>
        </w:tabs>
      </w:pPr>
      <w:r>
        <w:lastRenderedPageBreak/>
        <w:t>A second</w:t>
      </w:r>
      <w:r w:rsidR="00164E10">
        <w:t xml:space="preserve"> </w:t>
      </w:r>
      <w:r w:rsidR="00B718C1">
        <w:t xml:space="preserve">factor </w:t>
      </w:r>
      <w:r w:rsidR="00A646E1">
        <w:t xml:space="preserve">potentially </w:t>
      </w:r>
      <w:r w:rsidR="004940AD">
        <w:t>compromising</w:t>
      </w:r>
      <w:r w:rsidR="00B718C1">
        <w:t xml:space="preserve"> the </w:t>
      </w:r>
      <w:r w:rsidR="00A646E1">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D96E88">
        <w:t xml:space="preserve"> and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environmental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873A2C">
        <w:t xml:space="preserve">Currie 1991; Hawkins et al. 2003; </w:t>
      </w:r>
      <w:proofErr w:type="spellStart"/>
      <w:r w:rsidR="00873A2C">
        <w:t>Kreft</w:t>
      </w:r>
      <w:proofErr w:type="spellEnd"/>
      <w:r w:rsidR="00873A2C">
        <w:t xml:space="preserve"> and </w:t>
      </w:r>
      <w:proofErr w:type="spellStart"/>
      <w:r w:rsidR="00873A2C">
        <w:t>Jetz</w:t>
      </w:r>
      <w:proofErr w:type="spellEnd"/>
      <w:r w:rsidR="00873A2C">
        <w:t xml:space="preserve"> 2008</w:t>
      </w:r>
      <w:r w:rsidR="0065333D">
        <w:t>)</w:t>
      </w:r>
      <w:r w:rsidR="008353FD">
        <w:t xml:space="preserve">, we elected to omit these variables from our analyses because </w:t>
      </w:r>
      <w:r w:rsidR="002D35E5">
        <w:t>we</w:t>
      </w:r>
      <w:r w:rsidR="0065333D">
        <w:t xml:space="preserve"> </w:t>
      </w:r>
      <w:r w:rsidR="008B6F00">
        <w:t>wished</w:t>
      </w:r>
      <w:r w:rsidR="0065333D">
        <w:t xml:space="preserve"> explicitly </w:t>
      </w:r>
      <w:r w:rsidR="00873A2C">
        <w:t>to assess</w:t>
      </w:r>
      <w:r w:rsidR="00C55DCA">
        <w:t xml:space="preserve"> the </w:t>
      </w:r>
      <w:r w:rsidR="008B6F00">
        <w:t>ability</w:t>
      </w:r>
      <w:r w:rsidR="00C55DCA">
        <w:t xml:space="preserve"> of heterogeneity </w:t>
      </w:r>
      <w:r w:rsidR="008B6F00">
        <w:t>to account for</w:t>
      </w:r>
      <w:r w:rsidR="00C55DCA">
        <w:t xml:space="preserve"> species richness variation across the GCFR and SWAFR. </w:t>
      </w:r>
      <w:r w:rsidR="00B31A36">
        <w:t>Besides</w:t>
      </w:r>
      <w:r w:rsidR="00C55DCA">
        <w:t xml:space="preserve">, </w:t>
      </w:r>
      <w:r w:rsidR="001B750B">
        <w:t xml:space="preserve">as noted by </w:t>
      </w:r>
      <w:r w:rsidR="00873A2C">
        <w:t>Cowling et al. (2017)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r w:rsidR="00DA7104">
        <w:t xml:space="preserve"> </w:t>
      </w:r>
      <w:r w:rsidR="004F2596">
        <w:t>The same appears to be true for the</w:t>
      </w:r>
      <w:r w:rsidR="00CF6AF3">
        <w:t xml:space="preserve"> SWAFR</w:t>
      </w:r>
      <w:r w:rsidR="004F2596">
        <w:t xml:space="preserve"> (</w:t>
      </w:r>
      <w:r w:rsidR="004F2596" w:rsidRPr="00CC1848">
        <w:rPr>
          <w:highlight w:val="yellow"/>
        </w:rPr>
        <w:t>ref***)</w:t>
      </w:r>
      <w:r w:rsidR="00CF6AF3" w:rsidRPr="00CC1848">
        <w:rPr>
          <w:highlight w:val="yellow"/>
        </w:rPr>
        <w:t>.</w:t>
      </w:r>
    </w:p>
    <w:p w14:paraId="0610530F" w14:textId="341713CC" w:rsidR="00375621" w:rsidRDefault="001C321C" w:rsidP="00E3070E">
      <w:pPr>
        <w:pStyle w:val="BodyText"/>
        <w:tabs>
          <w:tab w:val="left" w:pos="6189"/>
        </w:tabs>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ascii="Times New Roman" w:hAnsi="Times New Roman" w:cs="Times New Roman"/>
          <w:noProof/>
          <w:lang w:val="en-GB"/>
        </w:rPr>
        <w:t xml:space="preserve">sample- (Gotelli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Colwell, 2001) or coverage-based rarefaction techniques (Chao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Jost, 2012) </w:t>
      </w:r>
      <w:r w:rsidR="00E823D6">
        <w:t xml:space="preserve">to correct for </w:t>
      </w:r>
      <w:r w:rsidR="002D35E5">
        <w:t xml:space="preserve">variable </w:t>
      </w:r>
      <w:r w:rsidR="00E823D6">
        <w:t>collection effort</w:t>
      </w:r>
      <w:r w:rsidR="002D35E5">
        <w:t xml:space="preserve"> (</w:t>
      </w:r>
      <w:r w:rsidR="00375621" w:rsidRPr="003C5ACF">
        <w:rPr>
          <w:rFonts w:ascii="Times New Roman" w:hAnsi="Times New Roman" w:cs="Times New Roman"/>
          <w:noProof/>
          <w:lang w:val="en-GB"/>
        </w:rPr>
        <w:t>Engemann et al., 2015</w:t>
      </w:r>
      <w:r w:rsidR="002D35E5">
        <w:t>)</w:t>
      </w:r>
      <w:r w:rsidR="00E823D6">
        <w:t xml:space="preserve">, </w:t>
      </w:r>
      <w:r w:rsidR="00B053CB">
        <w:t xml:space="preserve">the application of these approaches to systematically-biased collection data is </w:t>
      </w:r>
      <w:r w:rsidR="0092446E">
        <w:t xml:space="preserve">potentially </w:t>
      </w:r>
      <w:r w:rsidR="00B053CB">
        <w:t>problematic (</w:t>
      </w:r>
      <w:r w:rsidR="00B053CB" w:rsidRPr="00B64F53">
        <w:rPr>
          <w:highlight w:val="yellow"/>
        </w:rPr>
        <w:t>refs</w:t>
      </w:r>
      <w:r w:rsidR="00B053CB">
        <w:t>)</w:t>
      </w:r>
      <w:r w:rsidR="00375621">
        <w:t xml:space="preserve">. </w:t>
      </w:r>
      <w:r w:rsidR="00375621" w:rsidRPr="003C5ACF">
        <w:rPr>
          <w:rFonts w:ascii="Times New Roman" w:hAnsi="Times New Roman" w:cs="Times New Roman"/>
          <w:noProof/>
          <w:lang w:val="en-GB"/>
        </w:rPr>
        <w:t>These techniques, however, assume that the relationship between the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ascii="Times New Roman" w:hAnsi="Times New Roman" w:cs="Times New Roman"/>
          <w:noProof/>
          <w:lang w:val="en-GB"/>
        </w:rPr>
        <w:t>. W</w:t>
      </w:r>
      <w:proofErr w:type="spellStart"/>
      <w:r w:rsidR="00E823D6">
        <w:t>e</w:t>
      </w:r>
      <w:proofErr w:type="spellEnd"/>
      <w:r w:rsidR="00E823D6">
        <w:t xml:space="preserve"> have desisted from </w:t>
      </w:r>
      <w:r w:rsidR="00375621">
        <w:t xml:space="preserve">applying these techniques </w:t>
      </w:r>
      <w:r w:rsidR="00E823D6">
        <w:t>because</w:t>
      </w:r>
      <w:r w:rsidR="00F85B67">
        <w:t xml:space="preserve">, </w:t>
      </w:r>
      <w:r w:rsidR="00375621">
        <w:t xml:space="preserve">at least </w:t>
      </w:r>
      <w:r w:rsidR="00F85B67">
        <w:t>for the South African flora,</w:t>
      </w:r>
      <w:r w:rsidR="00E823D6">
        <w:t xml:space="preserve"> </w:t>
      </w:r>
      <w:r w:rsidR="002D35E5">
        <w:t xml:space="preserve">these methods severely distort known species richness (Cramer and </w:t>
      </w:r>
      <w:proofErr w:type="spellStart"/>
      <w:r w:rsidR="002D35E5">
        <w:t>Verboom</w:t>
      </w:r>
      <w:proofErr w:type="spellEnd"/>
      <w:r w:rsidR="00D6081B">
        <w:t>,</w:t>
      </w:r>
      <w:r w:rsidR="002D35E5">
        <w:t xml:space="preserve"> </w:t>
      </w:r>
      <w:commentRangeStart w:id="52"/>
      <w:r w:rsidR="002D35E5">
        <w:t>2017</w:t>
      </w:r>
      <w:commentRangeEnd w:id="52"/>
      <w:r w:rsidR="00AD171B">
        <w:rPr>
          <w:rStyle w:val="CommentReference"/>
          <w:rFonts w:ascii="Times New Roman" w:hAnsiTheme="minorHAnsi"/>
        </w:rPr>
        <w:commentReference w:id="52"/>
      </w:r>
      <w:r w:rsidR="002D35E5">
        <w:t>).</w:t>
      </w:r>
      <w:r w:rsidR="00375621">
        <w:t xml:space="preserve"> </w:t>
      </w:r>
      <w:r w:rsidR="002F32A1">
        <w:rPr>
          <w:rFonts w:ascii="Times New Roman" w:hAnsi="Times New Roman" w:cs="Times New Roman"/>
          <w:lang w:val="en-GB"/>
        </w:rPr>
        <w:t xml:space="preserve">Use of rarefaction may artificially inflate species richness in areas of low collection, where collections are low not because of </w:t>
      </w:r>
      <w:r w:rsidR="001576DD">
        <w:rPr>
          <w:rFonts w:ascii="Times New Roman" w:hAnsi="Times New Roman" w:cs="Times New Roman"/>
          <w:lang w:val="en-GB"/>
        </w:rPr>
        <w:t>inaccessibility</w:t>
      </w:r>
      <w:r w:rsidR="002F32A1">
        <w:rPr>
          <w:rFonts w:ascii="Times New Roman" w:hAnsi="Times New Roman" w:cs="Times New Roman"/>
          <w:lang w:val="en-GB"/>
        </w:rPr>
        <w:t xml:space="preserve">, but because species richness is low. </w:t>
      </w:r>
      <w:r w:rsidR="00375621">
        <w:t xml:space="preserve">Indeed, </w:t>
      </w:r>
      <w:r w:rsidR="002F32A1">
        <w:t xml:space="preserve">Cramer and </w:t>
      </w:r>
      <w:proofErr w:type="spellStart"/>
      <w:r w:rsidR="002F32A1">
        <w:t>Verboom</w:t>
      </w:r>
      <w:proofErr w:type="spellEnd"/>
      <w:r w:rsidR="002F32A1">
        <w:t xml:space="preserve"> (2017) </w:t>
      </w:r>
      <w:r w:rsidR="00375621">
        <w:t xml:space="preserve">found that the cumulative species </w:t>
      </w:r>
      <w:r w:rsidR="005F7C7C">
        <w:t xml:space="preserve">richness </w:t>
      </w:r>
      <w:r w:rsidR="00375621">
        <w:t xml:space="preserve">provided a reasonable estimate of the </w:t>
      </w:r>
      <w:r w:rsidR="005F7C7C">
        <w:t xml:space="preserve">biome-level </w:t>
      </w:r>
      <w:r w:rsidR="00375621">
        <w:t xml:space="preserve">floral richness, </w:t>
      </w:r>
      <w:r w:rsidR="002F32A1">
        <w:t xml:space="preserve">and </w:t>
      </w:r>
      <w:r w:rsidR="00375621">
        <w:t xml:space="preserve">that these numbers were consistent with results from an exhaustive </w:t>
      </w:r>
      <w:proofErr w:type="spellStart"/>
      <w:r w:rsidR="00375621">
        <w:t>atlassing</w:t>
      </w:r>
      <w:proofErr w:type="spellEnd"/>
      <w:r w:rsidR="00375621">
        <w:t xml:space="preserve"> project (i.e. </w:t>
      </w:r>
      <w:r w:rsidR="00375621" w:rsidRPr="003C5ACF">
        <w:rPr>
          <w:rFonts w:ascii="Times New Roman" w:hAnsi="Times New Roman" w:cs="Times New Roman"/>
          <w:lang w:val="en-GB"/>
        </w:rPr>
        <w:t>Protea Atlas</w:t>
      </w:r>
      <w:r w:rsidR="00375621">
        <w:rPr>
          <w:rFonts w:ascii="Times New Roman" w:hAnsi="Times New Roman" w:cs="Times New Roman"/>
          <w:lang w:val="en-GB"/>
        </w:rPr>
        <w:t xml:space="preserve">; </w:t>
      </w:r>
      <w:proofErr w:type="spellStart"/>
      <w:r w:rsidR="00375621" w:rsidRPr="003C5ACF">
        <w:rPr>
          <w:rFonts w:ascii="Times New Roman" w:hAnsi="Times New Roman" w:cs="Times New Roman"/>
          <w:lang w:val="en-GB"/>
        </w:rPr>
        <w:t>Rebelo</w:t>
      </w:r>
      <w:proofErr w:type="spellEnd"/>
      <w:r w:rsidR="00375621" w:rsidRPr="003C5ACF">
        <w:rPr>
          <w:rFonts w:ascii="Times New Roman" w:hAnsi="Times New Roman" w:cs="Times New Roman"/>
          <w:lang w:val="en-GB"/>
        </w:rPr>
        <w:t>, 200</w:t>
      </w:r>
      <w:r w:rsidR="00375621">
        <w:rPr>
          <w:rFonts w:ascii="Times New Roman" w:hAnsi="Times New Roman" w:cs="Times New Roman"/>
          <w:lang w:val="en-GB"/>
        </w:rPr>
        <w:t>1</w:t>
      </w:r>
      <w:r w:rsidR="00375621" w:rsidRPr="003C5ACF">
        <w:rPr>
          <w:rFonts w:ascii="Times New Roman" w:hAnsi="Times New Roman" w:cs="Times New Roman"/>
          <w:lang w:val="en-GB"/>
        </w:rPr>
        <w:t>)</w:t>
      </w:r>
      <w:r w:rsidR="002F32A1">
        <w:rPr>
          <w:rFonts w:ascii="Times New Roman" w:hAnsi="Times New Roman" w:cs="Times New Roman"/>
          <w:lang w:val="en-GB"/>
        </w:rPr>
        <w:t xml:space="preserve"> with low collecting bias (</w:t>
      </w:r>
      <w:proofErr w:type="spellStart"/>
      <w:r w:rsidR="002F32A1">
        <w:rPr>
          <w:rFonts w:ascii="Times New Roman" w:hAnsi="Times New Roman" w:cs="Times New Roman"/>
          <w:lang w:val="en-GB"/>
        </w:rPr>
        <w:t>Merow</w:t>
      </w:r>
      <w:proofErr w:type="spellEnd"/>
      <w:r w:rsidR="002F32A1">
        <w:rPr>
          <w:rFonts w:ascii="Times New Roman" w:hAnsi="Times New Roman" w:cs="Times New Roman"/>
          <w:lang w:val="en-GB"/>
        </w:rPr>
        <w:t xml:space="preserve"> et al 2013). </w:t>
      </w:r>
    </w:p>
    <w:p w14:paraId="73FD09B2" w14:textId="115A9687" w:rsidR="005C0E41"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species richness-heterogeneity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r w:rsidR="007E4A90">
        <w:t>W</w:t>
      </w:r>
      <w:r w:rsidR="002B4C08">
        <w:t>e suspect</w:t>
      </w:r>
      <w:r w:rsidR="007E4A90">
        <w:t xml:space="preserve">, for example, </w:t>
      </w:r>
      <w:r w:rsidR="002B4C08">
        <w:t>that the exceptional species richness of the Perth QDS</w:t>
      </w:r>
      <w:r w:rsidR="007E4A90">
        <w:t xml:space="preserve">/HDS </w:t>
      </w:r>
      <w:r w:rsidR="002B4C08">
        <w:t xml:space="preserve">reported in this study partly reflects the introduction of </w:t>
      </w:r>
      <w:r w:rsidR="00123B47">
        <w:t xml:space="preserve">plants from elsewhere in </w:t>
      </w:r>
      <w:r w:rsidR="007E4A90">
        <w:t>the SWAFR</w:t>
      </w:r>
      <w:r w:rsidR="00123B47">
        <w:t xml:space="preserve"> into the </w:t>
      </w:r>
      <w:r w:rsidR="00767DB5">
        <w:t>Greater Perth metropolitan area</w:t>
      </w:r>
      <w:r w:rsidR="00123B47">
        <w:t xml:space="preserve">. </w:t>
      </w:r>
      <w:r w:rsidR="008A6F1B">
        <w:t>But, beyond such artefacts</w:t>
      </w:r>
      <w:r w:rsidR="00123B47">
        <w:t>, species richness</w:t>
      </w:r>
      <w:r w:rsidR="00B053CB">
        <w:t xml:space="preserve"> in </w:t>
      </w:r>
      <w:r w:rsidR="000C16A6">
        <w:t xml:space="preserve">both </w:t>
      </w:r>
      <w:r w:rsidR="00B053CB">
        <w:t xml:space="preserve">the </w:t>
      </w:r>
      <w:r w:rsidR="00E41E17">
        <w:t>GCFR</w:t>
      </w:r>
      <w:r w:rsidR="0092446E">
        <w:t xml:space="preserve"> and SWAFR</w:t>
      </w:r>
      <w:r w:rsidR="00422E7C">
        <w:t xml:space="preserve"> </w:t>
      </w:r>
      <w:r w:rsidR="005C5C96">
        <w:t xml:space="preserve">is often concentrated in </w:t>
      </w:r>
      <w:r w:rsidR="00AF591A">
        <w:t>hotspots</w:t>
      </w:r>
      <w:r w:rsidR="0092446E">
        <w:t xml:space="preserve"> (cf. Oliver et al. 1983; </w:t>
      </w:r>
      <w:proofErr w:type="spellStart"/>
      <w:r w:rsidR="0092446E">
        <w:t>Gioia</w:t>
      </w:r>
      <w:proofErr w:type="spellEnd"/>
      <w:r w:rsidR="0092446E">
        <w:t xml:space="preserve"> and Hopper 2017) </w:t>
      </w:r>
      <w:r w:rsidR="005C5C96">
        <w:t xml:space="preserve">whose exceptional richness may be a consequence of </w:t>
      </w:r>
      <w:r w:rsidR="00B35FF5">
        <w:t>their long-term climatic and/or hydrological stability</w:t>
      </w:r>
      <w:r w:rsidR="0092446E">
        <w:t xml:space="preserve">. </w:t>
      </w:r>
      <w:r w:rsidR="00422E7C">
        <w:t xml:space="preserve">In the Cape Floristic Region (CFR; </w:t>
      </w:r>
      <w:proofErr w:type="spellStart"/>
      <w:r w:rsidR="00422E7C">
        <w:rPr>
          <w:i/>
        </w:rPr>
        <w:t>sensu</w:t>
      </w:r>
      <w:proofErr w:type="spellEnd"/>
      <w:r w:rsidR="00422E7C">
        <w:t xml:space="preserve"> Goldblatt 1978), for example,</w:t>
      </w:r>
      <w:r w:rsidR="00EC2B93">
        <w:t xml:space="preserve"> </w:t>
      </w:r>
      <w:r w:rsidR="00654E88">
        <w:t>high</w:t>
      </w:r>
      <w:r w:rsidR="00EC2B93">
        <w:t>er</w:t>
      </w:r>
      <w:r w:rsidR="00422E7C">
        <w:t xml:space="preserve"> species richness </w:t>
      </w:r>
      <w:r w:rsidR="00EC2B93">
        <w:t>in</w:t>
      </w:r>
      <w:r w:rsidR="00422E7C">
        <w:t xml:space="preserve"> the west </w:t>
      </w:r>
      <w:r w:rsidR="00C5195B">
        <w:t xml:space="preserve">has been attributed to </w:t>
      </w:r>
      <w:r w:rsidR="009959BB">
        <w:t>reduced rates of extinction</w:t>
      </w:r>
      <w:r w:rsidR="00340481">
        <w:t>,</w:t>
      </w:r>
      <w:r w:rsidR="009959BB">
        <w:t xml:space="preserve"> associated with greater climatic stability through the Pleistocene</w:t>
      </w:r>
      <w:r w:rsidR="00C5195B">
        <w:t xml:space="preserve"> (Cowling and Lombard 2002; Cowling et al. 2017)</w:t>
      </w:r>
      <w:r w:rsidR="00422E7C">
        <w:t>.</w:t>
      </w:r>
      <w:r w:rsidR="00B876DB">
        <w:t xml:space="preserve"> </w:t>
      </w:r>
      <w:r w:rsidR="005C5C96">
        <w:t>In this study, w</w:t>
      </w:r>
      <w:r w:rsidR="003C6BD9">
        <w:t xml:space="preserve">e used the residuals </w:t>
      </w:r>
      <w:r w:rsidR="00FB1888">
        <w:t>derived from</w:t>
      </w:r>
      <w:r w:rsidR="003C6BD9">
        <w:t xml:space="preserve"> PC1-based ANCOVA and multiple regression models to identify </w:t>
      </w:r>
      <w:r w:rsidR="005C5C96">
        <w:t>hotspots</w:t>
      </w:r>
      <w:r w:rsidR="00E17461">
        <w:t xml:space="preserve"> </w:t>
      </w:r>
      <w:r w:rsidR="003C6BD9">
        <w:t>whose species richness exceeds that expected on the basis of their underlying heterogeneities.</w:t>
      </w:r>
      <w:r w:rsidR="004B237D">
        <w:t xml:space="preserve"> </w:t>
      </w:r>
      <w:r w:rsidR="002E03CA">
        <w:t xml:space="preserve">At least some of the hotspots </w:t>
      </w:r>
      <w:r w:rsidR="00ED4D30">
        <w:t>thus</w:t>
      </w:r>
      <w:r w:rsidR="00AE7946">
        <w:t xml:space="preserve"> </w:t>
      </w:r>
      <w:r w:rsidR="002E03CA">
        <w:t xml:space="preserve">identified correspond to </w:t>
      </w:r>
      <w:proofErr w:type="spellStart"/>
      <w:r w:rsidR="002E03CA">
        <w:t>centres</w:t>
      </w:r>
      <w:proofErr w:type="spellEnd"/>
      <w:r w:rsidR="002E03CA">
        <w:t xml:space="preserve"> of long</w:t>
      </w:r>
      <w:r w:rsidR="00F600D2">
        <w:t>-</w:t>
      </w:r>
      <w:r w:rsidR="002E03CA">
        <w:t>ter</w:t>
      </w:r>
      <w:r w:rsidR="00F600D2">
        <w:t xml:space="preserve">m environmental </w:t>
      </w:r>
      <w:r w:rsidR="00FB1888">
        <w:t>stability</w:t>
      </w:r>
      <w:r w:rsidR="00F600D2">
        <w:t xml:space="preserve">. In the GCFR, for example, the </w:t>
      </w:r>
      <w:r w:rsidR="00865292">
        <w:t>southwestern mountains (</w:t>
      </w:r>
      <w:proofErr w:type="spellStart"/>
      <w:r w:rsidR="00F600D2">
        <w:t>Kogelberg</w:t>
      </w:r>
      <w:proofErr w:type="spellEnd"/>
      <w:r w:rsidR="00D279AB">
        <w:t>-Hottentots Holland</w:t>
      </w:r>
      <w:r w:rsidR="00865292">
        <w:t>)</w:t>
      </w:r>
      <w:r w:rsidR="00F600D2">
        <w:t xml:space="preserve"> ha</w:t>
      </w:r>
      <w:r w:rsidR="00865292">
        <w:t>ve</w:t>
      </w:r>
      <w:r w:rsidR="00F600D2">
        <w:t xml:space="preserve"> been identified as a </w:t>
      </w:r>
      <w:r w:rsidR="00D279AB">
        <w:t>long-term climatic</w:t>
      </w:r>
      <w:r w:rsidR="005143E0">
        <w:t xml:space="preserve"> and hydrological</w:t>
      </w:r>
      <w:r w:rsidR="00F600D2">
        <w:t xml:space="preserve"> refugium</w:t>
      </w:r>
      <w:r w:rsidR="00D279AB">
        <w:t>, especially</w:t>
      </w:r>
      <w:r w:rsidR="00F600D2">
        <w:t xml:space="preserve"> for </w:t>
      </w:r>
      <w:r w:rsidR="00670FB5">
        <w:t>moisture-loving species</w:t>
      </w:r>
      <w:r w:rsidR="005143E0">
        <w:t xml:space="preserve"> which inhabit the numerous bogs and seeps found there</w:t>
      </w:r>
      <w:r w:rsidR="00670FB5">
        <w:t xml:space="preserve"> </w:t>
      </w:r>
      <w:r w:rsidR="00FB1888">
        <w:t>(</w:t>
      </w:r>
      <w:proofErr w:type="spellStart"/>
      <w:r w:rsidR="00D279AB">
        <w:t>Wuest</w:t>
      </w:r>
      <w:proofErr w:type="spellEnd"/>
      <w:r w:rsidR="00D279AB">
        <w:t xml:space="preserve"> et al. 2019; Linder 2019). Similarly, </w:t>
      </w:r>
      <w:r w:rsidR="008E7CC7">
        <w:t>pollen and midden-based isotope data provide evidence of relatively muted Pleistocene climate change</w:t>
      </w:r>
      <w:r w:rsidR="002B7852">
        <w:t xml:space="preserve"> in </w:t>
      </w:r>
      <w:r w:rsidR="008E7CC7">
        <w:t xml:space="preserve">the </w:t>
      </w:r>
      <w:r w:rsidR="00803F65">
        <w:t>Cederberg</w:t>
      </w:r>
      <w:r w:rsidR="008E7CC7">
        <w:t xml:space="preserve"> (Meadows and </w:t>
      </w:r>
      <w:proofErr w:type="spellStart"/>
      <w:r w:rsidR="008E7CC7">
        <w:t>Sugden</w:t>
      </w:r>
      <w:proofErr w:type="spellEnd"/>
      <w:r w:rsidR="008E7CC7">
        <w:t xml:space="preserve"> 1991, 1993; Meadows et al. 2010).</w:t>
      </w:r>
      <w:r w:rsidR="00B419FD">
        <w:t xml:space="preserve"> </w:t>
      </w:r>
      <w:r w:rsidR="00865292">
        <w:t xml:space="preserve">Although the biota of the SWAFR </w:t>
      </w:r>
      <w:r w:rsidR="005143E0">
        <w:t xml:space="preserve">also </w:t>
      </w:r>
      <w:r w:rsidR="00865292">
        <w:t>shows evidence of climatically-forced range contraction</w:t>
      </w:r>
      <w:r w:rsidR="00AA210A">
        <w:t xml:space="preserve"> in the Pleistocene</w:t>
      </w:r>
      <w:r w:rsidR="0084063D">
        <w:t xml:space="preserve"> (Byrne and Hines 2004; Byrne 2008)</w:t>
      </w:r>
      <w:r w:rsidR="00865292">
        <w:t xml:space="preserve">, the </w:t>
      </w:r>
      <w:r w:rsidR="0084063D">
        <w:t>exact posi</w:t>
      </w:r>
      <w:r w:rsidR="005143E0">
        <w:t xml:space="preserve">tion of putative refugia </w:t>
      </w:r>
      <w:r w:rsidR="00A44F62">
        <w:t xml:space="preserve">in the </w:t>
      </w:r>
      <w:r w:rsidR="00A44F62">
        <w:lastRenderedPageBreak/>
        <w:t xml:space="preserve">SWAFR </w:t>
      </w:r>
      <w:r w:rsidR="005143E0">
        <w:t>is somewhat un</w:t>
      </w:r>
      <w:r w:rsidR="0084063D">
        <w:t xml:space="preserve">clear. </w:t>
      </w:r>
      <w:r w:rsidR="0005522C">
        <w:t xml:space="preserve">Maps in Byrne (2008; Fig. 2), however, </w:t>
      </w:r>
      <w:r w:rsidR="00A44F62">
        <w:t>identify</w:t>
      </w:r>
      <w:r w:rsidR="0005522C">
        <w:t xml:space="preserve"> one </w:t>
      </w:r>
      <w:r w:rsidR="00AA210A">
        <w:t>refugium in the vicinity of Perth and a second in the vicinity of Fitzgerald River.</w:t>
      </w:r>
    </w:p>
    <w:p w14:paraId="1CF39377" w14:textId="4A61A21C"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 xml:space="preserve">persistence </w:t>
      </w:r>
      <w:r w:rsidR="00901D65">
        <w:t>(McLaughlin et al. (2017)</w:t>
      </w:r>
      <w:r w:rsidR="00024506">
        <w:t>, the</w:t>
      </w:r>
      <w:r w:rsidR="00F6046E">
        <w:t xml:space="preserve"> acc</w:t>
      </w:r>
      <w:r w:rsidR="00024506">
        <w:t xml:space="preserve">urate identification and effective protection </w:t>
      </w:r>
      <w:r w:rsidR="00F6046E">
        <w:t xml:space="preserve">of climatically- and/or hydrologically-stable hotspots </w:t>
      </w:r>
      <w:r w:rsidR="004D44BC">
        <w:t>must be</w:t>
      </w:r>
      <w:r>
        <w:t xml:space="preserve"> an important conservation objective</w:t>
      </w:r>
      <w:r w:rsidR="00273150">
        <w:t xml:space="preserve">, particularly in the </w:t>
      </w:r>
      <w:r w:rsidR="00B357CB">
        <w:t>face</w:t>
      </w:r>
      <w:r w:rsidR="00273150">
        <w:t xml:space="preserve"> of contemporary climatic deterioration. </w:t>
      </w:r>
      <w:r w:rsidR="007A4238">
        <w:t xml:space="preserve">In </w:t>
      </w:r>
      <w:r w:rsidR="006A1997">
        <w:t xml:space="preserve">the context of 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in fact attributable </w:t>
      </w:r>
      <w:r w:rsidR="007C1274">
        <w:t>to</w:t>
      </w:r>
      <w:r w:rsidR="006A1997">
        <w:t xml:space="preserve"> a broad longitudinal effect, as </w:t>
      </w:r>
      <w:r w:rsidR="008C42F3">
        <w:t>impli</w:t>
      </w:r>
      <w:r w:rsidR="006A1997">
        <w:t xml:space="preserve">ed by some authors (Cowling and Lombard 2002; </w:t>
      </w:r>
      <w:proofErr w:type="spellStart"/>
      <w:r w:rsidR="006A1997">
        <w:t>Verboom</w:t>
      </w:r>
      <w:proofErr w:type="spellEnd"/>
      <w:r w:rsidR="006A1997">
        <w:t xml:space="preserve"> et al. 2014; Cowling et al. 2017), or whether it is </w:t>
      </w:r>
      <w:r w:rsidR="00E63877">
        <w:t>tied</w:t>
      </w:r>
      <w:r w:rsidR="00017D5E">
        <w:t xml:space="preserve"> to the </w:t>
      </w:r>
      <w:r w:rsidR="007C1274">
        <w:t>presence of</w:t>
      </w:r>
      <w:r w:rsidR="006A1997">
        <w:t xml:space="preserve"> hotspots </w:t>
      </w:r>
      <w:r w:rsidR="007C1274">
        <w:t xml:space="preserve">whose exceptional richness is attributable to </w:t>
      </w:r>
      <w:r w:rsidR="008C42F3">
        <w:t>effects that are more local in nature</w:t>
      </w:r>
      <w:r w:rsidR="007C1274">
        <w:t>.</w:t>
      </w:r>
      <w:r w:rsidR="003C7229">
        <w:t xml:space="preserve"> </w:t>
      </w:r>
      <w:r w:rsidR="00E63877">
        <w:t>O</w:t>
      </w:r>
      <w:r w:rsidR="003C7229">
        <w:t>ur data</w:t>
      </w:r>
      <w:r w:rsidR="0020179E">
        <w:t xml:space="preserve">, perhaps, </w:t>
      </w:r>
      <w:r w:rsidR="00E63877">
        <w:t>point</w:t>
      </w:r>
      <w:r w:rsidR="0020179E">
        <w:t xml:space="preserve"> </w:t>
      </w:r>
      <w:r w:rsidR="003C7229">
        <w:t xml:space="preserve">towards the second interpretation, with the </w:t>
      </w:r>
      <w:proofErr w:type="spellStart"/>
      <w:r w:rsidR="003C7229">
        <w:t>Kogelberg</w:t>
      </w:r>
      <w:proofErr w:type="spellEnd"/>
      <w:r w:rsidR="003C7229">
        <w:t>-Hottentots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(Linder 2019), </w:t>
      </w:r>
      <w:r w:rsidR="003E5F41">
        <w:t>recent proposals to abstract water from the Table Mountain Group aquifer which feeds these bogs, present a serious threat to the continued persistence of Cape floristic diversity, particularly since the hydrological consequences of such abstraction remain poorly understood</w:t>
      </w:r>
      <w:r w:rsidR="00C250BB">
        <w:t xml:space="preserve"> (</w:t>
      </w:r>
      <w:proofErr w:type="spellStart"/>
      <w:r w:rsidR="00C250BB">
        <w:t>Slingsby</w:t>
      </w:r>
      <w:proofErr w:type="spellEnd"/>
      <w:r w:rsidR="00C250BB">
        <w:t xml:space="preserve"> et al. </w:t>
      </w:r>
      <w:commentRangeStart w:id="53"/>
      <w:r w:rsidR="00C250BB">
        <w:t>2018</w:t>
      </w:r>
      <w:commentRangeEnd w:id="53"/>
      <w:r w:rsidR="00D72F4D">
        <w:rPr>
          <w:rStyle w:val="CommentReference"/>
          <w:rFonts w:ascii="Times New Roman" w:hAnsiTheme="minorHAnsi"/>
        </w:rPr>
        <w:commentReference w:id="53"/>
      </w:r>
      <w:r w:rsidR="00C250BB">
        <w:t>)</w:t>
      </w:r>
      <w:r w:rsidR="003E5F41">
        <w:t>.</w:t>
      </w:r>
      <w:r w:rsidR="00461C06">
        <w:t xml:space="preserve"> The long-term integrity of groundwater-dependent terrestrial vegetation is similarly threatened by </w:t>
      </w:r>
      <w:r w:rsidR="00D51B17">
        <w:t>groundwater abstraction in the Perth area of the SWAFR (</w:t>
      </w:r>
      <w:proofErr w:type="spellStart"/>
      <w:r w:rsidR="00D51B17">
        <w:t>Froend</w:t>
      </w:r>
      <w:proofErr w:type="spellEnd"/>
      <w:r w:rsidR="00D51B17">
        <w:t xml:space="preserve"> and Sommer 2010; Barron et al. 2014).</w:t>
      </w:r>
    </w:p>
    <w:p w14:paraId="73EE69CB" w14:textId="16B0AF23" w:rsidR="004B3DF5" w:rsidRPr="008D3C44" w:rsidRDefault="002448E4" w:rsidP="007A506C">
      <w:pPr>
        <w:pStyle w:val="CommentText"/>
        <w:spacing w:before="180" w:after="180"/>
        <w:rPr>
          <w:sz w:val="24"/>
        </w:rPr>
      </w:pPr>
      <w:r>
        <w:rPr>
          <w:sz w:val="24"/>
          <w:szCs w:val="24"/>
        </w:rPr>
        <w:t xml:space="preserve">Although the </w:t>
      </w:r>
      <w:r w:rsidR="00AB7C3A">
        <w:rPr>
          <w:sz w:val="24"/>
          <w:szCs w:val="24"/>
        </w:rPr>
        <w:t xml:space="preserve">plant species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anomalous (</w:t>
      </w:r>
      <w:proofErr w:type="spellStart"/>
      <w:r w:rsidR="00AB7C3A">
        <w:rPr>
          <w:sz w:val="24"/>
          <w:szCs w:val="24"/>
        </w:rPr>
        <w:t>Kreft</w:t>
      </w:r>
      <w:proofErr w:type="spellEnd"/>
      <w:r w:rsidR="00AB7C3A">
        <w:rPr>
          <w:sz w:val="24"/>
          <w:szCs w:val="24"/>
        </w:rPr>
        <w:t xml:space="preserve"> and </w:t>
      </w:r>
      <w:proofErr w:type="spellStart"/>
      <w:r w:rsidR="00AB7C3A">
        <w:rPr>
          <w:sz w:val="24"/>
          <w:szCs w:val="24"/>
        </w:rPr>
        <w:t>Jetz</w:t>
      </w:r>
      <w:proofErr w:type="spellEnd"/>
      <w:r w:rsidR="00AB7C3A">
        <w:rPr>
          <w:sz w:val="24"/>
          <w:szCs w:val="24"/>
        </w:rPr>
        <w:t xml:space="preserve"> 2008), our data </w:t>
      </w:r>
      <w:r w:rsidR="0083425C">
        <w:rPr>
          <w:sz w:val="24"/>
          <w:szCs w:val="24"/>
        </w:rPr>
        <w:t>reveal</w:t>
      </w:r>
      <w:r w:rsidR="00AB7C3A">
        <w:rPr>
          <w:sz w:val="24"/>
          <w:szCs w:val="24"/>
        </w:rPr>
        <w:t xml:space="preserve"> that </w:t>
      </w:r>
      <w:r w:rsidR="005C122F">
        <w:rPr>
          <w:sz w:val="24"/>
          <w:szCs w:val="24"/>
        </w:rPr>
        <w:t>species</w:t>
      </w:r>
      <w:r w:rsidR="00AB7C3A">
        <w:rPr>
          <w:sz w:val="24"/>
          <w:szCs w:val="24"/>
        </w:rPr>
        <w:t xml:space="preserve">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the latter promoting diversification and facilitating species coexistence</w:t>
      </w:r>
      <w:r w:rsidR="005C122F">
        <w:rPr>
          <w:sz w:val="24"/>
          <w:szCs w:val="24"/>
        </w:rPr>
        <w:t xml:space="preserve">. </w:t>
      </w:r>
      <w:r w:rsidR="00FC3AFE">
        <w:rPr>
          <w:sz w:val="24"/>
          <w:szCs w:val="24"/>
        </w:rPr>
        <w:t xml:space="preserve">This corroborates the suggestion </w:t>
      </w:r>
      <w:r w:rsidR="00711CBD">
        <w:rPr>
          <w:sz w:val="24"/>
          <w:szCs w:val="24"/>
        </w:rPr>
        <w:t>(</w:t>
      </w:r>
      <w:r w:rsidR="005C122F">
        <w:rPr>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is a product of</w:t>
      </w:r>
      <w:r w:rsidR="005C122F">
        <w:rPr>
          <w:sz w:val="24"/>
          <w:szCs w:val="24"/>
        </w:rPr>
        <w:t xml:space="preserve"> </w:t>
      </w:r>
      <w:r w:rsidR="00FD350F">
        <w:rPr>
          <w:sz w:val="24"/>
          <w:szCs w:val="24"/>
        </w:rPr>
        <w:t>its</w:t>
      </w:r>
      <w:r w:rsidR="005C122F">
        <w:rPr>
          <w:sz w:val="24"/>
          <w:szCs w:val="24"/>
        </w:rPr>
        <w:t xml:space="preserve"> greater </w:t>
      </w:r>
      <w:r w:rsidR="006401C7">
        <w:rPr>
          <w:sz w:val="24"/>
          <w:szCs w:val="24"/>
        </w:rPr>
        <w:t xml:space="preserve">environmental </w:t>
      </w:r>
      <w:r w:rsidR="005C122F">
        <w:rPr>
          <w:sz w:val="24"/>
          <w:szCs w:val="24"/>
        </w:rPr>
        <w:t>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t xml:space="preserve">heterogeneity </w:t>
      </w:r>
      <w:r w:rsidR="00711CBD">
        <w:rPr>
          <w:sz w:val="24"/>
          <w:szCs w:val="24"/>
        </w:rPr>
        <w:t>invariably</w:t>
      </w:r>
      <w:r w:rsidR="00FC3AFE">
        <w:rPr>
          <w:sz w:val="24"/>
          <w:szCs w:val="24"/>
        </w:rPr>
        <w:t xml:space="preserve"> </w:t>
      </w:r>
      <w:r w:rsidR="0046296E">
        <w:rPr>
          <w:sz w:val="24"/>
          <w:szCs w:val="24"/>
        </w:rPr>
        <w:t xml:space="preserve">is </w:t>
      </w:r>
      <w:r w:rsidR="00FC3AFE">
        <w:rPr>
          <w:sz w:val="24"/>
          <w:szCs w:val="24"/>
        </w:rPr>
        <w:t>spatial</w:t>
      </w:r>
      <w:r w:rsidR="001A0AB2">
        <w:rPr>
          <w:sz w:val="24"/>
          <w:szCs w:val="24"/>
        </w:rPr>
        <w:t>ly-configured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BE1C44">
        <w:rPr>
          <w:sz w:val="24"/>
          <w:szCs w:val="24"/>
        </w:rPr>
        <w:t>Thus, a</w:t>
      </w:r>
      <w:r w:rsidR="00FC3AFE">
        <w:rPr>
          <w:sz w:val="24"/>
          <w:szCs w:val="24"/>
        </w:rPr>
        <w:t xml:space="preserve">lthough the species richness-environmental heterogeneity relationship is punctuated by the existence of local hotspots, whose exceptional richness may be a consequence of historical factors and which may be important for species persistence in the face of climate change, </w:t>
      </w:r>
      <w:r w:rsidR="00BE1C44">
        <w:rPr>
          <w:sz w:val="24"/>
          <w:szCs w:val="24"/>
        </w:rPr>
        <w:t xml:space="preserve">we find evidence for a unified conceptual framework for </w:t>
      </w:r>
      <w:r w:rsidR="00317DAF" w:rsidRPr="00E97920">
        <w:rPr>
          <w:sz w:val="24"/>
        </w:rPr>
        <w:t xml:space="preserve">thinking about the species richness </w:t>
      </w:r>
      <w:r w:rsidR="00BB2E13">
        <w:rPr>
          <w:sz w:val="24"/>
        </w:rPr>
        <w:t>in</w:t>
      </w:r>
      <w:r w:rsidR="00317DAF" w:rsidRPr="00E97920">
        <w:rPr>
          <w:sz w:val="24"/>
        </w:rPr>
        <w:t xml:space="preserve"> the two regions.</w:t>
      </w:r>
      <w:r w:rsidR="004B3DF5">
        <w:br w:type="page"/>
      </w:r>
    </w:p>
    <w:p w14:paraId="18D025C9" w14:textId="77777777" w:rsidR="00DD7CD4" w:rsidRDefault="00D04776">
      <w:pPr>
        <w:pStyle w:val="Heading1"/>
      </w:pPr>
      <w:r w:rsidRPr="008A4E97">
        <w:lastRenderedPageBreak/>
        <w:t>Tables</w:t>
      </w:r>
      <w:bookmarkEnd w:id="48"/>
    </w:p>
    <w:p w14:paraId="71033F34" w14:textId="08072B34" w:rsidR="00146F57" w:rsidRDefault="00D04776" w:rsidP="00FA753D">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134"/>
        <w:gridCol w:w="2268"/>
        <w:gridCol w:w="1418"/>
        <w:gridCol w:w="712"/>
        <w:gridCol w:w="705"/>
        <w:gridCol w:w="1276"/>
        <w:gridCol w:w="851"/>
        <w:gridCol w:w="1278"/>
        <w:gridCol w:w="701"/>
      </w:tblGrid>
      <w:tr w:rsidR="00750943" w:rsidRPr="00840830" w14:paraId="68C1A1ED" w14:textId="426C9F16" w:rsidTr="009C10BD">
        <w:trPr>
          <w:trHeight w:val="227"/>
        </w:trPr>
        <w:tc>
          <w:tcPr>
            <w:tcW w:w="1134" w:type="dxa"/>
            <w:tcBorders>
              <w:top w:val="single" w:sz="4" w:space="0" w:color="auto"/>
              <w:bottom w:val="single" w:sz="2" w:space="0" w:color="auto"/>
            </w:tcBorders>
            <w:vAlign w:val="bottom"/>
          </w:tcPr>
          <w:p w14:paraId="62EBEFAF" w14:textId="77777777"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Response</w:t>
            </w:r>
          </w:p>
        </w:tc>
        <w:tc>
          <w:tcPr>
            <w:tcW w:w="2268" w:type="dxa"/>
            <w:tcBorders>
              <w:top w:val="single" w:sz="4" w:space="0" w:color="auto"/>
              <w:bottom w:val="single" w:sz="2" w:space="0" w:color="auto"/>
            </w:tcBorders>
            <w:vAlign w:val="bottom"/>
          </w:tcPr>
          <w:p w14:paraId="1057092F" w14:textId="77777777"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Model type</w:t>
            </w:r>
          </w:p>
        </w:tc>
        <w:tc>
          <w:tcPr>
            <w:tcW w:w="1418" w:type="dxa"/>
            <w:tcBorders>
              <w:top w:val="single" w:sz="4" w:space="0" w:color="auto"/>
              <w:bottom w:val="single" w:sz="2" w:space="0" w:color="auto"/>
            </w:tcBorders>
            <w:vAlign w:val="bottom"/>
          </w:tcPr>
          <w:p w14:paraId="7608062B" w14:textId="23B856CA"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Predictor</w:t>
            </w:r>
          </w:p>
        </w:tc>
        <w:tc>
          <w:tcPr>
            <w:tcW w:w="1417" w:type="dxa"/>
            <w:gridSpan w:val="2"/>
            <w:tcBorders>
              <w:top w:val="single" w:sz="4" w:space="0" w:color="auto"/>
              <w:bottom w:val="single" w:sz="2" w:space="0" w:color="auto"/>
            </w:tcBorders>
            <w:vAlign w:val="bottom"/>
          </w:tcPr>
          <w:p w14:paraId="6791E9D4" w14:textId="2864D8E1"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Main effect</w:t>
            </w:r>
          </w:p>
        </w:tc>
        <w:tc>
          <w:tcPr>
            <w:tcW w:w="2127" w:type="dxa"/>
            <w:gridSpan w:val="2"/>
            <w:tcBorders>
              <w:top w:val="single" w:sz="4" w:space="0" w:color="auto"/>
              <w:bottom w:val="single" w:sz="2" w:space="0" w:color="auto"/>
            </w:tcBorders>
            <w:vAlign w:val="bottom"/>
          </w:tcPr>
          <w:p w14:paraId="7CB0CB9D" w14:textId="6549483C"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SWAFR effect</w:t>
            </w:r>
          </w:p>
        </w:tc>
        <w:tc>
          <w:tcPr>
            <w:tcW w:w="1979" w:type="dxa"/>
            <w:gridSpan w:val="2"/>
            <w:tcBorders>
              <w:top w:val="single" w:sz="4" w:space="0" w:color="auto"/>
              <w:bottom w:val="single" w:sz="2" w:space="0" w:color="auto"/>
            </w:tcBorders>
          </w:tcPr>
          <w:p w14:paraId="5C1FEF33" w14:textId="0F98C276"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SWAFR interaction</w:t>
            </w:r>
          </w:p>
        </w:tc>
      </w:tr>
      <w:tr w:rsidR="00D51F88" w:rsidRPr="00840830" w14:paraId="5E236C3F" w14:textId="50285A0F" w:rsidTr="009C10BD">
        <w:trPr>
          <w:trHeight w:val="227"/>
        </w:trPr>
        <w:tc>
          <w:tcPr>
            <w:tcW w:w="1134" w:type="dxa"/>
            <w:tcBorders>
              <w:top w:val="single" w:sz="4" w:space="0" w:color="auto"/>
            </w:tcBorders>
          </w:tcPr>
          <w:p w14:paraId="7FDF71C7" w14:textId="65BB2C33"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(a)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QDS</w:t>
            </w:r>
          </w:p>
        </w:tc>
        <w:tc>
          <w:tcPr>
            <w:tcW w:w="2268" w:type="dxa"/>
            <w:tcBorders>
              <w:top w:val="single" w:sz="4" w:space="0" w:color="auto"/>
            </w:tcBorders>
          </w:tcPr>
          <w:p w14:paraId="3A1CD0A9" w14:textId="5340538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Main effect </w:t>
            </w:r>
            <w:r w:rsidR="00A46338" w:rsidRPr="00840830">
              <w:rPr>
                <w:rFonts w:cstheme="majorBidi"/>
                <w:sz w:val="22"/>
                <w:szCs w:val="22"/>
              </w:rPr>
              <w:t>×</w:t>
            </w:r>
            <w:r w:rsidRPr="00840830">
              <w:rPr>
                <w:sz w:val="22"/>
                <w:szCs w:val="22"/>
              </w:rPr>
              <w:t xml:space="preserve"> region</w:t>
            </w:r>
          </w:p>
        </w:tc>
        <w:tc>
          <w:tcPr>
            <w:tcW w:w="1418" w:type="dxa"/>
            <w:tcBorders>
              <w:top w:val="single" w:sz="4" w:space="0" w:color="auto"/>
            </w:tcBorders>
          </w:tcPr>
          <w:p w14:paraId="7E7DB67D" w14:textId="2547FEF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Borders>
              <w:top w:val="single" w:sz="4" w:space="0" w:color="auto"/>
            </w:tcBorders>
          </w:tcPr>
          <w:p w14:paraId="37CEC41C" w14:textId="79DF839F"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192.1</w:t>
            </w:r>
          </w:p>
        </w:tc>
        <w:tc>
          <w:tcPr>
            <w:tcW w:w="705" w:type="dxa"/>
            <w:tcBorders>
              <w:top w:val="single" w:sz="4" w:space="0" w:color="auto"/>
            </w:tcBorders>
          </w:tcPr>
          <w:p w14:paraId="124632D4" w14:textId="61F0FA12"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4" w:space="0" w:color="auto"/>
            </w:tcBorders>
          </w:tcPr>
          <w:p w14:paraId="2A189B86" w14:textId="061D8C8F"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66.4</w:t>
            </w:r>
          </w:p>
        </w:tc>
        <w:tc>
          <w:tcPr>
            <w:tcW w:w="851" w:type="dxa"/>
            <w:tcBorders>
              <w:top w:val="single" w:sz="4" w:space="0" w:color="auto"/>
            </w:tcBorders>
          </w:tcPr>
          <w:p w14:paraId="0D13397A" w14:textId="479067F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single" w:sz="4" w:space="0" w:color="auto"/>
            </w:tcBorders>
          </w:tcPr>
          <w:p w14:paraId="1933196D" w14:textId="36A6012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-74.0</w:t>
            </w:r>
          </w:p>
        </w:tc>
        <w:tc>
          <w:tcPr>
            <w:tcW w:w="701" w:type="dxa"/>
            <w:tcBorders>
              <w:top w:val="single" w:sz="4" w:space="0" w:color="auto"/>
            </w:tcBorders>
          </w:tcPr>
          <w:p w14:paraId="3713C5D2" w14:textId="312B060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7933C511" w14:textId="0C98D100" w:rsidTr="009C10BD">
        <w:trPr>
          <w:trHeight w:val="227"/>
        </w:trPr>
        <w:tc>
          <w:tcPr>
            <w:tcW w:w="1134" w:type="dxa"/>
          </w:tcPr>
          <w:p w14:paraId="0FFC9D5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692D782F" w14:textId="5A93554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106891E5" w14:textId="32AC1D22"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16B1CA79" w14:textId="33E57F8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137.5</w:t>
            </w:r>
          </w:p>
        </w:tc>
        <w:tc>
          <w:tcPr>
            <w:tcW w:w="705" w:type="dxa"/>
          </w:tcPr>
          <w:p w14:paraId="3DB133FD" w14:textId="0FDBAB94"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22434F2" w14:textId="065966B0"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-42.1</w:t>
            </w:r>
          </w:p>
        </w:tc>
        <w:tc>
          <w:tcPr>
            <w:tcW w:w="851" w:type="dxa"/>
          </w:tcPr>
          <w:p w14:paraId="520FFF0E" w14:textId="6335A438"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6D0CD601" w14:textId="2EC513DA"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-89.4</w:t>
            </w:r>
          </w:p>
        </w:tc>
        <w:tc>
          <w:tcPr>
            <w:tcW w:w="701" w:type="dxa"/>
          </w:tcPr>
          <w:p w14:paraId="5D9699F5" w14:textId="77C8FD5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791B7B7E" w14:textId="759D253E" w:rsidTr="009C10BD">
        <w:trPr>
          <w:trHeight w:val="227"/>
        </w:trPr>
        <w:tc>
          <w:tcPr>
            <w:tcW w:w="1134" w:type="dxa"/>
          </w:tcPr>
          <w:p w14:paraId="521C1AF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1B43E820" w14:textId="1E144F7B"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172CDE68" w14:textId="243CFA5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2F5CF9E6" w14:textId="423DF67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113.9</w:t>
            </w:r>
          </w:p>
        </w:tc>
        <w:tc>
          <w:tcPr>
            <w:tcW w:w="705" w:type="dxa"/>
          </w:tcPr>
          <w:p w14:paraId="1CEBB649" w14:textId="5C9578D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19BCDE2C" w14:textId="5E246E38"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-4.2</w:t>
            </w:r>
          </w:p>
        </w:tc>
        <w:tc>
          <w:tcPr>
            <w:tcW w:w="851" w:type="dxa"/>
          </w:tcPr>
          <w:p w14:paraId="7DA3F4AE" w14:textId="1CCCF96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2BF8188" w14:textId="36A54F6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-72.4</w:t>
            </w:r>
          </w:p>
        </w:tc>
        <w:tc>
          <w:tcPr>
            <w:tcW w:w="701" w:type="dxa"/>
          </w:tcPr>
          <w:p w14:paraId="28AAA22D" w14:textId="4D7F04E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3395C1A3" w14:textId="351C6C7E" w:rsidTr="009C10BD">
        <w:trPr>
          <w:trHeight w:val="227"/>
        </w:trPr>
        <w:tc>
          <w:tcPr>
            <w:tcW w:w="1134" w:type="dxa"/>
          </w:tcPr>
          <w:p w14:paraId="2E5D80C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5422B480" w14:textId="1CEB0AF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Borders>
              <w:bottom w:val="dashSmallGap" w:sz="4" w:space="0" w:color="auto"/>
            </w:tcBorders>
          </w:tcPr>
          <w:p w14:paraId="52737AA6" w14:textId="1EB3FA3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33351E94" w14:textId="20A43517"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79.4</w:t>
            </w:r>
          </w:p>
        </w:tc>
        <w:tc>
          <w:tcPr>
            <w:tcW w:w="705" w:type="dxa"/>
            <w:tcBorders>
              <w:bottom w:val="dashSmallGap" w:sz="4" w:space="0" w:color="auto"/>
            </w:tcBorders>
          </w:tcPr>
          <w:p w14:paraId="17E2D94D" w14:textId="4D1B06C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74B72806" w14:textId="5695876D"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89.6</w:t>
            </w:r>
          </w:p>
        </w:tc>
        <w:tc>
          <w:tcPr>
            <w:tcW w:w="851" w:type="dxa"/>
            <w:tcBorders>
              <w:bottom w:val="dashSmallGap" w:sz="4" w:space="0" w:color="auto"/>
            </w:tcBorders>
          </w:tcPr>
          <w:p w14:paraId="31877234" w14:textId="5AC8354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dashSmallGap" w:sz="4" w:space="0" w:color="auto"/>
            </w:tcBorders>
          </w:tcPr>
          <w:p w14:paraId="4C9E306A" w14:textId="417932CB"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-24.6</w:t>
            </w:r>
          </w:p>
        </w:tc>
        <w:tc>
          <w:tcPr>
            <w:tcW w:w="701" w:type="dxa"/>
            <w:tcBorders>
              <w:bottom w:val="dashSmallGap" w:sz="4" w:space="0" w:color="auto"/>
            </w:tcBorders>
          </w:tcPr>
          <w:p w14:paraId="1E7AF6F1" w14:textId="3ACBF80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750943" w:rsidRPr="00840830" w14:paraId="4503C606" w14:textId="6E6034DE" w:rsidTr="009C10BD">
        <w:trPr>
          <w:trHeight w:val="227"/>
        </w:trPr>
        <w:tc>
          <w:tcPr>
            <w:tcW w:w="1134" w:type="dxa"/>
          </w:tcPr>
          <w:p w14:paraId="13326302"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0F0D0092" w14:textId="3DF5ECBF"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Main effect + region</w:t>
            </w:r>
          </w:p>
        </w:tc>
        <w:tc>
          <w:tcPr>
            <w:tcW w:w="1418" w:type="dxa"/>
            <w:tcBorders>
              <w:top w:val="dashSmallGap" w:sz="4" w:space="0" w:color="auto"/>
            </w:tcBorders>
          </w:tcPr>
          <w:p w14:paraId="00DBA767" w14:textId="6730091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dashSmallGap" w:sz="4" w:space="0" w:color="auto"/>
            </w:tcBorders>
          </w:tcPr>
          <w:p w14:paraId="05B1BD0A" w14:textId="3CBA4480"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96.9</w:t>
            </w:r>
          </w:p>
        </w:tc>
        <w:tc>
          <w:tcPr>
            <w:tcW w:w="705" w:type="dxa"/>
            <w:tcBorders>
              <w:top w:val="dashSmallGap" w:sz="4" w:space="0" w:color="auto"/>
            </w:tcBorders>
          </w:tcPr>
          <w:p w14:paraId="0EADD8F7" w14:textId="54864BBD"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3E6940C6" w14:textId="50E2A64F"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72.6</w:t>
            </w:r>
          </w:p>
        </w:tc>
        <w:tc>
          <w:tcPr>
            <w:tcW w:w="851" w:type="dxa"/>
            <w:tcBorders>
              <w:top w:val="dashSmallGap" w:sz="4" w:space="0" w:color="auto"/>
            </w:tcBorders>
          </w:tcPr>
          <w:p w14:paraId="66E6B99C" w14:textId="0DD73A64"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7AE7FA8F" w14:textId="5D55B9DA"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7BD92720" w14:textId="3CC7D6F5" w:rsidR="00750943" w:rsidRPr="00840830" w:rsidRDefault="00750943" w:rsidP="009C10BD">
            <w:pPr>
              <w:pStyle w:val="Compact"/>
              <w:spacing w:before="0" w:after="0"/>
              <w:rPr>
                <w:rFonts w:ascii="Times New Roman" w:hAnsi="Times New Roman" w:cs="Times New Roman"/>
                <w:sz w:val="22"/>
                <w:szCs w:val="22"/>
              </w:rPr>
            </w:pPr>
          </w:p>
        </w:tc>
      </w:tr>
      <w:tr w:rsidR="00750943" w:rsidRPr="00840830" w14:paraId="2061C68C" w14:textId="54BEE7D7" w:rsidTr="009C10BD">
        <w:trPr>
          <w:trHeight w:val="227"/>
        </w:trPr>
        <w:tc>
          <w:tcPr>
            <w:tcW w:w="1134" w:type="dxa"/>
          </w:tcPr>
          <w:p w14:paraId="3CD09BF6"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Pr>
          <w:p w14:paraId="29FC06A8" w14:textId="7C7FB2D9"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44983026" w14:textId="0FA94D8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1D7C08D5" w14:textId="24DFBC3E"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112.1</w:t>
            </w:r>
          </w:p>
        </w:tc>
        <w:tc>
          <w:tcPr>
            <w:tcW w:w="705" w:type="dxa"/>
          </w:tcPr>
          <w:p w14:paraId="3A6BA3DA" w14:textId="231D76C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4E79BF2E" w14:textId="36455F0E"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57.6</w:t>
            </w:r>
          </w:p>
        </w:tc>
        <w:tc>
          <w:tcPr>
            <w:tcW w:w="851" w:type="dxa"/>
          </w:tcPr>
          <w:p w14:paraId="2FA83183" w14:textId="51C0D1B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5D786016" w14:textId="598E4B05"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Pr>
          <w:p w14:paraId="3AD10EA1" w14:textId="42E0ECBD" w:rsidR="00750943" w:rsidRPr="00840830" w:rsidRDefault="00750943" w:rsidP="009C10BD">
            <w:pPr>
              <w:pStyle w:val="Compact"/>
              <w:spacing w:before="0" w:after="0"/>
              <w:rPr>
                <w:rFonts w:ascii="Times New Roman" w:hAnsi="Times New Roman" w:cs="Times New Roman"/>
                <w:sz w:val="22"/>
                <w:szCs w:val="22"/>
              </w:rPr>
            </w:pPr>
          </w:p>
        </w:tc>
      </w:tr>
      <w:tr w:rsidR="00D51F88" w:rsidRPr="00840830" w14:paraId="61021E01" w14:textId="012B0312" w:rsidTr="009C10BD">
        <w:trPr>
          <w:trHeight w:val="227"/>
        </w:trPr>
        <w:tc>
          <w:tcPr>
            <w:tcW w:w="1134" w:type="dxa"/>
          </w:tcPr>
          <w:p w14:paraId="620A9F7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4C951B7B" w14:textId="2457F46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0F4C29CF" w14:textId="468F415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Pr>
          <w:p w14:paraId="77ECA1CB" w14:textId="56381F6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25.0</w:t>
            </w:r>
          </w:p>
        </w:tc>
        <w:tc>
          <w:tcPr>
            <w:tcW w:w="705" w:type="dxa"/>
          </w:tcPr>
          <w:p w14:paraId="4C07E068" w14:textId="696CA07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6538D2C4" w14:textId="4218E7B7"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-50.5</w:t>
            </w:r>
          </w:p>
        </w:tc>
        <w:tc>
          <w:tcPr>
            <w:tcW w:w="851" w:type="dxa"/>
          </w:tcPr>
          <w:p w14:paraId="4FFA9300" w14:textId="0466A13F"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37F42DAA" w14:textId="49E6D40B"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6A216F13" w14:textId="37618B7B"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36C98A9B" w14:textId="1FAF2C2F" w:rsidTr="009C10BD">
        <w:trPr>
          <w:trHeight w:val="227"/>
        </w:trPr>
        <w:tc>
          <w:tcPr>
            <w:tcW w:w="1134" w:type="dxa"/>
          </w:tcPr>
          <w:p w14:paraId="2945E947"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7A130542" w14:textId="7AD4626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Borders>
              <w:bottom w:val="dashSmallGap" w:sz="4" w:space="0" w:color="auto"/>
            </w:tcBorders>
          </w:tcPr>
          <w:p w14:paraId="46BDA538" w14:textId="15EECAA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Borders>
              <w:bottom w:val="dashSmallGap" w:sz="4" w:space="0" w:color="auto"/>
            </w:tcBorders>
          </w:tcPr>
          <w:p w14:paraId="74783313" w14:textId="5C26E844"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27.0</w:t>
            </w:r>
          </w:p>
        </w:tc>
        <w:tc>
          <w:tcPr>
            <w:tcW w:w="705" w:type="dxa"/>
            <w:tcBorders>
              <w:bottom w:val="dashSmallGap" w:sz="4" w:space="0" w:color="auto"/>
            </w:tcBorders>
          </w:tcPr>
          <w:p w14:paraId="424C6905" w14:textId="2D4746C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0865CE3F" w14:textId="5BA957A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-53.4</w:t>
            </w:r>
          </w:p>
        </w:tc>
        <w:tc>
          <w:tcPr>
            <w:tcW w:w="851" w:type="dxa"/>
            <w:tcBorders>
              <w:bottom w:val="dashSmallGap" w:sz="4" w:space="0" w:color="auto"/>
            </w:tcBorders>
          </w:tcPr>
          <w:p w14:paraId="44A5E9CE" w14:textId="3DDB2476"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dashSmallGap" w:sz="4" w:space="0" w:color="auto"/>
            </w:tcBorders>
          </w:tcPr>
          <w:p w14:paraId="6D69913D" w14:textId="3430AD39"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1E3EC4D1" w14:textId="4A723EBF" w:rsidR="00D51F88" w:rsidRPr="00840830" w:rsidRDefault="00D51F88" w:rsidP="009C10BD">
            <w:pPr>
              <w:pStyle w:val="Compact"/>
              <w:spacing w:before="0" w:after="0"/>
              <w:rPr>
                <w:rFonts w:ascii="Times New Roman" w:hAnsi="Times New Roman" w:cs="Times New Roman"/>
                <w:sz w:val="22"/>
                <w:szCs w:val="22"/>
              </w:rPr>
            </w:pPr>
          </w:p>
        </w:tc>
      </w:tr>
      <w:tr w:rsidR="00750943" w:rsidRPr="00840830" w14:paraId="14F91A09" w14:textId="6911532D" w:rsidTr="009C10BD">
        <w:trPr>
          <w:trHeight w:val="227"/>
        </w:trPr>
        <w:tc>
          <w:tcPr>
            <w:tcW w:w="1134" w:type="dxa"/>
          </w:tcPr>
          <w:p w14:paraId="6CD73313"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bottom w:val="dashSmallGap" w:sz="4" w:space="0" w:color="auto"/>
            </w:tcBorders>
          </w:tcPr>
          <w:p w14:paraId="16CF46C8" w14:textId="5D2C097B"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Main effect only</w:t>
            </w:r>
          </w:p>
        </w:tc>
        <w:tc>
          <w:tcPr>
            <w:tcW w:w="1418" w:type="dxa"/>
            <w:tcBorders>
              <w:top w:val="dashSmallGap" w:sz="4" w:space="0" w:color="auto"/>
              <w:bottom w:val="dashSmallGap" w:sz="4" w:space="0" w:color="auto"/>
            </w:tcBorders>
          </w:tcPr>
          <w:p w14:paraId="28DB2945" w14:textId="7C2C766D"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Borders>
              <w:top w:val="dashSmallGap" w:sz="4" w:space="0" w:color="auto"/>
              <w:bottom w:val="dashSmallGap" w:sz="4" w:space="0" w:color="auto"/>
            </w:tcBorders>
          </w:tcPr>
          <w:p w14:paraId="7ACB01E5" w14:textId="775FD444"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74.6</w:t>
            </w:r>
          </w:p>
        </w:tc>
        <w:tc>
          <w:tcPr>
            <w:tcW w:w="705" w:type="dxa"/>
            <w:tcBorders>
              <w:top w:val="dashSmallGap" w:sz="4" w:space="0" w:color="auto"/>
              <w:bottom w:val="dashSmallGap" w:sz="4" w:space="0" w:color="auto"/>
            </w:tcBorders>
          </w:tcPr>
          <w:p w14:paraId="5914B97B" w14:textId="2CD01952"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bottom w:val="dashSmallGap" w:sz="4" w:space="0" w:color="auto"/>
            </w:tcBorders>
          </w:tcPr>
          <w:p w14:paraId="0B1C974D" w14:textId="2454AC90" w:rsidR="00750943" w:rsidRPr="00840830" w:rsidRDefault="00750943"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dashSmallGap" w:sz="4" w:space="0" w:color="auto"/>
              <w:bottom w:val="dashSmallGap" w:sz="4" w:space="0" w:color="auto"/>
            </w:tcBorders>
          </w:tcPr>
          <w:p w14:paraId="62E522DD" w14:textId="6DDBC8C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dashSmallGap" w:sz="4" w:space="0" w:color="auto"/>
              <w:bottom w:val="dashSmallGap" w:sz="4" w:space="0" w:color="auto"/>
            </w:tcBorders>
          </w:tcPr>
          <w:p w14:paraId="3E1DE032" w14:textId="1BDDF377"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bottom w:val="dashSmallGap" w:sz="4" w:space="0" w:color="auto"/>
            </w:tcBorders>
          </w:tcPr>
          <w:p w14:paraId="58B0C99A" w14:textId="2CD1DA0C" w:rsidR="00750943" w:rsidRPr="00840830" w:rsidRDefault="00750943" w:rsidP="009C10BD">
            <w:pPr>
              <w:pStyle w:val="Compact"/>
              <w:spacing w:before="0" w:after="0"/>
              <w:rPr>
                <w:rFonts w:ascii="Times New Roman" w:hAnsi="Times New Roman" w:cs="Times New Roman"/>
                <w:sz w:val="22"/>
                <w:szCs w:val="22"/>
              </w:rPr>
            </w:pPr>
          </w:p>
        </w:tc>
      </w:tr>
      <w:tr w:rsidR="00750943" w:rsidRPr="00840830" w14:paraId="64E78183" w14:textId="1132F423" w:rsidTr="009C10BD">
        <w:trPr>
          <w:trHeight w:val="227"/>
        </w:trPr>
        <w:tc>
          <w:tcPr>
            <w:tcW w:w="1134" w:type="dxa"/>
            <w:tcBorders>
              <w:bottom w:val="single" w:sz="4" w:space="0" w:color="auto"/>
            </w:tcBorders>
          </w:tcPr>
          <w:p w14:paraId="336879F3"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4A1B3F56" w14:textId="0E1B96C2"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Region only</w:t>
            </w:r>
          </w:p>
        </w:tc>
        <w:tc>
          <w:tcPr>
            <w:tcW w:w="1418" w:type="dxa"/>
            <w:tcBorders>
              <w:top w:val="dashSmallGap" w:sz="4" w:space="0" w:color="auto"/>
            </w:tcBorders>
          </w:tcPr>
          <w:p w14:paraId="12599AD7" w14:textId="071CC3A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Borders>
              <w:top w:val="dashSmallGap" w:sz="4" w:space="0" w:color="auto"/>
            </w:tcBorders>
          </w:tcPr>
          <w:p w14:paraId="1295E05B" w14:textId="4DB9D3E0"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18.5</w:t>
            </w:r>
          </w:p>
        </w:tc>
        <w:tc>
          <w:tcPr>
            <w:tcW w:w="705" w:type="dxa"/>
            <w:tcBorders>
              <w:top w:val="dashSmallGap" w:sz="4" w:space="0" w:color="auto"/>
            </w:tcBorders>
          </w:tcPr>
          <w:p w14:paraId="1ACCCA05" w14:textId="4FDAEDB1" w:rsidR="00750943" w:rsidRPr="00840830" w:rsidRDefault="002B5DBF"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3D6ED5D1" w14:textId="6D021B47"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-53.6</w:t>
            </w:r>
          </w:p>
        </w:tc>
        <w:tc>
          <w:tcPr>
            <w:tcW w:w="851" w:type="dxa"/>
            <w:tcBorders>
              <w:top w:val="dashSmallGap" w:sz="4" w:space="0" w:color="auto"/>
            </w:tcBorders>
          </w:tcPr>
          <w:p w14:paraId="600D8F03" w14:textId="3CF6E141"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67001671" w14:textId="09A6D295"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6ACC985C" w14:textId="5FE957E6" w:rsidR="00750943" w:rsidRPr="00840830" w:rsidRDefault="00750943" w:rsidP="009C10BD">
            <w:pPr>
              <w:pStyle w:val="Compact"/>
              <w:spacing w:before="0" w:after="0"/>
              <w:rPr>
                <w:rFonts w:ascii="Times New Roman" w:hAnsi="Times New Roman" w:cs="Times New Roman"/>
                <w:sz w:val="22"/>
                <w:szCs w:val="22"/>
              </w:rPr>
            </w:pPr>
          </w:p>
        </w:tc>
      </w:tr>
      <w:tr w:rsidR="00D15B52" w:rsidRPr="00840830" w14:paraId="1D077985" w14:textId="45FE03B9" w:rsidTr="009C10BD">
        <w:trPr>
          <w:trHeight w:val="227"/>
        </w:trPr>
        <w:tc>
          <w:tcPr>
            <w:tcW w:w="1134" w:type="dxa"/>
            <w:tcBorders>
              <w:top w:val="single" w:sz="4" w:space="0" w:color="auto"/>
            </w:tcBorders>
          </w:tcPr>
          <w:p w14:paraId="6E4CF490" w14:textId="041C0560"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(b)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HDS</w:t>
            </w:r>
          </w:p>
        </w:tc>
        <w:tc>
          <w:tcPr>
            <w:tcW w:w="2268" w:type="dxa"/>
            <w:tcBorders>
              <w:top w:val="single" w:sz="2" w:space="0" w:color="auto"/>
            </w:tcBorders>
          </w:tcPr>
          <w:p w14:paraId="194F390B" w14:textId="77777777"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Main effect only</w:t>
            </w:r>
          </w:p>
        </w:tc>
        <w:tc>
          <w:tcPr>
            <w:tcW w:w="1418" w:type="dxa"/>
            <w:tcBorders>
              <w:top w:val="single" w:sz="2" w:space="0" w:color="auto"/>
            </w:tcBorders>
          </w:tcPr>
          <w:p w14:paraId="0F4C10DF" w14:textId="5DF63C0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single" w:sz="2" w:space="0" w:color="auto"/>
            </w:tcBorders>
          </w:tcPr>
          <w:p w14:paraId="7430057D" w14:textId="0F058425"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119.3</w:t>
            </w:r>
          </w:p>
        </w:tc>
        <w:tc>
          <w:tcPr>
            <w:tcW w:w="705" w:type="dxa"/>
            <w:tcBorders>
              <w:top w:val="single" w:sz="2" w:space="0" w:color="auto"/>
            </w:tcBorders>
          </w:tcPr>
          <w:p w14:paraId="714F7B60" w14:textId="0C0084C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2" w:space="0" w:color="auto"/>
            </w:tcBorders>
          </w:tcPr>
          <w:p w14:paraId="113D1288" w14:textId="0AF2E3DF"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single" w:sz="2" w:space="0" w:color="auto"/>
            </w:tcBorders>
          </w:tcPr>
          <w:p w14:paraId="6EFC9A3C" w14:textId="231C951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single" w:sz="2" w:space="0" w:color="auto"/>
            </w:tcBorders>
          </w:tcPr>
          <w:p w14:paraId="3F218F66"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top w:val="single" w:sz="2" w:space="0" w:color="auto"/>
            </w:tcBorders>
          </w:tcPr>
          <w:p w14:paraId="3CE1A54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6B625CED" w14:textId="378D684F" w:rsidTr="009C10BD">
        <w:trPr>
          <w:trHeight w:val="227"/>
        </w:trPr>
        <w:tc>
          <w:tcPr>
            <w:tcW w:w="1134" w:type="dxa"/>
          </w:tcPr>
          <w:p w14:paraId="42CDAA33"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670739EC"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1B45F2F2" w14:textId="53862390"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Pr>
          <w:p w14:paraId="6585EA14" w14:textId="38D2FEDB"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266.1</w:t>
            </w:r>
          </w:p>
        </w:tc>
        <w:tc>
          <w:tcPr>
            <w:tcW w:w="705" w:type="dxa"/>
          </w:tcPr>
          <w:p w14:paraId="5D71FBFF" w14:textId="319C70A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78DD53B4" w14:textId="599BA30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5DE11A13" w14:textId="42CAC3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9C76AB8"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6E7734B"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5210E479" w14:textId="383EE0DC" w:rsidTr="009C10BD">
        <w:trPr>
          <w:trHeight w:val="227"/>
        </w:trPr>
        <w:tc>
          <w:tcPr>
            <w:tcW w:w="1134" w:type="dxa"/>
          </w:tcPr>
          <w:p w14:paraId="3793E1B1"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3F4604DD"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7C3569A6" w14:textId="3E798513"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2822FD91" w14:textId="07BC58E2"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189.4</w:t>
            </w:r>
          </w:p>
        </w:tc>
        <w:tc>
          <w:tcPr>
            <w:tcW w:w="705" w:type="dxa"/>
          </w:tcPr>
          <w:p w14:paraId="61666BAE" w14:textId="49911C5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313DE168" w14:textId="5EF8516D"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2DFD1B8A" w14:textId="7758A20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3DDF65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5F451EE1"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67434E0C" w14:textId="79BE7819" w:rsidTr="009C10BD">
        <w:trPr>
          <w:trHeight w:val="227"/>
        </w:trPr>
        <w:tc>
          <w:tcPr>
            <w:tcW w:w="1134" w:type="dxa"/>
          </w:tcPr>
          <w:p w14:paraId="6D19E55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581718A"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21ED70B5" w14:textId="2C1716B0"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Pr>
          <w:p w14:paraId="2D09A4B9" w14:textId="5D7B6563"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130.6</w:t>
            </w:r>
          </w:p>
        </w:tc>
        <w:tc>
          <w:tcPr>
            <w:tcW w:w="705" w:type="dxa"/>
          </w:tcPr>
          <w:p w14:paraId="6601264B" w14:textId="6E7A722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5270A53" w14:textId="6A797EB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55C3EE63" w14:textId="51FFB9D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38F98BF8"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1B12598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27B21AD3" w14:textId="2A019963" w:rsidTr="009C10BD">
        <w:trPr>
          <w:trHeight w:val="227"/>
        </w:trPr>
        <w:tc>
          <w:tcPr>
            <w:tcW w:w="1134" w:type="dxa"/>
          </w:tcPr>
          <w:p w14:paraId="1C1616E0"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678542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214178FF" w14:textId="7361BE08"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67CB88C7" w14:textId="5F01D23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253.6</w:t>
            </w:r>
          </w:p>
        </w:tc>
        <w:tc>
          <w:tcPr>
            <w:tcW w:w="705" w:type="dxa"/>
          </w:tcPr>
          <w:p w14:paraId="064B38B3" w14:textId="261241F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0ECAEEEA" w14:textId="2579E80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1A3C5037" w14:textId="50C7A7C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307D745"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1A6642C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122B6F0E" w14:textId="601CC7FF" w:rsidTr="009C10BD">
        <w:trPr>
          <w:trHeight w:val="227"/>
        </w:trPr>
        <w:tc>
          <w:tcPr>
            <w:tcW w:w="1134" w:type="dxa"/>
          </w:tcPr>
          <w:p w14:paraId="76BBEAF0"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2230F4AC"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4B272B26" w14:textId="2A2A68B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Pr>
          <w:p w14:paraId="38AF2147" w14:textId="3AFF167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129.7</w:t>
            </w:r>
          </w:p>
        </w:tc>
        <w:tc>
          <w:tcPr>
            <w:tcW w:w="705" w:type="dxa"/>
          </w:tcPr>
          <w:p w14:paraId="319C7DC8" w14:textId="7B8D422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B922517" w14:textId="75302A09"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10A5CF7B" w14:textId="53C980F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0329A84D"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B317D91"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5ABA2A23" w14:textId="44AB0E26" w:rsidTr="009C10BD">
        <w:trPr>
          <w:trHeight w:val="227"/>
        </w:trPr>
        <w:tc>
          <w:tcPr>
            <w:tcW w:w="1134" w:type="dxa"/>
          </w:tcPr>
          <w:p w14:paraId="2750288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4930B078"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BEEC01C" w14:textId="55D3667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414CEE2E" w14:textId="66675122"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140.3</w:t>
            </w:r>
          </w:p>
        </w:tc>
        <w:tc>
          <w:tcPr>
            <w:tcW w:w="705" w:type="dxa"/>
          </w:tcPr>
          <w:p w14:paraId="3F5A25DD" w14:textId="7067134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006B703F" w14:textId="3D5BFDB6"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34BDD603" w14:textId="0D210477"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E9D96A3"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714AA5E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06A9E078" w14:textId="57CBE13E" w:rsidTr="009C10BD">
        <w:trPr>
          <w:trHeight w:val="227"/>
        </w:trPr>
        <w:tc>
          <w:tcPr>
            <w:tcW w:w="1134" w:type="dxa"/>
          </w:tcPr>
          <w:p w14:paraId="32EF69C4"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25B95102"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5165742B" w14:textId="27ABA4C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Pr>
          <w:p w14:paraId="3C268989" w14:textId="2FD01FA7"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54.4</w:t>
            </w:r>
          </w:p>
        </w:tc>
        <w:tc>
          <w:tcPr>
            <w:tcW w:w="705" w:type="dxa"/>
          </w:tcPr>
          <w:p w14:paraId="2D772689" w14:textId="55C2CEC6"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4F0E2079" w14:textId="2D836702"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6C009F77" w14:textId="251392D7"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49BF513A"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38CDC44"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7180B734" w14:textId="0DEB0741" w:rsidTr="009C10BD">
        <w:trPr>
          <w:trHeight w:val="227"/>
        </w:trPr>
        <w:tc>
          <w:tcPr>
            <w:tcW w:w="1134" w:type="dxa"/>
          </w:tcPr>
          <w:p w14:paraId="3E151716"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4A23895F"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Borders>
              <w:bottom w:val="dashSmallGap" w:sz="4" w:space="0" w:color="auto"/>
            </w:tcBorders>
          </w:tcPr>
          <w:p w14:paraId="5059EE4F" w14:textId="2785ECD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25181CA6" w14:textId="1B27EC0E"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131.0</w:t>
            </w:r>
          </w:p>
        </w:tc>
        <w:tc>
          <w:tcPr>
            <w:tcW w:w="705" w:type="dxa"/>
            <w:tcBorders>
              <w:bottom w:val="dashSmallGap" w:sz="4" w:space="0" w:color="auto"/>
            </w:tcBorders>
          </w:tcPr>
          <w:p w14:paraId="290FDEE1" w14:textId="7C45796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60E617A8" w14:textId="10507271"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bottom w:val="dashSmallGap" w:sz="4" w:space="0" w:color="auto"/>
            </w:tcBorders>
          </w:tcPr>
          <w:p w14:paraId="76267187" w14:textId="794307B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bottom w:val="dashSmallGap" w:sz="4" w:space="0" w:color="auto"/>
            </w:tcBorders>
          </w:tcPr>
          <w:p w14:paraId="387A0337"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0C820755" w14:textId="77777777" w:rsidR="00D15B52" w:rsidRPr="00840830" w:rsidRDefault="00D15B52" w:rsidP="009C10BD">
            <w:pPr>
              <w:pStyle w:val="Compact"/>
              <w:spacing w:before="0" w:after="0"/>
              <w:rPr>
                <w:rFonts w:ascii="Times New Roman" w:hAnsi="Times New Roman" w:cs="Times New Roman"/>
                <w:sz w:val="22"/>
                <w:szCs w:val="22"/>
              </w:rPr>
            </w:pPr>
          </w:p>
        </w:tc>
      </w:tr>
      <w:tr w:rsidR="00D51F88" w:rsidRPr="00840830" w14:paraId="193508D6" w14:textId="735FFCA0" w:rsidTr="009C10BD">
        <w:trPr>
          <w:trHeight w:val="227"/>
        </w:trPr>
        <w:tc>
          <w:tcPr>
            <w:tcW w:w="1134" w:type="dxa"/>
            <w:tcBorders>
              <w:bottom w:val="single" w:sz="4" w:space="0" w:color="auto"/>
            </w:tcBorders>
          </w:tcPr>
          <w:p w14:paraId="72012CC4"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top w:val="dashSmallGap" w:sz="4" w:space="0" w:color="auto"/>
              <w:bottom w:val="single" w:sz="4" w:space="0" w:color="auto"/>
            </w:tcBorders>
          </w:tcPr>
          <w:p w14:paraId="321F442E" w14:textId="6320EC6B"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Region only</w:t>
            </w:r>
          </w:p>
        </w:tc>
        <w:tc>
          <w:tcPr>
            <w:tcW w:w="1418" w:type="dxa"/>
            <w:tcBorders>
              <w:top w:val="dashSmallGap" w:sz="4" w:space="0" w:color="auto"/>
              <w:bottom w:val="single" w:sz="4" w:space="0" w:color="auto"/>
            </w:tcBorders>
          </w:tcPr>
          <w:p w14:paraId="74875E9E" w14:textId="75D79504"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Borders>
              <w:top w:val="dashSmallGap" w:sz="4" w:space="0" w:color="auto"/>
              <w:bottom w:val="single" w:sz="4" w:space="0" w:color="auto"/>
            </w:tcBorders>
          </w:tcPr>
          <w:p w14:paraId="0845BF4D" w14:textId="2F03B0F6"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-13.4</w:t>
            </w:r>
          </w:p>
        </w:tc>
        <w:tc>
          <w:tcPr>
            <w:tcW w:w="705" w:type="dxa"/>
            <w:tcBorders>
              <w:top w:val="dashSmallGap" w:sz="4" w:space="0" w:color="auto"/>
              <w:bottom w:val="single" w:sz="4" w:space="0" w:color="auto"/>
            </w:tcBorders>
          </w:tcPr>
          <w:p w14:paraId="76C88FA9" w14:textId="7121FC19" w:rsidR="00D51F88" w:rsidRPr="00840830" w:rsidRDefault="00D51F88" w:rsidP="009C10BD">
            <w:pPr>
              <w:pStyle w:val="Compact"/>
              <w:spacing w:before="0" w:after="0"/>
              <w:rPr>
                <w:rFonts w:ascii="Times New Roman" w:hAnsi="Times New Roman" w:cs="Times New Roman"/>
                <w:sz w:val="22"/>
                <w:szCs w:val="22"/>
              </w:rPr>
            </w:pPr>
          </w:p>
        </w:tc>
        <w:tc>
          <w:tcPr>
            <w:tcW w:w="1276" w:type="dxa"/>
            <w:tcBorders>
              <w:top w:val="dashSmallGap" w:sz="4" w:space="0" w:color="auto"/>
              <w:bottom w:val="single" w:sz="4" w:space="0" w:color="auto"/>
            </w:tcBorders>
          </w:tcPr>
          <w:p w14:paraId="073C4A6C" w14:textId="3BA89274"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-161.4</w:t>
            </w:r>
          </w:p>
        </w:tc>
        <w:tc>
          <w:tcPr>
            <w:tcW w:w="851" w:type="dxa"/>
            <w:tcBorders>
              <w:top w:val="dashSmallGap" w:sz="4" w:space="0" w:color="auto"/>
              <w:bottom w:val="single" w:sz="4" w:space="0" w:color="auto"/>
            </w:tcBorders>
          </w:tcPr>
          <w:p w14:paraId="2EFFC6CF" w14:textId="63E8495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bottom w:val="single" w:sz="4" w:space="0" w:color="auto"/>
            </w:tcBorders>
          </w:tcPr>
          <w:p w14:paraId="3B85487F"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bottom w:val="single" w:sz="4" w:space="0" w:color="auto"/>
            </w:tcBorders>
          </w:tcPr>
          <w:p w14:paraId="446B8188" w14:textId="77777777" w:rsidR="00D51F88" w:rsidRPr="00840830" w:rsidRDefault="00D51F88" w:rsidP="009C10BD">
            <w:pPr>
              <w:pStyle w:val="Compact"/>
              <w:spacing w:before="0" w:after="0"/>
              <w:rPr>
                <w:rFonts w:ascii="Times New Roman" w:hAnsi="Times New Roman" w:cs="Times New Roman"/>
                <w:sz w:val="22"/>
                <w:szCs w:val="22"/>
              </w:rPr>
            </w:pPr>
          </w:p>
        </w:tc>
      </w:tr>
      <w:tr w:rsidR="00D15B52" w:rsidRPr="00840830" w14:paraId="732DC4E4" w14:textId="6B551E89" w:rsidTr="009C10BD">
        <w:trPr>
          <w:trHeight w:val="227"/>
        </w:trPr>
        <w:tc>
          <w:tcPr>
            <w:tcW w:w="1134" w:type="dxa"/>
          </w:tcPr>
          <w:p w14:paraId="45910090" w14:textId="1CD4D8BF"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(c)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DS</w:t>
            </w:r>
          </w:p>
        </w:tc>
        <w:tc>
          <w:tcPr>
            <w:tcW w:w="2268" w:type="dxa"/>
            <w:tcBorders>
              <w:top w:val="single" w:sz="4" w:space="0" w:color="auto"/>
            </w:tcBorders>
          </w:tcPr>
          <w:p w14:paraId="66CF7711" w14:textId="3239BEC5"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Main effect only</w:t>
            </w:r>
          </w:p>
        </w:tc>
        <w:tc>
          <w:tcPr>
            <w:tcW w:w="1418" w:type="dxa"/>
            <w:tcBorders>
              <w:top w:val="single" w:sz="4" w:space="0" w:color="auto"/>
            </w:tcBorders>
          </w:tcPr>
          <w:p w14:paraId="4017B073" w14:textId="5CDA1C2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single" w:sz="4" w:space="0" w:color="auto"/>
            </w:tcBorders>
          </w:tcPr>
          <w:p w14:paraId="67D90D7B" w14:textId="7D621AC1"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289.5</w:t>
            </w:r>
          </w:p>
        </w:tc>
        <w:tc>
          <w:tcPr>
            <w:tcW w:w="705" w:type="dxa"/>
            <w:tcBorders>
              <w:top w:val="single" w:sz="4" w:space="0" w:color="auto"/>
            </w:tcBorders>
          </w:tcPr>
          <w:p w14:paraId="0CE7227F" w14:textId="3E4F0F9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4" w:space="0" w:color="auto"/>
            </w:tcBorders>
          </w:tcPr>
          <w:p w14:paraId="1A230A73" w14:textId="7A16315A"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single" w:sz="4" w:space="0" w:color="auto"/>
            </w:tcBorders>
          </w:tcPr>
          <w:p w14:paraId="4D54ACFA" w14:textId="4070428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single" w:sz="4" w:space="0" w:color="auto"/>
            </w:tcBorders>
          </w:tcPr>
          <w:p w14:paraId="0B6D8853"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top w:val="single" w:sz="4" w:space="0" w:color="auto"/>
            </w:tcBorders>
          </w:tcPr>
          <w:p w14:paraId="3B816FB2"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3202EACA" w14:textId="6FA6D84D" w:rsidTr="009C10BD">
        <w:trPr>
          <w:trHeight w:val="227"/>
        </w:trPr>
        <w:tc>
          <w:tcPr>
            <w:tcW w:w="1134" w:type="dxa"/>
          </w:tcPr>
          <w:p w14:paraId="41C4392E" w14:textId="50CFE1DD"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FD269A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62C4AF7" w14:textId="3E35B7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Pr>
          <w:p w14:paraId="4C44C603" w14:textId="64F8093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535.4</w:t>
            </w:r>
          </w:p>
        </w:tc>
        <w:tc>
          <w:tcPr>
            <w:tcW w:w="705" w:type="dxa"/>
          </w:tcPr>
          <w:p w14:paraId="056D4A98" w14:textId="09C7D37B"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4CD3531A" w14:textId="5208C4F6"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6227FAE3" w14:textId="357902C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7B1A5C95"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6EC4FD9A"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24D9F533" w14:textId="1641F210" w:rsidTr="009C10BD">
        <w:trPr>
          <w:trHeight w:val="227"/>
        </w:trPr>
        <w:tc>
          <w:tcPr>
            <w:tcW w:w="1134" w:type="dxa"/>
          </w:tcPr>
          <w:p w14:paraId="16CD37FC"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59E974A5"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C2CBD53" w14:textId="4D9AA6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0B67FBC3" w14:textId="0EA666B5"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441.9</w:t>
            </w:r>
          </w:p>
        </w:tc>
        <w:tc>
          <w:tcPr>
            <w:tcW w:w="705" w:type="dxa"/>
          </w:tcPr>
          <w:p w14:paraId="2F321CD1" w14:textId="04CE811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30884183" w14:textId="013A9A89"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76461248" w14:textId="40472B13"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78E66CFC"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7AEFFFB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4BAEC65F" w14:textId="643105C3" w:rsidTr="009C10BD">
        <w:trPr>
          <w:trHeight w:val="227"/>
        </w:trPr>
        <w:tc>
          <w:tcPr>
            <w:tcW w:w="1134" w:type="dxa"/>
          </w:tcPr>
          <w:p w14:paraId="4712CEB3"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37907335"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3BA08B5A" w14:textId="5925A2F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190EC008" w14:textId="591F86BF"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400.6</w:t>
            </w:r>
          </w:p>
        </w:tc>
        <w:tc>
          <w:tcPr>
            <w:tcW w:w="705" w:type="dxa"/>
          </w:tcPr>
          <w:p w14:paraId="65E9BF8E" w14:textId="020B9661"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366A3D2" w14:textId="1194BA7E"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23A78516" w14:textId="11C3308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56C8C5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7B6E96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734D55D8" w14:textId="4F23D20E" w:rsidTr="009C10BD">
        <w:trPr>
          <w:trHeight w:val="227"/>
        </w:trPr>
        <w:tc>
          <w:tcPr>
            <w:tcW w:w="1134" w:type="dxa"/>
          </w:tcPr>
          <w:p w14:paraId="3EE9157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0EEA7AA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547070D9" w14:textId="525660D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Pr>
          <w:p w14:paraId="78A60B4C" w14:textId="6F5B743F"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405.8</w:t>
            </w:r>
          </w:p>
        </w:tc>
        <w:tc>
          <w:tcPr>
            <w:tcW w:w="705" w:type="dxa"/>
          </w:tcPr>
          <w:p w14:paraId="150C53FB" w14:textId="4CB52CE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14FE70EB" w14:textId="5D89578A"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003EABB6" w14:textId="78F021F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F69607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2C3E362F"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49B40E0E" w14:textId="69B16D68" w:rsidTr="009C10BD">
        <w:trPr>
          <w:trHeight w:val="227"/>
        </w:trPr>
        <w:tc>
          <w:tcPr>
            <w:tcW w:w="1134" w:type="dxa"/>
          </w:tcPr>
          <w:p w14:paraId="1BC98CC9"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1E2ACB7F"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Borders>
              <w:bottom w:val="dashSmallGap" w:sz="4" w:space="0" w:color="auto"/>
            </w:tcBorders>
          </w:tcPr>
          <w:p w14:paraId="6ACD7DC2" w14:textId="6F6576D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685E6546" w14:textId="510C1207"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247.5</w:t>
            </w:r>
          </w:p>
        </w:tc>
        <w:tc>
          <w:tcPr>
            <w:tcW w:w="705" w:type="dxa"/>
            <w:tcBorders>
              <w:bottom w:val="dashSmallGap" w:sz="4" w:space="0" w:color="auto"/>
            </w:tcBorders>
          </w:tcPr>
          <w:p w14:paraId="08601A8E" w14:textId="75A0D7E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69E7712E" w14:textId="36885DBE"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bottom w:val="dashSmallGap" w:sz="4" w:space="0" w:color="auto"/>
            </w:tcBorders>
          </w:tcPr>
          <w:p w14:paraId="6EEDE95E" w14:textId="288106E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bottom w:val="dashSmallGap" w:sz="4" w:space="0" w:color="auto"/>
            </w:tcBorders>
          </w:tcPr>
          <w:p w14:paraId="1567368F"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56BF21CC" w14:textId="77777777" w:rsidR="00D15B52" w:rsidRPr="00840830" w:rsidRDefault="00D15B52" w:rsidP="009C10BD">
            <w:pPr>
              <w:pStyle w:val="Compact"/>
              <w:spacing w:before="0" w:after="0"/>
              <w:rPr>
                <w:rFonts w:ascii="Times New Roman" w:hAnsi="Times New Roman" w:cs="Times New Roman"/>
                <w:sz w:val="22"/>
                <w:szCs w:val="22"/>
              </w:rPr>
            </w:pPr>
          </w:p>
        </w:tc>
      </w:tr>
      <w:tr w:rsidR="00D51F88" w:rsidRPr="00840830" w14:paraId="03DCF9E4" w14:textId="7D8061FA" w:rsidTr="009C10BD">
        <w:trPr>
          <w:trHeight w:val="227"/>
        </w:trPr>
        <w:tc>
          <w:tcPr>
            <w:tcW w:w="1134" w:type="dxa"/>
          </w:tcPr>
          <w:p w14:paraId="2C26BCAD"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6520F10B" w14:textId="48C00019"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Region only</w:t>
            </w:r>
          </w:p>
        </w:tc>
        <w:tc>
          <w:tcPr>
            <w:tcW w:w="1418" w:type="dxa"/>
            <w:tcBorders>
              <w:top w:val="dashSmallGap" w:sz="4" w:space="0" w:color="auto"/>
            </w:tcBorders>
          </w:tcPr>
          <w:p w14:paraId="3BCC15AD" w14:textId="72A4C50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Borders>
              <w:top w:val="dashSmallGap" w:sz="4" w:space="0" w:color="auto"/>
            </w:tcBorders>
          </w:tcPr>
          <w:p w14:paraId="1F687028" w14:textId="4F42B25D"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197.7</w:t>
            </w:r>
          </w:p>
        </w:tc>
        <w:tc>
          <w:tcPr>
            <w:tcW w:w="705" w:type="dxa"/>
            <w:tcBorders>
              <w:top w:val="dashSmallGap" w:sz="4" w:space="0" w:color="auto"/>
            </w:tcBorders>
          </w:tcPr>
          <w:p w14:paraId="04A36E00" w14:textId="4A3935B8"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0CBFA3B6" w14:textId="4CC1824F"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-484.0</w:t>
            </w:r>
          </w:p>
        </w:tc>
        <w:tc>
          <w:tcPr>
            <w:tcW w:w="851" w:type="dxa"/>
            <w:tcBorders>
              <w:top w:val="dashSmallGap" w:sz="4" w:space="0" w:color="auto"/>
            </w:tcBorders>
          </w:tcPr>
          <w:p w14:paraId="2EF828F4" w14:textId="644FCF4B"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553BE8A5"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413BAFFA"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6EC09B0B" w14:textId="29DAE2E9" w:rsidTr="009C10BD">
        <w:trPr>
          <w:trHeight w:val="227"/>
        </w:trPr>
        <w:tc>
          <w:tcPr>
            <w:tcW w:w="1134" w:type="dxa"/>
          </w:tcPr>
          <w:p w14:paraId="417441BF"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240B1F12"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Pr>
          <w:p w14:paraId="59B3B17B" w14:textId="2629FA7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Pr>
          <w:p w14:paraId="5DACA182" w14:textId="76EDF8A5"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-29.8</w:t>
            </w:r>
          </w:p>
        </w:tc>
        <w:tc>
          <w:tcPr>
            <w:tcW w:w="705" w:type="dxa"/>
          </w:tcPr>
          <w:p w14:paraId="42BCF2A9" w14:textId="23114B6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65B60F97" w14:textId="2268B9CB"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-564.0</w:t>
            </w:r>
          </w:p>
        </w:tc>
        <w:tc>
          <w:tcPr>
            <w:tcW w:w="851" w:type="dxa"/>
          </w:tcPr>
          <w:p w14:paraId="1480F7AA" w14:textId="4DB5D42D"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4A4A9573"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4D3FDD5C"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134D8943" w14:textId="261BEEA9" w:rsidTr="009C10BD">
        <w:trPr>
          <w:trHeight w:val="227"/>
        </w:trPr>
        <w:tc>
          <w:tcPr>
            <w:tcW w:w="1134" w:type="dxa"/>
          </w:tcPr>
          <w:p w14:paraId="6D8D73E7"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66A44EB7"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Pr>
          <w:p w14:paraId="486CAE9A" w14:textId="4533B43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0C7327E9" w14:textId="4FFBF763"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181.3</w:t>
            </w:r>
          </w:p>
        </w:tc>
        <w:tc>
          <w:tcPr>
            <w:tcW w:w="705" w:type="dxa"/>
          </w:tcPr>
          <w:p w14:paraId="38CEC094" w14:textId="4F346D1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6EBECAAD" w14:textId="104E6B68"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-474.2</w:t>
            </w:r>
          </w:p>
        </w:tc>
        <w:tc>
          <w:tcPr>
            <w:tcW w:w="851" w:type="dxa"/>
          </w:tcPr>
          <w:p w14:paraId="287231AE" w14:textId="528392F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7A672C96"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189F93E0"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1660C718" w14:textId="3CF8C0FB" w:rsidTr="009C10BD">
        <w:trPr>
          <w:trHeight w:val="227"/>
        </w:trPr>
        <w:tc>
          <w:tcPr>
            <w:tcW w:w="1134" w:type="dxa"/>
            <w:tcBorders>
              <w:bottom w:val="single" w:sz="4" w:space="0" w:color="auto"/>
            </w:tcBorders>
          </w:tcPr>
          <w:p w14:paraId="5C8E4A60"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single" w:sz="4" w:space="0" w:color="auto"/>
            </w:tcBorders>
          </w:tcPr>
          <w:p w14:paraId="59C830FF"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Borders>
              <w:bottom w:val="single" w:sz="4" w:space="0" w:color="auto"/>
            </w:tcBorders>
          </w:tcPr>
          <w:p w14:paraId="700C8498" w14:textId="1D590BF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Borders>
              <w:bottom w:val="single" w:sz="4" w:space="0" w:color="auto"/>
            </w:tcBorders>
          </w:tcPr>
          <w:p w14:paraId="2B47B2E1" w14:textId="43191DD4"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95.1</w:t>
            </w:r>
          </w:p>
        </w:tc>
        <w:tc>
          <w:tcPr>
            <w:tcW w:w="705" w:type="dxa"/>
            <w:tcBorders>
              <w:bottom w:val="single" w:sz="4" w:space="0" w:color="auto"/>
            </w:tcBorders>
          </w:tcPr>
          <w:p w14:paraId="78A63EB9" w14:textId="7B2795E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Borders>
              <w:bottom w:val="single" w:sz="4" w:space="0" w:color="auto"/>
            </w:tcBorders>
          </w:tcPr>
          <w:p w14:paraId="1CC12902" w14:textId="359A34F8"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-511.6</w:t>
            </w:r>
          </w:p>
        </w:tc>
        <w:tc>
          <w:tcPr>
            <w:tcW w:w="851" w:type="dxa"/>
            <w:tcBorders>
              <w:bottom w:val="single" w:sz="4" w:space="0" w:color="auto"/>
            </w:tcBorders>
          </w:tcPr>
          <w:p w14:paraId="394EF77C" w14:textId="58E94793"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single" w:sz="4" w:space="0" w:color="auto"/>
            </w:tcBorders>
          </w:tcPr>
          <w:p w14:paraId="54F2246E"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bottom w:val="single" w:sz="4" w:space="0" w:color="auto"/>
            </w:tcBorders>
          </w:tcPr>
          <w:p w14:paraId="2E103766" w14:textId="77777777" w:rsidR="00D51F88" w:rsidRPr="00840830" w:rsidRDefault="00D51F88" w:rsidP="009C10BD">
            <w:pPr>
              <w:pStyle w:val="Compact"/>
              <w:spacing w:before="0" w:after="0"/>
              <w:rPr>
                <w:rFonts w:ascii="Times New Roman" w:hAnsi="Times New Roman" w:cs="Times New Roman"/>
                <w:sz w:val="22"/>
                <w:szCs w:val="22"/>
              </w:rPr>
            </w:pPr>
          </w:p>
        </w:tc>
      </w:tr>
    </w:tbl>
    <w:p w14:paraId="11591A9A" w14:textId="77777777" w:rsidR="00F75284" w:rsidRPr="00840830" w:rsidRDefault="00F75284" w:rsidP="00F75284">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 </w:t>
      </w:r>
      <w:r w:rsidRPr="00840830">
        <w:rPr>
          <w:i/>
        </w:rPr>
        <w:t>P</w:t>
      </w:r>
      <w:r w:rsidRPr="00840830">
        <w:t xml:space="preserve"> &lt; 0.1; blank, NS.</w:t>
      </w:r>
    </w:p>
    <w:p w14:paraId="3ACB7801" w14:textId="5B94AEA3" w:rsidR="00B73D31" w:rsidRPr="00840830" w:rsidRDefault="00F75284" w:rsidP="002C20EB">
      <w:pPr>
        <w:pStyle w:val="BodyText"/>
        <w:spacing w:before="0" w:after="0"/>
        <w:rPr>
          <w:vertAlign w:val="superscript"/>
        </w:rPr>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r w:rsidR="00B73D31" w:rsidRPr="00840830">
        <w:rPr>
          <w:vertAlign w:val="superscript"/>
        </w:rPr>
        <w:br w:type="page"/>
      </w:r>
    </w:p>
    <w:p w14:paraId="1B4BCCF4" w14:textId="61F74DD6" w:rsidR="00874A01" w:rsidRPr="0069122B" w:rsidRDefault="00874A01" w:rsidP="00FA753D">
      <w:pPr>
        <w:pStyle w:val="BodyText"/>
        <w:spacing w:before="0"/>
      </w:pPr>
      <w:bookmarkStart w:id="54" w:name="figures"/>
      <w:r w:rsidRPr="00874A01">
        <w:rPr>
          <w:b/>
          <w:bCs/>
        </w:rPr>
        <w:lastRenderedPageBreak/>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rsidRPr="006A200F" w14:paraId="3EA4BFED" w14:textId="77777777" w:rsidTr="00FA753D">
        <w:trPr>
          <w:trHeight w:val="227"/>
        </w:trPr>
        <w:tc>
          <w:tcPr>
            <w:tcW w:w="1543" w:type="dxa"/>
          </w:tcPr>
          <w:p w14:paraId="5CE4D5AB" w14:textId="77777777" w:rsidR="00874A01" w:rsidRPr="006A200F" w:rsidRDefault="00874A01" w:rsidP="00874A01">
            <w:pPr>
              <w:rPr>
                <w:sz w:val="22"/>
              </w:rPr>
            </w:pPr>
          </w:p>
        </w:tc>
        <w:tc>
          <w:tcPr>
            <w:tcW w:w="2779" w:type="dxa"/>
            <w:gridSpan w:val="2"/>
            <w:tcBorders>
              <w:bottom w:val="single" w:sz="4" w:space="0" w:color="auto"/>
            </w:tcBorders>
          </w:tcPr>
          <w:p w14:paraId="7972A805" w14:textId="7E53C9F4" w:rsidR="00874A01" w:rsidRPr="006A200F" w:rsidRDefault="00874A01" w:rsidP="00874A01">
            <w:pPr>
              <w:jc w:val="center"/>
              <w:rPr>
                <w:sz w:val="22"/>
              </w:rPr>
            </w:pPr>
            <w:r w:rsidRPr="006A200F">
              <w:rPr>
                <w:sz w:val="22"/>
              </w:rPr>
              <w:t>Correlation</w:t>
            </w:r>
          </w:p>
        </w:tc>
      </w:tr>
      <w:tr w:rsidR="00874A01" w:rsidRPr="006A200F" w14:paraId="43E71235" w14:textId="77777777" w:rsidTr="00FA753D">
        <w:trPr>
          <w:trHeight w:val="227"/>
        </w:trPr>
        <w:tc>
          <w:tcPr>
            <w:tcW w:w="1543" w:type="dxa"/>
            <w:tcBorders>
              <w:bottom w:val="single" w:sz="4" w:space="0" w:color="auto"/>
            </w:tcBorders>
          </w:tcPr>
          <w:p w14:paraId="5163C788" w14:textId="340FA41C" w:rsidR="00874A01" w:rsidRPr="006A200F" w:rsidRDefault="00874A01" w:rsidP="00874A01">
            <w:pPr>
              <w:jc w:val="center"/>
              <w:rPr>
                <w:sz w:val="22"/>
              </w:rPr>
            </w:pPr>
            <w:r w:rsidRPr="006A200F">
              <w:rPr>
                <w:sz w:val="22"/>
              </w:rPr>
              <w:t>Spatial scale</w:t>
            </w:r>
          </w:p>
        </w:tc>
        <w:tc>
          <w:tcPr>
            <w:tcW w:w="1423" w:type="dxa"/>
            <w:tcBorders>
              <w:top w:val="single" w:sz="4" w:space="0" w:color="auto"/>
              <w:bottom w:val="single" w:sz="4" w:space="0" w:color="auto"/>
            </w:tcBorders>
          </w:tcPr>
          <w:p w14:paraId="7BEA7D7A" w14:textId="70998894" w:rsidR="00874A01" w:rsidRPr="006A200F" w:rsidRDefault="00874A01" w:rsidP="00874A01">
            <w:pPr>
              <w:jc w:val="center"/>
              <w:rPr>
                <w:sz w:val="22"/>
              </w:rPr>
            </w:pPr>
            <w:r w:rsidRPr="006A200F">
              <w:rPr>
                <w:sz w:val="22"/>
              </w:rPr>
              <w:t xml:space="preserve">Predicted </w:t>
            </w:r>
            <w:r w:rsidRPr="006A200F">
              <w:rPr>
                <w:i/>
                <w:iCs/>
                <w:sz w:val="22"/>
              </w:rPr>
              <w:t>S</w:t>
            </w:r>
          </w:p>
        </w:tc>
        <w:tc>
          <w:tcPr>
            <w:tcW w:w="1356" w:type="dxa"/>
            <w:tcBorders>
              <w:top w:val="single" w:sz="4" w:space="0" w:color="auto"/>
              <w:bottom w:val="single" w:sz="4" w:space="0" w:color="auto"/>
            </w:tcBorders>
          </w:tcPr>
          <w:p w14:paraId="6DDC9FB0" w14:textId="47BDAEDA" w:rsidR="00874A01" w:rsidRPr="006A200F" w:rsidRDefault="00874A01" w:rsidP="00874A01">
            <w:pPr>
              <w:jc w:val="center"/>
              <w:rPr>
                <w:sz w:val="22"/>
              </w:rPr>
            </w:pPr>
            <w:r w:rsidRPr="006A200F">
              <w:rPr>
                <w:sz w:val="22"/>
              </w:rPr>
              <w:t xml:space="preserve">Residual </w:t>
            </w:r>
            <w:r w:rsidRPr="006A200F">
              <w:rPr>
                <w:i/>
                <w:iCs/>
                <w:sz w:val="22"/>
              </w:rPr>
              <w:t>S</w:t>
            </w:r>
          </w:p>
        </w:tc>
      </w:tr>
      <w:tr w:rsidR="00874A01" w:rsidRPr="006A200F" w14:paraId="0EF9A9E7" w14:textId="77777777" w:rsidTr="00FA753D">
        <w:trPr>
          <w:trHeight w:val="227"/>
        </w:trPr>
        <w:tc>
          <w:tcPr>
            <w:tcW w:w="1543" w:type="dxa"/>
            <w:tcBorders>
              <w:top w:val="single" w:sz="4" w:space="0" w:color="auto"/>
            </w:tcBorders>
          </w:tcPr>
          <w:p w14:paraId="12B24B0E" w14:textId="0B2D9B50" w:rsidR="00874A01" w:rsidRPr="006A200F" w:rsidRDefault="00874A01" w:rsidP="00874A01">
            <w:pPr>
              <w:rPr>
                <w:sz w:val="22"/>
              </w:rPr>
            </w:pPr>
            <w:r w:rsidRPr="006A200F">
              <w:rPr>
                <w:sz w:val="22"/>
              </w:rPr>
              <w:t>QDS</w:t>
            </w:r>
          </w:p>
        </w:tc>
        <w:tc>
          <w:tcPr>
            <w:tcW w:w="1423" w:type="dxa"/>
            <w:tcBorders>
              <w:top w:val="single" w:sz="4" w:space="0" w:color="auto"/>
            </w:tcBorders>
          </w:tcPr>
          <w:p w14:paraId="5CF61CB8" w14:textId="70043932" w:rsidR="00874A01" w:rsidRPr="006A200F" w:rsidRDefault="00874A01" w:rsidP="00874A01">
            <w:pPr>
              <w:jc w:val="right"/>
              <w:rPr>
                <w:sz w:val="22"/>
              </w:rPr>
            </w:pPr>
            <w:r w:rsidRPr="006A200F">
              <w:rPr>
                <w:sz w:val="22"/>
              </w:rPr>
              <w:t>0.743</w:t>
            </w:r>
          </w:p>
        </w:tc>
        <w:tc>
          <w:tcPr>
            <w:tcW w:w="1356" w:type="dxa"/>
            <w:tcBorders>
              <w:top w:val="single" w:sz="4" w:space="0" w:color="auto"/>
            </w:tcBorders>
          </w:tcPr>
          <w:p w14:paraId="68B8A75E" w14:textId="0047E7D5" w:rsidR="00874A01" w:rsidRPr="006A200F" w:rsidRDefault="00874A01" w:rsidP="00874A01">
            <w:pPr>
              <w:jc w:val="right"/>
              <w:rPr>
                <w:sz w:val="22"/>
              </w:rPr>
            </w:pPr>
            <w:r w:rsidRPr="006A200F">
              <w:rPr>
                <w:sz w:val="22"/>
              </w:rPr>
              <w:t>0.934</w:t>
            </w:r>
          </w:p>
        </w:tc>
      </w:tr>
      <w:tr w:rsidR="00874A01" w:rsidRPr="006A200F" w14:paraId="049F0CAF" w14:textId="77777777" w:rsidTr="00FA753D">
        <w:trPr>
          <w:trHeight w:val="227"/>
        </w:trPr>
        <w:tc>
          <w:tcPr>
            <w:tcW w:w="1543" w:type="dxa"/>
          </w:tcPr>
          <w:p w14:paraId="1AF7B3D9" w14:textId="0C295EF5" w:rsidR="00874A01" w:rsidRPr="006A200F" w:rsidRDefault="00874A01" w:rsidP="00874A01">
            <w:pPr>
              <w:rPr>
                <w:sz w:val="22"/>
              </w:rPr>
            </w:pPr>
            <w:r w:rsidRPr="006A200F">
              <w:rPr>
                <w:sz w:val="22"/>
              </w:rPr>
              <w:t>HDS</w:t>
            </w:r>
          </w:p>
        </w:tc>
        <w:tc>
          <w:tcPr>
            <w:tcW w:w="1423" w:type="dxa"/>
          </w:tcPr>
          <w:p w14:paraId="2BBB56C3" w14:textId="5A364A95" w:rsidR="00874A01" w:rsidRPr="006A200F" w:rsidRDefault="00874A01" w:rsidP="00874A01">
            <w:pPr>
              <w:jc w:val="right"/>
              <w:rPr>
                <w:sz w:val="22"/>
              </w:rPr>
            </w:pPr>
            <w:r w:rsidRPr="006A200F">
              <w:rPr>
                <w:sz w:val="22"/>
              </w:rPr>
              <w:t>0.711</w:t>
            </w:r>
          </w:p>
        </w:tc>
        <w:tc>
          <w:tcPr>
            <w:tcW w:w="1356" w:type="dxa"/>
          </w:tcPr>
          <w:p w14:paraId="4CFC42E4" w14:textId="70A2D781" w:rsidR="00874A01" w:rsidRPr="006A200F" w:rsidRDefault="00874A01" w:rsidP="00874A01">
            <w:pPr>
              <w:jc w:val="right"/>
              <w:rPr>
                <w:sz w:val="22"/>
              </w:rPr>
            </w:pPr>
            <w:r w:rsidRPr="006A200F">
              <w:rPr>
                <w:sz w:val="22"/>
              </w:rPr>
              <w:t>0.878</w:t>
            </w:r>
          </w:p>
        </w:tc>
      </w:tr>
      <w:tr w:rsidR="00874A01" w:rsidRPr="006A200F" w14:paraId="68F6574E" w14:textId="77777777" w:rsidTr="00FA753D">
        <w:trPr>
          <w:trHeight w:val="227"/>
        </w:trPr>
        <w:tc>
          <w:tcPr>
            <w:tcW w:w="1543" w:type="dxa"/>
          </w:tcPr>
          <w:p w14:paraId="64B63F9B" w14:textId="2B4B9F02" w:rsidR="00874A01" w:rsidRPr="006A200F" w:rsidRDefault="00874A01" w:rsidP="00874A01">
            <w:pPr>
              <w:rPr>
                <w:sz w:val="22"/>
              </w:rPr>
            </w:pPr>
            <w:r w:rsidRPr="006A200F">
              <w:rPr>
                <w:sz w:val="22"/>
              </w:rPr>
              <w:t>DS</w:t>
            </w:r>
          </w:p>
        </w:tc>
        <w:tc>
          <w:tcPr>
            <w:tcW w:w="1423" w:type="dxa"/>
          </w:tcPr>
          <w:p w14:paraId="3EB319B1" w14:textId="5FC9D052" w:rsidR="00874A01" w:rsidRPr="006A200F" w:rsidRDefault="00874A01" w:rsidP="00874A01">
            <w:pPr>
              <w:jc w:val="right"/>
              <w:rPr>
                <w:sz w:val="22"/>
              </w:rPr>
            </w:pPr>
            <w:r w:rsidRPr="006A200F">
              <w:rPr>
                <w:sz w:val="22"/>
              </w:rPr>
              <w:t>0.638</w:t>
            </w:r>
          </w:p>
        </w:tc>
        <w:tc>
          <w:tcPr>
            <w:tcW w:w="1356" w:type="dxa"/>
          </w:tcPr>
          <w:p w14:paraId="77ED62DB" w14:textId="5CBEF284" w:rsidR="00874A01" w:rsidRPr="006A200F" w:rsidRDefault="00874A01" w:rsidP="00874A01">
            <w:pPr>
              <w:jc w:val="right"/>
              <w:rPr>
                <w:sz w:val="22"/>
              </w:rPr>
            </w:pPr>
            <w:r w:rsidRPr="006A200F">
              <w:rPr>
                <w:sz w:val="22"/>
              </w:rPr>
              <w:t>0.656</w:t>
            </w:r>
          </w:p>
        </w:tc>
      </w:tr>
    </w:tbl>
    <w:p w14:paraId="29EF0B66" w14:textId="73D665E6" w:rsidR="00F23EA1" w:rsidRPr="002B2755" w:rsidRDefault="00874A01" w:rsidP="002C20EB">
      <w:pPr>
        <w:pStyle w:val="Heading1"/>
      </w:pPr>
      <w:r>
        <w:br w:type="page"/>
      </w:r>
      <w:bookmarkEnd w:id="54"/>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2C458EC1">
            <wp:extent cx="6741267" cy="3852153"/>
            <wp:effectExtent l="0" t="0" r="254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769892" cy="3868510"/>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302101C0">
            <wp:extent cx="6770452" cy="59241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774120" cy="5927354"/>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commentRangeStart w:id="55"/>
      <w:commentRangeStart w:id="56"/>
      <w:r w:rsidR="00F330A8">
        <w:t xml:space="preserve">Frequency </w:t>
      </w:r>
      <w:commentRangeStart w:id="57"/>
      <w:commentRangeStart w:id="58"/>
      <w:r w:rsidR="00F330A8">
        <w:t>d</w:t>
      </w:r>
      <w:r w:rsidRPr="002C037D">
        <w:t xml:space="preserve">istributions </w:t>
      </w:r>
      <w:commentRangeEnd w:id="57"/>
      <w:r w:rsidR="00F330A8">
        <w:rPr>
          <w:rStyle w:val="CommentReference"/>
          <w:rFonts w:ascii="Times New Roman" w:hAnsiTheme="minorHAnsi"/>
        </w:rPr>
        <w:commentReference w:id="57"/>
      </w:r>
      <w:commentRangeEnd w:id="58"/>
      <w:r w:rsidR="006F5A52">
        <w:rPr>
          <w:rStyle w:val="CommentReference"/>
          <w:rFonts w:ascii="Times New Roman" w:hAnsiTheme="minorHAnsi"/>
        </w:rPr>
        <w:commentReference w:id="58"/>
      </w:r>
      <w:commentRangeEnd w:id="55"/>
      <w:r w:rsidR="006125FF">
        <w:rPr>
          <w:rStyle w:val="CommentReference"/>
          <w:rFonts w:ascii="Times New Roman" w:hAnsiTheme="minorHAnsi"/>
        </w:rPr>
        <w:commentReference w:id="55"/>
      </w:r>
      <w:commentRangeEnd w:id="56"/>
      <w:r w:rsidR="00644312">
        <w:rPr>
          <w:rStyle w:val="CommentReference"/>
          <w:rFonts w:ascii="Times New Roman" w:hAnsiTheme="minorHAnsi"/>
        </w:rPr>
        <w:commentReference w:id="56"/>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expressed as a proportion (</w:t>
      </w:r>
      <w:r w:rsidRPr="00D81A2B">
        <w:rPr>
          <w:i/>
        </w:rPr>
        <w:t>T</w:t>
      </w:r>
      <w:r w:rsidRPr="00D81A2B">
        <w:rPr>
          <w:vertAlign w:val="subscript"/>
        </w:rPr>
        <w:t>QDS</w:t>
      </w:r>
      <w:r w:rsidR="00211A46">
        <w:rPr>
          <w:vertAlign w:val="subscript"/>
        </w:rPr>
        <w:t xml:space="preserve"> </w:t>
      </w:r>
      <w:r w:rsidR="00211A46" w:rsidRPr="002C20EB">
        <w:t>/</w:t>
      </w:r>
      <w:r w:rsidR="00211A46" w:rsidRPr="00211A46">
        <w:rPr>
          <w:i/>
        </w:rPr>
        <w:t xml:space="preserve"> </w:t>
      </w:r>
      <w:r w:rsidR="00211A46" w:rsidRPr="00D81A2B">
        <w:rPr>
          <w:i/>
        </w:rPr>
        <w:t>S</w:t>
      </w:r>
      <w:r w:rsidR="00211A46" w:rsidRPr="00D81A2B">
        <w:rPr>
          <w:vertAlign w:val="subscript"/>
        </w:rPr>
        <w:t>HDS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0888E168">
            <wp:extent cx="6828819" cy="2276273"/>
            <wp:effectExtent l="0" t="0" r="381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851866" cy="2283955"/>
                    </a:xfrm>
                    <a:prstGeom prst="rect">
                      <a:avLst/>
                    </a:prstGeom>
                    <a:noFill/>
                    <a:ln w="9525">
                      <a:noFill/>
                      <a:headEnd/>
                      <a:tailEnd/>
                    </a:ln>
                  </pic:spPr>
                </pic:pic>
              </a:graphicData>
            </a:graphic>
          </wp:inline>
        </w:drawing>
      </w:r>
    </w:p>
    <w:p w14:paraId="7180F251" w14:textId="517F578C"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xml:space="preserve">, all with highly </w:t>
      </w:r>
      <w:commentRangeStart w:id="59"/>
      <w:r w:rsidR="00AA17FE">
        <w:t xml:space="preserve">significant slopes </w:t>
      </w:r>
      <w:commentRangeEnd w:id="59"/>
      <w:r w:rsidR="00A57067">
        <w:rPr>
          <w:rStyle w:val="CommentReference"/>
          <w:rFonts w:ascii="Times New Roman" w:hAnsiTheme="minorHAnsi"/>
        </w:rPr>
        <w:commentReference w:id="59"/>
      </w:r>
      <w:r w:rsidR="00AA17FE">
        <w:t>(</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w:t>
      </w:r>
      <w:r w:rsidR="00E178D8">
        <w:t>black</w:t>
      </w:r>
      <w:r w:rsidR="00126FD8">
        <w:t>) and SWAFR (</w:t>
      </w:r>
      <w:r w:rsidR="00E178D8">
        <w:t>grey</w:t>
      </w:r>
      <w:r w:rsidR="00126FD8">
        <w:t xml:space="preserve">)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rsidR="002644F5">
        <w:t xml:space="preserve"> [</w:t>
      </w:r>
      <w:r w:rsidR="002644F5" w:rsidRPr="002644F5">
        <w:rPr>
          <w:highlight w:val="yellow"/>
        </w:rPr>
        <w:t>hotspots</w:t>
      </w:r>
      <w:r w:rsidR="002644F5">
        <w:t>].</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20B1C8E0">
            <wp:extent cx="6819864" cy="3897064"/>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4" cy="3897064"/>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commentRangeStart w:id="60"/>
      <w:commentRangeStart w:id="61"/>
      <w:r w:rsidRPr="00242181">
        <w:rPr>
          <w:b/>
        </w:rPr>
        <w:t>Figure 4:</w:t>
      </w:r>
      <w:r w:rsidRPr="00EB7331">
        <w:t xml:space="preserve"> </w:t>
      </w:r>
      <w:commentRangeEnd w:id="60"/>
      <w:r w:rsidR="006125FF">
        <w:rPr>
          <w:rStyle w:val="CommentReference"/>
          <w:rFonts w:ascii="Times New Roman" w:hAnsiTheme="minorHAnsi"/>
        </w:rPr>
        <w:commentReference w:id="60"/>
      </w:r>
      <w:commentRangeEnd w:id="61"/>
      <w:r w:rsidR="00AC2235">
        <w:rPr>
          <w:rStyle w:val="CommentReference"/>
          <w:rFonts w:ascii="Times New Roman" w:hAnsiTheme="minorHAnsi"/>
        </w:rPr>
        <w:commentReference w:id="61"/>
      </w:r>
      <w:r w:rsidRPr="00EB7331">
        <w:t xml:space="preserve">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62" w:name="references"/>
    </w:p>
    <w:p w14:paraId="0BD64C4E" w14:textId="2D0B4B2B" w:rsidR="006056E9" w:rsidRDefault="00A45444" w:rsidP="002C20EB">
      <w:pPr>
        <w:pStyle w:val="BodyText"/>
      </w:pPr>
      <w:r>
        <w:rPr>
          <w:noProof/>
          <w:lang w:val="en-ZA" w:eastAsia="en-ZA"/>
        </w:rPr>
        <w:lastRenderedPageBreak/>
        <w:drawing>
          <wp:inline distT="0" distB="0" distL="0" distR="0" wp14:anchorId="6CD6A0FF" wp14:editId="40ACFF47">
            <wp:extent cx="5118100" cy="877388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59468" cy="8844803"/>
                    </a:xfrm>
                    <a:prstGeom prst="rect">
                      <a:avLst/>
                    </a:prstGeom>
                  </pic:spPr>
                </pic:pic>
              </a:graphicData>
            </a:graphic>
          </wp:inline>
        </w:drawing>
      </w:r>
    </w:p>
    <w:p w14:paraId="20EF5617" w14:textId="15703A38" w:rsidR="00A45444" w:rsidRPr="002C20EB" w:rsidRDefault="00A45444" w:rsidP="0074274A">
      <w:pPr>
        <w:pStyle w:val="BodyText"/>
      </w:pPr>
      <w:r w:rsidRPr="00242181">
        <w:rPr>
          <w:b/>
        </w:rPr>
        <w:lastRenderedPageBreak/>
        <w:t xml:space="preserve">Figure </w:t>
      </w:r>
      <w:r>
        <w:rPr>
          <w:b/>
        </w:rPr>
        <w:t>5</w:t>
      </w:r>
      <w:r w:rsidR="005649C9">
        <w:rPr>
          <w:b/>
        </w:rPr>
        <w:t xml:space="preserve"> (previous page)</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779CFF39" w14:textId="77777777" w:rsidR="000878A3" w:rsidRDefault="009E59E0" w:rsidP="000878A3">
      <w:pPr>
        <w:pStyle w:val="Heading1"/>
        <w:spacing w:line="240" w:lineRule="auto"/>
      </w:pPr>
      <w:r w:rsidRPr="009E59E0">
        <w:lastRenderedPageBreak/>
        <w:t>Data availability statement</w:t>
      </w:r>
    </w:p>
    <w:p w14:paraId="6743CDCE" w14:textId="16CAB420" w:rsidR="009E59E0" w:rsidRPr="000878A3" w:rsidRDefault="00DC1038" w:rsidP="000878A3">
      <w:pPr>
        <w:pStyle w:val="BodyText"/>
      </w:pPr>
      <w:r>
        <w:t xml:space="preserve">Raster-layers (of the nine forms of environmental heterogeneity, the major axis of heterogeneity (PC1) and vascular species richness) at each of the four spatial scales and analyses in the form of R-scripts </w:t>
      </w:r>
      <w:r w:rsidRPr="0019466D">
        <w:rPr>
          <w:highlight w:val="cyan"/>
        </w:rPr>
        <w:t>are available in the DRYAD Digital Repository (URL/DOI</w:t>
      </w:r>
      <w:r>
        <w:t xml:space="preserve">). The </w:t>
      </w:r>
      <w:r w:rsidR="00A56EBA">
        <w:t xml:space="preserve">raw </w:t>
      </w:r>
      <w:r>
        <w:t xml:space="preserve">plant occurrence records are available from GBIF (GCFR: </w:t>
      </w:r>
      <w:hyperlink r:id="rId17" w:history="1">
        <w:r w:rsidR="00A56EBA" w:rsidRPr="000F1325">
          <w:rPr>
            <w:rStyle w:val="Hyperlink"/>
          </w:rPr>
          <w:t>https://doi.org/10.15468/dl.n6u6n0</w:t>
        </w:r>
      </w:hyperlink>
      <w:r>
        <w:t xml:space="preserve">; SWAFR: </w:t>
      </w:r>
      <w:hyperlink r:id="rId18" w:history="1">
        <w:r w:rsidR="00930D80" w:rsidRPr="000F1325">
          <w:rPr>
            <w:rStyle w:val="Hyperlink"/>
          </w:rPr>
          <w:t>https://doi.org/10.15468/dl.46okua</w:t>
        </w:r>
      </w:hyperlink>
      <w:r>
        <w:t xml:space="preserve">). </w:t>
      </w:r>
      <w:r w:rsidRPr="00596AC4">
        <w:rPr>
          <w:highlight w:val="cyan"/>
        </w:rPr>
        <w:t>Our analyses are reproducible using R-scripts available also on GitHub (</w:t>
      </w:r>
      <w:hyperlink r:id="rId19" w:history="1">
        <w:r w:rsidR="00114B76" w:rsidRPr="00EC4B74">
          <w:rPr>
            <w:rStyle w:val="Hyperlink"/>
            <w:highlight w:val="cyan"/>
          </w:rPr>
          <w:t>https://github.com/rvanmazijk/Cape-vs-SWA</w:t>
        </w:r>
      </w:hyperlink>
      <w:r w:rsidRPr="00596AC4">
        <w:rPr>
          <w:highlight w:val="cyan"/>
        </w:rPr>
        <w:t>).</w:t>
      </w:r>
    </w:p>
    <w:p w14:paraId="3FB275CB" w14:textId="782BA677" w:rsidR="00DD2348" w:rsidRDefault="005F0FFB" w:rsidP="0018462C">
      <w:pPr>
        <w:pStyle w:val="Heading1"/>
      </w:pPr>
      <w:r w:rsidRPr="002C20EB">
        <w:t>References</w:t>
      </w:r>
      <w:bookmarkEnd w:id="62"/>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African 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1C145788" w:rsid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lastRenderedPageBreak/>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536ECE14" w14:textId="285528D2" w:rsidR="002F32A1" w:rsidRDefault="002F32A1" w:rsidP="009F6E75">
      <w:pPr>
        <w:widowControl w:val="0"/>
        <w:autoSpaceDE w:val="0"/>
        <w:autoSpaceDN w:val="0"/>
        <w:adjustRightInd w:val="0"/>
        <w:spacing w:after="180"/>
        <w:rPr>
          <w:rFonts w:hAnsi="Times New Roman" w:cs="Times New Roman"/>
          <w:noProof/>
        </w:rPr>
      </w:pPr>
    </w:p>
    <w:p w14:paraId="03C3FA09" w14:textId="77777777" w:rsidR="002F32A1" w:rsidRPr="00F66C40" w:rsidRDefault="002F32A1" w:rsidP="002F32A1">
      <w:pPr>
        <w:widowControl w:val="0"/>
        <w:autoSpaceDE w:val="0"/>
        <w:autoSpaceDN w:val="0"/>
        <w:adjustRightInd w:val="0"/>
        <w:ind w:left="720" w:hanging="720"/>
        <w:rPr>
          <w:rFonts w:hAnsi="Times New Roman" w:cs="Times New Roman"/>
          <w:noProof/>
          <w:lang w:val="en-GB"/>
        </w:rPr>
      </w:pPr>
      <w:r w:rsidRPr="00F66C40">
        <w:rPr>
          <w:rFonts w:hAnsi="Times New Roman" w:cs="Times New Roman"/>
          <w:noProof/>
          <w:lang w:val="en-GB"/>
        </w:rPr>
        <w:t xml:space="preserve">Chao A. &amp; Jost L. (2012) Coverage-based rarefaction and extrapolation: Standardizing samples by completeness rather than size. </w:t>
      </w:r>
      <w:r w:rsidRPr="00F66C40">
        <w:rPr>
          <w:rFonts w:hAnsi="Times New Roman" w:cs="Times New Roman"/>
          <w:i/>
          <w:iCs/>
          <w:noProof/>
          <w:lang w:val="en-GB"/>
        </w:rPr>
        <w:t>Ecology</w:t>
      </w:r>
      <w:r w:rsidRPr="00F66C40">
        <w:rPr>
          <w:rFonts w:hAnsi="Times New Roman" w:cs="Times New Roman"/>
          <w:noProof/>
          <w:lang w:val="en-GB"/>
        </w:rPr>
        <w:t xml:space="preserve">, </w:t>
      </w:r>
      <w:r w:rsidRPr="00F66C40">
        <w:rPr>
          <w:rFonts w:hAnsi="Times New Roman" w:cs="Times New Roman"/>
          <w:b/>
          <w:bCs/>
          <w:noProof/>
          <w:lang w:val="en-GB"/>
        </w:rPr>
        <w:t>93</w:t>
      </w:r>
      <w:r w:rsidRPr="00F66C40">
        <w:rPr>
          <w:rFonts w:hAnsi="Times New Roman" w:cs="Times New Roman"/>
          <w:noProof/>
          <w:lang w:val="en-GB"/>
        </w:rPr>
        <w:t xml:space="preserve">, 2533–2547. </w:t>
      </w:r>
    </w:p>
    <w:p w14:paraId="105BDFB9" w14:textId="77777777" w:rsidR="002F32A1" w:rsidRPr="00F66C40" w:rsidRDefault="002F32A1" w:rsidP="002F32A1">
      <w:pPr>
        <w:ind w:left="480" w:hanging="480"/>
        <w:rPr>
          <w:rFonts w:hAnsi="Times New Roman" w:cs="Times New Roman"/>
          <w:noProof/>
          <w:lang w:val="en-GB"/>
        </w:rPr>
      </w:pPr>
      <w:r w:rsidRPr="00F66C40">
        <w:rPr>
          <w:rFonts w:hAnsi="Times New Roman" w:cs="Times New Roman"/>
          <w:noProof/>
          <w:lang w:val="en-GB"/>
        </w:rPr>
        <w:t>Colville, J.C., Potts A.J., Bradshaw P.L., Measey J., Snyman D., Picker M.D. Procheş S., Bowie R.C.K. &amp; Manning J.C. (2014) Floristic and faunal Cape biochoria: do they exist.</w:t>
      </w:r>
      <w:r w:rsidRPr="00F66C40">
        <w:rPr>
          <w:rFonts w:hAnsi="Times New Roman" w:cs="Times New Roman"/>
          <w:i/>
          <w:noProof/>
          <w:lang w:val="en-GB"/>
        </w:rPr>
        <w:t xml:space="preserve"> Fynbos: ecology, evolution, and conservation of a megadiverse region </w:t>
      </w:r>
      <w:r w:rsidRPr="00F66C40">
        <w:rPr>
          <w:rFonts w:hAnsi="Times New Roman" w:cs="Times New Roman"/>
          <w:noProof/>
          <w:lang w:val="en-GB"/>
        </w:rPr>
        <w:t>(ed. by N. Allsopp, J.F. Colville, G.A. Verboom and R.M. Cowling), pp. 73–93, Oxford University Press, Oxford.</w:t>
      </w:r>
    </w:p>
    <w:p w14:paraId="2FA27561" w14:textId="77777777" w:rsidR="002F32A1" w:rsidRPr="00F66C40" w:rsidRDefault="002F32A1" w:rsidP="002F32A1">
      <w:pPr>
        <w:ind w:left="720" w:hanging="720"/>
        <w:rPr>
          <w:rFonts w:hAnsi="Times New Roman" w:cs="Times New Roman"/>
          <w:noProof/>
          <w:lang w:val="en-GB"/>
        </w:rPr>
      </w:pPr>
      <w:r w:rsidRPr="00F66C40">
        <w:rPr>
          <w:rFonts w:hAnsi="Times New Roman" w:cs="Times New Roman"/>
          <w:noProof/>
          <w:lang w:val="en-GB"/>
        </w:rPr>
        <w:t xml:space="preserve">Engemann K., Enquist B.J., Sandel B., Boyle B., Jørgensen P.M., Morueta-Holme N., Peet R.K., Violle C., &amp; Svenning J.-C. (2015) Limited sampling hampers “big data” estimation of species richness in a tropical biodiversity hotspot. </w:t>
      </w:r>
      <w:r w:rsidRPr="00F66C40">
        <w:rPr>
          <w:rFonts w:hAnsi="Times New Roman" w:cs="Times New Roman"/>
          <w:i/>
          <w:iCs/>
          <w:noProof/>
          <w:lang w:val="en-GB"/>
        </w:rPr>
        <w:t>Ecology and Evolution</w:t>
      </w:r>
      <w:r w:rsidRPr="00F66C40">
        <w:rPr>
          <w:rFonts w:hAnsi="Times New Roman" w:cs="Times New Roman"/>
          <w:noProof/>
          <w:lang w:val="en-GB"/>
        </w:rPr>
        <w:t xml:space="preserve">, </w:t>
      </w:r>
      <w:r w:rsidRPr="00F66C40">
        <w:rPr>
          <w:rFonts w:hAnsi="Times New Roman" w:cs="Times New Roman"/>
          <w:b/>
          <w:bCs/>
          <w:noProof/>
          <w:lang w:val="en-GB"/>
        </w:rPr>
        <w:t>5</w:t>
      </w:r>
      <w:r w:rsidRPr="00F66C40">
        <w:rPr>
          <w:rFonts w:hAnsi="Times New Roman" w:cs="Times New Roman"/>
          <w:noProof/>
          <w:lang w:val="en-GB"/>
        </w:rPr>
        <w:t xml:space="preserve">, 807–820. </w:t>
      </w:r>
    </w:p>
    <w:p w14:paraId="244ADFF8" w14:textId="77777777" w:rsidR="002F32A1" w:rsidRPr="00F66C40" w:rsidRDefault="002F32A1" w:rsidP="002F32A1">
      <w:pPr>
        <w:ind w:left="480" w:hanging="480"/>
        <w:rPr>
          <w:rFonts w:hAnsi="Times New Roman" w:cs="Times New Roman"/>
          <w:noProof/>
          <w:lang w:val="en-GB"/>
        </w:rPr>
      </w:pPr>
      <w:r w:rsidRPr="00F66C40">
        <w:rPr>
          <w:rFonts w:hAnsi="Times New Roman" w:cs="Times New Roman"/>
          <w:noProof/>
          <w:lang w:val="en-GB"/>
        </w:rPr>
        <w:t xml:space="preserve">Gotelli N.J. &amp; Colwell R.K. (2001) Quantifying biodiversity: Procedures and pitfalls in the measurement and comparison of species richness. </w:t>
      </w:r>
      <w:r w:rsidRPr="00F66C40">
        <w:rPr>
          <w:rFonts w:hAnsi="Times New Roman" w:cs="Times New Roman"/>
          <w:i/>
          <w:iCs/>
          <w:noProof/>
          <w:lang w:val="en-GB"/>
        </w:rPr>
        <w:t>Ecology Letters</w:t>
      </w:r>
      <w:r w:rsidRPr="00F66C40">
        <w:rPr>
          <w:rFonts w:hAnsi="Times New Roman" w:cs="Times New Roman"/>
          <w:noProof/>
          <w:lang w:val="en-GB"/>
        </w:rPr>
        <w:t xml:space="preserve">, </w:t>
      </w:r>
      <w:r w:rsidRPr="00F66C40">
        <w:rPr>
          <w:rFonts w:hAnsi="Times New Roman" w:cs="Times New Roman"/>
          <w:b/>
          <w:bCs/>
          <w:noProof/>
          <w:lang w:val="en-GB"/>
        </w:rPr>
        <w:t>4</w:t>
      </w:r>
      <w:r w:rsidRPr="00F66C40">
        <w:rPr>
          <w:rFonts w:hAnsi="Times New Roman" w:cs="Times New Roman"/>
          <w:noProof/>
          <w:lang w:val="en-GB"/>
        </w:rPr>
        <w:t xml:space="preserve">, 379–391. </w:t>
      </w:r>
    </w:p>
    <w:p w14:paraId="677EF16D" w14:textId="77777777" w:rsidR="002F32A1" w:rsidRDefault="002F32A1" w:rsidP="002F32A1">
      <w:pPr>
        <w:ind w:left="480" w:hanging="480"/>
        <w:rPr>
          <w:rFonts w:hAnsi="Times New Roman" w:cs="Times New Roman"/>
          <w:noProof/>
          <w:lang w:val="en-GB"/>
        </w:rPr>
      </w:pPr>
      <w:r w:rsidRPr="00F66C40">
        <w:rPr>
          <w:rFonts w:hAnsi="Times New Roman" w:cs="Times New Roman"/>
          <w:noProof/>
          <w:lang w:val="en-GB"/>
        </w:rPr>
        <w:t xml:space="preserve">Merow C., Smith M.J., &amp; Silander J.A. (2013) A practical guide to MaxEnt for modeling species’ distributions: What it does, and why inputs and settings matter. </w:t>
      </w:r>
      <w:r w:rsidRPr="00F66C40">
        <w:rPr>
          <w:rFonts w:hAnsi="Times New Roman" w:cs="Times New Roman"/>
          <w:i/>
          <w:iCs/>
          <w:noProof/>
          <w:lang w:val="en-GB"/>
        </w:rPr>
        <w:t>Ecography</w:t>
      </w:r>
      <w:r w:rsidRPr="00F66C40">
        <w:rPr>
          <w:rFonts w:hAnsi="Times New Roman" w:cs="Times New Roman"/>
          <w:noProof/>
          <w:lang w:val="en-GB"/>
        </w:rPr>
        <w:t xml:space="preserve">, </w:t>
      </w:r>
      <w:r w:rsidRPr="00F66C40">
        <w:rPr>
          <w:rFonts w:hAnsi="Times New Roman" w:cs="Times New Roman"/>
          <w:b/>
          <w:bCs/>
          <w:noProof/>
          <w:lang w:val="en-GB"/>
        </w:rPr>
        <w:t>36</w:t>
      </w:r>
      <w:r w:rsidRPr="00F66C40">
        <w:rPr>
          <w:rFonts w:hAnsi="Times New Roman" w:cs="Times New Roman"/>
          <w:noProof/>
          <w:lang w:val="en-GB"/>
        </w:rPr>
        <w:t xml:space="preserve">, 1058–1069. </w:t>
      </w:r>
    </w:p>
    <w:p w14:paraId="0C00D59E" w14:textId="77777777" w:rsidR="002F32A1" w:rsidRDefault="002F32A1" w:rsidP="002F32A1">
      <w:pPr>
        <w:widowControl w:val="0"/>
        <w:autoSpaceDE w:val="0"/>
        <w:autoSpaceDN w:val="0"/>
        <w:adjustRightInd w:val="0"/>
        <w:ind w:left="720" w:hanging="720"/>
        <w:rPr>
          <w:rFonts w:hAnsi="Times New Roman" w:cs="Times New Roman"/>
          <w:noProof/>
        </w:rPr>
      </w:pPr>
      <w:r w:rsidRPr="00F66C40">
        <w:rPr>
          <w:rFonts w:hAnsi="Times New Roman" w:cs="Times New Roman"/>
          <w:noProof/>
        </w:rPr>
        <w:t xml:space="preserve">Rebelo T. (2001) </w:t>
      </w:r>
      <w:r w:rsidRPr="00F66C40">
        <w:rPr>
          <w:rFonts w:hAnsi="Times New Roman" w:cs="Times New Roman"/>
          <w:i/>
          <w:noProof/>
        </w:rPr>
        <w:t>Proteas: A Field Guide to the Proteas of Southern Africa</w:t>
      </w:r>
      <w:r w:rsidRPr="00F66C40">
        <w:rPr>
          <w:rFonts w:hAnsi="Times New Roman" w:cs="Times New Roman"/>
          <w:noProof/>
        </w:rPr>
        <w:t xml:space="preserve">. Fernwood Press, Cape Town. </w:t>
      </w:r>
    </w:p>
    <w:p w14:paraId="660BC7FE" w14:textId="0A0FE09B" w:rsidR="009F6E75" w:rsidRDefault="009F6E75">
      <w:pPr>
        <w:rPr>
          <w:rFonts w:hAnsi="Times New Roman" w:cs="Times New Roman"/>
          <w:noProof/>
        </w:rPr>
      </w:pPr>
      <w:r>
        <w:rPr>
          <w:rFonts w:hAnsi="Times New Roman" w:cs="Times New Roman"/>
          <w:noProof/>
        </w:rPr>
        <w:br w:type="page"/>
      </w:r>
    </w:p>
    <w:p w14:paraId="48A13E83" w14:textId="163E3BF1" w:rsidR="00EF41C1" w:rsidRDefault="008E0DFC" w:rsidP="002C20EB">
      <w:pPr>
        <w:pStyle w:val="Heading1"/>
      </w:pPr>
      <w:r>
        <w:rPr>
          <w:b w:val="0"/>
          <w:bCs w:val="0"/>
        </w:rPr>
        <w:lastRenderedPageBreak/>
        <w:fldChar w:fldCharType="end"/>
      </w:r>
      <w:proofErr w:type="spellStart"/>
      <w:r w:rsidR="004D4AE1" w:rsidRPr="004D4AE1">
        <w:t>Biosketch</w:t>
      </w:r>
      <w:r w:rsidR="004D4AE1">
        <w:t>es</w:t>
      </w:r>
      <w:proofErr w:type="spellEnd"/>
    </w:p>
    <w:p w14:paraId="540FBFB2" w14:textId="0CFCE5C3" w:rsidR="00EF41C1" w:rsidRDefault="00F3256A" w:rsidP="002C20EB">
      <w:pPr>
        <w:pStyle w:val="BodyText"/>
        <w:spacing w:before="0"/>
      </w:pPr>
      <w:r>
        <w:rPr>
          <w:b/>
        </w:rPr>
        <w:t>Ruan v</w:t>
      </w:r>
      <w:r w:rsidR="00EF41C1" w:rsidRPr="00F3256A">
        <w:rPr>
          <w:b/>
        </w:rPr>
        <w:t>an Mazijk</w:t>
      </w:r>
      <w:r w:rsidR="00EF41C1">
        <w:t xml:space="preserve"> is </w:t>
      </w:r>
      <w:r w:rsidR="00365CC9">
        <w:t xml:space="preserve">graduate student interested in </w:t>
      </w:r>
      <w:r w:rsidR="00D371B8">
        <w:t>[</w:t>
      </w:r>
      <w:r w:rsidR="00D371B8" w:rsidRPr="00D371B8">
        <w:rPr>
          <w:highlight w:val="yellow"/>
        </w:rPr>
        <w:t>…</w:t>
      </w:r>
      <w:r w:rsidR="00D371B8">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53FE1154"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rsidR="00D2755D">
        <w:t xml:space="preserve">then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p w14:paraId="1A12FE4F" w14:textId="77777777" w:rsidR="00B46208" w:rsidRPr="003C085D" w:rsidRDefault="00B46208" w:rsidP="00B46208">
      <w:pPr>
        <w:pStyle w:val="Heading1"/>
      </w:pPr>
      <w:r w:rsidRPr="003C085D">
        <w:t>ORCID</w:t>
      </w:r>
    </w:p>
    <w:p w14:paraId="65B2E59A" w14:textId="77777777" w:rsidR="00B46208" w:rsidRPr="002B2755" w:rsidRDefault="00B46208" w:rsidP="00B46208">
      <w:r w:rsidRPr="002B2755">
        <w:t>R</w:t>
      </w:r>
      <w:r w:rsidRPr="002C20EB">
        <w:t xml:space="preserve">uan van Mazijk: </w:t>
      </w:r>
      <w:hyperlink r:id="rId20" w:history="1">
        <w:r w:rsidRPr="002C20EB">
          <w:rPr>
            <w:rStyle w:val="Hyperlink"/>
          </w:rPr>
          <w:t>https://orcid.org/0000-0003-2659-6909</w:t>
        </w:r>
      </w:hyperlink>
    </w:p>
    <w:p w14:paraId="1B1F3B09" w14:textId="77777777" w:rsidR="00B46208" w:rsidRPr="002B2755" w:rsidRDefault="00B46208" w:rsidP="00B46208">
      <w:r w:rsidRPr="002C20EB">
        <w:t xml:space="preserve">Michael D. Cramer: </w:t>
      </w:r>
      <w:hyperlink r:id="rId21" w:history="1">
        <w:r w:rsidRPr="002C20EB">
          <w:rPr>
            <w:rStyle w:val="Hyperlink"/>
          </w:rPr>
          <w:t>https://orcid.org/0000-0003-0989-3266</w:t>
        </w:r>
      </w:hyperlink>
    </w:p>
    <w:p w14:paraId="54EBA765" w14:textId="4AB34602" w:rsidR="00B46208" w:rsidRPr="00B46208" w:rsidRDefault="00B46208" w:rsidP="00B46208">
      <w:r w:rsidRPr="002C20EB">
        <w:t xml:space="preserve">G. Anthony </w:t>
      </w:r>
      <w:proofErr w:type="spellStart"/>
      <w:r w:rsidRPr="002C20EB">
        <w:t>Verboom</w:t>
      </w:r>
      <w:proofErr w:type="spellEnd"/>
      <w:r w:rsidRPr="002C20EB">
        <w:t xml:space="preserve">: </w:t>
      </w:r>
      <w:hyperlink r:id="rId22" w:history="1">
        <w:r w:rsidRPr="002C20EB">
          <w:rPr>
            <w:rStyle w:val="Hyperlink"/>
          </w:rPr>
          <w:t>https://orcid.org/0000-0002-1363-9781</w:t>
        </w:r>
      </w:hyperlink>
    </w:p>
    <w:sectPr w:rsidR="00B46208" w:rsidRPr="00B46208" w:rsidSect="002C20EB">
      <w:footerReference w:type="default" r:id="rId23"/>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an Van Mazijk" w:date="2019-12-03T12:46:00Z" w:initials="RVM">
    <w:p w14:paraId="346C3B27" w14:textId="00BBE662" w:rsidR="00FC3AFE" w:rsidRDefault="00FC3AFE">
      <w:pPr>
        <w:pStyle w:val="CommentText"/>
      </w:pPr>
      <w:r>
        <w:rPr>
          <w:rStyle w:val="CommentReference"/>
        </w:rPr>
        <w:annotationRef/>
      </w:r>
      <w:r>
        <w:t>Journal of Biogeography style for now</w:t>
      </w:r>
    </w:p>
  </w:comment>
  <w:comment w:id="4" w:author="Ruan Van Mazijk" w:date="2019-12-03T12:24:00Z" w:initials="RVM">
    <w:p w14:paraId="2C95E568" w14:textId="110A8F45" w:rsidR="00FC3AFE" w:rsidRDefault="00FC3AFE">
      <w:pPr>
        <w:pStyle w:val="CommentText"/>
      </w:pPr>
      <w:r>
        <w:rPr>
          <w:rStyle w:val="CommentReference"/>
        </w:rPr>
        <w:annotationRef/>
      </w:r>
      <w:r>
        <w:rPr>
          <w:rStyle w:val="CommentReference"/>
        </w:rPr>
        <w:t>We</w:t>
      </w:r>
      <w:r>
        <w:t xml:space="preserve"> didn</w:t>
      </w:r>
      <w:r>
        <w:t>’</w:t>
      </w:r>
      <w:r>
        <w:t>t do this?</w:t>
      </w:r>
    </w:p>
  </w:comment>
  <w:comment w:id="5" w:author="Michael Cramer" w:date="2019-10-06T08:53:00Z" w:initials="MC">
    <w:p w14:paraId="16A5BD8E" w14:textId="64EEAEFD" w:rsidR="00FC3AFE" w:rsidRDefault="00FC3AFE">
      <w:pPr>
        <w:pStyle w:val="CommentText"/>
      </w:pPr>
      <w:r>
        <w:rPr>
          <w:rStyle w:val="CommentReference"/>
        </w:rPr>
        <w:annotationRef/>
      </w:r>
      <w:r>
        <w:t>Isn</w:t>
      </w:r>
      <w:r>
        <w:t>’</w:t>
      </w:r>
      <w:r>
        <w:t>t this restating the sentence 1 back?</w:t>
      </w:r>
    </w:p>
  </w:comment>
  <w:comment w:id="6" w:author="Ruan Van Mazijk" w:date="2019-10-07T15:41:00Z" w:initials="RVM">
    <w:p w14:paraId="739A862A" w14:textId="7767E5B8" w:rsidR="00FC3AFE" w:rsidRDefault="00FC3AFE">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7" w:author="Michael Cramer" w:date="2019-10-06T09:02:00Z" w:initials="MC">
    <w:p w14:paraId="1A2D83B2" w14:textId="49140011" w:rsidR="00FC3AFE" w:rsidRDefault="00FC3AFE">
      <w:pPr>
        <w:pStyle w:val="CommentText"/>
      </w:pPr>
      <w:r>
        <w:rPr>
          <w:rStyle w:val="CommentReference"/>
        </w:rPr>
        <w:annotationRef/>
      </w:r>
      <w:r>
        <w:t>Does a woody component mean bigger individuals, lower density, lower species richness?</w:t>
      </w:r>
    </w:p>
  </w:comment>
  <w:comment w:id="8" w:author="Michael Cramer" w:date="2019-10-06T08:56:00Z" w:initials="MC">
    <w:p w14:paraId="0D85E42B" w14:textId="713185B3" w:rsidR="00FC3AFE" w:rsidRDefault="00FC3AFE">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w:t>
      </w:r>
      <w:proofErr w:type="spellStart"/>
      <w:r>
        <w:t>kwongan</w:t>
      </w:r>
      <w:proofErr w:type="spellEnd"/>
      <w:r>
        <w:t xml:space="preserve">/fynbos. We also have a </w:t>
      </w:r>
      <w:r>
        <w:t>“</w:t>
      </w:r>
      <w:r>
        <w:t>significant tree</w:t>
      </w:r>
      <w:r>
        <w:t>”</w:t>
      </w:r>
      <w:r>
        <w:t xml:space="preserve"> component but localized in geographic extent to riverine </w:t>
      </w:r>
      <w:proofErr w:type="spellStart"/>
      <w:r>
        <w:t>etc</w:t>
      </w:r>
      <w:proofErr w:type="spellEnd"/>
      <w:r>
        <w:t xml:space="preserve"> bands.</w:t>
      </w:r>
    </w:p>
  </w:comment>
  <w:comment w:id="9" w:author="Ruan Van Mazijk" w:date="2019-10-07T15:43:00Z" w:initials="RVM">
    <w:p w14:paraId="50E697F5" w14:textId="121413FD" w:rsidR="00FC3AFE" w:rsidRDefault="00FC3AFE">
      <w:pPr>
        <w:pStyle w:val="CommentText"/>
      </w:pPr>
      <w:r>
        <w:rPr>
          <w:rStyle w:val="CommentReference"/>
        </w:rPr>
        <w:annotationRef/>
      </w:r>
      <w:r>
        <w:t>This is a good point</w:t>
      </w:r>
      <w:r>
        <w:t>…</w:t>
      </w:r>
      <w:r>
        <w:t xml:space="preserve"> Shall we chat more about this at some point?</w:t>
      </w:r>
    </w:p>
  </w:comment>
  <w:comment w:id="10" w:author="Ruan Van Mazijk" w:date="2019-12-03T12:30:00Z" w:initials="RVM">
    <w:p w14:paraId="276D846E" w14:textId="7583AD33" w:rsidR="00FC3AFE" w:rsidRDefault="00FC3AFE">
      <w:pPr>
        <w:pStyle w:val="CommentText"/>
      </w:pPr>
      <w:r>
        <w:rPr>
          <w:rStyle w:val="CommentReference"/>
        </w:rPr>
        <w:annotationRef/>
      </w:r>
      <w:r>
        <w:t>GCFR?</w:t>
      </w:r>
    </w:p>
  </w:comment>
  <w:comment w:id="12" w:author="Michael Cramer" w:date="2019-12-02T11:15:00Z" w:initials="MC">
    <w:p w14:paraId="03CFEB10" w14:textId="7AC156BE" w:rsidR="00FC3AFE" w:rsidRDefault="00FC3AFE">
      <w:pPr>
        <w:pStyle w:val="CommentText"/>
      </w:pPr>
      <w:r>
        <w:rPr>
          <w:rStyle w:val="CommentReference"/>
        </w:rPr>
        <w:annotationRef/>
      </w:r>
      <w:r>
        <w:t xml:space="preserve">I am wondering whether we need to pre-empt the rarefaction argument better here. For example, I might be bold and say that rarefaction is entirely inappropriate for museum/herbarium specimens. </w:t>
      </w:r>
    </w:p>
  </w:comment>
  <w:comment w:id="13" w:author="Ruan Van Mazijk" w:date="2019-12-03T12:32:00Z" w:initials="RVM">
    <w:p w14:paraId="52802E12" w14:textId="0E283C27" w:rsidR="00FC3AFE" w:rsidRDefault="00FC3AFE">
      <w:pPr>
        <w:pStyle w:val="CommentText"/>
      </w:pPr>
      <w:r>
        <w:rPr>
          <w:rStyle w:val="CommentReference"/>
        </w:rPr>
        <w:annotationRef/>
      </w:r>
      <w:r>
        <w:t>That</w:t>
      </w:r>
      <w:r>
        <w:t>’</w:t>
      </w:r>
      <w:r>
        <w:t>s a good point!</w:t>
      </w:r>
    </w:p>
  </w:comment>
  <w:comment w:id="14" w:author="Ruan Van Mazijk" w:date="2019-12-04T10:53:00Z" w:initials="RVM">
    <w:p w14:paraId="1C33D467" w14:textId="570F1950" w:rsidR="00FC3AFE" w:rsidRDefault="00FC3AFE">
      <w:pPr>
        <w:pStyle w:val="CommentText"/>
      </w:pPr>
      <w:r>
        <w:rPr>
          <w:rStyle w:val="CommentReference"/>
        </w:rPr>
        <w:annotationRef/>
      </w:r>
      <w:r>
        <w:t>Added this statement. Reword?</w:t>
      </w:r>
    </w:p>
  </w:comment>
  <w:comment w:id="15" w:author="Michael Cramer" w:date="2019-12-02T11:29:00Z" w:initials="MC">
    <w:p w14:paraId="5228A70D" w14:textId="4456D76A" w:rsidR="00FC3AFE" w:rsidRDefault="00FC3AFE">
      <w:pPr>
        <w:pStyle w:val="CommentText"/>
      </w:pPr>
      <w:r>
        <w:rPr>
          <w:rStyle w:val="CommentReference"/>
        </w:rPr>
        <w:annotationRef/>
      </w:r>
      <w:r>
        <w:t>What was the in the broader set that was left out?</w:t>
      </w:r>
    </w:p>
  </w:comment>
  <w:comment w:id="16" w:author="Ruan Van Mazijk" w:date="2019-12-04T11:07:00Z" w:initials="RVM">
    <w:p w14:paraId="7FCF8830" w14:textId="0D899BBA" w:rsidR="00FC3AFE" w:rsidRDefault="00FC3AFE">
      <w:pPr>
        <w:pStyle w:val="CommentText"/>
      </w:pPr>
      <w:r>
        <w:rPr>
          <w:rStyle w:val="CommentReference"/>
        </w:rPr>
        <w:annotationRef/>
      </w:r>
      <w:r>
        <w:t>You</w:t>
      </w:r>
      <w:r>
        <w:t>’</w:t>
      </w:r>
      <w:r>
        <w:t>re right in asking. There weren</w:t>
      </w:r>
      <w:r>
        <w:t>’</w:t>
      </w:r>
      <w:r>
        <w:t>t really any, save the absolute vars. I think the way I</w:t>
      </w:r>
      <w:r>
        <w:t>’</w:t>
      </w:r>
      <w:r>
        <w:t>ve phrased it now works better?</w:t>
      </w:r>
    </w:p>
  </w:comment>
  <w:comment w:id="17" w:author="Michael Cramer" w:date="2019-12-02T11:30:00Z" w:initials="MC">
    <w:p w14:paraId="34FAFFC4" w14:textId="55845394" w:rsidR="00FC3AFE" w:rsidRDefault="00FC3AFE">
      <w:pPr>
        <w:pStyle w:val="CommentText"/>
      </w:pPr>
      <w:r>
        <w:rPr>
          <w:rStyle w:val="CommentReference"/>
        </w:rPr>
        <w:annotationRef/>
      </w:r>
      <w:r>
        <w:t xml:space="preserve">Why nominally? This should been informed by </w:t>
      </w:r>
      <w:proofErr w:type="spellStart"/>
      <w:r>
        <w:t>collinearty</w:t>
      </w:r>
      <w:proofErr w:type="spellEnd"/>
      <w:r>
        <w:t xml:space="preserve"> tests and so surely </w:t>
      </w:r>
      <w:proofErr w:type="spellStart"/>
      <w:r>
        <w:t>nimonally</w:t>
      </w:r>
      <w:proofErr w:type="spellEnd"/>
      <w:r>
        <w:t xml:space="preserve"> is not an accurate description?</w:t>
      </w:r>
    </w:p>
  </w:comment>
  <w:comment w:id="18" w:author="Ruan Van Mazijk" w:date="2019-12-03T12:33:00Z" w:initials="RVM">
    <w:p w14:paraId="0FE22BDB" w14:textId="51654128" w:rsidR="00FC3AFE" w:rsidRDefault="00FC3AFE">
      <w:pPr>
        <w:pStyle w:val="CommentText"/>
      </w:pPr>
      <w:r>
        <w:rPr>
          <w:rStyle w:val="CommentReference"/>
        </w:rPr>
        <w:annotationRef/>
      </w:r>
      <w:r>
        <w:t>Fair point! I</w:t>
      </w:r>
      <w:r>
        <w:t>’</w:t>
      </w:r>
      <w:r>
        <w:t>ve check this and will add as supplementary (will discuss with you guys too).</w:t>
      </w:r>
    </w:p>
  </w:comment>
  <w:comment w:id="19" w:author="Michael Cramer" w:date="2019-10-06T20:10:00Z" w:initials="MC">
    <w:p w14:paraId="5AED77A5" w14:textId="45F362C3" w:rsidR="00FC3AFE" w:rsidRDefault="00FC3AFE">
      <w:pPr>
        <w:pStyle w:val="CommentText"/>
      </w:pPr>
      <w:r>
        <w:rPr>
          <w:rStyle w:val="CommentReference"/>
        </w:rPr>
        <w:annotationRef/>
      </w:r>
      <w:r>
        <w:t>This suggests they were lumped together?</w:t>
      </w:r>
    </w:p>
  </w:comment>
  <w:comment w:id="20" w:author="Ruan Van Mazijk" w:date="2019-10-07T15:44:00Z" w:initials="RVM">
    <w:p w14:paraId="1E812954" w14:textId="484F8BEE" w:rsidR="00FC3AFE" w:rsidRDefault="00FC3AFE">
      <w:pPr>
        <w:pStyle w:val="CommentText"/>
      </w:pPr>
      <w:r>
        <w:rPr>
          <w:rStyle w:val="CommentReference"/>
        </w:rPr>
        <w:annotationRef/>
      </w:r>
      <w:r>
        <w:t>They were! It was a single PCA</w:t>
      </w:r>
      <w:r>
        <w:t>…</w:t>
      </w:r>
    </w:p>
  </w:comment>
  <w:comment w:id="21" w:author="Michael Cramer" w:date="2019-10-06T20:11:00Z" w:initials="MC">
    <w:p w14:paraId="3D93755E" w14:textId="0E76DB81" w:rsidR="00FC3AFE" w:rsidRDefault="00FC3AFE">
      <w:pPr>
        <w:pStyle w:val="CommentText"/>
      </w:pPr>
      <w:r>
        <w:rPr>
          <w:rStyle w:val="CommentReference"/>
        </w:rPr>
        <w:annotationRef/>
      </w:r>
      <w:r>
        <w:t xml:space="preserve">Is the standard not to </w:t>
      </w:r>
      <w:r>
        <w:t>“</w:t>
      </w:r>
      <w:r>
        <w:t>scale</w:t>
      </w:r>
      <w:r>
        <w:t>”</w:t>
      </w:r>
      <w:r>
        <w:t xml:space="preserve"> the variables for PCA anyway?</w:t>
      </w:r>
    </w:p>
  </w:comment>
  <w:comment w:id="22" w:author="Ruan Van Mazijk" w:date="2019-10-07T11:59:00Z" w:initials="RVM">
    <w:p w14:paraId="4E6C485B" w14:textId="2B0CE332" w:rsidR="00FC3AFE" w:rsidRDefault="00FC3AFE">
      <w:pPr>
        <w:pStyle w:val="CommentText"/>
      </w:pPr>
      <w:r>
        <w:rPr>
          <w:rStyle w:val="CommentReference"/>
        </w:rPr>
        <w:annotationRef/>
      </w:r>
      <w:r>
        <w:t>It is the standard yes, but the log10-transofrm is not the scaling. The transformation made sure the data wasn</w:t>
      </w:r>
      <w:r>
        <w:t>’</w:t>
      </w:r>
      <w:r>
        <w:t>t skewed</w:t>
      </w:r>
      <w:r>
        <w:t>…</w:t>
      </w:r>
    </w:p>
  </w:comment>
  <w:comment w:id="24" w:author="Ruan Van Mazijk" w:date="2019-12-03T11:34:00Z" w:initials="RVM">
    <w:p w14:paraId="13E1EB9E" w14:textId="4CDF16C1" w:rsidR="00FC3AFE" w:rsidRDefault="00FC3AFE">
      <w:pPr>
        <w:pStyle w:val="CommentText"/>
      </w:pPr>
      <w:r>
        <w:rPr>
          <w:rStyle w:val="CommentReference"/>
        </w:rPr>
        <w:annotationRef/>
      </w:r>
      <w:r>
        <w:t>And to home-in on the relationships in the non-hotspot parts of the two regions?</w:t>
      </w:r>
    </w:p>
  </w:comment>
  <w:comment w:id="26" w:author="Michael Cramer" w:date="2019-12-03T08:06:00Z" w:initials="MC">
    <w:p w14:paraId="3FA9A013" w14:textId="31BD4F42" w:rsidR="00FC3AFE" w:rsidRDefault="00FC3AFE">
      <w:pPr>
        <w:pStyle w:val="CommentText"/>
      </w:pPr>
      <w:r>
        <w:rPr>
          <w:rStyle w:val="CommentReference"/>
        </w:rPr>
        <w:annotationRef/>
      </w:r>
      <w:r>
        <w:t>It is not easy to see this from Fig 2. There was some discussion about relativizing this but I don</w:t>
      </w:r>
      <w:r>
        <w:t>’</w:t>
      </w:r>
      <w:r>
        <w:t>t remember what happened to that.</w:t>
      </w:r>
    </w:p>
  </w:comment>
  <w:comment w:id="27" w:author="Ruan Van Mazijk" w:date="2019-12-03T12:14:00Z" w:initials="RVM">
    <w:p w14:paraId="3121CA7E" w14:textId="42932269" w:rsidR="00FC3AFE" w:rsidRDefault="00FC3AFE">
      <w:pPr>
        <w:pStyle w:val="CommentText"/>
      </w:pPr>
      <w:r>
        <w:rPr>
          <w:rStyle w:val="CommentReference"/>
        </w:rPr>
        <w:annotationRef/>
      </w:r>
      <w:r>
        <w:t>Still don</w:t>
      </w:r>
      <w:r>
        <w:t>’</w:t>
      </w:r>
      <w:r>
        <w:t xml:space="preserve">t know what you mean by </w:t>
      </w:r>
      <w:proofErr w:type="spellStart"/>
      <w:r>
        <w:t>relativising</w:t>
      </w:r>
      <w:proofErr w:type="spellEnd"/>
      <w:r>
        <w:t xml:space="preserve"> or </w:t>
      </w:r>
      <w:proofErr w:type="spellStart"/>
      <w:r>
        <w:t>standardising</w:t>
      </w:r>
      <w:proofErr w:type="spellEnd"/>
      <w:r>
        <w:t xml:space="preserve"> here?</w:t>
      </w:r>
    </w:p>
  </w:comment>
  <w:comment w:id="28" w:author="Michael Cramer" w:date="2019-12-03T08:07:00Z" w:initials="MC">
    <w:p w14:paraId="330C274F" w14:textId="162472F8" w:rsidR="00FC3AFE" w:rsidRDefault="00FC3AFE">
      <w:pPr>
        <w:pStyle w:val="CommentText"/>
      </w:pPr>
      <w:r>
        <w:rPr>
          <w:rStyle w:val="CommentReference"/>
        </w:rPr>
        <w:annotationRef/>
      </w:r>
      <w:r>
        <w:t>Strange to have this result in S rather than with other panels in Fig 2.</w:t>
      </w:r>
    </w:p>
  </w:comment>
  <w:comment w:id="29" w:author="Ruan Van Mazijk" w:date="2019-12-03T11:55:00Z" w:initials="RVM">
    <w:p w14:paraId="1C54F278" w14:textId="40FFA1DC" w:rsidR="00FC3AFE" w:rsidRDefault="00FC3AFE">
      <w:pPr>
        <w:pStyle w:val="CommentText"/>
      </w:pPr>
      <w:r>
        <w:rPr>
          <w:rStyle w:val="CommentReference"/>
        </w:rPr>
        <w:annotationRef/>
      </w:r>
      <w:r>
        <w:t>I agree. The updated version of the figure has it.</w:t>
      </w:r>
    </w:p>
  </w:comment>
  <w:comment w:id="30" w:author="Michael Cramer" w:date="2019-12-03T08:17:00Z" w:initials="MC">
    <w:p w14:paraId="5C360526" w14:textId="3EE07712" w:rsidR="00FC3AFE" w:rsidRDefault="00FC3AFE">
      <w:pPr>
        <w:pStyle w:val="CommentText"/>
      </w:pPr>
      <w:r>
        <w:rPr>
          <w:rStyle w:val="CommentReference"/>
        </w:rPr>
        <w:annotationRef/>
      </w:r>
      <w:r>
        <w:t xml:space="preserve">I think just refer to the table/figure (which?) rather than saying this. </w:t>
      </w:r>
    </w:p>
  </w:comment>
  <w:comment w:id="31" w:author="Ruan Van Mazijk" w:date="2019-12-03T11:57:00Z" w:initials="RVM">
    <w:p w14:paraId="07C22E28" w14:textId="471300FA" w:rsidR="00FC3AFE" w:rsidRDefault="00FC3AFE">
      <w:pPr>
        <w:pStyle w:val="CommentText"/>
      </w:pPr>
      <w:r>
        <w:rPr>
          <w:rStyle w:val="CommentReference"/>
        </w:rPr>
        <w:annotationRef/>
      </w:r>
      <w:r>
        <w:t>The table is for the univariate (ANCOVA) results, the figure for the multivariate results.</w:t>
      </w:r>
    </w:p>
  </w:comment>
  <w:comment w:id="32" w:author="Michael Cramer" w:date="2019-10-06T20:52:00Z" w:initials="MC">
    <w:p w14:paraId="44AE895E" w14:textId="77777777" w:rsidR="00FC3AFE" w:rsidRDefault="00FC3AFE" w:rsidP="001A7D58">
      <w:pPr>
        <w:pStyle w:val="CommentText"/>
      </w:pPr>
      <w:r>
        <w:rPr>
          <w:rStyle w:val="CommentReference"/>
        </w:rPr>
        <w:annotationRef/>
      </w:r>
      <w:r>
        <w:t>Why is this SD?</w:t>
      </w:r>
    </w:p>
  </w:comment>
  <w:comment w:id="33" w:author="Ruan Van Mazijk" w:date="2019-10-08T09:24:00Z" w:initials="RVM">
    <w:p w14:paraId="76D8A660" w14:textId="77777777" w:rsidR="00FC3AFE" w:rsidRDefault="00FC3AFE" w:rsidP="001A7D58">
      <w:pPr>
        <w:pStyle w:val="CommentText"/>
      </w:pPr>
      <w:r>
        <w:rPr>
          <w:rStyle w:val="CommentReference"/>
        </w:rPr>
        <w:annotationRef/>
      </w:r>
      <w:r>
        <w:t>Should it be the variance rather?</w:t>
      </w:r>
    </w:p>
  </w:comment>
  <w:comment w:id="34" w:author="Michael Cramer" w:date="2019-10-06T20:52:00Z" w:initials="MC">
    <w:p w14:paraId="72002478" w14:textId="77777777" w:rsidR="00FC3AFE" w:rsidRDefault="00FC3AFE" w:rsidP="00827247">
      <w:pPr>
        <w:pStyle w:val="CommentText"/>
      </w:pPr>
      <w:r>
        <w:rPr>
          <w:rStyle w:val="CommentReference"/>
        </w:rPr>
        <w:annotationRef/>
      </w:r>
      <w:r>
        <w:t>Why is this SD?</w:t>
      </w:r>
    </w:p>
  </w:comment>
  <w:comment w:id="35" w:author="Ruan Van Mazijk" w:date="2019-10-08T09:24:00Z" w:initials="RVM">
    <w:p w14:paraId="0A83FFEA" w14:textId="77777777" w:rsidR="00FC3AFE" w:rsidRDefault="00FC3AFE" w:rsidP="00827247">
      <w:pPr>
        <w:pStyle w:val="CommentText"/>
      </w:pPr>
      <w:r>
        <w:rPr>
          <w:rStyle w:val="CommentReference"/>
        </w:rPr>
        <w:annotationRef/>
      </w:r>
      <w:r>
        <w:t>Should it be the variance rather?</w:t>
      </w:r>
    </w:p>
  </w:comment>
  <w:comment w:id="37" w:author="Michael Cramer" w:date="2019-12-03T08:19:00Z" w:initials="MC">
    <w:p w14:paraId="20553D95" w14:textId="4D7D575C" w:rsidR="00FC3AFE" w:rsidRDefault="00FC3AFE">
      <w:pPr>
        <w:pStyle w:val="CommentText"/>
      </w:pPr>
      <w:r>
        <w:rPr>
          <w:rStyle w:val="CommentReference"/>
        </w:rPr>
        <w:annotationRef/>
      </w:r>
      <w:r>
        <w:t>Nice!</w:t>
      </w:r>
    </w:p>
  </w:comment>
  <w:comment w:id="36" w:author="Ruan Van Mazijk" w:date="2019-12-03T11:36:00Z" w:initials="RVM">
    <w:p w14:paraId="1CDB9C49" w14:textId="31B3356C" w:rsidR="00FC3AFE" w:rsidRDefault="00FC3AFE">
      <w:pPr>
        <w:pStyle w:val="CommentText"/>
      </w:pPr>
      <w:r>
        <w:rPr>
          <w:rStyle w:val="CommentReference"/>
        </w:rPr>
        <w:annotationRef/>
      </w:r>
      <w:r>
        <w:rPr>
          <w:rStyle w:val="CommentReference"/>
        </w:rPr>
        <w:annotationRef/>
      </w:r>
      <w:r>
        <w:t>Do you mean Figure 3a? If not, what sort of supporting figure do you wish?</w:t>
      </w:r>
    </w:p>
  </w:comment>
  <w:comment w:id="38" w:author="Michael Cramer" w:date="2019-10-06T20:52:00Z" w:initials="MC">
    <w:p w14:paraId="151A031E" w14:textId="77777777" w:rsidR="00FC3AFE" w:rsidRDefault="00FC3AFE" w:rsidP="003E77D9">
      <w:pPr>
        <w:pStyle w:val="CommentText"/>
      </w:pPr>
      <w:r>
        <w:rPr>
          <w:rStyle w:val="CommentReference"/>
        </w:rPr>
        <w:annotationRef/>
      </w:r>
      <w:r>
        <w:t>Why is this SD?</w:t>
      </w:r>
    </w:p>
  </w:comment>
  <w:comment w:id="39" w:author="Ruan Van Mazijk" w:date="2019-10-08T09:24:00Z" w:initials="RVM">
    <w:p w14:paraId="21F65C2F" w14:textId="77777777" w:rsidR="00FC3AFE" w:rsidRDefault="00FC3AFE" w:rsidP="003E77D9">
      <w:pPr>
        <w:pStyle w:val="CommentText"/>
      </w:pPr>
      <w:r>
        <w:rPr>
          <w:rStyle w:val="CommentReference"/>
        </w:rPr>
        <w:annotationRef/>
      </w:r>
      <w:r>
        <w:t>Should it be the variance rather?</w:t>
      </w:r>
    </w:p>
  </w:comment>
  <w:comment w:id="40" w:author="Michael Cramer" w:date="2019-10-06T20:52:00Z" w:initials="MC">
    <w:p w14:paraId="35D2187B" w14:textId="77777777" w:rsidR="00FC3AFE" w:rsidRDefault="00FC3AFE" w:rsidP="003E77D9">
      <w:pPr>
        <w:pStyle w:val="CommentText"/>
      </w:pPr>
      <w:r>
        <w:rPr>
          <w:rStyle w:val="CommentReference"/>
        </w:rPr>
        <w:annotationRef/>
      </w:r>
      <w:r>
        <w:t>Why is this SD?</w:t>
      </w:r>
    </w:p>
  </w:comment>
  <w:comment w:id="41" w:author="Ruan Van Mazijk" w:date="2019-10-08T09:24:00Z" w:initials="RVM">
    <w:p w14:paraId="5801EF70" w14:textId="77777777" w:rsidR="00FC3AFE" w:rsidRDefault="00FC3AFE" w:rsidP="003E77D9">
      <w:pPr>
        <w:pStyle w:val="CommentText"/>
      </w:pPr>
      <w:r>
        <w:rPr>
          <w:rStyle w:val="CommentReference"/>
        </w:rPr>
        <w:annotationRef/>
      </w:r>
      <w:r>
        <w:t>Should it be the variance rather?</w:t>
      </w:r>
    </w:p>
  </w:comment>
  <w:comment w:id="42" w:author="Michael Cramer" w:date="2019-10-06T20:52:00Z" w:initials="MC">
    <w:p w14:paraId="4CA8A44E" w14:textId="77777777" w:rsidR="00FC3AFE" w:rsidRDefault="00FC3AFE" w:rsidP="00C96F57">
      <w:pPr>
        <w:pStyle w:val="CommentText"/>
      </w:pPr>
      <w:r>
        <w:rPr>
          <w:rStyle w:val="CommentReference"/>
        </w:rPr>
        <w:annotationRef/>
      </w:r>
      <w:r>
        <w:t>Why is this SD?</w:t>
      </w:r>
    </w:p>
  </w:comment>
  <w:comment w:id="43" w:author="Ruan Van Mazijk" w:date="2019-10-08T09:24:00Z" w:initials="RVM">
    <w:p w14:paraId="7CB43028" w14:textId="77777777" w:rsidR="00FC3AFE" w:rsidRDefault="00FC3AFE" w:rsidP="00C96F57">
      <w:pPr>
        <w:pStyle w:val="CommentText"/>
      </w:pPr>
      <w:r>
        <w:rPr>
          <w:rStyle w:val="CommentReference"/>
        </w:rPr>
        <w:annotationRef/>
      </w:r>
      <w:r>
        <w:t>Should it be the variance rather?</w:t>
      </w:r>
    </w:p>
  </w:comment>
  <w:comment w:id="44" w:author="Michael Cramer" w:date="2019-12-03T08:21:00Z" w:initials="MC">
    <w:p w14:paraId="6585E7F5" w14:textId="714E833D" w:rsidR="00FC3AFE" w:rsidRDefault="00FC3AFE">
      <w:pPr>
        <w:pStyle w:val="CommentText"/>
      </w:pPr>
      <w:r>
        <w:rPr>
          <w:rStyle w:val="CommentReference"/>
        </w:rPr>
        <w:annotationRef/>
      </w:r>
      <w:r>
        <w:t>This is a little mind-bending I think.</w:t>
      </w:r>
    </w:p>
  </w:comment>
  <w:comment w:id="45" w:author="Ruan Van Mazijk" w:date="2019-12-03T12:04:00Z" w:initials="RVM">
    <w:p w14:paraId="3D3E71FC" w14:textId="5D03FC9C" w:rsidR="00FC3AFE" w:rsidRDefault="00FC3AFE">
      <w:pPr>
        <w:pStyle w:val="CommentText"/>
      </w:pPr>
      <w:r>
        <w:rPr>
          <w:rStyle w:val="CommentReference"/>
        </w:rPr>
        <w:annotationRef/>
      </w:r>
      <w:r>
        <w:t xml:space="preserve">Mind-bending like confusing? Or mind-binding like </w:t>
      </w:r>
      <w:r>
        <w:t>“</w:t>
      </w:r>
      <w:r>
        <w:t>wow</w:t>
      </w:r>
      <w:r>
        <w:t>”</w:t>
      </w:r>
      <w:r>
        <w:t>?...</w:t>
      </w:r>
    </w:p>
  </w:comment>
  <w:comment w:id="46" w:author="Michael Cramer" w:date="2019-12-03T11:05:00Z" w:initials="MC">
    <w:p w14:paraId="72D2893D" w14:textId="4CE8149C" w:rsidR="00FC3AFE" w:rsidRDefault="00FC3AFE">
      <w:pPr>
        <w:pStyle w:val="CommentText"/>
      </w:pPr>
      <w:r>
        <w:rPr>
          <w:rStyle w:val="CommentReference"/>
        </w:rPr>
        <w:annotationRef/>
      </w:r>
      <w:r>
        <w:t>This is the only reference to Figure 4</w:t>
      </w:r>
    </w:p>
  </w:comment>
  <w:comment w:id="47" w:author="Ruan Van Mazijk" w:date="2019-12-03T12:07:00Z" w:initials="RVM">
    <w:p w14:paraId="39197D3F" w14:textId="7E9A817E" w:rsidR="00FC3AFE" w:rsidRDefault="00FC3AFE">
      <w:pPr>
        <w:pStyle w:val="CommentText"/>
      </w:pPr>
      <w:r>
        <w:rPr>
          <w:rStyle w:val="CommentReference"/>
        </w:rPr>
        <w:annotationRef/>
      </w:r>
      <w:r>
        <w:t xml:space="preserve">Added missing references to it above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9" w:author="Ruan Van Mazijk [2]" w:date="2019-12-30T10:34:00Z" w:initials="RVM">
    <w:p w14:paraId="0217C32F" w14:textId="56A0B283" w:rsidR="008D0795" w:rsidRDefault="008D0795">
      <w:pPr>
        <w:pStyle w:val="CommentText"/>
      </w:pPr>
      <w:r>
        <w:rPr>
          <w:rStyle w:val="CommentReference"/>
        </w:rPr>
        <w:annotationRef/>
      </w:r>
      <w:r>
        <w:t>!!!!!!!!!!!!!!!!!!!!!!!!!!!!!</w:t>
      </w:r>
    </w:p>
  </w:comment>
  <w:comment w:id="51" w:author="Michael Cramer" w:date="2019-12-03T08:28:00Z" w:initials="MC">
    <w:p w14:paraId="7BAA7050" w14:textId="1B13D596" w:rsidR="00FC3AFE" w:rsidRDefault="00FC3AFE">
      <w:pPr>
        <w:pStyle w:val="CommentText"/>
      </w:pPr>
      <w:r>
        <w:rPr>
          <w:rStyle w:val="CommentReference"/>
        </w:rPr>
        <w:annotationRef/>
      </w:r>
      <w:r>
        <w:t>I am not at all convinced by this argument. Isn</w:t>
      </w:r>
      <w:r>
        <w:t>’</w:t>
      </w:r>
      <w:r>
        <w:t>t this just a necessary consequence of data aggregation?</w:t>
      </w:r>
    </w:p>
  </w:comment>
  <w:comment w:id="52" w:author="Michael Cramer" w:date="2019-12-03T08:42:00Z" w:initials="MC">
    <w:p w14:paraId="6DD55F01" w14:textId="4C4083CF" w:rsidR="00FC3AFE" w:rsidRDefault="00FC3AFE">
      <w:pPr>
        <w:pStyle w:val="CommentText"/>
      </w:pPr>
      <w:r>
        <w:rPr>
          <w:rStyle w:val="CommentReference"/>
        </w:rPr>
        <w:annotationRef/>
      </w:r>
      <w:r>
        <w:t xml:space="preserve">The point I would like to make is that there is no way to correct for deliberate collection of rarer species. This is not represented by sampling effort at all. I am a bit worried about this aspect because I can just see Hopper picking on this. I think we need to do a good job of defending this. </w:t>
      </w:r>
    </w:p>
  </w:comment>
  <w:comment w:id="53" w:author="Michael Cramer" w:date="2019-12-03T10:43:00Z" w:initials="MC">
    <w:p w14:paraId="12C42DED" w14:textId="5819E472" w:rsidR="00FC3AFE" w:rsidRDefault="00FC3AFE">
      <w:pPr>
        <w:pStyle w:val="CommentText"/>
      </w:pPr>
      <w:r>
        <w:rPr>
          <w:rStyle w:val="CommentReference"/>
        </w:rPr>
        <w:annotationRef/>
      </w:r>
      <w:r>
        <w:t>Don</w:t>
      </w:r>
      <w:r>
        <w:t>’</w:t>
      </w:r>
      <w:r>
        <w:t>t you think that Perth requires a mention too. There is a different matter. It is the potential inflation of species richness by anthropogenic imports.</w:t>
      </w:r>
    </w:p>
    <w:p w14:paraId="5F3E149F" w14:textId="6DD801A6" w:rsidR="00FC3AFE" w:rsidRDefault="00FC3AFE">
      <w:pPr>
        <w:pStyle w:val="CommentText"/>
      </w:pPr>
    </w:p>
  </w:comment>
  <w:comment w:id="57" w:author="Michael Cramer" w:date="2019-10-07T10:02:00Z" w:initials="MC">
    <w:p w14:paraId="4937B472" w14:textId="0312FCE7" w:rsidR="00FC3AFE" w:rsidRDefault="00FC3AFE" w:rsidP="006F5A52">
      <w:pPr>
        <w:pStyle w:val="CommentText"/>
      </w:pPr>
      <w:r>
        <w:rPr>
          <w:rStyle w:val="CommentReference"/>
        </w:rPr>
        <w:annotationRef/>
      </w:r>
      <w:r>
        <w:t>Should these be normalized for the total number of QDS or HDS?</w:t>
      </w:r>
    </w:p>
  </w:comment>
  <w:comment w:id="58" w:author="Ruan Van Mazijk" w:date="2019-10-07T12:19:00Z" w:initials="RVM">
    <w:p w14:paraId="77A93CC5" w14:textId="3A13C47F" w:rsidR="00FC3AFE" w:rsidRDefault="00FC3AFE">
      <w:pPr>
        <w:pStyle w:val="CommentText"/>
      </w:pPr>
      <w:r>
        <w:rPr>
          <w:rStyle w:val="CommentReference"/>
        </w:rPr>
        <w:annotationRef/>
      </w:r>
      <w:r>
        <w:t>Note sure what you mean?</w:t>
      </w:r>
    </w:p>
  </w:comment>
  <w:comment w:id="55" w:author="Michael Cramer" w:date="2019-12-03T10:58:00Z" w:initials="MC">
    <w:p w14:paraId="11E838FE" w14:textId="753F8830" w:rsidR="00FC3AFE" w:rsidRDefault="00FC3AFE">
      <w:pPr>
        <w:pStyle w:val="CommentText"/>
      </w:pPr>
      <w:r>
        <w:rPr>
          <w:rStyle w:val="CommentReference"/>
        </w:rPr>
        <w:annotationRef/>
      </w:r>
      <w:r>
        <w:t>I am not sure about this combination of figures being appropriate. The exclusion of DS here seems strange. Maybe this can be rearranged.</w:t>
      </w:r>
    </w:p>
  </w:comment>
  <w:comment w:id="56" w:author="Ruan Van Mazijk" w:date="2019-12-03T12:17:00Z" w:initials="RVM">
    <w:p w14:paraId="20D71E78" w14:textId="544E27A0" w:rsidR="00FC3AFE" w:rsidRDefault="00FC3AFE">
      <w:pPr>
        <w:pStyle w:val="CommentText"/>
      </w:pPr>
      <w:r>
        <w:rPr>
          <w:rStyle w:val="CommentReference"/>
        </w:rPr>
        <w:annotationRef/>
      </w:r>
      <w:r>
        <w:t>Updated figure does this, I think.</w:t>
      </w:r>
    </w:p>
  </w:comment>
  <w:comment w:id="59" w:author="Michael Cramer" w:date="2019-12-03T08:32:00Z" w:initials="MC">
    <w:p w14:paraId="350C35AF" w14:textId="7ED0BEDD" w:rsidR="00FC3AFE" w:rsidRDefault="00FC3AFE">
      <w:pPr>
        <w:pStyle w:val="CommentText"/>
      </w:pPr>
      <w:r>
        <w:rPr>
          <w:rStyle w:val="CommentReference"/>
        </w:rPr>
        <w:annotationRef/>
      </w:r>
      <w:r>
        <w:t>What does the steeper slope at DS mean? Is it steeper in fact? Actually I don</w:t>
      </w:r>
      <w:r>
        <w:t>’</w:t>
      </w:r>
      <w:r>
        <w:t>t know what the slope means</w:t>
      </w:r>
      <w:r>
        <w:t>…</w:t>
      </w:r>
      <w:r>
        <w:t xml:space="preserve">. </w:t>
      </w:r>
    </w:p>
  </w:comment>
  <w:comment w:id="60" w:author="Michael Cramer" w:date="2019-12-03T11:02:00Z" w:initials="MC">
    <w:p w14:paraId="43265982" w14:textId="7C216E94" w:rsidR="00FC3AFE" w:rsidRDefault="00FC3AFE">
      <w:pPr>
        <w:pStyle w:val="CommentText"/>
      </w:pPr>
      <w:r>
        <w:rPr>
          <w:rStyle w:val="CommentReference"/>
        </w:rPr>
        <w:annotationRef/>
      </w:r>
      <w:r>
        <w:t xml:space="preserve">What is SWAFR in the predictor list? Should this be </w:t>
      </w:r>
      <w:r>
        <w:t>“</w:t>
      </w:r>
      <w:r>
        <w:t>Region</w:t>
      </w:r>
      <w:r>
        <w:t>”</w:t>
      </w:r>
      <w:r>
        <w:t>?</w:t>
      </w:r>
    </w:p>
  </w:comment>
  <w:comment w:id="61" w:author="Ruan Van Mazijk" w:date="2019-12-03T12:16:00Z" w:initials="RVM">
    <w:p w14:paraId="151CA642" w14:textId="69319484" w:rsidR="00FC3AFE" w:rsidRPr="00AC2235" w:rsidRDefault="00FC3AFE">
      <w:pPr>
        <w:pStyle w:val="CommentText"/>
      </w:pPr>
      <w:r>
        <w:rPr>
          <w:rStyle w:val="CommentReference"/>
        </w:rPr>
        <w:annotationRef/>
      </w:r>
      <w:r>
        <w:t xml:space="preserve">Think </w:t>
      </w:r>
      <w:r>
        <w:t>“</w:t>
      </w:r>
      <w:proofErr w:type="spellStart"/>
      <w:r>
        <w:t>Region</w:t>
      </w:r>
      <w:r>
        <w:rPr>
          <w:vertAlign w:val="subscript"/>
        </w:rPr>
        <w:t>SWAFR</w:t>
      </w:r>
      <w:proofErr w:type="spellEnd"/>
      <w:r>
        <w:t>”</w:t>
      </w:r>
      <w:r>
        <w:t>. The updated version of the figure hopefully helps?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6C3B27" w15:done="1"/>
  <w15:commentEx w15:paraId="2C95E568" w15:done="0"/>
  <w15:commentEx w15:paraId="16A5BD8E" w15:done="1"/>
  <w15:commentEx w15:paraId="739A862A" w15:paraIdParent="16A5BD8E" w15:done="1"/>
  <w15:commentEx w15:paraId="1A2D83B2" w15:done="0"/>
  <w15:commentEx w15:paraId="0D85E42B" w15:done="0"/>
  <w15:commentEx w15:paraId="50E697F5" w15:paraIdParent="0D85E42B" w15:done="0"/>
  <w15:commentEx w15:paraId="276D846E" w15:done="1"/>
  <w15:commentEx w15:paraId="03CFEB10" w15:done="0"/>
  <w15:commentEx w15:paraId="52802E12" w15:paraIdParent="03CFEB10" w15:done="0"/>
  <w15:commentEx w15:paraId="1C33D467" w15:done="0"/>
  <w15:commentEx w15:paraId="5228A70D" w15:done="1"/>
  <w15:commentEx w15:paraId="7FCF8830" w15:paraIdParent="5228A70D" w15:done="1"/>
  <w15:commentEx w15:paraId="34FAFFC4" w15:done="0"/>
  <w15:commentEx w15:paraId="0FE22BDB" w15:paraIdParent="34FAFFC4" w15:done="0"/>
  <w15:commentEx w15:paraId="5AED77A5" w15:done="1"/>
  <w15:commentEx w15:paraId="1E812954" w15:paraIdParent="5AED77A5" w15:done="1"/>
  <w15:commentEx w15:paraId="3D93755E" w15:done="1"/>
  <w15:commentEx w15:paraId="4E6C485B" w15:paraIdParent="3D93755E" w15:done="1"/>
  <w15:commentEx w15:paraId="13E1EB9E" w15:done="0"/>
  <w15:commentEx w15:paraId="3FA9A013" w15:done="1"/>
  <w15:commentEx w15:paraId="3121CA7E" w15:paraIdParent="3FA9A013" w15:done="1"/>
  <w15:commentEx w15:paraId="330C274F" w15:done="1"/>
  <w15:commentEx w15:paraId="1C54F278" w15:paraIdParent="330C274F" w15:done="1"/>
  <w15:commentEx w15:paraId="5C360526" w15:done="1"/>
  <w15:commentEx w15:paraId="07C22E28" w15:paraIdParent="5C360526" w15:done="1"/>
  <w15:commentEx w15:paraId="44AE895E" w15:done="1"/>
  <w15:commentEx w15:paraId="76D8A660" w15:paraIdParent="44AE895E" w15:done="1"/>
  <w15:commentEx w15:paraId="72002478" w15:done="1"/>
  <w15:commentEx w15:paraId="0A83FFEA" w15:paraIdParent="72002478" w15:done="1"/>
  <w15:commentEx w15:paraId="20553D95" w15:done="1"/>
  <w15:commentEx w15:paraId="1CDB9C49" w15:done="0"/>
  <w15:commentEx w15:paraId="151A031E" w15:done="1"/>
  <w15:commentEx w15:paraId="21F65C2F" w15:paraIdParent="151A031E" w15:done="1"/>
  <w15:commentEx w15:paraId="35D2187B" w15:done="1"/>
  <w15:commentEx w15:paraId="5801EF70" w15:paraIdParent="35D2187B" w15:done="1"/>
  <w15:commentEx w15:paraId="4CA8A44E" w15:done="1"/>
  <w15:commentEx w15:paraId="7CB43028" w15:paraIdParent="4CA8A44E" w15:done="1"/>
  <w15:commentEx w15:paraId="6585E7F5" w15:done="0"/>
  <w15:commentEx w15:paraId="3D3E71FC" w15:paraIdParent="6585E7F5" w15:done="0"/>
  <w15:commentEx w15:paraId="72D2893D" w15:done="1"/>
  <w15:commentEx w15:paraId="39197D3F" w15:paraIdParent="72D2893D" w15:done="1"/>
  <w15:commentEx w15:paraId="0217C32F" w15:done="0"/>
  <w15:commentEx w15:paraId="7BAA7050" w15:done="0"/>
  <w15:commentEx w15:paraId="6DD55F01" w15:done="0"/>
  <w15:commentEx w15:paraId="5F3E149F" w15:done="0"/>
  <w15:commentEx w15:paraId="4937B472" w15:done="1"/>
  <w15:commentEx w15:paraId="77A93CC5" w15:paraIdParent="4937B472" w15:done="1"/>
  <w15:commentEx w15:paraId="11E838FE" w15:done="1"/>
  <w15:commentEx w15:paraId="20D71E78" w15:paraIdParent="11E838FE" w15:done="1"/>
  <w15:commentEx w15:paraId="350C35AF" w15:done="0"/>
  <w15:commentEx w15:paraId="43265982" w15:done="1"/>
  <w15:commentEx w15:paraId="151CA642" w15:paraIdParent="4326598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6C3B27" w16cid:durableId="2190D7AA"/>
  <w16cid:commentId w16cid:paraId="2C95E568" w16cid:durableId="2190D293"/>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76D846E" w16cid:durableId="2190D3EA"/>
  <w16cid:commentId w16cid:paraId="03CFEB10" w16cid:durableId="218F70CB"/>
  <w16cid:commentId w16cid:paraId="52802E12" w16cid:durableId="2190D45C"/>
  <w16cid:commentId w16cid:paraId="1C33D467" w16cid:durableId="21920EA1"/>
  <w16cid:commentId w16cid:paraId="5228A70D" w16cid:durableId="218F7430"/>
  <w16cid:commentId w16cid:paraId="7FCF8830" w16cid:durableId="219211E2"/>
  <w16cid:commentId w16cid:paraId="34FAFFC4" w16cid:durableId="218F7469"/>
  <w16cid:commentId w16cid:paraId="0FE22BDB" w16cid:durableId="2190D4AA"/>
  <w16cid:commentId w16cid:paraId="5AED77A5" w16cid:durableId="2144C8B0"/>
  <w16cid:commentId w16cid:paraId="1E812954" w16cid:durableId="2145DBC4"/>
  <w16cid:commentId w16cid:paraId="3D93755E" w16cid:durableId="2144C8FE"/>
  <w16cid:commentId w16cid:paraId="4E6C485B" w16cid:durableId="2145A72D"/>
  <w16cid:commentId w16cid:paraId="13E1EB9E" w16cid:durableId="2190C6D0"/>
  <w16cid:commentId w16cid:paraId="3FA9A013" w16cid:durableId="219095EA"/>
  <w16cid:commentId w16cid:paraId="3121CA7E" w16cid:durableId="2190D02E"/>
  <w16cid:commentId w16cid:paraId="330C274F" w16cid:durableId="2190962E"/>
  <w16cid:commentId w16cid:paraId="1C54F278" w16cid:durableId="2190CBBA"/>
  <w16cid:commentId w16cid:paraId="5C360526" w16cid:durableId="21909896"/>
  <w16cid:commentId w16cid:paraId="07C22E28" w16cid:durableId="2190CC27"/>
  <w16cid:commentId w16cid:paraId="44AE895E" w16cid:durableId="2184E6EA"/>
  <w16cid:commentId w16cid:paraId="76D8A660" w16cid:durableId="2184E6EB"/>
  <w16cid:commentId w16cid:paraId="72002478" w16cid:durableId="2184E6EC"/>
  <w16cid:commentId w16cid:paraId="0A83FFEA" w16cid:durableId="2184E6ED"/>
  <w16cid:commentId w16cid:paraId="20553D95" w16cid:durableId="219098F8"/>
  <w16cid:commentId w16cid:paraId="1CDB9C49" w16cid:durableId="2190C739"/>
  <w16cid:commentId w16cid:paraId="151A031E" w16cid:durableId="2184E6F3"/>
  <w16cid:commentId w16cid:paraId="21F65C2F" w16cid:durableId="2184E6F4"/>
  <w16cid:commentId w16cid:paraId="35D2187B" w16cid:durableId="2184E6F5"/>
  <w16cid:commentId w16cid:paraId="5801EF70" w16cid:durableId="2184E6F6"/>
  <w16cid:commentId w16cid:paraId="4CA8A44E" w16cid:durableId="2184E6F7"/>
  <w16cid:commentId w16cid:paraId="7CB43028" w16cid:durableId="2184E6F8"/>
  <w16cid:commentId w16cid:paraId="6585E7F5" w16cid:durableId="2190997A"/>
  <w16cid:commentId w16cid:paraId="3D3E71FC" w16cid:durableId="2190CDBC"/>
  <w16cid:commentId w16cid:paraId="72D2893D" w16cid:durableId="2190BFEA"/>
  <w16cid:commentId w16cid:paraId="39197D3F" w16cid:durableId="2190CE91"/>
  <w16cid:commentId w16cid:paraId="0217C32F" w16cid:durableId="21B45151"/>
  <w16cid:commentId w16cid:paraId="7BAA7050" w16cid:durableId="21909B1E"/>
  <w16cid:commentId w16cid:paraId="6DD55F01" w16cid:durableId="21909E66"/>
  <w16cid:commentId w16cid:paraId="5F3E149F" w16cid:durableId="2190BADA"/>
  <w16cid:commentId w16cid:paraId="4937B472" w16cid:durableId="21458BBA"/>
  <w16cid:commentId w16cid:paraId="77A93CC5" w16cid:durableId="2145ABD6"/>
  <w16cid:commentId w16cid:paraId="11E838FE" w16cid:durableId="2190BE71"/>
  <w16cid:commentId w16cid:paraId="20D71E78" w16cid:durableId="2190D0CB"/>
  <w16cid:commentId w16cid:paraId="350C35AF" w16cid:durableId="21909C1C"/>
  <w16cid:commentId w16cid:paraId="43265982" w16cid:durableId="2190BF47"/>
  <w16cid:commentId w16cid:paraId="151CA642" w16cid:durableId="2190D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205A6" w14:textId="77777777" w:rsidR="0059446D" w:rsidRDefault="0059446D">
      <w:pPr>
        <w:spacing w:after="0"/>
      </w:pPr>
      <w:r>
        <w:separator/>
      </w:r>
    </w:p>
  </w:endnote>
  <w:endnote w:type="continuationSeparator" w:id="0">
    <w:p w14:paraId="2CB2B7CA" w14:textId="77777777" w:rsidR="0059446D" w:rsidRDefault="0059446D">
      <w:pPr>
        <w:spacing w:after="0"/>
      </w:pPr>
      <w:r>
        <w:continuationSeparator/>
      </w:r>
    </w:p>
  </w:endnote>
  <w:endnote w:type="continuationNotice" w:id="1">
    <w:p w14:paraId="72A3CFEE" w14:textId="77777777" w:rsidR="0059446D" w:rsidRDefault="0059446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FC3AFE" w:rsidRDefault="00FC3AFE">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1D5C85C2" w14:textId="77777777" w:rsidR="00FC3AFE" w:rsidRDefault="00FC3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EC6E3" w14:textId="77777777" w:rsidR="0059446D" w:rsidRDefault="0059446D">
      <w:r>
        <w:separator/>
      </w:r>
    </w:p>
  </w:footnote>
  <w:footnote w:type="continuationSeparator" w:id="0">
    <w:p w14:paraId="415D376A" w14:textId="77777777" w:rsidR="0059446D" w:rsidRDefault="0059446D">
      <w:r>
        <w:continuationSeparator/>
      </w:r>
    </w:p>
  </w:footnote>
  <w:footnote w:type="continuationNotice" w:id="1">
    <w:p w14:paraId="626F0355" w14:textId="77777777" w:rsidR="0059446D" w:rsidRDefault="0059446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rson w15:author="Ruan Van Mazijk [2]">
    <w15:presenceInfo w15:providerId="AD" w15:userId="S::vmzrua001@myuct.ac.za::f50431c7-080a-4259-97ee-a4bb5c336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4BFE"/>
    <w:rsid w:val="000058F5"/>
    <w:rsid w:val="00006E29"/>
    <w:rsid w:val="00007536"/>
    <w:rsid w:val="000075FC"/>
    <w:rsid w:val="00010D0D"/>
    <w:rsid w:val="00011C8B"/>
    <w:rsid w:val="000134E5"/>
    <w:rsid w:val="00015987"/>
    <w:rsid w:val="00017062"/>
    <w:rsid w:val="0001739B"/>
    <w:rsid w:val="00017D5E"/>
    <w:rsid w:val="00017E2E"/>
    <w:rsid w:val="000202B4"/>
    <w:rsid w:val="00020DE2"/>
    <w:rsid w:val="00022A4F"/>
    <w:rsid w:val="00023792"/>
    <w:rsid w:val="00023A41"/>
    <w:rsid w:val="00024506"/>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4150"/>
    <w:rsid w:val="00045DE9"/>
    <w:rsid w:val="000469ED"/>
    <w:rsid w:val="00046D81"/>
    <w:rsid w:val="0004779B"/>
    <w:rsid w:val="00047D3A"/>
    <w:rsid w:val="0005005D"/>
    <w:rsid w:val="00050E44"/>
    <w:rsid w:val="00050E78"/>
    <w:rsid w:val="000519A1"/>
    <w:rsid w:val="00054A9F"/>
    <w:rsid w:val="00054E1D"/>
    <w:rsid w:val="0005522C"/>
    <w:rsid w:val="000558A9"/>
    <w:rsid w:val="000559BF"/>
    <w:rsid w:val="000563E6"/>
    <w:rsid w:val="00056A5E"/>
    <w:rsid w:val="0005751E"/>
    <w:rsid w:val="00060510"/>
    <w:rsid w:val="00060E27"/>
    <w:rsid w:val="000611F5"/>
    <w:rsid w:val="000621D6"/>
    <w:rsid w:val="000622E8"/>
    <w:rsid w:val="00062A2B"/>
    <w:rsid w:val="0006360F"/>
    <w:rsid w:val="00064E62"/>
    <w:rsid w:val="00065128"/>
    <w:rsid w:val="000657EC"/>
    <w:rsid w:val="00066121"/>
    <w:rsid w:val="00066CC6"/>
    <w:rsid w:val="0006708C"/>
    <w:rsid w:val="00067826"/>
    <w:rsid w:val="00070D03"/>
    <w:rsid w:val="000714AC"/>
    <w:rsid w:val="00072164"/>
    <w:rsid w:val="00072A60"/>
    <w:rsid w:val="00074006"/>
    <w:rsid w:val="000742FC"/>
    <w:rsid w:val="000747BD"/>
    <w:rsid w:val="000764C7"/>
    <w:rsid w:val="00076E7A"/>
    <w:rsid w:val="00077FB5"/>
    <w:rsid w:val="000804E8"/>
    <w:rsid w:val="000811CB"/>
    <w:rsid w:val="00083308"/>
    <w:rsid w:val="00083701"/>
    <w:rsid w:val="00083DD4"/>
    <w:rsid w:val="000847C4"/>
    <w:rsid w:val="00084808"/>
    <w:rsid w:val="00086052"/>
    <w:rsid w:val="00086273"/>
    <w:rsid w:val="00086992"/>
    <w:rsid w:val="00086D10"/>
    <w:rsid w:val="00086D19"/>
    <w:rsid w:val="000878A3"/>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756C"/>
    <w:rsid w:val="000A2014"/>
    <w:rsid w:val="000A2EAE"/>
    <w:rsid w:val="000A3255"/>
    <w:rsid w:val="000A44BE"/>
    <w:rsid w:val="000A737C"/>
    <w:rsid w:val="000A7820"/>
    <w:rsid w:val="000A7C66"/>
    <w:rsid w:val="000B1C91"/>
    <w:rsid w:val="000B2398"/>
    <w:rsid w:val="000C126B"/>
    <w:rsid w:val="000C16A6"/>
    <w:rsid w:val="000C16E4"/>
    <w:rsid w:val="000C1B2A"/>
    <w:rsid w:val="000C1DFD"/>
    <w:rsid w:val="000C2B76"/>
    <w:rsid w:val="000C2BA8"/>
    <w:rsid w:val="000C33EC"/>
    <w:rsid w:val="000C4BE0"/>
    <w:rsid w:val="000C4C83"/>
    <w:rsid w:val="000C57CB"/>
    <w:rsid w:val="000C58EB"/>
    <w:rsid w:val="000C5AAD"/>
    <w:rsid w:val="000C5BB8"/>
    <w:rsid w:val="000C6E98"/>
    <w:rsid w:val="000C780A"/>
    <w:rsid w:val="000C78F5"/>
    <w:rsid w:val="000D014B"/>
    <w:rsid w:val="000D1A3D"/>
    <w:rsid w:val="000D24A1"/>
    <w:rsid w:val="000D3247"/>
    <w:rsid w:val="000D32D5"/>
    <w:rsid w:val="000D5262"/>
    <w:rsid w:val="000D698A"/>
    <w:rsid w:val="000D6AB1"/>
    <w:rsid w:val="000D6FAE"/>
    <w:rsid w:val="000D78B0"/>
    <w:rsid w:val="000E0454"/>
    <w:rsid w:val="000E04C6"/>
    <w:rsid w:val="000E1B64"/>
    <w:rsid w:val="000E2006"/>
    <w:rsid w:val="000E4213"/>
    <w:rsid w:val="000E5000"/>
    <w:rsid w:val="000E72CC"/>
    <w:rsid w:val="000E7EAD"/>
    <w:rsid w:val="000F117A"/>
    <w:rsid w:val="000F24B3"/>
    <w:rsid w:val="000F2560"/>
    <w:rsid w:val="000F2FAD"/>
    <w:rsid w:val="000F3C79"/>
    <w:rsid w:val="000F419D"/>
    <w:rsid w:val="000F5594"/>
    <w:rsid w:val="000F55E1"/>
    <w:rsid w:val="000F591F"/>
    <w:rsid w:val="000F59F5"/>
    <w:rsid w:val="000F6938"/>
    <w:rsid w:val="000F699D"/>
    <w:rsid w:val="000F7FB0"/>
    <w:rsid w:val="0010066C"/>
    <w:rsid w:val="00101936"/>
    <w:rsid w:val="001031DA"/>
    <w:rsid w:val="00103D7E"/>
    <w:rsid w:val="00104482"/>
    <w:rsid w:val="00104ADF"/>
    <w:rsid w:val="00105FAF"/>
    <w:rsid w:val="00106E88"/>
    <w:rsid w:val="0010729C"/>
    <w:rsid w:val="001114A8"/>
    <w:rsid w:val="00114867"/>
    <w:rsid w:val="001149F3"/>
    <w:rsid w:val="00114B76"/>
    <w:rsid w:val="00117505"/>
    <w:rsid w:val="0012073A"/>
    <w:rsid w:val="00120FD9"/>
    <w:rsid w:val="0012344F"/>
    <w:rsid w:val="00123A7A"/>
    <w:rsid w:val="00123B47"/>
    <w:rsid w:val="00124716"/>
    <w:rsid w:val="001259A9"/>
    <w:rsid w:val="00125C57"/>
    <w:rsid w:val="0012609C"/>
    <w:rsid w:val="00126571"/>
    <w:rsid w:val="00126A24"/>
    <w:rsid w:val="00126FD8"/>
    <w:rsid w:val="0012736A"/>
    <w:rsid w:val="00131684"/>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47258"/>
    <w:rsid w:val="001506B6"/>
    <w:rsid w:val="001508F3"/>
    <w:rsid w:val="00150BF0"/>
    <w:rsid w:val="00152374"/>
    <w:rsid w:val="00152A7B"/>
    <w:rsid w:val="00152B31"/>
    <w:rsid w:val="001530FE"/>
    <w:rsid w:val="00153824"/>
    <w:rsid w:val="00153B86"/>
    <w:rsid w:val="001541B2"/>
    <w:rsid w:val="001545EB"/>
    <w:rsid w:val="0015465B"/>
    <w:rsid w:val="001548E4"/>
    <w:rsid w:val="00157417"/>
    <w:rsid w:val="001576DD"/>
    <w:rsid w:val="00160C41"/>
    <w:rsid w:val="001617DD"/>
    <w:rsid w:val="001626C2"/>
    <w:rsid w:val="00163122"/>
    <w:rsid w:val="001640D1"/>
    <w:rsid w:val="00164E10"/>
    <w:rsid w:val="00166053"/>
    <w:rsid w:val="001666F2"/>
    <w:rsid w:val="00166C5E"/>
    <w:rsid w:val="0016731D"/>
    <w:rsid w:val="0016754C"/>
    <w:rsid w:val="00170800"/>
    <w:rsid w:val="001713AC"/>
    <w:rsid w:val="0017188B"/>
    <w:rsid w:val="001729D4"/>
    <w:rsid w:val="00172C85"/>
    <w:rsid w:val="001739C8"/>
    <w:rsid w:val="00174C2A"/>
    <w:rsid w:val="00175240"/>
    <w:rsid w:val="001755D7"/>
    <w:rsid w:val="001758FD"/>
    <w:rsid w:val="0017651E"/>
    <w:rsid w:val="00176B1A"/>
    <w:rsid w:val="00176C59"/>
    <w:rsid w:val="00176E4F"/>
    <w:rsid w:val="00177EA0"/>
    <w:rsid w:val="00180D4A"/>
    <w:rsid w:val="00181A68"/>
    <w:rsid w:val="00182898"/>
    <w:rsid w:val="00182CB9"/>
    <w:rsid w:val="00182FC5"/>
    <w:rsid w:val="00183126"/>
    <w:rsid w:val="00184015"/>
    <w:rsid w:val="001841EC"/>
    <w:rsid w:val="0018462C"/>
    <w:rsid w:val="001848E8"/>
    <w:rsid w:val="00184A95"/>
    <w:rsid w:val="00184EFF"/>
    <w:rsid w:val="001851C2"/>
    <w:rsid w:val="00185A50"/>
    <w:rsid w:val="00185C4C"/>
    <w:rsid w:val="00185E84"/>
    <w:rsid w:val="001860D1"/>
    <w:rsid w:val="00186541"/>
    <w:rsid w:val="001874F1"/>
    <w:rsid w:val="0018771F"/>
    <w:rsid w:val="00187A84"/>
    <w:rsid w:val="00190D4A"/>
    <w:rsid w:val="0019107E"/>
    <w:rsid w:val="00191261"/>
    <w:rsid w:val="0019466D"/>
    <w:rsid w:val="00195211"/>
    <w:rsid w:val="00195C63"/>
    <w:rsid w:val="001A0AB2"/>
    <w:rsid w:val="001A123A"/>
    <w:rsid w:val="001A150C"/>
    <w:rsid w:val="001A1879"/>
    <w:rsid w:val="001A20FA"/>
    <w:rsid w:val="001A23A6"/>
    <w:rsid w:val="001A29B8"/>
    <w:rsid w:val="001A29C6"/>
    <w:rsid w:val="001A4B06"/>
    <w:rsid w:val="001A6185"/>
    <w:rsid w:val="001A6192"/>
    <w:rsid w:val="001A61A1"/>
    <w:rsid w:val="001A7D58"/>
    <w:rsid w:val="001B0693"/>
    <w:rsid w:val="001B0959"/>
    <w:rsid w:val="001B0A3C"/>
    <w:rsid w:val="001B1266"/>
    <w:rsid w:val="001B34DA"/>
    <w:rsid w:val="001B40A9"/>
    <w:rsid w:val="001B40FF"/>
    <w:rsid w:val="001B412D"/>
    <w:rsid w:val="001B4B9F"/>
    <w:rsid w:val="001B5E7E"/>
    <w:rsid w:val="001B6D6F"/>
    <w:rsid w:val="001B750B"/>
    <w:rsid w:val="001C1E9D"/>
    <w:rsid w:val="001C20C8"/>
    <w:rsid w:val="001C321C"/>
    <w:rsid w:val="001C3B54"/>
    <w:rsid w:val="001C4D68"/>
    <w:rsid w:val="001C5D8A"/>
    <w:rsid w:val="001C64D6"/>
    <w:rsid w:val="001C6FE5"/>
    <w:rsid w:val="001C7670"/>
    <w:rsid w:val="001D3D4C"/>
    <w:rsid w:val="001D4356"/>
    <w:rsid w:val="001D4BC0"/>
    <w:rsid w:val="001D58D6"/>
    <w:rsid w:val="001D7221"/>
    <w:rsid w:val="001E0C75"/>
    <w:rsid w:val="001E1442"/>
    <w:rsid w:val="001E2A3C"/>
    <w:rsid w:val="001E414D"/>
    <w:rsid w:val="001E4787"/>
    <w:rsid w:val="001E723F"/>
    <w:rsid w:val="001F0A16"/>
    <w:rsid w:val="001F1053"/>
    <w:rsid w:val="001F2359"/>
    <w:rsid w:val="001F3585"/>
    <w:rsid w:val="001F3C80"/>
    <w:rsid w:val="001F48A1"/>
    <w:rsid w:val="001F4B4C"/>
    <w:rsid w:val="002007E7"/>
    <w:rsid w:val="00200991"/>
    <w:rsid w:val="00200A28"/>
    <w:rsid w:val="00200C02"/>
    <w:rsid w:val="002011C9"/>
    <w:rsid w:val="0020179E"/>
    <w:rsid w:val="00201A80"/>
    <w:rsid w:val="00202291"/>
    <w:rsid w:val="00202A32"/>
    <w:rsid w:val="00204D2C"/>
    <w:rsid w:val="00205DC2"/>
    <w:rsid w:val="002065E6"/>
    <w:rsid w:val="0020680A"/>
    <w:rsid w:val="002071E8"/>
    <w:rsid w:val="00210CA7"/>
    <w:rsid w:val="00211350"/>
    <w:rsid w:val="0021176B"/>
    <w:rsid w:val="00211A46"/>
    <w:rsid w:val="00211FC5"/>
    <w:rsid w:val="00212118"/>
    <w:rsid w:val="00213749"/>
    <w:rsid w:val="00213D02"/>
    <w:rsid w:val="0021685A"/>
    <w:rsid w:val="00217498"/>
    <w:rsid w:val="00217AAC"/>
    <w:rsid w:val="00220A65"/>
    <w:rsid w:val="00220D2B"/>
    <w:rsid w:val="00221518"/>
    <w:rsid w:val="00221BC9"/>
    <w:rsid w:val="00221C0F"/>
    <w:rsid w:val="002234E3"/>
    <w:rsid w:val="00226569"/>
    <w:rsid w:val="00230147"/>
    <w:rsid w:val="00230ABA"/>
    <w:rsid w:val="00230AF5"/>
    <w:rsid w:val="00230C87"/>
    <w:rsid w:val="00230DBA"/>
    <w:rsid w:val="002314C2"/>
    <w:rsid w:val="00231B2B"/>
    <w:rsid w:val="002333AE"/>
    <w:rsid w:val="00233C17"/>
    <w:rsid w:val="00234AAB"/>
    <w:rsid w:val="0023532B"/>
    <w:rsid w:val="00235637"/>
    <w:rsid w:val="00236CF0"/>
    <w:rsid w:val="00237525"/>
    <w:rsid w:val="002376C5"/>
    <w:rsid w:val="00240829"/>
    <w:rsid w:val="00241435"/>
    <w:rsid w:val="00242181"/>
    <w:rsid w:val="00242EDD"/>
    <w:rsid w:val="0024363A"/>
    <w:rsid w:val="002448E4"/>
    <w:rsid w:val="00244E17"/>
    <w:rsid w:val="00246296"/>
    <w:rsid w:val="002465B9"/>
    <w:rsid w:val="0024759A"/>
    <w:rsid w:val="0024778C"/>
    <w:rsid w:val="00250011"/>
    <w:rsid w:val="00251338"/>
    <w:rsid w:val="00251ECF"/>
    <w:rsid w:val="00252DA8"/>
    <w:rsid w:val="002536E4"/>
    <w:rsid w:val="00253F7E"/>
    <w:rsid w:val="00254F18"/>
    <w:rsid w:val="002565DD"/>
    <w:rsid w:val="002566BD"/>
    <w:rsid w:val="00257896"/>
    <w:rsid w:val="002604CE"/>
    <w:rsid w:val="00261A54"/>
    <w:rsid w:val="002624D4"/>
    <w:rsid w:val="002626CC"/>
    <w:rsid w:val="00262EF2"/>
    <w:rsid w:val="00262F02"/>
    <w:rsid w:val="002644D2"/>
    <w:rsid w:val="002644F5"/>
    <w:rsid w:val="002658EC"/>
    <w:rsid w:val="00265947"/>
    <w:rsid w:val="00267348"/>
    <w:rsid w:val="00270A25"/>
    <w:rsid w:val="00270B4B"/>
    <w:rsid w:val="002711B7"/>
    <w:rsid w:val="00271377"/>
    <w:rsid w:val="00272E07"/>
    <w:rsid w:val="00273150"/>
    <w:rsid w:val="002736BC"/>
    <w:rsid w:val="00273E3C"/>
    <w:rsid w:val="00274581"/>
    <w:rsid w:val="0027541F"/>
    <w:rsid w:val="00275CEB"/>
    <w:rsid w:val="002766E7"/>
    <w:rsid w:val="002779ED"/>
    <w:rsid w:val="00277C9E"/>
    <w:rsid w:val="002808AF"/>
    <w:rsid w:val="002810B1"/>
    <w:rsid w:val="00281A14"/>
    <w:rsid w:val="0028331C"/>
    <w:rsid w:val="0028338C"/>
    <w:rsid w:val="0028496B"/>
    <w:rsid w:val="00285784"/>
    <w:rsid w:val="00286EA7"/>
    <w:rsid w:val="002870DB"/>
    <w:rsid w:val="00290FB9"/>
    <w:rsid w:val="002919EA"/>
    <w:rsid w:val="002930F3"/>
    <w:rsid w:val="002935C5"/>
    <w:rsid w:val="00293721"/>
    <w:rsid w:val="002937DD"/>
    <w:rsid w:val="00293893"/>
    <w:rsid w:val="00293C78"/>
    <w:rsid w:val="00293F2E"/>
    <w:rsid w:val="002940F1"/>
    <w:rsid w:val="00295EF3"/>
    <w:rsid w:val="0029673C"/>
    <w:rsid w:val="00296DBE"/>
    <w:rsid w:val="00296FD9"/>
    <w:rsid w:val="00297603"/>
    <w:rsid w:val="0029777A"/>
    <w:rsid w:val="002A0204"/>
    <w:rsid w:val="002A0480"/>
    <w:rsid w:val="002A1003"/>
    <w:rsid w:val="002A25AB"/>
    <w:rsid w:val="002A329D"/>
    <w:rsid w:val="002A4AB7"/>
    <w:rsid w:val="002A76BE"/>
    <w:rsid w:val="002A7DA8"/>
    <w:rsid w:val="002B028E"/>
    <w:rsid w:val="002B0B88"/>
    <w:rsid w:val="002B0F5B"/>
    <w:rsid w:val="002B270F"/>
    <w:rsid w:val="002B2755"/>
    <w:rsid w:val="002B3741"/>
    <w:rsid w:val="002B390D"/>
    <w:rsid w:val="002B49E3"/>
    <w:rsid w:val="002B4C08"/>
    <w:rsid w:val="002B54C7"/>
    <w:rsid w:val="002B5DBF"/>
    <w:rsid w:val="002B7732"/>
    <w:rsid w:val="002B7852"/>
    <w:rsid w:val="002C0152"/>
    <w:rsid w:val="002C016E"/>
    <w:rsid w:val="002C037D"/>
    <w:rsid w:val="002C08A1"/>
    <w:rsid w:val="002C1A2E"/>
    <w:rsid w:val="002C20EB"/>
    <w:rsid w:val="002C22CA"/>
    <w:rsid w:val="002C32D6"/>
    <w:rsid w:val="002C5C96"/>
    <w:rsid w:val="002C6230"/>
    <w:rsid w:val="002C7612"/>
    <w:rsid w:val="002C7938"/>
    <w:rsid w:val="002D0B56"/>
    <w:rsid w:val="002D0C5E"/>
    <w:rsid w:val="002D1301"/>
    <w:rsid w:val="002D283F"/>
    <w:rsid w:val="002D35E5"/>
    <w:rsid w:val="002D4267"/>
    <w:rsid w:val="002D4FA9"/>
    <w:rsid w:val="002D5B3F"/>
    <w:rsid w:val="002E03CA"/>
    <w:rsid w:val="002E09CD"/>
    <w:rsid w:val="002E231B"/>
    <w:rsid w:val="002E3FF8"/>
    <w:rsid w:val="002E41C7"/>
    <w:rsid w:val="002E4420"/>
    <w:rsid w:val="002E6995"/>
    <w:rsid w:val="002E6AC4"/>
    <w:rsid w:val="002E6BEC"/>
    <w:rsid w:val="002F08B0"/>
    <w:rsid w:val="002F092D"/>
    <w:rsid w:val="002F32A1"/>
    <w:rsid w:val="002F370B"/>
    <w:rsid w:val="002F3914"/>
    <w:rsid w:val="002F3B3B"/>
    <w:rsid w:val="002F3B4F"/>
    <w:rsid w:val="002F3E6D"/>
    <w:rsid w:val="002F40D7"/>
    <w:rsid w:val="002F5AB6"/>
    <w:rsid w:val="002F5DB0"/>
    <w:rsid w:val="002F60C8"/>
    <w:rsid w:val="002F7183"/>
    <w:rsid w:val="002F7AE1"/>
    <w:rsid w:val="00300363"/>
    <w:rsid w:val="00300828"/>
    <w:rsid w:val="00300D68"/>
    <w:rsid w:val="00301369"/>
    <w:rsid w:val="00301A4F"/>
    <w:rsid w:val="00303501"/>
    <w:rsid w:val="00304086"/>
    <w:rsid w:val="003047D0"/>
    <w:rsid w:val="00305C02"/>
    <w:rsid w:val="00305F60"/>
    <w:rsid w:val="003061B2"/>
    <w:rsid w:val="003063F7"/>
    <w:rsid w:val="003067AF"/>
    <w:rsid w:val="00306A3A"/>
    <w:rsid w:val="00307282"/>
    <w:rsid w:val="00310608"/>
    <w:rsid w:val="00310871"/>
    <w:rsid w:val="003115F6"/>
    <w:rsid w:val="00311E35"/>
    <w:rsid w:val="00312AA7"/>
    <w:rsid w:val="00314A7A"/>
    <w:rsid w:val="00314D2C"/>
    <w:rsid w:val="00317DAF"/>
    <w:rsid w:val="003209CF"/>
    <w:rsid w:val="00321C77"/>
    <w:rsid w:val="00323509"/>
    <w:rsid w:val="003249DF"/>
    <w:rsid w:val="00324E0A"/>
    <w:rsid w:val="003251C7"/>
    <w:rsid w:val="003252BC"/>
    <w:rsid w:val="0032532C"/>
    <w:rsid w:val="0032574D"/>
    <w:rsid w:val="00325EB1"/>
    <w:rsid w:val="0032680E"/>
    <w:rsid w:val="003302D7"/>
    <w:rsid w:val="0033192D"/>
    <w:rsid w:val="0033197F"/>
    <w:rsid w:val="00331CEC"/>
    <w:rsid w:val="00331D2E"/>
    <w:rsid w:val="0033206A"/>
    <w:rsid w:val="00332470"/>
    <w:rsid w:val="003328C5"/>
    <w:rsid w:val="00332DA6"/>
    <w:rsid w:val="00333A69"/>
    <w:rsid w:val="00334811"/>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50F4"/>
    <w:rsid w:val="00345466"/>
    <w:rsid w:val="00346C28"/>
    <w:rsid w:val="003475E6"/>
    <w:rsid w:val="00350AEA"/>
    <w:rsid w:val="00350FE5"/>
    <w:rsid w:val="003510DE"/>
    <w:rsid w:val="0035130F"/>
    <w:rsid w:val="0035175F"/>
    <w:rsid w:val="00352039"/>
    <w:rsid w:val="00352382"/>
    <w:rsid w:val="00352767"/>
    <w:rsid w:val="00352AF2"/>
    <w:rsid w:val="00352C55"/>
    <w:rsid w:val="00354D6F"/>
    <w:rsid w:val="00354D9C"/>
    <w:rsid w:val="00354DF0"/>
    <w:rsid w:val="003556C4"/>
    <w:rsid w:val="00355D02"/>
    <w:rsid w:val="003562E3"/>
    <w:rsid w:val="003563D1"/>
    <w:rsid w:val="00357472"/>
    <w:rsid w:val="003601A9"/>
    <w:rsid w:val="00360716"/>
    <w:rsid w:val="00361152"/>
    <w:rsid w:val="003613FC"/>
    <w:rsid w:val="003617CF"/>
    <w:rsid w:val="00363038"/>
    <w:rsid w:val="00364F0A"/>
    <w:rsid w:val="00365CC9"/>
    <w:rsid w:val="0036753D"/>
    <w:rsid w:val="0036760E"/>
    <w:rsid w:val="00367CC6"/>
    <w:rsid w:val="00371EA1"/>
    <w:rsid w:val="00372023"/>
    <w:rsid w:val="00374287"/>
    <w:rsid w:val="0037447E"/>
    <w:rsid w:val="003745E1"/>
    <w:rsid w:val="00375621"/>
    <w:rsid w:val="00377F87"/>
    <w:rsid w:val="00381E28"/>
    <w:rsid w:val="00381ECD"/>
    <w:rsid w:val="0038260D"/>
    <w:rsid w:val="0038290C"/>
    <w:rsid w:val="00382BBB"/>
    <w:rsid w:val="00382BC5"/>
    <w:rsid w:val="00382E74"/>
    <w:rsid w:val="0038369B"/>
    <w:rsid w:val="00384049"/>
    <w:rsid w:val="003847BF"/>
    <w:rsid w:val="00385BA5"/>
    <w:rsid w:val="00390292"/>
    <w:rsid w:val="00390307"/>
    <w:rsid w:val="00390A5D"/>
    <w:rsid w:val="00390D6B"/>
    <w:rsid w:val="003912CF"/>
    <w:rsid w:val="003913A0"/>
    <w:rsid w:val="003928B1"/>
    <w:rsid w:val="003939AA"/>
    <w:rsid w:val="00393AAD"/>
    <w:rsid w:val="0039482B"/>
    <w:rsid w:val="00395282"/>
    <w:rsid w:val="003A0E03"/>
    <w:rsid w:val="003A1338"/>
    <w:rsid w:val="003A1781"/>
    <w:rsid w:val="003A378D"/>
    <w:rsid w:val="003A587C"/>
    <w:rsid w:val="003A5E82"/>
    <w:rsid w:val="003A604B"/>
    <w:rsid w:val="003A63A6"/>
    <w:rsid w:val="003A6BDD"/>
    <w:rsid w:val="003B08CE"/>
    <w:rsid w:val="003B10FC"/>
    <w:rsid w:val="003B1612"/>
    <w:rsid w:val="003B1E59"/>
    <w:rsid w:val="003B2885"/>
    <w:rsid w:val="003B2B0D"/>
    <w:rsid w:val="003B49FB"/>
    <w:rsid w:val="003B6813"/>
    <w:rsid w:val="003B7C89"/>
    <w:rsid w:val="003B7DC8"/>
    <w:rsid w:val="003B7DEF"/>
    <w:rsid w:val="003C085D"/>
    <w:rsid w:val="003C1C5A"/>
    <w:rsid w:val="003C1D3C"/>
    <w:rsid w:val="003C30C4"/>
    <w:rsid w:val="003C34D2"/>
    <w:rsid w:val="003C35C8"/>
    <w:rsid w:val="003C37E1"/>
    <w:rsid w:val="003C3E31"/>
    <w:rsid w:val="003C430F"/>
    <w:rsid w:val="003C47B0"/>
    <w:rsid w:val="003C533D"/>
    <w:rsid w:val="003C58E2"/>
    <w:rsid w:val="003C666B"/>
    <w:rsid w:val="003C6BD9"/>
    <w:rsid w:val="003C7229"/>
    <w:rsid w:val="003C74FE"/>
    <w:rsid w:val="003C7780"/>
    <w:rsid w:val="003C7B0D"/>
    <w:rsid w:val="003D0572"/>
    <w:rsid w:val="003D18CE"/>
    <w:rsid w:val="003D2B4F"/>
    <w:rsid w:val="003D2C85"/>
    <w:rsid w:val="003D3340"/>
    <w:rsid w:val="003D3654"/>
    <w:rsid w:val="003D414F"/>
    <w:rsid w:val="003D61EB"/>
    <w:rsid w:val="003D65D2"/>
    <w:rsid w:val="003D6DA0"/>
    <w:rsid w:val="003E1A90"/>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CDD"/>
    <w:rsid w:val="003F41EA"/>
    <w:rsid w:val="003F51C0"/>
    <w:rsid w:val="003F5B2B"/>
    <w:rsid w:val="003F6977"/>
    <w:rsid w:val="003F76AF"/>
    <w:rsid w:val="003F7873"/>
    <w:rsid w:val="003F7A46"/>
    <w:rsid w:val="0040096C"/>
    <w:rsid w:val="00401338"/>
    <w:rsid w:val="00401CC9"/>
    <w:rsid w:val="0040220B"/>
    <w:rsid w:val="0040353B"/>
    <w:rsid w:val="004037DF"/>
    <w:rsid w:val="0040493A"/>
    <w:rsid w:val="00404BDD"/>
    <w:rsid w:val="00404D2B"/>
    <w:rsid w:val="00404DA4"/>
    <w:rsid w:val="0040528B"/>
    <w:rsid w:val="00405952"/>
    <w:rsid w:val="004063C5"/>
    <w:rsid w:val="004064DB"/>
    <w:rsid w:val="004066C3"/>
    <w:rsid w:val="0040717E"/>
    <w:rsid w:val="00407D70"/>
    <w:rsid w:val="004121C0"/>
    <w:rsid w:val="00412F61"/>
    <w:rsid w:val="004134AA"/>
    <w:rsid w:val="0041655F"/>
    <w:rsid w:val="00420576"/>
    <w:rsid w:val="0042088C"/>
    <w:rsid w:val="00421309"/>
    <w:rsid w:val="004218EE"/>
    <w:rsid w:val="00422E7C"/>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4B5F"/>
    <w:rsid w:val="00445473"/>
    <w:rsid w:val="0044606A"/>
    <w:rsid w:val="00446EF7"/>
    <w:rsid w:val="004511B3"/>
    <w:rsid w:val="0045124F"/>
    <w:rsid w:val="00452B2E"/>
    <w:rsid w:val="00455488"/>
    <w:rsid w:val="004560F2"/>
    <w:rsid w:val="004570D3"/>
    <w:rsid w:val="00457659"/>
    <w:rsid w:val="00461C06"/>
    <w:rsid w:val="00461E25"/>
    <w:rsid w:val="00462611"/>
    <w:rsid w:val="0046296E"/>
    <w:rsid w:val="00462E55"/>
    <w:rsid w:val="004632FE"/>
    <w:rsid w:val="00463F34"/>
    <w:rsid w:val="00463F72"/>
    <w:rsid w:val="00464107"/>
    <w:rsid w:val="00464662"/>
    <w:rsid w:val="00464949"/>
    <w:rsid w:val="00465238"/>
    <w:rsid w:val="00465922"/>
    <w:rsid w:val="00466172"/>
    <w:rsid w:val="00472407"/>
    <w:rsid w:val="00472798"/>
    <w:rsid w:val="00472BBD"/>
    <w:rsid w:val="00473F34"/>
    <w:rsid w:val="00474DE5"/>
    <w:rsid w:val="0047615F"/>
    <w:rsid w:val="004769C5"/>
    <w:rsid w:val="004816AD"/>
    <w:rsid w:val="00481C6F"/>
    <w:rsid w:val="00482491"/>
    <w:rsid w:val="00483556"/>
    <w:rsid w:val="00485163"/>
    <w:rsid w:val="00485174"/>
    <w:rsid w:val="00485517"/>
    <w:rsid w:val="00485879"/>
    <w:rsid w:val="00486861"/>
    <w:rsid w:val="00486DF3"/>
    <w:rsid w:val="0049005E"/>
    <w:rsid w:val="004910F0"/>
    <w:rsid w:val="0049156B"/>
    <w:rsid w:val="00491A7B"/>
    <w:rsid w:val="00491E5D"/>
    <w:rsid w:val="004921D6"/>
    <w:rsid w:val="00493CCF"/>
    <w:rsid w:val="004940AD"/>
    <w:rsid w:val="00494991"/>
    <w:rsid w:val="004A14DD"/>
    <w:rsid w:val="004A2285"/>
    <w:rsid w:val="004A477C"/>
    <w:rsid w:val="004A47FC"/>
    <w:rsid w:val="004A7D75"/>
    <w:rsid w:val="004B1727"/>
    <w:rsid w:val="004B237D"/>
    <w:rsid w:val="004B3081"/>
    <w:rsid w:val="004B3293"/>
    <w:rsid w:val="004B3752"/>
    <w:rsid w:val="004B3DF5"/>
    <w:rsid w:val="004B48F7"/>
    <w:rsid w:val="004B537C"/>
    <w:rsid w:val="004B5684"/>
    <w:rsid w:val="004B5BA7"/>
    <w:rsid w:val="004C0071"/>
    <w:rsid w:val="004C00F7"/>
    <w:rsid w:val="004C11B5"/>
    <w:rsid w:val="004C1D81"/>
    <w:rsid w:val="004C28BF"/>
    <w:rsid w:val="004C2D17"/>
    <w:rsid w:val="004C331B"/>
    <w:rsid w:val="004C4C3A"/>
    <w:rsid w:val="004D0D3F"/>
    <w:rsid w:val="004D0F24"/>
    <w:rsid w:val="004D13EA"/>
    <w:rsid w:val="004D1EB8"/>
    <w:rsid w:val="004D2893"/>
    <w:rsid w:val="004D44BC"/>
    <w:rsid w:val="004D4AE1"/>
    <w:rsid w:val="004D5D8A"/>
    <w:rsid w:val="004D7400"/>
    <w:rsid w:val="004D7521"/>
    <w:rsid w:val="004D7B16"/>
    <w:rsid w:val="004D7B30"/>
    <w:rsid w:val="004E1D08"/>
    <w:rsid w:val="004E29B3"/>
    <w:rsid w:val="004E2D58"/>
    <w:rsid w:val="004E2E1A"/>
    <w:rsid w:val="004E312F"/>
    <w:rsid w:val="004E4117"/>
    <w:rsid w:val="004E467E"/>
    <w:rsid w:val="004E4685"/>
    <w:rsid w:val="004E578F"/>
    <w:rsid w:val="004E6B1C"/>
    <w:rsid w:val="004E6FFF"/>
    <w:rsid w:val="004E7A80"/>
    <w:rsid w:val="004F08CD"/>
    <w:rsid w:val="004F0DF9"/>
    <w:rsid w:val="004F1DC1"/>
    <w:rsid w:val="004F2596"/>
    <w:rsid w:val="004F2756"/>
    <w:rsid w:val="004F3D87"/>
    <w:rsid w:val="004F4894"/>
    <w:rsid w:val="004F489F"/>
    <w:rsid w:val="004F4B46"/>
    <w:rsid w:val="004F61BD"/>
    <w:rsid w:val="004F61C5"/>
    <w:rsid w:val="004F6F8D"/>
    <w:rsid w:val="0050017D"/>
    <w:rsid w:val="005007E6"/>
    <w:rsid w:val="00500890"/>
    <w:rsid w:val="00502524"/>
    <w:rsid w:val="00502648"/>
    <w:rsid w:val="00502FAF"/>
    <w:rsid w:val="0050384E"/>
    <w:rsid w:val="00503D20"/>
    <w:rsid w:val="005042D0"/>
    <w:rsid w:val="0050465B"/>
    <w:rsid w:val="005048A3"/>
    <w:rsid w:val="00505F87"/>
    <w:rsid w:val="0050654E"/>
    <w:rsid w:val="00506692"/>
    <w:rsid w:val="00506F78"/>
    <w:rsid w:val="00513A76"/>
    <w:rsid w:val="00513AF7"/>
    <w:rsid w:val="005143E0"/>
    <w:rsid w:val="0051498F"/>
    <w:rsid w:val="005157B1"/>
    <w:rsid w:val="00515DC1"/>
    <w:rsid w:val="00516EAF"/>
    <w:rsid w:val="00516F90"/>
    <w:rsid w:val="0051711C"/>
    <w:rsid w:val="005171EA"/>
    <w:rsid w:val="005201A5"/>
    <w:rsid w:val="00520289"/>
    <w:rsid w:val="00520D38"/>
    <w:rsid w:val="005215DC"/>
    <w:rsid w:val="005216AD"/>
    <w:rsid w:val="00522466"/>
    <w:rsid w:val="00524295"/>
    <w:rsid w:val="00524DDF"/>
    <w:rsid w:val="00524E25"/>
    <w:rsid w:val="00526608"/>
    <w:rsid w:val="005267E6"/>
    <w:rsid w:val="00527DAB"/>
    <w:rsid w:val="00531FB3"/>
    <w:rsid w:val="00531FF2"/>
    <w:rsid w:val="00532A81"/>
    <w:rsid w:val="00532F79"/>
    <w:rsid w:val="0053496F"/>
    <w:rsid w:val="005350C1"/>
    <w:rsid w:val="005358D9"/>
    <w:rsid w:val="00537B9C"/>
    <w:rsid w:val="00540260"/>
    <w:rsid w:val="005446B2"/>
    <w:rsid w:val="00544C0F"/>
    <w:rsid w:val="0054528F"/>
    <w:rsid w:val="005454DD"/>
    <w:rsid w:val="00547291"/>
    <w:rsid w:val="00547693"/>
    <w:rsid w:val="00547C58"/>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49C9"/>
    <w:rsid w:val="00565039"/>
    <w:rsid w:val="0056568D"/>
    <w:rsid w:val="00565EFE"/>
    <w:rsid w:val="00565F05"/>
    <w:rsid w:val="0056633D"/>
    <w:rsid w:val="00570BEE"/>
    <w:rsid w:val="005732D5"/>
    <w:rsid w:val="00573ACA"/>
    <w:rsid w:val="0057611C"/>
    <w:rsid w:val="00576C2F"/>
    <w:rsid w:val="0057720E"/>
    <w:rsid w:val="00580D25"/>
    <w:rsid w:val="00581125"/>
    <w:rsid w:val="00581450"/>
    <w:rsid w:val="00582CFA"/>
    <w:rsid w:val="00583EAA"/>
    <w:rsid w:val="005845A2"/>
    <w:rsid w:val="00585F8F"/>
    <w:rsid w:val="0058659A"/>
    <w:rsid w:val="0058677B"/>
    <w:rsid w:val="005876BE"/>
    <w:rsid w:val="00590D07"/>
    <w:rsid w:val="00591456"/>
    <w:rsid w:val="00592452"/>
    <w:rsid w:val="0059394E"/>
    <w:rsid w:val="0059446D"/>
    <w:rsid w:val="005956CA"/>
    <w:rsid w:val="00595B0A"/>
    <w:rsid w:val="00595C4E"/>
    <w:rsid w:val="0059637F"/>
    <w:rsid w:val="00596AC4"/>
    <w:rsid w:val="005A1B4C"/>
    <w:rsid w:val="005A3FC0"/>
    <w:rsid w:val="005A4616"/>
    <w:rsid w:val="005A4E2A"/>
    <w:rsid w:val="005A5913"/>
    <w:rsid w:val="005A6B10"/>
    <w:rsid w:val="005A71D2"/>
    <w:rsid w:val="005A7B39"/>
    <w:rsid w:val="005B0BD6"/>
    <w:rsid w:val="005B0DBE"/>
    <w:rsid w:val="005B127F"/>
    <w:rsid w:val="005B1454"/>
    <w:rsid w:val="005B15A2"/>
    <w:rsid w:val="005B1C53"/>
    <w:rsid w:val="005B22E7"/>
    <w:rsid w:val="005B332E"/>
    <w:rsid w:val="005B39FE"/>
    <w:rsid w:val="005B4261"/>
    <w:rsid w:val="005B53CF"/>
    <w:rsid w:val="005B56E1"/>
    <w:rsid w:val="005B572A"/>
    <w:rsid w:val="005B5B14"/>
    <w:rsid w:val="005B5F80"/>
    <w:rsid w:val="005B5F97"/>
    <w:rsid w:val="005B6901"/>
    <w:rsid w:val="005B76B1"/>
    <w:rsid w:val="005C0E41"/>
    <w:rsid w:val="005C122F"/>
    <w:rsid w:val="005C192F"/>
    <w:rsid w:val="005C1FC1"/>
    <w:rsid w:val="005C24B1"/>
    <w:rsid w:val="005C2645"/>
    <w:rsid w:val="005C2A1A"/>
    <w:rsid w:val="005C5C96"/>
    <w:rsid w:val="005C63D0"/>
    <w:rsid w:val="005C752F"/>
    <w:rsid w:val="005C7537"/>
    <w:rsid w:val="005D0A2D"/>
    <w:rsid w:val="005D1374"/>
    <w:rsid w:val="005D1597"/>
    <w:rsid w:val="005D24D5"/>
    <w:rsid w:val="005D307E"/>
    <w:rsid w:val="005D31A4"/>
    <w:rsid w:val="005D33A7"/>
    <w:rsid w:val="005D3EDD"/>
    <w:rsid w:val="005D4530"/>
    <w:rsid w:val="005D59E8"/>
    <w:rsid w:val="005E135C"/>
    <w:rsid w:val="005E15C9"/>
    <w:rsid w:val="005E19A4"/>
    <w:rsid w:val="005E220D"/>
    <w:rsid w:val="005E31B9"/>
    <w:rsid w:val="005E331E"/>
    <w:rsid w:val="005E5F02"/>
    <w:rsid w:val="005F03CE"/>
    <w:rsid w:val="005F0D12"/>
    <w:rsid w:val="005F0FFB"/>
    <w:rsid w:val="005F18B9"/>
    <w:rsid w:val="005F1917"/>
    <w:rsid w:val="005F2B2F"/>
    <w:rsid w:val="005F4573"/>
    <w:rsid w:val="005F49E0"/>
    <w:rsid w:val="005F569C"/>
    <w:rsid w:val="005F573D"/>
    <w:rsid w:val="005F5881"/>
    <w:rsid w:val="005F60AF"/>
    <w:rsid w:val="005F60C1"/>
    <w:rsid w:val="005F60E0"/>
    <w:rsid w:val="005F79BD"/>
    <w:rsid w:val="005F7AE4"/>
    <w:rsid w:val="005F7C7C"/>
    <w:rsid w:val="005F7E3B"/>
    <w:rsid w:val="00600AF1"/>
    <w:rsid w:val="00601362"/>
    <w:rsid w:val="006026B4"/>
    <w:rsid w:val="00602D3B"/>
    <w:rsid w:val="00603141"/>
    <w:rsid w:val="00604415"/>
    <w:rsid w:val="00604A35"/>
    <w:rsid w:val="00605427"/>
    <w:rsid w:val="006056E9"/>
    <w:rsid w:val="00605F37"/>
    <w:rsid w:val="0060601F"/>
    <w:rsid w:val="006067C1"/>
    <w:rsid w:val="006067F9"/>
    <w:rsid w:val="0061190A"/>
    <w:rsid w:val="006121BD"/>
    <w:rsid w:val="006125FF"/>
    <w:rsid w:val="006139A3"/>
    <w:rsid w:val="0061501B"/>
    <w:rsid w:val="00616091"/>
    <w:rsid w:val="0061648E"/>
    <w:rsid w:val="006175A1"/>
    <w:rsid w:val="00620ABE"/>
    <w:rsid w:val="00621603"/>
    <w:rsid w:val="00623216"/>
    <w:rsid w:val="006236CD"/>
    <w:rsid w:val="006255A4"/>
    <w:rsid w:val="006265CD"/>
    <w:rsid w:val="006277B7"/>
    <w:rsid w:val="00632570"/>
    <w:rsid w:val="00632A02"/>
    <w:rsid w:val="00633C2F"/>
    <w:rsid w:val="00634215"/>
    <w:rsid w:val="00634D1A"/>
    <w:rsid w:val="00635209"/>
    <w:rsid w:val="00635CA7"/>
    <w:rsid w:val="00636AF1"/>
    <w:rsid w:val="006373C4"/>
    <w:rsid w:val="006373D0"/>
    <w:rsid w:val="0063745C"/>
    <w:rsid w:val="00637653"/>
    <w:rsid w:val="006401C7"/>
    <w:rsid w:val="006435FF"/>
    <w:rsid w:val="00643806"/>
    <w:rsid w:val="00643D7A"/>
    <w:rsid w:val="00644312"/>
    <w:rsid w:val="006449A9"/>
    <w:rsid w:val="00644D4A"/>
    <w:rsid w:val="00644FE7"/>
    <w:rsid w:val="006462CD"/>
    <w:rsid w:val="006465E8"/>
    <w:rsid w:val="0064680F"/>
    <w:rsid w:val="0064694B"/>
    <w:rsid w:val="00647348"/>
    <w:rsid w:val="00647F5C"/>
    <w:rsid w:val="006507B4"/>
    <w:rsid w:val="00651221"/>
    <w:rsid w:val="00651FD9"/>
    <w:rsid w:val="0065333D"/>
    <w:rsid w:val="00653474"/>
    <w:rsid w:val="00653D19"/>
    <w:rsid w:val="00653FBE"/>
    <w:rsid w:val="0065466A"/>
    <w:rsid w:val="00654B1A"/>
    <w:rsid w:val="00654E88"/>
    <w:rsid w:val="00655EE2"/>
    <w:rsid w:val="00656C66"/>
    <w:rsid w:val="00657049"/>
    <w:rsid w:val="00657249"/>
    <w:rsid w:val="00661886"/>
    <w:rsid w:val="00662457"/>
    <w:rsid w:val="006629BD"/>
    <w:rsid w:val="00662DD9"/>
    <w:rsid w:val="00663220"/>
    <w:rsid w:val="00663CF3"/>
    <w:rsid w:val="00663F53"/>
    <w:rsid w:val="00664EED"/>
    <w:rsid w:val="006659E4"/>
    <w:rsid w:val="006665D2"/>
    <w:rsid w:val="00666CA5"/>
    <w:rsid w:val="0066712E"/>
    <w:rsid w:val="00667CCB"/>
    <w:rsid w:val="006703E1"/>
    <w:rsid w:val="00670FB5"/>
    <w:rsid w:val="00671F3F"/>
    <w:rsid w:val="00672824"/>
    <w:rsid w:val="00672ABA"/>
    <w:rsid w:val="00672FF7"/>
    <w:rsid w:val="006736F2"/>
    <w:rsid w:val="00673EF9"/>
    <w:rsid w:val="0067407E"/>
    <w:rsid w:val="00675990"/>
    <w:rsid w:val="0068066D"/>
    <w:rsid w:val="00681E6F"/>
    <w:rsid w:val="006828BB"/>
    <w:rsid w:val="00682F51"/>
    <w:rsid w:val="00684A84"/>
    <w:rsid w:val="00684D2A"/>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997"/>
    <w:rsid w:val="006A1E17"/>
    <w:rsid w:val="006A1EF2"/>
    <w:rsid w:val="006A200F"/>
    <w:rsid w:val="006A239A"/>
    <w:rsid w:val="006A2EDF"/>
    <w:rsid w:val="006A3665"/>
    <w:rsid w:val="006A426A"/>
    <w:rsid w:val="006A42CA"/>
    <w:rsid w:val="006A4603"/>
    <w:rsid w:val="006A4B08"/>
    <w:rsid w:val="006A55D2"/>
    <w:rsid w:val="006A5D5E"/>
    <w:rsid w:val="006A68DF"/>
    <w:rsid w:val="006A6996"/>
    <w:rsid w:val="006A7BB2"/>
    <w:rsid w:val="006B0D68"/>
    <w:rsid w:val="006B0E2E"/>
    <w:rsid w:val="006B19D7"/>
    <w:rsid w:val="006B19E5"/>
    <w:rsid w:val="006B2D93"/>
    <w:rsid w:val="006B31F2"/>
    <w:rsid w:val="006B3D28"/>
    <w:rsid w:val="006B6620"/>
    <w:rsid w:val="006B6A2E"/>
    <w:rsid w:val="006B6D35"/>
    <w:rsid w:val="006B7A26"/>
    <w:rsid w:val="006C0C2B"/>
    <w:rsid w:val="006C0DC8"/>
    <w:rsid w:val="006C14A4"/>
    <w:rsid w:val="006C15F8"/>
    <w:rsid w:val="006C19C9"/>
    <w:rsid w:val="006C20C8"/>
    <w:rsid w:val="006C3004"/>
    <w:rsid w:val="006C43C4"/>
    <w:rsid w:val="006C43DF"/>
    <w:rsid w:val="006C490E"/>
    <w:rsid w:val="006C4B60"/>
    <w:rsid w:val="006C5027"/>
    <w:rsid w:val="006C529A"/>
    <w:rsid w:val="006C58CE"/>
    <w:rsid w:val="006C5F13"/>
    <w:rsid w:val="006C6014"/>
    <w:rsid w:val="006C6B1A"/>
    <w:rsid w:val="006C6B55"/>
    <w:rsid w:val="006C75AD"/>
    <w:rsid w:val="006D13EF"/>
    <w:rsid w:val="006D183D"/>
    <w:rsid w:val="006D26CB"/>
    <w:rsid w:val="006D35C5"/>
    <w:rsid w:val="006D373C"/>
    <w:rsid w:val="006D3EF8"/>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3A"/>
    <w:rsid w:val="006F2AD8"/>
    <w:rsid w:val="006F2B0F"/>
    <w:rsid w:val="006F3164"/>
    <w:rsid w:val="006F3914"/>
    <w:rsid w:val="006F39AD"/>
    <w:rsid w:val="006F3A86"/>
    <w:rsid w:val="006F4CB8"/>
    <w:rsid w:val="006F5A52"/>
    <w:rsid w:val="007002B0"/>
    <w:rsid w:val="00700408"/>
    <w:rsid w:val="00700450"/>
    <w:rsid w:val="007024E5"/>
    <w:rsid w:val="007025E6"/>
    <w:rsid w:val="00702F14"/>
    <w:rsid w:val="00704287"/>
    <w:rsid w:val="00705011"/>
    <w:rsid w:val="007051DF"/>
    <w:rsid w:val="00705608"/>
    <w:rsid w:val="00705B23"/>
    <w:rsid w:val="00706C97"/>
    <w:rsid w:val="00706CF1"/>
    <w:rsid w:val="00706E64"/>
    <w:rsid w:val="0071024E"/>
    <w:rsid w:val="00711950"/>
    <w:rsid w:val="00711CBD"/>
    <w:rsid w:val="00711D48"/>
    <w:rsid w:val="00711D8E"/>
    <w:rsid w:val="00711ED4"/>
    <w:rsid w:val="00712A1B"/>
    <w:rsid w:val="00712B89"/>
    <w:rsid w:val="0071300C"/>
    <w:rsid w:val="00713645"/>
    <w:rsid w:val="00713882"/>
    <w:rsid w:val="007139B9"/>
    <w:rsid w:val="00714211"/>
    <w:rsid w:val="007149DA"/>
    <w:rsid w:val="00715DC3"/>
    <w:rsid w:val="00715F59"/>
    <w:rsid w:val="00716A94"/>
    <w:rsid w:val="00717D5B"/>
    <w:rsid w:val="0072106C"/>
    <w:rsid w:val="00721A55"/>
    <w:rsid w:val="007233E4"/>
    <w:rsid w:val="00723D01"/>
    <w:rsid w:val="0072431B"/>
    <w:rsid w:val="0072433F"/>
    <w:rsid w:val="00725609"/>
    <w:rsid w:val="0072582D"/>
    <w:rsid w:val="0073036F"/>
    <w:rsid w:val="00730884"/>
    <w:rsid w:val="007308D3"/>
    <w:rsid w:val="00731381"/>
    <w:rsid w:val="0073171D"/>
    <w:rsid w:val="00732016"/>
    <w:rsid w:val="00732FE5"/>
    <w:rsid w:val="0073363C"/>
    <w:rsid w:val="0073580D"/>
    <w:rsid w:val="00736302"/>
    <w:rsid w:val="00736360"/>
    <w:rsid w:val="0073660C"/>
    <w:rsid w:val="00736F44"/>
    <w:rsid w:val="0073719B"/>
    <w:rsid w:val="00741F6E"/>
    <w:rsid w:val="0074274A"/>
    <w:rsid w:val="00743B78"/>
    <w:rsid w:val="00745B62"/>
    <w:rsid w:val="0074652D"/>
    <w:rsid w:val="00746C1C"/>
    <w:rsid w:val="00750477"/>
    <w:rsid w:val="00750943"/>
    <w:rsid w:val="007535ED"/>
    <w:rsid w:val="00753A5E"/>
    <w:rsid w:val="00754A29"/>
    <w:rsid w:val="00755A02"/>
    <w:rsid w:val="007562F5"/>
    <w:rsid w:val="0075644F"/>
    <w:rsid w:val="00757188"/>
    <w:rsid w:val="007608D6"/>
    <w:rsid w:val="00760A5C"/>
    <w:rsid w:val="007612C7"/>
    <w:rsid w:val="00762256"/>
    <w:rsid w:val="007630F5"/>
    <w:rsid w:val="00763483"/>
    <w:rsid w:val="007639CA"/>
    <w:rsid w:val="00764066"/>
    <w:rsid w:val="0076433F"/>
    <w:rsid w:val="00764D10"/>
    <w:rsid w:val="00765D62"/>
    <w:rsid w:val="00765FAE"/>
    <w:rsid w:val="007660F8"/>
    <w:rsid w:val="00767B72"/>
    <w:rsid w:val="00767DB5"/>
    <w:rsid w:val="007704C7"/>
    <w:rsid w:val="00771DE5"/>
    <w:rsid w:val="00771E0F"/>
    <w:rsid w:val="00773D2C"/>
    <w:rsid w:val="007743CF"/>
    <w:rsid w:val="00774484"/>
    <w:rsid w:val="00774C5C"/>
    <w:rsid w:val="00774D41"/>
    <w:rsid w:val="007755AC"/>
    <w:rsid w:val="00775A42"/>
    <w:rsid w:val="00776E99"/>
    <w:rsid w:val="00777C00"/>
    <w:rsid w:val="0078067F"/>
    <w:rsid w:val="007807E0"/>
    <w:rsid w:val="00782030"/>
    <w:rsid w:val="00782E1B"/>
    <w:rsid w:val="007836C1"/>
    <w:rsid w:val="00784439"/>
    <w:rsid w:val="00784D58"/>
    <w:rsid w:val="00785438"/>
    <w:rsid w:val="00786594"/>
    <w:rsid w:val="0079178A"/>
    <w:rsid w:val="00793F46"/>
    <w:rsid w:val="007948F4"/>
    <w:rsid w:val="00794AA0"/>
    <w:rsid w:val="007968A1"/>
    <w:rsid w:val="007974D6"/>
    <w:rsid w:val="00797E84"/>
    <w:rsid w:val="007A00E8"/>
    <w:rsid w:val="007A0841"/>
    <w:rsid w:val="007A1C58"/>
    <w:rsid w:val="007A1F3D"/>
    <w:rsid w:val="007A312E"/>
    <w:rsid w:val="007A3CF4"/>
    <w:rsid w:val="007A3F28"/>
    <w:rsid w:val="007A4238"/>
    <w:rsid w:val="007A4DF2"/>
    <w:rsid w:val="007A506C"/>
    <w:rsid w:val="007A5199"/>
    <w:rsid w:val="007A5378"/>
    <w:rsid w:val="007A5438"/>
    <w:rsid w:val="007A5A17"/>
    <w:rsid w:val="007A6D6D"/>
    <w:rsid w:val="007A7C1E"/>
    <w:rsid w:val="007B1591"/>
    <w:rsid w:val="007B1FA8"/>
    <w:rsid w:val="007B46C9"/>
    <w:rsid w:val="007B5DBC"/>
    <w:rsid w:val="007B738D"/>
    <w:rsid w:val="007B77BA"/>
    <w:rsid w:val="007B7ACC"/>
    <w:rsid w:val="007C06EE"/>
    <w:rsid w:val="007C0E34"/>
    <w:rsid w:val="007C1274"/>
    <w:rsid w:val="007C16D2"/>
    <w:rsid w:val="007C1C6F"/>
    <w:rsid w:val="007C308D"/>
    <w:rsid w:val="007C5406"/>
    <w:rsid w:val="007C5AFE"/>
    <w:rsid w:val="007C6DF4"/>
    <w:rsid w:val="007C706A"/>
    <w:rsid w:val="007C799F"/>
    <w:rsid w:val="007C79A1"/>
    <w:rsid w:val="007C7D4C"/>
    <w:rsid w:val="007D1813"/>
    <w:rsid w:val="007D1FB5"/>
    <w:rsid w:val="007D2936"/>
    <w:rsid w:val="007D4D6E"/>
    <w:rsid w:val="007D5F67"/>
    <w:rsid w:val="007D673C"/>
    <w:rsid w:val="007D7D37"/>
    <w:rsid w:val="007E2349"/>
    <w:rsid w:val="007E4A90"/>
    <w:rsid w:val="007E4A9C"/>
    <w:rsid w:val="007E55CB"/>
    <w:rsid w:val="007E6D61"/>
    <w:rsid w:val="007E72DA"/>
    <w:rsid w:val="007E78CD"/>
    <w:rsid w:val="007E7D27"/>
    <w:rsid w:val="007F0700"/>
    <w:rsid w:val="007F13C1"/>
    <w:rsid w:val="007F191C"/>
    <w:rsid w:val="007F1A0B"/>
    <w:rsid w:val="007F28D3"/>
    <w:rsid w:val="007F2F46"/>
    <w:rsid w:val="007F3445"/>
    <w:rsid w:val="007F3827"/>
    <w:rsid w:val="007F3925"/>
    <w:rsid w:val="007F4A6E"/>
    <w:rsid w:val="007F6D6D"/>
    <w:rsid w:val="007F71F9"/>
    <w:rsid w:val="00800BA0"/>
    <w:rsid w:val="00800FA8"/>
    <w:rsid w:val="00801801"/>
    <w:rsid w:val="00803F65"/>
    <w:rsid w:val="008041FB"/>
    <w:rsid w:val="00804B4C"/>
    <w:rsid w:val="00804F9D"/>
    <w:rsid w:val="00805200"/>
    <w:rsid w:val="008052DD"/>
    <w:rsid w:val="00805E39"/>
    <w:rsid w:val="0080611D"/>
    <w:rsid w:val="00807025"/>
    <w:rsid w:val="00807BE4"/>
    <w:rsid w:val="00807C54"/>
    <w:rsid w:val="00807D4D"/>
    <w:rsid w:val="00807DFE"/>
    <w:rsid w:val="0081010D"/>
    <w:rsid w:val="0081050E"/>
    <w:rsid w:val="00810D76"/>
    <w:rsid w:val="00810E40"/>
    <w:rsid w:val="00811D2B"/>
    <w:rsid w:val="00812978"/>
    <w:rsid w:val="00812AF1"/>
    <w:rsid w:val="008132D1"/>
    <w:rsid w:val="008132FA"/>
    <w:rsid w:val="008134BA"/>
    <w:rsid w:val="00814D9B"/>
    <w:rsid w:val="00815294"/>
    <w:rsid w:val="008153CF"/>
    <w:rsid w:val="008156BB"/>
    <w:rsid w:val="00815C93"/>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6"/>
    <w:rsid w:val="00827247"/>
    <w:rsid w:val="00830A3B"/>
    <w:rsid w:val="008319AD"/>
    <w:rsid w:val="00832940"/>
    <w:rsid w:val="008337E4"/>
    <w:rsid w:val="0083425C"/>
    <w:rsid w:val="0083497A"/>
    <w:rsid w:val="00834ED9"/>
    <w:rsid w:val="0083503C"/>
    <w:rsid w:val="008353FD"/>
    <w:rsid w:val="00835502"/>
    <w:rsid w:val="0083610B"/>
    <w:rsid w:val="008365BA"/>
    <w:rsid w:val="00836BCB"/>
    <w:rsid w:val="008374CE"/>
    <w:rsid w:val="00837D0B"/>
    <w:rsid w:val="00837E72"/>
    <w:rsid w:val="0084063D"/>
    <w:rsid w:val="00840830"/>
    <w:rsid w:val="00841086"/>
    <w:rsid w:val="00841EAF"/>
    <w:rsid w:val="00841F89"/>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292"/>
    <w:rsid w:val="00865944"/>
    <w:rsid w:val="00865E47"/>
    <w:rsid w:val="0086613F"/>
    <w:rsid w:val="00866587"/>
    <w:rsid w:val="0086734A"/>
    <w:rsid w:val="00867C7A"/>
    <w:rsid w:val="0087034A"/>
    <w:rsid w:val="00870B87"/>
    <w:rsid w:val="00872425"/>
    <w:rsid w:val="00872438"/>
    <w:rsid w:val="00873881"/>
    <w:rsid w:val="00873A2C"/>
    <w:rsid w:val="00874A01"/>
    <w:rsid w:val="00874D62"/>
    <w:rsid w:val="008752EC"/>
    <w:rsid w:val="008764AF"/>
    <w:rsid w:val="00876F46"/>
    <w:rsid w:val="008777F6"/>
    <w:rsid w:val="00880670"/>
    <w:rsid w:val="00880A28"/>
    <w:rsid w:val="008823B9"/>
    <w:rsid w:val="008841AF"/>
    <w:rsid w:val="00884304"/>
    <w:rsid w:val="00884827"/>
    <w:rsid w:val="00885AB7"/>
    <w:rsid w:val="00886BD9"/>
    <w:rsid w:val="00887059"/>
    <w:rsid w:val="00891FE6"/>
    <w:rsid w:val="00892B00"/>
    <w:rsid w:val="00892B5B"/>
    <w:rsid w:val="00893E00"/>
    <w:rsid w:val="00894979"/>
    <w:rsid w:val="0089544E"/>
    <w:rsid w:val="00895478"/>
    <w:rsid w:val="0089587B"/>
    <w:rsid w:val="00896206"/>
    <w:rsid w:val="00896B4A"/>
    <w:rsid w:val="008A08EA"/>
    <w:rsid w:val="008A13D8"/>
    <w:rsid w:val="008A19FB"/>
    <w:rsid w:val="008A38AD"/>
    <w:rsid w:val="008A4E97"/>
    <w:rsid w:val="008A5947"/>
    <w:rsid w:val="008A59B2"/>
    <w:rsid w:val="008A5AB4"/>
    <w:rsid w:val="008A60F3"/>
    <w:rsid w:val="008A6286"/>
    <w:rsid w:val="008A6407"/>
    <w:rsid w:val="008A683E"/>
    <w:rsid w:val="008A68AA"/>
    <w:rsid w:val="008A6F1B"/>
    <w:rsid w:val="008A6F9A"/>
    <w:rsid w:val="008A7439"/>
    <w:rsid w:val="008B0471"/>
    <w:rsid w:val="008B0A90"/>
    <w:rsid w:val="008B33E1"/>
    <w:rsid w:val="008B3F0E"/>
    <w:rsid w:val="008B4347"/>
    <w:rsid w:val="008B445A"/>
    <w:rsid w:val="008B4DBD"/>
    <w:rsid w:val="008B5685"/>
    <w:rsid w:val="008B688E"/>
    <w:rsid w:val="008B6F00"/>
    <w:rsid w:val="008C1638"/>
    <w:rsid w:val="008C1C71"/>
    <w:rsid w:val="008C33E4"/>
    <w:rsid w:val="008C42F3"/>
    <w:rsid w:val="008C453E"/>
    <w:rsid w:val="008C51FD"/>
    <w:rsid w:val="008C61EA"/>
    <w:rsid w:val="008C67F4"/>
    <w:rsid w:val="008D03E5"/>
    <w:rsid w:val="008D0795"/>
    <w:rsid w:val="008D18B9"/>
    <w:rsid w:val="008D1C35"/>
    <w:rsid w:val="008D2DCA"/>
    <w:rsid w:val="008D30F0"/>
    <w:rsid w:val="008D333A"/>
    <w:rsid w:val="008D3C44"/>
    <w:rsid w:val="008D4E78"/>
    <w:rsid w:val="008D52DD"/>
    <w:rsid w:val="008D58D0"/>
    <w:rsid w:val="008D6863"/>
    <w:rsid w:val="008D7235"/>
    <w:rsid w:val="008D7B9E"/>
    <w:rsid w:val="008E0DFC"/>
    <w:rsid w:val="008E0FD5"/>
    <w:rsid w:val="008E1988"/>
    <w:rsid w:val="008E1A65"/>
    <w:rsid w:val="008E22CF"/>
    <w:rsid w:val="008E24CB"/>
    <w:rsid w:val="008E3062"/>
    <w:rsid w:val="008E3382"/>
    <w:rsid w:val="008E45A8"/>
    <w:rsid w:val="008E5474"/>
    <w:rsid w:val="008E5EF2"/>
    <w:rsid w:val="008E63A0"/>
    <w:rsid w:val="008E671D"/>
    <w:rsid w:val="008E6F1C"/>
    <w:rsid w:val="008E779F"/>
    <w:rsid w:val="008E7CC7"/>
    <w:rsid w:val="008E7F6F"/>
    <w:rsid w:val="008F0921"/>
    <w:rsid w:val="008F0AB7"/>
    <w:rsid w:val="008F1E4D"/>
    <w:rsid w:val="008F228D"/>
    <w:rsid w:val="008F2AFD"/>
    <w:rsid w:val="008F386A"/>
    <w:rsid w:val="008F400E"/>
    <w:rsid w:val="008F4F5B"/>
    <w:rsid w:val="008F6104"/>
    <w:rsid w:val="008F6F3A"/>
    <w:rsid w:val="008F78EE"/>
    <w:rsid w:val="008F7DDB"/>
    <w:rsid w:val="00900453"/>
    <w:rsid w:val="00900B79"/>
    <w:rsid w:val="0090106E"/>
    <w:rsid w:val="009017E2"/>
    <w:rsid w:val="00901D65"/>
    <w:rsid w:val="009027B2"/>
    <w:rsid w:val="0090296A"/>
    <w:rsid w:val="00902AF1"/>
    <w:rsid w:val="00904B0D"/>
    <w:rsid w:val="009056F5"/>
    <w:rsid w:val="00906BEB"/>
    <w:rsid w:val="00910BDE"/>
    <w:rsid w:val="009119A3"/>
    <w:rsid w:val="00911C55"/>
    <w:rsid w:val="009130B4"/>
    <w:rsid w:val="0091420C"/>
    <w:rsid w:val="0091522C"/>
    <w:rsid w:val="009159B1"/>
    <w:rsid w:val="00915CD7"/>
    <w:rsid w:val="00916B93"/>
    <w:rsid w:val="0092191B"/>
    <w:rsid w:val="009239A6"/>
    <w:rsid w:val="00923DF4"/>
    <w:rsid w:val="0092446E"/>
    <w:rsid w:val="00925CA0"/>
    <w:rsid w:val="00925DAC"/>
    <w:rsid w:val="009266B9"/>
    <w:rsid w:val="00930D80"/>
    <w:rsid w:val="0093209B"/>
    <w:rsid w:val="00932EF4"/>
    <w:rsid w:val="00933CCA"/>
    <w:rsid w:val="00934B42"/>
    <w:rsid w:val="00936825"/>
    <w:rsid w:val="00936C52"/>
    <w:rsid w:val="00937AAF"/>
    <w:rsid w:val="009408BD"/>
    <w:rsid w:val="00940FE7"/>
    <w:rsid w:val="009422D5"/>
    <w:rsid w:val="0094242D"/>
    <w:rsid w:val="009442D4"/>
    <w:rsid w:val="00945168"/>
    <w:rsid w:val="009452BE"/>
    <w:rsid w:val="00945B71"/>
    <w:rsid w:val="00945BC5"/>
    <w:rsid w:val="009460AD"/>
    <w:rsid w:val="009462C5"/>
    <w:rsid w:val="00946957"/>
    <w:rsid w:val="009475D4"/>
    <w:rsid w:val="00950491"/>
    <w:rsid w:val="009507CA"/>
    <w:rsid w:val="009509A8"/>
    <w:rsid w:val="00950B88"/>
    <w:rsid w:val="00952B63"/>
    <w:rsid w:val="0095435C"/>
    <w:rsid w:val="009547CD"/>
    <w:rsid w:val="009555F6"/>
    <w:rsid w:val="0095570E"/>
    <w:rsid w:val="0095597A"/>
    <w:rsid w:val="00957784"/>
    <w:rsid w:val="00960457"/>
    <w:rsid w:val="0096204F"/>
    <w:rsid w:val="00962F28"/>
    <w:rsid w:val="00963268"/>
    <w:rsid w:val="00964A63"/>
    <w:rsid w:val="00964F94"/>
    <w:rsid w:val="00966E9E"/>
    <w:rsid w:val="009674D3"/>
    <w:rsid w:val="0096757D"/>
    <w:rsid w:val="00970650"/>
    <w:rsid w:val="00970E27"/>
    <w:rsid w:val="00970F2D"/>
    <w:rsid w:val="009715DD"/>
    <w:rsid w:val="0097174D"/>
    <w:rsid w:val="009735F1"/>
    <w:rsid w:val="00976198"/>
    <w:rsid w:val="0097673D"/>
    <w:rsid w:val="00976F6A"/>
    <w:rsid w:val="00977493"/>
    <w:rsid w:val="00977607"/>
    <w:rsid w:val="0098075C"/>
    <w:rsid w:val="00980EDB"/>
    <w:rsid w:val="00981480"/>
    <w:rsid w:val="00982A0A"/>
    <w:rsid w:val="00983D13"/>
    <w:rsid w:val="0098402A"/>
    <w:rsid w:val="0098402B"/>
    <w:rsid w:val="009841C7"/>
    <w:rsid w:val="00986D63"/>
    <w:rsid w:val="00987906"/>
    <w:rsid w:val="009910D8"/>
    <w:rsid w:val="0099210D"/>
    <w:rsid w:val="009925AC"/>
    <w:rsid w:val="00993AFD"/>
    <w:rsid w:val="00994922"/>
    <w:rsid w:val="00994956"/>
    <w:rsid w:val="009956E5"/>
    <w:rsid w:val="009959BB"/>
    <w:rsid w:val="00996056"/>
    <w:rsid w:val="00996A41"/>
    <w:rsid w:val="00996B78"/>
    <w:rsid w:val="00996D75"/>
    <w:rsid w:val="009A03FC"/>
    <w:rsid w:val="009A0F54"/>
    <w:rsid w:val="009A1044"/>
    <w:rsid w:val="009A1BD4"/>
    <w:rsid w:val="009A20D3"/>
    <w:rsid w:val="009A2AB2"/>
    <w:rsid w:val="009A4CBF"/>
    <w:rsid w:val="009A576E"/>
    <w:rsid w:val="009A5C22"/>
    <w:rsid w:val="009A5C6C"/>
    <w:rsid w:val="009A6789"/>
    <w:rsid w:val="009A6ABA"/>
    <w:rsid w:val="009A709A"/>
    <w:rsid w:val="009A757D"/>
    <w:rsid w:val="009B06B4"/>
    <w:rsid w:val="009B0A3A"/>
    <w:rsid w:val="009B180C"/>
    <w:rsid w:val="009B2347"/>
    <w:rsid w:val="009B4280"/>
    <w:rsid w:val="009B50FC"/>
    <w:rsid w:val="009B5F2E"/>
    <w:rsid w:val="009B6D40"/>
    <w:rsid w:val="009B7312"/>
    <w:rsid w:val="009B77AC"/>
    <w:rsid w:val="009B7831"/>
    <w:rsid w:val="009C04F7"/>
    <w:rsid w:val="009C10BD"/>
    <w:rsid w:val="009C2537"/>
    <w:rsid w:val="009C2E6A"/>
    <w:rsid w:val="009C356A"/>
    <w:rsid w:val="009C5008"/>
    <w:rsid w:val="009C6AA0"/>
    <w:rsid w:val="009C6DAC"/>
    <w:rsid w:val="009D0DC8"/>
    <w:rsid w:val="009D1A46"/>
    <w:rsid w:val="009D1AEA"/>
    <w:rsid w:val="009D235A"/>
    <w:rsid w:val="009D35D4"/>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23C7"/>
    <w:rsid w:val="009E3C9B"/>
    <w:rsid w:val="009E3D20"/>
    <w:rsid w:val="009E59E0"/>
    <w:rsid w:val="009E61A8"/>
    <w:rsid w:val="009E7E9B"/>
    <w:rsid w:val="009E7F28"/>
    <w:rsid w:val="009E7FD2"/>
    <w:rsid w:val="009F0932"/>
    <w:rsid w:val="009F13E9"/>
    <w:rsid w:val="009F192B"/>
    <w:rsid w:val="009F3EA3"/>
    <w:rsid w:val="009F54C5"/>
    <w:rsid w:val="009F5919"/>
    <w:rsid w:val="009F6305"/>
    <w:rsid w:val="009F6E7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3B07"/>
    <w:rsid w:val="00A14134"/>
    <w:rsid w:val="00A14C7F"/>
    <w:rsid w:val="00A15FD6"/>
    <w:rsid w:val="00A17592"/>
    <w:rsid w:val="00A179C9"/>
    <w:rsid w:val="00A17D3D"/>
    <w:rsid w:val="00A2083E"/>
    <w:rsid w:val="00A22281"/>
    <w:rsid w:val="00A22AD0"/>
    <w:rsid w:val="00A23494"/>
    <w:rsid w:val="00A234EE"/>
    <w:rsid w:val="00A24C46"/>
    <w:rsid w:val="00A267C9"/>
    <w:rsid w:val="00A26F2E"/>
    <w:rsid w:val="00A27C14"/>
    <w:rsid w:val="00A307A2"/>
    <w:rsid w:val="00A30A5A"/>
    <w:rsid w:val="00A310FE"/>
    <w:rsid w:val="00A31266"/>
    <w:rsid w:val="00A322B0"/>
    <w:rsid w:val="00A33677"/>
    <w:rsid w:val="00A33E4F"/>
    <w:rsid w:val="00A342A8"/>
    <w:rsid w:val="00A345C1"/>
    <w:rsid w:val="00A3472A"/>
    <w:rsid w:val="00A34738"/>
    <w:rsid w:val="00A35716"/>
    <w:rsid w:val="00A3580F"/>
    <w:rsid w:val="00A3596D"/>
    <w:rsid w:val="00A3644C"/>
    <w:rsid w:val="00A375D1"/>
    <w:rsid w:val="00A42E27"/>
    <w:rsid w:val="00A44CE3"/>
    <w:rsid w:val="00A44F62"/>
    <w:rsid w:val="00A450A8"/>
    <w:rsid w:val="00A45444"/>
    <w:rsid w:val="00A45BBE"/>
    <w:rsid w:val="00A46153"/>
    <w:rsid w:val="00A46338"/>
    <w:rsid w:val="00A465FD"/>
    <w:rsid w:val="00A46A8E"/>
    <w:rsid w:val="00A46B1F"/>
    <w:rsid w:val="00A46D13"/>
    <w:rsid w:val="00A46DC3"/>
    <w:rsid w:val="00A510EB"/>
    <w:rsid w:val="00A523A6"/>
    <w:rsid w:val="00A5242F"/>
    <w:rsid w:val="00A52520"/>
    <w:rsid w:val="00A526C4"/>
    <w:rsid w:val="00A526D9"/>
    <w:rsid w:val="00A52CA1"/>
    <w:rsid w:val="00A53E92"/>
    <w:rsid w:val="00A541D4"/>
    <w:rsid w:val="00A54292"/>
    <w:rsid w:val="00A54BA1"/>
    <w:rsid w:val="00A54D05"/>
    <w:rsid w:val="00A5557E"/>
    <w:rsid w:val="00A560DF"/>
    <w:rsid w:val="00A56EBA"/>
    <w:rsid w:val="00A57067"/>
    <w:rsid w:val="00A57B2B"/>
    <w:rsid w:val="00A61581"/>
    <w:rsid w:val="00A6199A"/>
    <w:rsid w:val="00A646E1"/>
    <w:rsid w:val="00A64EBD"/>
    <w:rsid w:val="00A65D58"/>
    <w:rsid w:val="00A716D1"/>
    <w:rsid w:val="00A7173D"/>
    <w:rsid w:val="00A71D7E"/>
    <w:rsid w:val="00A74BCA"/>
    <w:rsid w:val="00A75F43"/>
    <w:rsid w:val="00A76FDF"/>
    <w:rsid w:val="00A77872"/>
    <w:rsid w:val="00A778BB"/>
    <w:rsid w:val="00A8087D"/>
    <w:rsid w:val="00A82266"/>
    <w:rsid w:val="00A828D7"/>
    <w:rsid w:val="00A82B4F"/>
    <w:rsid w:val="00A82E78"/>
    <w:rsid w:val="00A8363E"/>
    <w:rsid w:val="00A85228"/>
    <w:rsid w:val="00A87D09"/>
    <w:rsid w:val="00A90499"/>
    <w:rsid w:val="00A91799"/>
    <w:rsid w:val="00A921F9"/>
    <w:rsid w:val="00A940C8"/>
    <w:rsid w:val="00A9441F"/>
    <w:rsid w:val="00A95D88"/>
    <w:rsid w:val="00A968BF"/>
    <w:rsid w:val="00A9751F"/>
    <w:rsid w:val="00AA17FE"/>
    <w:rsid w:val="00AA210A"/>
    <w:rsid w:val="00AA2965"/>
    <w:rsid w:val="00AA3361"/>
    <w:rsid w:val="00AA39FA"/>
    <w:rsid w:val="00AA453A"/>
    <w:rsid w:val="00AA47CD"/>
    <w:rsid w:val="00AA5418"/>
    <w:rsid w:val="00AA5785"/>
    <w:rsid w:val="00AA6DF4"/>
    <w:rsid w:val="00AA7A8B"/>
    <w:rsid w:val="00AB0A34"/>
    <w:rsid w:val="00AB0E53"/>
    <w:rsid w:val="00AB1D5C"/>
    <w:rsid w:val="00AB2058"/>
    <w:rsid w:val="00AB21A1"/>
    <w:rsid w:val="00AB2456"/>
    <w:rsid w:val="00AB36BF"/>
    <w:rsid w:val="00AB5AE8"/>
    <w:rsid w:val="00AB6383"/>
    <w:rsid w:val="00AB7C3A"/>
    <w:rsid w:val="00AC205D"/>
    <w:rsid w:val="00AC2235"/>
    <w:rsid w:val="00AC2D9C"/>
    <w:rsid w:val="00AC6269"/>
    <w:rsid w:val="00AC7DD5"/>
    <w:rsid w:val="00AC7ECB"/>
    <w:rsid w:val="00AD032E"/>
    <w:rsid w:val="00AD1230"/>
    <w:rsid w:val="00AD171B"/>
    <w:rsid w:val="00AD2575"/>
    <w:rsid w:val="00AD2B72"/>
    <w:rsid w:val="00AD4DCC"/>
    <w:rsid w:val="00AD58CE"/>
    <w:rsid w:val="00AD644F"/>
    <w:rsid w:val="00AD6510"/>
    <w:rsid w:val="00AD6B4B"/>
    <w:rsid w:val="00AD7177"/>
    <w:rsid w:val="00AD7292"/>
    <w:rsid w:val="00AE0330"/>
    <w:rsid w:val="00AE08A9"/>
    <w:rsid w:val="00AE08F6"/>
    <w:rsid w:val="00AE09BC"/>
    <w:rsid w:val="00AE1842"/>
    <w:rsid w:val="00AE1C95"/>
    <w:rsid w:val="00AE3336"/>
    <w:rsid w:val="00AE41B8"/>
    <w:rsid w:val="00AE5077"/>
    <w:rsid w:val="00AE51EB"/>
    <w:rsid w:val="00AE6022"/>
    <w:rsid w:val="00AE78C9"/>
    <w:rsid w:val="00AE7946"/>
    <w:rsid w:val="00AF00CB"/>
    <w:rsid w:val="00AF0CD0"/>
    <w:rsid w:val="00AF0EB0"/>
    <w:rsid w:val="00AF0ECA"/>
    <w:rsid w:val="00AF1477"/>
    <w:rsid w:val="00AF21A3"/>
    <w:rsid w:val="00AF264A"/>
    <w:rsid w:val="00AF28E4"/>
    <w:rsid w:val="00AF37A6"/>
    <w:rsid w:val="00AF3C81"/>
    <w:rsid w:val="00AF3EA1"/>
    <w:rsid w:val="00AF40D3"/>
    <w:rsid w:val="00AF4189"/>
    <w:rsid w:val="00AF45E8"/>
    <w:rsid w:val="00AF591A"/>
    <w:rsid w:val="00AF6673"/>
    <w:rsid w:val="00AF672D"/>
    <w:rsid w:val="00AF6FD1"/>
    <w:rsid w:val="00AF7AFF"/>
    <w:rsid w:val="00B009D1"/>
    <w:rsid w:val="00B00A94"/>
    <w:rsid w:val="00B01E6A"/>
    <w:rsid w:val="00B02A29"/>
    <w:rsid w:val="00B02DD4"/>
    <w:rsid w:val="00B0446E"/>
    <w:rsid w:val="00B053CB"/>
    <w:rsid w:val="00B067E6"/>
    <w:rsid w:val="00B07EC3"/>
    <w:rsid w:val="00B11BD2"/>
    <w:rsid w:val="00B12052"/>
    <w:rsid w:val="00B12AFB"/>
    <w:rsid w:val="00B1341B"/>
    <w:rsid w:val="00B137C0"/>
    <w:rsid w:val="00B13B38"/>
    <w:rsid w:val="00B13C22"/>
    <w:rsid w:val="00B14A5F"/>
    <w:rsid w:val="00B157C3"/>
    <w:rsid w:val="00B16ABC"/>
    <w:rsid w:val="00B20019"/>
    <w:rsid w:val="00B20610"/>
    <w:rsid w:val="00B21955"/>
    <w:rsid w:val="00B21CEC"/>
    <w:rsid w:val="00B2312C"/>
    <w:rsid w:val="00B23EEE"/>
    <w:rsid w:val="00B240EF"/>
    <w:rsid w:val="00B242C7"/>
    <w:rsid w:val="00B24543"/>
    <w:rsid w:val="00B26384"/>
    <w:rsid w:val="00B264E3"/>
    <w:rsid w:val="00B26F99"/>
    <w:rsid w:val="00B27916"/>
    <w:rsid w:val="00B31850"/>
    <w:rsid w:val="00B31A36"/>
    <w:rsid w:val="00B331CD"/>
    <w:rsid w:val="00B33235"/>
    <w:rsid w:val="00B332AF"/>
    <w:rsid w:val="00B33426"/>
    <w:rsid w:val="00B33FA9"/>
    <w:rsid w:val="00B34B13"/>
    <w:rsid w:val="00B35722"/>
    <w:rsid w:val="00B357CB"/>
    <w:rsid w:val="00B35FF5"/>
    <w:rsid w:val="00B36D68"/>
    <w:rsid w:val="00B41324"/>
    <w:rsid w:val="00B419FD"/>
    <w:rsid w:val="00B41D09"/>
    <w:rsid w:val="00B44249"/>
    <w:rsid w:val="00B4526C"/>
    <w:rsid w:val="00B45B12"/>
    <w:rsid w:val="00B461C6"/>
    <w:rsid w:val="00B46208"/>
    <w:rsid w:val="00B464FA"/>
    <w:rsid w:val="00B47A8A"/>
    <w:rsid w:val="00B47F47"/>
    <w:rsid w:val="00B502B0"/>
    <w:rsid w:val="00B5154A"/>
    <w:rsid w:val="00B51A66"/>
    <w:rsid w:val="00B51F76"/>
    <w:rsid w:val="00B53C15"/>
    <w:rsid w:val="00B53F36"/>
    <w:rsid w:val="00B54850"/>
    <w:rsid w:val="00B559CB"/>
    <w:rsid w:val="00B55EEC"/>
    <w:rsid w:val="00B5670A"/>
    <w:rsid w:val="00B56820"/>
    <w:rsid w:val="00B602F7"/>
    <w:rsid w:val="00B6082F"/>
    <w:rsid w:val="00B609B1"/>
    <w:rsid w:val="00B609ED"/>
    <w:rsid w:val="00B60E07"/>
    <w:rsid w:val="00B639EE"/>
    <w:rsid w:val="00B64138"/>
    <w:rsid w:val="00B6436E"/>
    <w:rsid w:val="00B645EA"/>
    <w:rsid w:val="00B64F53"/>
    <w:rsid w:val="00B6526E"/>
    <w:rsid w:val="00B67ACF"/>
    <w:rsid w:val="00B67B46"/>
    <w:rsid w:val="00B7025C"/>
    <w:rsid w:val="00B70AC8"/>
    <w:rsid w:val="00B718C1"/>
    <w:rsid w:val="00B71D27"/>
    <w:rsid w:val="00B72F5A"/>
    <w:rsid w:val="00B73333"/>
    <w:rsid w:val="00B73B0B"/>
    <w:rsid w:val="00B73D31"/>
    <w:rsid w:val="00B756DA"/>
    <w:rsid w:val="00B75ACD"/>
    <w:rsid w:val="00B76C17"/>
    <w:rsid w:val="00B76D68"/>
    <w:rsid w:val="00B77487"/>
    <w:rsid w:val="00B8053A"/>
    <w:rsid w:val="00B80707"/>
    <w:rsid w:val="00B80A22"/>
    <w:rsid w:val="00B80C23"/>
    <w:rsid w:val="00B81069"/>
    <w:rsid w:val="00B81AC7"/>
    <w:rsid w:val="00B8268E"/>
    <w:rsid w:val="00B826BC"/>
    <w:rsid w:val="00B82C12"/>
    <w:rsid w:val="00B843C7"/>
    <w:rsid w:val="00B8447D"/>
    <w:rsid w:val="00B84596"/>
    <w:rsid w:val="00B847F4"/>
    <w:rsid w:val="00B8503A"/>
    <w:rsid w:val="00B853C4"/>
    <w:rsid w:val="00B86B75"/>
    <w:rsid w:val="00B86F31"/>
    <w:rsid w:val="00B876DB"/>
    <w:rsid w:val="00B87B57"/>
    <w:rsid w:val="00B90487"/>
    <w:rsid w:val="00B91619"/>
    <w:rsid w:val="00B918A8"/>
    <w:rsid w:val="00B91EB3"/>
    <w:rsid w:val="00B9270C"/>
    <w:rsid w:val="00B92C82"/>
    <w:rsid w:val="00B930DF"/>
    <w:rsid w:val="00B9362B"/>
    <w:rsid w:val="00B94618"/>
    <w:rsid w:val="00B9531E"/>
    <w:rsid w:val="00B959A6"/>
    <w:rsid w:val="00B96198"/>
    <w:rsid w:val="00B96FA0"/>
    <w:rsid w:val="00B96FB8"/>
    <w:rsid w:val="00B97570"/>
    <w:rsid w:val="00BA0095"/>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20AD"/>
    <w:rsid w:val="00BB2557"/>
    <w:rsid w:val="00BB2E13"/>
    <w:rsid w:val="00BB3048"/>
    <w:rsid w:val="00BB3071"/>
    <w:rsid w:val="00BB3353"/>
    <w:rsid w:val="00BB3791"/>
    <w:rsid w:val="00BB55C1"/>
    <w:rsid w:val="00BB5EDE"/>
    <w:rsid w:val="00BB6BE6"/>
    <w:rsid w:val="00BB7BC5"/>
    <w:rsid w:val="00BC0FCF"/>
    <w:rsid w:val="00BC1B90"/>
    <w:rsid w:val="00BC24BC"/>
    <w:rsid w:val="00BC2908"/>
    <w:rsid w:val="00BC31F1"/>
    <w:rsid w:val="00BC333A"/>
    <w:rsid w:val="00BC3391"/>
    <w:rsid w:val="00BC3667"/>
    <w:rsid w:val="00BC37CB"/>
    <w:rsid w:val="00BC38A4"/>
    <w:rsid w:val="00BC456F"/>
    <w:rsid w:val="00BC48D5"/>
    <w:rsid w:val="00BC50FA"/>
    <w:rsid w:val="00BC5725"/>
    <w:rsid w:val="00BC5EDB"/>
    <w:rsid w:val="00BC6AE7"/>
    <w:rsid w:val="00BC744A"/>
    <w:rsid w:val="00BD24C1"/>
    <w:rsid w:val="00BD4895"/>
    <w:rsid w:val="00BD5C4F"/>
    <w:rsid w:val="00BD5EE2"/>
    <w:rsid w:val="00BD72CC"/>
    <w:rsid w:val="00BD7A0C"/>
    <w:rsid w:val="00BD7BCB"/>
    <w:rsid w:val="00BE042E"/>
    <w:rsid w:val="00BE0660"/>
    <w:rsid w:val="00BE18DF"/>
    <w:rsid w:val="00BE1C44"/>
    <w:rsid w:val="00BE2326"/>
    <w:rsid w:val="00BE374A"/>
    <w:rsid w:val="00BE3A41"/>
    <w:rsid w:val="00BE42FC"/>
    <w:rsid w:val="00BE5001"/>
    <w:rsid w:val="00BE7107"/>
    <w:rsid w:val="00BE79AD"/>
    <w:rsid w:val="00BE7B31"/>
    <w:rsid w:val="00BE7B44"/>
    <w:rsid w:val="00BE7C13"/>
    <w:rsid w:val="00BE7DDB"/>
    <w:rsid w:val="00BF0B3F"/>
    <w:rsid w:val="00BF546E"/>
    <w:rsid w:val="00BF54E8"/>
    <w:rsid w:val="00BF6C46"/>
    <w:rsid w:val="00BF7EB4"/>
    <w:rsid w:val="00C0105A"/>
    <w:rsid w:val="00C01215"/>
    <w:rsid w:val="00C02BF1"/>
    <w:rsid w:val="00C04B22"/>
    <w:rsid w:val="00C04D03"/>
    <w:rsid w:val="00C064A9"/>
    <w:rsid w:val="00C06955"/>
    <w:rsid w:val="00C06E13"/>
    <w:rsid w:val="00C072BC"/>
    <w:rsid w:val="00C07B05"/>
    <w:rsid w:val="00C10BD2"/>
    <w:rsid w:val="00C116AB"/>
    <w:rsid w:val="00C11B97"/>
    <w:rsid w:val="00C12BA4"/>
    <w:rsid w:val="00C225E6"/>
    <w:rsid w:val="00C250BB"/>
    <w:rsid w:val="00C26903"/>
    <w:rsid w:val="00C2694A"/>
    <w:rsid w:val="00C2751C"/>
    <w:rsid w:val="00C27DBB"/>
    <w:rsid w:val="00C3047A"/>
    <w:rsid w:val="00C30EFE"/>
    <w:rsid w:val="00C32B1C"/>
    <w:rsid w:val="00C32B62"/>
    <w:rsid w:val="00C35419"/>
    <w:rsid w:val="00C360F0"/>
    <w:rsid w:val="00C36279"/>
    <w:rsid w:val="00C3715D"/>
    <w:rsid w:val="00C4040C"/>
    <w:rsid w:val="00C40608"/>
    <w:rsid w:val="00C408A8"/>
    <w:rsid w:val="00C415F8"/>
    <w:rsid w:val="00C41696"/>
    <w:rsid w:val="00C41A61"/>
    <w:rsid w:val="00C4272D"/>
    <w:rsid w:val="00C42B96"/>
    <w:rsid w:val="00C4302C"/>
    <w:rsid w:val="00C43F93"/>
    <w:rsid w:val="00C44637"/>
    <w:rsid w:val="00C44DFF"/>
    <w:rsid w:val="00C45000"/>
    <w:rsid w:val="00C45889"/>
    <w:rsid w:val="00C47FAF"/>
    <w:rsid w:val="00C50CE8"/>
    <w:rsid w:val="00C5195B"/>
    <w:rsid w:val="00C51AA0"/>
    <w:rsid w:val="00C5204E"/>
    <w:rsid w:val="00C52934"/>
    <w:rsid w:val="00C52ADA"/>
    <w:rsid w:val="00C533EE"/>
    <w:rsid w:val="00C53D2C"/>
    <w:rsid w:val="00C5501E"/>
    <w:rsid w:val="00C55DCA"/>
    <w:rsid w:val="00C5660B"/>
    <w:rsid w:val="00C57A2E"/>
    <w:rsid w:val="00C57F5D"/>
    <w:rsid w:val="00C60C70"/>
    <w:rsid w:val="00C6184E"/>
    <w:rsid w:val="00C62519"/>
    <w:rsid w:val="00C6280B"/>
    <w:rsid w:val="00C630F3"/>
    <w:rsid w:val="00C63BD9"/>
    <w:rsid w:val="00C64450"/>
    <w:rsid w:val="00C64E7E"/>
    <w:rsid w:val="00C65593"/>
    <w:rsid w:val="00C67A1C"/>
    <w:rsid w:val="00C70A73"/>
    <w:rsid w:val="00C7143F"/>
    <w:rsid w:val="00C71A0C"/>
    <w:rsid w:val="00C72741"/>
    <w:rsid w:val="00C72C4D"/>
    <w:rsid w:val="00C72E7A"/>
    <w:rsid w:val="00C730EC"/>
    <w:rsid w:val="00C744F8"/>
    <w:rsid w:val="00C75415"/>
    <w:rsid w:val="00C75D02"/>
    <w:rsid w:val="00C76435"/>
    <w:rsid w:val="00C767AE"/>
    <w:rsid w:val="00C77223"/>
    <w:rsid w:val="00C77445"/>
    <w:rsid w:val="00C77A61"/>
    <w:rsid w:val="00C80AE1"/>
    <w:rsid w:val="00C8158D"/>
    <w:rsid w:val="00C81CF0"/>
    <w:rsid w:val="00C82125"/>
    <w:rsid w:val="00C82EE4"/>
    <w:rsid w:val="00C82F98"/>
    <w:rsid w:val="00C83A82"/>
    <w:rsid w:val="00C85460"/>
    <w:rsid w:val="00C85C59"/>
    <w:rsid w:val="00C8707C"/>
    <w:rsid w:val="00C87747"/>
    <w:rsid w:val="00C877D5"/>
    <w:rsid w:val="00C9106C"/>
    <w:rsid w:val="00C92104"/>
    <w:rsid w:val="00C935E4"/>
    <w:rsid w:val="00C93FEA"/>
    <w:rsid w:val="00C945C4"/>
    <w:rsid w:val="00C95B1E"/>
    <w:rsid w:val="00C964C6"/>
    <w:rsid w:val="00C96F57"/>
    <w:rsid w:val="00C971F1"/>
    <w:rsid w:val="00C97C12"/>
    <w:rsid w:val="00CA03AC"/>
    <w:rsid w:val="00CA0D48"/>
    <w:rsid w:val="00CA0ECD"/>
    <w:rsid w:val="00CA131C"/>
    <w:rsid w:val="00CA2A08"/>
    <w:rsid w:val="00CA485B"/>
    <w:rsid w:val="00CA4E84"/>
    <w:rsid w:val="00CA5BE6"/>
    <w:rsid w:val="00CA688A"/>
    <w:rsid w:val="00CA7709"/>
    <w:rsid w:val="00CB0067"/>
    <w:rsid w:val="00CB06B0"/>
    <w:rsid w:val="00CB28CA"/>
    <w:rsid w:val="00CB3833"/>
    <w:rsid w:val="00CB6BFA"/>
    <w:rsid w:val="00CB7719"/>
    <w:rsid w:val="00CC00F5"/>
    <w:rsid w:val="00CC0323"/>
    <w:rsid w:val="00CC1042"/>
    <w:rsid w:val="00CC1848"/>
    <w:rsid w:val="00CC1A42"/>
    <w:rsid w:val="00CC2706"/>
    <w:rsid w:val="00CC3BF9"/>
    <w:rsid w:val="00CC4049"/>
    <w:rsid w:val="00CC43D5"/>
    <w:rsid w:val="00CC4536"/>
    <w:rsid w:val="00CC531D"/>
    <w:rsid w:val="00CC5DCB"/>
    <w:rsid w:val="00CD04A6"/>
    <w:rsid w:val="00CD22B0"/>
    <w:rsid w:val="00CD262A"/>
    <w:rsid w:val="00CD3B73"/>
    <w:rsid w:val="00CD4818"/>
    <w:rsid w:val="00CD50FE"/>
    <w:rsid w:val="00CD5330"/>
    <w:rsid w:val="00CD615B"/>
    <w:rsid w:val="00CD6D66"/>
    <w:rsid w:val="00CD7A9B"/>
    <w:rsid w:val="00CD7E3E"/>
    <w:rsid w:val="00CE0489"/>
    <w:rsid w:val="00CE0B41"/>
    <w:rsid w:val="00CE0E4F"/>
    <w:rsid w:val="00CE1746"/>
    <w:rsid w:val="00CE1B25"/>
    <w:rsid w:val="00CE21A6"/>
    <w:rsid w:val="00CE335D"/>
    <w:rsid w:val="00CE6847"/>
    <w:rsid w:val="00CE6B86"/>
    <w:rsid w:val="00CF00DE"/>
    <w:rsid w:val="00CF1356"/>
    <w:rsid w:val="00CF189F"/>
    <w:rsid w:val="00CF1908"/>
    <w:rsid w:val="00CF20C9"/>
    <w:rsid w:val="00CF30BA"/>
    <w:rsid w:val="00CF3E76"/>
    <w:rsid w:val="00CF4218"/>
    <w:rsid w:val="00CF50C3"/>
    <w:rsid w:val="00CF5615"/>
    <w:rsid w:val="00CF68A0"/>
    <w:rsid w:val="00CF6AF3"/>
    <w:rsid w:val="00D000A4"/>
    <w:rsid w:val="00D0020C"/>
    <w:rsid w:val="00D00BA8"/>
    <w:rsid w:val="00D01E0F"/>
    <w:rsid w:val="00D02C8F"/>
    <w:rsid w:val="00D03561"/>
    <w:rsid w:val="00D035E6"/>
    <w:rsid w:val="00D037B7"/>
    <w:rsid w:val="00D04776"/>
    <w:rsid w:val="00D05776"/>
    <w:rsid w:val="00D05C06"/>
    <w:rsid w:val="00D063E4"/>
    <w:rsid w:val="00D06B5A"/>
    <w:rsid w:val="00D06C06"/>
    <w:rsid w:val="00D0764A"/>
    <w:rsid w:val="00D10637"/>
    <w:rsid w:val="00D1137D"/>
    <w:rsid w:val="00D117B3"/>
    <w:rsid w:val="00D11ACC"/>
    <w:rsid w:val="00D12783"/>
    <w:rsid w:val="00D12E55"/>
    <w:rsid w:val="00D13C71"/>
    <w:rsid w:val="00D14040"/>
    <w:rsid w:val="00D14828"/>
    <w:rsid w:val="00D15B52"/>
    <w:rsid w:val="00D15E8C"/>
    <w:rsid w:val="00D164D4"/>
    <w:rsid w:val="00D16AFF"/>
    <w:rsid w:val="00D16E1A"/>
    <w:rsid w:val="00D173C1"/>
    <w:rsid w:val="00D1761D"/>
    <w:rsid w:val="00D17FCB"/>
    <w:rsid w:val="00D2022F"/>
    <w:rsid w:val="00D216E9"/>
    <w:rsid w:val="00D22196"/>
    <w:rsid w:val="00D22285"/>
    <w:rsid w:val="00D22297"/>
    <w:rsid w:val="00D23656"/>
    <w:rsid w:val="00D23BC6"/>
    <w:rsid w:val="00D2425F"/>
    <w:rsid w:val="00D24377"/>
    <w:rsid w:val="00D26D35"/>
    <w:rsid w:val="00D2755D"/>
    <w:rsid w:val="00D279AB"/>
    <w:rsid w:val="00D27DCB"/>
    <w:rsid w:val="00D305E0"/>
    <w:rsid w:val="00D3162A"/>
    <w:rsid w:val="00D31E68"/>
    <w:rsid w:val="00D34024"/>
    <w:rsid w:val="00D345A9"/>
    <w:rsid w:val="00D34705"/>
    <w:rsid w:val="00D35C08"/>
    <w:rsid w:val="00D366C1"/>
    <w:rsid w:val="00D371B8"/>
    <w:rsid w:val="00D40106"/>
    <w:rsid w:val="00D40708"/>
    <w:rsid w:val="00D4084A"/>
    <w:rsid w:val="00D43E24"/>
    <w:rsid w:val="00D44AB5"/>
    <w:rsid w:val="00D44B1E"/>
    <w:rsid w:val="00D44BB7"/>
    <w:rsid w:val="00D44C27"/>
    <w:rsid w:val="00D44DFC"/>
    <w:rsid w:val="00D46CCB"/>
    <w:rsid w:val="00D50517"/>
    <w:rsid w:val="00D51B17"/>
    <w:rsid w:val="00D51E2F"/>
    <w:rsid w:val="00D51F0E"/>
    <w:rsid w:val="00D51F88"/>
    <w:rsid w:val="00D52ADA"/>
    <w:rsid w:val="00D530A1"/>
    <w:rsid w:val="00D55EED"/>
    <w:rsid w:val="00D56403"/>
    <w:rsid w:val="00D566C2"/>
    <w:rsid w:val="00D6081B"/>
    <w:rsid w:val="00D609FB"/>
    <w:rsid w:val="00D6118F"/>
    <w:rsid w:val="00D61D4D"/>
    <w:rsid w:val="00D62239"/>
    <w:rsid w:val="00D639A3"/>
    <w:rsid w:val="00D6426B"/>
    <w:rsid w:val="00D65AB1"/>
    <w:rsid w:val="00D65C79"/>
    <w:rsid w:val="00D67CEB"/>
    <w:rsid w:val="00D70233"/>
    <w:rsid w:val="00D70A12"/>
    <w:rsid w:val="00D7233A"/>
    <w:rsid w:val="00D72F4D"/>
    <w:rsid w:val="00D72FFC"/>
    <w:rsid w:val="00D735C3"/>
    <w:rsid w:val="00D77DB7"/>
    <w:rsid w:val="00D81A2B"/>
    <w:rsid w:val="00D828AF"/>
    <w:rsid w:val="00D839BD"/>
    <w:rsid w:val="00D84959"/>
    <w:rsid w:val="00D84CB6"/>
    <w:rsid w:val="00D854A0"/>
    <w:rsid w:val="00D874F0"/>
    <w:rsid w:val="00D87EED"/>
    <w:rsid w:val="00D90939"/>
    <w:rsid w:val="00D91165"/>
    <w:rsid w:val="00D9131F"/>
    <w:rsid w:val="00D91644"/>
    <w:rsid w:val="00D924AA"/>
    <w:rsid w:val="00D9295F"/>
    <w:rsid w:val="00D946BB"/>
    <w:rsid w:val="00D96013"/>
    <w:rsid w:val="00D96D52"/>
    <w:rsid w:val="00D96E40"/>
    <w:rsid w:val="00D96E88"/>
    <w:rsid w:val="00DA0F54"/>
    <w:rsid w:val="00DA4B03"/>
    <w:rsid w:val="00DA5533"/>
    <w:rsid w:val="00DA5915"/>
    <w:rsid w:val="00DA5F4B"/>
    <w:rsid w:val="00DA6161"/>
    <w:rsid w:val="00DA63E6"/>
    <w:rsid w:val="00DA6C74"/>
    <w:rsid w:val="00DA7104"/>
    <w:rsid w:val="00DA765C"/>
    <w:rsid w:val="00DA79C7"/>
    <w:rsid w:val="00DB163B"/>
    <w:rsid w:val="00DB23A2"/>
    <w:rsid w:val="00DB342B"/>
    <w:rsid w:val="00DB3FDF"/>
    <w:rsid w:val="00DB42AF"/>
    <w:rsid w:val="00DB5CEC"/>
    <w:rsid w:val="00DC051C"/>
    <w:rsid w:val="00DC05ED"/>
    <w:rsid w:val="00DC0A04"/>
    <w:rsid w:val="00DC0AFC"/>
    <w:rsid w:val="00DC1038"/>
    <w:rsid w:val="00DC17CC"/>
    <w:rsid w:val="00DC3399"/>
    <w:rsid w:val="00DC37FC"/>
    <w:rsid w:val="00DC385A"/>
    <w:rsid w:val="00DC49DA"/>
    <w:rsid w:val="00DC4B68"/>
    <w:rsid w:val="00DC51DE"/>
    <w:rsid w:val="00DC5DF8"/>
    <w:rsid w:val="00DC6978"/>
    <w:rsid w:val="00DC7F3D"/>
    <w:rsid w:val="00DD0559"/>
    <w:rsid w:val="00DD0DE4"/>
    <w:rsid w:val="00DD12B0"/>
    <w:rsid w:val="00DD2348"/>
    <w:rsid w:val="00DD3BEB"/>
    <w:rsid w:val="00DD467D"/>
    <w:rsid w:val="00DD4716"/>
    <w:rsid w:val="00DD57EC"/>
    <w:rsid w:val="00DD6143"/>
    <w:rsid w:val="00DD62FC"/>
    <w:rsid w:val="00DD67B3"/>
    <w:rsid w:val="00DD7030"/>
    <w:rsid w:val="00DD70C7"/>
    <w:rsid w:val="00DD7307"/>
    <w:rsid w:val="00DD7CD4"/>
    <w:rsid w:val="00DE02E0"/>
    <w:rsid w:val="00DE0FC4"/>
    <w:rsid w:val="00DE18FD"/>
    <w:rsid w:val="00DE1BF5"/>
    <w:rsid w:val="00DE2066"/>
    <w:rsid w:val="00DE3D40"/>
    <w:rsid w:val="00DE487A"/>
    <w:rsid w:val="00DE4AEB"/>
    <w:rsid w:val="00DE5F9A"/>
    <w:rsid w:val="00DE5FA7"/>
    <w:rsid w:val="00DE6697"/>
    <w:rsid w:val="00DE66AC"/>
    <w:rsid w:val="00DE68BB"/>
    <w:rsid w:val="00DE6B05"/>
    <w:rsid w:val="00DE7007"/>
    <w:rsid w:val="00DF0226"/>
    <w:rsid w:val="00DF0EE1"/>
    <w:rsid w:val="00DF1F56"/>
    <w:rsid w:val="00DF2439"/>
    <w:rsid w:val="00DF36D0"/>
    <w:rsid w:val="00DF3C94"/>
    <w:rsid w:val="00DF4D79"/>
    <w:rsid w:val="00DF5A70"/>
    <w:rsid w:val="00DF6007"/>
    <w:rsid w:val="00DF742C"/>
    <w:rsid w:val="00DF7C36"/>
    <w:rsid w:val="00E00A67"/>
    <w:rsid w:val="00E0137F"/>
    <w:rsid w:val="00E013BB"/>
    <w:rsid w:val="00E0149B"/>
    <w:rsid w:val="00E01AE6"/>
    <w:rsid w:val="00E027D7"/>
    <w:rsid w:val="00E0320F"/>
    <w:rsid w:val="00E04EBE"/>
    <w:rsid w:val="00E07D97"/>
    <w:rsid w:val="00E07FF6"/>
    <w:rsid w:val="00E103F8"/>
    <w:rsid w:val="00E10680"/>
    <w:rsid w:val="00E10AA8"/>
    <w:rsid w:val="00E1186D"/>
    <w:rsid w:val="00E125D6"/>
    <w:rsid w:val="00E129BB"/>
    <w:rsid w:val="00E12A1A"/>
    <w:rsid w:val="00E1361B"/>
    <w:rsid w:val="00E13F42"/>
    <w:rsid w:val="00E170D5"/>
    <w:rsid w:val="00E17461"/>
    <w:rsid w:val="00E178D8"/>
    <w:rsid w:val="00E20A49"/>
    <w:rsid w:val="00E2127D"/>
    <w:rsid w:val="00E2160D"/>
    <w:rsid w:val="00E2196B"/>
    <w:rsid w:val="00E21AF4"/>
    <w:rsid w:val="00E22781"/>
    <w:rsid w:val="00E229B9"/>
    <w:rsid w:val="00E25251"/>
    <w:rsid w:val="00E268A5"/>
    <w:rsid w:val="00E26931"/>
    <w:rsid w:val="00E303A4"/>
    <w:rsid w:val="00E30530"/>
    <w:rsid w:val="00E3070E"/>
    <w:rsid w:val="00E315A3"/>
    <w:rsid w:val="00E327A3"/>
    <w:rsid w:val="00E32EE7"/>
    <w:rsid w:val="00E34369"/>
    <w:rsid w:val="00E34B52"/>
    <w:rsid w:val="00E3522B"/>
    <w:rsid w:val="00E36422"/>
    <w:rsid w:val="00E37201"/>
    <w:rsid w:val="00E37A4F"/>
    <w:rsid w:val="00E40561"/>
    <w:rsid w:val="00E40A5A"/>
    <w:rsid w:val="00E41E17"/>
    <w:rsid w:val="00E41E45"/>
    <w:rsid w:val="00E423C5"/>
    <w:rsid w:val="00E42645"/>
    <w:rsid w:val="00E43CF5"/>
    <w:rsid w:val="00E44024"/>
    <w:rsid w:val="00E4661A"/>
    <w:rsid w:val="00E46771"/>
    <w:rsid w:val="00E469BA"/>
    <w:rsid w:val="00E46B3C"/>
    <w:rsid w:val="00E50D5D"/>
    <w:rsid w:val="00E510E6"/>
    <w:rsid w:val="00E51AA6"/>
    <w:rsid w:val="00E51DB7"/>
    <w:rsid w:val="00E5206D"/>
    <w:rsid w:val="00E525BC"/>
    <w:rsid w:val="00E528EA"/>
    <w:rsid w:val="00E52A66"/>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17"/>
    <w:rsid w:val="00E67167"/>
    <w:rsid w:val="00E67451"/>
    <w:rsid w:val="00E677A2"/>
    <w:rsid w:val="00E67A7C"/>
    <w:rsid w:val="00E7085B"/>
    <w:rsid w:val="00E71232"/>
    <w:rsid w:val="00E715C9"/>
    <w:rsid w:val="00E73589"/>
    <w:rsid w:val="00E73841"/>
    <w:rsid w:val="00E73884"/>
    <w:rsid w:val="00E7429C"/>
    <w:rsid w:val="00E751A7"/>
    <w:rsid w:val="00E75D74"/>
    <w:rsid w:val="00E806A3"/>
    <w:rsid w:val="00E81245"/>
    <w:rsid w:val="00E81BC9"/>
    <w:rsid w:val="00E81D5D"/>
    <w:rsid w:val="00E823D6"/>
    <w:rsid w:val="00E82A9E"/>
    <w:rsid w:val="00E82F93"/>
    <w:rsid w:val="00E837D3"/>
    <w:rsid w:val="00E83B6C"/>
    <w:rsid w:val="00E83DF8"/>
    <w:rsid w:val="00E842A2"/>
    <w:rsid w:val="00E8744B"/>
    <w:rsid w:val="00E87AB4"/>
    <w:rsid w:val="00E87C83"/>
    <w:rsid w:val="00E908E7"/>
    <w:rsid w:val="00E90FAD"/>
    <w:rsid w:val="00E91498"/>
    <w:rsid w:val="00E929F6"/>
    <w:rsid w:val="00E93541"/>
    <w:rsid w:val="00E959AF"/>
    <w:rsid w:val="00E95E7D"/>
    <w:rsid w:val="00E96D62"/>
    <w:rsid w:val="00E97186"/>
    <w:rsid w:val="00E97920"/>
    <w:rsid w:val="00E97CBA"/>
    <w:rsid w:val="00EA1251"/>
    <w:rsid w:val="00EA15AD"/>
    <w:rsid w:val="00EA214A"/>
    <w:rsid w:val="00EA268B"/>
    <w:rsid w:val="00EA4453"/>
    <w:rsid w:val="00EA475C"/>
    <w:rsid w:val="00EA50C0"/>
    <w:rsid w:val="00EA590C"/>
    <w:rsid w:val="00EA59B7"/>
    <w:rsid w:val="00EA69C8"/>
    <w:rsid w:val="00EA7B54"/>
    <w:rsid w:val="00EB0AC0"/>
    <w:rsid w:val="00EB1A1E"/>
    <w:rsid w:val="00EB21F0"/>
    <w:rsid w:val="00EB2BE1"/>
    <w:rsid w:val="00EB34AB"/>
    <w:rsid w:val="00EB3F26"/>
    <w:rsid w:val="00EB4C5B"/>
    <w:rsid w:val="00EB4EA5"/>
    <w:rsid w:val="00EB52C0"/>
    <w:rsid w:val="00EB7331"/>
    <w:rsid w:val="00EB755A"/>
    <w:rsid w:val="00EC0576"/>
    <w:rsid w:val="00EC1A8F"/>
    <w:rsid w:val="00EC29F2"/>
    <w:rsid w:val="00EC2AB9"/>
    <w:rsid w:val="00EC2B93"/>
    <w:rsid w:val="00EC2EF3"/>
    <w:rsid w:val="00EC3B98"/>
    <w:rsid w:val="00EC3BCE"/>
    <w:rsid w:val="00EC400E"/>
    <w:rsid w:val="00EC4132"/>
    <w:rsid w:val="00EC572B"/>
    <w:rsid w:val="00EC5B19"/>
    <w:rsid w:val="00EC77A9"/>
    <w:rsid w:val="00ED0427"/>
    <w:rsid w:val="00ED4D30"/>
    <w:rsid w:val="00ED672F"/>
    <w:rsid w:val="00ED7F50"/>
    <w:rsid w:val="00EE0D7A"/>
    <w:rsid w:val="00EE1196"/>
    <w:rsid w:val="00EE125C"/>
    <w:rsid w:val="00EE18BF"/>
    <w:rsid w:val="00EE2E2F"/>
    <w:rsid w:val="00EE4268"/>
    <w:rsid w:val="00EE45CF"/>
    <w:rsid w:val="00EE62EB"/>
    <w:rsid w:val="00EE7838"/>
    <w:rsid w:val="00EF067C"/>
    <w:rsid w:val="00EF0EC1"/>
    <w:rsid w:val="00EF18FE"/>
    <w:rsid w:val="00EF33BB"/>
    <w:rsid w:val="00EF3B9C"/>
    <w:rsid w:val="00EF41C1"/>
    <w:rsid w:val="00EF443E"/>
    <w:rsid w:val="00EF53EC"/>
    <w:rsid w:val="00EF640B"/>
    <w:rsid w:val="00EF6737"/>
    <w:rsid w:val="00EF6C4B"/>
    <w:rsid w:val="00F0101F"/>
    <w:rsid w:val="00F0148A"/>
    <w:rsid w:val="00F01ADD"/>
    <w:rsid w:val="00F0240E"/>
    <w:rsid w:val="00F0279E"/>
    <w:rsid w:val="00F0372B"/>
    <w:rsid w:val="00F03FC3"/>
    <w:rsid w:val="00F04C64"/>
    <w:rsid w:val="00F04CFE"/>
    <w:rsid w:val="00F055C7"/>
    <w:rsid w:val="00F057A2"/>
    <w:rsid w:val="00F06213"/>
    <w:rsid w:val="00F0667D"/>
    <w:rsid w:val="00F067B5"/>
    <w:rsid w:val="00F06A8D"/>
    <w:rsid w:val="00F06E93"/>
    <w:rsid w:val="00F07BEC"/>
    <w:rsid w:val="00F11B78"/>
    <w:rsid w:val="00F1205D"/>
    <w:rsid w:val="00F12350"/>
    <w:rsid w:val="00F12728"/>
    <w:rsid w:val="00F13219"/>
    <w:rsid w:val="00F1488F"/>
    <w:rsid w:val="00F159C2"/>
    <w:rsid w:val="00F16319"/>
    <w:rsid w:val="00F1656B"/>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2D40"/>
    <w:rsid w:val="00F330A8"/>
    <w:rsid w:val="00F33CEC"/>
    <w:rsid w:val="00F34371"/>
    <w:rsid w:val="00F3440B"/>
    <w:rsid w:val="00F358D2"/>
    <w:rsid w:val="00F35C29"/>
    <w:rsid w:val="00F3637F"/>
    <w:rsid w:val="00F37596"/>
    <w:rsid w:val="00F42EEB"/>
    <w:rsid w:val="00F44B54"/>
    <w:rsid w:val="00F45440"/>
    <w:rsid w:val="00F46202"/>
    <w:rsid w:val="00F4622D"/>
    <w:rsid w:val="00F475A1"/>
    <w:rsid w:val="00F47774"/>
    <w:rsid w:val="00F478C4"/>
    <w:rsid w:val="00F47E8C"/>
    <w:rsid w:val="00F512F3"/>
    <w:rsid w:val="00F5280A"/>
    <w:rsid w:val="00F52CF2"/>
    <w:rsid w:val="00F52E25"/>
    <w:rsid w:val="00F53C09"/>
    <w:rsid w:val="00F53D6B"/>
    <w:rsid w:val="00F53DA1"/>
    <w:rsid w:val="00F554DF"/>
    <w:rsid w:val="00F576EE"/>
    <w:rsid w:val="00F57D4A"/>
    <w:rsid w:val="00F57DF5"/>
    <w:rsid w:val="00F600D2"/>
    <w:rsid w:val="00F60455"/>
    <w:rsid w:val="00F6046E"/>
    <w:rsid w:val="00F614B4"/>
    <w:rsid w:val="00F615E7"/>
    <w:rsid w:val="00F62C1A"/>
    <w:rsid w:val="00F646A9"/>
    <w:rsid w:val="00F66C2F"/>
    <w:rsid w:val="00F66EDE"/>
    <w:rsid w:val="00F672F7"/>
    <w:rsid w:val="00F70B73"/>
    <w:rsid w:val="00F70EA3"/>
    <w:rsid w:val="00F71AA1"/>
    <w:rsid w:val="00F7254D"/>
    <w:rsid w:val="00F73120"/>
    <w:rsid w:val="00F73528"/>
    <w:rsid w:val="00F73BC7"/>
    <w:rsid w:val="00F74F8A"/>
    <w:rsid w:val="00F75284"/>
    <w:rsid w:val="00F762CC"/>
    <w:rsid w:val="00F76581"/>
    <w:rsid w:val="00F76AE8"/>
    <w:rsid w:val="00F77185"/>
    <w:rsid w:val="00F7740A"/>
    <w:rsid w:val="00F80567"/>
    <w:rsid w:val="00F80A42"/>
    <w:rsid w:val="00F80AE8"/>
    <w:rsid w:val="00F816D3"/>
    <w:rsid w:val="00F81E82"/>
    <w:rsid w:val="00F83A4F"/>
    <w:rsid w:val="00F84C1A"/>
    <w:rsid w:val="00F85498"/>
    <w:rsid w:val="00F8593E"/>
    <w:rsid w:val="00F85B67"/>
    <w:rsid w:val="00F8740B"/>
    <w:rsid w:val="00F9010D"/>
    <w:rsid w:val="00F92E75"/>
    <w:rsid w:val="00F93BC4"/>
    <w:rsid w:val="00F94881"/>
    <w:rsid w:val="00F9631E"/>
    <w:rsid w:val="00FA00D1"/>
    <w:rsid w:val="00FA10B3"/>
    <w:rsid w:val="00FA12E2"/>
    <w:rsid w:val="00FA1EF4"/>
    <w:rsid w:val="00FA3C08"/>
    <w:rsid w:val="00FA3D03"/>
    <w:rsid w:val="00FA58C5"/>
    <w:rsid w:val="00FA5DB3"/>
    <w:rsid w:val="00FA6E2B"/>
    <w:rsid w:val="00FA753D"/>
    <w:rsid w:val="00FA7716"/>
    <w:rsid w:val="00FA78DF"/>
    <w:rsid w:val="00FB108C"/>
    <w:rsid w:val="00FB16E1"/>
    <w:rsid w:val="00FB1888"/>
    <w:rsid w:val="00FB1930"/>
    <w:rsid w:val="00FB2344"/>
    <w:rsid w:val="00FB2CE3"/>
    <w:rsid w:val="00FB449F"/>
    <w:rsid w:val="00FB4A38"/>
    <w:rsid w:val="00FB508F"/>
    <w:rsid w:val="00FB5212"/>
    <w:rsid w:val="00FB5E8F"/>
    <w:rsid w:val="00FB6377"/>
    <w:rsid w:val="00FB7B57"/>
    <w:rsid w:val="00FC18FE"/>
    <w:rsid w:val="00FC1C62"/>
    <w:rsid w:val="00FC2429"/>
    <w:rsid w:val="00FC259F"/>
    <w:rsid w:val="00FC3AFE"/>
    <w:rsid w:val="00FC46A2"/>
    <w:rsid w:val="00FC4F1F"/>
    <w:rsid w:val="00FC548E"/>
    <w:rsid w:val="00FC55F5"/>
    <w:rsid w:val="00FC5D3A"/>
    <w:rsid w:val="00FC6DF6"/>
    <w:rsid w:val="00FC7DE5"/>
    <w:rsid w:val="00FD032B"/>
    <w:rsid w:val="00FD18C0"/>
    <w:rsid w:val="00FD1C6D"/>
    <w:rsid w:val="00FD2D4B"/>
    <w:rsid w:val="00FD350F"/>
    <w:rsid w:val="00FD38DE"/>
    <w:rsid w:val="00FD3C3A"/>
    <w:rsid w:val="00FD3F06"/>
    <w:rsid w:val="00FD5A93"/>
    <w:rsid w:val="00FD5A99"/>
    <w:rsid w:val="00FD603C"/>
    <w:rsid w:val="00FD6269"/>
    <w:rsid w:val="00FD66B9"/>
    <w:rsid w:val="00FD6E90"/>
    <w:rsid w:val="00FD6F90"/>
    <w:rsid w:val="00FD7934"/>
    <w:rsid w:val="00FE0731"/>
    <w:rsid w:val="00FE217D"/>
    <w:rsid w:val="00FE2F3D"/>
    <w:rsid w:val="00FE3E67"/>
    <w:rsid w:val="00FE40B3"/>
    <w:rsid w:val="00FE4160"/>
    <w:rsid w:val="00FE4E23"/>
    <w:rsid w:val="00FE5D62"/>
    <w:rsid w:val="00FE61A5"/>
    <w:rsid w:val="00FE713B"/>
    <w:rsid w:val="00FE718A"/>
    <w:rsid w:val="00FF2D9A"/>
    <w:rsid w:val="00FF3CE7"/>
    <w:rsid w:val="00FF4785"/>
    <w:rsid w:val="00FF512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basedOn w:val="DefaultParagraphFont"/>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customStyle="1" w:styleId="UnresolvedMention1">
    <w:name w:val="Unresolved Mention1"/>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doi.org/10.15468/dl.46oku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rcid.org/0000-0003-0989-3266"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5468/dl.n6u6n0"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orcid.org/0000-0003-2659-69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github.com/rvanmazijk/Cape-vs-SWA/"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orcid.org/0000-0002-1363-9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38876-ECC3-B54B-8802-7D84116EB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21</Pages>
  <Words>11749</Words>
  <Characters>66970</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78562</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219</cp:revision>
  <cp:lastPrinted>2019-11-19T13:01:00Z</cp:lastPrinted>
  <dcterms:created xsi:type="dcterms:W3CDTF">2019-12-03T09:32:00Z</dcterms:created>
  <dcterms:modified xsi:type="dcterms:W3CDTF">2019-12-30T08:34:00Z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true</vt:lpwstr>
  </property>
  <property fmtid="{D5CDD505-2E9C-101B-9397-08002B2CF9AE}" pid="24" name="Mendeley Citation Style_1">
    <vt:lpwstr>http://www.zotero.org/styles/apa</vt:lpwstr>
  </property>
</Properties>
</file>