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1A05EDFC" w:rsidR="006B3D28" w:rsidRPr="002C20EB" w:rsidRDefault="006B3D28" w:rsidP="008A4E97">
      <w:pPr>
        <w:pStyle w:val="Subtitle"/>
        <w:spacing w:line="240" w:lineRule="auto"/>
        <w:jc w:val="left"/>
        <w:rPr>
          <w:sz w:val="28"/>
        </w:rPr>
      </w:pPr>
      <w:r w:rsidRPr="002C20EB">
        <w:rPr>
          <w:sz w:val="28"/>
        </w:rPr>
        <w:t xml:space="preserve">Running title: </w:t>
      </w:r>
      <w:r w:rsidR="00C767AE" w:rsidRPr="00C767AE">
        <w:rPr>
          <w:b w:val="0"/>
          <w:sz w:val="28"/>
        </w:rPr>
        <w:t>Heterogeneity and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commentRangeStart w:id="3"/>
      <w:r>
        <w:t>Abstract</w:t>
      </w:r>
      <w:bookmarkEnd w:id="2"/>
      <w:commentRangeEnd w:id="3"/>
      <w:r w:rsidR="00964A63">
        <w:rPr>
          <w:rStyle w:val="CommentReference"/>
          <w:rFonts w:ascii="Times New Roman" w:eastAsiaTheme="minorHAnsi" w:hAnsiTheme="minorHAnsi" w:cstheme="minorBidi"/>
          <w:b w:val="0"/>
          <w:bCs w:val="0"/>
          <w:color w:val="auto"/>
        </w:rPr>
        <w:commentReference w:id="3"/>
      </w:r>
    </w:p>
    <w:p w14:paraId="064B794C" w14:textId="56931D54"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14:paraId="4E5A0187" w14:textId="2EA9DCAD"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r w:rsidR="00242EDD">
        <w:rPr>
          <w:bCs/>
        </w:rPr>
        <w:t>.</w:t>
      </w:r>
    </w:p>
    <w:p w14:paraId="64618502" w14:textId="5DC6B12B"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r w:rsidR="00242EDD">
        <w:rPr>
          <w:bCs/>
        </w:rPr>
        <w:t>.</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4"/>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4"/>
      <w:r w:rsidR="001508F3">
        <w:rPr>
          <w:rStyle w:val="CommentReference"/>
          <w:rFonts w:ascii="Times New Roman" w:hAnsiTheme="minorHAnsi"/>
        </w:rPr>
        <w:commentReference w:id="4"/>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5"/>
      <w:commentRangeStart w:id="6"/>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5"/>
      <w:r w:rsidR="00217AAC">
        <w:rPr>
          <w:rStyle w:val="CommentReference"/>
          <w:rFonts w:ascii="Times New Roman" w:hAnsiTheme="minorHAnsi"/>
        </w:rPr>
        <w:commentReference w:id="5"/>
      </w:r>
      <w:commentRangeEnd w:id="6"/>
      <w:r w:rsidR="009239A6">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5F33A8D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0F117A">
        <w:instrText>true</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7"/>
      <w:commentRangeStart w:id="8"/>
      <w:commentRangeStart w:id="9"/>
      <w:r>
        <w:t xml:space="preserve">tree </w:t>
      </w:r>
      <w:commentRangeEnd w:id="7"/>
      <w:r w:rsidR="00236CF0">
        <w:rPr>
          <w:rStyle w:val="CommentReference"/>
          <w:rFonts w:ascii="Times New Roman" w:hAnsiTheme="minorHAnsi"/>
        </w:rPr>
        <w:commentReference w:id="7"/>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8"/>
      <w:r w:rsidR="00236CF0">
        <w:rPr>
          <w:rStyle w:val="CommentReference"/>
          <w:rFonts w:ascii="Times New Roman" w:hAnsiTheme="minorHAnsi"/>
        </w:rPr>
        <w:commentReference w:id="8"/>
      </w:r>
      <w:commentRangeEnd w:id="9"/>
      <w:r w:rsidR="00C6184E">
        <w:rPr>
          <w:rStyle w:val="CommentReference"/>
          <w:rFonts w:ascii="Times New Roman" w:hAnsiTheme="minorHAnsi"/>
        </w:rPr>
        <w:commentReference w:id="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10"/>
      <w:r w:rsidR="003B49FB">
        <w:rPr>
          <w:lang w:val="en-ZA"/>
        </w:rPr>
        <w:t xml:space="preserve">CFR </w:t>
      </w:r>
      <w:commentRangeEnd w:id="10"/>
      <w:r w:rsidR="00F12728">
        <w:rPr>
          <w:rStyle w:val="CommentReference"/>
          <w:rFonts w:ascii="Times New Roman" w:hAnsiTheme="minorHAnsi"/>
        </w:rPr>
        <w:commentReference w:id="10"/>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1" w:name="comparing-regions-environmental-heteroge"/>
      <w:r>
        <w:t>2.1</w:t>
      </w:r>
      <w:r w:rsidR="00F31AF3">
        <w:t>:</w:t>
      </w:r>
      <w:r>
        <w:t xml:space="preserve"> </w:t>
      </w:r>
      <w:r w:rsidR="00D04776">
        <w:t>Comparing species richness</w:t>
      </w:r>
    </w:p>
    <w:p w14:paraId="52348C6B" w14:textId="50BEA55F"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2"/>
      <w:commentRangeStart w:id="13"/>
      <w:r>
        <w:t>The</w:t>
      </w:r>
      <w:commentRangeEnd w:id="12"/>
      <w:r w:rsidR="000D32D5">
        <w:rPr>
          <w:rStyle w:val="CommentReference"/>
          <w:rFonts w:ascii="Times New Roman" w:hAnsiTheme="minorHAnsi"/>
        </w:rPr>
        <w:commentReference w:id="12"/>
      </w:r>
      <w:commentRangeEnd w:id="13"/>
      <w:r w:rsidR="00F0240E">
        <w:rPr>
          <w:rStyle w:val="CommentReference"/>
          <w:rFonts w:ascii="Times New Roman" w:hAnsiTheme="minorHAnsi"/>
        </w:rPr>
        <w:commentReference w:id="13"/>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r w:rsidR="00841086">
        <w:t xml:space="preserve"> </w:t>
      </w:r>
      <w:commentRangeStart w:id="14"/>
      <w:r w:rsidR="00841086">
        <w:t>Note, we excluded occurrence data (and indeed environmental data, below) originating from coastal pixels at the 0.05</w:t>
      </w:r>
      <w:r w:rsidR="00841086">
        <w:rPr>
          <w:rFonts w:cstheme="majorBidi"/>
        </w:rPr>
        <w:t>° resolution.</w:t>
      </w:r>
      <w:commentRangeEnd w:id="14"/>
      <w:r w:rsidR="00540260">
        <w:rPr>
          <w:rStyle w:val="CommentReference"/>
          <w:rFonts w:ascii="Times New Roman" w:hAnsiTheme="minorHAnsi"/>
        </w:rPr>
        <w:commentReference w:id="14"/>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lastRenderedPageBreak/>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5746E0"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5746E0"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1"/>
    </w:p>
    <w:p w14:paraId="16702F9A" w14:textId="4E77BF4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 xml:space="preserve">(Table S1) </w:t>
      </w:r>
      <w:r w:rsidR="005F0FFB">
        <w:t>in the form of raster layers</w:t>
      </w:r>
      <w:r w:rsidR="00E37201">
        <w:t xml:space="preserve"> </w:t>
      </w:r>
      <w:r w:rsidR="00086052">
        <w:t xml:space="preserve">to </w:t>
      </w:r>
      <w:r w:rsidR="007612C7">
        <w:t>represent</w:t>
      </w:r>
      <w:r w:rsidR="00E25251">
        <w:t xml:space="preserve"> topographic (elevation), climatic (surface T, MAP, PDQ), edaphic (clay content, soil C, pH, CEC) and vegetational </w:t>
      </w:r>
      <w:r w:rsidR="00086052">
        <w:t xml:space="preserve">(NDVI) </w:t>
      </w:r>
      <w:commentRangeStart w:id="15"/>
      <w:commentRangeStart w:id="16"/>
      <w:r w:rsidR="00E25251">
        <w:t>gradients</w:t>
      </w:r>
      <w:commentRangeEnd w:id="15"/>
      <w:r w:rsidR="008F78EE">
        <w:rPr>
          <w:rStyle w:val="CommentReference"/>
          <w:rFonts w:ascii="Times New Roman" w:hAnsiTheme="minorHAnsi"/>
        </w:rPr>
        <w:commentReference w:id="15"/>
      </w:r>
      <w:commentRangeEnd w:id="16"/>
      <w:r w:rsidR="00E37201">
        <w:rPr>
          <w:rStyle w:val="CommentReference"/>
          <w:rFonts w:ascii="Times New Roman" w:hAnsiTheme="minorHAnsi"/>
        </w:rPr>
        <w:commentReference w:id="16"/>
      </w:r>
      <w:r w:rsidR="00E25251">
        <w:t xml:space="preserve">. </w:t>
      </w:r>
      <w:r w:rsidR="00086052">
        <w:t xml:space="preserve">As far as possible, these variables were selected to represent environmental axes which are </w:t>
      </w:r>
      <w:r w:rsidR="00086052" w:rsidRPr="00BE0660">
        <w:rPr>
          <w:highlight w:val="yellow"/>
        </w:rPr>
        <w:t>considered regionally important</w:t>
      </w:r>
      <w:r w:rsidR="004066C3" w:rsidRPr="00BE0660">
        <w:rPr>
          <w:highlight w:val="yellow"/>
        </w:rPr>
        <w:t xml:space="preserve"> and </w:t>
      </w:r>
      <w:r w:rsidR="0062793F">
        <w:rPr>
          <w:highlight w:val="yellow"/>
        </w:rPr>
        <w:t>i</w:t>
      </w:r>
      <w:r w:rsidR="004066C3" w:rsidRPr="00BE0660">
        <w:rPr>
          <w:highlight w:val="yellow"/>
        </w:rPr>
        <w:t>ndependent</w:t>
      </w:r>
      <w:r w:rsidR="00780F37">
        <w:t xml:space="preserve"> (see Figure S1–3)</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3EB743"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7"/>
      <w:commentRangeStart w:id="18"/>
      <w:r w:rsidR="00FD3C3A">
        <w:t xml:space="preserve">both </w:t>
      </w:r>
      <w:commentRangeEnd w:id="17"/>
      <w:r w:rsidR="0076433F">
        <w:rPr>
          <w:rStyle w:val="CommentReference"/>
          <w:rFonts w:ascii="Times New Roman" w:hAnsiTheme="minorHAnsi"/>
        </w:rPr>
        <w:commentReference w:id="17"/>
      </w:r>
      <w:commentRangeEnd w:id="18"/>
      <w:r w:rsidR="008156BB">
        <w:rPr>
          <w:rStyle w:val="CommentReference"/>
          <w:rFonts w:ascii="Times New Roman" w:hAnsiTheme="minorHAnsi"/>
        </w:rPr>
        <w:commentReference w:id="18"/>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19"/>
      <w:commentRangeStart w:id="20"/>
      <w:r w:rsidR="00F358D2">
        <w:t>log</w:t>
      </w:r>
      <w:r w:rsidR="00F70EA3">
        <w:rPr>
          <w:vertAlign w:val="subscript"/>
        </w:rPr>
        <w:t>10</w:t>
      </w:r>
      <w:r w:rsidR="00F70EA3">
        <w:t>-</w:t>
      </w:r>
      <w:r w:rsidR="00F358D2">
        <w:t xml:space="preserve">transformed </w:t>
      </w:r>
      <w:commentRangeEnd w:id="19"/>
      <w:r w:rsidR="0076433F">
        <w:rPr>
          <w:rStyle w:val="CommentReference"/>
          <w:rFonts w:ascii="Times New Roman" w:hAnsiTheme="minorHAnsi"/>
        </w:rPr>
        <w:commentReference w:id="19"/>
      </w:r>
      <w:commentRangeEnd w:id="20"/>
      <w:r w:rsidR="00CF1356">
        <w:rPr>
          <w:rStyle w:val="CommentReference"/>
          <w:rFonts w:ascii="Times New Roman" w:hAnsiTheme="minorHAnsi"/>
        </w:rPr>
        <w:commentReference w:id="20"/>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r w:rsidR="00D76A9A">
        <w:t xml:space="preserve"> (see Figure S4)</w:t>
      </w:r>
      <w:r w:rsidR="005F0FFB">
        <w:t>.</w:t>
      </w:r>
    </w:p>
    <w:p w14:paraId="043425BC" w14:textId="2EA7E361" w:rsidR="007E72DA" w:rsidRPr="00DE7007" w:rsidRDefault="00BE3A41" w:rsidP="00BE3A41">
      <w:pPr>
        <w:pStyle w:val="BodyText"/>
      </w:pPr>
      <w:r w:rsidRPr="000519A1">
        <w:lastRenderedPageBreak/>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21" w:name="environmental-heterogeneity-as-an-explan"/>
      <w:r>
        <w:t>2.3</w:t>
      </w:r>
      <w:r w:rsidR="0009179A">
        <w:t>:</w:t>
      </w:r>
      <w:r>
        <w:t xml:space="preserve"> </w:t>
      </w:r>
      <w:r w:rsidR="005F0FFB">
        <w:t>Environmental heterogeneity as an explanation of species richness</w:t>
      </w:r>
      <w:bookmarkEnd w:id="21"/>
    </w:p>
    <w:p w14:paraId="23BA1837" w14:textId="6F1F13D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purpose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22"/>
      <w:r w:rsidR="00265947">
        <w:t>to assess</w:t>
      </w:r>
      <w:r w:rsidR="003D2B4F">
        <w:t xml:space="preserve"> whether the exceptional richness of hotspots is best explained by factors other than environmental heterogeneity</w:t>
      </w:r>
      <w:commentRangeEnd w:id="22"/>
      <w:r w:rsidR="00125C57">
        <w:rPr>
          <w:rStyle w:val="CommentReference"/>
          <w:rFonts w:ascii="Times New Roman" w:hAnsiTheme="minorHAnsi"/>
        </w:rPr>
        <w:commentReference w:id="22"/>
      </w:r>
      <w:r w:rsidR="003D2B4F">
        <w:t xml:space="preserve">, we </w:t>
      </w:r>
      <w:r w:rsidR="003D2B4F">
        <w:lastRenderedPageBreak/>
        <w:t>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23" w:name="results"/>
      <w:r>
        <w:t>3</w:t>
      </w:r>
      <w:r w:rsidR="00E4661A">
        <w:t>:</w:t>
      </w:r>
      <w:r>
        <w:t xml:space="preserve"> </w:t>
      </w:r>
      <w:r w:rsidR="00D04776">
        <w:t>Results</w:t>
      </w:r>
      <w:bookmarkEnd w:id="23"/>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9012639" w:rsidR="002C32D6" w:rsidRPr="00604263"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4"/>
      <w:commentRangeStart w:id="25"/>
      <w:r>
        <w:t>species</w:t>
      </w:r>
      <w:r w:rsidRPr="00B332AF">
        <w:t xml:space="preserve"> richness </w:t>
      </w:r>
      <w:r>
        <w:t xml:space="preserve">per </w:t>
      </w:r>
      <w:r w:rsidRPr="00604263">
        <w:t>unit area is similar at the QDS</w:t>
      </w:r>
      <w:commentRangeEnd w:id="24"/>
      <w:r w:rsidR="00CA131C" w:rsidRPr="00604263">
        <w:rPr>
          <w:rStyle w:val="CommentReference"/>
          <w:rFonts w:ascii="Times New Roman" w:hAnsiTheme="minorHAnsi"/>
        </w:rPr>
        <w:commentReference w:id="24"/>
      </w:r>
      <w:commentRangeEnd w:id="25"/>
      <w:r w:rsidR="00F77185" w:rsidRPr="00604263">
        <w:rPr>
          <w:rStyle w:val="CommentReference"/>
          <w:rFonts w:ascii="Times New Roman" w:hAnsiTheme="minorHAnsi"/>
        </w:rPr>
        <w:commentReference w:id="25"/>
      </w:r>
      <w:r w:rsidRPr="00604263">
        <w:t>- (Figure 2</w:t>
      </w:r>
      <w:r w:rsidR="00604263" w:rsidRPr="00604263">
        <w:t>c</w:t>
      </w:r>
      <w:r w:rsidRPr="00604263">
        <w:t>;</w:t>
      </w:r>
      <w:r w:rsidRPr="00604263">
        <w:rPr>
          <w:i/>
        </w:rPr>
        <w:t xml:space="preserve"> P</w:t>
      </w:r>
      <w:r w:rsidRPr="00604263">
        <w:t xml:space="preserve"> = 0.402, </w:t>
      </w:r>
      <w:r w:rsidRPr="00604263">
        <w:rPr>
          <w:i/>
          <w:iCs/>
        </w:rPr>
        <w:t>CLES</w:t>
      </w:r>
      <w:r w:rsidRPr="00604263">
        <w:t xml:space="preserve"> = 0.516) and HDS-scales (Figure 2b;</w:t>
      </w:r>
      <w:r w:rsidRPr="00604263">
        <w:rPr>
          <w:i/>
        </w:rPr>
        <w:t xml:space="preserve"> P</w:t>
      </w:r>
      <w:r w:rsidRPr="00604263">
        <w:t xml:space="preserve"> = 0.275, </w:t>
      </w:r>
      <w:r w:rsidRPr="00604263">
        <w:rPr>
          <w:i/>
          <w:iCs/>
        </w:rPr>
        <w:t>CLES</w:t>
      </w:r>
      <w:r w:rsidRPr="00604263">
        <w:t xml:space="preserve"> = 0.542), but that the GCFR is significantly more species-rich than the SWAFR at the DS-scale (</w:t>
      </w:r>
      <w:commentRangeStart w:id="26"/>
      <w:commentRangeStart w:id="27"/>
      <w:r w:rsidRPr="00604263">
        <w:t xml:space="preserve">Figure </w:t>
      </w:r>
      <w:commentRangeEnd w:id="26"/>
      <w:r w:rsidR="0057720E" w:rsidRPr="00604263">
        <w:t>2</w:t>
      </w:r>
      <w:r w:rsidR="00CA131C" w:rsidRPr="00604263">
        <w:rPr>
          <w:rStyle w:val="CommentReference"/>
          <w:rFonts w:ascii="Times New Roman" w:hAnsiTheme="minorHAnsi"/>
        </w:rPr>
        <w:commentReference w:id="26"/>
      </w:r>
      <w:commentRangeEnd w:id="27"/>
      <w:r w:rsidR="00604263" w:rsidRPr="00604263">
        <w:t>a</w:t>
      </w:r>
      <w:r w:rsidR="004E7A80" w:rsidRPr="00604263">
        <w:rPr>
          <w:rStyle w:val="CommentReference"/>
          <w:rFonts w:ascii="Times New Roman" w:hAnsiTheme="minorHAnsi"/>
        </w:rPr>
        <w:commentReference w:id="27"/>
      </w:r>
      <w:r w:rsidRPr="00604263">
        <w:t>;</w:t>
      </w:r>
      <w:r w:rsidRPr="00604263">
        <w:rPr>
          <w:i/>
        </w:rPr>
        <w:t xml:space="preserve"> P</w:t>
      </w:r>
      <w:r w:rsidRPr="00604263">
        <w:t xml:space="preserve"> = 0.038, </w:t>
      </w:r>
      <w:r w:rsidRPr="00604263">
        <w:rPr>
          <w:i/>
        </w:rPr>
        <w:t>CLES</w:t>
      </w:r>
      <w:r w:rsidRPr="00604263">
        <w:t xml:space="preserve"> = 0.658).</w:t>
      </w:r>
    </w:p>
    <w:p w14:paraId="3BE0333B" w14:textId="1543D1C1" w:rsidR="002C32D6" w:rsidRPr="003F5B2B" w:rsidRDefault="002C32D6" w:rsidP="002C32D6">
      <w:pPr>
        <w:pStyle w:val="BodyText"/>
        <w:rPr>
          <w:i/>
        </w:rPr>
      </w:pPr>
      <w:r w:rsidRPr="00604263">
        <w:t xml:space="preserve">Partitioning </w:t>
      </w:r>
      <w:r w:rsidRPr="00604263">
        <w:rPr>
          <w:i/>
        </w:rPr>
        <w:t>S</w:t>
      </w:r>
      <w:r w:rsidRPr="00604263">
        <w:rPr>
          <w:vertAlign w:val="subscript"/>
        </w:rPr>
        <w:t>HDS</w:t>
      </w:r>
      <w:r w:rsidRPr="00604263">
        <w:t xml:space="preserve"> into its </w:t>
      </w:r>
      <w:r w:rsidRPr="00604263">
        <w:rPr>
          <w:rFonts w:cstheme="majorBidi"/>
          <w:i/>
        </w:rPr>
        <w:t>α</w:t>
      </w:r>
      <w:r w:rsidRPr="00604263">
        <w:t xml:space="preserve">- and </w:t>
      </w:r>
      <w:r w:rsidRPr="00604263">
        <w:rPr>
          <w:rFonts w:cstheme="majorBidi"/>
          <w:i/>
        </w:rPr>
        <w:t>β</w:t>
      </w:r>
      <w:r w:rsidRPr="00604263">
        <w:t>-components (</w:t>
      </w:r>
      <m:oMath>
        <m:bar>
          <m:barPr>
            <m:pos m:val="top"/>
            <m:ctrlPr>
              <w:rPr>
                <w:rFonts w:ascii="Cambria Math" w:hAnsi="Cambria Math"/>
              </w:rPr>
            </m:ctrlPr>
          </m:barPr>
          <m:e>
            <m:r>
              <w:rPr>
                <w:rFonts w:ascii="Cambria Math" w:hAnsi="Cambria Math"/>
              </w:rPr>
              <m:t>S</m:t>
            </m:r>
          </m:e>
        </m:bar>
      </m:oMath>
      <w:r w:rsidRPr="00604263">
        <w:rPr>
          <w:vertAlign w:val="subscript"/>
        </w:rPr>
        <w:t>QDS</w:t>
      </w:r>
      <w:r w:rsidRPr="00604263">
        <w:t xml:space="preserve"> and </w:t>
      </w:r>
      <w:r w:rsidRPr="00604263">
        <w:rPr>
          <w:i/>
        </w:rPr>
        <w:t>T</w:t>
      </w:r>
      <w:r w:rsidRPr="00604263">
        <w:rPr>
          <w:vertAlign w:val="subscript"/>
        </w:rPr>
        <w:t>QDS</w:t>
      </w:r>
      <w:r w:rsidRPr="00604263">
        <w:t xml:space="preserve"> respectively; Figure 2</w:t>
      </w:r>
      <w:r w:rsidR="00604263" w:rsidRPr="00604263">
        <w:t>g</w:t>
      </w:r>
      <w:r w:rsidRPr="00604263">
        <w:t xml:space="preserve">), we found that the proportional contribution of floristic turnover (i.e. </w:t>
      </w:r>
      <w:r w:rsidRPr="00604263">
        <w:rPr>
          <w:i/>
        </w:rPr>
        <w:t>T</w:t>
      </w:r>
      <w:r w:rsidRPr="00604263">
        <w:rPr>
          <w:vertAlign w:val="subscript"/>
        </w:rPr>
        <w:t>QDS</w:t>
      </w:r>
      <w:r w:rsidRPr="00604263">
        <w:t>/</w:t>
      </w:r>
      <w:r w:rsidRPr="00604263">
        <w:rPr>
          <w:i/>
        </w:rPr>
        <w:t>S</w:t>
      </w:r>
      <w:r w:rsidRPr="00604263">
        <w:rPr>
          <w:vertAlign w:val="subscript"/>
        </w:rPr>
        <w:t>HDS</w:t>
      </w:r>
      <w:r w:rsidRPr="00604263">
        <w:t>; Figure 2</w:t>
      </w:r>
      <w:r w:rsidR="00257D86">
        <w:t>e</w:t>
      </w:r>
      <w:r w:rsidRPr="00604263">
        <w:t xml:space="preserve">) is greater in the GCFR (0.64) than in the SWAFR (0.60) (two-sided Mann-Whitney </w:t>
      </w:r>
      <w:r w:rsidRPr="00604263">
        <w:rPr>
          <w:i/>
        </w:rPr>
        <w:t>U</w:t>
      </w:r>
      <w:r w:rsidRPr="00604263">
        <w:t xml:space="preserve"> test, </w:t>
      </w:r>
      <w:r w:rsidRPr="00604263">
        <w:rPr>
          <w:i/>
        </w:rPr>
        <w:t>P</w:t>
      </w:r>
      <w:r w:rsidRPr="00604263">
        <w:t xml:space="preserve"> &lt; 0.001; </w:t>
      </w:r>
      <w:r w:rsidRPr="00604263">
        <w:rPr>
          <w:i/>
          <w:iCs/>
        </w:rPr>
        <w:t>CLES</w:t>
      </w:r>
      <w:r w:rsidRPr="00604263">
        <w:t xml:space="preserve"> = 0.696). This is also the case at the DS-scale (Figure </w:t>
      </w:r>
      <w:r w:rsidR="003F2156">
        <w:t>2d</w:t>
      </w:r>
      <w:r w:rsidR="00FE217D" w:rsidRPr="00604263">
        <w:t xml:space="preserve">; </w:t>
      </w:r>
      <w:r w:rsidR="00CA131C" w:rsidRPr="00604263">
        <w:rPr>
          <w:i/>
        </w:rPr>
        <w:t>T</w:t>
      </w:r>
      <w:r w:rsidR="00CA131C" w:rsidRPr="00604263">
        <w:rPr>
          <w:vertAlign w:val="subscript"/>
        </w:rPr>
        <w:t>QDS</w:t>
      </w:r>
      <w:r w:rsidR="00CA131C" w:rsidRPr="00604263">
        <w:t>/</w:t>
      </w:r>
      <w:r w:rsidR="00CA131C" w:rsidRPr="00604263">
        <w:rPr>
          <w:i/>
        </w:rPr>
        <w:t>S</w:t>
      </w:r>
      <w:r w:rsidR="00CA131C" w:rsidRPr="00604263">
        <w:rPr>
          <w:vertAlign w:val="subscript"/>
        </w:rPr>
        <w:t>HDS</w:t>
      </w:r>
      <w:r w:rsidR="001A29B8">
        <w:t>,</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general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5351E3EE" w:rsidR="009B180C" w:rsidRPr="00C47FAF" w:rsidRDefault="006B7A26">
      <w:pPr>
        <w:pStyle w:val="FirstParagraph"/>
        <w:rPr>
          <w:rFonts w:eastAsiaTheme="minorEastAsia" w:cstheme="majorBidi"/>
        </w:rPr>
      </w:pPr>
      <w:commentRangeStart w:id="28"/>
      <w:commentRangeStart w:id="29"/>
      <w:r>
        <w:t xml:space="preserve">The </w:t>
      </w:r>
      <w:r w:rsidR="00F554DF">
        <w:t xml:space="preserve">ANCOVA </w:t>
      </w:r>
      <w:r w:rsidR="002C7612">
        <w:t>results show</w:t>
      </w:r>
      <w:r w:rsidR="00F554DF">
        <w:t xml:space="preserve"> that </w:t>
      </w:r>
      <w:r w:rsidR="00F554DF">
        <w:rPr>
          <w:rFonts w:eastAsiaTheme="minorEastAsia"/>
        </w:rPr>
        <w:t>h</w:t>
      </w:r>
      <w:commentRangeEnd w:id="28"/>
      <w:r w:rsidR="0090296A">
        <w:rPr>
          <w:rStyle w:val="CommentReference"/>
          <w:rFonts w:ascii="Times New Roman" w:hAnsiTheme="minorHAnsi"/>
        </w:rPr>
        <w:commentReference w:id="28"/>
      </w:r>
      <w:commentRangeEnd w:id="29"/>
      <w:r w:rsidR="008A19FB">
        <w:rPr>
          <w:rStyle w:val="CommentReference"/>
          <w:rFonts w:ascii="Times New Roman" w:hAnsiTheme="minorHAnsi"/>
        </w:rPr>
        <w:commentReference w:id="29"/>
      </w:r>
      <w:r w:rsidR="00F554DF">
        <w:rPr>
          <w:rFonts w:eastAsiaTheme="minorEastAsia"/>
        </w:rPr>
        <w:t xml:space="preserve">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w:t>
      </w:r>
      <w:r w:rsidR="001A7D58">
        <w:rPr>
          <w:rFonts w:eastAsiaTheme="minorEastAsia" w:cstheme="majorBidi"/>
        </w:rPr>
        <w:lastRenderedPageBreak/>
        <w:t>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commentRangeStart w:id="30"/>
      <w:commentRangeStart w:id="31"/>
      <w:r w:rsidR="001A7D58" w:rsidRPr="0087034A">
        <w:rPr>
          <w:i/>
          <w:iCs/>
        </w:rPr>
        <w:t>SD</w:t>
      </w:r>
      <w:r w:rsidR="00827247">
        <w:rPr>
          <w:iCs/>
          <w:vertAlign w:val="subscript"/>
        </w:rPr>
        <w:t>GCFR</w:t>
      </w:r>
      <w:r w:rsidR="001A7D58">
        <w:t xml:space="preserve"> </w:t>
      </w:r>
      <w:commentRangeEnd w:id="30"/>
      <w:r w:rsidR="001A7D58">
        <w:rPr>
          <w:rStyle w:val="CommentReference"/>
          <w:rFonts w:ascii="Times New Roman" w:hAnsiTheme="minorHAnsi"/>
        </w:rPr>
        <w:commentReference w:id="30"/>
      </w:r>
      <w:commentRangeEnd w:id="31"/>
      <w:r w:rsidR="001A7D58">
        <w:rPr>
          <w:rStyle w:val="CommentReference"/>
          <w:rFonts w:ascii="Times New Roman" w:hAnsiTheme="minorHAnsi"/>
        </w:rPr>
        <w:commentReference w:id="31"/>
      </w:r>
      <w:r w:rsidR="001A7D58">
        <w:t xml:space="preserve">= </w:t>
      </w:r>
      <w:r w:rsidR="00827247">
        <w:t>335</w:t>
      </w:r>
      <w:r w:rsidR="001A7D58" w:rsidRPr="0087034A">
        <w:t>.</w:t>
      </w:r>
      <w:r w:rsidR="00827247">
        <w:t xml:space="preserve">2; </w:t>
      </w:r>
      <w:commentRangeStart w:id="32"/>
      <w:commentRangeStart w:id="33"/>
      <w:r w:rsidR="00827247" w:rsidRPr="0087034A">
        <w:rPr>
          <w:i/>
          <w:iCs/>
        </w:rPr>
        <w:t>SD</w:t>
      </w:r>
      <w:r w:rsidR="00827247">
        <w:rPr>
          <w:iCs/>
          <w:vertAlign w:val="subscript"/>
        </w:rPr>
        <w:t>SWAFR</w:t>
      </w:r>
      <w:r w:rsidR="00827247">
        <w:t xml:space="preserve"> </w:t>
      </w:r>
      <w:commentRangeEnd w:id="32"/>
      <w:r w:rsidR="00827247">
        <w:t>= 247.4</w:t>
      </w:r>
      <w:r w:rsidR="00827247">
        <w:rPr>
          <w:rStyle w:val="CommentReference"/>
          <w:rFonts w:ascii="Times New Roman" w:hAnsiTheme="minorHAnsi"/>
        </w:rPr>
        <w:commentReference w:id="32"/>
      </w:r>
      <w:commentRangeEnd w:id="33"/>
      <w:r w:rsidR="00827247">
        <w:rPr>
          <w:rStyle w:val="CommentReference"/>
          <w:rFonts w:ascii="Times New Roman" w:hAnsiTheme="minorHAnsi"/>
        </w:rPr>
        <w:commentReference w:id="33"/>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commentRangeStart w:id="34"/>
      <w:r w:rsidR="00B2312C" w:rsidRPr="00807C54">
        <w:rPr>
          <w:rFonts w:eastAsiaTheme="minorEastAsia" w:cstheme="majorBidi"/>
          <w:highlight w:val="yellow"/>
        </w:rPr>
        <w:t xml:space="preserve">see also Figure </w:t>
      </w:r>
      <w:r w:rsidR="00CE206A">
        <w:rPr>
          <w:rFonts w:eastAsiaTheme="minorEastAsia" w:cstheme="majorBidi"/>
          <w:highlight w:val="yellow"/>
        </w:rPr>
        <w:t>3a</w:t>
      </w:r>
      <w:commentRangeStart w:id="35"/>
      <w:commentRangeEnd w:id="35"/>
      <w:r w:rsidR="0090296A" w:rsidRPr="00807C54">
        <w:rPr>
          <w:rStyle w:val="CommentReference"/>
          <w:rFonts w:ascii="Times New Roman" w:hAnsiTheme="minorHAnsi"/>
          <w:highlight w:val="yellow"/>
        </w:rPr>
        <w:commentReference w:id="35"/>
      </w:r>
      <w:commentRangeEnd w:id="34"/>
      <w:r w:rsidR="000F6938">
        <w:rPr>
          <w:rStyle w:val="CommentReference"/>
          <w:rFonts w:ascii="Times New Roman" w:hAnsiTheme="minorHAnsi"/>
        </w:rPr>
        <w:commentReference w:id="34"/>
      </w:r>
      <w:r w:rsidR="00B2312C">
        <w:rPr>
          <w:rFonts w:eastAsiaTheme="minorEastAsia" w:cstheme="majorBidi"/>
        </w:rPr>
        <w:t>)</w:t>
      </w:r>
      <w:r w:rsidR="001A7D58">
        <w:rPr>
          <w:rFonts w:eastAsiaTheme="minorEastAsia" w:cstheme="majorBidi"/>
        </w:rPr>
        <w:t>.</w:t>
      </w:r>
    </w:p>
    <w:p w14:paraId="6B93ECCA" w14:textId="4A934683" w:rsidR="00FC1C62" w:rsidRDefault="00B930DF">
      <w:pPr>
        <w:pStyle w:val="FirstParagraph"/>
      </w:pPr>
      <w:r>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w:t>
      </w:r>
      <w:r w:rsidR="00273B1A" w:rsidRPr="00273B1A">
        <w:rPr>
          <w:highlight w:val="yellow"/>
        </w:rPr>
        <w:t xml:space="preserve">[…] </w:t>
      </w:r>
      <w:r w:rsidR="0032574D" w:rsidRPr="00273B1A">
        <w:rPr>
          <w:highlight w:val="yellow"/>
        </w:rPr>
        <w:t>MAP which has the greatest explanatory power in all models (</w:t>
      </w:r>
      <w:r w:rsidR="00D17FCB" w:rsidRPr="00273B1A">
        <w:rPr>
          <w:highlight w:val="yellow"/>
        </w:rPr>
        <w:t>Table S2</w:t>
      </w:r>
      <w:r w:rsidR="0032574D" w:rsidRPr="00273B1A">
        <w:rPr>
          <w:highlight w:val="yellow"/>
        </w:rPr>
        <w:t>)</w:t>
      </w:r>
      <w:r w:rsidR="00350FE5" w:rsidRPr="00273B1A">
        <w:rPr>
          <w:highlight w:val="yellow"/>
        </w:rPr>
        <w:t>.</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commentRangeStart w:id="36"/>
      <w:commentRangeStart w:id="37"/>
      <w:r w:rsidR="003E77D9" w:rsidRPr="0087034A">
        <w:rPr>
          <w:i/>
          <w:iCs/>
        </w:rPr>
        <w:t>SD</w:t>
      </w:r>
      <w:r w:rsidR="003E77D9">
        <w:rPr>
          <w:iCs/>
          <w:vertAlign w:val="subscript"/>
        </w:rPr>
        <w:t>GCFR</w:t>
      </w:r>
      <w:r w:rsidR="003E77D9">
        <w:t xml:space="preserve"> </w:t>
      </w:r>
      <w:commentRangeEnd w:id="36"/>
      <w:r w:rsidR="003E77D9">
        <w:rPr>
          <w:rStyle w:val="CommentReference"/>
          <w:rFonts w:ascii="Times New Roman" w:hAnsiTheme="minorHAnsi"/>
        </w:rPr>
        <w:commentReference w:id="36"/>
      </w:r>
      <w:commentRangeEnd w:id="37"/>
      <w:r w:rsidR="003E77D9">
        <w:rPr>
          <w:rStyle w:val="CommentReference"/>
          <w:rFonts w:ascii="Times New Roman" w:hAnsiTheme="minorHAnsi"/>
        </w:rPr>
        <w:commentReference w:id="37"/>
      </w:r>
      <w:r w:rsidR="003E77D9">
        <w:t xml:space="preserve">= 315.5; </w:t>
      </w:r>
      <w:r w:rsidR="003E77D9" w:rsidRPr="0087034A">
        <w:rPr>
          <w:i/>
          <w:iCs/>
        </w:rPr>
        <w:t>SD</w:t>
      </w:r>
      <w:r w:rsidR="003E77D9">
        <w:rPr>
          <w:iCs/>
          <w:vertAlign w:val="subscript"/>
        </w:rPr>
        <w:t>SWAFR</w:t>
      </w:r>
      <w:r w:rsidR="003E77D9">
        <w:t xml:space="preserve"> = 230.1; HDS: </w:t>
      </w:r>
      <w:commentRangeStart w:id="38"/>
      <w:commentRangeStart w:id="39"/>
      <w:r w:rsidR="003E77D9" w:rsidRPr="0087034A">
        <w:rPr>
          <w:i/>
          <w:iCs/>
        </w:rPr>
        <w:t>SD</w:t>
      </w:r>
      <w:r w:rsidR="003E77D9">
        <w:rPr>
          <w:iCs/>
          <w:vertAlign w:val="subscript"/>
        </w:rPr>
        <w:t>GCFR</w:t>
      </w:r>
      <w:r w:rsidR="003E77D9">
        <w:t xml:space="preserve"> </w:t>
      </w:r>
      <w:commentRangeEnd w:id="38"/>
      <w:r w:rsidR="003E77D9">
        <w:rPr>
          <w:rStyle w:val="CommentReference"/>
          <w:rFonts w:ascii="Times New Roman" w:hAnsiTheme="minorHAnsi"/>
        </w:rPr>
        <w:commentReference w:id="38"/>
      </w:r>
      <w:commentRangeEnd w:id="39"/>
      <w:r w:rsidR="003E77D9">
        <w:rPr>
          <w:rStyle w:val="CommentReference"/>
          <w:rFonts w:ascii="Times New Roman" w:hAnsiTheme="minorHAnsi"/>
        </w:rPr>
        <w:commentReference w:id="39"/>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commentRangeStart w:id="40"/>
      <w:commentRangeStart w:id="41"/>
      <w:r w:rsidR="00C96F57" w:rsidRPr="0087034A">
        <w:rPr>
          <w:i/>
          <w:iCs/>
        </w:rPr>
        <w:t>SD</w:t>
      </w:r>
      <w:r w:rsidR="00C96F57">
        <w:rPr>
          <w:iCs/>
          <w:vertAlign w:val="subscript"/>
        </w:rPr>
        <w:t>GCFR</w:t>
      </w:r>
      <w:r w:rsidR="00C96F57">
        <w:t xml:space="preserve"> </w:t>
      </w:r>
      <w:commentRangeEnd w:id="40"/>
      <w:r w:rsidR="00C96F57">
        <w:rPr>
          <w:rStyle w:val="CommentReference"/>
          <w:rFonts w:ascii="Times New Roman" w:hAnsiTheme="minorHAnsi"/>
        </w:rPr>
        <w:commentReference w:id="40"/>
      </w:r>
      <w:commentRangeEnd w:id="41"/>
      <w:r w:rsidR="00C96F57">
        <w:rPr>
          <w:rStyle w:val="CommentReference"/>
          <w:rFonts w:ascii="Times New Roman" w:hAnsiTheme="minorHAnsi"/>
        </w:rPr>
        <w:commentReference w:id="41"/>
      </w:r>
      <w:r w:rsidR="00C96F57">
        <w:t xml:space="preserve">= 638.4; </w:t>
      </w:r>
      <w:r w:rsidR="00C96F57" w:rsidRPr="0087034A">
        <w:rPr>
          <w:i/>
          <w:iCs/>
        </w:rPr>
        <w:t>SD</w:t>
      </w:r>
      <w:r w:rsidR="00C96F57">
        <w:rPr>
          <w:iCs/>
          <w:vertAlign w:val="subscript"/>
        </w:rPr>
        <w:t>SWAFR</w:t>
      </w:r>
      <w:r w:rsidR="00C96F57">
        <w:t xml:space="preserve"> = 353.9)</w:t>
      </w:r>
      <w:r w:rsidR="0032574D">
        <w:t xml:space="preserve">. </w:t>
      </w:r>
      <w:commentRangeStart w:id="42"/>
      <w:commentRangeStart w:id="43"/>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main effects of these variables. </w:t>
      </w:r>
      <w:commentRangeEnd w:id="42"/>
      <w:r w:rsidR="0090296A">
        <w:rPr>
          <w:rStyle w:val="CommentReference"/>
          <w:rFonts w:ascii="Times New Roman" w:hAnsiTheme="minorHAnsi"/>
        </w:rPr>
        <w:commentReference w:id="42"/>
      </w:r>
      <w:commentRangeEnd w:id="43"/>
      <w:r w:rsidR="00C30EFE">
        <w:rPr>
          <w:rStyle w:val="CommentReference"/>
          <w:rFonts w:ascii="Times New Roman" w:hAnsiTheme="minorHAnsi"/>
        </w:rPr>
        <w:commentReference w:id="43"/>
      </w:r>
    </w:p>
    <w:p w14:paraId="2C47BF37" w14:textId="32F5307F" w:rsidR="00350FE5" w:rsidRDefault="00E81245">
      <w:pPr>
        <w:pStyle w:val="FirstParagraph"/>
      </w:pPr>
      <w:r>
        <w:t>That the coefficients of determi</w:t>
      </w:r>
      <w:r w:rsidR="006F4CB8">
        <w:t>nation associated with the opti</w:t>
      </w:r>
      <w:r>
        <w:t>mum regression models</w:t>
      </w:r>
      <w:r w:rsidR="006F4CB8">
        <w:t xml:space="preserve"> (</w:t>
      </w:r>
      <w:commentRangeStart w:id="44"/>
      <w:commentRangeStart w:id="45"/>
      <w:r w:rsidR="006F4CB8">
        <w:t>Figure 4</w:t>
      </w:r>
      <w:commentRangeEnd w:id="44"/>
      <w:r w:rsidR="00103D7E">
        <w:rPr>
          <w:rStyle w:val="CommentReference"/>
          <w:rFonts w:ascii="Times New Roman" w:hAnsiTheme="minorHAnsi"/>
        </w:rPr>
        <w:commentReference w:id="44"/>
      </w:r>
      <w:commentRangeEnd w:id="45"/>
      <w:r w:rsidR="00EF443E">
        <w:rPr>
          <w:rStyle w:val="CommentReference"/>
          <w:rFonts w:ascii="Times New Roman" w:hAnsiTheme="minorHAnsi"/>
        </w:rPr>
        <w:commentReference w:id="45"/>
      </w:r>
      <w:r w:rsidR="00BA3932">
        <w:t xml:space="preserve">: </w:t>
      </w:r>
      <w:r w:rsidR="00BA3932" w:rsidRPr="00095788">
        <w:rPr>
          <w:i/>
          <w:iCs/>
        </w:rPr>
        <w:t>R</w:t>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46CBE008"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w:t>
      </w:r>
      <w:r w:rsidR="001B4B9F" w:rsidRPr="005D74C8">
        <w:t>Figure 5</w:t>
      </w:r>
      <w:r w:rsidR="005D74C8" w:rsidRPr="005D74C8">
        <w:t>e–h</w:t>
      </w:r>
      <w:r w:rsidR="001B4B9F" w:rsidRPr="00514C5C">
        <w:t xml:space="preserve">; </w:t>
      </w:r>
      <w:r w:rsidR="004C30F1" w:rsidRPr="00514C5C">
        <w:t>S</w:t>
      </w:r>
      <w:r w:rsidR="00514C5C" w:rsidRPr="00514C5C">
        <w:t>5e–h; S6e–h</w:t>
      </w:r>
      <w:r w:rsidR="001B4B9F" w:rsidRPr="00514C5C">
        <w:t>)</w:t>
      </w:r>
      <w:r w:rsidR="006B7A26" w:rsidRPr="00514C5C">
        <w:t>.</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7D7372">
        <w:t xml:space="preserve"> (Figure S8,9)</w:t>
      </w:r>
      <w:bookmarkStart w:id="46" w:name="_GoBack"/>
      <w:bookmarkEnd w:id="46"/>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w:t>
      </w:r>
      <w:r w:rsidR="008374CE" w:rsidRPr="008374CE">
        <w:rPr>
          <w:highlight w:val="yellow"/>
        </w:rPr>
        <w:t>SI</w:t>
      </w:r>
      <w:r w:rsidR="00664EED">
        <w:t>)</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47"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t>coefficient</w:t>
      </w:r>
      <w:r w:rsidR="006435FF">
        <w:t>s of pH and elevation</w:t>
      </w:r>
      <w:r w:rsidR="00D839BD" w:rsidRPr="00D839BD">
        <w:t xml:space="preserve"> </w:t>
      </w:r>
      <w:r w:rsidR="00D839BD">
        <w:t>in the multiple regressions</w:t>
      </w:r>
      <w:r w:rsidR="006435FF">
        <w:t xml:space="preserve">, </w:t>
      </w:r>
      <w:commentRangeStart w:id="48"/>
      <w:r w:rsidR="006435FF">
        <w:t xml:space="preserve">which </w:t>
      </w:r>
      <w:r w:rsidR="00DB42AF">
        <w:t>a</w:t>
      </w:r>
      <w:r w:rsidR="006435FF">
        <w:t>re negative on account of their collinearity with other variables</w:t>
      </w:r>
      <w:commentRangeEnd w:id="48"/>
      <w:r w:rsidR="008D0795">
        <w:rPr>
          <w:rStyle w:val="CommentReference"/>
          <w:rFonts w:ascii="Times New Roman" w:hAnsiTheme="minorHAnsi"/>
        </w:rPr>
        <w:commentReference w:id="48"/>
      </w:r>
      <w:r w:rsidR="006435FF">
        <w:t xml:space="preserve">, all </w:t>
      </w:r>
      <w:r w:rsidR="00186541">
        <w:t xml:space="preserve">significant </w:t>
      </w:r>
      <w:r w:rsidR="006435FF">
        <w:t xml:space="preserve">coefficients associated with environmental </w:t>
      </w:r>
      <w:r w:rsidR="006435FF">
        <w:lastRenderedPageBreak/>
        <w:t>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ed by 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49"/>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49"/>
      <w:r w:rsidR="00A57067">
        <w:rPr>
          <w:rStyle w:val="CommentReference"/>
          <w:rFonts w:ascii="Times New Roman" w:hAnsiTheme="minorHAnsi"/>
        </w:rPr>
        <w:commentReference w:id="49"/>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lastRenderedPageBreak/>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w:t>
      </w:r>
      <w:r w:rsidR="004F2596" w:rsidRPr="00CC1848">
        <w:rPr>
          <w:highlight w:val="yellow"/>
        </w:rPr>
        <w:t>ref***)</w:t>
      </w:r>
      <w:r w:rsidR="00CF6AF3" w:rsidRPr="00CC1848">
        <w:rPr>
          <w:highlight w:val="yellow"/>
        </w:rPr>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w:t>
      </w:r>
      <w:r w:rsidR="00B053CB" w:rsidRPr="00B64F53">
        <w:rPr>
          <w:highlight w:val="yellow"/>
        </w:rPr>
        <w:t>refs</w:t>
      </w:r>
      <w:r w:rsidR="00B053CB">
        <w:t>)</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50"/>
      <w:r w:rsidR="002D35E5">
        <w:t>2017</w:t>
      </w:r>
      <w:commentRangeEnd w:id="50"/>
      <w:r w:rsidR="00AD171B">
        <w:rPr>
          <w:rStyle w:val="CommentReference"/>
          <w:rFonts w:ascii="Times New Roman" w:hAnsiTheme="minorHAnsi"/>
        </w:rPr>
        <w:commentReference w:id="50"/>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15A9687"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23B47">
        <w:t xml:space="preserve">. </w:t>
      </w:r>
      <w:r w:rsidR="008A6F1B">
        <w:t>But, beyond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w:t>
      </w:r>
      <w:r w:rsidR="00A44F62">
        <w:lastRenderedPageBreak/>
        <w:t xml:space="preserve">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4A61A21C"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 xml:space="preserve">persistence </w:t>
      </w:r>
      <w:r w:rsidR="00901D65">
        <w:t>(McLaughlin et al. (2017)</w:t>
      </w:r>
      <w:r w:rsidR="00024506">
        <w:t>, the</w:t>
      </w:r>
      <w:r w:rsidR="00F6046E">
        <w:t xml:space="preserve"> acc</w:t>
      </w:r>
      <w:r w:rsidR="00024506">
        <w:t xml:space="preserve">urate identification and effective protection </w:t>
      </w:r>
      <w:r w:rsidR="00F6046E">
        <w:t xml:space="preserve">of climatically- and/or hydrologically-stable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51"/>
      <w:r w:rsidR="00C250BB">
        <w:t>2018</w:t>
      </w:r>
      <w:commentRangeEnd w:id="51"/>
      <w:r w:rsidR="00D72F4D">
        <w:rPr>
          <w:rStyle w:val="CommentReference"/>
          <w:rFonts w:ascii="Times New Roman" w:hAnsiTheme="minorHAnsi"/>
        </w:rPr>
        <w:commentReference w:id="51"/>
      </w:r>
      <w:r w:rsidR="00C250BB">
        <w:t>)</w:t>
      </w:r>
      <w:r w:rsidR="003E5F41">
        <w:t>.</w:t>
      </w:r>
      <w:r w:rsidR="00461C06">
        <w:t xml:space="preserve"> The long-term integrity of groundwater-dependent terrestrial vegetation is similarly threatened by </w:t>
      </w:r>
      <w:r w:rsidR="00D51B17">
        <w:t>groundwater abstraction in the Perth area of the SWAFR (</w:t>
      </w:r>
      <w:proofErr w:type="spellStart"/>
      <w:r w:rsidR="00D51B17">
        <w:t>Froend</w:t>
      </w:r>
      <w:proofErr w:type="spellEnd"/>
      <w:r w:rsidR="00D51B17">
        <w:t xml:space="preserve"> and Sommer 2010; Barron et al. 2014).</w:t>
      </w:r>
    </w:p>
    <w:p w14:paraId="73EE69CB" w14:textId="16B0AF23" w:rsidR="004B3DF5" w:rsidRPr="008D3C44"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 (</w:t>
      </w:r>
      <w:proofErr w:type="spellStart"/>
      <w:r w:rsidR="00AB7C3A">
        <w:rPr>
          <w:sz w:val="24"/>
          <w:szCs w:val="24"/>
        </w:rPr>
        <w:t>Kreft</w:t>
      </w:r>
      <w:proofErr w:type="spellEnd"/>
      <w:r w:rsidR="00AB7C3A">
        <w:rPr>
          <w:sz w:val="24"/>
          <w:szCs w:val="24"/>
        </w:rPr>
        <w:t xml:space="preserve"> and </w:t>
      </w:r>
      <w:proofErr w:type="spellStart"/>
      <w:r w:rsidR="00AB7C3A">
        <w:rPr>
          <w:sz w:val="24"/>
          <w:szCs w:val="24"/>
        </w:rPr>
        <w:t>Jetz</w:t>
      </w:r>
      <w:proofErr w:type="spellEnd"/>
      <w:r w:rsidR="00AB7C3A">
        <w:rPr>
          <w:sz w:val="24"/>
          <w:szCs w:val="24"/>
        </w:rPr>
        <w:t xml:space="preserve"> 2008),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the latter promoting diversification and facilitating species coexistence</w:t>
      </w:r>
      <w:r w:rsidR="005C122F">
        <w:rPr>
          <w:sz w:val="24"/>
          <w:szCs w:val="24"/>
        </w:rPr>
        <w:t xml:space="preserve">. </w:t>
      </w:r>
      <w:r w:rsidR="00FC3AFE">
        <w:rPr>
          <w:sz w:val="24"/>
          <w:szCs w:val="24"/>
        </w:rPr>
        <w:t xml:space="preserve">This corroborates the suggestion </w:t>
      </w:r>
      <w:r w:rsidR="00711CBD">
        <w:rPr>
          <w:sz w:val="24"/>
          <w:szCs w:val="24"/>
        </w:rPr>
        <w:t>(</w:t>
      </w:r>
      <w:r w:rsidR="005C122F">
        <w:rPr>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BE1C44">
        <w:rPr>
          <w:sz w:val="24"/>
          <w:szCs w:val="24"/>
        </w:rPr>
        <w:t>Thus, a</w:t>
      </w:r>
      <w:r w:rsidR="00FC3AFE">
        <w:rPr>
          <w:sz w:val="24"/>
          <w:szCs w:val="24"/>
        </w:rPr>
        <w:t xml:space="preserve">lthough the species richness-environmental heterogeneity relationship is punctuated by the existence of local hotspots, whose exceptional richness may be a consequence of historical factors and which may be important for species persistence in the face of climate change, </w:t>
      </w:r>
      <w:r w:rsidR="00BE1C44">
        <w:rPr>
          <w:sz w:val="24"/>
          <w:szCs w:val="24"/>
        </w:rPr>
        <w:t xml:space="preserve">we find evidence for a unified conceptual framework for </w:t>
      </w:r>
      <w:r w:rsidR="00317DAF" w:rsidRPr="00E97920">
        <w:rPr>
          <w:sz w:val="24"/>
        </w:rPr>
        <w:t xml:space="preserve">thinking about the species richness </w:t>
      </w:r>
      <w:r w:rsidR="00BB2E13">
        <w:rPr>
          <w:sz w:val="24"/>
        </w:rPr>
        <w:t>in</w:t>
      </w:r>
      <w:r w:rsidR="00317DAF" w:rsidRPr="00E97920">
        <w:rPr>
          <w:sz w:val="24"/>
        </w:rPr>
        <w:t xml:space="preserve"> the two regions.</w:t>
      </w:r>
      <w:r w:rsidR="004B3DF5">
        <w:br w:type="page"/>
      </w:r>
    </w:p>
    <w:p w14:paraId="18D025C9" w14:textId="77777777" w:rsidR="00DD7CD4" w:rsidRDefault="00D04776">
      <w:pPr>
        <w:pStyle w:val="Heading1"/>
      </w:pPr>
      <w:r w:rsidRPr="008A4E97">
        <w:lastRenderedPageBreak/>
        <w:t>Tables</w:t>
      </w:r>
      <w:bookmarkEnd w:id="47"/>
    </w:p>
    <w:p w14:paraId="71033F34" w14:textId="08072B34" w:rsidR="00146F57" w:rsidRDefault="00D04776" w:rsidP="00FA753D">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840830" w14:paraId="68C1A1ED" w14:textId="426C9F16" w:rsidTr="009C10BD">
        <w:trPr>
          <w:trHeight w:val="227"/>
        </w:trPr>
        <w:tc>
          <w:tcPr>
            <w:tcW w:w="1134" w:type="dxa"/>
            <w:tcBorders>
              <w:top w:val="single" w:sz="4" w:space="0" w:color="auto"/>
              <w:bottom w:val="single" w:sz="2" w:space="0" w:color="auto"/>
            </w:tcBorders>
            <w:vAlign w:val="bottom"/>
          </w:tcPr>
          <w:p w14:paraId="62EBEFA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840830" w:rsidRDefault="00750943"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840830" w:rsidRDefault="00750943" w:rsidP="009C10BD">
            <w:pPr>
              <w:pStyle w:val="Compact"/>
              <w:spacing w:before="0" w:after="0"/>
              <w:jc w:val="center"/>
              <w:rPr>
                <w:rFonts w:ascii="Times New Roman" w:hAnsi="Times New Roman" w:cs="Times New Roman"/>
                <w:sz w:val="22"/>
                <w:szCs w:val="22"/>
              </w:rPr>
            </w:pPr>
            <w:r w:rsidRPr="00840830">
              <w:rPr>
                <w:rFonts w:ascii="Times New Roman" w:hAnsi="Times New Roman" w:cs="Times New Roman"/>
                <w:sz w:val="22"/>
                <w:szCs w:val="22"/>
              </w:rPr>
              <w:t>SWAFR interaction</w:t>
            </w:r>
          </w:p>
        </w:tc>
      </w:tr>
      <w:tr w:rsidR="00D51F88" w:rsidRPr="00840830" w14:paraId="5E236C3F" w14:textId="50285A0F" w:rsidTr="009C10BD">
        <w:trPr>
          <w:trHeight w:val="227"/>
        </w:trPr>
        <w:tc>
          <w:tcPr>
            <w:tcW w:w="1134" w:type="dxa"/>
            <w:tcBorders>
              <w:top w:val="single" w:sz="4" w:space="0" w:color="auto"/>
            </w:tcBorders>
          </w:tcPr>
          <w:p w14:paraId="7FDF71C7" w14:textId="65BB2C33"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(a)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Main effect </w:t>
            </w:r>
            <w:r w:rsidR="00A46338" w:rsidRPr="00840830">
              <w:rPr>
                <w:rFonts w:cstheme="majorBidi"/>
                <w:sz w:val="22"/>
                <w:szCs w:val="22"/>
              </w:rPr>
              <w:t>×</w:t>
            </w:r>
            <w:r w:rsidRPr="00840830">
              <w:rPr>
                <w:sz w:val="22"/>
                <w:szCs w:val="22"/>
              </w:rPr>
              <w:t xml:space="preserve"> region</w:t>
            </w:r>
          </w:p>
        </w:tc>
        <w:tc>
          <w:tcPr>
            <w:tcW w:w="1418" w:type="dxa"/>
            <w:tcBorders>
              <w:top w:val="single" w:sz="4" w:space="0" w:color="auto"/>
            </w:tcBorders>
          </w:tcPr>
          <w:p w14:paraId="7E7DB67D" w14:textId="2547FEF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Borders>
              <w:top w:val="single" w:sz="4" w:space="0" w:color="auto"/>
            </w:tcBorders>
          </w:tcPr>
          <w:p w14:paraId="37CEC41C" w14:textId="79DF839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192.1</w:t>
            </w:r>
          </w:p>
        </w:tc>
        <w:tc>
          <w:tcPr>
            <w:tcW w:w="705" w:type="dxa"/>
            <w:tcBorders>
              <w:top w:val="single" w:sz="4" w:space="0" w:color="auto"/>
            </w:tcBorders>
          </w:tcPr>
          <w:p w14:paraId="124632D4" w14:textId="61F0FA1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2A189B86" w14:textId="061D8C8F"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66.4</w:t>
            </w:r>
          </w:p>
        </w:tc>
        <w:tc>
          <w:tcPr>
            <w:tcW w:w="851" w:type="dxa"/>
            <w:tcBorders>
              <w:top w:val="single" w:sz="4" w:space="0" w:color="auto"/>
            </w:tcBorders>
          </w:tcPr>
          <w:p w14:paraId="0D13397A" w14:textId="479067F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single" w:sz="4" w:space="0" w:color="auto"/>
            </w:tcBorders>
          </w:tcPr>
          <w:p w14:paraId="1933196D" w14:textId="36A6012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-74.0</w:t>
            </w:r>
          </w:p>
        </w:tc>
        <w:tc>
          <w:tcPr>
            <w:tcW w:w="701" w:type="dxa"/>
            <w:tcBorders>
              <w:top w:val="single" w:sz="4" w:space="0" w:color="auto"/>
            </w:tcBorders>
          </w:tcPr>
          <w:p w14:paraId="3713C5D2" w14:textId="312B060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33C511" w14:textId="0C98D100" w:rsidTr="009C10BD">
        <w:trPr>
          <w:trHeight w:val="227"/>
        </w:trPr>
        <w:tc>
          <w:tcPr>
            <w:tcW w:w="1134" w:type="dxa"/>
          </w:tcPr>
          <w:p w14:paraId="0FFC9D5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92D782F" w14:textId="5A93554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06891E5" w14:textId="32AC1D22"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6B1CA79" w14:textId="33E57F8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137.5</w:t>
            </w:r>
          </w:p>
        </w:tc>
        <w:tc>
          <w:tcPr>
            <w:tcW w:w="705" w:type="dxa"/>
          </w:tcPr>
          <w:p w14:paraId="3DB133FD" w14:textId="0FDBAB9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22434F2" w14:textId="065966B0"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-42.1</w:t>
            </w:r>
          </w:p>
        </w:tc>
        <w:tc>
          <w:tcPr>
            <w:tcW w:w="851" w:type="dxa"/>
          </w:tcPr>
          <w:p w14:paraId="520FFF0E" w14:textId="6335A43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6D0CD601" w14:textId="2EC513DA"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-89.4</w:t>
            </w:r>
          </w:p>
        </w:tc>
        <w:tc>
          <w:tcPr>
            <w:tcW w:w="701" w:type="dxa"/>
          </w:tcPr>
          <w:p w14:paraId="5D9699F5" w14:textId="77C8FD5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791B7B7E" w14:textId="759D253E" w:rsidTr="009C10BD">
        <w:trPr>
          <w:trHeight w:val="227"/>
        </w:trPr>
        <w:tc>
          <w:tcPr>
            <w:tcW w:w="1134" w:type="dxa"/>
          </w:tcPr>
          <w:p w14:paraId="521C1AF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1B43E820" w14:textId="1E144F7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172CDE68" w14:textId="243CFA5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2F5CF9E6" w14:textId="423DF67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113.9</w:t>
            </w:r>
          </w:p>
        </w:tc>
        <w:tc>
          <w:tcPr>
            <w:tcW w:w="705" w:type="dxa"/>
          </w:tcPr>
          <w:p w14:paraId="1CEBB649" w14:textId="5C9578D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9BCDE2C" w14:textId="5E246E38"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-4.2</w:t>
            </w:r>
          </w:p>
        </w:tc>
        <w:tc>
          <w:tcPr>
            <w:tcW w:w="851" w:type="dxa"/>
          </w:tcPr>
          <w:p w14:paraId="7DA3F4AE" w14:textId="1CCCF96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2BF8188" w14:textId="36A54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-72.4</w:t>
            </w:r>
          </w:p>
        </w:tc>
        <w:tc>
          <w:tcPr>
            <w:tcW w:w="701" w:type="dxa"/>
          </w:tcPr>
          <w:p w14:paraId="28AAA22D" w14:textId="4D7F04E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D51F88" w:rsidRPr="00840830" w14:paraId="3395C1A3" w14:textId="351C6C7E" w:rsidTr="009C10BD">
        <w:trPr>
          <w:trHeight w:val="227"/>
        </w:trPr>
        <w:tc>
          <w:tcPr>
            <w:tcW w:w="1134" w:type="dxa"/>
          </w:tcPr>
          <w:p w14:paraId="2E5D80C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52737AA6" w14:textId="1EB3FA3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33351E94" w14:textId="20A4351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79.4</w:t>
            </w:r>
          </w:p>
        </w:tc>
        <w:tc>
          <w:tcPr>
            <w:tcW w:w="705" w:type="dxa"/>
            <w:tcBorders>
              <w:bottom w:val="dashSmallGap" w:sz="4" w:space="0" w:color="auto"/>
            </w:tcBorders>
          </w:tcPr>
          <w:p w14:paraId="17E2D94D" w14:textId="4D1B0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74B72806" w14:textId="5695876D"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89.6</w:t>
            </w:r>
          </w:p>
        </w:tc>
        <w:tc>
          <w:tcPr>
            <w:tcW w:w="851" w:type="dxa"/>
            <w:tcBorders>
              <w:bottom w:val="dashSmallGap" w:sz="4" w:space="0" w:color="auto"/>
            </w:tcBorders>
          </w:tcPr>
          <w:p w14:paraId="31877234" w14:textId="5AC8354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4C9E306A" w14:textId="417932CB"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-24.6</w:t>
            </w:r>
          </w:p>
        </w:tc>
        <w:tc>
          <w:tcPr>
            <w:tcW w:w="701" w:type="dxa"/>
            <w:tcBorders>
              <w:bottom w:val="dashSmallGap" w:sz="4" w:space="0" w:color="auto"/>
            </w:tcBorders>
          </w:tcPr>
          <w:p w14:paraId="1E7AF6F1" w14:textId="3ACBF80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r>
      <w:tr w:rsidR="00750943" w:rsidRPr="00840830" w14:paraId="4503C606" w14:textId="6E6034DE" w:rsidTr="009C10BD">
        <w:trPr>
          <w:trHeight w:val="227"/>
        </w:trPr>
        <w:tc>
          <w:tcPr>
            <w:tcW w:w="1134" w:type="dxa"/>
          </w:tcPr>
          <w:p w14:paraId="13326302"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 region</w:t>
            </w:r>
          </w:p>
        </w:tc>
        <w:tc>
          <w:tcPr>
            <w:tcW w:w="1418" w:type="dxa"/>
            <w:tcBorders>
              <w:top w:val="dashSmallGap" w:sz="4" w:space="0" w:color="auto"/>
            </w:tcBorders>
          </w:tcPr>
          <w:p w14:paraId="00DBA767" w14:textId="6730091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dashSmallGap" w:sz="4" w:space="0" w:color="auto"/>
            </w:tcBorders>
          </w:tcPr>
          <w:p w14:paraId="05B1BD0A" w14:textId="3CBA4480"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96.9</w:t>
            </w:r>
          </w:p>
        </w:tc>
        <w:tc>
          <w:tcPr>
            <w:tcW w:w="705" w:type="dxa"/>
            <w:tcBorders>
              <w:top w:val="dashSmallGap" w:sz="4" w:space="0" w:color="auto"/>
            </w:tcBorders>
          </w:tcPr>
          <w:p w14:paraId="0EADD8F7" w14:textId="54864BB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E6940C6" w14:textId="50E2A64F"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72.6</w:t>
            </w:r>
          </w:p>
        </w:tc>
        <w:tc>
          <w:tcPr>
            <w:tcW w:w="851" w:type="dxa"/>
            <w:tcBorders>
              <w:top w:val="dashSmallGap" w:sz="4" w:space="0" w:color="auto"/>
            </w:tcBorders>
          </w:tcPr>
          <w:p w14:paraId="66E6B99C" w14:textId="0DD73A64"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7AE7FA8F" w14:textId="5D55B9DA"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2061C68C" w14:textId="54BEE7D7" w:rsidTr="009C10BD">
        <w:trPr>
          <w:trHeight w:val="227"/>
        </w:trPr>
        <w:tc>
          <w:tcPr>
            <w:tcW w:w="1134" w:type="dxa"/>
          </w:tcPr>
          <w:p w14:paraId="3CD09BF6"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Pr>
          <w:p w14:paraId="29FC06A8" w14:textId="7C7FB2D9"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44983026" w14:textId="0FA94D8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1D7C08D5" w14:textId="24DFBC3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112.1</w:t>
            </w:r>
          </w:p>
        </w:tc>
        <w:tc>
          <w:tcPr>
            <w:tcW w:w="705" w:type="dxa"/>
          </w:tcPr>
          <w:p w14:paraId="3A6BA3DA" w14:textId="231D76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E79BF2E" w14:textId="36455F0E" w:rsidR="00750943"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57.6</w:t>
            </w:r>
          </w:p>
        </w:tc>
        <w:tc>
          <w:tcPr>
            <w:tcW w:w="851" w:type="dxa"/>
          </w:tcPr>
          <w:p w14:paraId="2FA83183" w14:textId="51C0D1B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5D786016" w14:textId="598E4B0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Pr>
          <w:p w14:paraId="3AD10EA1" w14:textId="42E0ECBD" w:rsidR="00750943" w:rsidRPr="00840830" w:rsidRDefault="00750943" w:rsidP="009C10BD">
            <w:pPr>
              <w:pStyle w:val="Compact"/>
              <w:spacing w:before="0" w:after="0"/>
              <w:rPr>
                <w:rFonts w:ascii="Times New Roman" w:hAnsi="Times New Roman" w:cs="Times New Roman"/>
                <w:sz w:val="22"/>
                <w:szCs w:val="22"/>
              </w:rPr>
            </w:pPr>
          </w:p>
        </w:tc>
      </w:tr>
      <w:tr w:rsidR="00D51F88" w:rsidRPr="00840830" w14:paraId="61021E01" w14:textId="012B0312" w:rsidTr="009C10BD">
        <w:trPr>
          <w:trHeight w:val="227"/>
        </w:trPr>
        <w:tc>
          <w:tcPr>
            <w:tcW w:w="1134" w:type="dxa"/>
          </w:tcPr>
          <w:p w14:paraId="620A9F7B"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4C951B7B" w14:textId="2457F4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Pr>
          <w:p w14:paraId="0F4C29CF" w14:textId="468F41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77ECA1CB" w14:textId="56381F62"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25.0</w:t>
            </w:r>
          </w:p>
        </w:tc>
        <w:tc>
          <w:tcPr>
            <w:tcW w:w="705" w:type="dxa"/>
          </w:tcPr>
          <w:p w14:paraId="4C07E068" w14:textId="696CA0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6538D2C4" w14:textId="4218E7B7"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-50.5</w:t>
            </w:r>
          </w:p>
        </w:tc>
        <w:tc>
          <w:tcPr>
            <w:tcW w:w="851" w:type="dxa"/>
          </w:tcPr>
          <w:p w14:paraId="4FFA9300" w14:textId="0466A13F"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37F42DAA" w14:textId="49E6D40B"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6A216F13" w14:textId="37618B7B"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36C98A9B" w14:textId="1FAF2C2F" w:rsidTr="009C10BD">
        <w:trPr>
          <w:trHeight w:val="227"/>
        </w:trPr>
        <w:tc>
          <w:tcPr>
            <w:tcW w:w="1134" w:type="dxa"/>
          </w:tcPr>
          <w:p w14:paraId="2945E94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46BDA538" w14:textId="15EECAA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Borders>
              <w:bottom w:val="dashSmallGap" w:sz="4" w:space="0" w:color="auto"/>
            </w:tcBorders>
          </w:tcPr>
          <w:p w14:paraId="74783313" w14:textId="5C26E844"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27.0</w:t>
            </w:r>
          </w:p>
        </w:tc>
        <w:tc>
          <w:tcPr>
            <w:tcW w:w="705" w:type="dxa"/>
            <w:tcBorders>
              <w:bottom w:val="dashSmallGap" w:sz="4" w:space="0" w:color="auto"/>
            </w:tcBorders>
          </w:tcPr>
          <w:p w14:paraId="424C6905" w14:textId="2D4746C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0865CE3F" w14:textId="5BA957A3" w:rsidR="00D51F88" w:rsidRPr="00840830" w:rsidRDefault="00AE51EB" w:rsidP="009C10BD">
            <w:pPr>
              <w:pStyle w:val="Compact"/>
              <w:spacing w:before="0" w:after="0"/>
              <w:jc w:val="right"/>
              <w:rPr>
                <w:rFonts w:ascii="Times New Roman" w:hAnsi="Times New Roman" w:cs="Times New Roman"/>
                <w:sz w:val="22"/>
                <w:szCs w:val="22"/>
              </w:rPr>
            </w:pPr>
            <w:r w:rsidRPr="00840830">
              <w:rPr>
                <w:sz w:val="22"/>
                <w:szCs w:val="22"/>
              </w:rPr>
              <w:t>-53.4</w:t>
            </w:r>
          </w:p>
        </w:tc>
        <w:tc>
          <w:tcPr>
            <w:tcW w:w="851" w:type="dxa"/>
            <w:tcBorders>
              <w:bottom w:val="dashSmallGap" w:sz="4" w:space="0" w:color="auto"/>
            </w:tcBorders>
          </w:tcPr>
          <w:p w14:paraId="44A5E9CE" w14:textId="3DDB2476"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6D69913D" w14:textId="3430AD39"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840830" w:rsidRDefault="00D51F88" w:rsidP="009C10BD">
            <w:pPr>
              <w:pStyle w:val="Compact"/>
              <w:spacing w:before="0" w:after="0"/>
              <w:rPr>
                <w:rFonts w:ascii="Times New Roman" w:hAnsi="Times New Roman" w:cs="Times New Roman"/>
                <w:sz w:val="22"/>
                <w:szCs w:val="22"/>
              </w:rPr>
            </w:pPr>
          </w:p>
        </w:tc>
      </w:tr>
      <w:tr w:rsidR="00750943" w:rsidRPr="00840830" w14:paraId="14F91A09" w14:textId="6911532D" w:rsidTr="009C10BD">
        <w:trPr>
          <w:trHeight w:val="227"/>
        </w:trPr>
        <w:tc>
          <w:tcPr>
            <w:tcW w:w="1134" w:type="dxa"/>
          </w:tcPr>
          <w:p w14:paraId="6CD7331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bottom w:val="dashSmallGap" w:sz="4" w:space="0" w:color="auto"/>
            </w:tcBorders>
          </w:tcPr>
          <w:p w14:paraId="7ACB01E5" w14:textId="775FD444"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74.6</w:t>
            </w:r>
          </w:p>
        </w:tc>
        <w:tc>
          <w:tcPr>
            <w:tcW w:w="705" w:type="dxa"/>
            <w:tcBorders>
              <w:top w:val="dashSmallGap" w:sz="4" w:space="0" w:color="auto"/>
              <w:bottom w:val="dashSmallGap" w:sz="4" w:space="0" w:color="auto"/>
            </w:tcBorders>
          </w:tcPr>
          <w:p w14:paraId="5914B97B" w14:textId="2CD0195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bottom w:val="dashSmallGap" w:sz="4" w:space="0" w:color="auto"/>
            </w:tcBorders>
          </w:tcPr>
          <w:p w14:paraId="0B1C974D" w14:textId="2454AC90" w:rsidR="00750943" w:rsidRPr="00840830" w:rsidRDefault="00750943"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840830" w:rsidRDefault="00750943" w:rsidP="009C10BD">
            <w:pPr>
              <w:pStyle w:val="Compact"/>
              <w:spacing w:before="0" w:after="0"/>
              <w:rPr>
                <w:rFonts w:ascii="Times New Roman" w:hAnsi="Times New Roman" w:cs="Times New Roman"/>
                <w:sz w:val="22"/>
                <w:szCs w:val="22"/>
              </w:rPr>
            </w:pPr>
          </w:p>
        </w:tc>
      </w:tr>
      <w:tr w:rsidR="00750943" w:rsidRPr="00840830" w14:paraId="64E78183" w14:textId="1132F423" w:rsidTr="009C10BD">
        <w:trPr>
          <w:trHeight w:val="227"/>
        </w:trPr>
        <w:tc>
          <w:tcPr>
            <w:tcW w:w="1134" w:type="dxa"/>
            <w:tcBorders>
              <w:bottom w:val="single" w:sz="4" w:space="0" w:color="auto"/>
            </w:tcBorders>
          </w:tcPr>
          <w:p w14:paraId="336879F3" w14:textId="77777777" w:rsidR="00750943" w:rsidRPr="00840830" w:rsidRDefault="00750943"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Region only</w:t>
            </w:r>
          </w:p>
        </w:tc>
        <w:tc>
          <w:tcPr>
            <w:tcW w:w="1418" w:type="dxa"/>
            <w:tcBorders>
              <w:top w:val="dashSmallGap" w:sz="4" w:space="0" w:color="auto"/>
            </w:tcBorders>
          </w:tcPr>
          <w:p w14:paraId="12599AD7" w14:textId="071CC3AA"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top w:val="dashSmallGap" w:sz="4" w:space="0" w:color="auto"/>
            </w:tcBorders>
          </w:tcPr>
          <w:p w14:paraId="1295E05B" w14:textId="4DB9D3E0"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18.5</w:t>
            </w:r>
          </w:p>
        </w:tc>
        <w:tc>
          <w:tcPr>
            <w:tcW w:w="705" w:type="dxa"/>
            <w:tcBorders>
              <w:top w:val="dashSmallGap" w:sz="4" w:space="0" w:color="auto"/>
            </w:tcBorders>
          </w:tcPr>
          <w:p w14:paraId="1ACCCA05" w14:textId="4FDAEDB1" w:rsidR="00750943" w:rsidRPr="00840830" w:rsidRDefault="002B5DBF"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D6ED5D1" w14:textId="6D021B47" w:rsidR="00750943"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-53.6</w:t>
            </w:r>
          </w:p>
        </w:tc>
        <w:tc>
          <w:tcPr>
            <w:tcW w:w="851" w:type="dxa"/>
            <w:tcBorders>
              <w:top w:val="dashSmallGap" w:sz="4" w:space="0" w:color="auto"/>
            </w:tcBorders>
          </w:tcPr>
          <w:p w14:paraId="600D8F03" w14:textId="3CF6E141" w:rsidR="00750943" w:rsidRPr="00840830" w:rsidRDefault="00750943"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67001671" w14:textId="09A6D295" w:rsidR="00750943" w:rsidRPr="00840830" w:rsidRDefault="00750943"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840830" w:rsidRDefault="00750943" w:rsidP="009C10BD">
            <w:pPr>
              <w:pStyle w:val="Compact"/>
              <w:spacing w:before="0" w:after="0"/>
              <w:rPr>
                <w:rFonts w:ascii="Times New Roman" w:hAnsi="Times New Roman" w:cs="Times New Roman"/>
                <w:sz w:val="22"/>
                <w:szCs w:val="22"/>
              </w:rPr>
            </w:pPr>
          </w:p>
        </w:tc>
      </w:tr>
      <w:tr w:rsidR="00D15B52" w:rsidRPr="00840830" w14:paraId="1D077985" w14:textId="45FE03B9" w:rsidTr="009C10BD">
        <w:trPr>
          <w:trHeight w:val="227"/>
        </w:trPr>
        <w:tc>
          <w:tcPr>
            <w:tcW w:w="1134" w:type="dxa"/>
            <w:tcBorders>
              <w:top w:val="single" w:sz="4" w:space="0" w:color="auto"/>
            </w:tcBorders>
          </w:tcPr>
          <w:p w14:paraId="6E4CF490" w14:textId="041C0560"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(b)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2" w:space="0" w:color="auto"/>
            </w:tcBorders>
          </w:tcPr>
          <w:p w14:paraId="7430057D" w14:textId="0F05842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119.3</w:t>
            </w:r>
          </w:p>
        </w:tc>
        <w:tc>
          <w:tcPr>
            <w:tcW w:w="705" w:type="dxa"/>
            <w:tcBorders>
              <w:top w:val="single" w:sz="2" w:space="0" w:color="auto"/>
            </w:tcBorders>
          </w:tcPr>
          <w:p w14:paraId="714F7B60" w14:textId="0C0084C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2" w:space="0" w:color="auto"/>
            </w:tcBorders>
          </w:tcPr>
          <w:p w14:paraId="113D1288" w14:textId="0AF2E3DF"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2" w:space="0" w:color="auto"/>
            </w:tcBorders>
          </w:tcPr>
          <w:p w14:paraId="6EFC9A3C" w14:textId="231C951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2" w:space="0" w:color="auto"/>
            </w:tcBorders>
          </w:tcPr>
          <w:p w14:paraId="3F218F66"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B625CED" w14:textId="378D684F" w:rsidTr="009C10BD">
        <w:trPr>
          <w:trHeight w:val="227"/>
        </w:trPr>
        <w:tc>
          <w:tcPr>
            <w:tcW w:w="1134" w:type="dxa"/>
          </w:tcPr>
          <w:p w14:paraId="42CDAA3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670739E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1B45F2F2" w14:textId="5386239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6585EA14" w14:textId="38D2FEDB"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266.1</w:t>
            </w:r>
          </w:p>
        </w:tc>
        <w:tc>
          <w:tcPr>
            <w:tcW w:w="705" w:type="dxa"/>
          </w:tcPr>
          <w:p w14:paraId="5D71FBFF" w14:textId="319C70A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78DD53B4" w14:textId="599BA3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DE11A13" w14:textId="42CAC3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9C76AB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6E7734B"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210E479" w14:textId="383EE0DC" w:rsidTr="009C10BD">
        <w:trPr>
          <w:trHeight w:val="227"/>
        </w:trPr>
        <w:tc>
          <w:tcPr>
            <w:tcW w:w="1134" w:type="dxa"/>
          </w:tcPr>
          <w:p w14:paraId="3793E1B1"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F4604DD"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7C3569A6" w14:textId="3E7985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2822FD91" w14:textId="07BC58E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189.4</w:t>
            </w:r>
          </w:p>
        </w:tc>
        <w:tc>
          <w:tcPr>
            <w:tcW w:w="705" w:type="dxa"/>
          </w:tcPr>
          <w:p w14:paraId="61666BAE" w14:textId="49911C5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13DE168" w14:textId="5EF8516D"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DFD1B8A" w14:textId="7758A20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DDF6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5F451EE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67434E0C" w14:textId="79BE7819" w:rsidTr="009C10BD">
        <w:trPr>
          <w:trHeight w:val="227"/>
        </w:trPr>
        <w:tc>
          <w:tcPr>
            <w:tcW w:w="1134" w:type="dxa"/>
          </w:tcPr>
          <w:p w14:paraId="6D19E55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581718A"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ED70B5" w14:textId="2C1716B0"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Pr>
          <w:p w14:paraId="2D09A4B9" w14:textId="5D7B6563"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130.6</w:t>
            </w:r>
          </w:p>
        </w:tc>
        <w:tc>
          <w:tcPr>
            <w:tcW w:w="705" w:type="dxa"/>
          </w:tcPr>
          <w:p w14:paraId="6601264B" w14:textId="6E7A722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5270A53" w14:textId="6A797EB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55C3EE63" w14:textId="51FFB9D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38F98BF8"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B12598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7B21AD3" w14:textId="2A019963" w:rsidTr="009C10BD">
        <w:trPr>
          <w:trHeight w:val="227"/>
        </w:trPr>
        <w:tc>
          <w:tcPr>
            <w:tcW w:w="1134" w:type="dxa"/>
          </w:tcPr>
          <w:p w14:paraId="1C1616E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678542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214178FF" w14:textId="7361BE08"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67CB88C7" w14:textId="5F01D2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253.6</w:t>
            </w:r>
          </w:p>
        </w:tc>
        <w:tc>
          <w:tcPr>
            <w:tcW w:w="705" w:type="dxa"/>
          </w:tcPr>
          <w:p w14:paraId="064B38B3" w14:textId="261241F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ECAEEEA" w14:textId="2579E80B"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A3C5037" w14:textId="50C7A7C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307D74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1A6642C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122B6F0E" w14:textId="601CC7FF" w:rsidTr="009C10BD">
        <w:trPr>
          <w:trHeight w:val="227"/>
        </w:trPr>
        <w:tc>
          <w:tcPr>
            <w:tcW w:w="1134" w:type="dxa"/>
          </w:tcPr>
          <w:p w14:paraId="76BBEAF0"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230F4AC"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4B272B26" w14:textId="2A2A68B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38AF2147" w14:textId="3AFF167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129.7</w:t>
            </w:r>
          </w:p>
        </w:tc>
        <w:tc>
          <w:tcPr>
            <w:tcW w:w="705" w:type="dxa"/>
          </w:tcPr>
          <w:p w14:paraId="319C7DC8" w14:textId="7B8D422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B922517" w14:textId="75302A0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10A5CF7B" w14:textId="53C980F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0329A84D"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B317D91"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5ABA2A23" w14:textId="44AB0E26" w:rsidTr="009C10BD">
        <w:trPr>
          <w:trHeight w:val="227"/>
        </w:trPr>
        <w:tc>
          <w:tcPr>
            <w:tcW w:w="1134" w:type="dxa"/>
          </w:tcPr>
          <w:p w14:paraId="2750288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4930B078"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BEEC01C" w14:textId="55D3667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414CEE2E" w14:textId="66675122"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140.3</w:t>
            </w:r>
          </w:p>
        </w:tc>
        <w:tc>
          <w:tcPr>
            <w:tcW w:w="705" w:type="dxa"/>
          </w:tcPr>
          <w:p w14:paraId="3F5A25DD" w14:textId="7067134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006B703F" w14:textId="3D5BFDB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34BDD603" w14:textId="0D21047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1E9D96A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14AA5E9"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06A9E078" w14:textId="57CBE13E" w:rsidTr="009C10BD">
        <w:trPr>
          <w:trHeight w:val="227"/>
        </w:trPr>
        <w:tc>
          <w:tcPr>
            <w:tcW w:w="1134" w:type="dxa"/>
          </w:tcPr>
          <w:p w14:paraId="32EF69C4"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25B95102"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165742B" w14:textId="27ABA4C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Pr>
          <w:p w14:paraId="3C268989" w14:textId="2FD01FA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54.4</w:t>
            </w:r>
          </w:p>
        </w:tc>
        <w:tc>
          <w:tcPr>
            <w:tcW w:w="705" w:type="dxa"/>
          </w:tcPr>
          <w:p w14:paraId="2D772689" w14:textId="55C2CEC6"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4F0E2079" w14:textId="2D836702"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C009F77" w14:textId="251392D7"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49BF513A"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38CDC44"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180B734" w14:textId="0DEB0741" w:rsidTr="009C10BD">
        <w:trPr>
          <w:trHeight w:val="227"/>
        </w:trPr>
        <w:tc>
          <w:tcPr>
            <w:tcW w:w="1134" w:type="dxa"/>
          </w:tcPr>
          <w:p w14:paraId="3E151716"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25181CA6" w14:textId="1B27EC0E"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131.0</w:t>
            </w:r>
          </w:p>
        </w:tc>
        <w:tc>
          <w:tcPr>
            <w:tcW w:w="705" w:type="dxa"/>
            <w:tcBorders>
              <w:bottom w:val="dashSmallGap" w:sz="4" w:space="0" w:color="auto"/>
            </w:tcBorders>
          </w:tcPr>
          <w:p w14:paraId="290FDEE1" w14:textId="7C45796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0E617A8" w14:textId="10507271"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76267187" w14:textId="794307BA"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387A0337"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193508D6" w14:textId="735FFCA0" w:rsidTr="009C10BD">
        <w:trPr>
          <w:trHeight w:val="227"/>
        </w:trPr>
        <w:tc>
          <w:tcPr>
            <w:tcW w:w="1134" w:type="dxa"/>
            <w:tcBorders>
              <w:bottom w:val="single" w:sz="4" w:space="0" w:color="auto"/>
            </w:tcBorders>
          </w:tcPr>
          <w:p w14:paraId="72012CC4"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Borders>
              <w:top w:val="dashSmallGap" w:sz="4" w:space="0" w:color="auto"/>
              <w:bottom w:val="single" w:sz="4" w:space="0" w:color="auto"/>
            </w:tcBorders>
          </w:tcPr>
          <w:p w14:paraId="0845BF4D" w14:textId="2F03B0F6"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-13.4</w:t>
            </w:r>
          </w:p>
        </w:tc>
        <w:tc>
          <w:tcPr>
            <w:tcW w:w="705" w:type="dxa"/>
            <w:tcBorders>
              <w:top w:val="dashSmallGap" w:sz="4" w:space="0" w:color="auto"/>
              <w:bottom w:val="single" w:sz="4" w:space="0" w:color="auto"/>
            </w:tcBorders>
          </w:tcPr>
          <w:p w14:paraId="76C88FA9" w14:textId="7121FC19" w:rsidR="00D51F88" w:rsidRPr="00840830" w:rsidRDefault="00D51F88" w:rsidP="009C10BD">
            <w:pPr>
              <w:pStyle w:val="Compact"/>
              <w:spacing w:before="0" w:after="0"/>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-161.4</w:t>
            </w:r>
          </w:p>
        </w:tc>
        <w:tc>
          <w:tcPr>
            <w:tcW w:w="851" w:type="dxa"/>
            <w:tcBorders>
              <w:top w:val="dashSmallGap" w:sz="4" w:space="0" w:color="auto"/>
              <w:bottom w:val="single" w:sz="4" w:space="0" w:color="auto"/>
            </w:tcBorders>
          </w:tcPr>
          <w:p w14:paraId="2EFFC6CF" w14:textId="63E84950"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bottom w:val="single" w:sz="4" w:space="0" w:color="auto"/>
            </w:tcBorders>
          </w:tcPr>
          <w:p w14:paraId="3B85487F"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840830" w:rsidRDefault="00D51F88" w:rsidP="009C10BD">
            <w:pPr>
              <w:pStyle w:val="Compact"/>
              <w:spacing w:before="0" w:after="0"/>
              <w:rPr>
                <w:rFonts w:ascii="Times New Roman" w:hAnsi="Times New Roman" w:cs="Times New Roman"/>
                <w:sz w:val="22"/>
                <w:szCs w:val="22"/>
              </w:rPr>
            </w:pPr>
          </w:p>
        </w:tc>
      </w:tr>
      <w:tr w:rsidR="00D15B52" w:rsidRPr="00840830" w14:paraId="732DC4E4" w14:textId="6B551E89" w:rsidTr="009C10BD">
        <w:trPr>
          <w:trHeight w:val="227"/>
        </w:trPr>
        <w:tc>
          <w:tcPr>
            <w:tcW w:w="1134" w:type="dxa"/>
          </w:tcPr>
          <w:p w14:paraId="45910090" w14:textId="1CD4D8BF"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 xml:space="preserve">(c)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840830" w:rsidRDefault="00D15B52"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Elevation</w:t>
            </w:r>
          </w:p>
        </w:tc>
        <w:tc>
          <w:tcPr>
            <w:tcW w:w="712" w:type="dxa"/>
            <w:tcBorders>
              <w:top w:val="single" w:sz="4" w:space="0" w:color="auto"/>
            </w:tcBorders>
          </w:tcPr>
          <w:p w14:paraId="67D90D7B" w14:textId="7D621AC1"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289.5</w:t>
            </w:r>
          </w:p>
        </w:tc>
        <w:tc>
          <w:tcPr>
            <w:tcW w:w="705" w:type="dxa"/>
            <w:tcBorders>
              <w:top w:val="single" w:sz="4" w:space="0" w:color="auto"/>
            </w:tcBorders>
          </w:tcPr>
          <w:p w14:paraId="0CE7227F" w14:textId="3E4F0F9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1A230A73" w14:textId="7A16315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top w:val="single" w:sz="4" w:space="0" w:color="auto"/>
            </w:tcBorders>
          </w:tcPr>
          <w:p w14:paraId="4D54ACFA" w14:textId="4070428E"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top w:val="single" w:sz="4" w:space="0" w:color="auto"/>
            </w:tcBorders>
          </w:tcPr>
          <w:p w14:paraId="0B6D8853"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3202EACA" w14:textId="6FA6D84D" w:rsidTr="009C10BD">
        <w:trPr>
          <w:trHeight w:val="227"/>
        </w:trPr>
        <w:tc>
          <w:tcPr>
            <w:tcW w:w="1134" w:type="dxa"/>
          </w:tcPr>
          <w:p w14:paraId="41C4392E" w14:textId="50CFE1DD"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1FD269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62C4AF7" w14:textId="3E35B7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MAP</w:t>
            </w:r>
          </w:p>
        </w:tc>
        <w:tc>
          <w:tcPr>
            <w:tcW w:w="712" w:type="dxa"/>
          </w:tcPr>
          <w:p w14:paraId="4C44C603" w14:textId="64F80934"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535.4</w:t>
            </w:r>
          </w:p>
        </w:tc>
        <w:tc>
          <w:tcPr>
            <w:tcW w:w="705" w:type="dxa"/>
          </w:tcPr>
          <w:p w14:paraId="056D4A98" w14:textId="09C7D37B"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4CD3531A" w14:textId="5208C4F6"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6227FAE3" w14:textId="357902C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B1A5C95"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6EC4FD9A"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24D9F533" w14:textId="1641F210" w:rsidTr="009C10BD">
        <w:trPr>
          <w:trHeight w:val="227"/>
        </w:trPr>
        <w:tc>
          <w:tcPr>
            <w:tcW w:w="1134" w:type="dxa"/>
          </w:tcPr>
          <w:p w14:paraId="16CD37FC"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59E974A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6C2CBD53" w14:textId="4D9AA60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PDQ</w:t>
            </w:r>
          </w:p>
        </w:tc>
        <w:tc>
          <w:tcPr>
            <w:tcW w:w="712" w:type="dxa"/>
          </w:tcPr>
          <w:p w14:paraId="0B67FBC3" w14:textId="0EA666B5"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441.9</w:t>
            </w:r>
          </w:p>
        </w:tc>
        <w:tc>
          <w:tcPr>
            <w:tcW w:w="705" w:type="dxa"/>
          </w:tcPr>
          <w:p w14:paraId="2F321CD1" w14:textId="04CE8114"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30884183" w14:textId="013A9A89"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76461248" w14:textId="40472B13"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78E66CFC"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7AEFFFB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BAEC65F" w14:textId="643105C3" w:rsidTr="009C10BD">
        <w:trPr>
          <w:trHeight w:val="227"/>
        </w:trPr>
        <w:tc>
          <w:tcPr>
            <w:tcW w:w="1134" w:type="dxa"/>
          </w:tcPr>
          <w:p w14:paraId="4712CEB3"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37907335"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3BA08B5A" w14:textId="5925A2F9"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NDVI</w:t>
            </w:r>
          </w:p>
        </w:tc>
        <w:tc>
          <w:tcPr>
            <w:tcW w:w="712" w:type="dxa"/>
          </w:tcPr>
          <w:p w14:paraId="190EC008" w14:textId="591F86B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400.6</w:t>
            </w:r>
          </w:p>
        </w:tc>
        <w:tc>
          <w:tcPr>
            <w:tcW w:w="705" w:type="dxa"/>
          </w:tcPr>
          <w:p w14:paraId="65E9BF8E" w14:textId="020B9661"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5366A3D2" w14:textId="1194BA7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23A78516" w14:textId="11C3308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56C8C5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47B6E960"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734D55D8" w14:textId="4F23D20E" w:rsidTr="009C10BD">
        <w:trPr>
          <w:trHeight w:val="227"/>
        </w:trPr>
        <w:tc>
          <w:tcPr>
            <w:tcW w:w="1134" w:type="dxa"/>
          </w:tcPr>
          <w:p w14:paraId="3EE9157F"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Pr>
          <w:p w14:paraId="0EEA7AA9"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Pr>
          <w:p w14:paraId="547070D9" w14:textId="525660D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Clay</w:t>
            </w:r>
          </w:p>
        </w:tc>
        <w:tc>
          <w:tcPr>
            <w:tcW w:w="712" w:type="dxa"/>
          </w:tcPr>
          <w:p w14:paraId="78A60B4C" w14:textId="6F5B743F"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405.8</w:t>
            </w:r>
          </w:p>
        </w:tc>
        <w:tc>
          <w:tcPr>
            <w:tcW w:w="705" w:type="dxa"/>
          </w:tcPr>
          <w:p w14:paraId="150C53FB" w14:textId="4CB52CED"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Pr>
          <w:p w14:paraId="14FE70EB" w14:textId="5D89578A"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Pr>
          <w:p w14:paraId="003EABB6" w14:textId="78F021F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Pr>
          <w:p w14:paraId="2F696074"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Pr>
          <w:p w14:paraId="2C3E362F" w14:textId="77777777" w:rsidR="00D15B52" w:rsidRPr="00840830" w:rsidRDefault="00D15B52" w:rsidP="009C10BD">
            <w:pPr>
              <w:pStyle w:val="Compact"/>
              <w:spacing w:before="0" w:after="0"/>
              <w:rPr>
                <w:rFonts w:ascii="Times New Roman" w:hAnsi="Times New Roman" w:cs="Times New Roman"/>
                <w:sz w:val="22"/>
                <w:szCs w:val="22"/>
              </w:rPr>
            </w:pPr>
          </w:p>
        </w:tc>
      </w:tr>
      <w:tr w:rsidR="00D15B52" w:rsidRPr="00840830" w14:paraId="49B40E0E" w14:textId="69B16D68" w:rsidTr="009C10BD">
        <w:trPr>
          <w:trHeight w:val="227"/>
        </w:trPr>
        <w:tc>
          <w:tcPr>
            <w:tcW w:w="1134" w:type="dxa"/>
          </w:tcPr>
          <w:p w14:paraId="1BC98CC9" w14:textId="77777777" w:rsidR="00D15B52" w:rsidRPr="00840830" w:rsidRDefault="00D15B52" w:rsidP="009C10BD">
            <w:pPr>
              <w:pStyle w:val="Compact"/>
              <w:spacing w:before="0" w:after="0"/>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840830" w:rsidRDefault="00D15B52" w:rsidP="009C10BD">
            <w:pPr>
              <w:pStyle w:val="Compact"/>
              <w:spacing w:before="0" w:after="0"/>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685E6546" w14:textId="510C1207" w:rsidR="00D15B52"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247.5</w:t>
            </w:r>
          </w:p>
        </w:tc>
        <w:tc>
          <w:tcPr>
            <w:tcW w:w="705" w:type="dxa"/>
            <w:tcBorders>
              <w:bottom w:val="dashSmallGap" w:sz="4" w:space="0" w:color="auto"/>
            </w:tcBorders>
          </w:tcPr>
          <w:p w14:paraId="08601A8E" w14:textId="75A0D7EC"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9E7712E" w14:textId="36885DBE" w:rsidR="00D15B52" w:rsidRPr="00840830" w:rsidRDefault="00D15B52" w:rsidP="009C10BD">
            <w:pPr>
              <w:pStyle w:val="Compact"/>
              <w:spacing w:before="0" w:after="0"/>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6EEDE95E" w14:textId="288106E2" w:rsidR="00D15B52" w:rsidRPr="00840830" w:rsidRDefault="00D15B52"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1567368F" w14:textId="77777777" w:rsidR="00D15B52" w:rsidRPr="00840830" w:rsidRDefault="00D15B52" w:rsidP="009C10BD">
            <w:pPr>
              <w:pStyle w:val="Compact"/>
              <w:spacing w:before="0" w:after="0"/>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840830" w:rsidRDefault="00D15B52" w:rsidP="009C10BD">
            <w:pPr>
              <w:pStyle w:val="Compact"/>
              <w:spacing w:before="0" w:after="0"/>
              <w:rPr>
                <w:rFonts w:ascii="Times New Roman" w:hAnsi="Times New Roman" w:cs="Times New Roman"/>
                <w:sz w:val="22"/>
                <w:szCs w:val="22"/>
              </w:rPr>
            </w:pPr>
          </w:p>
        </w:tc>
      </w:tr>
      <w:tr w:rsidR="00D51F88" w:rsidRPr="00840830" w14:paraId="03DCF9E4" w14:textId="7D8061FA" w:rsidTr="009C10BD">
        <w:trPr>
          <w:trHeight w:val="227"/>
        </w:trPr>
        <w:tc>
          <w:tcPr>
            <w:tcW w:w="1134" w:type="dxa"/>
          </w:tcPr>
          <w:p w14:paraId="2C26BCAD"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840830" w:rsidRDefault="00D51F88" w:rsidP="009C10BD">
            <w:pPr>
              <w:pStyle w:val="Compact"/>
              <w:spacing w:before="0" w:after="0"/>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Surface T</w:t>
            </w:r>
          </w:p>
        </w:tc>
        <w:tc>
          <w:tcPr>
            <w:tcW w:w="712" w:type="dxa"/>
            <w:tcBorders>
              <w:top w:val="dashSmallGap" w:sz="4" w:space="0" w:color="auto"/>
            </w:tcBorders>
          </w:tcPr>
          <w:p w14:paraId="1F687028" w14:textId="4F42B25D"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197.7</w:t>
            </w:r>
          </w:p>
        </w:tc>
        <w:tc>
          <w:tcPr>
            <w:tcW w:w="705" w:type="dxa"/>
            <w:tcBorders>
              <w:top w:val="dashSmallGap" w:sz="4" w:space="0" w:color="auto"/>
            </w:tcBorders>
          </w:tcPr>
          <w:p w14:paraId="04A36E00" w14:textId="4A3935B8"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0CBFA3B6" w14:textId="4CC1824F"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-484.0</w:t>
            </w:r>
          </w:p>
        </w:tc>
        <w:tc>
          <w:tcPr>
            <w:tcW w:w="851" w:type="dxa"/>
            <w:tcBorders>
              <w:top w:val="dashSmallGap" w:sz="4" w:space="0" w:color="auto"/>
            </w:tcBorders>
          </w:tcPr>
          <w:p w14:paraId="2EF828F4" w14:textId="644FCF4B"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553BE8A5"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6EC09B0B" w14:textId="29DAE2E9" w:rsidTr="009C10BD">
        <w:trPr>
          <w:trHeight w:val="227"/>
        </w:trPr>
        <w:tc>
          <w:tcPr>
            <w:tcW w:w="1134" w:type="dxa"/>
          </w:tcPr>
          <w:p w14:paraId="417441BF"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240B1F12"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59B3B17B" w14:textId="2629FA7E"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CEC</w:t>
            </w:r>
          </w:p>
        </w:tc>
        <w:tc>
          <w:tcPr>
            <w:tcW w:w="712" w:type="dxa"/>
          </w:tcPr>
          <w:p w14:paraId="5DACA182" w14:textId="76EDF8A5"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-29.8</w:t>
            </w:r>
          </w:p>
        </w:tc>
        <w:tc>
          <w:tcPr>
            <w:tcW w:w="705" w:type="dxa"/>
          </w:tcPr>
          <w:p w14:paraId="42BCF2A9" w14:textId="23114B6C"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5B60F97" w14:textId="2268B9CB"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-564.0</w:t>
            </w:r>
          </w:p>
        </w:tc>
        <w:tc>
          <w:tcPr>
            <w:tcW w:w="851" w:type="dxa"/>
          </w:tcPr>
          <w:p w14:paraId="1480F7AA" w14:textId="4DB5D42D"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4A4A9573"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4D3FDD5C"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34D8943" w14:textId="261BEEA9" w:rsidTr="009C10BD">
        <w:trPr>
          <w:trHeight w:val="227"/>
        </w:trPr>
        <w:tc>
          <w:tcPr>
            <w:tcW w:w="1134" w:type="dxa"/>
          </w:tcPr>
          <w:p w14:paraId="6D8D73E7"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Pr>
          <w:p w14:paraId="66A44EB7"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Pr>
          <w:p w14:paraId="486CAE9A" w14:textId="4533B43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Soil C</w:t>
            </w:r>
          </w:p>
        </w:tc>
        <w:tc>
          <w:tcPr>
            <w:tcW w:w="712" w:type="dxa"/>
          </w:tcPr>
          <w:p w14:paraId="0C7327E9" w14:textId="4FFBF763"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181.3</w:t>
            </w:r>
          </w:p>
        </w:tc>
        <w:tc>
          <w:tcPr>
            <w:tcW w:w="705" w:type="dxa"/>
          </w:tcPr>
          <w:p w14:paraId="38CEC094" w14:textId="4F346D1A"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Pr>
          <w:p w14:paraId="6EBECAAD" w14:textId="104E6B6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-474.2</w:t>
            </w:r>
          </w:p>
        </w:tc>
        <w:tc>
          <w:tcPr>
            <w:tcW w:w="851" w:type="dxa"/>
          </w:tcPr>
          <w:p w14:paraId="287231AE" w14:textId="528392F1"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Pr>
          <w:p w14:paraId="7A672C96"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Pr>
          <w:p w14:paraId="189F93E0" w14:textId="77777777" w:rsidR="00D51F88" w:rsidRPr="00840830" w:rsidRDefault="00D51F88" w:rsidP="009C10BD">
            <w:pPr>
              <w:pStyle w:val="Compact"/>
              <w:spacing w:before="0" w:after="0"/>
              <w:rPr>
                <w:rFonts w:ascii="Times New Roman" w:hAnsi="Times New Roman" w:cs="Times New Roman"/>
                <w:sz w:val="22"/>
                <w:szCs w:val="22"/>
              </w:rPr>
            </w:pPr>
          </w:p>
        </w:tc>
      </w:tr>
      <w:tr w:rsidR="00D51F88" w:rsidRPr="00840830" w14:paraId="1660C718" w14:textId="3CF8C0FB" w:rsidTr="009C10BD">
        <w:trPr>
          <w:trHeight w:val="227"/>
        </w:trPr>
        <w:tc>
          <w:tcPr>
            <w:tcW w:w="1134" w:type="dxa"/>
            <w:tcBorders>
              <w:bottom w:val="single" w:sz="4" w:space="0" w:color="auto"/>
            </w:tcBorders>
          </w:tcPr>
          <w:p w14:paraId="5C8E4A60" w14:textId="77777777" w:rsidR="00D51F88" w:rsidRPr="00840830" w:rsidRDefault="00D51F88" w:rsidP="009C10BD">
            <w:pPr>
              <w:pStyle w:val="Compact"/>
              <w:spacing w:before="0" w:after="0"/>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840830" w:rsidRDefault="00D51F88" w:rsidP="009C10BD">
            <w:pPr>
              <w:pStyle w:val="Compact"/>
              <w:spacing w:before="0" w:after="0"/>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pH</w:t>
            </w:r>
          </w:p>
        </w:tc>
        <w:tc>
          <w:tcPr>
            <w:tcW w:w="712" w:type="dxa"/>
            <w:tcBorders>
              <w:bottom w:val="single" w:sz="4" w:space="0" w:color="auto"/>
            </w:tcBorders>
          </w:tcPr>
          <w:p w14:paraId="2B47B2E1" w14:textId="43191DD4"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95.1</w:t>
            </w:r>
          </w:p>
        </w:tc>
        <w:tc>
          <w:tcPr>
            <w:tcW w:w="705" w:type="dxa"/>
            <w:tcBorders>
              <w:bottom w:val="single" w:sz="4" w:space="0" w:color="auto"/>
            </w:tcBorders>
          </w:tcPr>
          <w:p w14:paraId="78A63EB9" w14:textId="7B2795E5"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 xml:space="preserve"> </w:t>
            </w:r>
          </w:p>
        </w:tc>
        <w:tc>
          <w:tcPr>
            <w:tcW w:w="1276" w:type="dxa"/>
            <w:tcBorders>
              <w:bottom w:val="single" w:sz="4" w:space="0" w:color="auto"/>
            </w:tcBorders>
          </w:tcPr>
          <w:p w14:paraId="1CC12902" w14:textId="359A34F8" w:rsidR="00D51F88" w:rsidRPr="00840830" w:rsidRDefault="005B572A" w:rsidP="009C10BD">
            <w:pPr>
              <w:pStyle w:val="Compact"/>
              <w:spacing w:before="0" w:after="0"/>
              <w:jc w:val="right"/>
              <w:rPr>
                <w:rFonts w:ascii="Times New Roman" w:hAnsi="Times New Roman" w:cs="Times New Roman"/>
                <w:sz w:val="22"/>
                <w:szCs w:val="22"/>
              </w:rPr>
            </w:pPr>
            <w:r w:rsidRPr="00840830">
              <w:rPr>
                <w:sz w:val="22"/>
                <w:szCs w:val="22"/>
              </w:rPr>
              <w:t>-511.6</w:t>
            </w:r>
          </w:p>
        </w:tc>
        <w:tc>
          <w:tcPr>
            <w:tcW w:w="851" w:type="dxa"/>
            <w:tcBorders>
              <w:bottom w:val="single" w:sz="4" w:space="0" w:color="auto"/>
            </w:tcBorders>
          </w:tcPr>
          <w:p w14:paraId="394EF77C" w14:textId="58E94793" w:rsidR="00D51F88" w:rsidRPr="00840830" w:rsidRDefault="00D51F88" w:rsidP="009C10BD">
            <w:pPr>
              <w:pStyle w:val="Compact"/>
              <w:spacing w:before="0" w:after="0"/>
              <w:rPr>
                <w:rFonts w:ascii="Times New Roman" w:hAnsi="Times New Roman" w:cs="Times New Roman"/>
                <w:sz w:val="22"/>
                <w:szCs w:val="22"/>
              </w:rPr>
            </w:pPr>
            <w:r w:rsidRPr="00840830">
              <w:rPr>
                <w:sz w:val="22"/>
                <w:szCs w:val="22"/>
              </w:rPr>
              <w:t>*</w:t>
            </w:r>
          </w:p>
        </w:tc>
        <w:tc>
          <w:tcPr>
            <w:tcW w:w="1278" w:type="dxa"/>
            <w:tcBorders>
              <w:bottom w:val="single" w:sz="4" w:space="0" w:color="auto"/>
            </w:tcBorders>
          </w:tcPr>
          <w:p w14:paraId="54F2246E" w14:textId="77777777" w:rsidR="00D51F88" w:rsidRPr="00840830" w:rsidRDefault="00D51F88" w:rsidP="009C10BD">
            <w:pPr>
              <w:pStyle w:val="Compact"/>
              <w:spacing w:before="0" w:after="0"/>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840830" w:rsidRDefault="00D51F88" w:rsidP="009C10BD">
            <w:pPr>
              <w:pStyle w:val="Compact"/>
              <w:spacing w:before="0" w:after="0"/>
              <w:rPr>
                <w:rFonts w:ascii="Times New Roman" w:hAnsi="Times New Roman" w:cs="Times New Roman"/>
                <w:sz w:val="22"/>
                <w:szCs w:val="22"/>
              </w:rPr>
            </w:pPr>
          </w:p>
        </w:tc>
      </w:tr>
    </w:tbl>
    <w:p w14:paraId="11591A9A" w14:textId="77777777" w:rsidR="00F75284" w:rsidRPr="00840830" w:rsidRDefault="00F75284" w:rsidP="00F75284">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 </w:t>
      </w:r>
      <w:r w:rsidRPr="00840830">
        <w:rPr>
          <w:i/>
        </w:rPr>
        <w:t>P</w:t>
      </w:r>
      <w:r w:rsidRPr="00840830">
        <w:t xml:space="preserve"> &lt; 0.1; blank, NS.</w:t>
      </w:r>
    </w:p>
    <w:p w14:paraId="3ACB7801" w14:textId="5B94AEA3" w:rsidR="00B73D31" w:rsidRPr="00840830" w:rsidRDefault="00F75284" w:rsidP="002C20EB">
      <w:pPr>
        <w:pStyle w:val="BodyText"/>
        <w:spacing w:before="0" w:after="0"/>
        <w:rPr>
          <w:vertAlign w:val="superscript"/>
        </w:rPr>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r w:rsidR="00B73D31" w:rsidRPr="00840830">
        <w:rPr>
          <w:vertAlign w:val="superscript"/>
        </w:rPr>
        <w:br w:type="page"/>
      </w:r>
    </w:p>
    <w:p w14:paraId="1B4BCCF4" w14:textId="61F74DD6" w:rsidR="00874A01" w:rsidRPr="0069122B" w:rsidRDefault="00874A01" w:rsidP="00FA753D">
      <w:pPr>
        <w:pStyle w:val="BodyText"/>
        <w:spacing w:before="0"/>
      </w:pPr>
      <w:bookmarkStart w:id="52"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rsidRPr="006A200F" w14:paraId="3EA4BFED" w14:textId="77777777" w:rsidTr="00FA753D">
        <w:trPr>
          <w:trHeight w:val="227"/>
        </w:trPr>
        <w:tc>
          <w:tcPr>
            <w:tcW w:w="1543" w:type="dxa"/>
          </w:tcPr>
          <w:p w14:paraId="5CE4D5AB" w14:textId="77777777" w:rsidR="00874A01" w:rsidRPr="006A200F" w:rsidRDefault="00874A01" w:rsidP="00874A01">
            <w:pPr>
              <w:rPr>
                <w:sz w:val="22"/>
              </w:rPr>
            </w:pPr>
          </w:p>
        </w:tc>
        <w:tc>
          <w:tcPr>
            <w:tcW w:w="2779" w:type="dxa"/>
            <w:gridSpan w:val="2"/>
            <w:tcBorders>
              <w:bottom w:val="single" w:sz="4" w:space="0" w:color="auto"/>
            </w:tcBorders>
          </w:tcPr>
          <w:p w14:paraId="7972A805" w14:textId="7E53C9F4" w:rsidR="00874A01" w:rsidRPr="006A200F" w:rsidRDefault="00874A01" w:rsidP="00874A01">
            <w:pPr>
              <w:jc w:val="center"/>
              <w:rPr>
                <w:sz w:val="22"/>
              </w:rPr>
            </w:pPr>
            <w:r w:rsidRPr="006A200F">
              <w:rPr>
                <w:sz w:val="22"/>
              </w:rPr>
              <w:t>Correlation</w:t>
            </w:r>
          </w:p>
        </w:tc>
      </w:tr>
      <w:tr w:rsidR="00874A01" w:rsidRPr="006A200F" w14:paraId="43E71235" w14:textId="77777777" w:rsidTr="00FA753D">
        <w:trPr>
          <w:trHeight w:val="227"/>
        </w:trPr>
        <w:tc>
          <w:tcPr>
            <w:tcW w:w="1543" w:type="dxa"/>
            <w:tcBorders>
              <w:bottom w:val="single" w:sz="4" w:space="0" w:color="auto"/>
            </w:tcBorders>
          </w:tcPr>
          <w:p w14:paraId="5163C788" w14:textId="340FA41C" w:rsidR="00874A01" w:rsidRPr="006A200F" w:rsidRDefault="00874A01" w:rsidP="00874A01">
            <w:pPr>
              <w:jc w:val="center"/>
              <w:rPr>
                <w:sz w:val="22"/>
              </w:rPr>
            </w:pPr>
            <w:r w:rsidRPr="006A200F">
              <w:rPr>
                <w:sz w:val="22"/>
              </w:rPr>
              <w:t>Spatial scale</w:t>
            </w:r>
          </w:p>
        </w:tc>
        <w:tc>
          <w:tcPr>
            <w:tcW w:w="1423" w:type="dxa"/>
            <w:tcBorders>
              <w:top w:val="single" w:sz="4" w:space="0" w:color="auto"/>
              <w:bottom w:val="single" w:sz="4" w:space="0" w:color="auto"/>
            </w:tcBorders>
          </w:tcPr>
          <w:p w14:paraId="7BEA7D7A" w14:textId="70998894" w:rsidR="00874A01" w:rsidRPr="006A200F" w:rsidRDefault="00874A01" w:rsidP="00874A01">
            <w:pPr>
              <w:jc w:val="center"/>
              <w:rPr>
                <w:sz w:val="22"/>
              </w:rPr>
            </w:pPr>
            <w:r w:rsidRPr="006A200F">
              <w:rPr>
                <w:sz w:val="22"/>
              </w:rPr>
              <w:t xml:space="preserve">Predicted </w:t>
            </w:r>
            <w:r w:rsidRPr="006A200F">
              <w:rPr>
                <w:i/>
                <w:iCs/>
                <w:sz w:val="22"/>
              </w:rPr>
              <w:t>S</w:t>
            </w:r>
          </w:p>
        </w:tc>
        <w:tc>
          <w:tcPr>
            <w:tcW w:w="1356" w:type="dxa"/>
            <w:tcBorders>
              <w:top w:val="single" w:sz="4" w:space="0" w:color="auto"/>
              <w:bottom w:val="single" w:sz="4" w:space="0" w:color="auto"/>
            </w:tcBorders>
          </w:tcPr>
          <w:p w14:paraId="6DDC9FB0" w14:textId="47BDAEDA" w:rsidR="00874A01" w:rsidRPr="006A200F" w:rsidRDefault="00874A01" w:rsidP="00874A01">
            <w:pPr>
              <w:jc w:val="center"/>
              <w:rPr>
                <w:sz w:val="22"/>
              </w:rPr>
            </w:pPr>
            <w:r w:rsidRPr="006A200F">
              <w:rPr>
                <w:sz w:val="22"/>
              </w:rPr>
              <w:t xml:space="preserve">Residual </w:t>
            </w:r>
            <w:r w:rsidRPr="006A200F">
              <w:rPr>
                <w:i/>
                <w:iCs/>
                <w:sz w:val="22"/>
              </w:rPr>
              <w:t>S</w:t>
            </w:r>
          </w:p>
        </w:tc>
      </w:tr>
      <w:tr w:rsidR="00874A01" w:rsidRPr="006A200F" w14:paraId="0EF9A9E7" w14:textId="77777777" w:rsidTr="00FA753D">
        <w:trPr>
          <w:trHeight w:val="227"/>
        </w:trPr>
        <w:tc>
          <w:tcPr>
            <w:tcW w:w="1543" w:type="dxa"/>
            <w:tcBorders>
              <w:top w:val="single" w:sz="4" w:space="0" w:color="auto"/>
            </w:tcBorders>
          </w:tcPr>
          <w:p w14:paraId="12B24B0E" w14:textId="0B2D9B50" w:rsidR="00874A01" w:rsidRPr="006A200F" w:rsidRDefault="00874A01" w:rsidP="00874A01">
            <w:pPr>
              <w:rPr>
                <w:sz w:val="22"/>
              </w:rPr>
            </w:pPr>
            <w:r w:rsidRPr="006A200F">
              <w:rPr>
                <w:sz w:val="22"/>
              </w:rPr>
              <w:t>QDS</w:t>
            </w:r>
          </w:p>
        </w:tc>
        <w:tc>
          <w:tcPr>
            <w:tcW w:w="1423" w:type="dxa"/>
            <w:tcBorders>
              <w:top w:val="single" w:sz="4" w:space="0" w:color="auto"/>
            </w:tcBorders>
          </w:tcPr>
          <w:p w14:paraId="5CF61CB8" w14:textId="70043932" w:rsidR="00874A01" w:rsidRPr="006A200F" w:rsidRDefault="00874A01" w:rsidP="00874A01">
            <w:pPr>
              <w:jc w:val="right"/>
              <w:rPr>
                <w:sz w:val="22"/>
              </w:rPr>
            </w:pPr>
            <w:r w:rsidRPr="006A200F">
              <w:rPr>
                <w:sz w:val="22"/>
              </w:rPr>
              <w:t>0.743</w:t>
            </w:r>
          </w:p>
        </w:tc>
        <w:tc>
          <w:tcPr>
            <w:tcW w:w="1356" w:type="dxa"/>
            <w:tcBorders>
              <w:top w:val="single" w:sz="4" w:space="0" w:color="auto"/>
            </w:tcBorders>
          </w:tcPr>
          <w:p w14:paraId="68B8A75E" w14:textId="0047E7D5" w:rsidR="00874A01" w:rsidRPr="006A200F" w:rsidRDefault="00874A01" w:rsidP="00874A01">
            <w:pPr>
              <w:jc w:val="right"/>
              <w:rPr>
                <w:sz w:val="22"/>
              </w:rPr>
            </w:pPr>
            <w:r w:rsidRPr="006A200F">
              <w:rPr>
                <w:sz w:val="22"/>
              </w:rPr>
              <w:t>0.934</w:t>
            </w:r>
          </w:p>
        </w:tc>
      </w:tr>
      <w:tr w:rsidR="00874A01" w:rsidRPr="006A200F" w14:paraId="049F0CAF" w14:textId="77777777" w:rsidTr="00FA753D">
        <w:trPr>
          <w:trHeight w:val="227"/>
        </w:trPr>
        <w:tc>
          <w:tcPr>
            <w:tcW w:w="1543" w:type="dxa"/>
          </w:tcPr>
          <w:p w14:paraId="1AF7B3D9" w14:textId="0C295EF5" w:rsidR="00874A01" w:rsidRPr="006A200F" w:rsidRDefault="00874A01" w:rsidP="00874A01">
            <w:pPr>
              <w:rPr>
                <w:sz w:val="22"/>
              </w:rPr>
            </w:pPr>
            <w:r w:rsidRPr="006A200F">
              <w:rPr>
                <w:sz w:val="22"/>
              </w:rPr>
              <w:t>HDS</w:t>
            </w:r>
          </w:p>
        </w:tc>
        <w:tc>
          <w:tcPr>
            <w:tcW w:w="1423" w:type="dxa"/>
          </w:tcPr>
          <w:p w14:paraId="2BBB56C3" w14:textId="5A364A95" w:rsidR="00874A01" w:rsidRPr="006A200F" w:rsidRDefault="00874A01" w:rsidP="00874A01">
            <w:pPr>
              <w:jc w:val="right"/>
              <w:rPr>
                <w:sz w:val="22"/>
              </w:rPr>
            </w:pPr>
            <w:r w:rsidRPr="006A200F">
              <w:rPr>
                <w:sz w:val="22"/>
              </w:rPr>
              <w:t>0.711</w:t>
            </w:r>
          </w:p>
        </w:tc>
        <w:tc>
          <w:tcPr>
            <w:tcW w:w="1356" w:type="dxa"/>
          </w:tcPr>
          <w:p w14:paraId="4CFC42E4" w14:textId="70A2D781" w:rsidR="00874A01" w:rsidRPr="006A200F" w:rsidRDefault="00874A01" w:rsidP="00874A01">
            <w:pPr>
              <w:jc w:val="right"/>
              <w:rPr>
                <w:sz w:val="22"/>
              </w:rPr>
            </w:pPr>
            <w:r w:rsidRPr="006A200F">
              <w:rPr>
                <w:sz w:val="22"/>
              </w:rPr>
              <w:t>0.878</w:t>
            </w:r>
          </w:p>
        </w:tc>
      </w:tr>
      <w:tr w:rsidR="00874A01" w:rsidRPr="006A200F" w14:paraId="68F6574E" w14:textId="77777777" w:rsidTr="00FA753D">
        <w:trPr>
          <w:trHeight w:val="227"/>
        </w:trPr>
        <w:tc>
          <w:tcPr>
            <w:tcW w:w="1543" w:type="dxa"/>
          </w:tcPr>
          <w:p w14:paraId="64B63F9B" w14:textId="2B4B9F02" w:rsidR="00874A01" w:rsidRPr="006A200F" w:rsidRDefault="00874A01" w:rsidP="00874A01">
            <w:pPr>
              <w:rPr>
                <w:sz w:val="22"/>
              </w:rPr>
            </w:pPr>
            <w:r w:rsidRPr="006A200F">
              <w:rPr>
                <w:sz w:val="22"/>
              </w:rPr>
              <w:t>DS</w:t>
            </w:r>
          </w:p>
        </w:tc>
        <w:tc>
          <w:tcPr>
            <w:tcW w:w="1423" w:type="dxa"/>
          </w:tcPr>
          <w:p w14:paraId="3EB319B1" w14:textId="5FC9D052" w:rsidR="00874A01" w:rsidRPr="006A200F" w:rsidRDefault="00874A01" w:rsidP="00874A01">
            <w:pPr>
              <w:jc w:val="right"/>
              <w:rPr>
                <w:sz w:val="22"/>
              </w:rPr>
            </w:pPr>
            <w:r w:rsidRPr="006A200F">
              <w:rPr>
                <w:sz w:val="22"/>
              </w:rPr>
              <w:t>0.638</w:t>
            </w:r>
          </w:p>
        </w:tc>
        <w:tc>
          <w:tcPr>
            <w:tcW w:w="1356" w:type="dxa"/>
          </w:tcPr>
          <w:p w14:paraId="77ED62DB" w14:textId="5CBEF284" w:rsidR="00874A01" w:rsidRPr="006A200F" w:rsidRDefault="00874A01" w:rsidP="00874A01">
            <w:pPr>
              <w:jc w:val="right"/>
              <w:rPr>
                <w:sz w:val="22"/>
              </w:rPr>
            </w:pPr>
            <w:r w:rsidRPr="006A200F">
              <w:rPr>
                <w:sz w:val="22"/>
              </w:rPr>
              <w:t>0.656</w:t>
            </w:r>
          </w:p>
        </w:tc>
      </w:tr>
    </w:tbl>
    <w:p w14:paraId="29EF0B66" w14:textId="73D665E6" w:rsidR="00F23EA1" w:rsidRPr="002B2755" w:rsidRDefault="00874A01" w:rsidP="002C20EB">
      <w:pPr>
        <w:pStyle w:val="Heading1"/>
      </w:pPr>
      <w:r>
        <w:br w:type="page"/>
      </w:r>
      <w:bookmarkEnd w:id="52"/>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2C458EC1">
            <wp:extent cx="6741267" cy="3852153"/>
            <wp:effectExtent l="0" t="0" r="254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769892" cy="3868510"/>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02101C0">
            <wp:extent cx="6770452" cy="59241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774120" cy="5927354"/>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53"/>
      <w:commentRangeStart w:id="54"/>
      <w:r w:rsidR="00F330A8" w:rsidRPr="00DE4BFD">
        <w:rPr>
          <w:highlight w:val="red"/>
        </w:rPr>
        <w:t xml:space="preserve">Frequency </w:t>
      </w:r>
      <w:commentRangeStart w:id="55"/>
      <w:commentRangeStart w:id="56"/>
      <w:r w:rsidR="00F330A8" w:rsidRPr="00DE4BFD">
        <w:rPr>
          <w:highlight w:val="red"/>
        </w:rPr>
        <w:t>d</w:t>
      </w:r>
      <w:r w:rsidRPr="00DE4BFD">
        <w:rPr>
          <w:highlight w:val="red"/>
        </w:rPr>
        <w:t xml:space="preserve">istributions </w:t>
      </w:r>
      <w:commentRangeEnd w:id="55"/>
      <w:r w:rsidR="00F330A8" w:rsidRPr="00DE4BFD">
        <w:rPr>
          <w:rStyle w:val="CommentReference"/>
          <w:rFonts w:ascii="Times New Roman" w:hAnsiTheme="minorHAnsi"/>
          <w:highlight w:val="red"/>
        </w:rPr>
        <w:commentReference w:id="55"/>
      </w:r>
      <w:commentRangeEnd w:id="56"/>
      <w:r w:rsidR="006F5A52" w:rsidRPr="00DE4BFD">
        <w:rPr>
          <w:rStyle w:val="CommentReference"/>
          <w:rFonts w:ascii="Times New Roman" w:hAnsiTheme="minorHAnsi"/>
          <w:highlight w:val="red"/>
        </w:rPr>
        <w:commentReference w:id="56"/>
      </w:r>
      <w:commentRangeEnd w:id="53"/>
      <w:r w:rsidR="006125FF" w:rsidRPr="00DE4BFD">
        <w:rPr>
          <w:rStyle w:val="CommentReference"/>
          <w:rFonts w:ascii="Times New Roman" w:hAnsiTheme="minorHAnsi"/>
          <w:highlight w:val="red"/>
        </w:rPr>
        <w:commentReference w:id="53"/>
      </w:r>
      <w:commentRangeEnd w:id="54"/>
      <w:r w:rsidR="00644312" w:rsidRPr="00DE4BFD">
        <w:rPr>
          <w:rStyle w:val="CommentReference"/>
          <w:rFonts w:ascii="Times New Roman" w:hAnsiTheme="minorHAnsi"/>
          <w:highlight w:val="red"/>
        </w:rPr>
        <w:commentReference w:id="54"/>
      </w:r>
      <w:r w:rsidRPr="00DE4BFD">
        <w:rPr>
          <w:highlight w:val="red"/>
        </w:rPr>
        <w:t>of (a) QDS- and (b) HDS-scale vascular plant species richness in the GCFR and SWAFR. (c) Scatter plot of mean QDS-scale richness (</w:t>
      </w:r>
      <m:oMath>
        <m:bar>
          <m:barPr>
            <m:pos m:val="top"/>
            <m:ctrlPr>
              <w:rPr>
                <w:rFonts w:ascii="Cambria Math" w:hAnsi="Cambria Math"/>
                <w:highlight w:val="red"/>
              </w:rPr>
            </m:ctrlPr>
          </m:barPr>
          <m:e>
            <m:r>
              <w:rPr>
                <w:rFonts w:ascii="Cambria Math" w:hAnsi="Cambria Math"/>
                <w:highlight w:val="red"/>
              </w:rPr>
              <m:t>S</m:t>
            </m:r>
          </m:e>
        </m:bar>
      </m:oMath>
      <w:r w:rsidRPr="00DE4BFD">
        <w:rPr>
          <w:highlight w:val="red"/>
          <w:vertAlign w:val="subscript"/>
        </w:rPr>
        <w:t>QDS</w:t>
      </w:r>
      <w:r w:rsidRPr="00DE4BFD">
        <w:rPr>
          <w:highlight w:val="red"/>
        </w:rPr>
        <w:t>) and turnover (</w:t>
      </w:r>
      <w:r w:rsidRPr="00DE4BFD">
        <w:rPr>
          <w:i/>
          <w:highlight w:val="red"/>
        </w:rPr>
        <w:t>T</w:t>
      </w:r>
      <w:r w:rsidRPr="00DE4BFD">
        <w:rPr>
          <w:highlight w:val="red"/>
          <w:vertAlign w:val="subscript"/>
        </w:rPr>
        <w:t>QDS</w:t>
      </w:r>
      <w:r w:rsidRPr="00DE4BFD">
        <w:rPr>
          <w:highlight w:val="red"/>
        </w:rPr>
        <w:t xml:space="preserve">) with contour lines denoting the </w:t>
      </w:r>
      <w:r w:rsidRPr="00DE4BFD">
        <w:rPr>
          <w:i/>
          <w:highlight w:val="red"/>
        </w:rPr>
        <w:t>S</w:t>
      </w:r>
      <w:r w:rsidRPr="00DE4BFD">
        <w:rPr>
          <w:highlight w:val="red"/>
          <w:vertAlign w:val="subscript"/>
        </w:rPr>
        <w:t>HDS</w:t>
      </w:r>
      <w:r w:rsidRPr="00DE4BFD">
        <w:rPr>
          <w:highlight w:val="red"/>
        </w:rPr>
        <w:t xml:space="preserve"> that arises as their sum. (d) The distribution of the turnover partition of </w:t>
      </w:r>
      <w:r w:rsidRPr="00DE4BFD">
        <w:rPr>
          <w:i/>
          <w:highlight w:val="red"/>
        </w:rPr>
        <w:t>S</w:t>
      </w:r>
      <w:r w:rsidRPr="00DE4BFD">
        <w:rPr>
          <w:highlight w:val="red"/>
          <w:vertAlign w:val="subscript"/>
        </w:rPr>
        <w:t>HDS</w:t>
      </w:r>
      <w:r w:rsidRPr="00DE4BFD">
        <w:rPr>
          <w:highlight w:val="red"/>
        </w:rPr>
        <w:t xml:space="preserve"> expressed as a proportion (</w:t>
      </w:r>
      <w:r w:rsidRPr="00DE4BFD">
        <w:rPr>
          <w:i/>
          <w:highlight w:val="red"/>
        </w:rPr>
        <w:t>T</w:t>
      </w:r>
      <w:r w:rsidRPr="00DE4BFD">
        <w:rPr>
          <w:highlight w:val="red"/>
          <w:vertAlign w:val="subscript"/>
        </w:rPr>
        <w:t>QDS</w:t>
      </w:r>
      <w:r w:rsidR="00211A46" w:rsidRPr="00DE4BFD">
        <w:rPr>
          <w:highlight w:val="red"/>
          <w:vertAlign w:val="subscript"/>
        </w:rPr>
        <w:t xml:space="preserve"> </w:t>
      </w:r>
      <w:r w:rsidR="00211A46" w:rsidRPr="00DE4BFD">
        <w:rPr>
          <w:highlight w:val="red"/>
        </w:rPr>
        <w:t>/</w:t>
      </w:r>
      <w:r w:rsidR="00211A46" w:rsidRPr="00DE4BFD">
        <w:rPr>
          <w:i/>
          <w:highlight w:val="red"/>
        </w:rPr>
        <w:t xml:space="preserve"> S</w:t>
      </w:r>
      <w:r w:rsidR="00211A46" w:rsidRPr="00DE4BFD">
        <w:rPr>
          <w:highlight w:val="red"/>
          <w:vertAlign w:val="subscript"/>
        </w:rPr>
        <w:t>HDS</w:t>
      </w:r>
      <w:r w:rsidR="00DB3FDF" w:rsidRPr="00DE4BFD">
        <w:rPr>
          <w:highlight w:val="red"/>
        </w:rPr>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0888E168">
            <wp:extent cx="6828819" cy="2276273"/>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51866" cy="2283955"/>
                    </a:xfrm>
                    <a:prstGeom prst="rect">
                      <a:avLst/>
                    </a:prstGeom>
                    <a:noFill/>
                    <a:ln w="9525">
                      <a:noFill/>
                      <a:headEnd/>
                      <a:tailEnd/>
                    </a:ln>
                  </pic:spPr>
                </pic:pic>
              </a:graphicData>
            </a:graphic>
          </wp:inline>
        </w:drawing>
      </w:r>
    </w:p>
    <w:p w14:paraId="7180F251" w14:textId="517F578C"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57"/>
      <w:r w:rsidR="00AA17FE">
        <w:t xml:space="preserve">significant slopes </w:t>
      </w:r>
      <w:commentRangeEnd w:id="57"/>
      <w:r w:rsidR="00A57067">
        <w:rPr>
          <w:rStyle w:val="CommentReference"/>
          <w:rFonts w:ascii="Times New Roman" w:hAnsiTheme="minorHAnsi"/>
        </w:rPr>
        <w:commentReference w:id="57"/>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rsidR="002644F5">
        <w:t xml:space="preserve"> [</w:t>
      </w:r>
      <w:r w:rsidR="002644F5" w:rsidRPr="002644F5">
        <w:rPr>
          <w:highlight w:val="yellow"/>
        </w:rPr>
        <w:t>hotspots</w:t>
      </w:r>
      <w:r w:rsidR="002644F5">
        <w:t>].</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0B1C8E0">
            <wp:extent cx="6819864" cy="3897064"/>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4" cy="3897064"/>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58"/>
      <w:commentRangeStart w:id="59"/>
      <w:r w:rsidRPr="00242181">
        <w:rPr>
          <w:b/>
        </w:rPr>
        <w:t>Figure 4:</w:t>
      </w:r>
      <w:r w:rsidRPr="00EB7331">
        <w:t xml:space="preserve"> </w:t>
      </w:r>
      <w:commentRangeEnd w:id="58"/>
      <w:r w:rsidR="006125FF">
        <w:rPr>
          <w:rStyle w:val="CommentReference"/>
          <w:rFonts w:ascii="Times New Roman" w:hAnsiTheme="minorHAnsi"/>
        </w:rPr>
        <w:commentReference w:id="58"/>
      </w:r>
      <w:commentRangeEnd w:id="59"/>
      <w:r w:rsidR="00AC2235">
        <w:rPr>
          <w:rStyle w:val="CommentReference"/>
          <w:rFonts w:ascii="Times New Roman" w:hAnsiTheme="minorHAnsi"/>
        </w:rPr>
        <w:commentReference w:id="59"/>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60"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0ACFF47">
            <wp:extent cx="5118100" cy="87738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59468" cy="8844803"/>
                    </a:xfrm>
                    <a:prstGeom prst="rect">
                      <a:avLst/>
                    </a:prstGeom>
                  </pic:spPr>
                </pic:pic>
              </a:graphicData>
            </a:graphic>
          </wp:inline>
        </w:drawing>
      </w:r>
    </w:p>
    <w:p w14:paraId="20EF5617" w14:textId="15703A38" w:rsidR="00A45444" w:rsidRPr="002C20EB" w:rsidRDefault="00A45444" w:rsidP="0074274A">
      <w:pPr>
        <w:pStyle w:val="BodyText"/>
      </w:pPr>
      <w:r w:rsidRPr="00242181">
        <w:rPr>
          <w:b/>
        </w:rPr>
        <w:lastRenderedPageBreak/>
        <w:t xml:space="preserve">Figure </w:t>
      </w:r>
      <w:r>
        <w:rPr>
          <w:b/>
        </w:rPr>
        <w:t>5</w:t>
      </w:r>
      <w:r w:rsidR="005649C9">
        <w:rPr>
          <w:b/>
        </w:rPr>
        <w:t xml:space="preserve"> (previous page)</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779CFF39" w14:textId="77777777" w:rsidR="000878A3" w:rsidRDefault="009E59E0" w:rsidP="000878A3">
      <w:pPr>
        <w:pStyle w:val="Heading1"/>
        <w:spacing w:line="240" w:lineRule="auto"/>
      </w:pPr>
      <w:r w:rsidRPr="009E59E0">
        <w:lastRenderedPageBreak/>
        <w:t>Data availability statement</w:t>
      </w:r>
    </w:p>
    <w:p w14:paraId="6743CDCE" w14:textId="16CAB420" w:rsidR="009E59E0" w:rsidRPr="000878A3" w:rsidRDefault="00DC1038" w:rsidP="000878A3">
      <w:pPr>
        <w:pStyle w:val="BodyText"/>
      </w:pPr>
      <w:r>
        <w:t xml:space="preserve">Raster-layers (of the nine forms of environmental heterogeneity, the major axis of heterogeneity (PC1) and vascular species richness) at each of the four spatial scales and analyses in the form of R-scripts </w:t>
      </w:r>
      <w:r w:rsidRPr="0019466D">
        <w:rPr>
          <w:highlight w:val="cyan"/>
        </w:rPr>
        <w:t>are available in the DRYAD Digital Repository (URL/DOI</w:t>
      </w:r>
      <w:r>
        <w:t xml:space="preserve">). The </w:t>
      </w:r>
      <w:r w:rsidR="00A56EBA">
        <w:t xml:space="preserve">raw </w:t>
      </w:r>
      <w:r>
        <w:t xml:space="preserve">plant occurrence records are available from GBIF (GCFR: </w:t>
      </w:r>
      <w:hyperlink r:id="rId17" w:history="1">
        <w:r w:rsidR="00A56EBA" w:rsidRPr="000F1325">
          <w:rPr>
            <w:rStyle w:val="Hyperlink"/>
          </w:rPr>
          <w:t>https://doi.org/10.15468/dl.n6u6n0</w:t>
        </w:r>
      </w:hyperlink>
      <w:r>
        <w:t xml:space="preserve">; SWAFR: </w:t>
      </w:r>
      <w:hyperlink r:id="rId18" w:history="1">
        <w:r w:rsidR="00930D80" w:rsidRPr="000F1325">
          <w:rPr>
            <w:rStyle w:val="Hyperlink"/>
          </w:rPr>
          <w:t>https://doi.org/10.15468/dl.46okua</w:t>
        </w:r>
      </w:hyperlink>
      <w:r>
        <w:t xml:space="preserve">). </w:t>
      </w:r>
      <w:r w:rsidRPr="00596AC4">
        <w:rPr>
          <w:highlight w:val="cyan"/>
        </w:rPr>
        <w:t>Our analyses are reproducible using R-scripts available also on GitHub (</w:t>
      </w:r>
      <w:hyperlink r:id="rId19" w:history="1">
        <w:r w:rsidR="00114B76" w:rsidRPr="00EC4B74">
          <w:rPr>
            <w:rStyle w:val="Hyperlink"/>
            <w:highlight w:val="cyan"/>
          </w:rPr>
          <w:t>https://github.com/rvanmazijk/Cape-vs-SWA</w:t>
        </w:r>
      </w:hyperlink>
      <w:r w:rsidRPr="00596AC4">
        <w:rPr>
          <w:highlight w:val="cyan"/>
        </w:rPr>
        <w:t>).</w:t>
      </w:r>
    </w:p>
    <w:p w14:paraId="3FB275CB" w14:textId="782BA677" w:rsidR="00DD2348" w:rsidRDefault="005F0FFB" w:rsidP="0018462C">
      <w:pPr>
        <w:pStyle w:val="Heading1"/>
      </w:pPr>
      <w:r w:rsidRPr="002C20EB">
        <w:t>References</w:t>
      </w:r>
      <w:bookmarkEnd w:id="60"/>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African 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lastRenderedPageBreak/>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noProof/>
          <w:lang w:val="en-GB"/>
        </w:rPr>
      </w:pPr>
      <w:r w:rsidRPr="00F66C40">
        <w:rPr>
          <w:rFonts w:hAnsi="Times New Roman" w:cs="Times New Roman"/>
          <w:noProof/>
          <w:lang w:val="en-GB"/>
        </w:rPr>
        <w:t xml:space="preserve">Chao A. &amp; Jost L. (2012) Coverage-based rarefaction and extrapolation: Standardizing samples by completeness rather than size. </w:t>
      </w:r>
      <w:r w:rsidRPr="00F66C40">
        <w:rPr>
          <w:rFonts w:hAnsi="Times New Roman" w:cs="Times New Roman"/>
          <w:i/>
          <w:iCs/>
          <w:noProof/>
          <w:lang w:val="en-GB"/>
        </w:rPr>
        <w:t>Ecology</w:t>
      </w:r>
      <w:r w:rsidRPr="00F66C40">
        <w:rPr>
          <w:rFonts w:hAnsi="Times New Roman" w:cs="Times New Roman"/>
          <w:noProof/>
          <w:lang w:val="en-GB"/>
        </w:rPr>
        <w:t xml:space="preserve">, </w:t>
      </w:r>
      <w:r w:rsidRPr="00F66C40">
        <w:rPr>
          <w:rFonts w:hAnsi="Times New Roman" w:cs="Times New Roman"/>
          <w:b/>
          <w:bCs/>
          <w:noProof/>
          <w:lang w:val="en-GB"/>
        </w:rPr>
        <w:t>93</w:t>
      </w:r>
      <w:r w:rsidRPr="00F66C40">
        <w:rPr>
          <w:rFonts w:hAnsi="Times New Roman" w:cs="Times New Roman"/>
          <w:noProof/>
          <w:lang w:val="en-GB"/>
        </w:rPr>
        <w:t xml:space="preserve">, 2533–2547. </w:t>
      </w:r>
    </w:p>
    <w:p w14:paraId="105BDFB9"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Colville, J.C., Potts A.J., Bradshaw P.L., Measey J., Snyman D., Picker M.D. Procheş S., Bowie R.C.K. &amp; Manning J.C. (2014) Floristic and faunal Cape biochoria: do they exist.</w:t>
      </w:r>
      <w:r w:rsidRPr="00F66C40">
        <w:rPr>
          <w:rFonts w:hAnsi="Times New Roman" w:cs="Times New Roman"/>
          <w:i/>
          <w:noProof/>
          <w:lang w:val="en-GB"/>
        </w:rPr>
        <w:t xml:space="preserve"> Fynbos: ecology, evolution, and conservation of a megadiverse region </w:t>
      </w:r>
      <w:r w:rsidRPr="00F66C40">
        <w:rPr>
          <w:rFonts w:hAnsi="Times New Roman" w:cs="Times New Roman"/>
          <w:noProof/>
          <w:lang w:val="en-GB"/>
        </w:rPr>
        <w:t>(ed. by N. Allsopp, J.F. Colville, G.A. Verboom and R.M. Cowling), pp. 73–93, Oxford University Press, Oxford.</w:t>
      </w:r>
    </w:p>
    <w:p w14:paraId="2FA27561" w14:textId="77777777" w:rsidR="002F32A1" w:rsidRPr="00F66C40" w:rsidRDefault="002F32A1" w:rsidP="002F32A1">
      <w:pPr>
        <w:ind w:left="720" w:hanging="720"/>
        <w:rPr>
          <w:rFonts w:hAnsi="Times New Roman" w:cs="Times New Roman"/>
          <w:noProof/>
          <w:lang w:val="en-GB"/>
        </w:rPr>
      </w:pPr>
      <w:r w:rsidRPr="00F66C40">
        <w:rPr>
          <w:rFonts w:hAnsi="Times New Roman" w:cs="Times New Roman"/>
          <w:noProof/>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noProof/>
          <w:lang w:val="en-GB"/>
        </w:rPr>
        <w:t>Ecology and Evolution</w:t>
      </w:r>
      <w:r w:rsidRPr="00F66C40">
        <w:rPr>
          <w:rFonts w:hAnsi="Times New Roman" w:cs="Times New Roman"/>
          <w:noProof/>
          <w:lang w:val="en-GB"/>
        </w:rPr>
        <w:t xml:space="preserve">, </w:t>
      </w:r>
      <w:r w:rsidRPr="00F66C40">
        <w:rPr>
          <w:rFonts w:hAnsi="Times New Roman" w:cs="Times New Roman"/>
          <w:b/>
          <w:bCs/>
          <w:noProof/>
          <w:lang w:val="en-GB"/>
        </w:rPr>
        <w:t>5</w:t>
      </w:r>
      <w:r w:rsidRPr="00F66C40">
        <w:rPr>
          <w:rFonts w:hAnsi="Times New Roman" w:cs="Times New Roman"/>
          <w:noProof/>
          <w:lang w:val="en-GB"/>
        </w:rPr>
        <w:t xml:space="preserve">, 807–820. </w:t>
      </w:r>
    </w:p>
    <w:p w14:paraId="244ADFF8" w14:textId="77777777" w:rsidR="002F32A1" w:rsidRPr="00F66C40" w:rsidRDefault="002F32A1" w:rsidP="002F32A1">
      <w:pPr>
        <w:ind w:left="480" w:hanging="480"/>
        <w:rPr>
          <w:rFonts w:hAnsi="Times New Roman" w:cs="Times New Roman"/>
          <w:noProof/>
          <w:lang w:val="en-GB"/>
        </w:rPr>
      </w:pPr>
      <w:r w:rsidRPr="00F66C40">
        <w:rPr>
          <w:rFonts w:hAnsi="Times New Roman" w:cs="Times New Roman"/>
          <w:noProof/>
          <w:lang w:val="en-GB"/>
        </w:rPr>
        <w:t xml:space="preserve">Gotelli N.J. &amp; Colwell R.K. (2001) Quantifying biodiversity: Procedures and pitfalls in the measurement and comparison of species richness. </w:t>
      </w:r>
      <w:r w:rsidRPr="00F66C40">
        <w:rPr>
          <w:rFonts w:hAnsi="Times New Roman" w:cs="Times New Roman"/>
          <w:i/>
          <w:iCs/>
          <w:noProof/>
          <w:lang w:val="en-GB"/>
        </w:rPr>
        <w:t>Ecology Letters</w:t>
      </w:r>
      <w:r w:rsidRPr="00F66C40">
        <w:rPr>
          <w:rFonts w:hAnsi="Times New Roman" w:cs="Times New Roman"/>
          <w:noProof/>
          <w:lang w:val="en-GB"/>
        </w:rPr>
        <w:t xml:space="preserve">, </w:t>
      </w:r>
      <w:r w:rsidRPr="00F66C40">
        <w:rPr>
          <w:rFonts w:hAnsi="Times New Roman" w:cs="Times New Roman"/>
          <w:b/>
          <w:bCs/>
          <w:noProof/>
          <w:lang w:val="en-GB"/>
        </w:rPr>
        <w:t>4</w:t>
      </w:r>
      <w:r w:rsidRPr="00F66C40">
        <w:rPr>
          <w:rFonts w:hAnsi="Times New Roman" w:cs="Times New Roman"/>
          <w:noProof/>
          <w:lang w:val="en-GB"/>
        </w:rPr>
        <w:t xml:space="preserve">, 379–391. </w:t>
      </w:r>
    </w:p>
    <w:p w14:paraId="677EF16D" w14:textId="77777777" w:rsidR="002F32A1" w:rsidRDefault="002F32A1" w:rsidP="002F32A1">
      <w:pPr>
        <w:ind w:left="480" w:hanging="480"/>
        <w:rPr>
          <w:rFonts w:hAnsi="Times New Roman" w:cs="Times New Roman"/>
          <w:noProof/>
          <w:lang w:val="en-GB"/>
        </w:rPr>
      </w:pPr>
      <w:r w:rsidRPr="00F66C40">
        <w:rPr>
          <w:rFonts w:hAnsi="Times New Roman" w:cs="Times New Roman"/>
          <w:noProof/>
          <w:lang w:val="en-GB"/>
        </w:rPr>
        <w:t xml:space="preserve">Merow C., Smith M.J., &amp; Silander J.A. (2013) A practical guide to MaxEnt for modeling species’ distributions: What it does, and why inputs and settings matter. </w:t>
      </w:r>
      <w:r w:rsidRPr="00F66C40">
        <w:rPr>
          <w:rFonts w:hAnsi="Times New Roman" w:cs="Times New Roman"/>
          <w:i/>
          <w:iCs/>
          <w:noProof/>
          <w:lang w:val="en-GB"/>
        </w:rPr>
        <w:t>Ecography</w:t>
      </w:r>
      <w:r w:rsidRPr="00F66C40">
        <w:rPr>
          <w:rFonts w:hAnsi="Times New Roman" w:cs="Times New Roman"/>
          <w:noProof/>
          <w:lang w:val="en-GB"/>
        </w:rPr>
        <w:t xml:space="preserve">, </w:t>
      </w:r>
      <w:r w:rsidRPr="00F66C40">
        <w:rPr>
          <w:rFonts w:hAnsi="Times New Roman" w:cs="Times New Roman"/>
          <w:b/>
          <w:bCs/>
          <w:noProof/>
          <w:lang w:val="en-GB"/>
        </w:rPr>
        <w:t>36</w:t>
      </w:r>
      <w:r w:rsidRPr="00F66C40">
        <w:rPr>
          <w:rFonts w:hAnsi="Times New Roman" w:cs="Times New Roman"/>
          <w:noProof/>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noProof/>
        </w:rPr>
      </w:pPr>
      <w:r w:rsidRPr="00F66C40">
        <w:rPr>
          <w:rFonts w:hAnsi="Times New Roman" w:cs="Times New Roman"/>
          <w:noProof/>
        </w:rPr>
        <w:t xml:space="preserve">Rebelo T. (2001) </w:t>
      </w:r>
      <w:r w:rsidRPr="00F66C40">
        <w:rPr>
          <w:rFonts w:hAnsi="Times New Roman" w:cs="Times New Roman"/>
          <w:i/>
          <w:noProof/>
        </w:rPr>
        <w:t>Proteas: A Field Guide to the Proteas of Southern Africa</w:t>
      </w:r>
      <w:r w:rsidRPr="00F66C40">
        <w:rPr>
          <w:rFonts w:hAnsi="Times New Roman" w:cs="Times New Roman"/>
          <w:noProof/>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0CFCE5C3" w:rsidR="00EF41C1" w:rsidRDefault="00F3256A" w:rsidP="002C20EB">
      <w:pPr>
        <w:pStyle w:val="BodyText"/>
        <w:spacing w:before="0"/>
      </w:pPr>
      <w:r>
        <w:rPr>
          <w:b/>
        </w:rPr>
        <w:t>Ruan v</w:t>
      </w:r>
      <w:r w:rsidR="00EF41C1" w:rsidRPr="00F3256A">
        <w:rPr>
          <w:b/>
        </w:rPr>
        <w:t>an Mazijk</w:t>
      </w:r>
      <w:r w:rsidR="00EF41C1">
        <w:t xml:space="preserve"> is </w:t>
      </w:r>
      <w:r w:rsidR="00365CC9">
        <w:t xml:space="preserve">graduate student interested in </w:t>
      </w:r>
      <w:r w:rsidR="00D371B8">
        <w:t>[</w:t>
      </w:r>
      <w:r w:rsidR="00D371B8" w:rsidRPr="00D371B8">
        <w:rPr>
          <w:highlight w:val="yellow"/>
        </w:rPr>
        <w:t>…</w:t>
      </w:r>
      <w:r w:rsidR="00D371B8">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53FE1154"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p w14:paraId="1A12FE4F" w14:textId="77777777" w:rsidR="00B46208" w:rsidRPr="003C085D" w:rsidRDefault="00B46208" w:rsidP="00B46208">
      <w:pPr>
        <w:pStyle w:val="Heading1"/>
      </w:pPr>
      <w:r w:rsidRPr="003C085D">
        <w:t>ORCID</w:t>
      </w:r>
    </w:p>
    <w:p w14:paraId="65B2E59A" w14:textId="77777777" w:rsidR="00B46208" w:rsidRPr="002B2755" w:rsidRDefault="00B46208" w:rsidP="00B46208">
      <w:r w:rsidRPr="002B2755">
        <w:t>R</w:t>
      </w:r>
      <w:r w:rsidRPr="002C20EB">
        <w:t xml:space="preserve">uan van Mazijk: </w:t>
      </w:r>
      <w:hyperlink r:id="rId20" w:history="1">
        <w:r w:rsidRPr="002C20EB">
          <w:rPr>
            <w:rStyle w:val="Hyperlink"/>
          </w:rPr>
          <w:t>https://orcid.org/0000-0003-2659-6909</w:t>
        </w:r>
      </w:hyperlink>
    </w:p>
    <w:p w14:paraId="1B1F3B09" w14:textId="77777777" w:rsidR="00B46208" w:rsidRPr="002B2755" w:rsidRDefault="00B46208" w:rsidP="00B46208">
      <w:r w:rsidRPr="002C20EB">
        <w:t xml:space="preserve">Michael D. Cramer: </w:t>
      </w:r>
      <w:hyperlink r:id="rId21" w:history="1">
        <w:r w:rsidRPr="002C20EB">
          <w:rPr>
            <w:rStyle w:val="Hyperlink"/>
          </w:rPr>
          <w:t>https://orcid.org/0000-0003-0989-3266</w:t>
        </w:r>
      </w:hyperlink>
    </w:p>
    <w:p w14:paraId="54EBA765" w14:textId="4AB34602" w:rsidR="00B46208" w:rsidRPr="00B46208" w:rsidRDefault="00B46208" w:rsidP="00B46208">
      <w:r w:rsidRPr="002C20EB">
        <w:t xml:space="preserve">G. Anthony </w:t>
      </w:r>
      <w:proofErr w:type="spellStart"/>
      <w:r w:rsidRPr="002C20EB">
        <w:t>Verboom</w:t>
      </w:r>
      <w:proofErr w:type="spellEnd"/>
      <w:r w:rsidRPr="002C20EB">
        <w:t xml:space="preserve">: </w:t>
      </w:r>
      <w:hyperlink r:id="rId22" w:history="1">
        <w:r w:rsidRPr="002C20EB">
          <w:rPr>
            <w:rStyle w:val="Hyperlink"/>
          </w:rPr>
          <w:t>https://orcid.org/0000-0002-1363-9781</w:t>
        </w:r>
      </w:hyperlink>
    </w:p>
    <w:sectPr w:rsidR="00B46208" w:rsidRPr="00B46208" w:rsidSect="002C20EB">
      <w:footerReference w:type="default" r:id="rId23"/>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46:00Z" w:initials="RVM">
    <w:p w14:paraId="346C3B27" w14:textId="00BBE662" w:rsidR="00FC3AFE" w:rsidRDefault="00FC3AFE">
      <w:pPr>
        <w:pStyle w:val="CommentText"/>
      </w:pPr>
      <w:r>
        <w:rPr>
          <w:rStyle w:val="CommentReference"/>
        </w:rPr>
        <w:annotationRef/>
      </w:r>
      <w:r>
        <w:t>Journal of Biogeography style for now</w:t>
      </w:r>
    </w:p>
  </w:comment>
  <w:comment w:id="4" w:author="Ruan Van Mazijk" w:date="2019-12-03T12:24:00Z" w:initials="RVM">
    <w:p w14:paraId="2C95E568" w14:textId="110A8F45" w:rsidR="00FC3AFE" w:rsidRDefault="00FC3AFE">
      <w:pPr>
        <w:pStyle w:val="CommentText"/>
      </w:pPr>
      <w:r>
        <w:rPr>
          <w:rStyle w:val="CommentReference"/>
        </w:rPr>
        <w:annotationRef/>
      </w:r>
      <w:r>
        <w:rPr>
          <w:rStyle w:val="CommentReference"/>
        </w:rPr>
        <w:t>We</w:t>
      </w:r>
      <w:r>
        <w:t xml:space="preserve"> didn</w:t>
      </w:r>
      <w:r>
        <w:t>’</w:t>
      </w:r>
      <w:r>
        <w:t>t do this?</w:t>
      </w:r>
    </w:p>
  </w:comment>
  <w:comment w:id="5" w:author="Michael Cramer" w:date="2019-10-06T08:53:00Z" w:initials="MC">
    <w:p w14:paraId="16A5BD8E" w14:textId="64EEAEFD" w:rsidR="00FC3AFE" w:rsidRDefault="00FC3AFE">
      <w:pPr>
        <w:pStyle w:val="CommentText"/>
      </w:pPr>
      <w:r>
        <w:rPr>
          <w:rStyle w:val="CommentReference"/>
        </w:rPr>
        <w:annotationRef/>
      </w:r>
      <w:r>
        <w:t>Isn</w:t>
      </w:r>
      <w:r>
        <w:t>’</w:t>
      </w:r>
      <w:r>
        <w:t>t this restating the sentence 1 back?</w:t>
      </w:r>
    </w:p>
  </w:comment>
  <w:comment w:id="6" w:author="Ruan Van Mazijk" w:date="2019-10-07T15:41:00Z" w:initials="RVM">
    <w:p w14:paraId="739A862A" w14:textId="7767E5B8" w:rsidR="00FC3AFE" w:rsidRDefault="00FC3AFE">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7" w:author="Michael Cramer" w:date="2019-10-06T09:02:00Z" w:initials="MC">
    <w:p w14:paraId="1A2D83B2" w14:textId="49140011" w:rsidR="00FC3AFE" w:rsidRDefault="00FC3AFE">
      <w:pPr>
        <w:pStyle w:val="CommentText"/>
      </w:pPr>
      <w:r>
        <w:rPr>
          <w:rStyle w:val="CommentReference"/>
        </w:rPr>
        <w:annotationRef/>
      </w:r>
      <w:r>
        <w:t>Does a woody component mean bigger individuals, lower density, lower species richness?</w:t>
      </w:r>
    </w:p>
  </w:comment>
  <w:comment w:id="8" w:author="Michael Cramer" w:date="2019-10-06T08:56:00Z" w:initials="MC">
    <w:p w14:paraId="0D85E42B" w14:textId="713185B3" w:rsidR="00FC3AFE" w:rsidRDefault="00FC3AFE">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 xml:space="preserve">/fynbos. We also have a </w:t>
      </w:r>
      <w:r>
        <w:t>“</w:t>
      </w:r>
      <w:r>
        <w:t>significant tree</w:t>
      </w:r>
      <w:r>
        <w:t>”</w:t>
      </w:r>
      <w:r>
        <w:t xml:space="preserve"> component but localized in geographic extent to riverine </w:t>
      </w:r>
      <w:proofErr w:type="spellStart"/>
      <w:r>
        <w:t>etc</w:t>
      </w:r>
      <w:proofErr w:type="spellEnd"/>
      <w:r>
        <w:t xml:space="preserve"> bands.</w:t>
      </w:r>
    </w:p>
  </w:comment>
  <w:comment w:id="9" w:author="Ruan Van Mazijk" w:date="2019-10-07T15:43:00Z" w:initials="RVM">
    <w:p w14:paraId="50E697F5" w14:textId="121413FD" w:rsidR="00FC3AFE" w:rsidRDefault="00FC3AFE">
      <w:pPr>
        <w:pStyle w:val="CommentText"/>
      </w:pPr>
      <w:r>
        <w:rPr>
          <w:rStyle w:val="CommentReference"/>
        </w:rPr>
        <w:annotationRef/>
      </w:r>
      <w:r>
        <w:t>This is a good point</w:t>
      </w:r>
      <w:r>
        <w:t>…</w:t>
      </w:r>
      <w:r>
        <w:t xml:space="preserve"> Shall we chat more about this at some point?</w:t>
      </w:r>
    </w:p>
  </w:comment>
  <w:comment w:id="10" w:author="Ruan Van Mazijk" w:date="2019-12-03T12:30:00Z" w:initials="RVM">
    <w:p w14:paraId="276D846E" w14:textId="7583AD33" w:rsidR="00FC3AFE" w:rsidRDefault="00FC3AFE">
      <w:pPr>
        <w:pStyle w:val="CommentText"/>
      </w:pPr>
      <w:r>
        <w:rPr>
          <w:rStyle w:val="CommentReference"/>
        </w:rPr>
        <w:annotationRef/>
      </w:r>
      <w:r>
        <w:t>GCFR?</w:t>
      </w:r>
    </w:p>
  </w:comment>
  <w:comment w:id="12" w:author="Michael Cramer" w:date="2019-12-02T11:15:00Z" w:initials="MC">
    <w:p w14:paraId="03CFEB10" w14:textId="7AC156BE" w:rsidR="00FC3AFE" w:rsidRDefault="00FC3AFE">
      <w:pPr>
        <w:pStyle w:val="CommentText"/>
      </w:pPr>
      <w:r>
        <w:rPr>
          <w:rStyle w:val="CommentReference"/>
        </w:rPr>
        <w:annotationRef/>
      </w:r>
      <w:r>
        <w:t xml:space="preserve">I am wondering whether we need to pre-empt the rarefaction argument better here. For example, I might be bold and say that rarefaction is entirely inappropriate for museum/herbarium specimens. </w:t>
      </w:r>
    </w:p>
  </w:comment>
  <w:comment w:id="13" w:author="Ruan Van Mazijk" w:date="2019-12-03T12:32:00Z" w:initials="RVM">
    <w:p w14:paraId="52802E12" w14:textId="0E283C27" w:rsidR="00FC3AFE" w:rsidRDefault="00FC3AFE">
      <w:pPr>
        <w:pStyle w:val="CommentText"/>
      </w:pPr>
      <w:r>
        <w:rPr>
          <w:rStyle w:val="CommentReference"/>
        </w:rPr>
        <w:annotationRef/>
      </w:r>
      <w:r>
        <w:t>That</w:t>
      </w:r>
      <w:r>
        <w:t>’</w:t>
      </w:r>
      <w:r>
        <w:t>s a good point!</w:t>
      </w:r>
    </w:p>
  </w:comment>
  <w:comment w:id="14" w:author="Ruan Van Mazijk" w:date="2019-12-04T10:53:00Z" w:initials="RVM">
    <w:p w14:paraId="1C33D467" w14:textId="570F1950" w:rsidR="00FC3AFE" w:rsidRDefault="00FC3AFE">
      <w:pPr>
        <w:pStyle w:val="CommentText"/>
      </w:pPr>
      <w:r>
        <w:rPr>
          <w:rStyle w:val="CommentReference"/>
        </w:rPr>
        <w:annotationRef/>
      </w:r>
      <w:r>
        <w:t>Added this statement. Reword?</w:t>
      </w:r>
    </w:p>
  </w:comment>
  <w:comment w:id="15" w:author="Michael Cramer" w:date="2019-12-02T11:29:00Z" w:initials="MC">
    <w:p w14:paraId="5228A70D" w14:textId="4456D76A" w:rsidR="00FC3AFE" w:rsidRDefault="00FC3AFE">
      <w:pPr>
        <w:pStyle w:val="CommentText"/>
      </w:pPr>
      <w:r>
        <w:rPr>
          <w:rStyle w:val="CommentReference"/>
        </w:rPr>
        <w:annotationRef/>
      </w:r>
      <w:r>
        <w:t>What was the in the broader set that was left out?</w:t>
      </w:r>
    </w:p>
  </w:comment>
  <w:comment w:id="16" w:author="Ruan Van Mazijk" w:date="2019-12-04T11:07:00Z" w:initials="RVM">
    <w:p w14:paraId="7FCF8830" w14:textId="0D899BBA" w:rsidR="00FC3AFE" w:rsidRDefault="00FC3AFE">
      <w:pPr>
        <w:pStyle w:val="CommentText"/>
      </w:pPr>
      <w:r>
        <w:rPr>
          <w:rStyle w:val="CommentReference"/>
        </w:rPr>
        <w:annotationRef/>
      </w:r>
      <w:r>
        <w:t>You</w:t>
      </w:r>
      <w:r>
        <w:t>’</w:t>
      </w:r>
      <w:r>
        <w:t>re right in asking. There weren</w:t>
      </w:r>
      <w:r>
        <w:t>’</w:t>
      </w:r>
      <w:r>
        <w:t>t really any, save the absolute vars. I think the way I</w:t>
      </w:r>
      <w:r>
        <w:t>’</w:t>
      </w:r>
      <w:r>
        <w:t>ve phrased it now works better?</w:t>
      </w:r>
    </w:p>
  </w:comment>
  <w:comment w:id="17" w:author="Michael Cramer" w:date="2019-10-06T20:10:00Z" w:initials="MC">
    <w:p w14:paraId="5AED77A5" w14:textId="45F362C3" w:rsidR="00FC3AFE" w:rsidRDefault="00FC3AFE">
      <w:pPr>
        <w:pStyle w:val="CommentText"/>
      </w:pPr>
      <w:r>
        <w:rPr>
          <w:rStyle w:val="CommentReference"/>
        </w:rPr>
        <w:annotationRef/>
      </w:r>
      <w:r>
        <w:t>This suggests they were lumped together?</w:t>
      </w:r>
    </w:p>
  </w:comment>
  <w:comment w:id="18" w:author="Ruan Van Mazijk" w:date="2019-10-07T15:44:00Z" w:initials="RVM">
    <w:p w14:paraId="1E812954" w14:textId="484F8BEE" w:rsidR="00FC3AFE" w:rsidRDefault="00FC3AFE">
      <w:pPr>
        <w:pStyle w:val="CommentText"/>
      </w:pPr>
      <w:r>
        <w:rPr>
          <w:rStyle w:val="CommentReference"/>
        </w:rPr>
        <w:annotationRef/>
      </w:r>
      <w:r>
        <w:t>They were! It was a single PCA</w:t>
      </w:r>
      <w:r>
        <w:t>…</w:t>
      </w:r>
    </w:p>
  </w:comment>
  <w:comment w:id="19" w:author="Michael Cramer" w:date="2019-10-06T20:11:00Z" w:initials="MC">
    <w:p w14:paraId="3D93755E" w14:textId="0E76DB81" w:rsidR="00FC3AFE" w:rsidRDefault="00FC3AFE">
      <w:pPr>
        <w:pStyle w:val="CommentText"/>
      </w:pPr>
      <w:r>
        <w:rPr>
          <w:rStyle w:val="CommentReference"/>
        </w:rPr>
        <w:annotationRef/>
      </w:r>
      <w:r>
        <w:t xml:space="preserve">Is the standard not to </w:t>
      </w:r>
      <w:r>
        <w:t>“</w:t>
      </w:r>
      <w:r>
        <w:t>scale</w:t>
      </w:r>
      <w:r>
        <w:t>”</w:t>
      </w:r>
      <w:r>
        <w:t xml:space="preserve"> the variables for PCA anyway?</w:t>
      </w:r>
    </w:p>
  </w:comment>
  <w:comment w:id="20" w:author="Ruan Van Mazijk" w:date="2019-10-07T11:59:00Z" w:initials="RVM">
    <w:p w14:paraId="4E6C485B" w14:textId="2B0CE332" w:rsidR="00FC3AFE" w:rsidRDefault="00FC3AFE">
      <w:pPr>
        <w:pStyle w:val="CommentText"/>
      </w:pPr>
      <w:r>
        <w:rPr>
          <w:rStyle w:val="CommentReference"/>
        </w:rPr>
        <w:annotationRef/>
      </w:r>
      <w:r>
        <w:t>It is the standard yes, but the log10-transofrm is not the scaling. The transformation made sure the data wasn</w:t>
      </w:r>
      <w:r>
        <w:t>’</w:t>
      </w:r>
      <w:r>
        <w:t>t skewed</w:t>
      </w:r>
      <w:r>
        <w:t>…</w:t>
      </w:r>
    </w:p>
  </w:comment>
  <w:comment w:id="22" w:author="Ruan Van Mazijk" w:date="2019-12-03T11:34:00Z" w:initials="RVM">
    <w:p w14:paraId="13E1EB9E" w14:textId="4CDF16C1" w:rsidR="00FC3AFE" w:rsidRDefault="00FC3AFE">
      <w:pPr>
        <w:pStyle w:val="CommentText"/>
      </w:pPr>
      <w:r>
        <w:rPr>
          <w:rStyle w:val="CommentReference"/>
        </w:rPr>
        <w:annotationRef/>
      </w:r>
      <w:r>
        <w:t>And to home-in on the relationships in the non-hotspot parts of the two regions?</w:t>
      </w:r>
    </w:p>
  </w:comment>
  <w:comment w:id="24" w:author="Michael Cramer" w:date="2019-12-03T08:06:00Z" w:initials="MC">
    <w:p w14:paraId="3FA9A013" w14:textId="31BD4F42" w:rsidR="00FC3AFE" w:rsidRDefault="00FC3AFE">
      <w:pPr>
        <w:pStyle w:val="CommentText"/>
      </w:pPr>
      <w:r>
        <w:rPr>
          <w:rStyle w:val="CommentReference"/>
        </w:rPr>
        <w:annotationRef/>
      </w:r>
      <w:r>
        <w:t>It is not easy to see this from Fig 2. There was some discussion about relativizing this but I don</w:t>
      </w:r>
      <w:r>
        <w:t>’</w:t>
      </w:r>
      <w:r>
        <w:t>t remember what happened to that.</w:t>
      </w:r>
    </w:p>
  </w:comment>
  <w:comment w:id="25" w:author="Ruan Van Mazijk" w:date="2019-12-03T12:14:00Z" w:initials="RVM">
    <w:p w14:paraId="3121CA7E" w14:textId="42932269" w:rsidR="00FC3AFE" w:rsidRDefault="00FC3AFE">
      <w:pPr>
        <w:pStyle w:val="CommentText"/>
      </w:pPr>
      <w:r>
        <w:rPr>
          <w:rStyle w:val="CommentReference"/>
        </w:rPr>
        <w:annotationRef/>
      </w:r>
      <w:r>
        <w:t>Still don</w:t>
      </w:r>
      <w:r>
        <w:t>’</w:t>
      </w:r>
      <w:r>
        <w:t xml:space="preserve">t know what you mean by </w:t>
      </w:r>
      <w:proofErr w:type="spellStart"/>
      <w:r>
        <w:t>relativising</w:t>
      </w:r>
      <w:proofErr w:type="spellEnd"/>
      <w:r>
        <w:t xml:space="preserve"> or </w:t>
      </w:r>
      <w:proofErr w:type="spellStart"/>
      <w:r>
        <w:t>standardising</w:t>
      </w:r>
      <w:proofErr w:type="spellEnd"/>
      <w:r>
        <w:t xml:space="preserve"> here?</w:t>
      </w:r>
    </w:p>
  </w:comment>
  <w:comment w:id="26" w:author="Michael Cramer" w:date="2019-12-03T08:07:00Z" w:initials="MC">
    <w:p w14:paraId="330C274F" w14:textId="162472F8" w:rsidR="00FC3AFE" w:rsidRDefault="00FC3AFE">
      <w:pPr>
        <w:pStyle w:val="CommentText"/>
      </w:pPr>
      <w:r>
        <w:rPr>
          <w:rStyle w:val="CommentReference"/>
        </w:rPr>
        <w:annotationRef/>
      </w:r>
      <w:r>
        <w:t>Strange to have this result in S rather than with other panels in Fig 2.</w:t>
      </w:r>
    </w:p>
  </w:comment>
  <w:comment w:id="27" w:author="Ruan Van Mazijk" w:date="2019-12-03T11:55:00Z" w:initials="RVM">
    <w:p w14:paraId="1C54F278" w14:textId="40FFA1DC" w:rsidR="00FC3AFE" w:rsidRDefault="00FC3AFE">
      <w:pPr>
        <w:pStyle w:val="CommentText"/>
      </w:pPr>
      <w:r>
        <w:rPr>
          <w:rStyle w:val="CommentReference"/>
        </w:rPr>
        <w:annotationRef/>
      </w:r>
      <w:r>
        <w:t>I agree. The updated version of the figure has it.</w:t>
      </w:r>
    </w:p>
  </w:comment>
  <w:comment w:id="28" w:author="Michael Cramer" w:date="2019-12-03T08:17:00Z" w:initials="MC">
    <w:p w14:paraId="5C360526" w14:textId="3EE07712" w:rsidR="00FC3AFE" w:rsidRDefault="00FC3AFE">
      <w:pPr>
        <w:pStyle w:val="CommentText"/>
      </w:pPr>
      <w:r>
        <w:rPr>
          <w:rStyle w:val="CommentReference"/>
        </w:rPr>
        <w:annotationRef/>
      </w:r>
      <w:r>
        <w:t xml:space="preserve">I think just refer to the table/figure (which?) rather than saying this. </w:t>
      </w:r>
    </w:p>
  </w:comment>
  <w:comment w:id="29" w:author="Ruan Van Mazijk" w:date="2019-12-03T11:57:00Z" w:initials="RVM">
    <w:p w14:paraId="07C22E28" w14:textId="471300FA" w:rsidR="00FC3AFE" w:rsidRDefault="00FC3AFE">
      <w:pPr>
        <w:pStyle w:val="CommentText"/>
      </w:pPr>
      <w:r>
        <w:rPr>
          <w:rStyle w:val="CommentReference"/>
        </w:rPr>
        <w:annotationRef/>
      </w:r>
      <w:r>
        <w:t>The table is for the univariate (ANCOVA) results, the figure for the multivariate results.</w:t>
      </w:r>
    </w:p>
  </w:comment>
  <w:comment w:id="30" w:author="Michael Cramer" w:date="2019-10-06T20:52:00Z" w:initials="MC">
    <w:p w14:paraId="44AE895E" w14:textId="77777777" w:rsidR="00FC3AFE" w:rsidRDefault="00FC3AFE" w:rsidP="001A7D58">
      <w:pPr>
        <w:pStyle w:val="CommentText"/>
      </w:pPr>
      <w:r>
        <w:rPr>
          <w:rStyle w:val="CommentReference"/>
        </w:rPr>
        <w:annotationRef/>
      </w:r>
      <w:r>
        <w:t>Why is this SD?</w:t>
      </w:r>
    </w:p>
  </w:comment>
  <w:comment w:id="31" w:author="Ruan Van Mazijk" w:date="2019-10-08T09:24:00Z" w:initials="RVM">
    <w:p w14:paraId="76D8A660" w14:textId="77777777" w:rsidR="00FC3AFE" w:rsidRDefault="00FC3AFE" w:rsidP="001A7D58">
      <w:pPr>
        <w:pStyle w:val="CommentText"/>
      </w:pPr>
      <w:r>
        <w:rPr>
          <w:rStyle w:val="CommentReference"/>
        </w:rPr>
        <w:annotationRef/>
      </w:r>
      <w:r>
        <w:t>Should it be the variance rather?</w:t>
      </w:r>
    </w:p>
  </w:comment>
  <w:comment w:id="32" w:author="Michael Cramer" w:date="2019-10-06T20:52:00Z" w:initials="MC">
    <w:p w14:paraId="72002478" w14:textId="77777777" w:rsidR="00FC3AFE" w:rsidRDefault="00FC3AFE" w:rsidP="00827247">
      <w:pPr>
        <w:pStyle w:val="CommentText"/>
      </w:pPr>
      <w:r>
        <w:rPr>
          <w:rStyle w:val="CommentReference"/>
        </w:rPr>
        <w:annotationRef/>
      </w:r>
      <w:r>
        <w:t>Why is this SD?</w:t>
      </w:r>
    </w:p>
  </w:comment>
  <w:comment w:id="33" w:author="Ruan Van Mazijk" w:date="2019-10-08T09:24:00Z" w:initials="RVM">
    <w:p w14:paraId="0A83FFEA" w14:textId="77777777" w:rsidR="00FC3AFE" w:rsidRDefault="00FC3AFE" w:rsidP="00827247">
      <w:pPr>
        <w:pStyle w:val="CommentText"/>
      </w:pPr>
      <w:r>
        <w:rPr>
          <w:rStyle w:val="CommentReference"/>
        </w:rPr>
        <w:annotationRef/>
      </w:r>
      <w:r>
        <w:t>Should it be the variance rather?</w:t>
      </w:r>
    </w:p>
  </w:comment>
  <w:comment w:id="35" w:author="Michael Cramer" w:date="2019-12-03T08:19:00Z" w:initials="MC">
    <w:p w14:paraId="20553D95" w14:textId="4D7D575C" w:rsidR="00FC3AFE" w:rsidRDefault="00FC3AFE">
      <w:pPr>
        <w:pStyle w:val="CommentText"/>
      </w:pPr>
      <w:r>
        <w:rPr>
          <w:rStyle w:val="CommentReference"/>
        </w:rPr>
        <w:annotationRef/>
      </w:r>
      <w:r>
        <w:t>Nice!</w:t>
      </w:r>
    </w:p>
  </w:comment>
  <w:comment w:id="34" w:author="Ruan Van Mazijk" w:date="2019-12-03T11:36:00Z" w:initials="RVM">
    <w:p w14:paraId="1CDB9C49" w14:textId="31B3356C" w:rsidR="00FC3AFE" w:rsidRDefault="00FC3AFE">
      <w:pPr>
        <w:pStyle w:val="CommentText"/>
      </w:pPr>
      <w:r>
        <w:rPr>
          <w:rStyle w:val="CommentReference"/>
        </w:rPr>
        <w:annotationRef/>
      </w:r>
      <w:r>
        <w:rPr>
          <w:rStyle w:val="CommentReference"/>
        </w:rPr>
        <w:annotationRef/>
      </w:r>
      <w:r>
        <w:t>Do you mean Figure 3a? If not, what sort of supporting figure do you wish?</w:t>
      </w:r>
    </w:p>
  </w:comment>
  <w:comment w:id="36" w:author="Michael Cramer" w:date="2019-10-06T20:52:00Z" w:initials="MC">
    <w:p w14:paraId="151A031E" w14:textId="77777777" w:rsidR="00FC3AFE" w:rsidRDefault="00FC3AFE" w:rsidP="003E77D9">
      <w:pPr>
        <w:pStyle w:val="CommentText"/>
      </w:pPr>
      <w:r>
        <w:rPr>
          <w:rStyle w:val="CommentReference"/>
        </w:rPr>
        <w:annotationRef/>
      </w:r>
      <w:r>
        <w:t>Why is this SD?</w:t>
      </w:r>
    </w:p>
  </w:comment>
  <w:comment w:id="37" w:author="Ruan Van Mazijk" w:date="2019-10-08T09:24:00Z" w:initials="RVM">
    <w:p w14:paraId="21F65C2F" w14:textId="77777777" w:rsidR="00FC3AFE" w:rsidRDefault="00FC3AFE" w:rsidP="003E77D9">
      <w:pPr>
        <w:pStyle w:val="CommentText"/>
      </w:pPr>
      <w:r>
        <w:rPr>
          <w:rStyle w:val="CommentReference"/>
        </w:rPr>
        <w:annotationRef/>
      </w:r>
      <w:r>
        <w:t>Should it be the variance rather?</w:t>
      </w:r>
    </w:p>
  </w:comment>
  <w:comment w:id="38" w:author="Michael Cramer" w:date="2019-10-06T20:52:00Z" w:initials="MC">
    <w:p w14:paraId="35D2187B" w14:textId="77777777" w:rsidR="00FC3AFE" w:rsidRDefault="00FC3AFE" w:rsidP="003E77D9">
      <w:pPr>
        <w:pStyle w:val="CommentText"/>
      </w:pPr>
      <w:r>
        <w:rPr>
          <w:rStyle w:val="CommentReference"/>
        </w:rPr>
        <w:annotationRef/>
      </w:r>
      <w:r>
        <w:t>Why is this SD?</w:t>
      </w:r>
    </w:p>
  </w:comment>
  <w:comment w:id="39" w:author="Ruan Van Mazijk" w:date="2019-10-08T09:24:00Z" w:initials="RVM">
    <w:p w14:paraId="5801EF70" w14:textId="77777777" w:rsidR="00FC3AFE" w:rsidRDefault="00FC3AFE" w:rsidP="003E77D9">
      <w:pPr>
        <w:pStyle w:val="CommentText"/>
      </w:pPr>
      <w:r>
        <w:rPr>
          <w:rStyle w:val="CommentReference"/>
        </w:rPr>
        <w:annotationRef/>
      </w:r>
      <w:r>
        <w:t>Should it be the variance rather?</w:t>
      </w:r>
    </w:p>
  </w:comment>
  <w:comment w:id="40" w:author="Michael Cramer" w:date="2019-10-06T20:52:00Z" w:initials="MC">
    <w:p w14:paraId="4CA8A44E" w14:textId="77777777" w:rsidR="00FC3AFE" w:rsidRDefault="00FC3AFE" w:rsidP="00C96F57">
      <w:pPr>
        <w:pStyle w:val="CommentText"/>
      </w:pPr>
      <w:r>
        <w:rPr>
          <w:rStyle w:val="CommentReference"/>
        </w:rPr>
        <w:annotationRef/>
      </w:r>
      <w:r>
        <w:t>Why is this SD?</w:t>
      </w:r>
    </w:p>
  </w:comment>
  <w:comment w:id="41" w:author="Ruan Van Mazijk" w:date="2019-10-08T09:24:00Z" w:initials="RVM">
    <w:p w14:paraId="7CB43028" w14:textId="77777777" w:rsidR="00FC3AFE" w:rsidRDefault="00FC3AFE" w:rsidP="00C96F57">
      <w:pPr>
        <w:pStyle w:val="CommentText"/>
      </w:pPr>
      <w:r>
        <w:rPr>
          <w:rStyle w:val="CommentReference"/>
        </w:rPr>
        <w:annotationRef/>
      </w:r>
      <w:r>
        <w:t>Should it be the variance rather?</w:t>
      </w:r>
    </w:p>
  </w:comment>
  <w:comment w:id="42" w:author="Michael Cramer" w:date="2019-12-03T08:21:00Z" w:initials="MC">
    <w:p w14:paraId="6585E7F5" w14:textId="714E833D" w:rsidR="00FC3AFE" w:rsidRDefault="00FC3AFE">
      <w:pPr>
        <w:pStyle w:val="CommentText"/>
      </w:pPr>
      <w:r>
        <w:rPr>
          <w:rStyle w:val="CommentReference"/>
        </w:rPr>
        <w:annotationRef/>
      </w:r>
      <w:r>
        <w:t>This is a little mind-bending I think.</w:t>
      </w:r>
    </w:p>
  </w:comment>
  <w:comment w:id="43" w:author="Ruan Van Mazijk" w:date="2019-12-03T12:04:00Z" w:initials="RVM">
    <w:p w14:paraId="3D3E71FC" w14:textId="5D03FC9C" w:rsidR="00FC3AFE" w:rsidRDefault="00FC3AFE">
      <w:pPr>
        <w:pStyle w:val="CommentText"/>
      </w:pPr>
      <w:r>
        <w:rPr>
          <w:rStyle w:val="CommentReference"/>
        </w:rPr>
        <w:annotationRef/>
      </w:r>
      <w:r>
        <w:t xml:space="preserve">Mind-bending like confusing? Or mind-binding like </w:t>
      </w:r>
      <w:r>
        <w:t>“</w:t>
      </w:r>
      <w:r>
        <w:t>wow</w:t>
      </w:r>
      <w:r>
        <w:t>”</w:t>
      </w:r>
      <w:r>
        <w:t>?...</w:t>
      </w:r>
    </w:p>
  </w:comment>
  <w:comment w:id="44" w:author="Michael Cramer" w:date="2019-12-03T11:05:00Z" w:initials="MC">
    <w:p w14:paraId="72D2893D" w14:textId="4CE8149C" w:rsidR="00FC3AFE" w:rsidRDefault="00FC3AFE">
      <w:pPr>
        <w:pStyle w:val="CommentText"/>
      </w:pPr>
      <w:r>
        <w:rPr>
          <w:rStyle w:val="CommentReference"/>
        </w:rPr>
        <w:annotationRef/>
      </w:r>
      <w:r>
        <w:t>This is the only reference to Figure 4</w:t>
      </w:r>
    </w:p>
  </w:comment>
  <w:comment w:id="45" w:author="Ruan Van Mazijk" w:date="2019-12-03T12:07:00Z" w:initials="RVM">
    <w:p w14:paraId="39197D3F" w14:textId="7E9A817E" w:rsidR="00FC3AFE" w:rsidRDefault="00FC3AFE">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8" w:author="Ruan Van Mazijk [2]" w:date="2019-12-30T10:34:00Z" w:initials="RVM">
    <w:p w14:paraId="0217C32F" w14:textId="56A0B283" w:rsidR="008D0795" w:rsidRDefault="008D0795">
      <w:pPr>
        <w:pStyle w:val="CommentText"/>
      </w:pPr>
      <w:r>
        <w:rPr>
          <w:rStyle w:val="CommentReference"/>
        </w:rPr>
        <w:annotationRef/>
      </w:r>
      <w:r>
        <w:t>!!!!!!!!!!!!!!!!!!!!!!!!!!!!!</w:t>
      </w:r>
    </w:p>
  </w:comment>
  <w:comment w:id="49" w:author="Michael Cramer" w:date="2019-12-03T08:28:00Z" w:initials="MC">
    <w:p w14:paraId="7BAA7050" w14:textId="1B13D596" w:rsidR="00FC3AFE" w:rsidRDefault="00FC3AFE">
      <w:pPr>
        <w:pStyle w:val="CommentText"/>
      </w:pPr>
      <w:r>
        <w:rPr>
          <w:rStyle w:val="CommentReference"/>
        </w:rPr>
        <w:annotationRef/>
      </w:r>
      <w:r>
        <w:t>I am not at all convinced by this argument. Isn</w:t>
      </w:r>
      <w:r>
        <w:t>’</w:t>
      </w:r>
      <w:r>
        <w:t>t this just a necessary consequence of data aggregation?</w:t>
      </w:r>
    </w:p>
  </w:comment>
  <w:comment w:id="50" w:author="Michael Cramer" w:date="2019-12-03T08:42:00Z" w:initials="MC">
    <w:p w14:paraId="6DD55F01" w14:textId="4C4083CF" w:rsidR="00FC3AFE" w:rsidRDefault="00FC3AFE">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51" w:author="Michael Cramer" w:date="2019-12-03T10:43:00Z" w:initials="MC">
    <w:p w14:paraId="12C42DED" w14:textId="5819E472" w:rsidR="00FC3AFE" w:rsidRDefault="00FC3AFE">
      <w:pPr>
        <w:pStyle w:val="CommentText"/>
      </w:pPr>
      <w:r>
        <w:rPr>
          <w:rStyle w:val="CommentReference"/>
        </w:rPr>
        <w:annotationRef/>
      </w:r>
      <w:r>
        <w:t>Don</w:t>
      </w:r>
      <w:r>
        <w:t>’</w:t>
      </w:r>
      <w:r>
        <w:t>t you think that Perth requires a mention too. There is a different matter. It is the potential inflation of species richness by anthropogenic imports.</w:t>
      </w:r>
    </w:p>
    <w:p w14:paraId="5F3E149F" w14:textId="6DD801A6" w:rsidR="00FC3AFE" w:rsidRDefault="00FC3AFE">
      <w:pPr>
        <w:pStyle w:val="CommentText"/>
      </w:pPr>
    </w:p>
  </w:comment>
  <w:comment w:id="55" w:author="Michael Cramer" w:date="2019-10-07T10:02:00Z" w:initials="MC">
    <w:p w14:paraId="4937B472" w14:textId="0312FCE7" w:rsidR="00FC3AFE" w:rsidRDefault="00FC3AFE" w:rsidP="006F5A52">
      <w:pPr>
        <w:pStyle w:val="CommentText"/>
      </w:pPr>
      <w:r>
        <w:rPr>
          <w:rStyle w:val="CommentReference"/>
        </w:rPr>
        <w:annotationRef/>
      </w:r>
      <w:r>
        <w:t>Should these be normalized for the total number of QDS or HDS?</w:t>
      </w:r>
    </w:p>
  </w:comment>
  <w:comment w:id="56" w:author="Ruan Van Mazijk" w:date="2019-10-07T12:19:00Z" w:initials="RVM">
    <w:p w14:paraId="77A93CC5" w14:textId="3A13C47F" w:rsidR="00FC3AFE" w:rsidRDefault="00FC3AFE">
      <w:pPr>
        <w:pStyle w:val="CommentText"/>
      </w:pPr>
      <w:r>
        <w:rPr>
          <w:rStyle w:val="CommentReference"/>
        </w:rPr>
        <w:annotationRef/>
      </w:r>
      <w:r>
        <w:t>Note sure what you mean?</w:t>
      </w:r>
    </w:p>
  </w:comment>
  <w:comment w:id="53" w:author="Michael Cramer" w:date="2019-12-03T10:58:00Z" w:initials="MC">
    <w:p w14:paraId="11E838FE" w14:textId="753F8830" w:rsidR="00FC3AFE" w:rsidRDefault="00FC3AFE">
      <w:pPr>
        <w:pStyle w:val="CommentText"/>
      </w:pPr>
      <w:r>
        <w:rPr>
          <w:rStyle w:val="CommentReference"/>
        </w:rPr>
        <w:annotationRef/>
      </w:r>
      <w:r>
        <w:t>I am not sure about this combination of figures being appropriate. The exclusion of DS here seems strange. Maybe this can be rearranged.</w:t>
      </w:r>
    </w:p>
  </w:comment>
  <w:comment w:id="54" w:author="Ruan Van Mazijk" w:date="2019-12-03T12:17:00Z" w:initials="RVM">
    <w:p w14:paraId="20D71E78" w14:textId="544E27A0" w:rsidR="00FC3AFE" w:rsidRDefault="00FC3AFE">
      <w:pPr>
        <w:pStyle w:val="CommentText"/>
      </w:pPr>
      <w:r>
        <w:rPr>
          <w:rStyle w:val="CommentReference"/>
        </w:rPr>
        <w:annotationRef/>
      </w:r>
      <w:r>
        <w:t>Updated figure does this, I think.</w:t>
      </w:r>
    </w:p>
  </w:comment>
  <w:comment w:id="57" w:author="Michael Cramer" w:date="2019-12-03T08:32:00Z" w:initials="MC">
    <w:p w14:paraId="350C35AF" w14:textId="7ED0BEDD" w:rsidR="00FC3AFE" w:rsidRDefault="00FC3AFE">
      <w:pPr>
        <w:pStyle w:val="CommentText"/>
      </w:pPr>
      <w:r>
        <w:rPr>
          <w:rStyle w:val="CommentReference"/>
        </w:rPr>
        <w:annotationRef/>
      </w:r>
      <w:r>
        <w:t>What does the steeper slope at DS mean? Is it steeper in fact? Actually I don</w:t>
      </w:r>
      <w:r>
        <w:t>’</w:t>
      </w:r>
      <w:r>
        <w:t>t know what the slope means</w:t>
      </w:r>
      <w:r>
        <w:t>…</w:t>
      </w:r>
      <w:r>
        <w:t xml:space="preserve">. </w:t>
      </w:r>
    </w:p>
  </w:comment>
  <w:comment w:id="58" w:author="Michael Cramer" w:date="2019-12-03T11:02:00Z" w:initials="MC">
    <w:p w14:paraId="43265982" w14:textId="7C216E94" w:rsidR="00FC3AFE" w:rsidRDefault="00FC3AFE">
      <w:pPr>
        <w:pStyle w:val="CommentText"/>
      </w:pPr>
      <w:r>
        <w:rPr>
          <w:rStyle w:val="CommentReference"/>
        </w:rPr>
        <w:annotationRef/>
      </w:r>
      <w:r>
        <w:t xml:space="preserve">What is SWAFR in the predictor list? Should this be </w:t>
      </w:r>
      <w:r>
        <w:t>“</w:t>
      </w:r>
      <w:r>
        <w:t>Region</w:t>
      </w:r>
      <w:r>
        <w:t>”</w:t>
      </w:r>
      <w:r>
        <w:t>?</w:t>
      </w:r>
    </w:p>
  </w:comment>
  <w:comment w:id="59" w:author="Ruan Van Mazijk" w:date="2019-12-03T12:16:00Z" w:initials="RVM">
    <w:p w14:paraId="151CA642" w14:textId="69319484" w:rsidR="00FC3AFE" w:rsidRPr="00AC2235" w:rsidRDefault="00FC3AFE">
      <w:pPr>
        <w:pStyle w:val="CommentText"/>
      </w:pPr>
      <w:r>
        <w:rPr>
          <w:rStyle w:val="CommentReference"/>
        </w:rPr>
        <w:annotationRef/>
      </w:r>
      <w:r>
        <w:t xml:space="preserve">Think </w:t>
      </w:r>
      <w:r>
        <w:t>“</w:t>
      </w:r>
      <w:proofErr w:type="spellStart"/>
      <w:r>
        <w:t>Region</w:t>
      </w:r>
      <w:r>
        <w:rPr>
          <w:vertAlign w:val="subscript"/>
        </w:rPr>
        <w:t>SWAFR</w:t>
      </w:r>
      <w:proofErr w:type="spellEnd"/>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C3B27" w15:done="1"/>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1"/>
  <w15:commentEx w15:paraId="03CFEB10" w15:done="1"/>
  <w15:commentEx w15:paraId="52802E12" w15:paraIdParent="03CFEB10" w15:done="1"/>
  <w15:commentEx w15:paraId="1C33D467" w15:done="0"/>
  <w15:commentEx w15:paraId="5228A70D" w15:done="1"/>
  <w15:commentEx w15:paraId="7FCF8830" w15:paraIdParent="5228A70D" w15:done="1"/>
  <w15:commentEx w15:paraId="5AED77A5" w15:done="1"/>
  <w15:commentEx w15:paraId="1E812954" w15:paraIdParent="5AED77A5" w15:done="1"/>
  <w15:commentEx w15:paraId="3D93755E" w15:done="1"/>
  <w15:commentEx w15:paraId="4E6C485B" w15:paraIdParent="3D93755E" w15:done="1"/>
  <w15:commentEx w15:paraId="13E1EB9E" w15:done="0"/>
  <w15:commentEx w15:paraId="3FA9A013" w15:done="1"/>
  <w15:commentEx w15:paraId="3121CA7E" w15:paraIdParent="3FA9A013" w15:done="1"/>
  <w15:commentEx w15:paraId="330C274F" w15:done="1"/>
  <w15:commentEx w15:paraId="1C54F278" w15:paraIdParent="330C274F" w15:done="1"/>
  <w15:commentEx w15:paraId="5C360526" w15:done="1"/>
  <w15:commentEx w15:paraId="07C22E28" w15:paraIdParent="5C360526" w15:done="1"/>
  <w15:commentEx w15:paraId="44AE895E" w15:done="1"/>
  <w15:commentEx w15:paraId="76D8A660" w15:paraIdParent="44AE895E" w15:done="1"/>
  <w15:commentEx w15:paraId="72002478" w15:done="1"/>
  <w15:commentEx w15:paraId="0A83FFEA" w15:paraIdParent="72002478" w15:done="1"/>
  <w15:commentEx w15:paraId="20553D95" w15:done="1"/>
  <w15:commentEx w15:paraId="1CDB9C49" w15:done="1"/>
  <w15:commentEx w15:paraId="151A031E" w15:done="1"/>
  <w15:commentEx w15:paraId="21F65C2F" w15:paraIdParent="151A031E" w15:done="1"/>
  <w15:commentEx w15:paraId="35D2187B" w15:done="1"/>
  <w15:commentEx w15:paraId="5801EF70" w15:paraIdParent="35D2187B" w15:done="1"/>
  <w15:commentEx w15:paraId="4CA8A44E" w15:done="1"/>
  <w15:commentEx w15:paraId="7CB43028" w15:paraIdParent="4CA8A44E" w15:done="1"/>
  <w15:commentEx w15:paraId="6585E7F5" w15:done="1"/>
  <w15:commentEx w15:paraId="3D3E71FC" w15:paraIdParent="6585E7F5" w15:done="1"/>
  <w15:commentEx w15:paraId="72D2893D" w15:done="1"/>
  <w15:commentEx w15:paraId="39197D3F" w15:paraIdParent="72D2893D" w15:done="1"/>
  <w15:commentEx w15:paraId="0217C32F" w15:done="0"/>
  <w15:commentEx w15:paraId="7BAA7050" w15:done="0"/>
  <w15:commentEx w15:paraId="6DD55F01" w15:done="0"/>
  <w15:commentEx w15:paraId="5F3E149F" w15:done="0"/>
  <w15:commentEx w15:paraId="4937B472" w15:done="1"/>
  <w15:commentEx w15:paraId="77A93CC5" w15:paraIdParent="4937B472" w15:done="1"/>
  <w15:commentEx w15:paraId="11E838FE" w15:done="1"/>
  <w15:commentEx w15:paraId="20D71E78" w15:paraIdParent="11E838FE" w15:done="1"/>
  <w15:commentEx w15:paraId="350C35AF" w15:done="1"/>
  <w15:commentEx w15:paraId="43265982" w15:done="1"/>
  <w15:commentEx w15:paraId="151CA642" w15:paraIdParent="4326598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C3B27" w16cid:durableId="2190D7AA"/>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1C33D467" w16cid:durableId="21920EA1"/>
  <w16cid:commentId w16cid:paraId="5228A70D" w16cid:durableId="218F7430"/>
  <w16cid:commentId w16cid:paraId="7FCF8830" w16cid:durableId="219211E2"/>
  <w16cid:commentId w16cid:paraId="5AED77A5" w16cid:durableId="2144C8B0"/>
  <w16cid:commentId w16cid:paraId="1E812954" w16cid:durableId="2145DBC4"/>
  <w16cid:commentId w16cid:paraId="3D93755E" w16cid:durableId="2144C8FE"/>
  <w16cid:commentId w16cid:paraId="4E6C485B" w16cid:durableId="2145A72D"/>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0217C32F" w16cid:durableId="21B45151"/>
  <w16cid:commentId w16cid:paraId="7BAA7050" w16cid:durableId="21909B1E"/>
  <w16cid:commentId w16cid:paraId="6DD55F01" w16cid:durableId="21909E6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CD836" w14:textId="77777777" w:rsidR="005746E0" w:rsidRDefault="005746E0">
      <w:pPr>
        <w:spacing w:after="0"/>
      </w:pPr>
      <w:r>
        <w:separator/>
      </w:r>
    </w:p>
  </w:endnote>
  <w:endnote w:type="continuationSeparator" w:id="0">
    <w:p w14:paraId="7B2FDC83" w14:textId="77777777" w:rsidR="005746E0" w:rsidRDefault="005746E0">
      <w:pPr>
        <w:spacing w:after="0"/>
      </w:pPr>
      <w:r>
        <w:continuationSeparator/>
      </w:r>
    </w:p>
  </w:endnote>
  <w:endnote w:type="continuationNotice" w:id="1">
    <w:p w14:paraId="0110A94E" w14:textId="77777777" w:rsidR="005746E0" w:rsidRDefault="005746E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FC3AFE" w:rsidRDefault="00FC3AFE">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FC3AFE" w:rsidRDefault="00FC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28F27" w14:textId="77777777" w:rsidR="005746E0" w:rsidRDefault="005746E0">
      <w:r>
        <w:separator/>
      </w:r>
    </w:p>
  </w:footnote>
  <w:footnote w:type="continuationSeparator" w:id="0">
    <w:p w14:paraId="2D7EA3A2" w14:textId="77777777" w:rsidR="005746E0" w:rsidRDefault="005746E0">
      <w:r>
        <w:continuationSeparator/>
      </w:r>
    </w:p>
  </w:footnote>
  <w:footnote w:type="continuationNotice" w:id="1">
    <w:p w14:paraId="49A28717" w14:textId="77777777" w:rsidR="005746E0" w:rsidRDefault="005746E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rson w15:author="Ruan Van Mazijk [2]">
    <w15:presenceInfo w15:providerId="AD" w15:userId="S::vmzrua001@myuct.ac.za::f50431c7-080a-4259-97ee-a4bb5c3366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510"/>
    <w:rsid w:val="00060E27"/>
    <w:rsid w:val="000611F5"/>
    <w:rsid w:val="000621D6"/>
    <w:rsid w:val="000622E8"/>
    <w:rsid w:val="00062A2B"/>
    <w:rsid w:val="0006360F"/>
    <w:rsid w:val="00064E62"/>
    <w:rsid w:val="00065128"/>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4808"/>
    <w:rsid w:val="00086052"/>
    <w:rsid w:val="0008627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117A"/>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4B76"/>
    <w:rsid w:val="00115FA8"/>
    <w:rsid w:val="00117505"/>
    <w:rsid w:val="0012073A"/>
    <w:rsid w:val="00120FD9"/>
    <w:rsid w:val="0012344F"/>
    <w:rsid w:val="00123A7A"/>
    <w:rsid w:val="00123B47"/>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47258"/>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D4A"/>
    <w:rsid w:val="0019107E"/>
    <w:rsid w:val="00191261"/>
    <w:rsid w:val="0019466D"/>
    <w:rsid w:val="00195211"/>
    <w:rsid w:val="00195C63"/>
    <w:rsid w:val="001A0AB2"/>
    <w:rsid w:val="001A123A"/>
    <w:rsid w:val="001A150C"/>
    <w:rsid w:val="001A1879"/>
    <w:rsid w:val="001A20FA"/>
    <w:rsid w:val="001A23A6"/>
    <w:rsid w:val="001A29B8"/>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3D4C"/>
    <w:rsid w:val="001D4356"/>
    <w:rsid w:val="001D4BC0"/>
    <w:rsid w:val="001D58D6"/>
    <w:rsid w:val="001D7221"/>
    <w:rsid w:val="001E0C75"/>
    <w:rsid w:val="001E1442"/>
    <w:rsid w:val="001E2A3C"/>
    <w:rsid w:val="001E414D"/>
    <w:rsid w:val="001E4787"/>
    <w:rsid w:val="001E723F"/>
    <w:rsid w:val="001F0A16"/>
    <w:rsid w:val="001F1053"/>
    <w:rsid w:val="001F2359"/>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65E6"/>
    <w:rsid w:val="0020680A"/>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32B"/>
    <w:rsid w:val="00235637"/>
    <w:rsid w:val="00236CF0"/>
    <w:rsid w:val="00237525"/>
    <w:rsid w:val="002376C5"/>
    <w:rsid w:val="00240829"/>
    <w:rsid w:val="00241435"/>
    <w:rsid w:val="00242181"/>
    <w:rsid w:val="00242EDD"/>
    <w:rsid w:val="0024363A"/>
    <w:rsid w:val="002448E4"/>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57D86"/>
    <w:rsid w:val="002604CE"/>
    <w:rsid w:val="00261A54"/>
    <w:rsid w:val="002624D4"/>
    <w:rsid w:val="002626CC"/>
    <w:rsid w:val="00262EF2"/>
    <w:rsid w:val="00262F02"/>
    <w:rsid w:val="002644D2"/>
    <w:rsid w:val="002644F5"/>
    <w:rsid w:val="002658EC"/>
    <w:rsid w:val="00265947"/>
    <w:rsid w:val="00267348"/>
    <w:rsid w:val="00270A25"/>
    <w:rsid w:val="00270B4B"/>
    <w:rsid w:val="002711B7"/>
    <w:rsid w:val="00271377"/>
    <w:rsid w:val="00272E07"/>
    <w:rsid w:val="00273150"/>
    <w:rsid w:val="002736BC"/>
    <w:rsid w:val="00273B1A"/>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5C5"/>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6BE"/>
    <w:rsid w:val="002A7DA8"/>
    <w:rsid w:val="002B028E"/>
    <w:rsid w:val="002B0B88"/>
    <w:rsid w:val="002B0F5B"/>
    <w:rsid w:val="002B270F"/>
    <w:rsid w:val="002B2755"/>
    <w:rsid w:val="002B3741"/>
    <w:rsid w:val="002B390D"/>
    <w:rsid w:val="002B49E3"/>
    <w:rsid w:val="002B4C08"/>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7D0"/>
    <w:rsid w:val="00305C02"/>
    <w:rsid w:val="00305F60"/>
    <w:rsid w:val="003061B2"/>
    <w:rsid w:val="003063F7"/>
    <w:rsid w:val="003067AF"/>
    <w:rsid w:val="00306A3A"/>
    <w:rsid w:val="00307282"/>
    <w:rsid w:val="00310608"/>
    <w:rsid w:val="00310871"/>
    <w:rsid w:val="003115F6"/>
    <w:rsid w:val="00311E35"/>
    <w:rsid w:val="00312AA7"/>
    <w:rsid w:val="00314A7A"/>
    <w:rsid w:val="00314D2C"/>
    <w:rsid w:val="00317DAF"/>
    <w:rsid w:val="003209CF"/>
    <w:rsid w:val="00321C77"/>
    <w:rsid w:val="00323509"/>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3FAF"/>
    <w:rsid w:val="003450F4"/>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3FC"/>
    <w:rsid w:val="003617CF"/>
    <w:rsid w:val="00363038"/>
    <w:rsid w:val="00364F0A"/>
    <w:rsid w:val="00365CC9"/>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2B0D"/>
    <w:rsid w:val="003B49FB"/>
    <w:rsid w:val="003B6813"/>
    <w:rsid w:val="003B7C89"/>
    <w:rsid w:val="003B7DC8"/>
    <w:rsid w:val="003B7DEF"/>
    <w:rsid w:val="003C085D"/>
    <w:rsid w:val="003C1C5A"/>
    <w:rsid w:val="003C1D3C"/>
    <w:rsid w:val="003C30C4"/>
    <w:rsid w:val="003C34D2"/>
    <w:rsid w:val="003C35C8"/>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2156"/>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2B"/>
    <w:rsid w:val="00404DA4"/>
    <w:rsid w:val="0040528B"/>
    <w:rsid w:val="00405952"/>
    <w:rsid w:val="004063C5"/>
    <w:rsid w:val="004064DB"/>
    <w:rsid w:val="004066C3"/>
    <w:rsid w:val="0040717E"/>
    <w:rsid w:val="00407D70"/>
    <w:rsid w:val="004121C0"/>
    <w:rsid w:val="00412F61"/>
    <w:rsid w:val="004134AA"/>
    <w:rsid w:val="0041655F"/>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C06"/>
    <w:rsid w:val="00461E25"/>
    <w:rsid w:val="00462611"/>
    <w:rsid w:val="0046296E"/>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99D"/>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0F1"/>
    <w:rsid w:val="004C331B"/>
    <w:rsid w:val="004C4C3A"/>
    <w:rsid w:val="004D0D3F"/>
    <w:rsid w:val="004D0F24"/>
    <w:rsid w:val="004D13EA"/>
    <w:rsid w:val="004D1EB8"/>
    <w:rsid w:val="004D2893"/>
    <w:rsid w:val="004D44BC"/>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4"/>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4C5C"/>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37B9C"/>
    <w:rsid w:val="00540260"/>
    <w:rsid w:val="005446B2"/>
    <w:rsid w:val="00544C0F"/>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49C9"/>
    <w:rsid w:val="00565039"/>
    <w:rsid w:val="0056568D"/>
    <w:rsid w:val="00565EFE"/>
    <w:rsid w:val="00565F05"/>
    <w:rsid w:val="0056633D"/>
    <w:rsid w:val="00570BEE"/>
    <w:rsid w:val="005732D5"/>
    <w:rsid w:val="00573ACA"/>
    <w:rsid w:val="005746E0"/>
    <w:rsid w:val="0057611C"/>
    <w:rsid w:val="00576C2F"/>
    <w:rsid w:val="0057720E"/>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446D"/>
    <w:rsid w:val="005956CA"/>
    <w:rsid w:val="00595B0A"/>
    <w:rsid w:val="00595C4E"/>
    <w:rsid w:val="0059637F"/>
    <w:rsid w:val="00596AC4"/>
    <w:rsid w:val="005A1B4C"/>
    <w:rsid w:val="005A3FC0"/>
    <w:rsid w:val="005A4616"/>
    <w:rsid w:val="005A4E2A"/>
    <w:rsid w:val="005A5913"/>
    <w:rsid w:val="005A6B10"/>
    <w:rsid w:val="005A71D2"/>
    <w:rsid w:val="005A7B39"/>
    <w:rsid w:val="005B0BD6"/>
    <w:rsid w:val="005B0DBE"/>
    <w:rsid w:val="005B127F"/>
    <w:rsid w:val="005B1454"/>
    <w:rsid w:val="005B15A2"/>
    <w:rsid w:val="005B1C53"/>
    <w:rsid w:val="005B22E7"/>
    <w:rsid w:val="005B332E"/>
    <w:rsid w:val="005B39FE"/>
    <w:rsid w:val="005B4261"/>
    <w:rsid w:val="005B53CF"/>
    <w:rsid w:val="005B56E1"/>
    <w:rsid w:val="005B572A"/>
    <w:rsid w:val="005B5B14"/>
    <w:rsid w:val="005B5F80"/>
    <w:rsid w:val="005B5F97"/>
    <w:rsid w:val="005B6901"/>
    <w:rsid w:val="005B76B1"/>
    <w:rsid w:val="005C0E41"/>
    <w:rsid w:val="005C122F"/>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D74C8"/>
    <w:rsid w:val="005E135C"/>
    <w:rsid w:val="005E15C9"/>
    <w:rsid w:val="005E19A4"/>
    <w:rsid w:val="005E220D"/>
    <w:rsid w:val="005E31B9"/>
    <w:rsid w:val="005E331E"/>
    <w:rsid w:val="005E5F02"/>
    <w:rsid w:val="005F03CE"/>
    <w:rsid w:val="005F0D12"/>
    <w:rsid w:val="005F0FFB"/>
    <w:rsid w:val="005F18B9"/>
    <w:rsid w:val="005F1917"/>
    <w:rsid w:val="005F2B2F"/>
    <w:rsid w:val="005F4573"/>
    <w:rsid w:val="005F49E0"/>
    <w:rsid w:val="005F569C"/>
    <w:rsid w:val="005F573D"/>
    <w:rsid w:val="005F5881"/>
    <w:rsid w:val="005F60AF"/>
    <w:rsid w:val="005F60C1"/>
    <w:rsid w:val="005F60E0"/>
    <w:rsid w:val="005F79BD"/>
    <w:rsid w:val="005F7AE4"/>
    <w:rsid w:val="005F7C7C"/>
    <w:rsid w:val="005F7E3B"/>
    <w:rsid w:val="00600AF1"/>
    <w:rsid w:val="00601362"/>
    <w:rsid w:val="006026B4"/>
    <w:rsid w:val="00602D3B"/>
    <w:rsid w:val="00603141"/>
    <w:rsid w:val="00604263"/>
    <w:rsid w:val="00604415"/>
    <w:rsid w:val="00604A35"/>
    <w:rsid w:val="00605427"/>
    <w:rsid w:val="006056E9"/>
    <w:rsid w:val="00605F37"/>
    <w:rsid w:val="0060601F"/>
    <w:rsid w:val="006067C1"/>
    <w:rsid w:val="006067F9"/>
    <w:rsid w:val="0061190A"/>
    <w:rsid w:val="006121BD"/>
    <w:rsid w:val="006125FF"/>
    <w:rsid w:val="006139A3"/>
    <w:rsid w:val="0061501B"/>
    <w:rsid w:val="00616091"/>
    <w:rsid w:val="0061648E"/>
    <w:rsid w:val="006175A1"/>
    <w:rsid w:val="00620ABE"/>
    <w:rsid w:val="00621603"/>
    <w:rsid w:val="00623216"/>
    <w:rsid w:val="006236CD"/>
    <w:rsid w:val="006255A4"/>
    <w:rsid w:val="006265CD"/>
    <w:rsid w:val="006277B7"/>
    <w:rsid w:val="0062793F"/>
    <w:rsid w:val="00632570"/>
    <w:rsid w:val="00632A02"/>
    <w:rsid w:val="00633C2F"/>
    <w:rsid w:val="00634215"/>
    <w:rsid w:val="00634D1A"/>
    <w:rsid w:val="00635209"/>
    <w:rsid w:val="00635CA7"/>
    <w:rsid w:val="00636AF1"/>
    <w:rsid w:val="006373C4"/>
    <w:rsid w:val="006373D0"/>
    <w:rsid w:val="0063745C"/>
    <w:rsid w:val="00637653"/>
    <w:rsid w:val="006401C7"/>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9BD"/>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2F51"/>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00F"/>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3EF8"/>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3A"/>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011"/>
    <w:rsid w:val="007051DF"/>
    <w:rsid w:val="00705608"/>
    <w:rsid w:val="00705B23"/>
    <w:rsid w:val="00706C97"/>
    <w:rsid w:val="00706CF1"/>
    <w:rsid w:val="00706E64"/>
    <w:rsid w:val="0071024E"/>
    <w:rsid w:val="00711950"/>
    <w:rsid w:val="00711CBD"/>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016"/>
    <w:rsid w:val="00732FE5"/>
    <w:rsid w:val="0073363C"/>
    <w:rsid w:val="0073580D"/>
    <w:rsid w:val="00736302"/>
    <w:rsid w:val="00736360"/>
    <w:rsid w:val="0073660C"/>
    <w:rsid w:val="00736F44"/>
    <w:rsid w:val="0073719B"/>
    <w:rsid w:val="00741F6E"/>
    <w:rsid w:val="0074274A"/>
    <w:rsid w:val="00743B78"/>
    <w:rsid w:val="00745B62"/>
    <w:rsid w:val="0074652D"/>
    <w:rsid w:val="00746C1C"/>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67B72"/>
    <w:rsid w:val="00767DB5"/>
    <w:rsid w:val="007704C7"/>
    <w:rsid w:val="00771DE5"/>
    <w:rsid w:val="00771E0F"/>
    <w:rsid w:val="00773D2C"/>
    <w:rsid w:val="007743CF"/>
    <w:rsid w:val="00774484"/>
    <w:rsid w:val="00774C5C"/>
    <w:rsid w:val="00774D41"/>
    <w:rsid w:val="007755AC"/>
    <w:rsid w:val="00775A42"/>
    <w:rsid w:val="00776E99"/>
    <w:rsid w:val="00777C00"/>
    <w:rsid w:val="0078067F"/>
    <w:rsid w:val="007807E0"/>
    <w:rsid w:val="00780F37"/>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CF4"/>
    <w:rsid w:val="007A3F28"/>
    <w:rsid w:val="007A4238"/>
    <w:rsid w:val="007A4DF2"/>
    <w:rsid w:val="007A506C"/>
    <w:rsid w:val="007A5199"/>
    <w:rsid w:val="007A5378"/>
    <w:rsid w:val="007A5438"/>
    <w:rsid w:val="007A5A17"/>
    <w:rsid w:val="007A6D6D"/>
    <w:rsid w:val="007A7C1E"/>
    <w:rsid w:val="007B1591"/>
    <w:rsid w:val="007B1F3F"/>
    <w:rsid w:val="007B1FA8"/>
    <w:rsid w:val="007B46C9"/>
    <w:rsid w:val="007B5DBC"/>
    <w:rsid w:val="007B738D"/>
    <w:rsid w:val="007B7725"/>
    <w:rsid w:val="007B77BA"/>
    <w:rsid w:val="007B7ACC"/>
    <w:rsid w:val="007C06EE"/>
    <w:rsid w:val="007C0E34"/>
    <w:rsid w:val="007C1274"/>
    <w:rsid w:val="007C16D2"/>
    <w:rsid w:val="007C1C6F"/>
    <w:rsid w:val="007C308D"/>
    <w:rsid w:val="007C5406"/>
    <w:rsid w:val="007C5AFE"/>
    <w:rsid w:val="007C6DF4"/>
    <w:rsid w:val="007C706A"/>
    <w:rsid w:val="007C799F"/>
    <w:rsid w:val="007C79A1"/>
    <w:rsid w:val="007C7D4C"/>
    <w:rsid w:val="007D1813"/>
    <w:rsid w:val="007D1FB5"/>
    <w:rsid w:val="007D2936"/>
    <w:rsid w:val="007D4D6E"/>
    <w:rsid w:val="007D5F67"/>
    <w:rsid w:val="007D673C"/>
    <w:rsid w:val="007D7372"/>
    <w:rsid w:val="007D7D37"/>
    <w:rsid w:val="007E2349"/>
    <w:rsid w:val="007E4A90"/>
    <w:rsid w:val="007E4A9C"/>
    <w:rsid w:val="007E55CB"/>
    <w:rsid w:val="007E6D61"/>
    <w:rsid w:val="007E72DA"/>
    <w:rsid w:val="007E78CD"/>
    <w:rsid w:val="007E7D27"/>
    <w:rsid w:val="007F0700"/>
    <w:rsid w:val="007F13C1"/>
    <w:rsid w:val="007F191C"/>
    <w:rsid w:val="007F1A0B"/>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C54"/>
    <w:rsid w:val="00807D4D"/>
    <w:rsid w:val="00807DFE"/>
    <w:rsid w:val="0081010D"/>
    <w:rsid w:val="0081050E"/>
    <w:rsid w:val="00810D76"/>
    <w:rsid w:val="00810E40"/>
    <w:rsid w:val="00811D2B"/>
    <w:rsid w:val="00812978"/>
    <w:rsid w:val="00812AF1"/>
    <w:rsid w:val="008132D1"/>
    <w:rsid w:val="008132FA"/>
    <w:rsid w:val="008134BA"/>
    <w:rsid w:val="00814D9B"/>
    <w:rsid w:val="00815294"/>
    <w:rsid w:val="008153CF"/>
    <w:rsid w:val="008156BB"/>
    <w:rsid w:val="00815C93"/>
    <w:rsid w:val="00816786"/>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25C"/>
    <w:rsid w:val="0083497A"/>
    <w:rsid w:val="00834ED9"/>
    <w:rsid w:val="0083503C"/>
    <w:rsid w:val="008353FD"/>
    <w:rsid w:val="00835502"/>
    <w:rsid w:val="0083610B"/>
    <w:rsid w:val="008365BA"/>
    <w:rsid w:val="00836BCB"/>
    <w:rsid w:val="008374CE"/>
    <w:rsid w:val="00837D0B"/>
    <w:rsid w:val="00837E72"/>
    <w:rsid w:val="0084063D"/>
    <w:rsid w:val="00840830"/>
    <w:rsid w:val="00841086"/>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1B"/>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03E5"/>
    <w:rsid w:val="008D0795"/>
    <w:rsid w:val="008D18B9"/>
    <w:rsid w:val="008D1C35"/>
    <w:rsid w:val="008D2DCA"/>
    <w:rsid w:val="008D30F0"/>
    <w:rsid w:val="008D333A"/>
    <w:rsid w:val="008D3C44"/>
    <w:rsid w:val="008D4E78"/>
    <w:rsid w:val="008D52DD"/>
    <w:rsid w:val="008D58D0"/>
    <w:rsid w:val="008D6863"/>
    <w:rsid w:val="008D7235"/>
    <w:rsid w:val="008D7B9E"/>
    <w:rsid w:val="008E0DFC"/>
    <w:rsid w:val="008E0FD5"/>
    <w:rsid w:val="008E1988"/>
    <w:rsid w:val="008E1A65"/>
    <w:rsid w:val="008E22CF"/>
    <w:rsid w:val="008E24CB"/>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453"/>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0D80"/>
    <w:rsid w:val="0093209B"/>
    <w:rsid w:val="00932EF4"/>
    <w:rsid w:val="00933CCA"/>
    <w:rsid w:val="00934B42"/>
    <w:rsid w:val="00936231"/>
    <w:rsid w:val="00936825"/>
    <w:rsid w:val="00936C52"/>
    <w:rsid w:val="00937AAF"/>
    <w:rsid w:val="009408BD"/>
    <w:rsid w:val="00940FE7"/>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04F"/>
    <w:rsid w:val="00962F28"/>
    <w:rsid w:val="00963268"/>
    <w:rsid w:val="00964A63"/>
    <w:rsid w:val="00964F94"/>
    <w:rsid w:val="00966E9E"/>
    <w:rsid w:val="009674D3"/>
    <w:rsid w:val="0096757D"/>
    <w:rsid w:val="00970650"/>
    <w:rsid w:val="00970E27"/>
    <w:rsid w:val="00970F2D"/>
    <w:rsid w:val="009715DD"/>
    <w:rsid w:val="0097174D"/>
    <w:rsid w:val="009735F1"/>
    <w:rsid w:val="00976198"/>
    <w:rsid w:val="0097673D"/>
    <w:rsid w:val="00976F6A"/>
    <w:rsid w:val="00977493"/>
    <w:rsid w:val="00977607"/>
    <w:rsid w:val="0098075C"/>
    <w:rsid w:val="00980EDB"/>
    <w:rsid w:val="00981480"/>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22"/>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B7831"/>
    <w:rsid w:val="009C04F7"/>
    <w:rsid w:val="009C10BD"/>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3E4F"/>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10EB"/>
    <w:rsid w:val="00A523A6"/>
    <w:rsid w:val="00A5242F"/>
    <w:rsid w:val="00A52520"/>
    <w:rsid w:val="00A526C4"/>
    <w:rsid w:val="00A526D9"/>
    <w:rsid w:val="00A52CA1"/>
    <w:rsid w:val="00A53E92"/>
    <w:rsid w:val="00A541D4"/>
    <w:rsid w:val="00A54292"/>
    <w:rsid w:val="00A54BA1"/>
    <w:rsid w:val="00A54D05"/>
    <w:rsid w:val="00A5557E"/>
    <w:rsid w:val="00A560DF"/>
    <w:rsid w:val="00A56EBA"/>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0873"/>
    <w:rsid w:val="00A91799"/>
    <w:rsid w:val="00A921F9"/>
    <w:rsid w:val="00A940C8"/>
    <w:rsid w:val="00A9441F"/>
    <w:rsid w:val="00A95D88"/>
    <w:rsid w:val="00A968BF"/>
    <w:rsid w:val="00A9751F"/>
    <w:rsid w:val="00AA17FE"/>
    <w:rsid w:val="00AA210A"/>
    <w:rsid w:val="00AA2965"/>
    <w:rsid w:val="00AA3361"/>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B7C3A"/>
    <w:rsid w:val="00AC205D"/>
    <w:rsid w:val="00AC2235"/>
    <w:rsid w:val="00AC2D9C"/>
    <w:rsid w:val="00AC6269"/>
    <w:rsid w:val="00AC7DD5"/>
    <w:rsid w:val="00AC7ECB"/>
    <w:rsid w:val="00AD032E"/>
    <w:rsid w:val="00AD1230"/>
    <w:rsid w:val="00AD171B"/>
    <w:rsid w:val="00AD2575"/>
    <w:rsid w:val="00AD2B72"/>
    <w:rsid w:val="00AD4DCC"/>
    <w:rsid w:val="00AD58CE"/>
    <w:rsid w:val="00AD644F"/>
    <w:rsid w:val="00AD6510"/>
    <w:rsid w:val="00AD6B4B"/>
    <w:rsid w:val="00AD7177"/>
    <w:rsid w:val="00AD7292"/>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CD0"/>
    <w:rsid w:val="00AF0EB0"/>
    <w:rsid w:val="00AF0ECA"/>
    <w:rsid w:val="00AF1477"/>
    <w:rsid w:val="00AF21A3"/>
    <w:rsid w:val="00AF264A"/>
    <w:rsid w:val="00AF28E4"/>
    <w:rsid w:val="00AF37A6"/>
    <w:rsid w:val="00AF3C81"/>
    <w:rsid w:val="00AF3EA1"/>
    <w:rsid w:val="00AF40D3"/>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05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5FF5"/>
    <w:rsid w:val="00B36D68"/>
    <w:rsid w:val="00B41324"/>
    <w:rsid w:val="00B419FD"/>
    <w:rsid w:val="00B41D09"/>
    <w:rsid w:val="00B44249"/>
    <w:rsid w:val="00B4526C"/>
    <w:rsid w:val="00B45B12"/>
    <w:rsid w:val="00B461C6"/>
    <w:rsid w:val="00B46208"/>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4F53"/>
    <w:rsid w:val="00B6526E"/>
    <w:rsid w:val="00B67ACF"/>
    <w:rsid w:val="00B67B46"/>
    <w:rsid w:val="00B7025C"/>
    <w:rsid w:val="00B70AC8"/>
    <w:rsid w:val="00B718C1"/>
    <w:rsid w:val="00B71D27"/>
    <w:rsid w:val="00B72F5A"/>
    <w:rsid w:val="00B730A8"/>
    <w:rsid w:val="00B73333"/>
    <w:rsid w:val="00B73B0B"/>
    <w:rsid w:val="00B73D31"/>
    <w:rsid w:val="00B756DA"/>
    <w:rsid w:val="00B75ACD"/>
    <w:rsid w:val="00B76C17"/>
    <w:rsid w:val="00B76D68"/>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21C"/>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2E13"/>
    <w:rsid w:val="00BB3048"/>
    <w:rsid w:val="00BB3071"/>
    <w:rsid w:val="00BB3353"/>
    <w:rsid w:val="00BB3791"/>
    <w:rsid w:val="00BB55C1"/>
    <w:rsid w:val="00BB5EDE"/>
    <w:rsid w:val="00BB6BE6"/>
    <w:rsid w:val="00BB7BC5"/>
    <w:rsid w:val="00BC0FCF"/>
    <w:rsid w:val="00BC1B90"/>
    <w:rsid w:val="00BC24BC"/>
    <w:rsid w:val="00BC2908"/>
    <w:rsid w:val="00BC31F1"/>
    <w:rsid w:val="00BC333A"/>
    <w:rsid w:val="00BC3391"/>
    <w:rsid w:val="00BC3667"/>
    <w:rsid w:val="00BC37CB"/>
    <w:rsid w:val="00BC38A4"/>
    <w:rsid w:val="00BC456F"/>
    <w:rsid w:val="00BC48D5"/>
    <w:rsid w:val="00BC50FA"/>
    <w:rsid w:val="00BC5725"/>
    <w:rsid w:val="00BC5EDB"/>
    <w:rsid w:val="00BC6AE7"/>
    <w:rsid w:val="00BC744A"/>
    <w:rsid w:val="00BD24C1"/>
    <w:rsid w:val="00BD4895"/>
    <w:rsid w:val="00BD4B4C"/>
    <w:rsid w:val="00BD5C4F"/>
    <w:rsid w:val="00BD5EE2"/>
    <w:rsid w:val="00BD72CC"/>
    <w:rsid w:val="00BD7A0C"/>
    <w:rsid w:val="00BD7BCB"/>
    <w:rsid w:val="00BE042E"/>
    <w:rsid w:val="00BE0660"/>
    <w:rsid w:val="00BE18DF"/>
    <w:rsid w:val="00BE1C44"/>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2BC"/>
    <w:rsid w:val="00C07B05"/>
    <w:rsid w:val="00C10BD2"/>
    <w:rsid w:val="00C116AB"/>
    <w:rsid w:val="00C11B97"/>
    <w:rsid w:val="00C12BA4"/>
    <w:rsid w:val="00C225E6"/>
    <w:rsid w:val="00C250BB"/>
    <w:rsid w:val="00C26903"/>
    <w:rsid w:val="00C2694A"/>
    <w:rsid w:val="00C2751C"/>
    <w:rsid w:val="00C27DBB"/>
    <w:rsid w:val="00C3047A"/>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67AE"/>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5E4"/>
    <w:rsid w:val="00C93FEA"/>
    <w:rsid w:val="00C945C4"/>
    <w:rsid w:val="00C95B1E"/>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6BFA"/>
    <w:rsid w:val="00CB7719"/>
    <w:rsid w:val="00CC00F5"/>
    <w:rsid w:val="00CC0323"/>
    <w:rsid w:val="00CC1042"/>
    <w:rsid w:val="00CC1848"/>
    <w:rsid w:val="00CC1A42"/>
    <w:rsid w:val="00CC2706"/>
    <w:rsid w:val="00CC3BF9"/>
    <w:rsid w:val="00CC4049"/>
    <w:rsid w:val="00CC43D5"/>
    <w:rsid w:val="00CC4536"/>
    <w:rsid w:val="00CC531D"/>
    <w:rsid w:val="00CC5DCB"/>
    <w:rsid w:val="00CD04A6"/>
    <w:rsid w:val="00CD22B0"/>
    <w:rsid w:val="00CD262A"/>
    <w:rsid w:val="00CD3B73"/>
    <w:rsid w:val="00CD4818"/>
    <w:rsid w:val="00CD50FE"/>
    <w:rsid w:val="00CD5330"/>
    <w:rsid w:val="00CD615B"/>
    <w:rsid w:val="00CD6D66"/>
    <w:rsid w:val="00CD7A9B"/>
    <w:rsid w:val="00CD7E3E"/>
    <w:rsid w:val="00CE0489"/>
    <w:rsid w:val="00CE0B41"/>
    <w:rsid w:val="00CE0E4F"/>
    <w:rsid w:val="00CE1746"/>
    <w:rsid w:val="00CE1B25"/>
    <w:rsid w:val="00CE206A"/>
    <w:rsid w:val="00CE21A6"/>
    <w:rsid w:val="00CE335D"/>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AFF"/>
    <w:rsid w:val="00D16E1A"/>
    <w:rsid w:val="00D173C1"/>
    <w:rsid w:val="00D1761D"/>
    <w:rsid w:val="00D17FCB"/>
    <w:rsid w:val="00D2022F"/>
    <w:rsid w:val="00D216E9"/>
    <w:rsid w:val="00D22196"/>
    <w:rsid w:val="00D22285"/>
    <w:rsid w:val="00D22297"/>
    <w:rsid w:val="00D23656"/>
    <w:rsid w:val="00D23BC6"/>
    <w:rsid w:val="00D2425F"/>
    <w:rsid w:val="00D24377"/>
    <w:rsid w:val="00D26D35"/>
    <w:rsid w:val="00D2755D"/>
    <w:rsid w:val="00D279AB"/>
    <w:rsid w:val="00D27DCB"/>
    <w:rsid w:val="00D305E0"/>
    <w:rsid w:val="00D3162A"/>
    <w:rsid w:val="00D31E68"/>
    <w:rsid w:val="00D34024"/>
    <w:rsid w:val="00D345A9"/>
    <w:rsid w:val="00D34705"/>
    <w:rsid w:val="00D35C08"/>
    <w:rsid w:val="00D366C1"/>
    <w:rsid w:val="00D371B8"/>
    <w:rsid w:val="00D40106"/>
    <w:rsid w:val="00D40708"/>
    <w:rsid w:val="00D4084A"/>
    <w:rsid w:val="00D43E24"/>
    <w:rsid w:val="00D44AB5"/>
    <w:rsid w:val="00D44B1E"/>
    <w:rsid w:val="00D44BB7"/>
    <w:rsid w:val="00D44C27"/>
    <w:rsid w:val="00D44DFC"/>
    <w:rsid w:val="00D46CCB"/>
    <w:rsid w:val="00D50517"/>
    <w:rsid w:val="00D51B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6A9A"/>
    <w:rsid w:val="00D77DB7"/>
    <w:rsid w:val="00D81A2B"/>
    <w:rsid w:val="00D828AF"/>
    <w:rsid w:val="00D839BD"/>
    <w:rsid w:val="00D84959"/>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B7E22"/>
    <w:rsid w:val="00DC051C"/>
    <w:rsid w:val="00DC05ED"/>
    <w:rsid w:val="00DC0A04"/>
    <w:rsid w:val="00DC0AFC"/>
    <w:rsid w:val="00DC1038"/>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2D6F"/>
    <w:rsid w:val="00DE3D40"/>
    <w:rsid w:val="00DE487A"/>
    <w:rsid w:val="00DE4AEB"/>
    <w:rsid w:val="00DE4BFD"/>
    <w:rsid w:val="00DE5F9A"/>
    <w:rsid w:val="00DE5FA7"/>
    <w:rsid w:val="00DE6697"/>
    <w:rsid w:val="00DE66AC"/>
    <w:rsid w:val="00DE68BB"/>
    <w:rsid w:val="00DE6B05"/>
    <w:rsid w:val="00DE7007"/>
    <w:rsid w:val="00DF0226"/>
    <w:rsid w:val="00DF0EE1"/>
    <w:rsid w:val="00DF1F56"/>
    <w:rsid w:val="00DF2439"/>
    <w:rsid w:val="00DF36D0"/>
    <w:rsid w:val="00DF3C94"/>
    <w:rsid w:val="00DF4D79"/>
    <w:rsid w:val="00DF5A70"/>
    <w:rsid w:val="00DF6007"/>
    <w:rsid w:val="00DF742C"/>
    <w:rsid w:val="00DF7C36"/>
    <w:rsid w:val="00E00A67"/>
    <w:rsid w:val="00E0137F"/>
    <w:rsid w:val="00E013BB"/>
    <w:rsid w:val="00E0149B"/>
    <w:rsid w:val="00E01AE6"/>
    <w:rsid w:val="00E027D7"/>
    <w:rsid w:val="00E0320F"/>
    <w:rsid w:val="00E04EBE"/>
    <w:rsid w:val="00E07D97"/>
    <w:rsid w:val="00E07FF6"/>
    <w:rsid w:val="00E103F8"/>
    <w:rsid w:val="00E10680"/>
    <w:rsid w:val="00E10AA8"/>
    <w:rsid w:val="00E1186D"/>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201"/>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AA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3AC"/>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0427"/>
    <w:rsid w:val="00ED4D30"/>
    <w:rsid w:val="00ED672F"/>
    <w:rsid w:val="00ED7F50"/>
    <w:rsid w:val="00EE0D7A"/>
    <w:rsid w:val="00EE1196"/>
    <w:rsid w:val="00EE125C"/>
    <w:rsid w:val="00EE18BF"/>
    <w:rsid w:val="00EE2E2F"/>
    <w:rsid w:val="00EE4268"/>
    <w:rsid w:val="00EE45CF"/>
    <w:rsid w:val="00EE62EB"/>
    <w:rsid w:val="00EE7838"/>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3FC3"/>
    <w:rsid w:val="00F04C64"/>
    <w:rsid w:val="00F04CFE"/>
    <w:rsid w:val="00F055C7"/>
    <w:rsid w:val="00F057A2"/>
    <w:rsid w:val="00F06213"/>
    <w:rsid w:val="00F0667D"/>
    <w:rsid w:val="00F067B5"/>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083"/>
    <w:rsid w:val="00F34371"/>
    <w:rsid w:val="00F3440B"/>
    <w:rsid w:val="00F34781"/>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CF2"/>
    <w:rsid w:val="00F52E25"/>
    <w:rsid w:val="00F53C09"/>
    <w:rsid w:val="00F53D6B"/>
    <w:rsid w:val="00F53DA1"/>
    <w:rsid w:val="00F554DF"/>
    <w:rsid w:val="00F576EE"/>
    <w:rsid w:val="00F57D4A"/>
    <w:rsid w:val="00F57DF5"/>
    <w:rsid w:val="00F600D2"/>
    <w:rsid w:val="00F60455"/>
    <w:rsid w:val="00F6046E"/>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498"/>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53D"/>
    <w:rsid w:val="00FA7716"/>
    <w:rsid w:val="00FA78DF"/>
    <w:rsid w:val="00FB108C"/>
    <w:rsid w:val="00FB16E1"/>
    <w:rsid w:val="00FB1888"/>
    <w:rsid w:val="00FB1930"/>
    <w:rsid w:val="00FB2344"/>
    <w:rsid w:val="00FB2CE3"/>
    <w:rsid w:val="00FB449F"/>
    <w:rsid w:val="00FB4A38"/>
    <w:rsid w:val="00FB508F"/>
    <w:rsid w:val="00FB5212"/>
    <w:rsid w:val="00FB5E8F"/>
    <w:rsid w:val="00FB6377"/>
    <w:rsid w:val="00FB66AE"/>
    <w:rsid w:val="00FB7B57"/>
    <w:rsid w:val="00FC18FE"/>
    <w:rsid w:val="00FC1C62"/>
    <w:rsid w:val="00FC2429"/>
    <w:rsid w:val="00FC259F"/>
    <w:rsid w:val="00FC3AFE"/>
    <w:rsid w:val="00FC46A2"/>
    <w:rsid w:val="00FC4F1F"/>
    <w:rsid w:val="00FC548E"/>
    <w:rsid w:val="00FC55F5"/>
    <w:rsid w:val="00FC5D3A"/>
    <w:rsid w:val="00FC6DF6"/>
    <w:rsid w:val="00FC7DE5"/>
    <w:rsid w:val="00FD032B"/>
    <w:rsid w:val="00FD18C0"/>
    <w:rsid w:val="00FD1C6D"/>
    <w:rsid w:val="00FD2D4B"/>
    <w:rsid w:val="00FD350F"/>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doi.org/10.15468/dl.46oku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rcid.org/0000-0003-0989-3266"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5468/dl.n6u6n0"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rcid.org/0000-0003-2659-69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github.com/rvanmazijk/Cape-vs-SW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orcid.org/0000-0002-1363-9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1E285-EE09-5745-8685-4F7960DF2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21</Pages>
  <Words>11718</Words>
  <Characters>66797</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78359</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250</cp:revision>
  <cp:lastPrinted>2020-01-06T10:27:00Z</cp:lastPrinted>
  <dcterms:created xsi:type="dcterms:W3CDTF">2019-12-03T09:32:00Z</dcterms:created>
  <dcterms:modified xsi:type="dcterms:W3CDTF">2020-01-06T10:53:00Z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true</vt:lpwstr>
  </property>
  <property fmtid="{D5CDD505-2E9C-101B-9397-08002B2CF9AE}" pid="24" name="Mendeley Citation Style_1">
    <vt:lpwstr>http://www.zotero.org/styles/apa</vt:lpwstr>
  </property>
</Properties>
</file>