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61354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61354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9012639" w:rsidR="002C32D6" w:rsidRPr="00604263"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 xml:space="preserve">per </w:t>
      </w:r>
      <w:r w:rsidRPr="00604263">
        <w:t>unit area is similar at the QDS</w:t>
      </w:r>
      <w:commentRangeEnd w:id="24"/>
      <w:r w:rsidR="00CA131C" w:rsidRPr="00604263">
        <w:rPr>
          <w:rStyle w:val="CommentReference"/>
          <w:rFonts w:ascii="Times New Roman" w:hAnsiTheme="minorHAnsi"/>
        </w:rPr>
        <w:commentReference w:id="24"/>
      </w:r>
      <w:commentRangeEnd w:id="25"/>
      <w:r w:rsidR="00F77185" w:rsidRPr="00604263">
        <w:rPr>
          <w:rStyle w:val="CommentReference"/>
          <w:rFonts w:ascii="Times New Roman" w:hAnsiTheme="minorHAnsi"/>
        </w:rPr>
        <w:commentReference w:id="25"/>
      </w:r>
      <w:r w:rsidRPr="00604263">
        <w:t>- (Figure 2</w:t>
      </w:r>
      <w:r w:rsidR="00604263" w:rsidRPr="00604263">
        <w:t>c</w:t>
      </w:r>
      <w:r w:rsidRPr="00604263">
        <w:t>;</w:t>
      </w:r>
      <w:r w:rsidRPr="00604263">
        <w:rPr>
          <w:i/>
        </w:rPr>
        <w:t xml:space="preserve"> P</w:t>
      </w:r>
      <w:r w:rsidRPr="00604263">
        <w:t xml:space="preserve"> = 0.402, </w:t>
      </w:r>
      <w:r w:rsidRPr="00604263">
        <w:rPr>
          <w:i/>
          <w:iCs/>
        </w:rPr>
        <w:t>CLES</w:t>
      </w:r>
      <w:r w:rsidRPr="00604263">
        <w:t xml:space="preserve"> = 0.516) and HDS-scales (Figure 2b;</w:t>
      </w:r>
      <w:r w:rsidRPr="00604263">
        <w:rPr>
          <w:i/>
        </w:rPr>
        <w:t xml:space="preserve"> P</w:t>
      </w:r>
      <w:r w:rsidRPr="00604263">
        <w:t xml:space="preserve"> = 0.275, </w:t>
      </w:r>
      <w:r w:rsidRPr="00604263">
        <w:rPr>
          <w:i/>
          <w:iCs/>
        </w:rPr>
        <w:t>CLES</w:t>
      </w:r>
      <w:r w:rsidRPr="00604263">
        <w:t xml:space="preserve"> = 0.542), but that the GCFR is significantly more species-rich than the SWAFR at the DS-scale (</w:t>
      </w:r>
      <w:commentRangeStart w:id="26"/>
      <w:commentRangeStart w:id="27"/>
      <w:r w:rsidRPr="00604263">
        <w:t xml:space="preserve">Figure </w:t>
      </w:r>
      <w:commentRangeEnd w:id="26"/>
      <w:r w:rsidR="0057720E" w:rsidRPr="00604263">
        <w:t>2</w:t>
      </w:r>
      <w:r w:rsidR="00CA131C" w:rsidRPr="00604263">
        <w:rPr>
          <w:rStyle w:val="CommentReference"/>
          <w:rFonts w:ascii="Times New Roman" w:hAnsiTheme="minorHAnsi"/>
        </w:rPr>
        <w:commentReference w:id="26"/>
      </w:r>
      <w:commentRangeEnd w:id="27"/>
      <w:r w:rsidR="00604263" w:rsidRPr="00604263">
        <w:t>a</w:t>
      </w:r>
      <w:r w:rsidR="004E7A80" w:rsidRPr="00604263">
        <w:rPr>
          <w:rStyle w:val="CommentReference"/>
          <w:rFonts w:ascii="Times New Roman" w:hAnsiTheme="minorHAnsi"/>
        </w:rPr>
        <w:commentReference w:id="27"/>
      </w:r>
      <w:r w:rsidRPr="00604263">
        <w:t>;</w:t>
      </w:r>
      <w:r w:rsidRPr="00604263">
        <w:rPr>
          <w:i/>
        </w:rPr>
        <w:t xml:space="preserve"> P</w:t>
      </w:r>
      <w:r w:rsidRPr="00604263">
        <w:t xml:space="preserve"> = 0.038, </w:t>
      </w:r>
      <w:r w:rsidRPr="00604263">
        <w:rPr>
          <w:i/>
        </w:rPr>
        <w:t>CLES</w:t>
      </w:r>
      <w:r w:rsidRPr="00604263">
        <w:t xml:space="preserve"> = 0.658).</w:t>
      </w:r>
    </w:p>
    <w:p w14:paraId="3BE0333B" w14:textId="1543D1C1" w:rsidR="002C32D6" w:rsidRPr="003F5B2B" w:rsidRDefault="002C32D6" w:rsidP="002C32D6">
      <w:pPr>
        <w:pStyle w:val="BodyText"/>
        <w:rPr>
          <w:i/>
        </w:rPr>
      </w:pPr>
      <w:r w:rsidRPr="00604263">
        <w:t xml:space="preserve">Partitioning </w:t>
      </w:r>
      <w:r w:rsidRPr="00604263">
        <w:rPr>
          <w:i/>
        </w:rPr>
        <w:t>S</w:t>
      </w:r>
      <w:r w:rsidRPr="00604263">
        <w:rPr>
          <w:vertAlign w:val="subscript"/>
        </w:rPr>
        <w:t>HDS</w:t>
      </w:r>
      <w:r w:rsidRPr="00604263">
        <w:t xml:space="preserve"> into its </w:t>
      </w:r>
      <w:r w:rsidRPr="00604263">
        <w:rPr>
          <w:rFonts w:cstheme="majorBidi"/>
          <w:i/>
        </w:rPr>
        <w:t>α</w:t>
      </w:r>
      <w:r w:rsidRPr="00604263">
        <w:t xml:space="preserve">- and </w:t>
      </w:r>
      <w:r w:rsidRPr="00604263">
        <w:rPr>
          <w:rFonts w:cstheme="majorBidi"/>
          <w:i/>
        </w:rPr>
        <w:t>β</w:t>
      </w:r>
      <w:r w:rsidRPr="00604263">
        <w:t>-components (</w:t>
      </w:r>
      <m:oMath>
        <m:bar>
          <m:barPr>
            <m:pos m:val="top"/>
            <m:ctrlPr>
              <w:rPr>
                <w:rFonts w:ascii="Cambria Math" w:hAnsi="Cambria Math"/>
              </w:rPr>
            </m:ctrlPr>
          </m:barPr>
          <m:e>
            <m:r>
              <w:rPr>
                <w:rFonts w:ascii="Cambria Math" w:hAnsi="Cambria Math"/>
              </w:rPr>
              <m:t>S</m:t>
            </m:r>
          </m:e>
        </m:bar>
      </m:oMath>
      <w:r w:rsidRPr="00604263">
        <w:rPr>
          <w:vertAlign w:val="subscript"/>
        </w:rPr>
        <w:t>QDS</w:t>
      </w:r>
      <w:r w:rsidRPr="00604263">
        <w:t xml:space="preserve"> and </w:t>
      </w:r>
      <w:r w:rsidRPr="00604263">
        <w:rPr>
          <w:i/>
        </w:rPr>
        <w:t>T</w:t>
      </w:r>
      <w:r w:rsidRPr="00604263">
        <w:rPr>
          <w:vertAlign w:val="subscript"/>
        </w:rPr>
        <w:t>QDS</w:t>
      </w:r>
      <w:r w:rsidRPr="00604263">
        <w:t xml:space="preserve"> respectively; Figure 2</w:t>
      </w:r>
      <w:r w:rsidR="00604263" w:rsidRPr="00604263">
        <w:t>g</w:t>
      </w:r>
      <w:r w:rsidRPr="00604263">
        <w:t xml:space="preserve">), we found that the proportional contribution of floristic turnover (i.e. </w:t>
      </w:r>
      <w:r w:rsidRPr="00604263">
        <w:rPr>
          <w:i/>
        </w:rPr>
        <w:t>T</w:t>
      </w:r>
      <w:r w:rsidRPr="00604263">
        <w:rPr>
          <w:vertAlign w:val="subscript"/>
        </w:rPr>
        <w:t>QDS</w:t>
      </w:r>
      <w:r w:rsidRPr="00604263">
        <w:t>/</w:t>
      </w:r>
      <w:r w:rsidRPr="00604263">
        <w:rPr>
          <w:i/>
        </w:rPr>
        <w:t>S</w:t>
      </w:r>
      <w:r w:rsidRPr="00604263">
        <w:rPr>
          <w:vertAlign w:val="subscript"/>
        </w:rPr>
        <w:t>HDS</w:t>
      </w:r>
      <w:r w:rsidRPr="00604263">
        <w:t>; Figure 2</w:t>
      </w:r>
      <w:r w:rsidR="00257D86">
        <w:t>e</w:t>
      </w:r>
      <w:r w:rsidRPr="00604263">
        <w:t xml:space="preserve">) is greater in the GCFR (0.64) than in the SWAFR (0.60) (two-sided Mann-Whitney </w:t>
      </w:r>
      <w:r w:rsidRPr="00604263">
        <w:rPr>
          <w:i/>
        </w:rPr>
        <w:t>U</w:t>
      </w:r>
      <w:r w:rsidRPr="00604263">
        <w:t xml:space="preserve"> test, </w:t>
      </w:r>
      <w:r w:rsidRPr="00604263">
        <w:rPr>
          <w:i/>
        </w:rPr>
        <w:t>P</w:t>
      </w:r>
      <w:r w:rsidRPr="00604263">
        <w:t xml:space="preserve"> &lt; 0.001; </w:t>
      </w:r>
      <w:r w:rsidRPr="00604263">
        <w:rPr>
          <w:i/>
          <w:iCs/>
        </w:rPr>
        <w:t>CLES</w:t>
      </w:r>
      <w:r w:rsidRPr="00604263">
        <w:t xml:space="preserve"> = 0.696). This is also the case at the DS-scale (Figure </w:t>
      </w:r>
      <w:r w:rsidR="003F2156">
        <w:t>2d</w:t>
      </w:r>
      <w:r w:rsidR="00FE217D" w:rsidRPr="00604263">
        <w:t xml:space="preserve">; </w:t>
      </w:r>
      <w:r w:rsidR="00CA131C" w:rsidRPr="00604263">
        <w:rPr>
          <w:i/>
        </w:rPr>
        <w:t>T</w:t>
      </w:r>
      <w:r w:rsidR="00CA131C" w:rsidRPr="00604263">
        <w:rPr>
          <w:vertAlign w:val="subscript"/>
        </w:rPr>
        <w:t>QDS</w:t>
      </w:r>
      <w:r w:rsidR="00CA131C" w:rsidRPr="00604263">
        <w:t>/</w:t>
      </w:r>
      <w:r w:rsidR="00CA131C" w:rsidRPr="00604263">
        <w:rPr>
          <w:i/>
        </w:rPr>
        <w:t>S</w:t>
      </w:r>
      <w:r w:rsidR="00CA131C" w:rsidRPr="00604263">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5351E3EE"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sidRPr="00807C54">
        <w:rPr>
          <w:rFonts w:eastAsiaTheme="minorEastAsia" w:cstheme="majorBidi"/>
          <w:highlight w:val="yellow"/>
        </w:rPr>
        <w:t xml:space="preserve">see also Figure </w:t>
      </w:r>
      <w:r w:rsidR="00CE206A">
        <w:rPr>
          <w:rFonts w:eastAsiaTheme="minorEastAsia" w:cstheme="majorBidi"/>
          <w:highlight w:val="yellow"/>
        </w:rPr>
        <w:t>3a</w:t>
      </w:r>
      <w:commentRangeStart w:id="35"/>
      <w:commentRangeEnd w:id="35"/>
      <w:r w:rsidR="0090296A" w:rsidRPr="00807C54">
        <w:rPr>
          <w:rStyle w:val="CommentReference"/>
          <w:rFonts w:ascii="Times New Roman" w:hAnsiTheme="minorHAnsi"/>
          <w:highlight w:val="yellow"/>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C2A2BD8"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w:t>
      </w:r>
      <w:r w:rsidR="00D17FCB" w:rsidRPr="00115FA8">
        <w:t>Table S2</w:t>
      </w:r>
      <w:r w:rsidR="0032574D">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32F5307F" w:rsidR="00350FE5" w:rsidRDefault="00E81245">
      <w:pPr>
        <w:pStyle w:val="FirstParagraph"/>
      </w:pPr>
      <w:r>
        <w:t>That the coefficients of determi</w:t>
      </w:r>
      <w:r w:rsidR="006F4CB8">
        <w:t>nation associated with the opti</w:t>
      </w:r>
      <w:r>
        <w:t>mum regression models</w:t>
      </w:r>
      <w:r w:rsidR="006F4CB8">
        <w:t xml:space="preserve"> (</w:t>
      </w:r>
      <w:commentRangeStart w:id="44"/>
      <w:commentRangeStart w:id="45"/>
      <w:r w:rsidR="006F4CB8">
        <w:t>Figure 4</w:t>
      </w:r>
      <w:commentRangeEnd w:id="44"/>
      <w:r w:rsidR="00103D7E">
        <w:rPr>
          <w:rStyle w:val="CommentReference"/>
          <w:rFonts w:ascii="Times New Roman" w:hAnsiTheme="minorHAnsi"/>
        </w:rPr>
        <w:commentReference w:id="44"/>
      </w:r>
      <w:commentRangeEnd w:id="45"/>
      <w:r w:rsidR="00EF443E">
        <w:rPr>
          <w:rStyle w:val="CommentReference"/>
          <w:rFonts w:ascii="Times New Roman" w:hAnsiTheme="minorHAnsi"/>
        </w:rPr>
        <w:commentReference w:id="45"/>
      </w:r>
      <w:r w:rsidR="00BA3932">
        <w:t xml:space="preserve">: </w:t>
      </w:r>
      <w:r w:rsidR="00BA3932" w:rsidRPr="00095788">
        <w:rPr>
          <w:i/>
          <w:iCs/>
        </w:rPr>
        <w:t>R</w:t>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5427B35D"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B4B9F" w:rsidRPr="005D74C8">
        <w:t>Figure 5</w:t>
      </w:r>
      <w:r w:rsidR="005D74C8" w:rsidRPr="005D74C8">
        <w:t>e–h</w:t>
      </w:r>
      <w:r w:rsidR="001B4B9F" w:rsidRPr="00514C5C">
        <w:t xml:space="preserve">; </w:t>
      </w:r>
      <w:r w:rsidR="004C30F1" w:rsidRPr="00514C5C">
        <w:t>S</w:t>
      </w:r>
      <w:r w:rsidR="00514C5C" w:rsidRPr="00514C5C">
        <w:t>5e–h; S6e–h</w:t>
      </w:r>
      <w:bookmarkStart w:id="46" w:name="_GoBack"/>
      <w:bookmarkEnd w:id="46"/>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7"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t>
      </w:r>
      <w:commentRangeStart w:id="48"/>
      <w:r w:rsidR="006435FF">
        <w:t xml:space="preserve">which </w:t>
      </w:r>
      <w:r w:rsidR="00DB42AF">
        <w:t>a</w:t>
      </w:r>
      <w:r w:rsidR="006435FF">
        <w:t>re negative on account of their collinearity with other variables</w:t>
      </w:r>
      <w:commentRangeEnd w:id="48"/>
      <w:r w:rsidR="008D0795">
        <w:rPr>
          <w:rStyle w:val="CommentReference"/>
          <w:rFonts w:ascii="Times New Roman" w:hAnsiTheme="minorHAnsi"/>
        </w:rPr>
        <w:commentReference w:id="48"/>
      </w:r>
      <w:r w:rsidR="006435FF">
        <w:t xml:space="preserve">,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7"/>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18"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19"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5"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6"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1"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3"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FC3AFE" w:rsidRDefault="00FC3AFE">
      <w:pPr>
        <w:pStyle w:val="CommentText"/>
      </w:pPr>
      <w:r>
        <w:rPr>
          <w:rStyle w:val="CommentReference"/>
        </w:rPr>
        <w:annotationRef/>
      </w:r>
      <w:r>
        <w:t>Nice!</w:t>
      </w:r>
    </w:p>
  </w:comment>
  <w:comment w:id="34"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7"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1"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3"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4"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5"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8" w:author="Ruan Van Mazijk [2]" w:date="2019-12-30T10:34:00Z" w:initials="RVM">
    <w:p w14:paraId="0217C32F" w14:textId="56A0B283" w:rsidR="008D0795" w:rsidRDefault="008D0795">
      <w:pPr>
        <w:pStyle w:val="CommentText"/>
      </w:pPr>
      <w:r>
        <w:rPr>
          <w:rStyle w:val="CommentReference"/>
        </w:rPr>
        <w:annotationRef/>
      </w:r>
      <w:r>
        <w:t>!!!!!!!!!!!!!!!!!!!!!!!!!!!!!</w: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1"/>
  <w15:commentEx w15:paraId="52802E12" w15:paraIdParent="03CFEB10" w15:done="1"/>
  <w15:commentEx w15:paraId="1C33D467" w15:done="0"/>
  <w15:commentEx w15:paraId="5228A70D" w15:done="1"/>
  <w15:commentEx w15:paraId="7FCF8830" w15:paraIdParent="5228A70D" w15:done="1"/>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1"/>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1"/>
  <w15:commentEx w15:paraId="3D3E71FC" w15:paraIdParent="6585E7F5" w15:done="1"/>
  <w15:commentEx w15:paraId="72D2893D" w15:done="1"/>
  <w15:commentEx w15:paraId="39197D3F" w15:paraIdParent="72D2893D" w15:done="1"/>
  <w15:commentEx w15:paraId="0217C32F" w15:done="0"/>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0217C32F" w16cid:durableId="21B4515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4CE1F" w14:textId="77777777" w:rsidR="00613547" w:rsidRDefault="00613547">
      <w:pPr>
        <w:spacing w:after="0"/>
      </w:pPr>
      <w:r>
        <w:separator/>
      </w:r>
    </w:p>
  </w:endnote>
  <w:endnote w:type="continuationSeparator" w:id="0">
    <w:p w14:paraId="2367AEE1" w14:textId="77777777" w:rsidR="00613547" w:rsidRDefault="00613547">
      <w:pPr>
        <w:spacing w:after="0"/>
      </w:pPr>
      <w:r>
        <w:continuationSeparator/>
      </w:r>
    </w:p>
  </w:endnote>
  <w:endnote w:type="continuationNotice" w:id="1">
    <w:p w14:paraId="0DDBD12A" w14:textId="77777777" w:rsidR="00613547" w:rsidRDefault="006135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84AC" w14:textId="77777777" w:rsidR="00613547" w:rsidRDefault="00613547">
      <w:r>
        <w:separator/>
      </w:r>
    </w:p>
  </w:footnote>
  <w:footnote w:type="continuationSeparator" w:id="0">
    <w:p w14:paraId="58221E99" w14:textId="77777777" w:rsidR="00613547" w:rsidRDefault="00613547">
      <w:r>
        <w:continuationSeparator/>
      </w:r>
    </w:p>
  </w:footnote>
  <w:footnote w:type="continuationNotice" w:id="1">
    <w:p w14:paraId="0C705015" w14:textId="77777777" w:rsidR="00613547" w:rsidRDefault="0061354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5FA8"/>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57D8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2156"/>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99D"/>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0F1"/>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4C5C"/>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D74C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263"/>
    <w:rsid w:val="00604415"/>
    <w:rsid w:val="00604A35"/>
    <w:rsid w:val="00605427"/>
    <w:rsid w:val="006056E9"/>
    <w:rsid w:val="00605F37"/>
    <w:rsid w:val="0060601F"/>
    <w:rsid w:val="006067C1"/>
    <w:rsid w:val="006067F9"/>
    <w:rsid w:val="0061190A"/>
    <w:rsid w:val="006121BD"/>
    <w:rsid w:val="006125FF"/>
    <w:rsid w:val="00613547"/>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3F"/>
    <w:rsid w:val="007B1FA8"/>
    <w:rsid w:val="007B46C9"/>
    <w:rsid w:val="007B5DBC"/>
    <w:rsid w:val="007B738D"/>
    <w:rsid w:val="007B7725"/>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231"/>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06A"/>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B7E22"/>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2D6F"/>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3AC"/>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4781"/>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8B38-84E7-3C40-8B48-B0335F7B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21</Pages>
  <Words>11751</Words>
  <Characters>66985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78579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242</cp:revision>
  <cp:lastPrinted>2020-01-06T10:27:00Z</cp:lastPrinted>
  <dcterms:created xsi:type="dcterms:W3CDTF">2019-12-03T09:32:00Z</dcterms:created>
  <dcterms:modified xsi:type="dcterms:W3CDTF">2020-01-06T10:38:00Z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