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2EA9DCAD"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64618502" w14:textId="5DC6B12B"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3"/>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3"/>
      <w:r w:rsidR="001508F3">
        <w:rPr>
          <w:rStyle w:val="CommentReference"/>
          <w:rFonts w:ascii="Times New Roman" w:hAnsiTheme="minorHAnsi"/>
        </w:rPr>
        <w:commentReference w:id="3"/>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5F33A8D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4"/>
      <w:commentRangeStart w:id="5"/>
      <w:commentRangeStart w:id="6"/>
      <w:r>
        <w:t xml:space="preserve">tree </w:t>
      </w:r>
      <w:commentRangeEnd w:id="4"/>
      <w:r w:rsidR="00236CF0">
        <w:rPr>
          <w:rStyle w:val="CommentReference"/>
          <w:rFonts w:ascii="Times New Roman" w:hAnsiTheme="minorHAnsi"/>
        </w:rPr>
        <w:commentReference w:id="4"/>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5"/>
      <w:r w:rsidR="00236CF0">
        <w:rPr>
          <w:rStyle w:val="CommentReference"/>
          <w:rFonts w:ascii="Times New Roman" w:hAnsiTheme="minorHAnsi"/>
        </w:rPr>
        <w:commentReference w:id="5"/>
      </w:r>
      <w:commentRangeEnd w:id="6"/>
      <w:r w:rsidR="00C6184E">
        <w:rPr>
          <w:rStyle w:val="CommentReference"/>
          <w:rFonts w:ascii="Times New Roman" w:hAnsiTheme="minorHAnsi"/>
        </w:rPr>
        <w:commentReference w:id="6"/>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7"/>
      <w:r w:rsidR="003B49FB">
        <w:rPr>
          <w:lang w:val="en-ZA"/>
        </w:rPr>
        <w:t xml:space="preserve">CFR </w:t>
      </w:r>
      <w:commentRangeEnd w:id="7"/>
      <w:r w:rsidR="00F12728">
        <w:rPr>
          <w:rStyle w:val="CommentReference"/>
          <w:rFonts w:ascii="Times New Roman" w:hAnsiTheme="minorHAnsi"/>
        </w:rPr>
        <w:commentReference w:id="7"/>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8"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9"/>
      <w:r w:rsidR="00841086">
        <w:t>Note, we excluded occurrence data (and indeed environmental data, below) originating from coastal pixels at the 0.05</w:t>
      </w:r>
      <w:r w:rsidR="00841086">
        <w:rPr>
          <w:rFonts w:cstheme="majorBidi"/>
        </w:rPr>
        <w:t>° resolution.</w:t>
      </w:r>
      <w:commentRangeEnd w:id="9"/>
      <w:r w:rsidR="00540260">
        <w:rPr>
          <w:rStyle w:val="CommentReference"/>
          <w:rFonts w:ascii="Times New Roman" w:hAnsiTheme="minorHAnsi"/>
        </w:rPr>
        <w:commentReference w:id="9"/>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FB3BAF"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FB3BAF"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8"/>
    </w:p>
    <w:p w14:paraId="16702F9A" w14:textId="4E77BF4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w:t>
      </w:r>
      <w:r w:rsidR="00086052" w:rsidRPr="00BE0660">
        <w:rPr>
          <w:highlight w:val="yellow"/>
        </w:rPr>
        <w:t>considered regionally important</w:t>
      </w:r>
      <w:r w:rsidR="004066C3" w:rsidRPr="00BE0660">
        <w:rPr>
          <w:highlight w:val="yellow"/>
        </w:rPr>
        <w:t xml:space="preserve"> and </w:t>
      </w:r>
      <w:r w:rsidR="0062793F">
        <w:rPr>
          <w:highlight w:val="yellow"/>
        </w:rPr>
        <w:t>i</w:t>
      </w:r>
      <w:r w:rsidR="004066C3" w:rsidRPr="00BE0660">
        <w:rPr>
          <w:highlight w:val="yellow"/>
        </w:rPr>
        <w:t>ndependent</w:t>
      </w:r>
      <w:r w:rsidR="00780F37">
        <w:t xml:space="preserve"> (see Figure S1–3)</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3EB743"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S4)</w:t>
      </w:r>
      <w:r w:rsidR="005F0FFB">
        <w:t>.</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10" w:name="environmental-heterogeneity-as-an-explan"/>
      <w:r>
        <w:t>2.3</w:t>
      </w:r>
      <w:r w:rsidR="0009179A">
        <w:t>:</w:t>
      </w:r>
      <w:r>
        <w:t xml:space="preserve"> </w:t>
      </w:r>
      <w:r w:rsidR="005F0FFB">
        <w:t>Environmental heterogeneity as an explanation of species richness</w:t>
      </w:r>
      <w:bookmarkEnd w:id="10"/>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w:t>
      </w:r>
      <w:proofErr w:type="gramStart"/>
      <w:r w:rsidR="00887059">
        <w:t>purpose</w:t>
      </w:r>
      <w:proofErr w:type="gramEnd"/>
      <w:r w:rsidR="00887059">
        <w:t xml:space="preserv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11"/>
      <w:r w:rsidR="00265947">
        <w:t>to assess</w:t>
      </w:r>
      <w:r w:rsidR="003D2B4F">
        <w:t xml:space="preserve"> whether the exceptional richness of hotspots is best explained by factors other than environmental heterogeneity</w:t>
      </w:r>
      <w:commentRangeEnd w:id="11"/>
      <w:r w:rsidR="00125C57">
        <w:rPr>
          <w:rStyle w:val="CommentReference"/>
          <w:rFonts w:ascii="Times New Roman" w:hAnsiTheme="minorHAnsi"/>
        </w:rPr>
        <w:commentReference w:id="11"/>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12" w:name="results"/>
      <w:r>
        <w:t>3</w:t>
      </w:r>
      <w:r w:rsidR="00E4661A">
        <w:t>:</w:t>
      </w:r>
      <w:r>
        <w:t xml:space="preserve"> </w:t>
      </w:r>
      <w:r w:rsidR="00D04776">
        <w:t>Results</w:t>
      </w:r>
      <w:bookmarkEnd w:id="12"/>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9012639" w:rsidR="002C32D6" w:rsidRPr="00604263"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that species</w:t>
      </w:r>
      <w:r w:rsidRPr="00B332AF">
        <w:t xml:space="preserve"> richness </w:t>
      </w:r>
      <w:r>
        <w:t xml:space="preserve">per </w:t>
      </w:r>
      <w:r w:rsidRPr="00604263">
        <w:t>unit area is similar at the QDS- (Figure 2</w:t>
      </w:r>
      <w:r w:rsidR="00604263" w:rsidRPr="00604263">
        <w:t>c</w:t>
      </w:r>
      <w:r w:rsidRPr="00604263">
        <w:t>;</w:t>
      </w:r>
      <w:r w:rsidRPr="00604263">
        <w:rPr>
          <w:i/>
        </w:rPr>
        <w:t xml:space="preserve"> P</w:t>
      </w:r>
      <w:r w:rsidRPr="00604263">
        <w:t xml:space="preserve"> = 0.402, </w:t>
      </w:r>
      <w:r w:rsidRPr="00604263">
        <w:rPr>
          <w:i/>
          <w:iCs/>
        </w:rPr>
        <w:t>CLES</w:t>
      </w:r>
      <w:r w:rsidRPr="00604263">
        <w:t xml:space="preserve"> = 0.516) and HDS-scales (Figure 2b;</w:t>
      </w:r>
      <w:r w:rsidRPr="00604263">
        <w:rPr>
          <w:i/>
        </w:rPr>
        <w:t xml:space="preserve"> P</w:t>
      </w:r>
      <w:r w:rsidRPr="00604263">
        <w:t xml:space="preserve"> = 0.275, </w:t>
      </w:r>
      <w:r w:rsidRPr="00604263">
        <w:rPr>
          <w:i/>
          <w:iCs/>
        </w:rPr>
        <w:t>CLES</w:t>
      </w:r>
      <w:r w:rsidRPr="00604263">
        <w:t xml:space="preserve"> = 0.542), but that the GCFR is significantly more species-rich than the SWAFR at the DS-scale (Figure </w:t>
      </w:r>
      <w:r w:rsidR="0057720E" w:rsidRPr="00604263">
        <w:t>2</w:t>
      </w:r>
      <w:r w:rsidR="00604263" w:rsidRPr="00604263">
        <w:t>a</w:t>
      </w:r>
      <w:r w:rsidRPr="00604263">
        <w:t>;</w:t>
      </w:r>
      <w:r w:rsidRPr="00604263">
        <w:rPr>
          <w:i/>
        </w:rPr>
        <w:t xml:space="preserve"> P</w:t>
      </w:r>
      <w:r w:rsidRPr="00604263">
        <w:t xml:space="preserve"> = 0.038, </w:t>
      </w:r>
      <w:r w:rsidRPr="00604263">
        <w:rPr>
          <w:i/>
        </w:rPr>
        <w:t>CLES</w:t>
      </w:r>
      <w:r w:rsidRPr="00604263">
        <w:t xml:space="preserve"> = 0.658).</w:t>
      </w:r>
    </w:p>
    <w:p w14:paraId="3BE0333B" w14:textId="1543D1C1" w:rsidR="002C32D6" w:rsidRPr="003F5B2B" w:rsidRDefault="002C32D6" w:rsidP="002C32D6">
      <w:pPr>
        <w:pStyle w:val="BodyText"/>
        <w:rPr>
          <w:i/>
        </w:rPr>
      </w:pPr>
      <w:r w:rsidRPr="00604263">
        <w:t xml:space="preserve">Partitioning </w:t>
      </w:r>
      <w:r w:rsidRPr="00604263">
        <w:rPr>
          <w:i/>
        </w:rPr>
        <w:t>S</w:t>
      </w:r>
      <w:r w:rsidRPr="00604263">
        <w:rPr>
          <w:vertAlign w:val="subscript"/>
        </w:rPr>
        <w:t>HDS</w:t>
      </w:r>
      <w:r w:rsidRPr="00604263">
        <w:t xml:space="preserve"> into its </w:t>
      </w:r>
      <w:r w:rsidRPr="00604263">
        <w:rPr>
          <w:rFonts w:cstheme="majorBidi"/>
          <w:i/>
        </w:rPr>
        <w:t>α</w:t>
      </w:r>
      <w:r w:rsidRPr="00604263">
        <w:t xml:space="preserve">- and </w:t>
      </w:r>
      <w:r w:rsidRPr="00604263">
        <w:rPr>
          <w:rFonts w:cstheme="majorBidi"/>
          <w:i/>
        </w:rPr>
        <w:t>β</w:t>
      </w:r>
      <w:r w:rsidRPr="00604263">
        <w:t>-components (</w:t>
      </w:r>
      <m:oMath>
        <m:bar>
          <m:barPr>
            <m:pos m:val="top"/>
            <m:ctrlPr>
              <w:rPr>
                <w:rFonts w:ascii="Cambria Math" w:hAnsi="Cambria Math"/>
              </w:rPr>
            </m:ctrlPr>
          </m:barPr>
          <m:e>
            <m:r>
              <w:rPr>
                <w:rFonts w:ascii="Cambria Math" w:hAnsi="Cambria Math"/>
              </w:rPr>
              <m:t>S</m:t>
            </m:r>
          </m:e>
        </m:bar>
      </m:oMath>
      <w:r w:rsidRPr="00604263">
        <w:rPr>
          <w:vertAlign w:val="subscript"/>
        </w:rPr>
        <w:t>QDS</w:t>
      </w:r>
      <w:r w:rsidRPr="00604263">
        <w:t xml:space="preserve"> and </w:t>
      </w:r>
      <w:r w:rsidRPr="00604263">
        <w:rPr>
          <w:i/>
        </w:rPr>
        <w:t>T</w:t>
      </w:r>
      <w:r w:rsidRPr="00604263">
        <w:rPr>
          <w:vertAlign w:val="subscript"/>
        </w:rPr>
        <w:t>QDS</w:t>
      </w:r>
      <w:r w:rsidRPr="00604263">
        <w:t xml:space="preserve"> respectively; Figure 2</w:t>
      </w:r>
      <w:r w:rsidR="00604263" w:rsidRPr="00604263">
        <w:t>g</w:t>
      </w:r>
      <w:r w:rsidRPr="00604263">
        <w:t xml:space="preserve">), we found that the proportional contribution of floristic turnover (i.e. </w:t>
      </w:r>
      <w:r w:rsidRPr="00604263">
        <w:rPr>
          <w:i/>
        </w:rPr>
        <w:t>T</w:t>
      </w:r>
      <w:r w:rsidRPr="00604263">
        <w:rPr>
          <w:vertAlign w:val="subscript"/>
        </w:rPr>
        <w:t>QDS</w:t>
      </w:r>
      <w:r w:rsidRPr="00604263">
        <w:t>/</w:t>
      </w:r>
      <w:r w:rsidRPr="00604263">
        <w:rPr>
          <w:i/>
        </w:rPr>
        <w:t>S</w:t>
      </w:r>
      <w:r w:rsidRPr="00604263">
        <w:rPr>
          <w:vertAlign w:val="subscript"/>
        </w:rPr>
        <w:t>HDS</w:t>
      </w:r>
      <w:r w:rsidRPr="00604263">
        <w:t>; Figure 2</w:t>
      </w:r>
      <w:r w:rsidR="00257D86">
        <w:t>e</w:t>
      </w:r>
      <w:r w:rsidRPr="00604263">
        <w:t xml:space="preserve">) is greater in the GCFR (0.64) than in the SWAFR (0.60) (two-sided Mann-Whitney </w:t>
      </w:r>
      <w:r w:rsidRPr="00604263">
        <w:rPr>
          <w:i/>
        </w:rPr>
        <w:t>U</w:t>
      </w:r>
      <w:r w:rsidRPr="00604263">
        <w:t xml:space="preserve"> test, </w:t>
      </w:r>
      <w:r w:rsidRPr="00604263">
        <w:rPr>
          <w:i/>
        </w:rPr>
        <w:t>P</w:t>
      </w:r>
      <w:r w:rsidRPr="00604263">
        <w:t xml:space="preserve"> &lt; 0.001; </w:t>
      </w:r>
      <w:r w:rsidRPr="00604263">
        <w:rPr>
          <w:i/>
          <w:iCs/>
        </w:rPr>
        <w:t>CLES</w:t>
      </w:r>
      <w:r w:rsidRPr="00604263">
        <w:t xml:space="preserve"> = 0.696). This is also the case at the DS-scale (Figure </w:t>
      </w:r>
      <w:r w:rsidR="003F2156">
        <w:t>2d</w:t>
      </w:r>
      <w:r w:rsidR="00FE217D" w:rsidRPr="00604263">
        <w:t xml:space="preserve">; </w:t>
      </w:r>
      <w:r w:rsidR="00CA131C" w:rsidRPr="00604263">
        <w:rPr>
          <w:i/>
        </w:rPr>
        <w:t>T</w:t>
      </w:r>
      <w:r w:rsidR="00CA131C" w:rsidRPr="00604263">
        <w:rPr>
          <w:vertAlign w:val="subscript"/>
        </w:rPr>
        <w:t>QDS</w:t>
      </w:r>
      <w:r w:rsidR="00CA131C" w:rsidRPr="00604263">
        <w:t>/</w:t>
      </w:r>
      <w:r w:rsidR="00CA131C" w:rsidRPr="00604263">
        <w:rPr>
          <w:i/>
        </w:rPr>
        <w:t>S</w:t>
      </w:r>
      <w:r w:rsidR="00CA131C" w:rsidRPr="00604263">
        <w:rPr>
          <w:vertAlign w:val="subscript"/>
        </w:rPr>
        <w:t>HDS</w:t>
      </w:r>
      <w:r w:rsidR="001A29B8">
        <w:t>,</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w:t>
      </w:r>
      <w:proofErr w:type="gramStart"/>
      <w:r w:rsidR="00EF0EC1">
        <w:t>general</w:t>
      </w:r>
      <w:proofErr w:type="gramEnd"/>
      <w:r w:rsidR="00EF0EC1">
        <w:t xml:space="preserve">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5351E3EE" w:rsidR="009B180C" w:rsidRPr="00C47FAF" w:rsidRDefault="006B7A26">
      <w:pPr>
        <w:pStyle w:val="FirstParagraph"/>
        <w:rPr>
          <w:rFonts w:eastAsiaTheme="minorEastAsia" w:cstheme="majorBidi"/>
        </w:rPr>
      </w:pPr>
      <w:r>
        <w:t xml:space="preserve">The </w:t>
      </w:r>
      <w:r w:rsidR="00F554DF">
        <w:t xml:space="preserve">ANCOVA </w:t>
      </w:r>
      <w:r w:rsidR="002C7612">
        <w:t>results show</w:t>
      </w:r>
      <w:r w:rsidR="00F554DF">
        <w:t xml:space="preserve"> that </w:t>
      </w:r>
      <w:r w:rsidR="00F554DF">
        <w:rPr>
          <w:rFonts w:eastAsiaTheme="minorEastAsia"/>
        </w:rPr>
        <w:t xml:space="preserve">heterogeneity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r w:rsidR="001A7D58" w:rsidRPr="0087034A">
        <w:rPr>
          <w:i/>
          <w:iCs/>
        </w:rPr>
        <w:t>SD</w:t>
      </w:r>
      <w:r w:rsidR="00827247">
        <w:rPr>
          <w:iCs/>
          <w:vertAlign w:val="subscript"/>
        </w:rPr>
        <w:t>GCFR</w:t>
      </w:r>
      <w:r w:rsidR="001A7D58">
        <w:t xml:space="preserve"> = </w:t>
      </w:r>
      <w:r w:rsidR="00827247">
        <w:t>335</w:t>
      </w:r>
      <w:r w:rsidR="001A7D58" w:rsidRPr="0087034A">
        <w:t>.</w:t>
      </w:r>
      <w:r w:rsidR="00827247">
        <w:t xml:space="preserve">2; </w:t>
      </w:r>
      <w:r w:rsidR="00827247" w:rsidRPr="0087034A">
        <w:rPr>
          <w:i/>
          <w:iCs/>
        </w:rPr>
        <w:t>SD</w:t>
      </w:r>
      <w:r w:rsidR="00827247">
        <w:rPr>
          <w:iCs/>
          <w:vertAlign w:val="subscript"/>
        </w:rPr>
        <w:t>SWAFR</w:t>
      </w:r>
      <w:r w:rsidR="00827247">
        <w:t xml:space="preserve"> = 247.4</w:t>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r w:rsidR="00B2312C" w:rsidRPr="00807C54">
        <w:rPr>
          <w:rFonts w:eastAsiaTheme="minorEastAsia" w:cstheme="majorBidi"/>
          <w:highlight w:val="yellow"/>
        </w:rPr>
        <w:t xml:space="preserve">see also Figure </w:t>
      </w:r>
      <w:r w:rsidR="00CE206A">
        <w:rPr>
          <w:rFonts w:eastAsiaTheme="minorEastAsia" w:cstheme="majorBidi"/>
          <w:highlight w:val="yellow"/>
        </w:rPr>
        <w:t>3a</w:t>
      </w:r>
      <w:commentRangeStart w:id="13"/>
      <w:commentRangeEnd w:id="13"/>
      <w:r w:rsidR="00B2312C">
        <w:rPr>
          <w:rFonts w:eastAsiaTheme="minorEastAsia" w:cstheme="majorBidi"/>
        </w:rPr>
        <w:t>)</w:t>
      </w:r>
      <w:r w:rsidR="001A7D58">
        <w:rPr>
          <w:rFonts w:eastAsiaTheme="minorEastAsia" w:cstheme="majorBidi"/>
        </w:rPr>
        <w:t>.</w:t>
      </w:r>
    </w:p>
    <w:p w14:paraId="6B93ECCA" w14:textId="4A934683"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w:t>
      </w:r>
      <w:r w:rsidR="00273B1A" w:rsidRPr="00273B1A">
        <w:rPr>
          <w:highlight w:val="yellow"/>
        </w:rPr>
        <w:t xml:space="preserve">[…] </w:t>
      </w:r>
      <w:r w:rsidR="0032574D" w:rsidRPr="00273B1A">
        <w:rPr>
          <w:highlight w:val="yellow"/>
        </w:rPr>
        <w:t>MAP which has the greatest explanatory power in all models (</w:t>
      </w:r>
      <w:r w:rsidR="00D17FCB" w:rsidRPr="00273B1A">
        <w:rPr>
          <w:highlight w:val="yellow"/>
        </w:rPr>
        <w:t>Table S2</w:t>
      </w:r>
      <w:r w:rsidR="0032574D" w:rsidRPr="00273B1A">
        <w:rPr>
          <w:highlight w:val="yellow"/>
        </w:rPr>
        <w:t>)</w:t>
      </w:r>
      <w:r w:rsidR="00350FE5" w:rsidRPr="00273B1A">
        <w:rPr>
          <w:highlight w:val="yellow"/>
        </w:rPr>
        <w:t>.</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r w:rsidR="003E77D9" w:rsidRPr="0087034A">
        <w:rPr>
          <w:i/>
          <w:iCs/>
        </w:rPr>
        <w:t>SD</w:t>
      </w:r>
      <w:r w:rsidR="003E77D9">
        <w:rPr>
          <w:iCs/>
          <w:vertAlign w:val="subscript"/>
        </w:rPr>
        <w:t>GCFR</w:t>
      </w:r>
      <w:r w:rsidR="003E77D9">
        <w:t xml:space="preserve"> = 315.5; </w:t>
      </w:r>
      <w:r w:rsidR="003E77D9" w:rsidRPr="0087034A">
        <w:rPr>
          <w:i/>
          <w:iCs/>
        </w:rPr>
        <w:t>SD</w:t>
      </w:r>
      <w:r w:rsidR="003E77D9">
        <w:rPr>
          <w:iCs/>
          <w:vertAlign w:val="subscript"/>
        </w:rPr>
        <w:t>SWAFR</w:t>
      </w:r>
      <w:r w:rsidR="003E77D9">
        <w:t xml:space="preserve"> = 230.1; HDS: </w:t>
      </w:r>
      <w:r w:rsidR="003E77D9" w:rsidRPr="0087034A">
        <w:rPr>
          <w:i/>
          <w:iCs/>
        </w:rPr>
        <w:t>SD</w:t>
      </w:r>
      <w:r w:rsidR="003E77D9">
        <w:rPr>
          <w:iCs/>
          <w:vertAlign w:val="subscript"/>
        </w:rPr>
        <w:t>GCFR</w:t>
      </w:r>
      <w:r w:rsidR="003E77D9">
        <w:t xml:space="preserve"> =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r w:rsidR="00C96F57" w:rsidRPr="0087034A">
        <w:rPr>
          <w:i/>
          <w:iCs/>
        </w:rPr>
        <w:t>SD</w:t>
      </w:r>
      <w:r w:rsidR="00C96F57">
        <w:rPr>
          <w:iCs/>
          <w:vertAlign w:val="subscript"/>
        </w:rPr>
        <w:t>GCFR</w:t>
      </w:r>
      <w:r w:rsidR="00C96F57">
        <w:t xml:space="preserve"> = 638.4; </w:t>
      </w:r>
      <w:r w:rsidR="00C96F57" w:rsidRPr="0087034A">
        <w:rPr>
          <w:i/>
          <w:iCs/>
        </w:rPr>
        <w:t>SD</w:t>
      </w:r>
      <w:r w:rsidR="00C96F57">
        <w:rPr>
          <w:iCs/>
          <w:vertAlign w:val="subscript"/>
        </w:rPr>
        <w:t>SWAFR</w:t>
      </w:r>
      <w:r w:rsidR="00C96F57">
        <w:t xml:space="preserve"> = 353.9)</w:t>
      </w:r>
      <w:r w:rsidR="0032574D">
        <w:t xml:space="preserve">. </w:t>
      </w:r>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main effects of these variables. </w:t>
      </w:r>
    </w:p>
    <w:p w14:paraId="2C47BF37" w14:textId="32F5307F" w:rsidR="00350FE5" w:rsidRDefault="00E81245">
      <w:pPr>
        <w:pStyle w:val="FirstParagraph"/>
      </w:pPr>
      <w:r>
        <w:t>That the coefficients of determi</w:t>
      </w:r>
      <w:r w:rsidR="006F4CB8">
        <w:t>nation associated with the opti</w:t>
      </w:r>
      <w:r>
        <w:t>mum regression models</w:t>
      </w:r>
      <w:r w:rsidR="006F4CB8">
        <w:t xml:space="preserve"> (Figure 4</w:t>
      </w:r>
      <w:r w:rsidR="00BA3932">
        <w:t xml:space="preserve">: </w:t>
      </w:r>
      <w:r w:rsidR="00BA3932" w:rsidRPr="00095788">
        <w:rPr>
          <w:i/>
          <w:iCs/>
        </w:rPr>
        <w:t>R</w:t>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6CBE008"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B4B9F" w:rsidRPr="005D74C8">
        <w:t>Figure 5</w:t>
      </w:r>
      <w:r w:rsidR="005D74C8" w:rsidRPr="005D74C8">
        <w:t>e–h</w:t>
      </w:r>
      <w:r w:rsidR="001B4B9F" w:rsidRPr="00514C5C">
        <w:t xml:space="preserve">; </w:t>
      </w:r>
      <w:r w:rsidR="004C30F1" w:rsidRPr="00514C5C">
        <w:t>S</w:t>
      </w:r>
      <w:r w:rsidR="00514C5C" w:rsidRPr="00514C5C">
        <w:t>5e–h; S6e–h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7D7372">
        <w:t xml:space="preserve"> (Figure S8,9)</w:t>
      </w:r>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8374CE" w:rsidRPr="008374CE">
        <w:rPr>
          <w:highlight w:val="yellow"/>
        </w:rPr>
        <w:t>SI</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14"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t>coefficient</w:t>
      </w:r>
      <w:r w:rsidR="006435FF">
        <w:t>s of pH and elevation</w:t>
      </w:r>
      <w:r w:rsidR="00D839BD" w:rsidRPr="00D839BD">
        <w:t xml:space="preserve"> </w:t>
      </w:r>
      <w:r w:rsidR="00D839BD">
        <w:t>in the multiple regressions</w:t>
      </w:r>
      <w:r w:rsidR="006435FF">
        <w:t xml:space="preserve">, </w:t>
      </w:r>
      <w:commentRangeStart w:id="15"/>
      <w:r w:rsidR="006435FF">
        <w:t xml:space="preserve">which </w:t>
      </w:r>
      <w:r w:rsidR="00DB42AF">
        <w:t>a</w:t>
      </w:r>
      <w:r w:rsidR="006435FF">
        <w:t>re negative on account of their collinearity with other variables</w:t>
      </w:r>
      <w:commentRangeEnd w:id="15"/>
      <w:r w:rsidR="008D0795">
        <w:rPr>
          <w:rStyle w:val="CommentReference"/>
          <w:rFonts w:ascii="Times New Roman" w:hAnsiTheme="minorHAnsi"/>
        </w:rPr>
        <w:commentReference w:id="15"/>
      </w:r>
      <w:r w:rsidR="006435FF">
        <w:t xml:space="preserve">, all </w:t>
      </w:r>
      <w:r w:rsidR="00186541">
        <w:t xml:space="preserve">significant </w:t>
      </w:r>
      <w:r w:rsidR="006435FF">
        <w:t xml:space="preserve">coefficients associated with environmental </w:t>
      </w:r>
      <w:r w:rsidR="006435FF">
        <w:lastRenderedPageBreak/>
        <w:t>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16"/>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16"/>
      <w:r w:rsidR="00A57067">
        <w:rPr>
          <w:rStyle w:val="CommentReference"/>
          <w:rFonts w:ascii="Times New Roman" w:hAnsiTheme="minorHAnsi"/>
        </w:rPr>
        <w:commentReference w:id="16"/>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w:t>
      </w:r>
      <w:r w:rsidR="004F2596" w:rsidRPr="00CC1848">
        <w:rPr>
          <w:highlight w:val="yellow"/>
        </w:rPr>
        <w:t>ref***)</w:t>
      </w:r>
      <w:r w:rsidR="00CF6AF3" w:rsidRPr="00CC1848">
        <w:rPr>
          <w:highlight w:val="yellow"/>
        </w:rPr>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w:t>
      </w:r>
      <w:r w:rsidR="00B053CB" w:rsidRPr="00B64F53">
        <w:rPr>
          <w:highlight w:val="yellow"/>
        </w:rPr>
        <w:t>refs</w:t>
      </w:r>
      <w:r w:rsidR="00B053CB">
        <w:t>)</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17"/>
      <w:r w:rsidR="002D35E5">
        <w:t>2017</w:t>
      </w:r>
      <w:commentRangeEnd w:id="17"/>
      <w:r w:rsidR="00AD171B">
        <w:rPr>
          <w:rStyle w:val="CommentReference"/>
          <w:rFonts w:ascii="Times New Roman" w:hAnsiTheme="minorHAnsi"/>
        </w:rPr>
        <w:commentReference w:id="17"/>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18"/>
      <w:r w:rsidR="00C250BB">
        <w:t>2018</w:t>
      </w:r>
      <w:commentRangeEnd w:id="18"/>
      <w:r w:rsidR="00D72F4D">
        <w:rPr>
          <w:rStyle w:val="CommentReference"/>
          <w:rFonts w:ascii="Times New Roman" w:hAnsiTheme="minorHAnsi"/>
        </w:rPr>
        <w:commentReference w:id="18"/>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14"/>
    </w:p>
    <w:p w14:paraId="71033F34" w14:textId="08072B34" w:rsidR="00146F57" w:rsidRDefault="00D04776" w:rsidP="00FA753D">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C10BD">
        <w:trPr>
          <w:trHeight w:val="227"/>
        </w:trPr>
        <w:tc>
          <w:tcPr>
            <w:tcW w:w="1134" w:type="dxa"/>
            <w:tcBorders>
              <w:top w:val="single" w:sz="4" w:space="0" w:color="auto"/>
              <w:bottom w:val="single" w:sz="2" w:space="0" w:color="auto"/>
            </w:tcBorders>
            <w:vAlign w:val="bottom"/>
          </w:tcPr>
          <w:p w14:paraId="62EBEFA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C10BD">
        <w:trPr>
          <w:trHeight w:val="227"/>
        </w:trPr>
        <w:tc>
          <w:tcPr>
            <w:tcW w:w="1134" w:type="dxa"/>
            <w:tcBorders>
              <w:top w:val="single" w:sz="4" w:space="0" w:color="auto"/>
            </w:tcBorders>
          </w:tcPr>
          <w:p w14:paraId="7FDF71C7" w14:textId="65BB2C33"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33C511" w14:textId="0C98D100" w:rsidTr="009C10BD">
        <w:trPr>
          <w:trHeight w:val="227"/>
        </w:trPr>
        <w:tc>
          <w:tcPr>
            <w:tcW w:w="1134" w:type="dxa"/>
          </w:tcPr>
          <w:p w14:paraId="0FFC9D5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92D782F" w14:textId="5A93554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1B7B7E" w14:textId="759D253E" w:rsidTr="009C10BD">
        <w:trPr>
          <w:trHeight w:val="227"/>
        </w:trPr>
        <w:tc>
          <w:tcPr>
            <w:tcW w:w="1134" w:type="dxa"/>
          </w:tcPr>
          <w:p w14:paraId="521C1AF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1B43E820" w14:textId="1E144F7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3395C1A3" w14:textId="351C6C7E" w:rsidTr="009C10BD">
        <w:trPr>
          <w:trHeight w:val="227"/>
        </w:trPr>
        <w:tc>
          <w:tcPr>
            <w:tcW w:w="1134" w:type="dxa"/>
          </w:tcPr>
          <w:p w14:paraId="2E5D80C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750943" w:rsidRPr="00840830" w14:paraId="4503C606" w14:textId="6E6034DE" w:rsidTr="009C10BD">
        <w:trPr>
          <w:trHeight w:val="227"/>
        </w:trPr>
        <w:tc>
          <w:tcPr>
            <w:tcW w:w="1134" w:type="dxa"/>
          </w:tcPr>
          <w:p w14:paraId="13326302"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2061C68C" w14:textId="54BEE7D7" w:rsidTr="009C10BD">
        <w:trPr>
          <w:trHeight w:val="227"/>
        </w:trPr>
        <w:tc>
          <w:tcPr>
            <w:tcW w:w="1134" w:type="dxa"/>
          </w:tcPr>
          <w:p w14:paraId="3CD09BF6"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Pr>
          <w:p w14:paraId="29FC06A8" w14:textId="7C7FB2D9"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Pr>
          <w:p w14:paraId="3AD10EA1" w14:textId="42E0ECBD" w:rsidR="00750943" w:rsidRPr="00840830" w:rsidRDefault="00750943" w:rsidP="009C10BD">
            <w:pPr>
              <w:pStyle w:val="Compact"/>
              <w:spacing w:before="0" w:after="0"/>
              <w:rPr>
                <w:rFonts w:ascii="Times New Roman" w:hAnsi="Times New Roman" w:cs="Times New Roman"/>
                <w:sz w:val="22"/>
                <w:szCs w:val="22"/>
              </w:rPr>
            </w:pPr>
          </w:p>
        </w:tc>
      </w:tr>
      <w:tr w:rsidR="00D51F88" w:rsidRPr="00840830" w14:paraId="61021E01" w14:textId="012B0312" w:rsidTr="009C10BD">
        <w:trPr>
          <w:trHeight w:val="227"/>
        </w:trPr>
        <w:tc>
          <w:tcPr>
            <w:tcW w:w="1134" w:type="dxa"/>
          </w:tcPr>
          <w:p w14:paraId="620A9F7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4C951B7B" w14:textId="2457F4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6A216F13" w14:textId="37618B7B"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36C98A9B" w14:textId="1FAF2C2F" w:rsidTr="009C10BD">
        <w:trPr>
          <w:trHeight w:val="227"/>
        </w:trPr>
        <w:tc>
          <w:tcPr>
            <w:tcW w:w="1134" w:type="dxa"/>
          </w:tcPr>
          <w:p w14:paraId="2945E94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9C10BD">
            <w:pPr>
              <w:pStyle w:val="Compact"/>
              <w:spacing w:before="0" w:after="0"/>
              <w:rPr>
                <w:rFonts w:ascii="Times New Roman" w:hAnsi="Times New Roman" w:cs="Times New Roman"/>
                <w:sz w:val="22"/>
                <w:szCs w:val="22"/>
              </w:rPr>
            </w:pPr>
          </w:p>
        </w:tc>
      </w:tr>
      <w:tr w:rsidR="00750943" w:rsidRPr="00840830" w14:paraId="14F91A09" w14:textId="6911532D" w:rsidTr="009C10BD">
        <w:trPr>
          <w:trHeight w:val="227"/>
        </w:trPr>
        <w:tc>
          <w:tcPr>
            <w:tcW w:w="1134" w:type="dxa"/>
          </w:tcPr>
          <w:p w14:paraId="6CD7331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64E78183" w14:textId="1132F423" w:rsidTr="009C10BD">
        <w:trPr>
          <w:trHeight w:val="227"/>
        </w:trPr>
        <w:tc>
          <w:tcPr>
            <w:tcW w:w="1134" w:type="dxa"/>
            <w:tcBorders>
              <w:bottom w:val="single" w:sz="4" w:space="0" w:color="auto"/>
            </w:tcBorders>
          </w:tcPr>
          <w:p w14:paraId="336879F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9C10BD">
            <w:pPr>
              <w:pStyle w:val="Compact"/>
              <w:spacing w:before="0" w:after="0"/>
              <w:rPr>
                <w:rFonts w:ascii="Times New Roman" w:hAnsi="Times New Roman" w:cs="Times New Roman"/>
                <w:sz w:val="22"/>
                <w:szCs w:val="22"/>
              </w:rPr>
            </w:pPr>
          </w:p>
        </w:tc>
      </w:tr>
      <w:tr w:rsidR="00D15B52" w:rsidRPr="00840830" w14:paraId="1D077985" w14:textId="45FE03B9" w:rsidTr="009C10BD">
        <w:trPr>
          <w:trHeight w:val="227"/>
        </w:trPr>
        <w:tc>
          <w:tcPr>
            <w:tcW w:w="1134" w:type="dxa"/>
            <w:tcBorders>
              <w:top w:val="single" w:sz="4" w:space="0" w:color="auto"/>
            </w:tcBorders>
          </w:tcPr>
          <w:p w14:paraId="6E4CF490" w14:textId="041C0560"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B625CED" w14:textId="378D684F" w:rsidTr="009C10BD">
        <w:trPr>
          <w:trHeight w:val="227"/>
        </w:trPr>
        <w:tc>
          <w:tcPr>
            <w:tcW w:w="1134" w:type="dxa"/>
          </w:tcPr>
          <w:p w14:paraId="42CDAA3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670739E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1B45F2F2" w14:textId="5386239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6E7734B"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210E479" w14:textId="383EE0DC" w:rsidTr="009C10BD">
        <w:trPr>
          <w:trHeight w:val="227"/>
        </w:trPr>
        <w:tc>
          <w:tcPr>
            <w:tcW w:w="1134" w:type="dxa"/>
          </w:tcPr>
          <w:p w14:paraId="3793E1B1"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F4604DD"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7C3569A6" w14:textId="3E7985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5F451EE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7434E0C" w14:textId="79BE7819" w:rsidTr="009C10BD">
        <w:trPr>
          <w:trHeight w:val="227"/>
        </w:trPr>
        <w:tc>
          <w:tcPr>
            <w:tcW w:w="1134" w:type="dxa"/>
          </w:tcPr>
          <w:p w14:paraId="6D19E55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581718A"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ED70B5" w14:textId="2C1716B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B12598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7B21AD3" w14:textId="2A019963" w:rsidTr="009C10BD">
        <w:trPr>
          <w:trHeight w:val="227"/>
        </w:trPr>
        <w:tc>
          <w:tcPr>
            <w:tcW w:w="1134" w:type="dxa"/>
          </w:tcPr>
          <w:p w14:paraId="1C1616E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678542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4178FF" w14:textId="7361BE08"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A6642C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122B6F0E" w14:textId="601CC7FF" w:rsidTr="009C10BD">
        <w:trPr>
          <w:trHeight w:val="227"/>
        </w:trPr>
        <w:tc>
          <w:tcPr>
            <w:tcW w:w="1134" w:type="dxa"/>
          </w:tcPr>
          <w:p w14:paraId="76BBEAF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230F4A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4B272B26" w14:textId="2A2A68B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B317D9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ABA2A23" w14:textId="44AB0E26" w:rsidTr="009C10BD">
        <w:trPr>
          <w:trHeight w:val="227"/>
        </w:trPr>
        <w:tc>
          <w:tcPr>
            <w:tcW w:w="1134" w:type="dxa"/>
          </w:tcPr>
          <w:p w14:paraId="2750288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4930B078"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BEEC01C" w14:textId="55D3667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14AA5E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06A9E078" w14:textId="57CBE13E" w:rsidTr="009C10BD">
        <w:trPr>
          <w:trHeight w:val="227"/>
        </w:trPr>
        <w:tc>
          <w:tcPr>
            <w:tcW w:w="1134" w:type="dxa"/>
          </w:tcPr>
          <w:p w14:paraId="32EF69C4"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5B95102"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165742B" w14:textId="27ABA4C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38CDC44"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180B734" w14:textId="0DEB0741" w:rsidTr="009C10BD">
        <w:trPr>
          <w:trHeight w:val="227"/>
        </w:trPr>
        <w:tc>
          <w:tcPr>
            <w:tcW w:w="1134" w:type="dxa"/>
          </w:tcPr>
          <w:p w14:paraId="3E151716"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193508D6" w14:textId="735FFCA0" w:rsidTr="009C10BD">
        <w:trPr>
          <w:trHeight w:val="227"/>
        </w:trPr>
        <w:tc>
          <w:tcPr>
            <w:tcW w:w="1134" w:type="dxa"/>
            <w:tcBorders>
              <w:bottom w:val="single" w:sz="4" w:space="0" w:color="auto"/>
            </w:tcBorders>
          </w:tcPr>
          <w:p w14:paraId="72012CC4"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9C10BD">
            <w:pPr>
              <w:pStyle w:val="Compact"/>
              <w:spacing w:before="0" w:after="0"/>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9C10BD">
            <w:pPr>
              <w:pStyle w:val="Compact"/>
              <w:spacing w:before="0" w:after="0"/>
              <w:rPr>
                <w:rFonts w:ascii="Times New Roman" w:hAnsi="Times New Roman" w:cs="Times New Roman"/>
                <w:sz w:val="22"/>
                <w:szCs w:val="22"/>
              </w:rPr>
            </w:pPr>
          </w:p>
        </w:tc>
      </w:tr>
      <w:tr w:rsidR="00D15B52" w:rsidRPr="00840830" w14:paraId="732DC4E4" w14:textId="6B551E89" w:rsidTr="009C10BD">
        <w:trPr>
          <w:trHeight w:val="227"/>
        </w:trPr>
        <w:tc>
          <w:tcPr>
            <w:tcW w:w="1134" w:type="dxa"/>
          </w:tcPr>
          <w:p w14:paraId="45910090" w14:textId="1CD4D8BF"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3202EACA" w14:textId="6FA6D84D" w:rsidTr="009C10BD">
        <w:trPr>
          <w:trHeight w:val="227"/>
        </w:trPr>
        <w:tc>
          <w:tcPr>
            <w:tcW w:w="1134" w:type="dxa"/>
          </w:tcPr>
          <w:p w14:paraId="41C4392E" w14:textId="50CFE1DD"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FD269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62C4AF7" w14:textId="3E35B7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6EC4FD9A"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4D9F533" w14:textId="1641F210" w:rsidTr="009C10BD">
        <w:trPr>
          <w:trHeight w:val="227"/>
        </w:trPr>
        <w:tc>
          <w:tcPr>
            <w:tcW w:w="1134" w:type="dxa"/>
          </w:tcPr>
          <w:p w14:paraId="16CD37FC"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59E974A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C2CBD53" w14:textId="4D9AA6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AEFFFB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BAEC65F" w14:textId="643105C3" w:rsidTr="009C10BD">
        <w:trPr>
          <w:trHeight w:val="227"/>
        </w:trPr>
        <w:tc>
          <w:tcPr>
            <w:tcW w:w="1134" w:type="dxa"/>
          </w:tcPr>
          <w:p w14:paraId="4712CEB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790733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3BA08B5A" w14:textId="5925A2F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7B6E96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34D55D8" w14:textId="4F23D20E" w:rsidTr="009C10BD">
        <w:trPr>
          <w:trHeight w:val="227"/>
        </w:trPr>
        <w:tc>
          <w:tcPr>
            <w:tcW w:w="1134" w:type="dxa"/>
          </w:tcPr>
          <w:p w14:paraId="3EE9157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0EEA7A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47070D9" w14:textId="525660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2C3E362F"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9B40E0E" w14:textId="69B16D68" w:rsidTr="009C10BD">
        <w:trPr>
          <w:trHeight w:val="227"/>
        </w:trPr>
        <w:tc>
          <w:tcPr>
            <w:tcW w:w="1134" w:type="dxa"/>
          </w:tcPr>
          <w:p w14:paraId="1BC98CC9"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03DCF9E4" w14:textId="7D8061FA" w:rsidTr="009C10BD">
        <w:trPr>
          <w:trHeight w:val="227"/>
        </w:trPr>
        <w:tc>
          <w:tcPr>
            <w:tcW w:w="1134" w:type="dxa"/>
          </w:tcPr>
          <w:p w14:paraId="2C26BCAD"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6EC09B0B" w14:textId="29DAE2E9" w:rsidTr="009C10BD">
        <w:trPr>
          <w:trHeight w:val="227"/>
        </w:trPr>
        <w:tc>
          <w:tcPr>
            <w:tcW w:w="1134" w:type="dxa"/>
          </w:tcPr>
          <w:p w14:paraId="417441BF"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240B1F12"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59B3B17B" w14:textId="2629FA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4D3FDD5C"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34D8943" w14:textId="261BEEA9" w:rsidTr="009C10BD">
        <w:trPr>
          <w:trHeight w:val="227"/>
        </w:trPr>
        <w:tc>
          <w:tcPr>
            <w:tcW w:w="1134" w:type="dxa"/>
          </w:tcPr>
          <w:p w14:paraId="6D8D73E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6A44EB7"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486CAE9A" w14:textId="4533B43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189F93E0"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660C718" w14:textId="3CF8C0FB" w:rsidTr="009C10BD">
        <w:trPr>
          <w:trHeight w:val="227"/>
        </w:trPr>
        <w:tc>
          <w:tcPr>
            <w:tcW w:w="1134" w:type="dxa"/>
            <w:tcBorders>
              <w:bottom w:val="single" w:sz="4" w:space="0" w:color="auto"/>
            </w:tcBorders>
          </w:tcPr>
          <w:p w14:paraId="5C8E4A60"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9C10BD">
            <w:pPr>
              <w:pStyle w:val="Compact"/>
              <w:spacing w:before="0" w:after="0"/>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FA753D">
      <w:pPr>
        <w:pStyle w:val="BodyText"/>
        <w:spacing w:before="0"/>
      </w:pPr>
      <w:bookmarkStart w:id="19"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FA753D">
        <w:trPr>
          <w:trHeight w:val="227"/>
        </w:trPr>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FA753D">
        <w:trPr>
          <w:trHeight w:val="227"/>
        </w:trPr>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FA753D">
        <w:trPr>
          <w:trHeight w:val="227"/>
        </w:trPr>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FA753D">
        <w:trPr>
          <w:trHeight w:val="227"/>
        </w:trPr>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FA753D">
        <w:trPr>
          <w:trHeight w:val="227"/>
        </w:trPr>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19"/>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2C458EC1">
            <wp:extent cx="6741267" cy="3852153"/>
            <wp:effectExtent l="0" t="0" r="25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769892" cy="3868510"/>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02101C0">
            <wp:extent cx="6770452" cy="59241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774120" cy="5927354"/>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r w:rsidR="00F330A8" w:rsidRPr="00DE4BFD">
        <w:rPr>
          <w:highlight w:val="red"/>
        </w:rPr>
        <w:t>Frequency d</w:t>
      </w:r>
      <w:r w:rsidRPr="00DE4BFD">
        <w:rPr>
          <w:highlight w:val="red"/>
        </w:rPr>
        <w:t>istributions of (a) QDS- and (b) HDS-scale vascular plant species richness in the GCFR and SWAFR. (c) Scatter plot of mean QDS-scale richness (</w:t>
      </w:r>
      <m:oMath>
        <m:bar>
          <m:barPr>
            <m:pos m:val="top"/>
            <m:ctrlPr>
              <w:rPr>
                <w:rFonts w:ascii="Cambria Math" w:hAnsi="Cambria Math"/>
                <w:highlight w:val="red"/>
              </w:rPr>
            </m:ctrlPr>
          </m:barPr>
          <m:e>
            <m:r>
              <w:rPr>
                <w:rFonts w:ascii="Cambria Math" w:hAnsi="Cambria Math"/>
                <w:highlight w:val="red"/>
              </w:rPr>
              <m:t>S</m:t>
            </m:r>
          </m:e>
        </m:bar>
      </m:oMath>
      <w:r w:rsidRPr="00DE4BFD">
        <w:rPr>
          <w:highlight w:val="red"/>
          <w:vertAlign w:val="subscript"/>
        </w:rPr>
        <w:t>QDS</w:t>
      </w:r>
      <w:r w:rsidRPr="00DE4BFD">
        <w:rPr>
          <w:highlight w:val="red"/>
        </w:rPr>
        <w:t>) and turnover (</w:t>
      </w:r>
      <w:r w:rsidRPr="00DE4BFD">
        <w:rPr>
          <w:i/>
          <w:highlight w:val="red"/>
        </w:rPr>
        <w:t>T</w:t>
      </w:r>
      <w:r w:rsidRPr="00DE4BFD">
        <w:rPr>
          <w:highlight w:val="red"/>
          <w:vertAlign w:val="subscript"/>
        </w:rPr>
        <w:t>QDS</w:t>
      </w:r>
      <w:r w:rsidRPr="00DE4BFD">
        <w:rPr>
          <w:highlight w:val="red"/>
        </w:rPr>
        <w:t xml:space="preserve">) with contour lines denoting the </w:t>
      </w:r>
      <w:r w:rsidRPr="00DE4BFD">
        <w:rPr>
          <w:i/>
          <w:highlight w:val="red"/>
        </w:rPr>
        <w:t>S</w:t>
      </w:r>
      <w:r w:rsidRPr="00DE4BFD">
        <w:rPr>
          <w:highlight w:val="red"/>
          <w:vertAlign w:val="subscript"/>
        </w:rPr>
        <w:t>HDS</w:t>
      </w:r>
      <w:r w:rsidRPr="00DE4BFD">
        <w:rPr>
          <w:highlight w:val="red"/>
        </w:rPr>
        <w:t xml:space="preserve"> that arises as their sum. (d) The distribution of the turnover partition of </w:t>
      </w:r>
      <w:r w:rsidRPr="00DE4BFD">
        <w:rPr>
          <w:i/>
          <w:highlight w:val="red"/>
        </w:rPr>
        <w:t>S</w:t>
      </w:r>
      <w:r w:rsidRPr="00DE4BFD">
        <w:rPr>
          <w:highlight w:val="red"/>
          <w:vertAlign w:val="subscript"/>
        </w:rPr>
        <w:t>HDS</w:t>
      </w:r>
      <w:r w:rsidRPr="00DE4BFD">
        <w:rPr>
          <w:highlight w:val="red"/>
        </w:rPr>
        <w:t xml:space="preserve"> expressed as a proportion (</w:t>
      </w:r>
      <w:r w:rsidRPr="00DE4BFD">
        <w:rPr>
          <w:i/>
          <w:highlight w:val="red"/>
        </w:rPr>
        <w:t>T</w:t>
      </w:r>
      <w:r w:rsidRPr="00DE4BFD">
        <w:rPr>
          <w:highlight w:val="red"/>
          <w:vertAlign w:val="subscript"/>
        </w:rPr>
        <w:t>QDS</w:t>
      </w:r>
      <w:r w:rsidR="00211A46" w:rsidRPr="00DE4BFD">
        <w:rPr>
          <w:highlight w:val="red"/>
          <w:vertAlign w:val="subscript"/>
        </w:rPr>
        <w:t xml:space="preserve"> </w:t>
      </w:r>
      <w:r w:rsidR="00211A46" w:rsidRPr="00DE4BFD">
        <w:rPr>
          <w:highlight w:val="red"/>
        </w:rPr>
        <w:t>/</w:t>
      </w:r>
      <w:r w:rsidR="00211A46" w:rsidRPr="00DE4BFD">
        <w:rPr>
          <w:i/>
          <w:highlight w:val="red"/>
        </w:rPr>
        <w:t xml:space="preserve"> S</w:t>
      </w:r>
      <w:r w:rsidR="00211A46" w:rsidRPr="00DE4BFD">
        <w:rPr>
          <w:highlight w:val="red"/>
          <w:vertAlign w:val="subscript"/>
        </w:rPr>
        <w:t>HDS</w:t>
      </w:r>
      <w:r w:rsidR="00DB3FDF" w:rsidRPr="00DE4BFD">
        <w:rPr>
          <w:highlight w:val="red"/>
        </w:rPr>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0888E168">
            <wp:extent cx="6828819" cy="2276273"/>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51866" cy="2283955"/>
                    </a:xfrm>
                    <a:prstGeom prst="rect">
                      <a:avLst/>
                    </a:prstGeom>
                    <a:noFill/>
                    <a:ln w="9525">
                      <a:noFill/>
                      <a:headEnd/>
                      <a:tailEnd/>
                    </a:ln>
                  </pic:spPr>
                </pic:pic>
              </a:graphicData>
            </a:graphic>
          </wp:inline>
        </w:drawing>
      </w:r>
    </w:p>
    <w:p w14:paraId="7180F251" w14:textId="517F578C"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rsidR="002644F5">
        <w:t xml:space="preserve"> [</w:t>
      </w:r>
      <w:r w:rsidR="002644F5" w:rsidRPr="002644F5">
        <w:rPr>
          <w:highlight w:val="yellow"/>
        </w:rPr>
        <w:t>hotspots</w:t>
      </w:r>
      <w:r w:rsidR="002644F5">
        <w:t>].</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0B1C8E0">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0" w:name="references"/>
    </w:p>
    <w:p w14:paraId="0BD64C4E" w14:textId="2D0B4B2B" w:rsidR="006056E9" w:rsidRDefault="00A45444" w:rsidP="002C20EB">
      <w:pPr>
        <w:pStyle w:val="BodyText"/>
      </w:pPr>
      <w:bookmarkStart w:id="21" w:name="_GoBack"/>
      <w:r>
        <w:rPr>
          <w:noProof/>
          <w:lang w:val="en-ZA" w:eastAsia="en-ZA"/>
        </w:rPr>
        <w:lastRenderedPageBreak/>
        <w:drawing>
          <wp:inline distT="0" distB="0" distL="0" distR="0" wp14:anchorId="6CD6A0FF" wp14:editId="40ACFF47">
            <wp:extent cx="5118100" cy="87738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9468" cy="8844803"/>
                    </a:xfrm>
                    <a:prstGeom prst="rect">
                      <a:avLst/>
                    </a:prstGeom>
                  </pic:spPr>
                </pic:pic>
              </a:graphicData>
            </a:graphic>
          </wp:inline>
        </w:drawing>
      </w:r>
      <w:bookmarkEnd w:id="21"/>
    </w:p>
    <w:p w14:paraId="20EF5617" w14:textId="15703A38" w:rsidR="00A45444" w:rsidRPr="002C20EB" w:rsidRDefault="00A45444" w:rsidP="0074274A">
      <w:pPr>
        <w:pStyle w:val="BodyText"/>
      </w:pPr>
      <w:r w:rsidRPr="00242181">
        <w:rPr>
          <w:b/>
        </w:rPr>
        <w:lastRenderedPageBreak/>
        <w:t xml:space="preserve">Figure </w:t>
      </w:r>
      <w:r>
        <w:rPr>
          <w:b/>
        </w:rPr>
        <w:t>5</w:t>
      </w:r>
      <w:r w:rsidR="005649C9">
        <w:rPr>
          <w:b/>
        </w:rPr>
        <w:t xml:space="preserve">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16CAB420"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w:t>
      </w:r>
      <w:r w:rsidRPr="0019466D">
        <w:rPr>
          <w:highlight w:val="cyan"/>
        </w:rPr>
        <w:t>are available in the DRYAD Digital Repository (URL/DOI</w:t>
      </w:r>
      <w:r>
        <w:t xml:space="preserve">). The </w:t>
      </w:r>
      <w:r w:rsidR="00A56EBA">
        <w:t xml:space="preserve">raw </w:t>
      </w:r>
      <w:r>
        <w:t xml:space="preserve">plant occurrence records are available from GBIF (GCFR: </w:t>
      </w:r>
      <w:hyperlink r:id="rId17" w:history="1">
        <w:r w:rsidR="00A56EBA" w:rsidRPr="000F1325">
          <w:rPr>
            <w:rStyle w:val="Hyperlink"/>
          </w:rPr>
          <w:t>https://doi.org/10.15468/dl.n6u6n0</w:t>
        </w:r>
      </w:hyperlink>
      <w:r>
        <w:t xml:space="preserve">; SWAFR: </w:t>
      </w:r>
      <w:hyperlink r:id="rId18" w:history="1">
        <w:r w:rsidR="00930D80" w:rsidRPr="000F1325">
          <w:rPr>
            <w:rStyle w:val="Hyperlink"/>
          </w:rPr>
          <w:t>https://doi.org/10.15468/dl.46okua</w:t>
        </w:r>
      </w:hyperlink>
      <w:r>
        <w:t xml:space="preserve">). </w:t>
      </w:r>
      <w:r w:rsidRPr="00596AC4">
        <w:rPr>
          <w:highlight w:val="cyan"/>
        </w:rPr>
        <w:t>Our analyses are reproducible using R-scripts available also on GitHub (</w:t>
      </w:r>
      <w:hyperlink r:id="rId19" w:history="1">
        <w:r w:rsidR="00114B76" w:rsidRPr="00EC4B74">
          <w:rPr>
            <w:rStyle w:val="Hyperlink"/>
            <w:highlight w:val="cyan"/>
          </w:rPr>
          <w:t>https://github.com/rvanmazijk/Cape-vs-SWA</w:t>
        </w:r>
      </w:hyperlink>
      <w:r w:rsidRPr="00596AC4">
        <w:rPr>
          <w:highlight w:val="cyan"/>
        </w:rPr>
        <w:t>).</w:t>
      </w:r>
    </w:p>
    <w:p w14:paraId="3FB275CB" w14:textId="782BA677" w:rsidR="00DD2348" w:rsidRDefault="005F0FFB" w:rsidP="0018462C">
      <w:pPr>
        <w:pStyle w:val="Heading1"/>
      </w:pPr>
      <w:r w:rsidRPr="002C20EB">
        <w:t>References</w:t>
      </w:r>
      <w:bookmarkEnd w:id="2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lastRenderedPageBreak/>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noProof/>
          <w:lang w:val="en-GB"/>
        </w:rPr>
      </w:pPr>
      <w:r w:rsidRPr="00F66C40">
        <w:rPr>
          <w:rFonts w:hAnsi="Times New Roman" w:cs="Times New Roman"/>
          <w:noProof/>
          <w:lang w:val="en-GB"/>
        </w:rPr>
        <w:t xml:space="preserve">Chao A. &amp; Jost L. (2012) Coverage-based rarefaction and extrapolation: Standardizing samples by completeness rather than size. </w:t>
      </w:r>
      <w:r w:rsidRPr="00F66C40">
        <w:rPr>
          <w:rFonts w:hAnsi="Times New Roman" w:cs="Times New Roman"/>
          <w:i/>
          <w:iCs/>
          <w:noProof/>
          <w:lang w:val="en-GB"/>
        </w:rPr>
        <w:t>Ecology</w:t>
      </w:r>
      <w:r w:rsidRPr="00F66C40">
        <w:rPr>
          <w:rFonts w:hAnsi="Times New Roman" w:cs="Times New Roman"/>
          <w:noProof/>
          <w:lang w:val="en-GB"/>
        </w:rPr>
        <w:t xml:space="preserve">, </w:t>
      </w:r>
      <w:r w:rsidRPr="00F66C40">
        <w:rPr>
          <w:rFonts w:hAnsi="Times New Roman" w:cs="Times New Roman"/>
          <w:b/>
          <w:bCs/>
          <w:noProof/>
          <w:lang w:val="en-GB"/>
        </w:rPr>
        <w:t>93</w:t>
      </w:r>
      <w:r w:rsidRPr="00F66C40">
        <w:rPr>
          <w:rFonts w:hAnsi="Times New Roman" w:cs="Times New Roman"/>
          <w:noProof/>
          <w:lang w:val="en-GB"/>
        </w:rPr>
        <w:t xml:space="preserve">, 2533–2547. </w:t>
      </w:r>
    </w:p>
    <w:p w14:paraId="105BDFB9"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Colville, J.C., Potts A.J., Bradshaw P.L., Measey J., Snyman D., Picker M.D. Procheş S., Bowie R.C.K. &amp; Manning J.C. (2014) Floristic and faunal Cape biochoria: do they exist.</w:t>
      </w:r>
      <w:r w:rsidRPr="00F66C40">
        <w:rPr>
          <w:rFonts w:hAnsi="Times New Roman" w:cs="Times New Roman"/>
          <w:i/>
          <w:noProof/>
          <w:lang w:val="en-GB"/>
        </w:rPr>
        <w:t xml:space="preserve"> Fynbos: ecology, evolution, and conservation of a megadiverse region </w:t>
      </w:r>
      <w:r w:rsidRPr="00F66C40">
        <w:rPr>
          <w:rFonts w:hAnsi="Times New Roman" w:cs="Times New Roman"/>
          <w:noProof/>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noProof/>
          <w:lang w:val="en-GB"/>
        </w:rPr>
      </w:pPr>
      <w:r w:rsidRPr="00F66C40">
        <w:rPr>
          <w:rFonts w:hAnsi="Times New Roman" w:cs="Times New Roman"/>
          <w:noProof/>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noProof/>
          <w:lang w:val="en-GB"/>
        </w:rPr>
        <w:t>Ecology and Evolution</w:t>
      </w:r>
      <w:r w:rsidRPr="00F66C40">
        <w:rPr>
          <w:rFonts w:hAnsi="Times New Roman" w:cs="Times New Roman"/>
          <w:noProof/>
          <w:lang w:val="en-GB"/>
        </w:rPr>
        <w:t xml:space="preserve">, </w:t>
      </w:r>
      <w:r w:rsidRPr="00F66C40">
        <w:rPr>
          <w:rFonts w:hAnsi="Times New Roman" w:cs="Times New Roman"/>
          <w:b/>
          <w:bCs/>
          <w:noProof/>
          <w:lang w:val="en-GB"/>
        </w:rPr>
        <w:t>5</w:t>
      </w:r>
      <w:r w:rsidRPr="00F66C40">
        <w:rPr>
          <w:rFonts w:hAnsi="Times New Roman" w:cs="Times New Roman"/>
          <w:noProof/>
          <w:lang w:val="en-GB"/>
        </w:rPr>
        <w:t xml:space="preserve">, 807–820. </w:t>
      </w:r>
    </w:p>
    <w:p w14:paraId="244ADFF8"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 xml:space="preserve">Gotelli N.J. &amp; Colwell R.K. (2001) Quantifying biodiversity: Procedures and pitfalls in the measurement and comparison of species richness. </w:t>
      </w:r>
      <w:r w:rsidRPr="00F66C40">
        <w:rPr>
          <w:rFonts w:hAnsi="Times New Roman" w:cs="Times New Roman"/>
          <w:i/>
          <w:iCs/>
          <w:noProof/>
          <w:lang w:val="en-GB"/>
        </w:rPr>
        <w:t>Ecology Letters</w:t>
      </w:r>
      <w:r w:rsidRPr="00F66C40">
        <w:rPr>
          <w:rFonts w:hAnsi="Times New Roman" w:cs="Times New Roman"/>
          <w:noProof/>
          <w:lang w:val="en-GB"/>
        </w:rPr>
        <w:t xml:space="preserve">, </w:t>
      </w:r>
      <w:r w:rsidRPr="00F66C40">
        <w:rPr>
          <w:rFonts w:hAnsi="Times New Roman" w:cs="Times New Roman"/>
          <w:b/>
          <w:bCs/>
          <w:noProof/>
          <w:lang w:val="en-GB"/>
        </w:rPr>
        <w:t>4</w:t>
      </w:r>
      <w:r w:rsidRPr="00F66C40">
        <w:rPr>
          <w:rFonts w:hAnsi="Times New Roman" w:cs="Times New Roman"/>
          <w:noProof/>
          <w:lang w:val="en-GB"/>
        </w:rPr>
        <w:t xml:space="preserve">, 379–391. </w:t>
      </w:r>
    </w:p>
    <w:p w14:paraId="677EF16D" w14:textId="77777777" w:rsidR="002F32A1" w:rsidRDefault="002F32A1" w:rsidP="002F32A1">
      <w:pPr>
        <w:ind w:left="480" w:hanging="480"/>
        <w:rPr>
          <w:rFonts w:hAnsi="Times New Roman" w:cs="Times New Roman"/>
          <w:noProof/>
          <w:lang w:val="en-GB"/>
        </w:rPr>
      </w:pPr>
      <w:r w:rsidRPr="00F66C40">
        <w:rPr>
          <w:rFonts w:hAnsi="Times New Roman" w:cs="Times New Roman"/>
          <w:noProof/>
          <w:lang w:val="en-GB"/>
        </w:rPr>
        <w:t xml:space="preserve">Merow C., Smith M.J., &amp; Silander J.A. (2013) A practical guide to MaxEnt for modeling species’ distributions: What it does, and why inputs and settings matter. </w:t>
      </w:r>
      <w:r w:rsidRPr="00F66C40">
        <w:rPr>
          <w:rFonts w:hAnsi="Times New Roman" w:cs="Times New Roman"/>
          <w:i/>
          <w:iCs/>
          <w:noProof/>
          <w:lang w:val="en-GB"/>
        </w:rPr>
        <w:t>Ecography</w:t>
      </w:r>
      <w:r w:rsidRPr="00F66C40">
        <w:rPr>
          <w:rFonts w:hAnsi="Times New Roman" w:cs="Times New Roman"/>
          <w:noProof/>
          <w:lang w:val="en-GB"/>
        </w:rPr>
        <w:t xml:space="preserve">, </w:t>
      </w:r>
      <w:r w:rsidRPr="00F66C40">
        <w:rPr>
          <w:rFonts w:hAnsi="Times New Roman" w:cs="Times New Roman"/>
          <w:b/>
          <w:bCs/>
          <w:noProof/>
          <w:lang w:val="en-GB"/>
        </w:rPr>
        <w:t>36</w:t>
      </w:r>
      <w:r w:rsidRPr="00F66C40">
        <w:rPr>
          <w:rFonts w:hAnsi="Times New Roman" w:cs="Times New Roman"/>
          <w:noProof/>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noProof/>
        </w:rPr>
      </w:pPr>
      <w:r w:rsidRPr="00F66C40">
        <w:rPr>
          <w:rFonts w:hAnsi="Times New Roman" w:cs="Times New Roman"/>
          <w:noProof/>
        </w:rPr>
        <w:t xml:space="preserve">Rebelo T. (2001) </w:t>
      </w:r>
      <w:r w:rsidRPr="00F66C40">
        <w:rPr>
          <w:rFonts w:hAnsi="Times New Roman" w:cs="Times New Roman"/>
          <w:i/>
          <w:noProof/>
        </w:rPr>
        <w:t>Proteas: A Field Guide to the Proteas of Southern Africa</w:t>
      </w:r>
      <w:r w:rsidRPr="00F66C40">
        <w:rPr>
          <w:rFonts w:hAnsi="Times New Roman" w:cs="Times New Roman"/>
          <w:noProof/>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0CFCE5C3" w:rsidR="00EF41C1" w:rsidRDefault="00F3256A" w:rsidP="002C20EB">
      <w:pPr>
        <w:pStyle w:val="BodyText"/>
        <w:spacing w:before="0"/>
      </w:pPr>
      <w:r>
        <w:rPr>
          <w:b/>
        </w:rPr>
        <w:t>Ruan v</w:t>
      </w:r>
      <w:r w:rsidR="00EF41C1" w:rsidRPr="00F3256A">
        <w:rPr>
          <w:b/>
        </w:rPr>
        <w:t>an Mazijk</w:t>
      </w:r>
      <w:r w:rsidR="00EF41C1">
        <w:t xml:space="preserve"> is </w:t>
      </w:r>
      <w:r w:rsidR="00365CC9">
        <w:t xml:space="preserve">graduate student interested in </w:t>
      </w:r>
      <w:r w:rsidR="00D371B8">
        <w:t>[</w:t>
      </w:r>
      <w:r w:rsidR="00D371B8" w:rsidRPr="00D371B8">
        <w:rPr>
          <w:highlight w:val="yellow"/>
        </w:rPr>
        <w:t>…</w:t>
      </w:r>
      <w:r w:rsidR="00D371B8">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53FE1154"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p w14:paraId="1A12FE4F" w14:textId="77777777" w:rsidR="00B46208" w:rsidRPr="003C085D" w:rsidRDefault="00B46208" w:rsidP="00B46208">
      <w:pPr>
        <w:pStyle w:val="Heading1"/>
      </w:pPr>
      <w:r w:rsidRPr="003C085D">
        <w:t>ORCID</w:t>
      </w:r>
    </w:p>
    <w:p w14:paraId="65B2E59A" w14:textId="77777777" w:rsidR="00B46208" w:rsidRPr="002B2755" w:rsidRDefault="00B46208" w:rsidP="00B46208">
      <w:r w:rsidRPr="002B2755">
        <w:t>R</w:t>
      </w:r>
      <w:r w:rsidRPr="002C20EB">
        <w:t xml:space="preserve">uan van Mazijk: </w:t>
      </w:r>
      <w:hyperlink r:id="rId20" w:history="1">
        <w:r w:rsidRPr="002C20EB">
          <w:rPr>
            <w:rStyle w:val="Hyperlink"/>
          </w:rPr>
          <w:t>https://orcid.org/0000-0003-2659-6909</w:t>
        </w:r>
      </w:hyperlink>
    </w:p>
    <w:p w14:paraId="1B1F3B09" w14:textId="77777777" w:rsidR="00B46208" w:rsidRPr="002B2755" w:rsidRDefault="00B46208" w:rsidP="00B46208">
      <w:r w:rsidRPr="002C20EB">
        <w:t xml:space="preserve">Michael D. Cramer: </w:t>
      </w:r>
      <w:hyperlink r:id="rId21" w:history="1">
        <w:r w:rsidRPr="002C20EB">
          <w:rPr>
            <w:rStyle w:val="Hyperlink"/>
          </w:rPr>
          <w:t>https://orcid.org/0000-0003-0989-3266</w:t>
        </w:r>
      </w:hyperlink>
    </w:p>
    <w:p w14:paraId="54EBA765" w14:textId="4AB34602" w:rsidR="00B46208" w:rsidRPr="00B46208" w:rsidRDefault="00B46208" w:rsidP="00B46208">
      <w:r w:rsidRPr="002C20EB">
        <w:t xml:space="preserve">G. Anthony </w:t>
      </w:r>
      <w:proofErr w:type="spellStart"/>
      <w:r w:rsidRPr="002C20EB">
        <w:t>Verboom</w:t>
      </w:r>
      <w:proofErr w:type="spellEnd"/>
      <w:r w:rsidRPr="002C20EB">
        <w:t xml:space="preserve">: </w:t>
      </w:r>
      <w:hyperlink r:id="rId22" w:history="1">
        <w:r w:rsidRPr="002C20EB">
          <w:rPr>
            <w:rStyle w:val="Hyperlink"/>
          </w:rPr>
          <w:t>https://orcid.org/0000-0002-1363-9781</w:t>
        </w:r>
      </w:hyperlink>
    </w:p>
    <w:sectPr w:rsidR="00B46208" w:rsidRPr="00B46208" w:rsidSect="002C20EB">
      <w:footerReference w:type="default" r:id="rId23"/>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4"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5"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6"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7" w:author="Ruan Van Mazijk" w:date="2019-12-03T12:30:00Z" w:initials="RVM">
    <w:p w14:paraId="276D846E" w14:textId="7583AD33" w:rsidR="00FC3AFE" w:rsidRDefault="00FC3AFE">
      <w:pPr>
        <w:pStyle w:val="CommentText"/>
      </w:pPr>
      <w:r>
        <w:rPr>
          <w:rStyle w:val="CommentReference"/>
        </w:rPr>
        <w:annotationRef/>
      </w:r>
      <w:r>
        <w:t>GCFR?</w:t>
      </w:r>
    </w:p>
  </w:comment>
  <w:comment w:id="9"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1"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15" w:author="Ruan Van Mazijk [2]" w:date="2019-12-30T10:34:00Z" w:initials="RVM">
    <w:p w14:paraId="0217C32F" w14:textId="56A0B283" w:rsidR="008D0795" w:rsidRDefault="008D0795">
      <w:pPr>
        <w:pStyle w:val="CommentText"/>
      </w:pPr>
      <w:r>
        <w:rPr>
          <w:rStyle w:val="CommentReference"/>
        </w:rPr>
        <w:annotationRef/>
      </w:r>
      <w:r>
        <w:t>!!!!!!!!!!!!!!!!!!!!!!!!!!!!!</w:t>
      </w:r>
    </w:p>
  </w:comment>
  <w:comment w:id="16"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17"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18" w:author="Michael Cramer" w:date="2019-12-03T10:43:00Z" w:initials="MC">
    <w:p w14:paraId="12C42DED" w14:textId="5819E472" w:rsidR="00FC3AFE" w:rsidRDefault="00FC3AFE">
      <w:pPr>
        <w:pStyle w:val="CommentText"/>
      </w:pPr>
      <w:r>
        <w:rPr>
          <w:rStyle w:val="CommentReference"/>
        </w:rPr>
        <w:annotationRef/>
      </w:r>
      <w:r>
        <w:t>Don</w:t>
      </w:r>
      <w:r>
        <w:t>’</w:t>
      </w:r>
      <w:r>
        <w:t xml:space="preserve">t you think that Perth requires a mention </w:t>
      </w:r>
      <w:proofErr w:type="gramStart"/>
      <w:r>
        <w:t>too.</w:t>
      </w:r>
      <w:proofErr w:type="gramEnd"/>
      <w:r>
        <w:t xml:space="preserve"> There is a different matter. It is the potential inflation of species richness by anthropogenic imports.</w:t>
      </w:r>
    </w:p>
    <w:p w14:paraId="5F3E149F" w14:textId="6DD801A6" w:rsidR="00FC3AFE" w:rsidRDefault="00FC3A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5E568" w15:done="0"/>
  <w15:commentEx w15:paraId="1A2D83B2" w15:done="0"/>
  <w15:commentEx w15:paraId="0D85E42B" w15:done="0"/>
  <w15:commentEx w15:paraId="50E697F5" w15:paraIdParent="0D85E42B" w15:done="0"/>
  <w15:commentEx w15:paraId="276D846E" w15:done="0"/>
  <w15:commentEx w15:paraId="1C33D467" w15:done="0"/>
  <w15:commentEx w15:paraId="13E1EB9E" w15:done="0"/>
  <w15:commentEx w15:paraId="0217C32F" w15:done="0"/>
  <w15:commentEx w15:paraId="7BAA7050" w15:done="0"/>
  <w15:commentEx w15:paraId="6DD55F01" w15:done="0"/>
  <w15:commentEx w15:paraId="5F3E14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5E568" w16cid:durableId="2190D293"/>
  <w16cid:commentId w16cid:paraId="1A2D83B2" w16cid:durableId="21442C0E"/>
  <w16cid:commentId w16cid:paraId="0D85E42B" w16cid:durableId="21442AB3"/>
  <w16cid:commentId w16cid:paraId="50E697F5" w16cid:durableId="2145DB8F"/>
  <w16cid:commentId w16cid:paraId="276D846E" w16cid:durableId="2190D3EA"/>
  <w16cid:commentId w16cid:paraId="1C33D467" w16cid:durableId="21920EA1"/>
  <w16cid:commentId w16cid:paraId="13E1EB9E" w16cid:durableId="2190C6D0"/>
  <w16cid:commentId w16cid:paraId="0217C32F" w16cid:durableId="21B45151"/>
  <w16cid:commentId w16cid:paraId="7BAA7050" w16cid:durableId="21909B1E"/>
  <w16cid:commentId w16cid:paraId="6DD55F01" w16cid:durableId="21909E66"/>
  <w16cid:commentId w16cid:paraId="5F3E149F" w16cid:durableId="2190B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1DBD" w14:textId="77777777" w:rsidR="00FB3BAF" w:rsidRDefault="00FB3BAF">
      <w:pPr>
        <w:spacing w:after="0"/>
      </w:pPr>
      <w:r>
        <w:separator/>
      </w:r>
    </w:p>
  </w:endnote>
  <w:endnote w:type="continuationSeparator" w:id="0">
    <w:p w14:paraId="024F60BB" w14:textId="77777777" w:rsidR="00FB3BAF" w:rsidRDefault="00FB3BAF">
      <w:pPr>
        <w:spacing w:after="0"/>
      </w:pPr>
      <w:r>
        <w:continuationSeparator/>
      </w:r>
    </w:p>
  </w:endnote>
  <w:endnote w:type="continuationNotice" w:id="1">
    <w:p w14:paraId="0FB555A1" w14:textId="77777777" w:rsidR="00FB3BAF" w:rsidRDefault="00FB3B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24BAD" w14:textId="77777777" w:rsidR="00FB3BAF" w:rsidRDefault="00FB3BAF">
      <w:r>
        <w:separator/>
      </w:r>
    </w:p>
  </w:footnote>
  <w:footnote w:type="continuationSeparator" w:id="0">
    <w:p w14:paraId="41D46766" w14:textId="77777777" w:rsidR="00FB3BAF" w:rsidRDefault="00FB3BAF">
      <w:r>
        <w:continuationSeparator/>
      </w:r>
    </w:p>
  </w:footnote>
  <w:footnote w:type="continuationNotice" w:id="1">
    <w:p w14:paraId="7A8578E3" w14:textId="77777777" w:rsidR="00FB3BAF" w:rsidRDefault="00FB3BA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128"/>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117A"/>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5FA8"/>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466D"/>
    <w:rsid w:val="00195211"/>
    <w:rsid w:val="00195C63"/>
    <w:rsid w:val="001A0AB2"/>
    <w:rsid w:val="001A123A"/>
    <w:rsid w:val="001A150C"/>
    <w:rsid w:val="001A1879"/>
    <w:rsid w:val="001A20FA"/>
    <w:rsid w:val="001A23A6"/>
    <w:rsid w:val="001A29B8"/>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5E6"/>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32B"/>
    <w:rsid w:val="00235637"/>
    <w:rsid w:val="00236CF0"/>
    <w:rsid w:val="00237525"/>
    <w:rsid w:val="002376C5"/>
    <w:rsid w:val="00240829"/>
    <w:rsid w:val="00241435"/>
    <w:rsid w:val="00242181"/>
    <w:rsid w:val="00242EDD"/>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57D86"/>
    <w:rsid w:val="002604CE"/>
    <w:rsid w:val="00261A54"/>
    <w:rsid w:val="002624D4"/>
    <w:rsid w:val="002626CC"/>
    <w:rsid w:val="00262EF2"/>
    <w:rsid w:val="00262F02"/>
    <w:rsid w:val="002644D2"/>
    <w:rsid w:val="002644F5"/>
    <w:rsid w:val="002658EC"/>
    <w:rsid w:val="00265947"/>
    <w:rsid w:val="00267348"/>
    <w:rsid w:val="00270A25"/>
    <w:rsid w:val="00270B4B"/>
    <w:rsid w:val="002711B7"/>
    <w:rsid w:val="00271377"/>
    <w:rsid w:val="00272E07"/>
    <w:rsid w:val="00273150"/>
    <w:rsid w:val="002736BC"/>
    <w:rsid w:val="00273B1A"/>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9E3"/>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3FAF"/>
    <w:rsid w:val="003450F4"/>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3FC"/>
    <w:rsid w:val="003617CF"/>
    <w:rsid w:val="00363038"/>
    <w:rsid w:val="00364F0A"/>
    <w:rsid w:val="00365CC9"/>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5C8"/>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2156"/>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1655F"/>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99D"/>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0F1"/>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4C5C"/>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67B4"/>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49C9"/>
    <w:rsid w:val="00565039"/>
    <w:rsid w:val="0056568D"/>
    <w:rsid w:val="00565EFE"/>
    <w:rsid w:val="00565F05"/>
    <w:rsid w:val="0056633D"/>
    <w:rsid w:val="00570BEE"/>
    <w:rsid w:val="005732D5"/>
    <w:rsid w:val="00573ACA"/>
    <w:rsid w:val="005746E0"/>
    <w:rsid w:val="0057611C"/>
    <w:rsid w:val="00576C2F"/>
    <w:rsid w:val="0057720E"/>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446D"/>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D74C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69C"/>
    <w:rsid w:val="005F573D"/>
    <w:rsid w:val="005F5881"/>
    <w:rsid w:val="005F60AF"/>
    <w:rsid w:val="005F60C1"/>
    <w:rsid w:val="005F60E0"/>
    <w:rsid w:val="005F79BD"/>
    <w:rsid w:val="005F7AE4"/>
    <w:rsid w:val="005F7C7C"/>
    <w:rsid w:val="005F7E3B"/>
    <w:rsid w:val="00600AF1"/>
    <w:rsid w:val="00601362"/>
    <w:rsid w:val="006026B4"/>
    <w:rsid w:val="00602D3B"/>
    <w:rsid w:val="00603141"/>
    <w:rsid w:val="00604263"/>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2793F"/>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9BD"/>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3EF8"/>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016"/>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B72"/>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0F37"/>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3F"/>
    <w:rsid w:val="007B1FA8"/>
    <w:rsid w:val="007B46C9"/>
    <w:rsid w:val="007B5DBC"/>
    <w:rsid w:val="007B738D"/>
    <w:rsid w:val="007B7725"/>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372"/>
    <w:rsid w:val="007D7D37"/>
    <w:rsid w:val="007E2349"/>
    <w:rsid w:val="007E4A90"/>
    <w:rsid w:val="007E4A9C"/>
    <w:rsid w:val="007E55CB"/>
    <w:rsid w:val="007E6D61"/>
    <w:rsid w:val="007E72DA"/>
    <w:rsid w:val="007E78CD"/>
    <w:rsid w:val="007E7D27"/>
    <w:rsid w:val="007F0700"/>
    <w:rsid w:val="007F13C1"/>
    <w:rsid w:val="007F191C"/>
    <w:rsid w:val="007F1A0B"/>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C5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5C93"/>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4CE"/>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079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0D80"/>
    <w:rsid w:val="0093209B"/>
    <w:rsid w:val="00932EF4"/>
    <w:rsid w:val="00933CCA"/>
    <w:rsid w:val="00934B42"/>
    <w:rsid w:val="00936231"/>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5D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10BD"/>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6EBA"/>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0873"/>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4F53"/>
    <w:rsid w:val="00B6526E"/>
    <w:rsid w:val="00B67ACF"/>
    <w:rsid w:val="00B67B46"/>
    <w:rsid w:val="00B7025C"/>
    <w:rsid w:val="00B70AC8"/>
    <w:rsid w:val="00B718C1"/>
    <w:rsid w:val="00B71D27"/>
    <w:rsid w:val="00B72F5A"/>
    <w:rsid w:val="00B730A8"/>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4B4C"/>
    <w:rsid w:val="00BD5C4F"/>
    <w:rsid w:val="00BD5EE2"/>
    <w:rsid w:val="00BD72CC"/>
    <w:rsid w:val="00BD7A0C"/>
    <w:rsid w:val="00BD7BCB"/>
    <w:rsid w:val="00BE042E"/>
    <w:rsid w:val="00BE0660"/>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5E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6BFA"/>
    <w:rsid w:val="00CB7719"/>
    <w:rsid w:val="00CC00F5"/>
    <w:rsid w:val="00CC0323"/>
    <w:rsid w:val="00CC1042"/>
    <w:rsid w:val="00CC1848"/>
    <w:rsid w:val="00CC1A42"/>
    <w:rsid w:val="00CC2706"/>
    <w:rsid w:val="00CC3BF9"/>
    <w:rsid w:val="00CC4049"/>
    <w:rsid w:val="00CC43D5"/>
    <w:rsid w:val="00CC4536"/>
    <w:rsid w:val="00CC531D"/>
    <w:rsid w:val="00CC5DCB"/>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06A"/>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17FCB"/>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6A9A"/>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B7E22"/>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2D6F"/>
    <w:rsid w:val="00DE3D40"/>
    <w:rsid w:val="00DE487A"/>
    <w:rsid w:val="00DE4AEB"/>
    <w:rsid w:val="00DE4BFD"/>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3BB"/>
    <w:rsid w:val="00E0149B"/>
    <w:rsid w:val="00E01AE6"/>
    <w:rsid w:val="00E027D7"/>
    <w:rsid w:val="00E0320F"/>
    <w:rsid w:val="00E04EBE"/>
    <w:rsid w:val="00E07D97"/>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3AC"/>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7B5"/>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083"/>
    <w:rsid w:val="00F34371"/>
    <w:rsid w:val="00F3440B"/>
    <w:rsid w:val="00F34781"/>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53D"/>
    <w:rsid w:val="00FA7716"/>
    <w:rsid w:val="00FA78DF"/>
    <w:rsid w:val="00FB108C"/>
    <w:rsid w:val="00FB16E1"/>
    <w:rsid w:val="00FB1888"/>
    <w:rsid w:val="00FB1930"/>
    <w:rsid w:val="00FB2344"/>
    <w:rsid w:val="00FB2CE3"/>
    <w:rsid w:val="00FB3BAF"/>
    <w:rsid w:val="00FB449F"/>
    <w:rsid w:val="00FB4A38"/>
    <w:rsid w:val="00FB508F"/>
    <w:rsid w:val="00FB5212"/>
    <w:rsid w:val="00FB5E8F"/>
    <w:rsid w:val="00FB6377"/>
    <w:rsid w:val="00FB66AE"/>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doi.org/10.15468/dl.46oku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rcid.org/0000-0003-0989-326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5468/dl.n6u6n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3-2659-69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github.com/rvanmazijk/Cape-vs-SW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3D552-185D-473A-9536-00AFBA62D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21</Pages>
  <Words>11712</Words>
  <Characters>66763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78319</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251</cp:revision>
  <cp:lastPrinted>2020-01-06T10:27:00Z</cp:lastPrinted>
  <dcterms:created xsi:type="dcterms:W3CDTF">2019-12-03T09:32:00Z</dcterms:created>
  <dcterms:modified xsi:type="dcterms:W3CDTF">2020-01-07T10:26:00Z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true</vt:lpwstr>
  </property>
  <property fmtid="{D5CDD505-2E9C-101B-9397-08002B2CF9AE}" pid="24" name="Mendeley Citation Style_1">
    <vt:lpwstr>http://www.zotero.org/styles/apa</vt:lpwstr>
  </property>
</Properties>
</file>