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rHeight w:val="170" w:hRule="exact"/>
        </w:trPr>
        <w:tc>
          <w:tcPr>
            <w:tcW w:type="dxa" w:w="2160"/>
            <w:shd w:fill="FEC106" w:color="auto" w:val="clear"/>
          </w:tcPr>
          <w:p/>
        </w:tc>
        <w:tc>
          <w:tcPr>
            <w:tcW w:type="dxa" w:w="2160"/>
            <w:shd w:fill="FF6C02" w:color="auto" w:val="clear"/>
          </w:tcPr>
          <w:p/>
        </w:tc>
        <w:tc>
          <w:tcPr>
            <w:tcW w:type="dxa" w:w="2160"/>
            <w:shd w:fill="E04F4D" w:color="auto" w:val="clear"/>
          </w:tcPr>
          <w:p/>
        </w:tc>
        <w:tc>
          <w:tcPr>
            <w:tcW w:type="dxa" w:w="2160"/>
            <w:shd w:fill="5A4FCF" w:color="auto" w:val="clear"/>
          </w:tcPr>
          <w:p/>
        </w:tc>
        <w:tc>
          <w:tcPr>
            <w:tcW w:type="dxa" w:w="2160"/>
            <w:shd w:fill="AB0068" w:color="auto" w:val="clear"/>
          </w:tcPr>
          <w:p/>
        </w:tc>
      </w:tr>
    </w:tbl>
    <w:p>
      <w:pPr>
        <w:spacing w:after="240"/>
      </w:pPr>
    </w:p>
    <w:p>
      <w:pPr>
        <w:spacing w:after="240"/>
        <w:jc w:val="center"/>
      </w:pPr>
      <w:r>
        <w:drawing>
          <wp:inline distT="0" distB="0" distL="0" distR="0">
            <wp:extent cx="24765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D80602"/>
          <w:sz w:val="52"/>
          <w:szCs w:val="52"/>
        </w:rPr>
        <w:t xml:space="preserve">Website Design Brief</w:t>
      </w:r>
    </w:p>
    <w:p>
      <w:pPr>
        <w:spacing w:after="30"/>
        <w:jc w:val="center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5A4FCF"/>
          <w:sz w:val="24"/>
          <w:szCs w:val="24"/>
        </w:rPr>
        <w:t xml:space="preserve">Visual identity, voice, and character rules for the site build</w:t>
      </w:r>
    </w:p>
    <w:p>
      <w:pPr>
        <w:spacing w:after="280"/>
        <w:jc w:val="center"/>
      </w:pPr>
      <w:r>
        <w:rPr>
          <w:rFonts w:ascii="Poppy" w:cs="Poppy" w:eastAsia="Poppy" w:hAnsi="Poppy"/>
          <w:b w:val="false"/>
          <w:bCs w:val="false"/>
          <w:i/>
          <w:iCs/>
          <w:color w:val="263548"/>
          <w:sz w:val="19"/>
          <w:szCs w:val="19"/>
        </w:rPr>
        <w:t xml:space="preserve">Excerpted from the Poppy &amp; Parker Brand Bible • v1.3 • August 2026</w:t>
      </w:r>
    </w:p>
    <w:p>
      <w:pPr>
        <w:spacing w:after="260"/>
        <w:jc w:val="center"/>
      </w:pPr>
      <w:r>
        <w:drawing>
          <wp:inline distT="0" distB="0" distL="0" distR="0">
            <wp:extent cx="3238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D80602" w:color="auto" w:val="clear"/>
            <w:tcMar>
              <w:top w:type="dxa" w:w="190"/>
              <w:left w:type="dxa" w:w="200"/>
              <w:bottom w:type="dxa" w:w="190"/>
              <w:right w:type="dxa" w:w="200"/>
            </w:tcMar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/>
                <w:iCs/>
                <w:color w:val="FFFFFF"/>
                <w:sz w:val="27"/>
                <w:szCs w:val="27"/>
              </w:rPr>
              <w:t xml:space="preserve">Growing stronger every day.</w:t>
            </w:r>
          </w:p>
        </w:tc>
      </w:tr>
    </w:tbl>
    <w:p>
      <w:pPr>
        <w:spacing w:after="2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rHeight w:val="170" w:hRule="exact"/>
        </w:trPr>
        <w:tc>
          <w:tcPr>
            <w:tcW w:type="dxa" w:w="2160"/>
            <w:shd w:fill="FEC106" w:color="auto" w:val="clear"/>
          </w:tcPr>
          <w:p/>
        </w:tc>
        <w:tc>
          <w:tcPr>
            <w:tcW w:type="dxa" w:w="2160"/>
            <w:shd w:fill="FF6C02" w:color="auto" w:val="clear"/>
          </w:tcPr>
          <w:p/>
        </w:tc>
        <w:tc>
          <w:tcPr>
            <w:tcW w:type="dxa" w:w="2160"/>
            <w:shd w:fill="E04F4D" w:color="auto" w:val="clear"/>
          </w:tcPr>
          <w:p/>
        </w:tc>
        <w:tc>
          <w:tcPr>
            <w:tcW w:type="dxa" w:w="2160"/>
            <w:shd w:fill="5A4FCF" w:color="auto" w:val="clear"/>
          </w:tcPr>
          <w:p/>
        </w:tc>
        <w:tc>
          <w:tcPr>
            <w:tcW w:type="dxa" w:w="2160"/>
            <w:shd w:fill="AB0068" w:color="auto" w:val="clear"/>
          </w:tcPr>
          <w:p/>
        </w:tc>
      </w:tr>
    </w:tbl>
    <w:p>
      <w:r>
        <w:br w:type="page"/>
      </w:r>
    </w:p>
    <w:p>
      <w:pPr>
        <w:keepNext/>
        <w:spacing w:after="140" w:before="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263548"/>
          <w:sz w:val="27"/>
          <w:szCs w:val="27"/>
        </w:rPr>
        <w:t xml:space="preserve">About This Brief</w:t>
      </w:r>
    </w:p>
    <w:p>
      <w:pPr>
        <w:spacing w:after="110" w:before="0"/>
        <w:jc w:val="left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This brief pulls together everything the website build needs from Power ABA’s brand system — colors, type, logo usage, character rules, voice, and accessibility standards — sized to read start to finish rather than mined out of a longer internal document.</w:t>
      </w:r>
    </w:p>
    <w:p>
      <w:pPr>
        <w:spacing w:after="220" w:before="0"/>
        <w:jc w:val="left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It’s excerpted from the full Poppy &amp; Parker Brand Bible (v1.3, Internal: Marketing &amp; Design). If a question comes up that isn’t covered here, ask and we’ll pull the relevant page.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single" w:color="D80602" w:sz="36"/>
              <w:bottom w:val="none" w:color="auto" w:sz="0"/>
              <w:right w:val="none" w:color="auto" w:sz="0"/>
            </w:tcBorders>
            <w:shd w:fill="FBE0DF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after="80"/>
            </w:pP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4"/>
                <w:szCs w:val="24"/>
              </w:rPr>
              <w:t xml:space="preserve">Everything in this brief is launch scope for the website: navigation, a resource center, service explanations, FAQs, and character guideposts built on the visual and voice rules below. One thing it is not: the “Power Pals Adventures” story hub referenced elsewhere in the brand system is a longer-term growth vision, paired with a future YouTube Kids channel — not part of this build. If anything here reads like a request for story-hub content, flag it and we’ll confirm scope together.</w:t>
            </w:r>
          </w:p>
          <w:p>
            <w:pPr>
              <w:spacing w:before="8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D80602"/>
                <w:sz w:val="18"/>
                <w:szCs w:val="18"/>
              </w:rPr>
              <w:t xml:space="preserve">What’s launch vs. future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100"/>
      </w:tblGrid>
      <w:tr>
        <w:tc>
          <w:tcPr>
            <w:tcW w:type="dxa" w:w="1700"/>
            <w:shd w:fill="D8060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9100"/>
            <w:shd w:fill="FBE0DF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40"/>
            </w:pPr>
            <w:bookmarkStart w:name="sec01" w:id="1"/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30"/>
                <w:szCs w:val="30"/>
              </w:rPr>
              <w:t xml:space="preserve">Brand at a Glance</w:t>
            </w:r>
            <w:bookmarkEnd w:id="1"/>
          </w:p>
          <w:p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19"/>
                <w:szCs w:val="19"/>
              </w:rPr>
              <w:t xml:space="preserve">Who this is for, and the promise every page should carry.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D80602"/>
                <w:sz w:val="20"/>
                <w:szCs w:val="20"/>
              </w:rPr>
              <w:t xml:space="preserve">Brand role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Make Power ABA feel welcoming, understandable, hopeful, and memorable — supporting, not replacing, the expertise of clinicians and caregivers.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5A4FCF"/>
                <w:sz w:val="20"/>
                <w:szCs w:val="20"/>
              </w:rPr>
              <w:t xml:space="preserve">Primary audience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Parents and caregivers seeking practical, respectful guidance. The site should read as written to them first.</w:t>
            </w:r>
          </w:p>
        </w:tc>
      </w:tr>
    </w:tbl>
    <w:p>
      <w:pPr>
        <w:spacing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CC5A00"/>
                <w:sz w:val="20"/>
                <w:szCs w:val="20"/>
              </w:rPr>
              <w:t xml:space="preserve">Tagline</w:t>
            </w:r>
          </w:p>
          <w:p>
            <w:pPr>
              <w:spacing w:after="4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19"/>
                <w:szCs w:val="19"/>
              </w:rPr>
              <w:t xml:space="preserve">Power ABA (organization)</w:t>
            </w:r>
          </w:p>
          <w:p>
            <w:pPr>
              <w:spacing w:after="11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Together we unlock the potential in every child.</w:t>
            </w:r>
          </w:p>
          <w:p>
            <w:pPr>
              <w:spacing w:after="4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19"/>
                <w:szCs w:val="19"/>
              </w:rPr>
              <w:t xml:space="preserve">Poppy &amp; Parker (The Power Pals)</w:t>
            </w:r>
          </w:p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Growing stronger every day.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AB0068"/>
                <w:sz w:val="20"/>
                <w:szCs w:val="20"/>
              </w:rPr>
              <w:t xml:space="preserve">Purpose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Help children and families recognize strengths, use practical tools, and celebrate meaningful progress — one step at a time.</w:t>
            </w:r>
          </w:p>
        </w:tc>
      </w:tr>
    </w:tbl>
    <w:p>
      <w:pPr>
        <w:spacing w:after="140"/>
      </w:pPr>
    </w:p>
    <w:p>
      <w:pPr>
        <w:keepNext/>
        <w:pBdr>
          <w:bottom w:val="single" w:color="D806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D80602"/>
          <w:sz w:val="25"/>
          <w:szCs w:val="25"/>
        </w:rPr>
        <w:t xml:space="preserve">Positioning Statement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single" w:color="FEC106" w:sz="36"/>
              <w:bottom w:val="none" w:color="auto" w:sz="0"/>
              <w:right w:val="none" w:color="auto" w:sz="0"/>
            </w:tcBorders>
            <w:shd w:fill="FFF2CE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after="80"/>
            </w:pP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4"/>
                <w:szCs w:val="24"/>
              </w:rPr>
              <w:t xml:space="preserve">For families navigating learning, communication, and everyday routines, Poppy and Parker are friendly Power ABA guides who turn practical support into hopeful, memorable stories—because growth happens one meaningful step at a time.</w:t>
            </w:r>
          </w:p>
          <w:p>
            <w:pPr>
              <w:spacing w:before="8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Positioning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100"/>
      </w:tblGrid>
      <w:tr>
        <w:tc>
          <w:tcPr>
            <w:tcW w:type="dxa" w:w="1700"/>
            <w:shd w:fill="FF6C0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9100"/>
            <w:shd w:fill="FFE7D4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40"/>
            </w:pPr>
            <w:bookmarkStart w:name="sec02" w:id="1"/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30"/>
                <w:szCs w:val="30"/>
              </w:rPr>
              <w:t xml:space="preserve">Visual Identity</w:t>
            </w:r>
            <w:bookmarkEnd w:id="1"/>
          </w:p>
          <w:p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19"/>
                <w:szCs w:val="19"/>
              </w:rPr>
              <w:t xml:space="preserve">Colors, type, and logo rules — canonical for production.</w:t>
            </w:r>
          </w:p>
        </w:tc>
      </w:tr>
    </w:tbl>
    <w:p>
      <w:pPr>
        <w:spacing w:after="160"/>
      </w:pPr>
    </w:p>
    <w:p>
      <w:pPr>
        <w:keepNext/>
        <w:pBdr>
          <w:bottom w:val="single" w:color="FF6C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5"/>
          <w:szCs w:val="25"/>
        </w:rPr>
        <w:t xml:space="preserve">Brand Colors (Client-Approved, August 2026)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5300"/>
      </w:tblGrid>
      <w:tr>
        <w:trPr>
          <w:cantSplit/>
          <w:tblHeader/>
        </w:trPr>
        <w:tc>
          <w:tcPr>
            <w:tcW w:type="dxa" w:w="9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2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use</w:t>
            </w:r>
          </w:p>
        </w:tc>
      </w:tr>
      <w:tr>
        <w:trPr>
          <w:cantSplit/>
        </w:trPr>
        <w:tc>
          <w:tcPr>
            <w:tcW w:type="dxa" w:w="900"/>
            <w:shd w:fill="D80602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Red</w:t>
            </w:r>
          </w:p>
        </w:tc>
        <w:tc>
          <w:tcPr>
            <w:tcW w:type="dxa" w:w="22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#D80602</w:t>
            </w:r>
          </w:p>
        </w:tc>
        <w:tc>
          <w:tcPr>
            <w:tcW w:type="dxa" w:w="53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E04F4D" w:color="auto" w:val="clear"/>
          </w:tcPr>
          <w:p/>
        </w:tc>
        <w:tc>
          <w:tcPr>
            <w:tcW w:type="dxa" w:w="2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Coral</w:t>
            </w:r>
          </w:p>
        </w:tc>
        <w:tc>
          <w:tcPr>
            <w:tcW w:type="dxa" w:w="22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#E04F4D</w:t>
            </w:r>
          </w:p>
        </w:tc>
        <w:tc>
          <w:tcPr>
            <w:tcW w:type="dxa" w:w="5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5A4FCF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Indigo</w:t>
            </w:r>
          </w:p>
        </w:tc>
        <w:tc>
          <w:tcPr>
            <w:tcW w:type="dxa" w:w="22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#5A4FCF</w:t>
            </w:r>
          </w:p>
        </w:tc>
        <w:tc>
          <w:tcPr>
            <w:tcW w:type="dxa" w:w="53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AB0068" w:color="auto" w:val="clear"/>
          </w:tcPr>
          <w:p/>
        </w:tc>
        <w:tc>
          <w:tcPr>
            <w:tcW w:type="dxa" w:w="2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Magenta</w:t>
            </w:r>
          </w:p>
        </w:tc>
        <w:tc>
          <w:tcPr>
            <w:tcW w:type="dxa" w:w="22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#AB0068</w:t>
            </w:r>
          </w:p>
        </w:tc>
        <w:tc>
          <w:tcPr>
            <w:tcW w:type="dxa" w:w="5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FF6C02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Orange</w:t>
            </w:r>
          </w:p>
        </w:tc>
        <w:tc>
          <w:tcPr>
            <w:tcW w:type="dxa" w:w="22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#FF6C02</w:t>
            </w:r>
          </w:p>
        </w:tc>
        <w:tc>
          <w:tcPr>
            <w:tcW w:type="dxa" w:w="53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FEC106" w:color="auto" w:val="clear"/>
          </w:tcPr>
          <w:p/>
        </w:tc>
        <w:tc>
          <w:tcPr>
            <w:tcW w:type="dxa" w:w="2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Yellow</w:t>
            </w:r>
          </w:p>
        </w:tc>
        <w:tc>
          <w:tcPr>
            <w:tcW w:type="dxa" w:w="22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#FEC106</w:t>
            </w:r>
          </w:p>
        </w:tc>
        <w:tc>
          <w:tcPr>
            <w:tcW w:type="dxa" w:w="53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Primary brand color</w:t>
            </w:r>
          </w:p>
        </w:tc>
      </w:tr>
      <w:tr>
        <w:trPr>
          <w:cantSplit/>
        </w:trPr>
        <w:tc>
          <w:tcPr>
            <w:tcW w:type="dxa" w:w="900"/>
            <w:shd w:fill="5FCCC2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Teal</w:t>
            </w:r>
          </w:p>
        </w:tc>
        <w:tc>
          <w:tcPr>
            <w:tcW w:type="dxa" w:w="22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#5FCCC2</w:t>
            </w:r>
          </w:p>
        </w:tc>
        <w:tc>
          <w:tcPr>
            <w:tcW w:type="dxa" w:w="53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Accent</w:t>
            </w:r>
          </w:p>
        </w:tc>
      </w:tr>
    </w:tbl>
    <w:p>
      <w:pPr>
        <w:spacing w:after="160"/>
      </w:pPr>
    </w:p>
    <w:p>
      <w:pPr>
        <w:keepNext/>
        <w:pBdr>
          <w:bottom w:val="single" w:color="FF6C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5"/>
          <w:szCs w:val="25"/>
        </w:rPr>
        <w:t xml:space="preserve">Typography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7560"/>
      </w:tblGrid>
      <w:tr>
        <w:trPr>
          <w:cantSplit/>
          <w:tblHeader/>
        </w:trPr>
        <w:tc>
          <w:tcPr>
            <w:tcW w:type="dxa" w:w="324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756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</w:t>
            </w:r>
          </w:p>
        </w:tc>
      </w:tr>
      <w:tr>
        <w:trPr>
          <w:cantSplit/>
        </w:trPr>
        <w:tc>
          <w:tcPr>
            <w:tcW w:type="dxa" w:w="324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Titles &amp; Headlines</w:t>
            </w:r>
          </w:p>
        </w:tc>
        <w:tc>
          <w:tcPr>
            <w:tcW w:type="dxa" w:w="756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Betm Rounded Bold</w:t>
            </w:r>
          </w:p>
        </w:tc>
      </w:tr>
      <w:tr>
        <w:trPr>
          <w:cantSplit/>
        </w:trPr>
        <w:tc>
          <w:tcPr>
            <w:tcW w:type="dxa" w:w="324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Body Text</w:t>
            </w:r>
          </w:p>
        </w:tc>
        <w:tc>
          <w:tcPr>
            <w:tcW w:type="dxa" w:w="756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Poppy</w:t>
            </w:r>
          </w:p>
        </w:tc>
      </w:tr>
    </w:tbl>
    <w:p>
      <w:pPr>
        <w:spacing w:after="160"/>
      </w:pPr>
    </w:p>
    <w:p>
      <w:pPr>
        <w:keepNext/>
        <w:pBdr>
          <w:bottom w:val="single" w:color="FF6C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5"/>
          <w:szCs w:val="25"/>
        </w:rPr>
        <w:t xml:space="preserve">Logo Usage</w:t>
      </w:r>
    </w:p>
    <w:p>
      <w:pPr>
        <w:keepNext/>
        <w:spacing w:after="70" w:before="15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D80602"/>
          <w:sz w:val="21"/>
          <w:szCs w:val="21"/>
        </w:rPr>
        <w:t xml:space="preserve">Digital Materials</w:t>
      </w:r>
    </w:p>
    <w:p>
      <w:pPr>
        <w:spacing w:after="100"/>
      </w:pPr>
      <w:r>
        <w:drawing>
          <wp:inline distT="0" distB="0" distL="0" distR="0">
            <wp:extent cx="28575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left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Use for the website, social media, email, and other digital touchpoints.</w:t>
      </w:r>
    </w:p>
    <w:p>
      <w:pPr>
        <w:keepNext/>
        <w:spacing w:after="70" w:before="15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5A4FCF"/>
          <w:sz w:val="21"/>
          <w:szCs w:val="21"/>
        </w:rPr>
        <w:t xml:space="preserve">Print &amp; Apparel Materials</w:t>
      </w:r>
    </w:p>
    <w:p>
      <w:pPr>
        <w:spacing w:after="100"/>
      </w:pPr>
      <w:r>
        <w:drawing>
          <wp:inline distT="0" distB="0" distL="0" distR="0">
            <wp:extent cx="20002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left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Not typically needed on-site, included here for completeness.</w:t>
      </w:r>
    </w:p>
    <w:p>
      <w:pPr>
        <w:keepNext/>
        <w:pBdr>
          <w:bottom w:val="single" w:color="FF6C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5"/>
          <w:szCs w:val="25"/>
        </w:rPr>
        <w:t xml:space="preserve">Illustration Style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Polished 2D animation with clean linework, expressive faces, vivid but controlled color, and soft dimensional shading.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Friendly proportions and movement without exaggerated babyish styling.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Simple, uncluttered backgrounds — let the message carry the page, not the scene.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The colorful flower badge is integrated into the red shield as part of the costume, never pasted over it.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Consistent facial structure, hair, glasses, clothing, badge orientation, and relative height across every asset used on-site.</w:t>
      </w:r>
    </w:p>
    <w:p>
      <w:pPr>
        <w:keepNext/>
        <w:pBdr>
          <w:bottom w:val="single" w:color="FF6C02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5"/>
          <w:szCs w:val="25"/>
        </w:rPr>
        <w:t xml:space="preserve">Composition &amp; Asset Use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6480"/>
      </w:tblGrid>
      <w:tr>
        <w:trPr>
          <w:cantSplit/>
          <w:tblHeader/>
        </w:trPr>
        <w:tc>
          <w:tcPr>
            <w:tcW w:type="dxa" w:w="432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648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Avoid</w:t>
            </w:r>
          </w:p>
        </w:tc>
      </w:tr>
      <w:tr>
        <w:trPr>
          <w:cantSplit/>
        </w:trPr>
        <w:tc>
          <w:tcPr>
            <w:tcW w:type="dxa" w:w="432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Give the characters breathing room and a clear focal point.</w:t>
            </w:r>
          </w:p>
        </w:tc>
        <w:tc>
          <w:tcPr>
            <w:tcW w:type="dxa" w:w="648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Crowding characters, text, icons, and props into one frame.</w:t>
            </w:r>
          </w:p>
        </w:tc>
      </w:tr>
      <w:tr>
        <w:trPr>
          <w:cantSplit/>
        </w:trPr>
        <w:tc>
          <w:tcPr>
            <w:tcW w:type="dxa" w:w="432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Use clean crops that preserve faces, hands, badges, and gestures.</w:t>
            </w:r>
          </w:p>
        </w:tc>
        <w:tc>
          <w:tcPr>
            <w:tcW w:type="dxa" w:w="648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Cropping through eyes, hands, badges, or important communication tools.</w:t>
            </w:r>
          </w:p>
        </w:tc>
      </w:tr>
      <w:tr>
        <w:trPr>
          <w:cantSplit/>
        </w:trPr>
        <w:tc>
          <w:tcPr>
            <w:tcW w:type="dxa" w:w="432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Place characters beside the message rather than filling the frame.</w:t>
            </w:r>
          </w:p>
        </w:tc>
        <w:tc>
          <w:tcPr>
            <w:tcW w:type="dxa" w:w="648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Making every page look like a children’s cartoon scene.</w:t>
            </w:r>
          </w:p>
        </w:tc>
      </w:tr>
      <w:tr>
        <w:trPr>
          <w:cantSplit/>
        </w:trPr>
        <w:tc>
          <w:tcPr>
            <w:tcW w:type="dxa" w:w="432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Use simple backgrounds so the message stays legible.</w:t>
            </w:r>
          </w:p>
        </w:tc>
        <w:tc>
          <w:tcPr>
            <w:tcW w:type="dxa" w:w="648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Busy patterns or sensory-heavy backgrounds that compete with the message.</w:t>
            </w:r>
          </w:p>
        </w:tc>
      </w:tr>
      <w:tr>
        <w:trPr>
          <w:cantSplit/>
        </w:trPr>
        <w:tc>
          <w:tcPr>
            <w:tcW w:type="dxa" w:w="432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Maintain consistent lighting, linework, proportions, and color.</w:t>
            </w:r>
          </w:p>
        </w:tc>
        <w:tc>
          <w:tcPr>
            <w:tcW w:type="dxa" w:w="648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Mixing unrelated illustration styles on the same page.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100"/>
      </w:tblGrid>
      <w:tr>
        <w:tc>
          <w:tcPr>
            <w:tcW w:type="dxa" w:w="1700"/>
            <w:shd w:fill="FEC106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40"/>
                <w:szCs w:val="40"/>
              </w:rPr>
              <w:t xml:space="preserve">03</w:t>
            </w:r>
          </w:p>
        </w:tc>
        <w:tc>
          <w:tcPr>
            <w:tcW w:type="dxa" w:w="9100"/>
            <w:shd w:fill="FFF2CE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40"/>
            </w:pPr>
            <w:bookmarkStart w:name="sec03" w:id="1"/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30"/>
                <w:szCs w:val="30"/>
              </w:rPr>
              <w:t xml:space="preserve">Character Visual Rules</w:t>
            </w:r>
            <w:bookmarkEnd w:id="1"/>
          </w:p>
          <w:p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19"/>
                <w:szCs w:val="19"/>
              </w:rPr>
              <w:t xml:space="preserve">Poppy and Parker, kept consistent everywhere they appear on-site.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CC5A00"/>
                <w:sz w:val="20"/>
                <w:szCs w:val="20"/>
              </w:rPr>
              <w:t xml:space="preserve">Poppy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Curious, creative, expressive, optimistic. Verbal.</w:t>
            </w:r>
          </w:p>
          <w:p>
            <w:pPr>
              <w:spacing w:after="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Signature phrase: </w:t>
            </w: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0"/>
                <w:szCs w:val="20"/>
              </w:rPr>
              <w:t xml:space="preserve">“Let’s find another way!”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5A4FCF"/>
                <w:sz w:val="20"/>
                <w:szCs w:val="20"/>
              </w:rPr>
              <w:t xml:space="preserve">Parker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Thoughtful, patient, determined. Non-verbal, communicates through an AAC device.</w:t>
            </w:r>
          </w:p>
          <w:p>
            <w:pPr>
              <w:spacing w:after="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Signature line (AAC device): </w:t>
            </w: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0"/>
                <w:szCs w:val="20"/>
              </w:rPr>
              <w:t xml:space="preserve">“One step at a time!”</w:t>
            </w:r>
          </w:p>
        </w:tc>
      </w:tr>
    </w:tbl>
    <w:p>
      <w:pPr>
        <w:spacing w:after="160"/>
      </w:pPr>
    </w:p>
    <w:p>
      <w:pPr>
        <w:keepNext/>
        <w:pBdr>
          <w:bottom w:val="single" w:color="FEC106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8A6D00"/>
          <w:sz w:val="25"/>
          <w:szCs w:val="25"/>
        </w:rPr>
        <w:t xml:space="preserve">Visual Character Anchors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3700"/>
      </w:tblGrid>
      <w:tr>
        <w:trPr>
          <w:cantSplit/>
          <w:tblHeader/>
        </w:trPr>
        <w:tc>
          <w:tcPr>
            <w:tcW w:type="dxa" w:w="15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Character</w:t>
            </w:r>
          </w:p>
        </w:tc>
        <w:tc>
          <w:tcPr>
            <w:tcW w:type="dxa" w:w="56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Non-negotiable visual cues</w:t>
            </w:r>
          </w:p>
        </w:tc>
        <w:tc>
          <w:tcPr>
            <w:tcW w:type="dxa" w:w="37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Flexible elements</w:t>
            </w:r>
          </w:p>
        </w:tc>
      </w:tr>
      <w:tr>
        <w:trPr>
          <w:cantSplit/>
        </w:trPr>
        <w:tc>
          <w:tcPr>
            <w:tcW w:type="dxa" w:w="1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Poppy</w:t>
            </w:r>
          </w:p>
        </w:tc>
        <w:tc>
          <w:tcPr>
            <w:tcW w:type="dxa" w:w="56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Dark pigtails, purple glasses, warm smile, yellow top, denim overalls, red cape, white sneakers with magenta accents, Power ABA Flower Logo Icon badge.</w:t>
            </w:r>
          </w:p>
        </w:tc>
        <w:tc>
          <w:tcPr>
            <w:tcW w:type="dxa" w:w="37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Pose, setting, facial expression, seasonal accessories, activity props.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Parker</w:t>
            </w:r>
          </w:p>
        </w:tc>
        <w:tc>
          <w:tcPr>
            <w:tcW w:type="dxa" w:w="56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Short curly hair, warm smile, indigo shirt, denim jeans, red cape, AAC communication device (worn cross-body), white sneakers with red accents, Power ABA Flower Logo Icon badge.</w:t>
            </w:r>
          </w:p>
        </w:tc>
        <w:tc>
          <w:tcPr>
            <w:tcW w:type="dxa" w:w="37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Pose, setting, facial expression, seasonal accessories, activity props.</w:t>
            </w:r>
          </w:p>
        </w:tc>
      </w:tr>
    </w:tbl>
    <w:p>
      <w:r>
        <w:br w:type="page"/>
      </w:r>
    </w:p>
    <w:p>
      <w:pPr>
        <w:keepNext/>
        <w:pBdr>
          <w:bottom w:val="single" w:color="FEC106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8A6D00"/>
          <w:sz w:val="25"/>
          <w:szCs w:val="25"/>
        </w:rPr>
        <w:t xml:space="preserve">Character Color Specifications</w:t>
      </w:r>
    </w:p>
    <w:p>
      <w:pPr>
        <w:keepNext/>
        <w:spacing w:after="70" w:before="15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C5A00"/>
          <w:sz w:val="21"/>
          <w:szCs w:val="21"/>
        </w:rPr>
        <w:t xml:space="preserve">Poppy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5400"/>
      </w:tblGrid>
      <w:tr>
        <w:trPr>
          <w:cantSplit/>
          <w:tblHeader/>
        </w:trPr>
        <w:tc>
          <w:tcPr>
            <w:tcW w:type="dxa" w:w="9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5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4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900"/>
            <w:shd w:fill="FAC49C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Skin tone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#FAC49C</w:t>
            </w:r>
          </w:p>
        </w:tc>
      </w:tr>
      <w:tr>
        <w:trPr>
          <w:cantSplit/>
        </w:trPr>
        <w:tc>
          <w:tcPr>
            <w:tcW w:type="dxa" w:w="900"/>
            <w:shd w:fill="1E1207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Dark pigtails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#1E1207</w:t>
            </w:r>
          </w:p>
        </w:tc>
      </w:tr>
      <w:tr>
        <w:trPr>
          <w:cantSplit/>
        </w:trPr>
        <w:tc>
          <w:tcPr>
            <w:tcW w:type="dxa" w:w="900"/>
            <w:shd w:fill="AB0068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Purple glasses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#AB0068</w:t>
            </w:r>
          </w:p>
        </w:tc>
      </w:tr>
      <w:tr>
        <w:trPr>
          <w:cantSplit/>
        </w:trPr>
        <w:tc>
          <w:tcPr>
            <w:tcW w:type="dxa" w:w="900"/>
            <w:shd w:fill="FEC106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Yellow top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#FEC106</w:t>
            </w:r>
          </w:p>
        </w:tc>
      </w:tr>
      <w:tr>
        <w:trPr>
          <w:cantSplit/>
        </w:trPr>
        <w:tc>
          <w:tcPr>
            <w:tcW w:type="dxa" w:w="900"/>
            <w:shd w:fill="35459D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Denim overalls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#35459D</w:t>
            </w:r>
          </w:p>
        </w:tc>
      </w:tr>
      <w:tr>
        <w:trPr>
          <w:cantSplit/>
        </w:trPr>
        <w:tc>
          <w:tcPr>
            <w:tcW w:type="dxa" w:w="900"/>
            <w:shd w:fill="D80602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Red cape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#D80602</w:t>
            </w:r>
          </w:p>
        </w:tc>
      </w:tr>
      <w:tr>
        <w:trPr>
          <w:cantSplit/>
        </w:trPr>
        <w:tc>
          <w:tcPr>
            <w:tcW w:type="dxa" w:w="900"/>
            <w:shd w:fill="AB0068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Sneakers (white + accent)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#AB0068</w:t>
            </w:r>
          </w:p>
        </w:tc>
      </w:tr>
    </w:tbl>
    <w:p>
      <w:pPr>
        <w:spacing w:after="140"/>
      </w:pPr>
    </w:p>
    <w:p>
      <w:pPr>
        <w:keepNext/>
        <w:spacing w:after="70" w:before="15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5A4FCF"/>
          <w:sz w:val="21"/>
          <w:szCs w:val="21"/>
        </w:rPr>
        <w:t xml:space="preserve">Parker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5400"/>
      </w:tblGrid>
      <w:tr>
        <w:trPr>
          <w:cantSplit/>
          <w:tblHeader/>
        </w:trPr>
        <w:tc>
          <w:tcPr>
            <w:tcW w:type="dxa" w:w="9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5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4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900"/>
            <w:shd w:fill="C87439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Skin tone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#C87439</w:t>
            </w:r>
          </w:p>
        </w:tc>
      </w:tr>
      <w:tr>
        <w:trPr>
          <w:cantSplit/>
        </w:trPr>
        <w:tc>
          <w:tcPr>
            <w:tcW w:type="dxa" w:w="900"/>
            <w:shd w:fill="1E1207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Curly hair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#1E1207</w:t>
            </w:r>
          </w:p>
        </w:tc>
      </w:tr>
      <w:tr>
        <w:trPr>
          <w:cantSplit/>
        </w:trPr>
        <w:tc>
          <w:tcPr>
            <w:tcW w:type="dxa" w:w="900"/>
            <w:shd w:fill="5A4FCF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Shirt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#5A4FCF</w:t>
            </w:r>
          </w:p>
        </w:tc>
      </w:tr>
      <w:tr>
        <w:trPr>
          <w:cantSplit/>
        </w:trPr>
        <w:tc>
          <w:tcPr>
            <w:tcW w:type="dxa" w:w="900"/>
            <w:shd w:fill="263271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Denim jeans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#263271</w:t>
            </w:r>
          </w:p>
        </w:tc>
      </w:tr>
      <w:tr>
        <w:trPr>
          <w:cantSplit/>
        </w:trPr>
        <w:tc>
          <w:tcPr>
            <w:tcW w:type="dxa" w:w="900"/>
            <w:shd w:fill="D80602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Red cape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#D80602</w:t>
            </w:r>
          </w:p>
        </w:tc>
      </w:tr>
      <w:tr>
        <w:trPr>
          <w:cantSplit/>
        </w:trPr>
        <w:tc>
          <w:tcPr>
            <w:tcW w:type="dxa" w:w="900"/>
            <w:shd w:fill="5FCCC2" w:color="auto" w:val="clear"/>
          </w:tcPr>
          <w:p/>
        </w:tc>
        <w:tc>
          <w:tcPr>
            <w:tcW w:type="dxa" w:w="4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AAC device casing</w:t>
            </w:r>
          </w:p>
        </w:tc>
        <w:tc>
          <w:tcPr>
            <w:tcW w:type="dxa" w:w="5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#5FCCC2</w:t>
            </w:r>
          </w:p>
        </w:tc>
      </w:tr>
      <w:tr>
        <w:trPr>
          <w:cantSplit/>
        </w:trPr>
        <w:tc>
          <w:tcPr>
            <w:tcW w:type="dxa" w:w="900"/>
            <w:shd w:fill="D80602" w:color="auto" w:val="clear"/>
          </w:tcPr>
          <w:p/>
        </w:tc>
        <w:tc>
          <w:tcPr>
            <w:tcW w:type="dxa" w:w="4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Sneakers (white + accent)</w:t>
            </w:r>
          </w:p>
        </w:tc>
        <w:tc>
          <w:tcPr>
            <w:tcW w:type="dxa" w:w="5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#D80602</w:t>
            </w:r>
          </w:p>
        </w:tc>
      </w:tr>
    </w:tbl>
    <w:p>
      <w:r>
        <w:br w:type="page"/>
      </w:r>
    </w:p>
    <w:p>
      <w:pPr>
        <w:keepNext/>
        <w:pBdr>
          <w:bottom w:val="single" w:color="FEC106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8A6D00"/>
          <w:sz w:val="25"/>
          <w:szCs w:val="25"/>
        </w:rPr>
        <w:t xml:space="preserve">The Power Bloom</w:t>
      </w:r>
    </w:p>
    <w:p>
      <w:pPr>
        <w:spacing w:after="110" w:before="0"/>
        <w:jc w:val="left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1"/>
          <w:szCs w:val="21"/>
        </w:rPr>
        <w:t xml:space="preserve">The flower badge both characters wear. If it appears on-site — as an icon, a loading animation, a section marker — the petal order is locked and should never be redrawn or rearranged: clockwise from the top point, Yellow, Orange, Coral, Blue, Purple.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7500"/>
      </w:tblGrid>
      <w:tr>
        <w:trPr>
          <w:cantSplit/>
          <w:tblHeader/>
        </w:trPr>
        <w:tc>
          <w:tcPr>
            <w:tcW w:type="dxa" w:w="9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Petal color</w:t>
            </w:r>
          </w:p>
        </w:tc>
        <w:tc>
          <w:tcPr>
            <w:tcW w:type="dxa" w:w="75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900"/>
            <w:shd w:fill="FEC106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Yellow</w:t>
            </w:r>
          </w:p>
        </w:tc>
        <w:tc>
          <w:tcPr>
            <w:tcW w:type="dxa" w:w="7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Courage</w:t>
            </w:r>
          </w:p>
        </w:tc>
      </w:tr>
      <w:tr>
        <w:trPr>
          <w:cantSplit/>
        </w:trPr>
        <w:tc>
          <w:tcPr>
            <w:tcW w:type="dxa" w:w="900"/>
            <w:shd w:fill="FF6C02" w:color="auto" w:val="clear"/>
          </w:tcPr>
          <w:p/>
        </w:tc>
        <w:tc>
          <w:tcPr>
            <w:tcW w:type="dxa" w:w="2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Orange</w:t>
            </w:r>
          </w:p>
        </w:tc>
        <w:tc>
          <w:tcPr>
            <w:tcW w:type="dxa" w:w="7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Curiosity</w:t>
            </w:r>
          </w:p>
        </w:tc>
      </w:tr>
      <w:tr>
        <w:trPr>
          <w:cantSplit/>
        </w:trPr>
        <w:tc>
          <w:tcPr>
            <w:tcW w:type="dxa" w:w="900"/>
            <w:shd w:fill="E04F4D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Coral red</w:t>
            </w:r>
          </w:p>
        </w:tc>
        <w:tc>
          <w:tcPr>
            <w:tcW w:type="dxa" w:w="7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Kindness</w:t>
            </w:r>
          </w:p>
        </w:tc>
      </w:tr>
      <w:tr>
        <w:trPr>
          <w:cantSplit/>
        </w:trPr>
        <w:tc>
          <w:tcPr>
            <w:tcW w:type="dxa" w:w="900"/>
            <w:shd w:fill="5A4FCF" w:color="auto" w:val="clear"/>
          </w:tcPr>
          <w:p/>
        </w:tc>
        <w:tc>
          <w:tcPr>
            <w:tcW w:type="dxa" w:w="24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Blue</w:t>
            </w:r>
          </w:p>
        </w:tc>
        <w:tc>
          <w:tcPr>
            <w:tcW w:type="dxa" w:w="75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Calm and confidence</w:t>
            </w:r>
          </w:p>
        </w:tc>
      </w:tr>
      <w:tr>
        <w:trPr>
          <w:cantSplit/>
        </w:trPr>
        <w:tc>
          <w:tcPr>
            <w:tcW w:type="dxa" w:w="900"/>
            <w:shd w:fill="AB0068" w:color="auto" w:val="clear"/>
          </w:tcPr>
          <w:p/>
        </w:tc>
        <w:tc>
          <w:tcPr>
            <w:tcW w:type="dxa" w:w="24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Purple</w:t>
            </w:r>
          </w:p>
        </w:tc>
        <w:tc>
          <w:tcPr>
            <w:tcW w:type="dxa" w:w="75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Self-expression</w:t>
            </w:r>
          </w:p>
        </w:tc>
      </w:tr>
    </w:tbl>
    <w:p>
      <w:pPr>
        <w:spacing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single" w:color="FEC106" w:sz="36"/>
              <w:bottom w:val="none" w:color="auto" w:sz="0"/>
              <w:right w:val="none" w:color="auto" w:sz="0"/>
            </w:tcBorders>
            <w:shd w:fill="FFF2CE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after="80"/>
            </w:pP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4"/>
                <w:szCs w:val="24"/>
              </w:rPr>
              <w:t xml:space="preserve">The Power Bloom is a brand symbol. It should remain recognizable at small sizes and never be redrawn differently from one place to the next — same rule applies whether it shows up in a social post or a website favicon.</w:t>
            </w:r>
          </w:p>
          <w:p>
            <w:pPr>
              <w:spacing w:before="8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Production note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100"/>
      </w:tblGrid>
      <w:tr>
        <w:tc>
          <w:tcPr>
            <w:tcW w:type="dxa" w:w="1700"/>
            <w:shd w:fill="E04F4D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9100"/>
            <w:shd w:fill="FCE6E5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40"/>
            </w:pPr>
            <w:bookmarkStart w:name="sec04" w:id="1"/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30"/>
                <w:szCs w:val="30"/>
              </w:rPr>
              <w:t xml:space="preserve">Voice &amp; Messaging</w:t>
            </w:r>
            <w:bookmarkEnd w:id="1"/>
          </w:p>
          <w:p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19"/>
                <w:szCs w:val="19"/>
              </w:rPr>
              <w:t xml:space="preserve">How the site should sound, and what it should say.</w:t>
            </w:r>
          </w:p>
        </w:tc>
      </w:tr>
    </w:tbl>
    <w:p>
      <w:pPr>
        <w:spacing w:after="160"/>
      </w:pPr>
    </w:p>
    <w:p>
      <w:pPr>
        <w:keepNext/>
        <w:pBdr>
          <w:bottom w:val="single" w:color="E04F4D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23B39"/>
          <w:sz w:val="25"/>
          <w:szCs w:val="25"/>
        </w:rPr>
        <w:t xml:space="preserve">Brand Voice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127A70"/>
                <w:sz w:val="20"/>
                <w:szCs w:val="20"/>
              </w:rPr>
              <w:t xml:space="preserve">Always sound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Warm, encouraging, plainspoken, patient, respectful, practical, hopeful, and strengths-based.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D80602"/>
                <w:sz w:val="20"/>
                <w:szCs w:val="20"/>
              </w:rPr>
              <w:t xml:space="preserve">Never sound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Shaming, patronizing, overly cute, clinical without explanation, alarmist, absolute, or focused on “fixing” a child.</w:t>
            </w:r>
          </w:p>
        </w:tc>
      </w:tr>
    </w:tbl>
    <w:p>
      <w:pPr>
        <w:spacing w:after="160"/>
      </w:pPr>
    </w:p>
    <w:p>
      <w:pPr>
        <w:keepNext/>
        <w:pBdr>
          <w:bottom w:val="single" w:color="E04F4D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23B39"/>
          <w:sz w:val="25"/>
          <w:szCs w:val="25"/>
        </w:rPr>
        <w:t xml:space="preserve">Message Hierarchy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7128"/>
      </w:tblGrid>
      <w:tr>
        <w:trPr>
          <w:cantSplit/>
          <w:tblHeader/>
        </w:trPr>
        <w:tc>
          <w:tcPr>
            <w:tcW w:type="dxa" w:w="3672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28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367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Power ABA tagline (organization)</w:t>
            </w:r>
          </w:p>
        </w:tc>
        <w:tc>
          <w:tcPr>
            <w:tcW w:type="dxa" w:w="712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Together we unlock the potential in every child.</w:t>
            </w:r>
          </w:p>
        </w:tc>
      </w:tr>
      <w:tr>
        <w:trPr>
          <w:cantSplit/>
        </w:trPr>
        <w:tc>
          <w:tcPr>
            <w:tcW w:type="dxa" w:w="3672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Power Pals tagline (Poppy &amp; Parker)</w:t>
            </w:r>
          </w:p>
        </w:tc>
        <w:tc>
          <w:tcPr>
            <w:tcW w:type="dxa" w:w="7128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Growing stronger every day.</w:t>
            </w:r>
          </w:p>
        </w:tc>
      </w:tr>
      <w:tr>
        <w:trPr>
          <w:cantSplit/>
        </w:trPr>
        <w:tc>
          <w:tcPr>
            <w:tcW w:type="dxa" w:w="367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Core belief</w:t>
            </w:r>
          </w:p>
        </w:tc>
        <w:tc>
          <w:tcPr>
            <w:tcW w:type="dxa" w:w="712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Every step matters.</w:t>
            </w:r>
          </w:p>
        </w:tc>
      </w:tr>
      <w:tr>
        <w:trPr>
          <w:cantSplit/>
        </w:trPr>
        <w:tc>
          <w:tcPr>
            <w:tcW w:type="dxa" w:w="3672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Team close</w:t>
            </w:r>
          </w:p>
        </w:tc>
        <w:tc>
          <w:tcPr>
            <w:tcW w:type="dxa" w:w="7128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We’re growing stronger every day!</w:t>
            </w:r>
          </w:p>
        </w:tc>
      </w:tr>
      <w:tr>
        <w:trPr>
          <w:cantSplit/>
        </w:trPr>
        <w:tc>
          <w:tcPr>
            <w:tcW w:type="dxa" w:w="367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Caregiver reassurance</w:t>
            </w:r>
          </w:p>
        </w:tc>
        <w:tc>
          <w:tcPr>
            <w:tcW w:type="dxa" w:w="712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You do not have to solve everything today.</w:t>
            </w:r>
          </w:p>
        </w:tc>
      </w:tr>
    </w:tbl>
    <w:p>
      <w:pPr>
        <w:spacing w:after="160"/>
      </w:pPr>
    </w:p>
    <w:p>
      <w:pPr>
        <w:keepNext/>
        <w:pBdr>
          <w:bottom w:val="single" w:color="E04F4D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23B39"/>
          <w:sz w:val="25"/>
          <w:szCs w:val="25"/>
        </w:rPr>
        <w:t xml:space="preserve">Tone by Audience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600"/>
      </w:tblGrid>
      <w:tr>
        <w:trPr>
          <w:cantSplit/>
          <w:tblHeader/>
        </w:trPr>
        <w:tc>
          <w:tcPr>
            <w:tcW w:type="dxa" w:w="26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6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Tone adjustment</w:t>
            </w:r>
          </w:p>
        </w:tc>
        <w:tc>
          <w:tcPr>
            <w:tcW w:type="dxa" w:w="5600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opening</w:t>
            </w:r>
          </w:p>
        </w:tc>
      </w:tr>
      <w:tr>
        <w:trPr>
          <w:cantSplit/>
        </w:trPr>
        <w:tc>
          <w:tcPr>
            <w:tcW w:type="dxa" w:w="26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Caregivers (primary site audience)</w:t>
            </w:r>
          </w:p>
        </w:tc>
        <w:tc>
          <w:tcPr>
            <w:tcW w:type="dxa" w:w="26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Supportive, specific, practical, never blaming.</w:t>
            </w:r>
          </w:p>
        </w:tc>
        <w:tc>
          <w:tcPr>
            <w:tcW w:type="dxa" w:w="5600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“A schedule change can feel easier when a child knows what will stay the same.”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Community partners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Accessible, confident, mission-centered.</w:t>
            </w:r>
          </w:p>
        </w:tc>
        <w:tc>
          <w:tcPr>
            <w:tcW w:type="dxa" w:w="5600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19"/>
                <w:szCs w:val="19"/>
              </w:rPr>
              <w:t xml:space="preserve">“Power ABA helps families build meaningful skills through individualized support.”</w:t>
            </w:r>
          </w:p>
        </w:tc>
      </w:tr>
    </w:tbl>
    <w:p>
      <w:r>
        <w:br w:type="page"/>
      </w:r>
    </w:p>
    <w:p>
      <w:pPr>
        <w:keepNext/>
        <w:pBdr>
          <w:bottom w:val="single" w:color="E04F4D" w:sz="6" w:space="4"/>
        </w:pBdr>
        <w:spacing w:after="110" w:before="22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C23B39"/>
          <w:sz w:val="25"/>
          <w:szCs w:val="25"/>
        </w:rPr>
        <w:t xml:space="preserve">For the Website Specifically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AB0068"/>
                <w:sz w:val="20"/>
                <w:szCs w:val="20"/>
              </w:rPr>
              <w:t xml:space="preserve">Best use of the characters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Welcome, navigation, resource center, service explanations, and family onboarding — as guideposts, not decoration on every page.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C23B39"/>
                <w:sz w:val="20"/>
                <w:szCs w:val="20"/>
              </w:rPr>
              <w:t xml:space="preserve">Recommended formats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Character guideposts, resource center, story hub (see note below), FAQs.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fill="FBF8F3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5A4FCF"/>
                <w:sz w:val="20"/>
                <w:szCs w:val="20"/>
              </w:rPr>
              <w:t xml:space="preserve">Tone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Trustworthy and accessible.</w:t>
            </w:r>
          </w:p>
        </w:tc>
        <w:tc>
          <w:tcPr>
            <w:tcW w:type="dxa" w:w="5400"/>
            <w:shd w:fill="FFFFFF" w:color="auto" w:val="clear"/>
            <w:tcMar>
              <w:top w:type="dxa" w:w="170"/>
              <w:left w:type="dxa" w:w="240"/>
              <w:bottom w:type="dxa" w:w="170"/>
              <w:right w:type="dxa" w:w="240"/>
            </w:tcMar>
          </w:tcPr>
          <w:p>
            <w:pPr>
              <w:spacing w:after="70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D80602"/>
                <w:sz w:val="20"/>
                <w:szCs w:val="20"/>
              </w:rPr>
              <w:t xml:space="preserve">Note</w:t>
            </w:r>
          </w:p>
          <w:p>
            <w:pPr>
              <w:spacing w:after="55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The “story hub” above is future scope — see What's Launch vs. Future at the front of this brief. Everything else in this row is launch-ready.</w:t>
            </w:r>
          </w:p>
        </w:tc>
      </w:tr>
    </w:tbl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100"/>
      </w:tblGrid>
      <w:tr>
        <w:tc>
          <w:tcPr>
            <w:tcW w:type="dxa" w:w="1700"/>
            <w:shd w:fill="5A4FC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9100"/>
            <w:shd w:fill="E9E7FB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40"/>
            </w:pPr>
            <w:bookmarkStart w:name="sec05" w:id="1"/>
            <w:r>
              <w:rPr>
                <w:rFonts w:ascii="Betm Rounded Bold" w:cs="Betm Rounded Bold" w:eastAsia="Betm Rounded Bold" w:hAnsi="Betm Rounded Bold"/>
                <w:b/>
                <w:bCs/>
                <w:i w:val="false"/>
                <w:iCs w:val="false"/>
                <w:color w:val="263548"/>
                <w:sz w:val="30"/>
                <w:szCs w:val="30"/>
              </w:rPr>
              <w:t xml:space="preserve">Accessibility Standards</w:t>
            </w:r>
            <w:bookmarkEnd w:id="1"/>
          </w:p>
          <w:p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19"/>
                <w:szCs w:val="19"/>
              </w:rPr>
              <w:t xml:space="preserve">Not optional, and not brand flavor — build to this spec.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8424"/>
      </w:tblGrid>
      <w:tr>
        <w:trPr>
          <w:cantSplit/>
          <w:tblHeader/>
        </w:trPr>
        <w:tc>
          <w:tcPr>
            <w:tcW w:type="dxa" w:w="2376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424"/>
            <w:shd w:fill="263548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2376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Captions</w:t>
            </w:r>
          </w:p>
        </w:tc>
        <w:tc>
          <w:tcPr>
            <w:tcW w:type="dxa" w:w="8424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Caption all spoken audio; edit auto-captions for accuracy.</w:t>
            </w:r>
          </w:p>
        </w:tc>
      </w:tr>
      <w:tr>
        <w:trPr>
          <w:cantSplit/>
        </w:trPr>
        <w:tc>
          <w:tcPr>
            <w:tcW w:type="dxa" w:w="237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Contrast</w:t>
            </w:r>
          </w:p>
        </w:tc>
        <w:tc>
          <w:tcPr>
            <w:tcW w:type="dxa" w:w="8424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Use high-contrast text and do not rely on color alone to communicate meaning.</w:t>
            </w:r>
          </w:p>
        </w:tc>
      </w:tr>
      <w:tr>
        <w:trPr>
          <w:cantSplit/>
        </w:trPr>
        <w:tc>
          <w:tcPr>
            <w:tcW w:type="dxa" w:w="2376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Motion</w:t>
            </w:r>
          </w:p>
        </w:tc>
        <w:tc>
          <w:tcPr>
            <w:tcW w:type="dxa" w:w="8424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Avoid rapid flashing, unnecessary motion, and overstimulating transitions.</w:t>
            </w:r>
          </w:p>
        </w:tc>
      </w:tr>
      <w:tr>
        <w:trPr>
          <w:cantSplit/>
        </w:trPr>
        <w:tc>
          <w:tcPr>
            <w:tcW w:type="dxa" w:w="237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Text</w:t>
            </w:r>
          </w:p>
        </w:tc>
        <w:tc>
          <w:tcPr>
            <w:tcW w:type="dxa" w:w="8424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Use readable type sizes, short paragraphs, descriptive headings, and plain language.</w:t>
            </w:r>
          </w:p>
        </w:tc>
      </w:tr>
      <w:tr>
        <w:trPr>
          <w:cantSplit/>
        </w:trPr>
        <w:tc>
          <w:tcPr>
            <w:tcW w:type="dxa" w:w="2376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Images</w:t>
            </w:r>
          </w:p>
        </w:tc>
        <w:tc>
          <w:tcPr>
            <w:tcW w:type="dxa" w:w="8424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Write meaningful alt text that describes the purpose of the image.</w:t>
            </w:r>
          </w:p>
        </w:tc>
      </w:tr>
      <w:tr>
        <w:trPr>
          <w:cantSplit/>
        </w:trPr>
        <w:tc>
          <w:tcPr>
            <w:tcW w:type="dxa" w:w="2376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Audio</w:t>
            </w:r>
          </w:p>
        </w:tc>
        <w:tc>
          <w:tcPr>
            <w:tcW w:type="dxa" w:w="8424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Keep music below speech and avoid sudden loud effects.</w:t>
            </w:r>
          </w:p>
        </w:tc>
      </w:tr>
      <w:tr>
        <w:trPr>
          <w:cantSplit/>
        </w:trPr>
        <w:tc>
          <w:tcPr>
            <w:tcW w:type="dxa" w:w="2376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Downloads</w:t>
            </w:r>
          </w:p>
        </w:tc>
        <w:tc>
          <w:tcPr>
            <w:tcW w:type="dxa" w:w="8424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Create accessible PDFs and printables with logical reading order and labels.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single" w:color="D80602" w:sz="36"/>
              <w:bottom w:val="none" w:color="auto" w:sz="0"/>
              <w:right w:val="none" w:color="auto" w:sz="0"/>
            </w:tcBorders>
            <w:shd w:fill="FBE0DF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after="80"/>
            </w:pPr>
            <w:r>
              <w:rPr>
                <w:rFonts w:ascii="Poppy" w:cs="Poppy" w:eastAsia="Poppy" w:hAnsi="Poppy"/>
                <w:b w:val="false"/>
                <w:bCs w:val="false"/>
                <w:i/>
                <w:iCs/>
                <w:color w:val="263548"/>
                <w:sz w:val="24"/>
                <w:szCs w:val="24"/>
              </w:rPr>
              <w:t xml:space="preserve">Before publishing anything that collects information from children or links to child-directed video, review current platform rules and applicable legal requirements with qualified counsel and compliance leadership.</w:t>
            </w:r>
          </w:p>
          <w:p>
            <w:pPr>
              <w:spacing w:before="80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D80602"/>
                <w:sz w:val="18"/>
                <w:szCs w:val="18"/>
              </w:rPr>
              <w:t xml:space="preserve">Review reminder</w:t>
            </w:r>
          </w:p>
        </w:tc>
      </w:tr>
    </w:tbl>
    <w:p>
      <w:r>
        <w:br w:type="page"/>
      </w:r>
    </w:p>
    <w:p>
      <w:pPr>
        <w:keepNext/>
        <w:spacing w:after="140" w:before="0"/>
      </w:pPr>
      <w:r>
        <w:rPr>
          <w:rFonts w:ascii="Betm Rounded Bold" w:cs="Betm Rounded Bold" w:eastAsia="Betm Rounded Bold" w:hAnsi="Betm Rounded Bold"/>
          <w:b/>
          <w:bCs/>
          <w:i w:val="false"/>
          <w:iCs w:val="false"/>
          <w:color w:val="263548"/>
          <w:sz w:val="27"/>
          <w:szCs w:val="27"/>
        </w:rPr>
        <w:t xml:space="preserve">Quick Reference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8208"/>
      </w:tblGrid>
      <w:tr>
        <w:trPr>
          <w:cantSplit/>
        </w:trPr>
        <w:tc>
          <w:tcPr>
            <w:tcW w:type="dxa" w:w="259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Brand</w:t>
            </w:r>
          </w:p>
        </w:tc>
        <w:tc>
          <w:tcPr>
            <w:tcW w:type="dxa" w:w="820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Poppy &amp; Parker — The Power Pals, for Power ABA Therapy</w:t>
            </w:r>
          </w:p>
        </w:tc>
      </w:tr>
      <w:tr>
        <w:trPr>
          <w:cantSplit/>
        </w:trPr>
        <w:tc>
          <w:tcPr>
            <w:tcW w:type="dxa" w:w="2592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Tagline</w:t>
            </w:r>
          </w:p>
        </w:tc>
        <w:tc>
          <w:tcPr>
            <w:tcW w:type="dxa" w:w="8208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Power ABA: “Together we unlock the potential in every child.”  |  Poppy &amp; Parker: “Growing stronger every day.”</w:t>
            </w:r>
          </w:p>
        </w:tc>
      </w:tr>
      <w:tr>
        <w:trPr>
          <w:cantSplit/>
        </w:trPr>
        <w:tc>
          <w:tcPr>
            <w:tcW w:type="dxa" w:w="259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820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Red #D80602 — full palette in Visual Identity, above</w:t>
            </w:r>
          </w:p>
        </w:tc>
      </w:tr>
      <w:tr>
        <w:trPr>
          <w:cantSplit/>
        </w:trPr>
        <w:tc>
          <w:tcPr>
            <w:tcW w:type="dxa" w:w="2592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Team close</w:t>
            </w:r>
          </w:p>
        </w:tc>
        <w:tc>
          <w:tcPr>
            <w:tcW w:type="dxa" w:w="8208"/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“We’re growing stronger every day!”</w:t>
            </w:r>
          </w:p>
        </w:tc>
      </w:tr>
      <w:tr>
        <w:trPr>
          <w:cantSplit/>
        </w:trPr>
        <w:tc>
          <w:tcPr>
            <w:tcW w:type="dxa" w:w="2592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/>
                <w:bCs/>
                <w:i w:val="false"/>
                <w:iCs w:val="false"/>
                <w:color w:val="263548"/>
                <w:sz w:val="20"/>
                <w:szCs w:val="20"/>
              </w:rPr>
              <w:t xml:space="preserve">Launch scope</w:t>
            </w:r>
          </w:p>
        </w:tc>
        <w:tc>
          <w:tcPr>
            <w:tcW w:type="dxa" w:w="8208"/>
            <w:shd w:fill="FBF8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Poppy" w:cs="Poppy" w:eastAsia="Poppy" w:hAnsi="Poppy"/>
                <w:b w:val="false"/>
                <w:bCs w:val="false"/>
                <w:i w:val="false"/>
                <w:iCs w:val="false"/>
                <w:color w:val="263548"/>
                <w:sz w:val="20"/>
                <w:szCs w:val="20"/>
              </w:rPr>
              <w:t xml:space="preserve">Navigation, resource center, service explanations, FAQs, character guideposts. Not the story hub.</w:t>
            </w:r>
          </w:p>
        </w:tc>
      </w:tr>
    </w:tbl>
    <w:p>
      <w:pPr>
        <w:spacing w:after="200"/>
      </w:pPr>
    </w:p>
    <w:p>
      <w:pPr>
        <w:spacing w:after="110" w:before="0"/>
        <w:jc w:val="center"/>
      </w:pPr>
      <w:r>
        <w:rPr>
          <w:rFonts w:ascii="Poppy" w:cs="Poppy" w:eastAsia="Poppy" w:hAnsi="Poppy"/>
          <w:b w:val="false"/>
          <w:bCs w:val="false"/>
          <w:i w:val="false"/>
          <w:iCs w:val="false"/>
          <w:color w:val="263548"/>
          <w:sz w:val="20"/>
          <w:szCs w:val="20"/>
        </w:rPr>
        <w:t xml:space="preserve">Questions on anything not covered here? Ask and we’ll pull the relevant page from the full Brand Bible.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720" w:right="720" w:bottom="720" w:left="72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1D6" w:sz="4" w:space="4"/>
      </w:pBdr>
      <w:tabs>
        <w:tab w:val="right" w:pos="9026"/>
      </w:tabs>
    </w:pPr>
    <w:r>
      <w:rPr>
        <w:rFonts w:ascii="Poppy" w:cs="Poppy" w:eastAsia="Poppy" w:hAnsi="Poppy"/>
        <w:b w:val="false"/>
        <w:bCs w:val="false"/>
        <w:i w:val="false"/>
        <w:iCs w:val="false"/>
        <w:color w:val="8A8A8A"/>
        <w:sz w:val="14"/>
        <w:szCs w:val="14"/>
      </w:rPr>
      <w:t xml:space="preserve">POWER ABA THERAPY  •  WEBSITE DESIGN BRIEF</w:t>
    </w:r>
    <w:r>
      <w:rPr>
        <w:sz w:val="14"/>
        <w:szCs w:val="14"/>
      </w:rPr>
      <w:t xml:space="preserve">	</w:t>
    </w:r>
    <w:r>
      <w:rPr>
        <w:rFonts w:ascii="Poppy" w:cs="Poppy" w:eastAsia="Poppy" w:hAnsi="Poppy"/>
        <w:b w:val="false"/>
        <w:bCs w:val="false"/>
        <w:i w:val="false"/>
        <w:iCs w:val="false"/>
        <w:color w:val="8A8A8A"/>
        <w:sz w:val="14"/>
        <w:szCs w:val="14"/>
      </w:rPr>
      <w:t xml:space="preserve">Page </w:t>
    </w:r>
    <w:r>
      <w:rPr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y" w:cs="Poppy" w:eastAsia="Poppy" w:hAnsi="Poppy"/>
        <w:b/>
        <w:bCs/>
        <w:i w:val="false"/>
        <w:iCs w:val="false"/>
        <w:color w:val="B9B2A4"/>
        <w:sz w:val="14"/>
        <w:szCs w:val="14"/>
      </w:rPr>
      <w:t xml:space="preserve">POPPY &amp; PARKER  •  WEBSITE 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y" w:cs="Poppy" w:eastAsia="Poppy" w:hAnsi="Poppy"/>
        <w:color w:val="2635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0535fa480b00eb44e6876c60bc9dc5a7bc51cc2.png"/><Relationship Id="rId12" Type="http://schemas.openxmlformats.org/officeDocument/2006/relationships/image" Target="media/71a10f0e0a36ed43946abf64da559d13e5151a47.png"/><Relationship Id="rId13" Type="http://schemas.openxmlformats.org/officeDocument/2006/relationships/image" Target="media/a61ef0b9b6b8e97808070a0a4474ca12f69fe22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ABA — Website Design Brief</dc:title>
  <dc:creator>Solid Ground Agency</dc:creator>
  <cp:lastModifiedBy>Un-named</cp:lastModifiedBy>
  <cp:revision>1</cp:revision>
  <dcterms:created xsi:type="dcterms:W3CDTF">2026-08-17T03:37:33.941Z</dcterms:created>
  <dcterms:modified xsi:type="dcterms:W3CDTF">2026-08-17T03:37:33.941Z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