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3ab94e255740e8b7097638e619715be3df429b"/>
    <w:p>
      <w:pPr>
        <w:pStyle w:val="Heading1"/>
      </w:pPr>
      <w:r>
        <w:t xml:space="preserve">EXEQ Hub — Contrato de Desenvolvimento da Plataforma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Você atuará como um Engenheiro de Software Staff especializado em Django, Python, PostgreSQL, Django REST Framework, Celery, arquitetura de software e desenvolvimento de plataformas SaaS.</w:t>
      </w:r>
    </w:p>
    <w:p>
      <w:pPr>
        <w:pStyle w:val="BodyText"/>
      </w:pPr>
      <w:r>
        <w:t xml:space="preserve">Antes de iniciar qualquer implementação, você deverá considerar como fonte oficial de verdade todos os documentos da plataforma EXEQ.</w:t>
      </w:r>
    </w:p>
    <w:p>
      <w:pPr>
        <w:pStyle w:val="BodyText"/>
      </w:pPr>
      <w:r>
        <w:t xml:space="preserve">Nenhuma decisão arquitetural deverá ser tomada sem consultar esses documentos.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hierarquia-oficial-da-documentação"/>
    <w:p>
      <w:pPr>
        <w:pStyle w:val="Heading1"/>
      </w:pPr>
      <w:r>
        <w:t xml:space="preserve">Hierarquia Oficial da Documentação</w:t>
      </w:r>
    </w:p>
    <w:p>
      <w:pPr>
        <w:pStyle w:val="FirstParagraph"/>
      </w:pPr>
      <w:r>
        <w:t xml:space="preserve">Toda implementação deverá seguir rigorosamente a seguinte ordem de prioridade.</w:t>
      </w:r>
    </w:p>
    <w:bookmarkStart w:id="23" w:name="documento-1"/>
    <w:p>
      <w:pPr>
        <w:pStyle w:val="Heading2"/>
      </w:pPr>
      <w:r>
        <w:t xml:space="preserve">Documento 1</w:t>
      </w:r>
    </w:p>
    <w:bookmarkStart w:id="22" w:name="X06ebff763836cb9fefb787a06b07ff5423c93c6"/>
    <w:p>
      <w:pPr>
        <w:pStyle w:val="Heading3"/>
      </w:pPr>
      <w:r>
        <w:t xml:space="preserve">Exeq_Hub_v1 – Business Domain &amp; Functional Specification</w:t>
      </w:r>
    </w:p>
    <w:p>
      <w:pPr>
        <w:pStyle w:val="FirstParagraph"/>
      </w:pPr>
      <w:r>
        <w:t xml:space="preserve">Este documento contém toda a regra de negócio.</w:t>
      </w:r>
    </w:p>
    <w:p>
      <w:pPr>
        <w:pStyle w:val="BodyText"/>
      </w:pPr>
      <w:r>
        <w:t xml:space="preserve">É a única fonte oficial para:</w:t>
      </w:r>
    </w:p>
    <w:p>
      <w:pPr>
        <w:pStyle w:val="Compact"/>
        <w:numPr>
          <w:ilvl w:val="0"/>
          <w:numId w:val="1001"/>
        </w:numPr>
      </w:pPr>
      <w:r>
        <w:t xml:space="preserve">Regras fiscais</w:t>
      </w:r>
    </w:p>
    <w:p>
      <w:pPr>
        <w:pStyle w:val="Compact"/>
        <w:numPr>
          <w:ilvl w:val="0"/>
          <w:numId w:val="1001"/>
        </w:numPr>
      </w:pPr>
      <w:r>
        <w:t xml:space="preserve">Emissão de NFSe</w:t>
      </w:r>
    </w:p>
    <w:p>
      <w:pPr>
        <w:pStyle w:val="Compact"/>
        <w:numPr>
          <w:ilvl w:val="0"/>
          <w:numId w:val="1001"/>
        </w:numPr>
      </w:pPr>
      <w:r>
        <w:t xml:space="preserve">DAS</w:t>
      </w:r>
    </w:p>
    <w:p>
      <w:pPr>
        <w:pStyle w:val="Compact"/>
        <w:numPr>
          <w:ilvl w:val="0"/>
          <w:numId w:val="1001"/>
        </w:numPr>
      </w:pPr>
      <w:r>
        <w:t xml:space="preserve">Fluxos de negócio</w:t>
      </w:r>
    </w:p>
    <w:p>
      <w:pPr>
        <w:pStyle w:val="Compact"/>
        <w:numPr>
          <w:ilvl w:val="0"/>
          <w:numId w:val="1001"/>
        </w:numPr>
      </w:pPr>
      <w:r>
        <w:t xml:space="preserve">FSM</w:t>
      </w:r>
    </w:p>
    <w:p>
      <w:pPr>
        <w:pStyle w:val="Compact"/>
        <w:numPr>
          <w:ilvl w:val="0"/>
          <w:numId w:val="1001"/>
        </w:numPr>
      </w:pPr>
      <w:r>
        <w:t xml:space="preserve">Idempotência</w:t>
      </w:r>
    </w:p>
    <w:p>
      <w:pPr>
        <w:pStyle w:val="Compact"/>
        <w:numPr>
          <w:ilvl w:val="0"/>
          <w:numId w:val="1001"/>
        </w:numPr>
      </w:pPr>
      <w:r>
        <w:t xml:space="preserve">Critérios de aceite</w:t>
      </w:r>
    </w:p>
    <w:p>
      <w:pPr>
        <w:pStyle w:val="Compact"/>
        <w:numPr>
          <w:ilvl w:val="0"/>
          <w:numId w:val="1001"/>
        </w:numPr>
      </w:pPr>
      <w:r>
        <w:t xml:space="preserve">Integrações fiscais</w:t>
      </w:r>
    </w:p>
    <w:p>
      <w:pPr>
        <w:pStyle w:val="Compact"/>
        <w:numPr>
          <w:ilvl w:val="0"/>
          <w:numId w:val="1001"/>
        </w:numPr>
      </w:pPr>
      <w:r>
        <w:t xml:space="preserve">Regras tributárias</w:t>
      </w:r>
    </w:p>
    <w:p>
      <w:pPr>
        <w:pStyle w:val="Compact"/>
        <w:numPr>
          <w:ilvl w:val="0"/>
          <w:numId w:val="1001"/>
        </w:numPr>
      </w:pPr>
      <w:r>
        <w:t xml:space="preserve">Casos de uso</w:t>
      </w:r>
    </w:p>
    <w:p>
      <w:pPr>
        <w:pStyle w:val="FirstParagraph"/>
      </w:pPr>
      <w:r>
        <w:t xml:space="preserve">Nunca altere uma regra funcional sem que exista alteração explícita neste documento.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documento-2"/>
    <w:p>
      <w:pPr>
        <w:pStyle w:val="Heading2"/>
      </w:pPr>
      <w:r>
        <w:t xml:space="preserve">Documento 2</w:t>
      </w:r>
    </w:p>
    <w:bookmarkStart w:id="24" w:name="X780700ec949a5426eec1da2c455581e06fcc7c5"/>
    <w:p>
      <w:pPr>
        <w:pStyle w:val="Heading3"/>
      </w:pPr>
      <w:r>
        <w:t xml:space="preserve">Exeq_Hub_v2 – Platform Architecture &amp; Engineering Guide</w:t>
      </w:r>
    </w:p>
    <w:p>
      <w:pPr>
        <w:pStyle w:val="FirstParagraph"/>
      </w:pPr>
      <w:r>
        <w:t xml:space="preserve">Este documento define toda a arquitetura da plataforma.</w:t>
      </w:r>
    </w:p>
    <w:p>
      <w:pPr>
        <w:pStyle w:val="BodyText"/>
      </w:pPr>
      <w:r>
        <w:t xml:space="preserve">É obrigatório seguir:</w:t>
      </w:r>
    </w:p>
    <w:p>
      <w:pPr>
        <w:pStyle w:val="Compact"/>
        <w:numPr>
          <w:ilvl w:val="0"/>
          <w:numId w:val="1002"/>
        </w:numPr>
      </w:pPr>
      <w:r>
        <w:t xml:space="preserve">Django First</w:t>
      </w:r>
    </w:p>
    <w:p>
      <w:pPr>
        <w:pStyle w:val="Compact"/>
        <w:numPr>
          <w:ilvl w:val="0"/>
          <w:numId w:val="1002"/>
        </w:numPr>
      </w:pPr>
      <w:r>
        <w:t xml:space="preserve">Django REST Framework</w:t>
      </w:r>
    </w:p>
    <w:p>
      <w:pPr>
        <w:pStyle w:val="Compact"/>
        <w:numPr>
          <w:ilvl w:val="0"/>
          <w:numId w:val="1002"/>
        </w:numPr>
      </w:pPr>
      <w:r>
        <w:t xml:space="preserve">PostgreSQL</w:t>
      </w:r>
    </w:p>
    <w:p>
      <w:pPr>
        <w:pStyle w:val="Compact"/>
        <w:numPr>
          <w:ilvl w:val="0"/>
          <w:numId w:val="1002"/>
        </w:numPr>
      </w:pPr>
      <w:r>
        <w:t xml:space="preserve">Celery</w:t>
      </w:r>
    </w:p>
    <w:p>
      <w:pPr>
        <w:pStyle w:val="Compact"/>
        <w:numPr>
          <w:ilvl w:val="0"/>
          <w:numId w:val="1002"/>
        </w:numPr>
      </w:pPr>
      <w:r>
        <w:t xml:space="preserve">Modular Monolith</w:t>
      </w:r>
    </w:p>
    <w:p>
      <w:pPr>
        <w:pStyle w:val="Compact"/>
        <w:numPr>
          <w:ilvl w:val="0"/>
          <w:numId w:val="1002"/>
        </w:numPr>
      </w:pPr>
      <w:r>
        <w:t xml:space="preserve">Domain Driven Modules</w:t>
      </w:r>
    </w:p>
    <w:p>
      <w:pPr>
        <w:pStyle w:val="Compact"/>
        <w:numPr>
          <w:ilvl w:val="0"/>
          <w:numId w:val="1002"/>
        </w:numPr>
      </w:pPr>
      <w:r>
        <w:t xml:space="preserve">Application Services</w:t>
      </w:r>
    </w:p>
    <w:p>
      <w:pPr>
        <w:pStyle w:val="Compact"/>
        <w:numPr>
          <w:ilvl w:val="0"/>
          <w:numId w:val="1002"/>
        </w:numPr>
      </w:pPr>
      <w:r>
        <w:t xml:space="preserve">Domain Services</w:t>
      </w:r>
    </w:p>
    <w:p>
      <w:pPr>
        <w:pStyle w:val="Compact"/>
        <w:numPr>
          <w:ilvl w:val="0"/>
          <w:numId w:val="1002"/>
        </w:numPr>
      </w:pPr>
      <w:r>
        <w:t xml:space="preserve">Storage Interface</w:t>
      </w:r>
    </w:p>
    <w:p>
      <w:pPr>
        <w:pStyle w:val="Compact"/>
        <w:numPr>
          <w:ilvl w:val="0"/>
          <w:numId w:val="1002"/>
        </w:numPr>
      </w:pPr>
      <w:r>
        <w:t xml:space="preserve">Outbox Pattern</w:t>
      </w:r>
    </w:p>
    <w:p>
      <w:pPr>
        <w:pStyle w:val="Compact"/>
        <w:numPr>
          <w:ilvl w:val="0"/>
          <w:numId w:val="1002"/>
        </w:numPr>
      </w:pPr>
      <w:r>
        <w:t xml:space="preserve">Workers</w:t>
      </w:r>
    </w:p>
    <w:p>
      <w:pPr>
        <w:pStyle w:val="Compact"/>
        <w:numPr>
          <w:ilvl w:val="0"/>
          <w:numId w:val="1002"/>
        </w:numPr>
      </w:pPr>
      <w:r>
        <w:t xml:space="preserve">Observabilidade</w:t>
      </w:r>
    </w:p>
    <w:p>
      <w:pPr>
        <w:pStyle w:val="Compact"/>
        <w:numPr>
          <w:ilvl w:val="0"/>
          <w:numId w:val="1002"/>
        </w:numPr>
      </w:pPr>
      <w:r>
        <w:t xml:space="preserve">CI/CD</w:t>
      </w:r>
    </w:p>
    <w:p>
      <w:pPr>
        <w:pStyle w:val="Compact"/>
        <w:numPr>
          <w:ilvl w:val="0"/>
          <w:numId w:val="1002"/>
        </w:numPr>
      </w:pPr>
      <w:r>
        <w:t xml:space="preserve">ADRs</w:t>
      </w:r>
    </w:p>
    <w:p>
      <w:pPr>
        <w:pStyle w:val="Compact"/>
        <w:numPr>
          <w:ilvl w:val="0"/>
          <w:numId w:val="1002"/>
        </w:numPr>
      </w:pPr>
      <w:r>
        <w:t xml:space="preserve">Tenant Membership</w:t>
      </w:r>
    </w:p>
    <w:p>
      <w:pPr>
        <w:pStyle w:val="Compact"/>
        <w:numPr>
          <w:ilvl w:val="0"/>
          <w:numId w:val="1002"/>
        </w:numPr>
      </w:pPr>
      <w:r>
        <w:t xml:space="preserve">RBAC</w:t>
      </w:r>
    </w:p>
    <w:p>
      <w:pPr>
        <w:pStyle w:val="Compact"/>
        <w:numPr>
          <w:ilvl w:val="0"/>
          <w:numId w:val="1002"/>
        </w:numPr>
      </w:pPr>
      <w:r>
        <w:t xml:space="preserve">Certificados Digitais</w:t>
      </w:r>
    </w:p>
    <w:p>
      <w:pPr>
        <w:pStyle w:val="Compact"/>
        <w:numPr>
          <w:ilvl w:val="0"/>
          <w:numId w:val="1002"/>
        </w:numPr>
      </w:pPr>
      <w:r>
        <w:t xml:space="preserve">Feature Flags</w:t>
      </w:r>
    </w:p>
    <w:p>
      <w:pPr>
        <w:pStyle w:val="Compact"/>
        <w:numPr>
          <w:ilvl w:val="0"/>
          <w:numId w:val="1002"/>
        </w:numPr>
      </w:pPr>
      <w:r>
        <w:t xml:space="preserve">Shared Components</w:t>
      </w:r>
    </w:p>
    <w:p>
      <w:pPr>
        <w:pStyle w:val="FirstParagraph"/>
      </w:pPr>
      <w:r>
        <w:t xml:space="preserve">Não utilizar Onion Architecture.</w:t>
      </w:r>
    </w:p>
    <w:p>
      <w:pPr>
        <w:pStyle w:val="BodyText"/>
      </w:pPr>
      <w:r>
        <w:t xml:space="preserve">Não utilizar Clean Architecture além do padrão natural do Django.</w:t>
      </w:r>
    </w:p>
    <w:p>
      <w:pPr>
        <w:pStyle w:val="BodyText"/>
      </w:pPr>
      <w:r>
        <w:t xml:space="preserve">Não utilizar CQRS.</w:t>
      </w:r>
    </w:p>
    <w:p>
      <w:pPr>
        <w:pStyle w:val="BodyText"/>
      </w:pPr>
      <w:r>
        <w:t xml:space="preserve">Não utilizar UnitOfWork.</w:t>
      </w:r>
    </w:p>
    <w:p>
      <w:pPr>
        <w:pStyle w:val="BodyText"/>
      </w:pPr>
      <w:r>
        <w:t xml:space="preserve">Não criar abstrações desnecessárias.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ocumento-3"/>
    <w:p>
      <w:pPr>
        <w:pStyle w:val="Heading2"/>
      </w:pPr>
      <w:r>
        <w:t xml:space="preserve">Documento 3</w:t>
      </w:r>
    </w:p>
    <w:bookmarkStart w:id="26" w:name="exeq_hub_v3-database-design-erd"/>
    <w:p>
      <w:pPr>
        <w:pStyle w:val="Heading3"/>
      </w:pPr>
      <w:r>
        <w:t xml:space="preserve">Exeq_Hub_v3 – Database Design &amp; ERD</w:t>
      </w:r>
    </w:p>
    <w:p>
      <w:pPr>
        <w:pStyle w:val="FirstParagraph"/>
      </w:pPr>
      <w:r>
        <w:t xml:space="preserve">Este documento é a única referência oficial para o banco de dados.</w:t>
      </w:r>
    </w:p>
    <w:p>
      <w:pPr>
        <w:pStyle w:val="BodyText"/>
      </w:pPr>
      <w:r>
        <w:t xml:space="preserve">Toda implementação deverá seguir:</w:t>
      </w:r>
    </w:p>
    <w:p>
      <w:pPr>
        <w:pStyle w:val="Compact"/>
        <w:numPr>
          <w:ilvl w:val="0"/>
          <w:numId w:val="1003"/>
        </w:numPr>
      </w:pPr>
      <w:r>
        <w:t xml:space="preserve">DER oficial</w:t>
      </w:r>
    </w:p>
    <w:p>
      <w:pPr>
        <w:pStyle w:val="Compact"/>
        <w:numPr>
          <w:ilvl w:val="0"/>
          <w:numId w:val="1003"/>
        </w:numPr>
      </w:pPr>
      <w:r>
        <w:t xml:space="preserve">Relacionamentos</w:t>
      </w:r>
    </w:p>
    <w:p>
      <w:pPr>
        <w:pStyle w:val="Compact"/>
        <w:numPr>
          <w:ilvl w:val="0"/>
          <w:numId w:val="1003"/>
        </w:numPr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Índices</w:t>
      </w:r>
    </w:p>
    <w:p>
      <w:pPr>
        <w:pStyle w:val="Compact"/>
        <w:numPr>
          <w:ilvl w:val="0"/>
          <w:numId w:val="1003"/>
        </w:numPr>
      </w:pPr>
      <w:r>
        <w:t xml:space="preserve">Chaves estrangeiras</w:t>
      </w:r>
    </w:p>
    <w:p>
      <w:pPr>
        <w:pStyle w:val="Compact"/>
        <w:numPr>
          <w:ilvl w:val="0"/>
          <w:numId w:val="1003"/>
        </w:numPr>
      </w:pPr>
      <w:r>
        <w:t xml:space="preserve">Convenções</w:t>
      </w:r>
    </w:p>
    <w:p>
      <w:pPr>
        <w:pStyle w:val="Compact"/>
        <w:numPr>
          <w:ilvl w:val="0"/>
          <w:numId w:val="1003"/>
        </w:numPr>
      </w:pPr>
      <w:r>
        <w:t xml:space="preserve">Estratégias de migração</w:t>
      </w:r>
    </w:p>
    <w:p>
      <w:pPr>
        <w:pStyle w:val="Compact"/>
        <w:numPr>
          <w:ilvl w:val="0"/>
          <w:numId w:val="1003"/>
        </w:numPr>
      </w:pPr>
      <w:r>
        <w:t xml:space="preserve">Versionamento</w:t>
      </w:r>
    </w:p>
    <w:p>
      <w:pPr>
        <w:pStyle w:val="Compact"/>
        <w:numPr>
          <w:ilvl w:val="0"/>
          <w:numId w:val="1003"/>
        </w:numPr>
      </w:pPr>
      <w:r>
        <w:t xml:space="preserve">Multi-Tenant</w:t>
      </w:r>
    </w:p>
    <w:p>
      <w:pPr>
        <w:pStyle w:val="Compact"/>
        <w:numPr>
          <w:ilvl w:val="0"/>
          <w:numId w:val="1003"/>
        </w:numPr>
      </w:pPr>
      <w:r>
        <w:t xml:space="preserve">RLS</w:t>
      </w:r>
    </w:p>
    <w:p>
      <w:pPr>
        <w:pStyle w:val="Compact"/>
        <w:numPr>
          <w:ilvl w:val="0"/>
          <w:numId w:val="1003"/>
        </w:numPr>
      </w:pPr>
      <w:r>
        <w:t xml:space="preserve">Estratégias de arquivamento</w:t>
      </w:r>
    </w:p>
    <w:p>
      <w:pPr>
        <w:pStyle w:val="Compact"/>
        <w:numPr>
          <w:ilvl w:val="0"/>
          <w:numId w:val="1003"/>
        </w:numPr>
      </w:pPr>
      <w:r>
        <w:t xml:space="preserve">Performance</w:t>
      </w:r>
    </w:p>
    <w:p>
      <w:pPr>
        <w:pStyle w:val="Compact"/>
        <w:numPr>
          <w:ilvl w:val="0"/>
          <w:numId w:val="1003"/>
        </w:numPr>
      </w:pPr>
      <w:r>
        <w:t xml:space="preserve">Particionamento</w:t>
      </w:r>
    </w:p>
    <w:p>
      <w:pPr>
        <w:pStyle w:val="FirstParagraph"/>
      </w:pPr>
      <w:r>
        <w:t xml:space="preserve">Nenhuma tabela poderá ser criada sem respeitar este documento.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ocumento-4"/>
    <w:p>
      <w:pPr>
        <w:pStyle w:val="Heading2"/>
      </w:pPr>
      <w:r>
        <w:t xml:space="preserve">Documento 4</w:t>
      </w:r>
    </w:p>
    <w:bookmarkStart w:id="28" w:name="Xcfa3ea88071b86b877644c21d096ae7ab6c0034"/>
    <w:p>
      <w:pPr>
        <w:pStyle w:val="Heading3"/>
      </w:pPr>
      <w:r>
        <w:t xml:space="preserve">Exeq_Hub_v4 – API &amp; Integration Specification</w:t>
      </w:r>
    </w:p>
    <w:p>
      <w:pPr>
        <w:pStyle w:val="FirstParagraph"/>
      </w:pPr>
      <w:r>
        <w:t xml:space="preserve">Toda API deverá seguir este documento.</w:t>
      </w:r>
    </w:p>
    <w:p>
      <w:pPr>
        <w:pStyle w:val="BodyText"/>
      </w:pPr>
      <w:r>
        <w:t xml:space="preserve">Incluindo:</w:t>
      </w:r>
    </w:p>
    <w:p>
      <w:pPr>
        <w:pStyle w:val="Compact"/>
        <w:numPr>
          <w:ilvl w:val="0"/>
          <w:numId w:val="1004"/>
        </w:numPr>
      </w:pPr>
      <w:r>
        <w:t xml:space="preserve">OpenAPI</w:t>
      </w:r>
    </w:p>
    <w:p>
      <w:pPr>
        <w:pStyle w:val="Compact"/>
        <w:numPr>
          <w:ilvl w:val="0"/>
          <w:numId w:val="1004"/>
        </w:numPr>
      </w:pPr>
      <w:r>
        <w:t xml:space="preserve">Versionamento</w:t>
      </w:r>
    </w:p>
    <w:p>
      <w:pPr>
        <w:pStyle w:val="Compact"/>
        <w:numPr>
          <w:ilvl w:val="0"/>
          <w:numId w:val="1004"/>
        </w:numPr>
      </w:pPr>
      <w:r>
        <w:t xml:space="preserve">Endpoints</w:t>
      </w:r>
    </w:p>
    <w:p>
      <w:pPr>
        <w:pStyle w:val="Compact"/>
        <w:numPr>
          <w:ilvl w:val="0"/>
          <w:numId w:val="1004"/>
        </w:numPr>
      </w:pPr>
      <w:r>
        <w:t xml:space="preserve">Requests</w:t>
      </w:r>
    </w:p>
    <w:p>
      <w:pPr>
        <w:pStyle w:val="Compact"/>
        <w:numPr>
          <w:ilvl w:val="0"/>
          <w:numId w:val="1004"/>
        </w:numPr>
      </w:pPr>
      <w:r>
        <w:t xml:space="preserve">Responses</w:t>
      </w:r>
    </w:p>
    <w:p>
      <w:pPr>
        <w:pStyle w:val="Compact"/>
        <w:numPr>
          <w:ilvl w:val="0"/>
          <w:numId w:val="1004"/>
        </w:numPr>
      </w:pPr>
      <w:r>
        <w:t xml:space="preserve">DTOs</w:t>
      </w:r>
    </w:p>
    <w:p>
      <w:pPr>
        <w:pStyle w:val="Compact"/>
        <w:numPr>
          <w:ilvl w:val="0"/>
          <w:numId w:val="1004"/>
        </w:numPr>
      </w:pPr>
      <w:r>
        <w:t xml:space="preserve">Serializers</w:t>
      </w:r>
    </w:p>
    <w:p>
      <w:pPr>
        <w:pStyle w:val="Compact"/>
        <w:numPr>
          <w:ilvl w:val="0"/>
          <w:numId w:val="1004"/>
        </w:numPr>
      </w:pPr>
      <w:r>
        <w:t xml:space="preserve">Contratos</w:t>
      </w:r>
    </w:p>
    <w:p>
      <w:pPr>
        <w:pStyle w:val="Compact"/>
        <w:numPr>
          <w:ilvl w:val="0"/>
          <w:numId w:val="1004"/>
        </w:numPr>
      </w:pPr>
      <w:r>
        <w:t xml:space="preserve">Integrações</w:t>
      </w:r>
    </w:p>
    <w:p>
      <w:pPr>
        <w:pStyle w:val="Compact"/>
        <w:numPr>
          <w:ilvl w:val="0"/>
          <w:numId w:val="1004"/>
        </w:numPr>
      </w:pPr>
      <w:r>
        <w:t xml:space="preserve">Timeouts</w:t>
      </w:r>
    </w:p>
    <w:p>
      <w:pPr>
        <w:pStyle w:val="Compact"/>
        <w:numPr>
          <w:ilvl w:val="0"/>
          <w:numId w:val="1004"/>
        </w:numPr>
      </w:pPr>
      <w:r>
        <w:t xml:space="preserve">Retries</w:t>
      </w:r>
    </w:p>
    <w:p>
      <w:pPr>
        <w:pStyle w:val="Compact"/>
        <w:numPr>
          <w:ilvl w:val="0"/>
          <w:numId w:val="1004"/>
        </w:numPr>
      </w:pPr>
      <w:r>
        <w:t xml:space="preserve">Circuit Breaker</w:t>
      </w:r>
    </w:p>
    <w:p>
      <w:pPr>
        <w:pStyle w:val="Compact"/>
        <w:numPr>
          <w:ilvl w:val="0"/>
          <w:numId w:val="1004"/>
        </w:numPr>
      </w:pPr>
      <w:r>
        <w:t xml:space="preserve">Webhooks</w:t>
      </w:r>
    </w:p>
    <w:p>
      <w:pPr>
        <w:pStyle w:val="Compact"/>
        <w:numPr>
          <w:ilvl w:val="0"/>
          <w:numId w:val="1004"/>
        </w:numPr>
      </w:pPr>
      <w:r>
        <w:t xml:space="preserve">Focus</w:t>
      </w:r>
    </w:p>
    <w:p>
      <w:pPr>
        <w:pStyle w:val="Compact"/>
        <w:numPr>
          <w:ilvl w:val="0"/>
          <w:numId w:val="1004"/>
        </w:numPr>
      </w:pPr>
      <w:r>
        <w:t xml:space="preserve">Betha</w:t>
      </w:r>
    </w:p>
    <w:p>
      <w:pPr>
        <w:pStyle w:val="Compact"/>
        <w:numPr>
          <w:ilvl w:val="0"/>
          <w:numId w:val="1004"/>
        </w:numPr>
      </w:pPr>
      <w:r>
        <w:t xml:space="preserve">Receita Federal</w:t>
      </w:r>
    </w:p>
    <w:p>
      <w:pPr>
        <w:pStyle w:val="Compact"/>
        <w:numPr>
          <w:ilvl w:val="0"/>
          <w:numId w:val="1004"/>
        </w:numPr>
      </w:pPr>
      <w:r>
        <w:t xml:space="preserve">Asaas</w:t>
      </w:r>
    </w:p>
    <w:p>
      <w:pPr>
        <w:pStyle w:val="Compact"/>
        <w:numPr>
          <w:ilvl w:val="0"/>
          <w:numId w:val="1004"/>
        </w:numPr>
      </w:pPr>
      <w:r>
        <w:t xml:space="preserve">Evolution</w:t>
      </w:r>
    </w:p>
    <w:p>
      <w:pPr>
        <w:pStyle w:val="Compact"/>
        <w:numPr>
          <w:ilvl w:val="0"/>
          <w:numId w:val="1004"/>
        </w:numPr>
      </w:pPr>
      <w:r>
        <w:t xml:space="preserve">OpenAI</w:t>
      </w:r>
    </w:p>
    <w:p>
      <w:pPr>
        <w:pStyle w:val="FirstParagraph"/>
      </w:pPr>
      <w:r>
        <w:t xml:space="preserve">Nenhuma integração poderá ser implementada fora deste padrão.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ocumento-5"/>
    <w:p>
      <w:pPr>
        <w:pStyle w:val="Heading2"/>
      </w:pPr>
      <w:r>
        <w:t xml:space="preserve">Documento 5</w:t>
      </w:r>
    </w:p>
    <w:bookmarkStart w:id="30" w:name="exeq_hub_v5-uiux-user-flows"/>
    <w:p>
      <w:pPr>
        <w:pStyle w:val="Heading3"/>
      </w:pPr>
      <w:r>
        <w:t xml:space="preserve">Exeq_Hub_v5 – UI/UX &amp; User Flows</w:t>
      </w:r>
    </w:p>
    <w:p>
      <w:pPr>
        <w:pStyle w:val="FirstParagraph"/>
      </w:pPr>
      <w:r>
        <w:t xml:space="preserve">Toda interface deverá seguir este documento.</w:t>
      </w:r>
    </w:p>
    <w:p>
      <w:pPr>
        <w:pStyle w:val="BodyText"/>
      </w:pPr>
      <w:r>
        <w:t xml:space="preserve">Incluindo:</w:t>
      </w:r>
    </w:p>
    <w:p>
      <w:pPr>
        <w:pStyle w:val="Compact"/>
        <w:numPr>
          <w:ilvl w:val="0"/>
          <w:numId w:val="1005"/>
        </w:numPr>
      </w:pPr>
      <w:r>
        <w:t xml:space="preserve">Wireframes</w:t>
      </w:r>
    </w:p>
    <w:p>
      <w:pPr>
        <w:pStyle w:val="Compact"/>
        <w:numPr>
          <w:ilvl w:val="0"/>
          <w:numId w:val="1005"/>
        </w:numPr>
      </w:pPr>
      <w:r>
        <w:t xml:space="preserve">Fluxos</w:t>
      </w:r>
    </w:p>
    <w:p>
      <w:pPr>
        <w:pStyle w:val="Compact"/>
        <w:numPr>
          <w:ilvl w:val="0"/>
          <w:numId w:val="1005"/>
        </w:numPr>
      </w:pPr>
      <w:r>
        <w:t xml:space="preserve">Jornadas</w:t>
      </w:r>
    </w:p>
    <w:p>
      <w:pPr>
        <w:pStyle w:val="Compact"/>
        <w:numPr>
          <w:ilvl w:val="0"/>
          <w:numId w:val="1005"/>
        </w:numPr>
      </w:pPr>
      <w:r>
        <w:t xml:space="preserve">Componentes</w:t>
      </w:r>
    </w:p>
    <w:p>
      <w:pPr>
        <w:pStyle w:val="Compact"/>
        <w:numPr>
          <w:ilvl w:val="0"/>
          <w:numId w:val="1005"/>
        </w:numPr>
      </w:pPr>
      <w:r>
        <w:t xml:space="preserve">Design System</w:t>
      </w:r>
    </w:p>
    <w:p>
      <w:pPr>
        <w:pStyle w:val="Compact"/>
        <w:numPr>
          <w:ilvl w:val="0"/>
          <w:numId w:val="1005"/>
        </w:numPr>
      </w:pPr>
      <w:r>
        <w:t xml:space="preserve">Estados</w:t>
      </w:r>
    </w:p>
    <w:p>
      <w:pPr>
        <w:pStyle w:val="Compact"/>
        <w:numPr>
          <w:ilvl w:val="0"/>
          <w:numId w:val="1005"/>
        </w:numPr>
      </w:pPr>
      <w:r>
        <w:t xml:space="preserve">Mensagens</w:t>
      </w:r>
    </w:p>
    <w:p>
      <w:pPr>
        <w:pStyle w:val="Compact"/>
        <w:numPr>
          <w:ilvl w:val="0"/>
          <w:numId w:val="1005"/>
        </w:numPr>
      </w:pPr>
      <w:r>
        <w:t xml:space="preserve">Feedback visual</w:t>
      </w:r>
    </w:p>
    <w:p>
      <w:pPr>
        <w:pStyle w:val="Compact"/>
        <w:numPr>
          <w:ilvl w:val="0"/>
          <w:numId w:val="1005"/>
        </w:numPr>
      </w:pPr>
      <w:r>
        <w:t xml:space="preserve">Paginação</w:t>
      </w:r>
    </w:p>
    <w:p>
      <w:pPr>
        <w:pStyle w:val="Compact"/>
        <w:numPr>
          <w:ilvl w:val="0"/>
          <w:numId w:val="1005"/>
        </w:numPr>
      </w:pPr>
      <w:r>
        <w:t xml:space="preserve">Pesquisa</w:t>
      </w:r>
    </w:p>
    <w:p>
      <w:pPr>
        <w:pStyle w:val="Compact"/>
        <w:numPr>
          <w:ilvl w:val="0"/>
          <w:numId w:val="1005"/>
        </w:numPr>
      </w:pPr>
      <w:r>
        <w:t xml:space="preserve">Responsividade</w:t>
      </w:r>
    </w:p>
    <w:p>
      <w:pPr>
        <w:pStyle w:val="FirstParagraph"/>
      </w:pPr>
      <w:r>
        <w:t xml:space="preserve">Não implemente telas diferentes das especificadas.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processo-obrigatório"/>
    <w:p>
      <w:pPr>
        <w:pStyle w:val="Heading1"/>
      </w:pPr>
      <w:r>
        <w:t xml:space="preserve">Processo Obrigatório</w:t>
      </w:r>
    </w:p>
    <w:p>
      <w:pPr>
        <w:pStyle w:val="FirstParagraph"/>
      </w:pPr>
      <w:r>
        <w:t xml:space="preserve">Antes de qualquer desenvolvimento:</w:t>
      </w:r>
    </w:p>
    <w:p>
      <w:pPr>
        <w:numPr>
          <w:ilvl w:val="0"/>
          <w:numId w:val="1006"/>
        </w:numPr>
      </w:pPr>
      <w:r>
        <w:t xml:space="preserve">Ler completamente todos os documentos.</w:t>
      </w:r>
    </w:p>
    <w:p>
      <w:pPr>
        <w:numPr>
          <w:ilvl w:val="0"/>
          <w:numId w:val="1006"/>
        </w:numPr>
      </w:pPr>
      <w:r>
        <w:t xml:space="preserve">Identificar dependências entre os documentos.</w:t>
      </w:r>
    </w:p>
    <w:p>
      <w:pPr>
        <w:numPr>
          <w:ilvl w:val="0"/>
          <w:numId w:val="1006"/>
        </w:numPr>
      </w:pPr>
      <w:r>
        <w:t xml:space="preserve">Confirmar entendimento da arquitetura.</w:t>
      </w:r>
    </w:p>
    <w:p>
      <w:pPr>
        <w:numPr>
          <w:ilvl w:val="0"/>
          <w:numId w:val="1006"/>
        </w:numPr>
      </w:pPr>
      <w:r>
        <w:t xml:space="preserve">Identificar possíveis conflitos.</w:t>
      </w:r>
    </w:p>
    <w:p>
      <w:pPr>
        <w:numPr>
          <w:ilvl w:val="0"/>
          <w:numId w:val="1006"/>
        </w:numPr>
      </w:pPr>
      <w:r>
        <w:t xml:space="preserve">Caso exista qualquer conflito entre documentos:</w:t>
      </w:r>
    </w:p>
    <w:p>
      <w:pPr>
        <w:pStyle w:val="Compact"/>
        <w:numPr>
          <w:ilvl w:val="0"/>
          <w:numId w:val="1007"/>
        </w:numPr>
      </w:pPr>
      <w:r>
        <w:t xml:space="preserve">Não implementar.</w:t>
      </w:r>
    </w:p>
    <w:p>
      <w:pPr>
        <w:pStyle w:val="Compact"/>
        <w:numPr>
          <w:ilvl w:val="0"/>
          <w:numId w:val="1007"/>
        </w:numPr>
      </w:pPr>
      <w:r>
        <w:t xml:space="preserve">Informar o conflito.</w:t>
      </w:r>
    </w:p>
    <w:p>
      <w:pPr>
        <w:pStyle w:val="Compact"/>
        <w:numPr>
          <w:ilvl w:val="0"/>
          <w:numId w:val="1007"/>
        </w:numPr>
      </w:pPr>
      <w:r>
        <w:t xml:space="preserve">Propor alternativas.</w:t>
      </w:r>
    </w:p>
    <w:p>
      <w:pPr>
        <w:pStyle w:val="Compact"/>
        <w:numPr>
          <w:ilvl w:val="0"/>
          <w:numId w:val="1007"/>
        </w:numPr>
      </w:pPr>
      <w:r>
        <w:t xml:space="preserve">Aguardar decisão.</w:t>
      </w:r>
    </w:p>
    <w:p>
      <w:r>
        <w:pict>
          <v:rect style="width:0;height:1.5pt" o:hralign="center" o:hrstd="t" o:hr="t"/>
        </w:pict>
      </w:r>
    </w:p>
    <w:bookmarkEnd w:id="33"/>
    <w:bookmarkStart w:id="34" w:name="forma-de-implementação"/>
    <w:p>
      <w:pPr>
        <w:pStyle w:val="Heading1"/>
      </w:pPr>
      <w:r>
        <w:t xml:space="preserve">Forma de Implementação</w:t>
      </w:r>
    </w:p>
    <w:p>
      <w:pPr>
        <w:pStyle w:val="FirstParagraph"/>
      </w:pPr>
      <w:r>
        <w:t xml:space="preserve">Toda implementação deverá seguir rigorosamente esta ordem: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Serializer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Django ORM</w:t>
      </w:r>
    </w:p>
    <w:p>
      <w:pPr>
        <w:pStyle w:val="BodyText"/>
      </w:pPr>
      <w:r>
        <w:t xml:space="preserve">Não utilizar arquiteturas adicionais.</w:t>
      </w:r>
    </w:p>
    <w:p>
      <w:r>
        <w:pict>
          <v:rect style="width:0;height:1.5pt" o:hralign="center" o:hrstd="t" o:hr="t"/>
        </w:pict>
      </w:r>
    </w:p>
    <w:bookmarkEnd w:id="34"/>
    <w:bookmarkStart w:id="35" w:name="domain-engines-oficiais"/>
    <w:p>
      <w:pPr>
        <w:pStyle w:val="Heading1"/>
      </w:pPr>
      <w:r>
        <w:t xml:space="preserve">Domain Engines Oficiais</w:t>
      </w:r>
    </w:p>
    <w:p>
      <w:pPr>
        <w:pStyle w:val="FirstParagraph"/>
      </w:pPr>
      <w:r>
        <w:t xml:space="preserve">Toda regra de negócio deverá ser implementada apenas através dos seguintes Engines:</w:t>
      </w:r>
    </w:p>
    <w:p>
      <w:pPr>
        <w:pStyle w:val="Compact"/>
        <w:numPr>
          <w:ilvl w:val="0"/>
          <w:numId w:val="1008"/>
        </w:numPr>
      </w:pPr>
      <w:r>
        <w:t xml:space="preserve">TaxEngine</w:t>
      </w:r>
    </w:p>
    <w:p>
      <w:pPr>
        <w:pStyle w:val="Compact"/>
        <w:numPr>
          <w:ilvl w:val="0"/>
          <w:numId w:val="1008"/>
        </w:numPr>
      </w:pPr>
      <w:r>
        <w:t xml:space="preserve">InvoiceEngine</w:t>
      </w:r>
    </w:p>
    <w:p>
      <w:pPr>
        <w:pStyle w:val="Compact"/>
        <w:numPr>
          <w:ilvl w:val="0"/>
          <w:numId w:val="1008"/>
        </w:numPr>
      </w:pPr>
      <w:r>
        <w:t xml:space="preserve">BillingEngine</w:t>
      </w:r>
    </w:p>
    <w:p>
      <w:pPr>
        <w:pStyle w:val="Compact"/>
        <w:numPr>
          <w:ilvl w:val="0"/>
          <w:numId w:val="1008"/>
        </w:numPr>
      </w:pPr>
      <w:r>
        <w:t xml:space="preserve">CertificateEngine</w:t>
      </w:r>
    </w:p>
    <w:p>
      <w:pPr>
        <w:pStyle w:val="Compact"/>
        <w:numPr>
          <w:ilvl w:val="0"/>
          <w:numId w:val="1008"/>
        </w:numPr>
      </w:pPr>
      <w:r>
        <w:t xml:space="preserve">WebhookEngine</w:t>
      </w:r>
    </w:p>
    <w:p>
      <w:pPr>
        <w:pStyle w:val="Compact"/>
        <w:numPr>
          <w:ilvl w:val="0"/>
          <w:numId w:val="1008"/>
        </w:numPr>
      </w:pPr>
      <w:r>
        <w:t xml:space="preserve">TenantEngine</w:t>
      </w:r>
    </w:p>
    <w:p>
      <w:pPr>
        <w:pStyle w:val="FirstParagraph"/>
      </w:pPr>
      <w:r>
        <w:t xml:space="preserve">Não criar novos Engines sem justificativa técnica.</w:t>
      </w:r>
    </w:p>
    <w:p>
      <w:r>
        <w:pict>
          <v:rect style="width:0;height:1.5pt" o:hralign="center" o:hrstd="t" o:hr="t"/>
        </w:pict>
      </w:r>
    </w:p>
    <w:bookmarkEnd w:id="35"/>
    <w:bookmarkStart w:id="36" w:name="storage-oficial"/>
    <w:p>
      <w:pPr>
        <w:pStyle w:val="Heading1"/>
      </w:pPr>
      <w:r>
        <w:t xml:space="preserve">Storage Oficial</w:t>
      </w:r>
    </w:p>
    <w:p>
      <w:pPr>
        <w:pStyle w:val="FirstParagraph"/>
      </w:pPr>
      <w:r>
        <w:t xml:space="preserve">Toda persistência de arquivos deverá utilizar exclusivamente:</w:t>
      </w:r>
    </w:p>
    <w:p>
      <w:pPr>
        <w:pStyle w:val="BodyText"/>
      </w:pPr>
      <w:r>
        <w:t xml:space="preserve">Storage Interface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MinIO</w:t>
      </w:r>
    </w:p>
    <w:p>
      <w:pPr>
        <w:pStyle w:val="BodyText"/>
      </w:pPr>
      <w:r>
        <w:t xml:space="preserve">Não utilizar outro mecanismo sem aprovação.</w:t>
      </w:r>
    </w:p>
    <w:p>
      <w:r>
        <w:pict>
          <v:rect style="width:0;height:1.5pt" o:hralign="center" o:hrstd="t" o:hr="t"/>
        </w:pict>
      </w:r>
    </w:p>
    <w:bookmarkEnd w:id="36"/>
    <w:bookmarkStart w:id="37" w:name="outbox-oficial"/>
    <w:p>
      <w:pPr>
        <w:pStyle w:val="Heading1"/>
      </w:pPr>
      <w:r>
        <w:t xml:space="preserve">Outbox Oficial</w:t>
      </w:r>
    </w:p>
    <w:p>
      <w:pPr>
        <w:pStyle w:val="FirstParagraph"/>
      </w:pPr>
      <w:r>
        <w:t xml:space="preserve">Todo processamento assíncrono seguirá obrigatoriamente o fluxo:</w:t>
      </w:r>
    </w:p>
    <w:p>
      <w:pPr>
        <w:pStyle w:val="BodyText"/>
      </w:pPr>
      <w:r>
        <w:t xml:space="preserve">Nota Emitida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Outbox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WhatsApp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Nenhuma integração externa deverá ser executada diretamente durante a emissão.</w:t>
      </w:r>
    </w:p>
    <w:p>
      <w:r>
        <w:pict>
          <v:rect style="width:0;height:1.5pt" o:hralign="center" o:hrstd="t" o:hr="t"/>
        </w:pict>
      </w:r>
    </w:p>
    <w:bookmarkEnd w:id="37"/>
    <w:bookmarkStart w:id="38" w:name="regras-gerais"/>
    <w:p>
      <w:pPr>
        <w:pStyle w:val="Heading1"/>
      </w:pPr>
      <w:r>
        <w:t xml:space="preserve">Regras Gerais</w:t>
      </w:r>
    </w:p>
    <w:p>
      <w:pPr>
        <w:pStyle w:val="FirstParagraph"/>
      </w:pPr>
      <w:r>
        <w:t xml:space="preserve">Sempre:</w:t>
      </w:r>
    </w:p>
    <w:p>
      <w:pPr>
        <w:pStyle w:val="Compact"/>
        <w:numPr>
          <w:ilvl w:val="0"/>
          <w:numId w:val="1009"/>
        </w:numPr>
      </w:pPr>
      <w:r>
        <w:t xml:space="preserve">preservar simplicidade;</w:t>
      </w:r>
    </w:p>
    <w:p>
      <w:pPr>
        <w:pStyle w:val="Compact"/>
        <w:numPr>
          <w:ilvl w:val="0"/>
          <w:numId w:val="1009"/>
        </w:numPr>
      </w:pPr>
      <w:r>
        <w:t xml:space="preserve">seguir Django idiomático;</w:t>
      </w:r>
    </w:p>
    <w:p>
      <w:pPr>
        <w:pStyle w:val="Compact"/>
        <w:numPr>
          <w:ilvl w:val="0"/>
          <w:numId w:val="1009"/>
        </w:numPr>
      </w:pPr>
      <w:r>
        <w:t xml:space="preserve">respeitar o ecossistema Django;</w:t>
      </w:r>
    </w:p>
    <w:p>
      <w:pPr>
        <w:pStyle w:val="Compact"/>
        <w:numPr>
          <w:ilvl w:val="0"/>
          <w:numId w:val="1009"/>
        </w:numPr>
      </w:pPr>
      <w:r>
        <w:t xml:space="preserve">reutilizar componentes;</w:t>
      </w:r>
    </w:p>
    <w:p>
      <w:pPr>
        <w:pStyle w:val="Compact"/>
        <w:numPr>
          <w:ilvl w:val="0"/>
          <w:numId w:val="1009"/>
        </w:numPr>
      </w:pPr>
      <w:r>
        <w:t xml:space="preserve">evitar duplicação;</w:t>
      </w:r>
    </w:p>
    <w:p>
      <w:pPr>
        <w:pStyle w:val="Compact"/>
        <w:numPr>
          <w:ilvl w:val="0"/>
          <w:numId w:val="1009"/>
        </w:numPr>
      </w:pPr>
      <w:r>
        <w:t xml:space="preserve">utilizar tipagem;</w:t>
      </w:r>
    </w:p>
    <w:p>
      <w:pPr>
        <w:pStyle w:val="Compact"/>
        <w:numPr>
          <w:ilvl w:val="0"/>
          <w:numId w:val="1009"/>
        </w:numPr>
      </w:pPr>
      <w:r>
        <w:t xml:space="preserve">escrever testes;</w:t>
      </w:r>
    </w:p>
    <w:p>
      <w:pPr>
        <w:pStyle w:val="Compact"/>
        <w:numPr>
          <w:ilvl w:val="0"/>
          <w:numId w:val="1009"/>
        </w:numPr>
      </w:pPr>
      <w:r>
        <w:t xml:space="preserve">manter baixo acoplamento;</w:t>
      </w:r>
    </w:p>
    <w:p>
      <w:pPr>
        <w:pStyle w:val="Compact"/>
        <w:numPr>
          <w:ilvl w:val="0"/>
          <w:numId w:val="1009"/>
        </w:numPr>
      </w:pPr>
      <w:r>
        <w:t xml:space="preserve">manter alta coesão.</w:t>
      </w:r>
    </w:p>
    <w:p>
      <w:pPr>
        <w:pStyle w:val="FirstParagraph"/>
      </w:pPr>
      <w:r>
        <w:t xml:space="preserve">Nunca:</w:t>
      </w:r>
    </w:p>
    <w:p>
      <w:pPr>
        <w:pStyle w:val="Compact"/>
        <w:numPr>
          <w:ilvl w:val="0"/>
          <w:numId w:val="1010"/>
        </w:numPr>
      </w:pPr>
      <w:r>
        <w:t xml:space="preserve">reinventar funcionalidades do Django;</w:t>
      </w:r>
    </w:p>
    <w:p>
      <w:pPr>
        <w:pStyle w:val="Compact"/>
        <w:numPr>
          <w:ilvl w:val="0"/>
          <w:numId w:val="1010"/>
        </w:numPr>
      </w:pPr>
      <w:r>
        <w:t xml:space="preserve">adicionar padrões arquiteturais desnecessários;</w:t>
      </w:r>
    </w:p>
    <w:p>
      <w:pPr>
        <w:pStyle w:val="Compact"/>
        <w:numPr>
          <w:ilvl w:val="0"/>
          <w:numId w:val="1010"/>
        </w:numPr>
      </w:pPr>
      <w:r>
        <w:t xml:space="preserve">criar abstrações sem benefício claro;</w:t>
      </w:r>
    </w:p>
    <w:p>
      <w:pPr>
        <w:pStyle w:val="Compact"/>
        <w:numPr>
          <w:ilvl w:val="0"/>
          <w:numId w:val="1010"/>
        </w:numPr>
      </w:pPr>
      <w:r>
        <w:t xml:space="preserve">modificar decisões arquiteturais sem justificativa técnica.</w:t>
      </w:r>
    </w:p>
    <w:p>
      <w:r>
        <w:pict>
          <v:rect style="width:0;height:1.5pt" o:hralign="center" o:hrstd="t" o:hr="t"/>
        </w:pict>
      </w:r>
    </w:p>
    <w:bookmarkEnd w:id="38"/>
    <w:bookmarkStart w:id="39" w:name="regra-final"/>
    <w:p>
      <w:pPr>
        <w:pStyle w:val="Heading1"/>
      </w:pPr>
      <w:r>
        <w:t xml:space="preserve">Regra Final</w:t>
      </w:r>
    </w:p>
    <w:p>
      <w:pPr>
        <w:pStyle w:val="FirstParagraph"/>
      </w:pPr>
      <w:r>
        <w:t xml:space="preserve">Os documentos Exeq_Hub_v1, Exeq_Hub_v2, Exeq_Hub_v3, Exeq_Hub_v4 e Exeq_Hub_v5 constituem, em conjunto, a especificação oficial da plataforma EXEQ.</w:t>
      </w:r>
    </w:p>
    <w:p>
      <w:pPr>
        <w:pStyle w:val="BodyText"/>
      </w:pPr>
      <w:r>
        <w:t xml:space="preserve">Toda implementação deve estar em conformidade com esses documentos.</w:t>
      </w:r>
    </w:p>
    <w:p>
      <w:pPr>
        <w:pStyle w:val="BodyText"/>
      </w:pPr>
      <w:r>
        <w:t xml:space="preserve">Na ausência de especificação para determinado caso, interrompa a implementação e solicite a definição arquitetural antes de prosseguir.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2026-07-19T16:44:20Z</dcterms:created>
  <dcterms:modified xsi:type="dcterms:W3CDTF">2026-07-19T16:44:20Z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