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EXEQ Hub v1 – Business Domain &amp; Functional Specification</w:t>
      </w:r>
    </w:p>
    <w:p>
      <w:r>
        <w:rPr>
          <w:sz w:val="22"/>
        </w:rPr>
        <w:t>Este documento corresponde ao documento original renomeado. Ele permanece como a especificação oficial de negócio e domínio, contendo regras fiscais, fluxos, critérios de aceite, FSM, RLS, integrações e requisitos funcionais. Não deve receber decisões de arquitetura de plataforma.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