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Assets</w:t>
      </w:r>
      <w:r>
        <w:t xml:space="preserve"> </w:t>
      </w:r>
      <w:r>
        <w:t xml:space="preserve">and</w:t>
      </w:r>
      <w:r>
        <w:t xml:space="preserve"> </w:t>
      </w:r>
      <w:r>
        <w:t xml:space="preserve">Fuelwood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Vargas</w:t>
      </w:r>
    </w:p>
    <w:p>
      <w:pPr>
        <w:pStyle w:val="Author"/>
      </w:pPr>
      <w:r>
        <w:t xml:space="preserve">Natsuko</w:t>
      </w:r>
      <w:r>
        <w:t xml:space="preserve"> </w:t>
      </w:r>
      <w:r>
        <w:t xml:space="preserve">Kiso</w:t>
      </w:r>
      <w:r>
        <w:t xml:space="preserve"> </w:t>
      </w:r>
      <w:r>
        <w:t xml:space="preserve">Nozaki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usehold-assets"/>
    <w:p>
      <w:pPr>
        <w:pStyle w:val="Heading2"/>
      </w:pPr>
      <w:r>
        <w:t xml:space="preserve">1 Household assets</w:t>
      </w:r>
    </w:p>
    <w:p>
      <w:pPr>
        <w:pStyle w:val="FirstParagraph"/>
      </w:pPr>
      <w:r>
        <w:rPr>
          <w:bCs/>
          <w:b/>
        </w:rPr>
        <w:t xml:space="preserve">Homes are perhaps the most important asset owned by households. In</w:t>
      </w:r>
      <w:r>
        <w:rPr>
          <w:bCs/>
          <w:b/>
        </w:rPr>
        <w:t xml:space="preserve"> </w:t>
      </w:r>
      <w:r>
        <w:rPr>
          <w:bCs/>
          <w:b/>
        </w:rPr>
        <w:t xml:space="preserve">2022,</w:t>
      </w:r>
      <w:r>
        <w:t xml:space="preserve"> </w:t>
      </w:r>
      <w:r>
        <w:rPr>
          <w:bCs/>
          <w:b/>
        </w:rPr>
        <w:t xml:space="preserve">most of the 800,604 Armenian households owned their dwelling</w:t>
      </w:r>
      <w:r>
        <w:rPr>
          <w:bCs/>
          <w:b/>
        </w:rPr>
        <w:t xml:space="preserve"> </w:t>
      </w:r>
      <w:r>
        <w:rPr>
          <w:bCs/>
          <w:b/>
        </w:rPr>
        <w:t xml:space="preserve">(about 89.4%)</w:t>
      </w:r>
      <w:r>
        <w:t xml:space="preserve">, as shown in Figure 1, with only about 5.9% of homes</w:t>
      </w:r>
      <w:r>
        <w:t xml:space="preserve"> </w:t>
      </w:r>
      <w:r>
        <w:t xml:space="preserve">renting and 4.7% with other forms of tenure (ARMSTAT, 2023). Also, about</w:t>
      </w:r>
      <w:r>
        <w:t xml:space="preserve"> </w:t>
      </w:r>
      <w:r>
        <w:t xml:space="preserve">97% of households lived in houses or apartments, as opposed to hostel;</w:t>
      </w:r>
      <w:r>
        <w:t xml:space="preserve"> </w:t>
      </w:r>
      <w:r>
        <w:t xml:space="preserve">railcar / container; other temporary lodging; or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(3% combined).</w:t>
      </w:r>
      <w:r>
        <w:t xml:space="preserve"> </w:t>
      </w:r>
      <w:r>
        <w:t xml:space="preserve">Houses averaged 112.0 m</w:t>
      </w:r>
      <w:r>
        <w:rPr>
          <w:vertAlign w:val="superscript"/>
        </w:rPr>
        <w:t xml:space="preserve">2</w:t>
      </w:r>
      <w:r>
        <w:t xml:space="preserve">, while apartments averaged 68.3 m</w:t>
      </w:r>
      <w:r>
        <w:rPr>
          <w:vertAlign w:val="superscript"/>
        </w:rPr>
        <w:t xml:space="preserve">2</w:t>
      </w:r>
      <w:r>
        <w:t xml:space="preserve">. As</w:t>
      </w:r>
      <w:r>
        <w:t xml:space="preserve"> </w:t>
      </w:r>
      <w:r>
        <w:t xml:space="preserve">expected, 96.2% of apartments were located in urban areas, with about</w:t>
      </w:r>
      <w:r>
        <w:t xml:space="preserve"> </w:t>
      </w:r>
      <w:r>
        <w:t xml:space="preserve">half of them in Yerevan (55.3%). Houses, on the other hand, were located</w:t>
      </w:r>
      <w:r>
        <w:t xml:space="preserve"> </w:t>
      </w:r>
      <w:r>
        <w:t xml:space="preserve">mostly in rural areas (65.8%), with about 13.4% of them located in</w:t>
      </w:r>
      <w:r>
        <w:t xml:space="preserve"> </w:t>
      </w:r>
      <w:r>
        <w:t xml:space="preserve">Yerevan.</w:t>
      </w:r>
    </w:p>
    <w:p>
      <w:pPr>
        <w:pStyle w:val="BodyText"/>
      </w:pPr>
      <w:bookmarkStart w:id="20" w:name="X20a26342dceca4055e062834cb0fc82ecb6003b"/>
      <w:bookmarkEnd w:id="20"/>
      <w:r>
        <w:t xml:space="preserve">Figure 1. Dwelling ownership by Marz</w:t>
      </w:r>
    </w:p>
    <w:p>
      <w:pPr>
        <w:pStyle w:val="BodyText"/>
      </w:pPr>
      <w:r>
        <w:t xml:space="preserve">[CHART]</w:t>
      </w:r>
    </w:p>
    <w:p>
      <w:pPr>
        <w:pStyle w:val="BodyText"/>
      </w:pPr>
      <w:r>
        <w:t xml:space="preserve">Source: Integrated Living Conditions Survey, 2022 (ARMSTAT, 2023).</w:t>
      </w:r>
    </w:p>
    <w:p>
      <w:pPr>
        <w:pStyle w:val="BodyText"/>
      </w:pPr>
      <w:r>
        <w:rPr>
          <w:bCs/>
          <w:b/>
        </w:rPr>
        <w:t xml:space="preserve">The rental market is small and an urban phenomenon, with 92% of</w:t>
      </w:r>
      <w:r>
        <w:rPr>
          <w:bCs/>
          <w:b/>
        </w:rPr>
        <w:t xml:space="preserve"> </w:t>
      </w:r>
      <w:r>
        <w:rPr>
          <w:bCs/>
          <w:b/>
        </w:rPr>
        <w:t xml:space="preserve">rentals occurring in that area.</w:t>
      </w:r>
      <w:r>
        <w:t xml:space="preserve"> </w:t>
      </w:r>
      <w:r>
        <w:t xml:space="preserve">The average rent for a house was</w:t>
      </w:r>
      <w:r>
        <w:t xml:space="preserve"> </w:t>
      </w:r>
      <w:r>
        <w:t xml:space="preserve">AMD 56,613.6 (about USD 143.1) with an average price of AMD 882.4</w:t>
      </w:r>
      <w:r>
        <w:t xml:space="preserve"> </w:t>
      </w:r>
      <w:r>
        <w:t xml:space="preserve">(USD 2.23) per square meter. Conversely, apartments were rented at a</w:t>
      </w:r>
      <w:r>
        <w:t xml:space="preserve"> </w:t>
      </w:r>
      <w:r>
        <w:t xml:space="preserve">more expensive mean of AMD 82,124.2 (USD 207.6) with an average price of</w:t>
      </w:r>
      <w:r>
        <w:t xml:space="preserve"> </w:t>
      </w:r>
      <w:r>
        <w:t xml:space="preserve">AMD 1,447.8 (USD 3.7) per square meter.</w:t>
      </w:r>
    </w:p>
    <w:p>
      <w:pPr>
        <w:pStyle w:val="BodyText"/>
      </w:pPr>
      <w:r>
        <w:rPr>
          <w:bCs/>
          <w:b/>
        </w:rPr>
        <w:t xml:space="preserve">Owned dwellings are an asset from which households derive welfare. Non</w:t>
      </w:r>
      <w:r>
        <w:rPr>
          <w:bCs/>
          <w:b/>
        </w:rPr>
        <w:t xml:space="preserve"> </w:t>
      </w:r>
      <w:r>
        <w:rPr>
          <w:bCs/>
          <w:b/>
        </w:rPr>
        <w:t xml:space="preserve">renters derived an average of AMD 54,338.1 (USD 137.33) in monthly</w:t>
      </w:r>
      <w:r>
        <w:rPr>
          <w:bCs/>
          <w:b/>
        </w:rPr>
        <w:t xml:space="preserve"> </w:t>
      </w:r>
      <w:r>
        <w:rPr>
          <w:bCs/>
          <w:b/>
        </w:rPr>
        <w:t xml:space="preserve">imputed rent.</w:t>
      </w:r>
      <w:r>
        <w:t xml:space="preserve"> </w:t>
      </w:r>
      <w:r>
        <w:t xml:space="preserve">The emergent rental market information was used to</w:t>
      </w:r>
      <w:r>
        <w:t xml:space="preserve"> </w:t>
      </w:r>
      <w:r>
        <w:t xml:space="preserve">impute rent to non-renters using a log linear modeling approach</w:t>
      </w:r>
      <w:r>
        <w:t xml:space="preserve"> </w:t>
      </w:r>
      <w:r>
        <w:t xml:space="preserve">described by Ceriani et al. (2019), in which imputed rent was predicted</w:t>
      </w:r>
      <w:r>
        <w:t xml:space="preserve"> </w:t>
      </w:r>
      <w:r>
        <w:t xml:space="preserve">using a combination of household characteristics (urban/rural, Marz,</w:t>
      </w:r>
      <w:r>
        <w:t xml:space="preserve"> </w:t>
      </w:r>
      <w:r>
        <w:t xml:space="preserve">number of rooms, presence of an indoor toilet, number of household,</w:t>
      </w:r>
      <w:r>
        <w:t xml:space="preserve"> </w:t>
      </w:r>
      <w:r>
        <w:t xml:space="preserve">square meters, type of dwelling, members) and head of household</w:t>
      </w:r>
      <w:r>
        <w:t xml:space="preserve"> </w:t>
      </w:r>
      <w:r>
        <w:t xml:space="preserve">characteristics (sex, highest completed schooling level, age group).</w:t>
      </w:r>
      <w:r>
        <w:t xml:space="preserve"> </w:t>
      </w:r>
      <w:r>
        <w:t xml:space="preserve">These values are shown in Table 1 by decile and for the whole country.</w:t>
      </w:r>
      <w:r>
        <w:t xml:space="preserve"> </w:t>
      </w:r>
      <w:r>
        <w:t xml:space="preserve">Net present value of that monthly imputed rent (for a 2050 horizon) was</w:t>
      </w:r>
      <w:r>
        <w:t xml:space="preserve"> </w:t>
      </w:r>
      <w:r>
        <w:t xml:space="preserve">also estimated at AMD 17.3 million (USD 43,881.5), using a 5% annual</w:t>
      </w:r>
      <w:r>
        <w:t xml:space="preserve"> </w:t>
      </w:r>
      <w:r>
        <w:t xml:space="preserve">discount rate and a 5% average inflation rate.</w:t>
      </w:r>
    </w:p>
    <w:p>
      <w:pPr>
        <w:pStyle w:val="BodyText"/>
      </w:pPr>
      <w:bookmarkStart w:id="21" w:name="X21efde393fbe4731482c45299f60bfda2ba9b3b"/>
      <w:bookmarkEnd w:id="21"/>
      <w:r>
        <w:t xml:space="preserve">Table 1. Imputed rent and average net present</w:t>
      </w:r>
      <w:r>
        <w:t xml:space="preserve"> </w:t>
      </w:r>
      <w:r>
        <w:t xml:space="preserve">value (2050 horizon) for non-renters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dwelling area (m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imputed rent (Dram per 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net present value of rent (2050 horizon)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45,632.3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14,565,638.7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51,149.9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16,326,813.0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52,635.7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16,801,095.0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55,010.5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17,559,108.4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53,896.9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17,203,666.3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54,230.5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17,310,143.3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54,532.6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17,406,560.2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52,558.3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16,776,366.9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56,791.0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18,127,439.9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59,735.1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19,067,188.6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54,338.1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17,344,482.6</w:t>
            </w:r>
          </w:p>
        </w:tc>
      </w:tr>
    </w:tbl>
    <w:p>
      <w:pPr>
        <w:pStyle w:val="BodyText"/>
      </w:pPr>
      <w:r>
        <w:t xml:space="preserve">Source: author based on log linear imputed rent approach (Ceriani et</w:t>
      </w:r>
      <w:r>
        <w:t xml:space="preserve"> </w:t>
      </w:r>
      <w:r>
        <w:t xml:space="preserve">al., 2019)</w:t>
      </w:r>
    </w:p>
    <w:p>
      <w:pPr>
        <w:pStyle w:val="BodyText"/>
      </w:pPr>
      <w:r>
        <w:rPr>
          <w:bCs/>
          <w:b/>
        </w:rPr>
        <w:t xml:space="preserve">A little over a third (288,718 or 36.1%) of households owned a car in</w:t>
      </w:r>
      <w:r>
        <w:rPr>
          <w:bCs/>
          <w:b/>
        </w:rPr>
        <w:t xml:space="preserve"> </w:t>
      </w:r>
      <w:r>
        <w:rPr>
          <w:bCs/>
          <w:b/>
        </w:rPr>
        <w:t xml:space="preserve">2022 and used it in the month prior to the survey.</w:t>
      </w:r>
      <w:r>
        <w:t xml:space="preserve"> </w:t>
      </w:r>
      <w:r>
        <w:t xml:space="preserve">However, a higher</w:t>
      </w:r>
      <w:r>
        <w:t xml:space="preserve"> </w:t>
      </w:r>
      <w:r>
        <w:t xml:space="preserve">percentage of homes in rural areas (47.5%) own a vehicle. Given the</w:t>
      </w:r>
      <w:r>
        <w:t xml:space="preserve"> </w:t>
      </w:r>
      <w:r>
        <w:t xml:space="preserve">characteristics of rural areas and the availability of public</w:t>
      </w:r>
      <w:r>
        <w:t xml:space="preserve"> </w:t>
      </w:r>
      <w:r>
        <w:t xml:space="preserve">transportation, it is a particularly important asset for household</w:t>
      </w:r>
      <w:r>
        <w:t xml:space="preserve"> </w:t>
      </w:r>
      <w:r>
        <w:t xml:space="preserve">mobility. This also means that these households are exposed to energy</w:t>
      </w:r>
      <w:r>
        <w:t xml:space="preserve"> </w:t>
      </w:r>
      <w:r>
        <w:t xml:space="preserve">transition risks derived from changes to prices of fuels and</w:t>
      </w:r>
      <w:r>
        <w:t xml:space="preserve"> </w:t>
      </w:r>
      <w:r>
        <w:t xml:space="preserve">technological changes in car technologies (TNFD, 2023).</w:t>
      </w:r>
    </w:p>
    <w:p>
      <w:pPr>
        <w:pStyle w:val="BodyText"/>
      </w:pPr>
      <w:r>
        <w:rPr>
          <w:bCs/>
          <w:b/>
        </w:rPr>
        <w:t xml:space="preserve">Armenians access water mainly through centralized water supply (95.6%</w:t>
      </w:r>
      <w:r>
        <w:rPr>
          <w:bCs/>
          <w:b/>
        </w:rPr>
        <w:t xml:space="preserve"> </w:t>
      </w:r>
      <w:r>
        <w:rPr>
          <w:bCs/>
          <w:b/>
        </w:rPr>
        <w:t xml:space="preserve">or 765,728 households)</w:t>
      </w:r>
      <w:r>
        <w:t xml:space="preserve">, 2.7% of households have their own system of</w:t>
      </w:r>
      <w:r>
        <w:t xml:space="preserve"> </w:t>
      </w:r>
      <w:r>
        <w:t xml:space="preserve">water supply, and the remaining 1.6% access water through spring water</w:t>
      </w:r>
      <w:r>
        <w:t xml:space="preserve"> </w:t>
      </w:r>
      <w:r>
        <w:t xml:space="preserve">or well; delivered water; bought water; or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 Urban households</w:t>
      </w:r>
      <w:r>
        <w:t xml:space="preserve"> </w:t>
      </w:r>
      <w:r>
        <w:t xml:space="preserve">spend an average of about AMD 2,506.5 (USD 6.3) on water, while rural</w:t>
      </w:r>
      <w:r>
        <w:t xml:space="preserve"> </w:t>
      </w:r>
      <w:r>
        <w:t xml:space="preserve">households spend about AMD 1,790.1 (USD 4.5).</w:t>
      </w:r>
    </w:p>
    <w:p>
      <w:pPr>
        <w:pStyle w:val="BodyText"/>
      </w:pPr>
      <w:r>
        <w:rPr>
          <w:bCs/>
          <w:b/>
        </w:rPr>
        <w:t xml:space="preserve">Most homes (99.8% or 798,835 households) access electricity through</w:t>
      </w:r>
      <w:r>
        <w:rPr>
          <w:bCs/>
          <w:b/>
        </w:rPr>
        <w:t xml:space="preserve"> </w:t>
      </w:r>
      <w:r>
        <w:rPr>
          <w:bCs/>
          <w:b/>
        </w:rPr>
        <w:t xml:space="preserve">the national grid, with only a small share 0.2% using solar panels.</w:t>
      </w:r>
      <w:r>
        <w:t xml:space="preserve"> </w:t>
      </w:r>
      <w:r>
        <w:t xml:space="preserve">Both urban and rural homes spend about the same average expenditure on</w:t>
      </w:r>
      <w:r>
        <w:t xml:space="preserve"> </w:t>
      </w:r>
      <w:r>
        <w:t xml:space="preserve">electricity of about AMD 7,948.3 (USD 20.1).</w:t>
      </w:r>
    </w:p>
    <w:bookmarkEnd w:id="22"/>
    <w:bookmarkStart w:id="25" w:name="Xb714aee89cfb846468e9b264c6a1eb782b8d63f"/>
    <w:p>
      <w:pPr>
        <w:pStyle w:val="Heading2"/>
      </w:pPr>
      <w:r>
        <w:t xml:space="preserve">2 Household exposure to the agricultural sector</w:t>
      </w:r>
    </w:p>
    <w:p>
      <w:pPr>
        <w:pStyle w:val="FirstParagraph"/>
      </w:pPr>
      <w:r>
        <w:rPr>
          <w:bCs/>
          <w:b/>
        </w:rPr>
        <w:t xml:space="preserve">About a fourth of all Armenian households (23.4%) had a monthly</w:t>
      </w:r>
      <w:r>
        <w:rPr>
          <w:bCs/>
          <w:b/>
        </w:rPr>
        <w:t xml:space="preserve"> </w:t>
      </w:r>
      <w:r>
        <w:rPr>
          <w:bCs/>
          <w:b/>
        </w:rPr>
        <w:t xml:space="preserve">agricultural income component; a number that rises to 61% when</w:t>
      </w:r>
      <w:r>
        <w:rPr>
          <w:bCs/>
          <w:b/>
        </w:rPr>
        <w:t xml:space="preserve"> </w:t>
      </w:r>
      <w:r>
        <w:rPr>
          <w:bCs/>
          <w:b/>
        </w:rPr>
        <w:t xml:space="preserve">discussing rural households, with that income representing an average</w:t>
      </w:r>
      <w:r>
        <w:rPr>
          <w:bCs/>
          <w:b/>
        </w:rPr>
        <w:t xml:space="preserve"> </w:t>
      </w:r>
      <w:r>
        <w:rPr>
          <w:bCs/>
          <w:b/>
        </w:rPr>
        <w:t xml:space="preserve">22.6% of total income.</w:t>
      </w:r>
      <w:r>
        <w:t xml:space="preserve"> </w:t>
      </w:r>
      <w:r>
        <w:t xml:space="preserve">Overall, 91.3% of those 187,176 households that</w:t>
      </w:r>
      <w:r>
        <w:t xml:space="preserve"> </w:t>
      </w:r>
      <w:r>
        <w:t xml:space="preserve">derived an agricultural income were located in rural areas. This income</w:t>
      </w:r>
      <w:r>
        <w:t xml:space="preserve"> </w:t>
      </w:r>
      <w:r>
        <w:t xml:space="preserve">averaged AMD 72,275.2 (USD 182.67) and represented an average of 23.7%</w:t>
      </w:r>
      <w:r>
        <w:t xml:space="preserve"> </w:t>
      </w:r>
      <w:r>
        <w:t xml:space="preserve">of total income for rural homes. These same figures averaged</w:t>
      </w:r>
      <w:r>
        <w:t xml:space="preserve"> </w:t>
      </w:r>
      <w:r>
        <w:t xml:space="preserve">AMD 47,853.1 (USD 120.94) and 12.0% in urban areas, respectively. When</w:t>
      </w:r>
      <w:r>
        <w:t xml:space="preserve"> </w:t>
      </w:r>
      <w:r>
        <w:t xml:space="preserve">it comes to deciles, perhaps unintuitively, the average share of total</w:t>
      </w:r>
      <w:r>
        <w:t xml:space="preserve"> </w:t>
      </w:r>
      <w:r>
        <w:t xml:space="preserve">income that comes from agriculture rises from 20.7% for the first decile</w:t>
      </w:r>
      <w:r>
        <w:t xml:space="preserve"> </w:t>
      </w:r>
      <w:r>
        <w:t xml:space="preserve">to 26.3% for the tenth, as shown in Table 2.</w:t>
      </w:r>
    </w:p>
    <w:p>
      <w:pPr>
        <w:pStyle w:val="BodyText"/>
      </w:pPr>
      <w:bookmarkStart w:id="23" w:name="X64a6a178503b53b08a190a663a9739204d3e80c"/>
      <w:bookmarkEnd w:id="23"/>
      <w:r>
        <w:t xml:space="preserve">Table 2. Average agricultural income</w:t>
      </w:r>
    </w:p>
    <w:tbl>
      <w:tblPr>
        <w:tblStyle w:val="Table"/>
        <w:tblW w:type="pct" w:w="4877"/>
        <w:tblLook w:firstRow="1" w:lastRow="0" w:firstColumn="0" w:lastColumn="0" w:noHBand="0" w:noVBand="0" w:val="0020"/>
        <w:jc w:val="start"/>
        <w:tblLayout w:type="fixed"/>
      </w:tblPr>
      <w:tblGrid>
        <w:gridCol w:w="977"/>
        <w:gridCol w:w="1564"/>
        <w:gridCol w:w="2248"/>
        <w:gridCol w:w="2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jc w:val="left"/>
            </w:pPr>
            <w:r>
              <w:t xml:space="preserve">Average total</w:t>
            </w:r>
          </w:p>
          <w:p>
            <w:pPr>
              <w:jc w:val="left"/>
            </w:pPr>
            <w:r>
              <w:t xml:space="preserve">income</w:t>
            </w:r>
          </w:p>
        </w:tc>
        <w:tc>
          <w:tcPr/>
          <w:p>
            <w:pPr>
              <w:jc w:val="left"/>
            </w:pPr>
            <w:r>
              <w:t xml:space="preserve">Average agricultural</w:t>
            </w:r>
          </w:p>
          <w:p>
            <w:pPr>
              <w:jc w:val="left"/>
            </w:pPr>
            <w:r>
              <w:t xml:space="preserve">Income</w:t>
            </w:r>
          </w:p>
        </w:tc>
        <w:tc>
          <w:tcPr/>
          <w:p>
            <w:pPr>
              <w:jc w:val="left"/>
            </w:pPr>
            <w:r>
              <w:t xml:space="preserve">Average agricultural income</w:t>
            </w:r>
          </w:p>
          <w:p>
            <w:pPr>
              <w:jc w:val="left"/>
            </w:pPr>
            <w:r>
              <w:t xml:space="preserve">share of total income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272,739.6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54,013.3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277,204.7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47,470.2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308,608.9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75,184.5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280,508.0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51,349.7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306,497.2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68,414.4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301,499.4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69,378.7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315,422.2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72,267.4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337,909.6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78,487.8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295,644.2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78,357.8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315,725.2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92,134.7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303,234.5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70,156.4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Note: column three is the average of the share calculated at the</w:t>
      </w:r>
      <w:r>
        <w:t xml:space="preserve"> </w:t>
      </w:r>
      <w:r>
        <w:t xml:space="preserve">household level and weighted by population weights, not column two</w:t>
      </w:r>
      <w:r>
        <w:t xml:space="preserve"> </w:t>
      </w:r>
      <w:r>
        <w:t xml:space="preserve">divided by column one.</w:t>
      </w:r>
    </w:p>
    <w:p>
      <w:pPr>
        <w:pStyle w:val="BodyText"/>
      </w:pPr>
      <w:r>
        <w:rPr>
          <w:bCs/>
          <w:b/>
        </w:rPr>
        <w:t xml:space="preserve">While only 23.4% of households, derive income from the agricultural</w:t>
      </w:r>
      <w:r>
        <w:rPr>
          <w:bCs/>
          <w:b/>
        </w:rPr>
        <w:t xml:space="preserve"> </w:t>
      </w:r>
      <w:r>
        <w:rPr>
          <w:bCs/>
          <w:b/>
        </w:rPr>
        <w:t xml:space="preserve">sector, exposure to agriculture is larger, since 41% of households use</w:t>
      </w:r>
      <w:r>
        <w:rPr>
          <w:bCs/>
          <w:b/>
        </w:rPr>
        <w:t xml:space="preserve"> </w:t>
      </w:r>
      <w:r>
        <w:rPr>
          <w:bCs/>
          <w:b/>
        </w:rPr>
        <w:t xml:space="preserve">land for agricultural purposes (owned and/or rented).</w:t>
      </w:r>
      <w:r>
        <w:t xml:space="preserve"> </w:t>
      </w:r>
      <w:r>
        <w:t xml:space="preserve">A total of 98%</w:t>
      </w:r>
      <w:r>
        <w:t xml:space="preserve"> </w:t>
      </w:r>
      <w:r>
        <w:t xml:space="preserve">out of the 328,438 households that use agricultural land own their</w:t>
      </w:r>
      <w:r>
        <w:t xml:space="preserve"> </w:t>
      </w:r>
      <w:r>
        <w:t xml:space="preserve">plots, and 5.3% of those (also) rented. The average area used by</w:t>
      </w:r>
      <w:r>
        <w:t xml:space="preserve"> </w:t>
      </w:r>
      <w:r>
        <w:t xml:space="preserve">households for agricultural purposes is 7,329.9 m</w:t>
      </w:r>
      <w:r>
        <w:rPr>
          <w:vertAlign w:val="superscript"/>
        </w:rPr>
        <w:t xml:space="preserve">2</w:t>
      </w:r>
      <w:r>
        <w:t xml:space="preserve">, of which an</w:t>
      </w:r>
      <w:r>
        <w:t xml:space="preserve"> </w:t>
      </w:r>
      <w:r>
        <w:t xml:space="preserve">average 70.6%, or 5,551.2 m</w:t>
      </w:r>
      <w:r>
        <w:rPr>
          <w:vertAlign w:val="superscript"/>
        </w:rPr>
        <w:t xml:space="preserve">2</w:t>
      </w:r>
      <w:r>
        <w:t xml:space="preserve">, is used for crops. This suggests that</w:t>
      </w:r>
      <w:r>
        <w:t xml:space="preserve"> </w:t>
      </w:r>
      <w:r>
        <w:t xml:space="preserve">own consumption of agricultural output plays a role in Armenian incomes.</w:t>
      </w:r>
      <w:r>
        <w:t xml:space="preserve"> </w:t>
      </w:r>
      <w:r>
        <w:t xml:space="preserve">Table 3 shows that for households without agricultural sales, 4.3% of</w:t>
      </w:r>
      <w:r>
        <w:t xml:space="preserve"> </w:t>
      </w:r>
      <w:r>
        <w:t xml:space="preserve">income can be attributed to imputed use of agricultural products for own</w:t>
      </w:r>
      <w:r>
        <w:t xml:space="preserve"> </w:t>
      </w:r>
      <w:r>
        <w:t xml:space="preserve">consumption. More generally, this table shows the shares of household</w:t>
      </w:r>
      <w:r>
        <w:t xml:space="preserve"> </w:t>
      </w:r>
      <w:r>
        <w:t xml:space="preserve">income from different sources, for households with agricultural land,</w:t>
      </w:r>
      <w:r>
        <w:t xml:space="preserve"> </w:t>
      </w:r>
      <w:r>
        <w:t xml:space="preserve">with or without deriving income from that land, compared with households</w:t>
      </w:r>
      <w:r>
        <w:t xml:space="preserve"> </w:t>
      </w:r>
      <w:r>
        <w:t xml:space="preserve">without agricultural land. It is evident that public pensions and</w:t>
      </w:r>
      <w:r>
        <w:t xml:space="preserve"> </w:t>
      </w:r>
      <w:r>
        <w:t xml:space="preserve">benefits plays a much bigger role (29.7%) for all households, along with</w:t>
      </w:r>
      <w:r>
        <w:t xml:space="preserve"> </w:t>
      </w:r>
      <w:r>
        <w:t xml:space="preserve">hired employment (41.3%).</w:t>
      </w:r>
    </w:p>
    <w:p>
      <w:pPr>
        <w:pStyle w:val="BodyText"/>
      </w:pPr>
      <w:bookmarkStart w:id="24" w:name="X9dbf2fdd6256dbcb56bdb82979fabc0b343f3f3"/>
      <w:bookmarkEnd w:id="24"/>
      <w:r>
        <w:t xml:space="preserve">Table 3. Average shares of sources of income</w:t>
      </w:r>
      <w:r>
        <w:t xml:space="preserve"> </w:t>
      </w:r>
      <w:r>
        <w:t xml:space="preserve">for households with and without agricultural land</w:t>
      </w:r>
    </w:p>
    <w:tbl>
      <w:tblPr>
        <w:tblStyle w:val="Table"/>
        <w:tblW w:type="pct" w:w="4795"/>
        <w:tblLook w:firstRow="1" w:lastRow="0" w:firstColumn="0" w:lastColumn="0" w:noHBand="0" w:noVBand="0" w:val="0020"/>
        <w:jc w:val="start"/>
        <w:tblLayout w:type="fixed"/>
      </w:tblPr>
      <w:tblGrid>
        <w:gridCol w:w="1518"/>
        <w:gridCol w:w="1518"/>
        <w:gridCol w:w="1518"/>
        <w:gridCol w:w="1518"/>
        <w:gridCol w:w="15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Households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land (owned</w:t>
            </w:r>
            <w:r>
              <w:t xml:space="preserve"> </w:t>
            </w:r>
            <w:r>
              <w:t xml:space="preserve">or not)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Households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land (owned</w:t>
            </w:r>
            <w:r>
              <w:t xml:space="preserve"> </w:t>
            </w:r>
            <w:r>
              <w:t xml:space="preserve">or not)</w:t>
            </w:r>
            <w:r>
              <w:t xml:space="preserve"> </w:t>
            </w:r>
            <w:r>
              <w:t xml:space="preserve">with no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Households</w:t>
            </w:r>
            <w:r>
              <w:t xml:space="preserve"> </w:t>
            </w:r>
            <w:r>
              <w:t xml:space="preserve">without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land (owned</w:t>
            </w:r>
            <w:r>
              <w:t xml:space="preserve"> </w:t>
            </w:r>
            <w:r>
              <w:t xml:space="preserve">or not)</w:t>
            </w:r>
            <w:r>
              <w:t xml:space="preserve"> </w:t>
            </w:r>
            <w:r>
              <w:t xml:space="preserve">with or</w:t>
            </w:r>
            <w:r>
              <w:t xml:space="preserve"> </w:t>
            </w:r>
            <w:r>
              <w:t xml:space="preserve">without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  <w:r>
              <w:t xml:space="preserve"> </w:t>
            </w:r>
            <w:r>
              <w:t xml:space="preserve">households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</w:t>
            </w:r>
            <w:r>
              <w:t xml:space="preserve"> </w:t>
            </w:r>
            <w:r>
              <w:t xml:space="preserve">households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184,738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472,166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800,604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  <w:r>
              <w:t xml:space="preserve"> </w:t>
            </w:r>
            <w:r>
              <w:t xml:space="preserve">total</w:t>
            </w:r>
            <w:r>
              <w:t xml:space="preserve"> </w:t>
            </w:r>
            <w:r>
              <w:t xml:space="preserve">income</w:t>
            </w:r>
            <w:r>
              <w:t xml:space="preserve"> </w:t>
            </w:r>
            <w:r>
              <w:t xml:space="preserve">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302,290.3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223,874.8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247,434.9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255,863.9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  <w:r>
              <w:t xml:space="preserve"> </w:t>
            </w:r>
            <w:r>
              <w:t xml:space="preserve">share of</w:t>
            </w:r>
            <w:r>
              <w:t xml:space="preserve"> </w:t>
            </w:r>
            <w:r>
              <w:t xml:space="preserve">income</w:t>
            </w:r>
            <w:r>
              <w:t xml:space="preserve"> </w:t>
            </w:r>
            <w:r>
              <w:t xml:space="preserve">coming</w:t>
            </w:r>
            <w:r>
              <w:t xml:space="preserve"> </w:t>
            </w:r>
            <w:r>
              <w:t xml:space="preserve">from: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Sale of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Imputed</w:t>
            </w:r>
            <w:r>
              <w:t xml:space="preserve"> </w:t>
            </w:r>
            <w:r>
              <w:t xml:space="preserve">use of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gricultural</w:t>
            </w:r>
            <w:r>
              <w:t xml:space="preserve"> </w:t>
            </w:r>
            <w:r>
              <w:t xml:space="preserve">products</w:t>
            </w:r>
            <w:r>
              <w:t xml:space="preserve"> </w:t>
            </w:r>
            <w:r>
              <w:t xml:space="preserve">for own</w:t>
            </w:r>
          </w:p>
          <w:p>
            <w:pPr>
              <w:pStyle w:val="BlockText"/>
              <w:jc w:val="left"/>
            </w:pPr>
            <w:r>
              <w:t xml:space="preserve">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Hired</w:t>
            </w:r>
          </w:p>
          <w:p>
            <w:pPr>
              <w:pStyle w:val="BlockTex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Self</w:t>
            </w:r>
            <w:r>
              <w:t xml:space="preserve"> </w:t>
            </w:r>
            <w:r>
              <w:t xml:space="preserve">-employment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Property</w:t>
            </w:r>
            <w:r>
              <w:t xml:space="preserve"> </w:t>
            </w:r>
            <w:r>
              <w:t xml:space="preserve">(rent,</w:t>
            </w:r>
            <w:r>
              <w:t xml:space="preserve"> </w:t>
            </w:r>
            <w:r>
              <w:t xml:space="preserve">interest,</w:t>
            </w:r>
            <w:r>
              <w:t xml:space="preserve"> </w:t>
            </w:r>
            <w:r>
              <w:t xml:space="preserve">equity</w:t>
            </w:r>
            <w:r>
              <w:t xml:space="preserve"> </w:t>
            </w:r>
            <w:r>
              <w:t xml:space="preserve">gain)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Public</w:t>
            </w:r>
            <w:r>
              <w:t xml:space="preserve"> </w:t>
            </w:r>
            <w:r>
              <w:t xml:space="preserve">pensions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Transfers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10.4%</w:t>
            </w:r>
          </w:p>
        </w:tc>
      </w:tr>
      <w:tr>
        <w:tc>
          <w:tcPr/>
          <w:p>
            <w:pPr>
              <w:pStyle w:val="BlockTex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income</w:t>
            </w:r>
            <w:r>
              <w:t xml:space="preserve"> </w:t>
            </w:r>
            <w:r>
              <w:t xml:space="preserve">shares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bookmarkEnd w:id="25"/>
    <w:bookmarkStart w:id="38" w:name="X72c9f2f6e3b6608720872994c443b27a41b790f"/>
    <w:p>
      <w:pPr>
        <w:pStyle w:val="Heading2"/>
      </w:pPr>
      <w:r>
        <w:t xml:space="preserve">3 Household reliance on firewood for heating</w:t>
      </w:r>
    </w:p>
    <w:bookmarkStart w:id="32" w:name="expenditure-elasticities-for-fuelwood"/>
    <w:p>
      <w:pPr>
        <w:pStyle w:val="Heading3"/>
      </w:pPr>
      <w:r>
        <w:t xml:space="preserve">3.1 Expenditure elasticities for fuelwood</w:t>
      </w:r>
    </w:p>
    <w:p>
      <w:pPr>
        <w:pStyle w:val="FirstParagraph"/>
      </w:pPr>
      <w:r>
        <w:rPr>
          <w:bCs/>
          <w:b/>
        </w:rPr>
        <w:t xml:space="preserve">Most homes in Armenia use natural gas for heating (61.9% or 495,203</w:t>
      </w:r>
      <w:r>
        <w:rPr>
          <w:bCs/>
          <w:b/>
        </w:rPr>
        <w:t xml:space="preserve"> </w:t>
      </w:r>
      <w:r>
        <w:rPr>
          <w:bCs/>
          <w:b/>
        </w:rPr>
        <w:t xml:space="preserve">households), but an important 23.8% (190,884 households) use wood for</w:t>
      </w:r>
      <w:r>
        <w:rPr>
          <w:bCs/>
          <w:b/>
        </w:rPr>
        <w:t xml:space="preserve"> </w:t>
      </w:r>
      <w:r>
        <w:rPr>
          <w:bCs/>
          <w:b/>
        </w:rPr>
        <w:t xml:space="preserve">heating, followed by 21.7% that use electricity and 8.2% pressed dung.</w:t>
      </w:r>
      <w:r>
        <w:t xml:space="preserve"> </w:t>
      </w:r>
      <w:r>
        <w:t xml:space="preserve">Negligible percentages of households use liquefied gas or coal (0.2% and</w:t>
      </w:r>
      <w:r>
        <w:t xml:space="preserve"> </w:t>
      </w:r>
      <w:r>
        <w:t xml:space="preserve">0.9% respectively). In rural areas, 51.5% of rural homes (143,724</w:t>
      </w:r>
      <w:r>
        <w:t xml:space="preserve"> </w:t>
      </w:r>
      <w:r>
        <w:t xml:space="preserve">households) use wood for heating, which correlates with the 54.8% of</w:t>
      </w:r>
      <w:r>
        <w:t xml:space="preserve"> </w:t>
      </w:r>
      <w:r>
        <w:t xml:space="preserve">rural households that have a self-made heater as main technology. Not</w:t>
      </w:r>
      <w:r>
        <w:t xml:space="preserve"> </w:t>
      </w:r>
      <w:r>
        <w:t xml:space="preserve">only is wood used as heating source, but it is also used as an</w:t>
      </w:r>
      <w:r>
        <w:t xml:space="preserve"> </w:t>
      </w:r>
      <w:r>
        <w:t xml:space="preserve">“</w:t>
      </w:r>
      <w:r>
        <w:t xml:space="preserve">energy</w:t>
      </w:r>
      <w:r>
        <w:t xml:space="preserve"> </w:t>
      </w:r>
      <w:r>
        <w:t xml:space="preserve">carrier</w:t>
      </w:r>
      <w:r>
        <w:t xml:space="preserve">”</w:t>
      </w:r>
      <w:r>
        <w:t xml:space="preserve"> </w:t>
      </w:r>
      <w:r>
        <w:t xml:space="preserve">(mainly cooking) by 11.3% of all households. In rural areas,</w:t>
      </w:r>
      <w:r>
        <w:t xml:space="preserve"> </w:t>
      </w:r>
      <w:r>
        <w:t xml:space="preserve">25.8% of homes use it for this purpose.</w:t>
      </w:r>
    </w:p>
    <w:p>
      <w:pPr>
        <w:pStyle w:val="BodyText"/>
      </w:pPr>
      <w:r>
        <w:rPr>
          <w:bCs/>
          <w:b/>
        </w:rPr>
        <w:t xml:space="preserve">While there is a market for fuelwood, many homes do not pay for</w:t>
      </w:r>
      <w:r>
        <w:rPr>
          <w:bCs/>
          <w:b/>
        </w:rPr>
        <w:t xml:space="preserve"> </w:t>
      </w:r>
      <w:r>
        <w:rPr>
          <w:bCs/>
          <w:b/>
        </w:rPr>
        <w:t xml:space="preserve">fuelwood annually.</w:t>
      </w:r>
      <w:r>
        <w:t xml:space="preserve"> </w:t>
      </w:r>
      <w:r>
        <w:t xml:space="preserve">Figure 2 shows the distribution for this concept,</w:t>
      </w:r>
      <w:r>
        <w:t xml:space="preserve"> </w:t>
      </w:r>
      <w:r>
        <w:t xml:space="preserve">showing a clear component of households paying zero Dram for their</w:t>
      </w:r>
      <w:r>
        <w:t xml:space="preserve"> </w:t>
      </w:r>
      <w:r>
        <w:t xml:space="preserve">fuelwood consumption annually. This is possibly related to those</w:t>
      </w:r>
      <w:r>
        <w:t xml:space="preserve"> </w:t>
      </w:r>
      <w:r>
        <w:t xml:space="preserve">households that collect wood for free. However, as shown in Table 4,</w:t>
      </w:r>
      <w:r>
        <w:t xml:space="preserve"> </w:t>
      </w:r>
      <w:r>
        <w:t xml:space="preserve">homes that do pay for fuelwood spend an average of AMD 128,209.2 (about</w:t>
      </w:r>
      <w:r>
        <w:t xml:space="preserve"> </w:t>
      </w:r>
      <w:r>
        <w:t xml:space="preserve">USD 317.8) annually, which is roughly 5.5% of total annual expenditure</w:t>
      </w:r>
      <w:r>
        <w:t xml:space="preserve"> </w:t>
      </w:r>
      <w:r>
        <w:t xml:space="preserve">for the average household.</w:t>
      </w:r>
    </w:p>
    <w:p>
      <w:pPr>
        <w:pStyle w:val="BodyText"/>
      </w:pPr>
      <w:bookmarkStart w:id="26" w:name="Xe9c2d6d763d2990a661031f153e9618a66924a3"/>
      <w:bookmarkEnd w:id="26"/>
      <w:r>
        <w:t xml:space="preserve">Figure 2. Annual wood expenditure distribution</w:t>
      </w:r>
    </w:p>
    <w:p>
      <w:pPr>
        <w:pStyle w:val="BodyText"/>
      </w:pPr>
    </w:p>
    <w:p>
      <w:pPr>
        <w:pStyle w:val="BodyText"/>
      </w:pPr>
      <w:r>
        <w:t xml:space="preserve">Source: Integrated Living Conditions Survey, 2022 (ARMSTAT, 2023).</w:t>
      </w:r>
    </w:p>
    <w:p>
      <w:pPr>
        <w:pStyle w:val="BodyText"/>
      </w:pPr>
      <w:bookmarkStart w:id="27" w:name="Xcd66d17669bec61a0d74b92ee64eb8e2bcf32c1"/>
      <w:bookmarkEnd w:id="27"/>
      <w:r>
        <w:t xml:space="preserve">Table 4. Average fuelwood expenditure and</w:t>
      </w:r>
      <w:r>
        <w:t xml:space="preserve"> </w:t>
      </w:r>
      <w:r>
        <w:t xml:space="preserve">quantity used annually and in the month prior to the survey</w:t>
      </w:r>
    </w:p>
    <w:tbl>
      <w:tblPr>
        <w:tblStyle w:val="Table"/>
        <w:tblW w:type="pct" w:w="4967"/>
        <w:tblLook w:firstRow="1" w:lastRow="0" w:firstColumn="0" w:lastColumn="0" w:noHBand="0" w:noVBand="0" w:val="0020"/>
        <w:jc w:val="start"/>
        <w:tblLayout w:type="fixed"/>
      </w:tblPr>
      <w:tblGrid>
        <w:gridCol w:w="264"/>
        <w:gridCol w:w="1403"/>
        <w:gridCol w:w="1430"/>
        <w:gridCol w:w="1456"/>
        <w:gridCol w:w="1509"/>
        <w:gridCol w:w="874"/>
        <w:gridCol w:w="9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monthly household total expenditure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monthly household energy expenditure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expenditure in month prior to survey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quantity used in month prior to survey (m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expenditure annually</w:t>
            </w:r>
            <w:r>
              <w:br/>
            </w:r>
            <w:r>
              <w:t xml:space="preserve">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quantity used annually</w:t>
            </w:r>
            <w:r>
              <w:br/>
            </w:r>
            <w:r>
              <w:t xml:space="preserve">(m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187,752.5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12,700.4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116,428.6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201,881.6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15,652.8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1,821.9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131,653.5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192,673.8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13,728.7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128,209.2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However, an</w:t>
      </w:r>
      <w:r>
        <w:t xml:space="preserve"> </w:t>
      </w:r>
      <w:r>
        <w:rPr>
          <w:bCs/>
          <w:b/>
        </w:rPr>
        <w:t xml:space="preserve">expenditure elasticity of annual wood expenditure across</w:t>
      </w:r>
      <w:r>
        <w:rPr>
          <w:bCs/>
          <w:b/>
        </w:rPr>
        <w:t xml:space="preserve"> </w:t>
      </w:r>
      <w:r>
        <w:rPr>
          <w:bCs/>
          <w:b/>
        </w:rPr>
        <w:t xml:space="preserve">income deciles</w:t>
      </w:r>
      <w:r>
        <w:rPr>
          <w:rStyle w:val="FootnoteReference"/>
        </w:rPr>
        <w:footnoteReference w:id="28"/>
      </w:r>
      <w:r>
        <w:t xml:space="preserve"> </w:t>
      </w:r>
      <w:r>
        <w:rPr>
          <w:bCs/>
          <w:b/>
        </w:rPr>
        <w:t xml:space="preserve">(when moving from decile to decile)</w:t>
      </w:r>
      <w:r>
        <w:t xml:space="preserve"> </w:t>
      </w:r>
      <w:r>
        <w:t xml:space="preserve">points to a</w:t>
      </w:r>
      <w:r>
        <w:t xml:space="preserve"> </w:t>
      </w:r>
      <w:r>
        <w:t xml:space="preserve">complex relationship between income and fuelwood expenditure. The higher</w:t>
      </w:r>
      <w:r>
        <w:t xml:space="preserve"> </w:t>
      </w:r>
      <w:r>
        <w:t xml:space="preserve">elasticities in the middle deciles might reflect an increased ability</w:t>
      </w:r>
      <w:r>
        <w:t xml:space="preserve"> </w:t>
      </w:r>
      <w:r>
        <w:t xml:space="preserve">and desire to spend on fuelwood, possibly for heating during colder</w:t>
      </w:r>
      <w:r>
        <w:t xml:space="preserve"> </w:t>
      </w:r>
      <w:r>
        <w:t xml:space="preserve">months. The negative figures in the higher deciles could suggest a shift</w:t>
      </w:r>
      <w:r>
        <w:t xml:space="preserve"> </w:t>
      </w:r>
      <w:r>
        <w:t xml:space="preserve">towards more modern heating solutions, or that beyond a certain income</w:t>
      </w:r>
      <w:r>
        <w:t xml:space="preserve"> </w:t>
      </w:r>
      <w:r>
        <w:t xml:space="preserve">level, the relative importance of fuelwood decreases. The variations</w:t>
      </w:r>
      <w:r>
        <w:t xml:space="preserve"> </w:t>
      </w:r>
      <w:r>
        <w:t xml:space="preserve">between deciles underscore the diverse factors influencing energy</w:t>
      </w:r>
      <w:r>
        <w:t xml:space="preserve"> </w:t>
      </w:r>
      <w:r>
        <w:t xml:space="preserve">choices, including affordability, accessibility, and preferences. (see</w:t>
      </w:r>
      <w:r>
        <w:t xml:space="preserve"> </w:t>
      </w:r>
      <w:r>
        <w:t xml:space="preserve">Table 5).</w:t>
      </w:r>
      <w:r>
        <w:t xml:space="preserve"> </w:t>
      </w:r>
      <w:r>
        <w:rPr>
          <w:strike/>
        </w:rPr>
        <w:t xml:space="preserve">The higher expenditure elasticity for fuelwood in decile 5</w:t>
      </w:r>
      <w:r>
        <w:rPr>
          <w:strike/>
        </w:rPr>
        <w:t xml:space="preserve"> </w:t>
      </w:r>
      <w:r>
        <w:rPr>
          <w:strike/>
        </w:rPr>
        <w:t xml:space="preserve">could be indicative of larger household sizes or larger homes that</w:t>
      </w:r>
      <w:r>
        <w:rPr>
          <w:strike/>
        </w:rPr>
        <w:t xml:space="preserve"> </w:t>
      </w:r>
      <w:r>
        <w:rPr>
          <w:strike/>
        </w:rPr>
        <w:t xml:space="preserve">require more wood for heating and cooking</w:t>
      </w:r>
      <w:r>
        <w:t xml:space="preserve">. This would naturally lead</w:t>
      </w:r>
      <w:r>
        <w:t xml:space="preserve"> </w:t>
      </w:r>
      <w:r>
        <w:t xml:space="preserve">to a higher quantity of fuelwood being used, which would increase</w:t>
      </w:r>
      <w:r>
        <w:t xml:space="preserve"> </w:t>
      </w:r>
      <w:r>
        <w:t xml:space="preserve">expenditure on fuelwood without necessarily implying luxury consumption</w:t>
      </w:r>
      <w:r>
        <w:t xml:space="preserve"> </w:t>
      </w:r>
      <w:r>
        <w:t xml:space="preserve">that theory would suggest with high elasticities.</w:t>
      </w:r>
    </w:p>
    <w:p>
      <w:pPr>
        <w:pStyle w:val="BodyText"/>
      </w:pPr>
      <w:r>
        <w:t xml:space="preserve">This interpretation would be consistent with a scenario where these</w:t>
      </w:r>
      <w:r>
        <w:t xml:space="preserve"> </w:t>
      </w:r>
      <w:r>
        <w:t xml:space="preserve">households, perhaps due to their size or location, have not yet</w:t>
      </w:r>
      <w:r>
        <w:t xml:space="preserve"> </w:t>
      </w:r>
      <w:r>
        <w:t xml:space="preserve">transitioned to other energy sources, which are often more accessible in</w:t>
      </w:r>
      <w:r>
        <w:t xml:space="preserve"> </w:t>
      </w:r>
      <w:r>
        <w:t xml:space="preserve">urban settings or to wealthier households that can afford the initial</w:t>
      </w:r>
      <w:r>
        <w:t xml:space="preserve"> </w:t>
      </w:r>
      <w:r>
        <w:t xml:space="preserve">investment in more modern heating systems. This considers the</w:t>
      </w:r>
      <w:r>
        <w:t xml:space="preserve"> </w:t>
      </w:r>
      <w:r>
        <w:t xml:space="preserve">socio-economic context that might prevent a switch to alternative fuels,</w:t>
      </w:r>
      <w:r>
        <w:t xml:space="preserve"> </w:t>
      </w:r>
      <w:r>
        <w:t xml:space="preserve">even when households have slightly more income. Issues such as</w:t>
      </w:r>
      <w:r>
        <w:t xml:space="preserve"> </w:t>
      </w:r>
      <w:r>
        <w:t xml:space="preserve">availability of infrastructure, initial costs of switching to gas or</w:t>
      </w:r>
      <w:r>
        <w:t xml:space="preserve"> </w:t>
      </w:r>
      <w:r>
        <w:t xml:space="preserve">electric heating, and cultural preferences for wood.</w:t>
      </w:r>
    </w:p>
    <w:p>
      <w:pPr>
        <w:pStyle w:val="BodyText"/>
      </w:pPr>
      <w:r>
        <w:rPr>
          <w:bCs/>
          <w:b/>
        </w:rPr>
        <w:t xml:space="preserve">In rural areas for example, the availability of fuelwood and the lack</w:t>
      </w:r>
      <w:r>
        <w:rPr>
          <w:bCs/>
          <w:b/>
        </w:rPr>
        <w:t xml:space="preserve"> </w:t>
      </w:r>
      <w:r>
        <w:rPr>
          <w:bCs/>
          <w:b/>
        </w:rPr>
        <w:t xml:space="preserve">of infrastructure for alternative energy sources can lead to a situation</w:t>
      </w:r>
      <w:r>
        <w:rPr>
          <w:bCs/>
          <w:b/>
        </w:rPr>
        <w:t xml:space="preserve"> </w:t>
      </w:r>
      <w:r>
        <w:rPr>
          <w:bCs/>
          <w:b/>
        </w:rPr>
        <w:t xml:space="preserve">where households spend more on wood simply because it's one of the few</w:t>
      </w:r>
      <w:r>
        <w:rPr>
          <w:bCs/>
          <w:b/>
        </w:rPr>
        <w:t xml:space="preserve"> </w:t>
      </w:r>
      <w:r>
        <w:rPr>
          <w:bCs/>
          <w:b/>
        </w:rPr>
        <w:t xml:space="preserve">options available to them, and not because they particularly prefer wood</w:t>
      </w:r>
      <w:r>
        <w:rPr>
          <w:bCs/>
          <w:b/>
        </w:rPr>
        <w:t xml:space="preserve"> </w:t>
      </w:r>
      <w:r>
        <w:rPr>
          <w:bCs/>
          <w:b/>
        </w:rPr>
        <w:t xml:space="preserve">over other fuels.</w:t>
      </w:r>
      <w:r>
        <w:t xml:space="preserve"> </w:t>
      </w:r>
      <w:r>
        <w:t xml:space="preserve">Indeed, when conducting this analysis across urban</w:t>
      </w:r>
      <w:r>
        <w:t xml:space="preserve"> </w:t>
      </w:r>
      <w:r>
        <w:t xml:space="preserve">to rural, the elasticity value reaches 3.25 (growth of wood expenditure</w:t>
      </w:r>
      <w:r>
        <w:t xml:space="preserve"> </w:t>
      </w:r>
      <w:r>
        <w:t xml:space="preserve">is three times the growth of total consumption across urban/rural),</w:t>
      </w:r>
      <w:r>
        <w:t xml:space="preserve"> </w:t>
      </w:r>
      <w:r>
        <w:t xml:space="preserve">confirming that living in rural areas might be a big determinant of</w:t>
      </w:r>
      <w:r>
        <w:t xml:space="preserve"> </w:t>
      </w:r>
      <w:r>
        <w:t xml:space="preserve">fuelwood use, simply because it’s the technology to which those homes</w:t>
      </w:r>
      <w:r>
        <w:t xml:space="preserve"> </w:t>
      </w:r>
      <w:r>
        <w:t xml:space="preserve">have access and other infrastructure is lacking.</w:t>
      </w:r>
    </w:p>
    <w:p>
      <w:pPr>
        <w:pStyle w:val="BodyText"/>
      </w:pPr>
      <w:bookmarkStart w:id="29" w:name="X4250360adc9eafed72deba7be0c241bd2e4a6ce"/>
      <w:bookmarkEnd w:id="29"/>
      <w:r>
        <w:t xml:space="preserve">Table 5. Expenditure elasticity of annual wood</w:t>
      </w:r>
      <w:r>
        <w:t xml:space="preserve"> </w:t>
      </w:r>
      <w:r>
        <w:t xml:space="preserve">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 of Annual Wood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For comparison, the expenditure elasticity of natural gas expenditure</w:t>
      </w:r>
      <w:r>
        <w:t xml:space="preserve"> </w:t>
      </w:r>
      <w:r>
        <w:t xml:space="preserve">(which has a more traditionally priced market) across income deciles</w:t>
      </w:r>
      <w:r>
        <w:t xml:space="preserve"> </w:t>
      </w:r>
      <w:r>
        <w:t xml:space="preserve">suggest that natural gas is not consistently treated as a normal or</w:t>
      </w:r>
      <w:r>
        <w:t xml:space="preserve"> </w:t>
      </w:r>
      <w:r>
        <w:t xml:space="preserve">inferior good across the income spectrum. The negative elasticities in</w:t>
      </w:r>
      <w:r>
        <w:t xml:space="preserve"> </w:t>
      </w:r>
      <w:r>
        <w:t xml:space="preserve">higher deciles may indicate a trend of higher-income households either</w:t>
      </w:r>
      <w:r>
        <w:t xml:space="preserve"> </w:t>
      </w:r>
      <w:r>
        <w:t xml:space="preserve">becoming more energy-efficient, having better-insulated homes, or</w:t>
      </w:r>
      <w:r>
        <w:t xml:space="preserve"> </w:t>
      </w:r>
      <w:r>
        <w:t xml:space="preserve">switching to alternative fuels that are perceived as cleaner or more</w:t>
      </w:r>
      <w:r>
        <w:t xml:space="preserve"> </w:t>
      </w:r>
      <w:r>
        <w:t xml:space="preserve">convenient. This might be consistent with the higher percentage of urban</w:t>
      </w:r>
      <w:r>
        <w:t xml:space="preserve"> </w:t>
      </w:r>
      <w:r>
        <w:t xml:space="preserve">homes that use electricity for cooking and heating. The very high</w:t>
      </w:r>
      <w:r>
        <w:t xml:space="preserve"> </w:t>
      </w:r>
      <w:r>
        <w:t xml:space="preserve">negative elasticity in decile 9 is particularly notable and could</w:t>
      </w:r>
      <w:r>
        <w:t xml:space="preserve"> </w:t>
      </w:r>
      <w:r>
        <w:t xml:space="preserve">warrant a closer investigation to understand the underlying causes.</w:t>
      </w:r>
    </w:p>
    <w:p>
      <w:pPr>
        <w:pStyle w:val="BodyText"/>
      </w:pPr>
      <w:bookmarkStart w:id="30" w:name="X5ec7d0e56fc5aeb116393e09c77ce9f01cd6536"/>
      <w:bookmarkEnd w:id="30"/>
      <w:r>
        <w:t xml:space="preserve">Table 6. Expenditure elasticity of natural gas</w:t>
      </w:r>
      <w:r>
        <w:t xml:space="preserve"> </w:t>
      </w:r>
      <w:r>
        <w:t xml:space="preserve">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When comparing pressed dung, the elasticity behavior shows a component</w:t>
      </w:r>
      <w:r>
        <w:t xml:space="preserve"> </w:t>
      </w:r>
      <w:r>
        <w:t xml:space="preserve">that responds much more to income levels. Table 7 shows the household</w:t>
      </w:r>
      <w:r>
        <w:t xml:space="preserve"> </w:t>
      </w:r>
      <w:r>
        <w:t xml:space="preserve">expenditure elasticity of press dung expenditure across deciles,</w:t>
      </w:r>
      <w:r>
        <w:t xml:space="preserve"> </w:t>
      </w:r>
      <w:r>
        <w:t xml:space="preserve">suggesting big leaps to lower levels of expenditure on pressed dung as</w:t>
      </w:r>
      <w:r>
        <w:t xml:space="preserve"> </w:t>
      </w:r>
      <w:r>
        <w:t xml:space="preserve">households move from decile to decile, especially moving from decile 3</w:t>
      </w:r>
      <w:r>
        <w:t xml:space="preserve"> </w:t>
      </w:r>
      <w:r>
        <w:t xml:space="preserve">to 4, from decile 5 to 6 and then from 6 to 7.</w:t>
      </w:r>
    </w:p>
    <w:p>
      <w:pPr>
        <w:pStyle w:val="BodyText"/>
      </w:pPr>
      <w:bookmarkStart w:id="31" w:name="X7aa64dc6a924be0ad6eeaf38a945dbbd15ff02c"/>
      <w:bookmarkEnd w:id="31"/>
      <w:r>
        <w:t xml:space="preserve">Table 7. Expenditure elasticity of pressed</w:t>
      </w:r>
      <w:r>
        <w:t xml:space="preserve"> </w:t>
      </w:r>
      <w:r>
        <w:t xml:space="preserve">dung 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 of Pressed Dung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bookmarkEnd w:id="32"/>
    <w:bookmarkStart w:id="37" w:name="determinants-of-fuelwood-consumption"/>
    <w:p>
      <w:pPr>
        <w:pStyle w:val="Heading3"/>
      </w:pPr>
      <w:r>
        <w:t xml:space="preserve">3.2 Determinants of fuelwood consumption</w:t>
      </w:r>
    </w:p>
    <w:p>
      <w:pPr>
        <w:pStyle w:val="FirstParagraph"/>
      </w:pPr>
      <w:r>
        <w:t xml:space="preserve">There are various factors that influence fuelwood consumption by</w:t>
      </w:r>
      <w:r>
        <w:t xml:space="preserve"> </w:t>
      </w:r>
      <w:r>
        <w:t xml:space="preserve">households. While income is important, it’s not the only determinant,</w:t>
      </w:r>
      <w:r>
        <w:t xml:space="preserve"> </w:t>
      </w:r>
      <w:r>
        <w:t xml:space="preserve">and there are other factors, which include affordability and</w:t>
      </w:r>
      <w:r>
        <w:t xml:space="preserve"> </w:t>
      </w:r>
      <w:r>
        <w:t xml:space="preserve">availability of fuels, scarcity of fuelwood supply, fuel preferences,</w:t>
      </w:r>
      <w:r>
        <w:t xml:space="preserve"> </w:t>
      </w:r>
      <w:r>
        <w:t xml:space="preserve">and cost and performance of end-use equipment. Moreover, all these</w:t>
      </w:r>
      <w:r>
        <w:t xml:space="preserve"> </w:t>
      </w:r>
      <w:r>
        <w:t xml:space="preserve">factors also on whether the household is in an urban or rural setting</w:t>
      </w:r>
      <w:r>
        <w:t xml:space="preserve"> </w:t>
      </w:r>
      <w:r>
        <w:t xml:space="preserve">(Lefevre et al., 1997).</w:t>
      </w:r>
    </w:p>
    <w:p>
      <w:pPr>
        <w:pStyle w:val="BodyText"/>
      </w:pPr>
      <w:r>
        <w:t xml:space="preserve">To better understand this, a linear model was conducted on household</w:t>
      </w:r>
      <w:r>
        <w:t xml:space="preserve"> </w:t>
      </w:r>
      <w:r>
        <w:t xml:space="preserve">data for Armenia (to explain annual wood quantity used by household as</w:t>
      </w:r>
      <w:r>
        <w:t xml:space="preserve"> </w:t>
      </w:r>
      <w:r>
        <w:t xml:space="preserve">determined by Marz, urban/rural, total household income, dwelling size</w:t>
      </w:r>
      <w:r>
        <w:t xml:space="preserve"> </w:t>
      </w:r>
      <w:r>
        <w:t xml:space="preserve">in square meters, hectares of forests per thousand inhabitants by</w:t>
      </w:r>
      <w:r>
        <w:t xml:space="preserve"> </w:t>
      </w:r>
      <w:r>
        <w:t xml:space="preserve">Marz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(see Table 8), average price of natural gas in Marz and area</w:t>
      </w:r>
      <w:r>
        <w:t xml:space="preserve"> </w:t>
      </w:r>
      <w:r>
        <w:t xml:space="preserve">(urban/rural), computed as the average of the division of total spent on</w:t>
      </w:r>
      <w:r>
        <w:t xml:space="preserve"> </w:t>
      </w:r>
      <w:r>
        <w:t xml:space="preserve">natural gas by amount of natural gas used by households in that Marz and</w:t>
      </w:r>
      <w:r>
        <w:t xml:space="preserve"> </w:t>
      </w:r>
      <w:r>
        <w:t xml:space="preserve">area (urban/rural); and average electricity bill in that Marz and Area.</w:t>
      </w:r>
    </w:p>
    <w:p>
      <w:pPr>
        <w:pStyle w:val="BodyText"/>
      </w:pPr>
      <w:r>
        <w:t xml:space="preserve">The explanatory power of the model is moderate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(Adjusted R-squared:</w:t>
      </w:r>
      <w:r>
        <w:t xml:space="preserve"> </w:t>
      </w:r>
      <w:r>
        <w:t xml:space="preserve">0.2668), but the results are interesting as shown in Table 9. The</w:t>
      </w:r>
      <w:r>
        <w:t xml:space="preserve"> </w:t>
      </w:r>
      <w:r>
        <w:t xml:space="preserve">baseline level of annual wood consumption is high (with an intercept</w:t>
      </w:r>
      <w:r>
        <w:t xml:space="preserve"> </w:t>
      </w:r>
      <w:r>
        <w:t xml:space="preserve">26.51 cubic meters of wood). The effect of administrative division is</w:t>
      </w:r>
      <w:r>
        <w:t xml:space="preserve"> </w:t>
      </w:r>
      <w:r>
        <w:t xml:space="preserve">small and statistically insignificant (ADM1 administrative division</w:t>
      </w:r>
      <w:r>
        <w:t xml:space="preserve"> </w:t>
      </w:r>
      <w:r>
        <w:t xml:space="preserve">-0.0271). The effect of being in a rural area, compared to an urban</w:t>
      </w:r>
      <w:r>
        <w:t xml:space="preserve"> </w:t>
      </w:r>
      <w:r>
        <w:t xml:space="preserve">area, is not significant. Results indicate that for each unit increase</w:t>
      </w:r>
      <w:r>
        <w:t xml:space="preserve"> </w:t>
      </w:r>
      <w:r>
        <w:t xml:space="preserve">in total income, wood consumption increases by approximately 0.0000029</w:t>
      </w:r>
      <w:r>
        <w:t xml:space="preserve"> </w:t>
      </w:r>
      <w:r>
        <w:t xml:space="preserve">cubic meters per year. This effect is highly significant (p &lt;</w:t>
      </w:r>
      <w:r>
        <w:t xml:space="preserve"> </w:t>
      </w:r>
      <w:r>
        <w:t xml:space="preserve">2.26e-16), suggesting a positive relationship between income and wood</w:t>
      </w:r>
      <w:r>
        <w:t xml:space="preserve"> </w:t>
      </w:r>
      <w:r>
        <w:t xml:space="preserve">consumption, which is counterintuitive. More in line with expectations</w:t>
      </w:r>
      <w:r>
        <w:t xml:space="preserve"> </w:t>
      </w:r>
      <w:r>
        <w:t xml:space="preserve">is dwelling size, which is also highly significant, suggesting that</w:t>
      </w:r>
      <w:r>
        <w:t xml:space="preserve"> </w:t>
      </w:r>
      <w:r>
        <w:t xml:space="preserve">higher dwelling sizes lead to higher fuelwood use. The number of</w:t>
      </w:r>
      <w:r>
        <w:t xml:space="preserve"> </w:t>
      </w:r>
      <w:r>
        <w:t xml:space="preserve">hectares of forest by thousand inhabitants is a significant predictor.</w:t>
      </w:r>
      <w:r>
        <w:t xml:space="preserve"> </w:t>
      </w:r>
      <w:r>
        <w:t xml:space="preserve">The coefficient indicates that more forest availability leads to higher</w:t>
      </w:r>
      <w:r>
        <w:t xml:space="preserve"> </w:t>
      </w:r>
      <w:r>
        <w:t xml:space="preserve">wood consumption. Both the price of natural gas and average expenditure</w:t>
      </w:r>
      <w:r>
        <w:t xml:space="preserve"> </w:t>
      </w:r>
      <w:r>
        <w:t xml:space="preserve">on electricity in Marz and area are non-significant.</w:t>
      </w:r>
    </w:p>
    <w:p>
      <w:pPr>
        <w:pStyle w:val="BodyText"/>
      </w:pPr>
      <w:bookmarkStart w:id="35" w:name="X7cfe05157ee9446513ae56429ac5236cd362450"/>
      <w:bookmarkEnd w:id="35"/>
      <w:r>
        <w:t xml:space="preserve">Table 8. Hectares of forest per thousand</w:t>
      </w:r>
      <w:r>
        <w:t xml:space="preserve"> </w:t>
      </w:r>
      <w:r>
        <w:t xml:space="preserve">inhabitants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Marz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Forested areas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Forested areas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2020 (thousand inhabitants)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Hectares of forest per thousand inhabitants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Yerevan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23,246.8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23,246.8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1,084.0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Aragatsotn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1,948.2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270,744.9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272,693.1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3,417.5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207,130.8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210,548.3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Armavir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125,429.7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125,626.2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Gegharkunik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13,525.9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383,155.5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396,681.4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81,492.8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293,208.2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374,701.0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Kotayk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11,571.6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199,289.4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210,861.0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269,527.6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270,409.8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Syunik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44,390.9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402,134.9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446,525.9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Vayots Dzor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226,086.5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228,586.5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Tavush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121,962.8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149,079.3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271,042.2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1,308.6</w:t>
            </w:r>
          </w:p>
        </w:tc>
      </w:tr>
    </w:tbl>
    <w:p>
      <w:pPr>
        <w:pStyle w:val="BodyText"/>
      </w:pPr>
      <w:r>
        <w:t xml:space="preserve">Source: author land use land cover information from ESA CCI Land Cover</w:t>
      </w:r>
      <w:r>
        <w:t xml:space="preserve"> </w:t>
      </w:r>
      <w:r>
        <w:t xml:space="preserve">time-series v.2.0.7, 1992-2020 (ESA, 2023) and population data (ARMSTAT,</w:t>
      </w:r>
      <w:r>
        <w:t xml:space="preserve"> </w:t>
      </w:r>
      <w:r>
        <w:t xml:space="preserve">2020).</w:t>
      </w:r>
    </w:p>
    <w:p>
      <w:pPr>
        <w:pStyle w:val="BodyText"/>
      </w:pPr>
      <w:bookmarkStart w:id="36" w:name="X4e4bc18824a24b0416fa5a2517ea422a43f5e67"/>
      <w:bookmarkEnd w:id="36"/>
      <w:r>
        <w:t xml:space="preserve">Table 9. Regression results on the</w:t>
      </w:r>
      <w:r>
        <w:t xml:space="preserve"> </w:t>
      </w:r>
      <w:r>
        <w:t xml:space="preserve">determinants of fuelwood use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13.445</w:t>
            </w:r>
          </w:p>
        </w:tc>
      </w:tr>
    </w:tbl>
    <w:p>
      <w:pPr>
        <w:pStyle w:val="BodyText"/>
      </w:pPr>
      <w:r>
        <w:t xml:space="preserve">Coefficients: Estimate Std. Error t value Pr(&gt;|t|)</w:t>
      </w:r>
      <w:r>
        <w:br/>
      </w:r>
      <w:r>
        <w:t xml:space="preserve">(Intercept) 6.19E+00 1.58E+01 0.391 0.696  </w:t>
      </w:r>
      <w:r>
        <w:t xml:space="preserve"> </w:t>
      </w:r>
      <w:r>
        <w:t xml:space="preserve">ADM1 administrative divisions -2.71E-02 3.33E-02 -0.815 0.415</w:t>
      </w:r>
      <w:r>
        <w:br/>
      </w:r>
      <w:r>
        <w:t xml:space="preserve">Urban/Rural 7.22E-02 2.02E-01 0.358 0.72</w:t>
      </w:r>
      <w:r>
        <w:br/>
      </w:r>
      <w:r>
        <w:t xml:space="preserve">Dwelling size (m</w:t>
      </w:r>
      <w:r>
        <w:rPr>
          <w:vertAlign w:val="superscript"/>
        </w:rPr>
        <w:t xml:space="preserve">2</w:t>
      </w:r>
      <w:r>
        <w:t xml:space="preserve">) 2.08E-02 2.22E-03 9.4 &lt; 2e-16 ***</w:t>
      </w:r>
      <w:r>
        <w:t xml:space="preserve"> </w:t>
      </w:r>
      <w:r>
        <w:t xml:space="preserve">Total income (Dram) 2.22E-06 3.14E-07 7.081 2.26E-12 ***</w:t>
      </w:r>
      <w:r>
        <w:t xml:space="preserve"> </w:t>
      </w:r>
      <w:r>
        <w:t xml:space="preserve">Ha. of forest / 1000 inhabitants 3.28E-03 3.23E-04 10.145 &lt; 2e-16 ***</w:t>
      </w:r>
      <w:r>
        <w:t xml:space="preserve"> </w:t>
      </w:r>
      <w:r>
        <w:t xml:space="preserve">Avg. price of natural gas (Dram/m</w:t>
      </w:r>
      <w:r>
        <w:rPr>
          <w:vertAlign w:val="superscript"/>
        </w:rPr>
        <w:t xml:space="preserve">3</w:t>
      </w:r>
      <w:r>
        <w:t xml:space="preserve">) -2.47E-02 1.14E-01 -0.217 0.828</w:t>
      </w:r>
      <w:r>
        <w:br/>
      </w:r>
      <w:r>
        <w:t xml:space="preserve">Avg. electricity expenditure (Dram) -2.88E-06 9.76E-05 -0.03 0.976  </w:t>
      </w:r>
    </w:p>
    <w:p>
      <w:pPr>
        <w:pStyle w:val="BodyText"/>
      </w:pPr>
      <w:r>
        <w:t xml:space="preserve">Significance codes: 0</w:t>
      </w:r>
      <w:r>
        <w:t xml:space="preserve"> </w:t>
      </w:r>
      <w:r>
        <w:t xml:space="preserve">‘</w:t>
      </w:r>
      <w:r>
        <w:t xml:space="preserve">***</w:t>
      </w:r>
      <w:r>
        <w:t xml:space="preserve">’</w:t>
      </w:r>
      <w:r>
        <w:t xml:space="preserve"> </w:t>
      </w:r>
      <w:r>
        <w:t xml:space="preserve">0.001</w:t>
      </w:r>
      <w:r>
        <w:t xml:space="preserve"> </w:t>
      </w:r>
      <w:r>
        <w:t xml:space="preserve">‘</w:t>
      </w:r>
      <w:r>
        <w:t xml:space="preserve">**</w:t>
      </w:r>
      <w:r>
        <w:t xml:space="preserve">’</w:t>
      </w:r>
      <w:r>
        <w:t xml:space="preserve"> </w:t>
      </w:r>
      <w:r>
        <w:t xml:space="preserve">0.01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2.808 on 1392 degrees of freedom (3784</w:t>
      </w:r>
      <w:r>
        <w:t xml:space="preserve"> </w:t>
      </w:r>
      <w:r>
        <w:t xml:space="preserve">observations deleted due to missingness)</w:t>
      </w:r>
    </w:p>
    <w:p>
      <w:pPr>
        <w:pStyle w:val="BodyText"/>
      </w:pPr>
      <w:r>
        <w:t xml:space="preserve">Multiple R-squared: 0.2704, Adjusted R-squared: 0.2668.</w:t>
      </w:r>
    </w:p>
    <w:p>
      <w:pPr>
        <w:pStyle w:val="BodyText"/>
      </w:pPr>
      <w:r>
        <w:t xml:space="preserve">F-statistic: 73.71 on 7 and 1392 DF, p-value: &lt; 2.2e-16.</w:t>
      </w:r>
    </w:p>
    <w:p>
      <w:pPr>
        <w:pStyle w:val="BodyText"/>
      </w:pPr>
      <w:r>
        <w:t xml:space="preserve">Overall, it can be concluded that there is an income effect that is</w:t>
      </w:r>
      <w:r>
        <w:t xml:space="preserve"> </w:t>
      </w:r>
      <w:r>
        <w:t xml:space="preserve">counter intuitive. Higher income is associated with increased wood</w:t>
      </w:r>
      <w:r>
        <w:t xml:space="preserve"> </w:t>
      </w:r>
      <w:r>
        <w:t xml:space="preserve">consumption. Wealthier households probably consume more wood due to</w:t>
      </w:r>
      <w:r>
        <w:t xml:space="preserve"> </w:t>
      </w:r>
      <w:r>
        <w:t xml:space="preserve">larger homes as captured in the effect of dwelling size, and a strong</w:t>
      </w:r>
      <w:r>
        <w:t xml:space="preserve"> </w:t>
      </w:r>
      <w:r>
        <w:t xml:space="preserve">cultural preference for wood as a fuel source with probably limited</w:t>
      </w:r>
      <w:r>
        <w:t xml:space="preserve"> </w:t>
      </w:r>
      <w:r>
        <w:t xml:space="preserve">alternatives due to infrastructure or other reasons. Forest availability</w:t>
      </w:r>
      <w:r>
        <w:t xml:space="preserve"> </w:t>
      </w:r>
      <w:r>
        <w:t xml:space="preserve">is also a strong predictor, suggesting that more available forest</w:t>
      </w:r>
      <w:r>
        <w:t xml:space="preserve"> </w:t>
      </w:r>
      <w:r>
        <w:t xml:space="preserve">resources lead to higher wood consumption. There's a tendency for wood</w:t>
      </w:r>
      <w:r>
        <w:t xml:space="preserve"> </w:t>
      </w:r>
      <w:r>
        <w:t xml:space="preserve">consumption to decrease as natural gas prices increase, though this is</w:t>
      </w:r>
      <w:r>
        <w:t xml:space="preserve"> </w:t>
      </w:r>
      <w:r>
        <w:t xml:space="preserve">almost insignificant and general electricity expenditure does not seem</w:t>
      </w:r>
      <w:r>
        <w:t xml:space="preserve"> </w:t>
      </w:r>
      <w:r>
        <w:t xml:space="preserve">to be a significant determinant of wood consumption at all.</w:t>
      </w:r>
    </w:p>
    <w:bookmarkEnd w:id="37"/>
    <w:bookmarkEnd w:id="38"/>
    <w:bookmarkStart w:id="39" w:name="references"/>
    <w:p>
      <w:pPr>
        <w:pStyle w:val="Heading2"/>
      </w:pPr>
      <w:r>
        <w:t xml:space="preserve">4 References</w:t>
      </w:r>
    </w:p>
    <w:p>
      <w:pPr>
        <w:pStyle w:val="FirstParagraph"/>
      </w:pPr>
      <w:r>
        <w:t xml:space="preserve">ARMSTAT. (2020).</w:t>
      </w:r>
      <w:r>
        <w:t xml:space="preserve"> </w:t>
      </w:r>
      <w:r>
        <w:rPr>
          <w:iCs/>
          <w:i/>
        </w:rPr>
        <w:t xml:space="preserve">Marzes of the Republic of Armenia and Yerevan city in</w:t>
      </w:r>
      <w:r>
        <w:rPr>
          <w:iCs/>
          <w:i/>
        </w:rPr>
        <w:t xml:space="preserve"> </w:t>
      </w:r>
      <w:r>
        <w:rPr>
          <w:iCs/>
          <w:i/>
        </w:rPr>
        <w:t xml:space="preserve">figures, 2020</w:t>
      </w:r>
      <w:r>
        <w:t xml:space="preserve">.</w:t>
      </w:r>
    </w:p>
    <w:p>
      <w:pPr>
        <w:pStyle w:val="BodyText"/>
      </w:pPr>
      <w:r>
        <w:t xml:space="preserve">ARMSTAT. (2023).</w:t>
      </w:r>
      <w:r>
        <w:t xml:space="preserve"> </w:t>
      </w:r>
      <w:r>
        <w:rPr>
          <w:iCs/>
          <w:i/>
        </w:rPr>
        <w:t xml:space="preserve">Integrated Living Conditions Survey 2022</w:t>
      </w:r>
      <w:r>
        <w:t xml:space="preserve"> </w:t>
      </w:r>
      <w:r>
        <w:t xml:space="preserve">[dataset].</w:t>
      </w:r>
    </w:p>
    <w:p>
      <w:pPr>
        <w:pStyle w:val="BodyText"/>
      </w:pPr>
      <w:r>
        <w:t xml:space="preserve">Ceriani, L., Olivieri, S., &amp; Ranzani, M. (2019). Housing, imputed rent,</w:t>
      </w:r>
      <w:r>
        <w:t xml:space="preserve"> </w:t>
      </w:r>
      <w:r>
        <w:t xml:space="preserve">and households’ welfare.</w:t>
      </w:r>
      <w:r>
        <w:t xml:space="preserve"> </w:t>
      </w:r>
      <w:r>
        <w:rPr>
          <w:iCs/>
          <w:i/>
        </w:rPr>
        <w:t xml:space="preserve">Poverty &amp; Equity Global Practice Working</w:t>
      </w:r>
      <w:r>
        <w:rPr>
          <w:iCs/>
          <w:i/>
        </w:rPr>
        <w:t xml:space="preserve"> </w:t>
      </w:r>
      <w:r>
        <w:rPr>
          <w:iCs/>
          <w:i/>
        </w:rPr>
        <w:t xml:space="preserve">Papers</w:t>
      </w:r>
      <w:r>
        <w:t xml:space="preserve">,</w:t>
      </w:r>
      <w:r>
        <w:t xml:space="preserve"> </w:t>
      </w:r>
      <w:r>
        <w:rPr>
          <w:iCs/>
          <w:i/>
        </w:rPr>
        <w:t xml:space="preserve">213</w:t>
      </w:r>
      <w:r>
        <w:t xml:space="preserve">.</w:t>
      </w:r>
      <w:r>
        <w:t xml:space="preserve"> </w:t>
      </w:r>
      <w:r>
        <w:t xml:space="preserve">https://documents1.worldbank.org/curated/pt/336451565194643402/pdf/Housing-Imputed-Rent-and-Households-Welfare.pdf</w:t>
      </w:r>
    </w:p>
    <w:p>
      <w:pPr>
        <w:pStyle w:val="BodyText"/>
      </w:pPr>
      <w:r>
        <w:t xml:space="preserve">ESA. (2023).</w:t>
      </w:r>
      <w:r>
        <w:t xml:space="preserve"> </w:t>
      </w:r>
      <w:r>
        <w:rPr>
          <w:iCs/>
          <w:i/>
        </w:rPr>
        <w:t xml:space="preserve">ESA CCI Land Cover time-series v.2.0.7 (1992-2020)</w:t>
      </w:r>
      <w:r>
        <w:t xml:space="preserve">.</w:t>
      </w:r>
      <w:r>
        <w:t xml:space="preserve"> </w:t>
      </w:r>
      <w:r>
        <w:t xml:space="preserve">European Space Agency.</w:t>
      </w:r>
    </w:p>
    <w:p>
      <w:pPr>
        <w:pStyle w:val="BodyText"/>
      </w:pPr>
      <w:r>
        <w:t xml:space="preserve">Lefevre, T., Todoc, J., &amp; Raj Timilsina, G. (1997).</w:t>
      </w:r>
      <w:r>
        <w:t xml:space="preserve"> </w:t>
      </w:r>
      <w:r>
        <w:rPr>
          <w:iCs/>
          <w:i/>
        </w:rPr>
        <w:t xml:space="preserve">The Role of Wood</w:t>
      </w:r>
      <w:r>
        <w:rPr>
          <w:iCs/>
          <w:i/>
        </w:rPr>
        <w:t xml:space="preserve"> </w:t>
      </w:r>
      <w:r>
        <w:rPr>
          <w:iCs/>
          <w:i/>
        </w:rPr>
        <w:t xml:space="preserve">Energy in Asia</w:t>
      </w:r>
      <w:r>
        <w:t xml:space="preserve">. Food and Agriculture Organization of the United</w:t>
      </w:r>
      <w:r>
        <w:t xml:space="preserve"> </w:t>
      </w:r>
      <w:r>
        <w:t xml:space="preserve">Nations.</w:t>
      </w:r>
    </w:p>
    <w:p>
      <w:pPr>
        <w:pStyle w:val="BodyText"/>
      </w:pPr>
      <w:r>
        <w:t xml:space="preserve">TNFD. (2023).</w:t>
      </w:r>
      <w:r>
        <w:t xml:space="preserve"> </w:t>
      </w:r>
      <w:r>
        <w:rPr>
          <w:iCs/>
          <w:i/>
        </w:rPr>
        <w:t xml:space="preserve">Recommendations of the Taskforce on Nature-related</w:t>
      </w:r>
      <w:r>
        <w:rPr>
          <w:iCs/>
          <w:i/>
        </w:rPr>
        <w:t xml:space="preserve"> </w:t>
      </w:r>
      <w:r>
        <w:rPr>
          <w:iCs/>
          <w:i/>
        </w:rPr>
        <w:t xml:space="preserve">Financial Disclosures</w:t>
      </w:r>
      <w:r>
        <w:t xml:space="preserve">. Green Finance Institute.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calculated as: Decile Expenditure Elasticity of Demand = %</w:t>
      </w:r>
      <w:r>
        <w:t xml:space="preserve"> </w:t>
      </w:r>
      <w:r>
        <w:t xml:space="preserve">Change in average expenditure from decile to decile / % Change in</w:t>
      </w:r>
      <w:r>
        <w:t xml:space="preserve"> </w:t>
      </w:r>
      <w:r>
        <w:t xml:space="preserve">average Fuelwood Expenditure Demanded by (expenditure) decile.</w:t>
      </w:r>
    </w:p>
    <w:p>
      <w:pPr>
        <w:pStyle w:val="FootnoteText"/>
      </w:pPr>
      <w:r>
        <w:t xml:space="preserve">​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 calculated this variable using land use land cover</w:t>
      </w:r>
      <w:r>
        <w:t xml:space="preserve"> </w:t>
      </w:r>
      <w:r>
        <w:t xml:space="preserve">information from ESA CCI Land Cover time-series v.2.0.7, 1992-2020</w:t>
      </w:r>
      <w:r>
        <w:t xml:space="preserve"> </w:t>
      </w:r>
      <w:r>
        <w:t xml:space="preserve">(ESA, 2023) and population data (ARMSTAT, 2020).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Moderate but robust. The model has been probed using the Variance</w:t>
      </w:r>
      <w:r>
        <w:t xml:space="preserve"> </w:t>
      </w:r>
      <w:r>
        <w:t xml:space="preserve">Inflation Factor, showing that the model does not appear to suffer</w:t>
      </w:r>
      <w:r>
        <w:t xml:space="preserve"> </w:t>
      </w:r>
      <w:r>
        <w:t xml:space="preserve">from sever multicollinearity. Correlations among variables are</w:t>
      </w:r>
      <w:r>
        <w:t xml:space="preserve"> </w:t>
      </w:r>
      <w:r>
        <w:t xml:space="preserve">moderate or low as well. A concern about interaction between</w:t>
      </w:r>
      <w:r>
        <w:t xml:space="preserve"> </w:t>
      </w:r>
      <w:r>
        <w:t xml:space="preserve">urban/rural and dwelling size, which removed the slight significance</w:t>
      </w:r>
      <w:r>
        <w:t xml:space="preserve"> </w:t>
      </w:r>
      <w:r>
        <w:t xml:space="preserve">of a previous model without dwelling size was ruled out, testing a</w:t>
      </w:r>
      <w:r>
        <w:t xml:space="preserve"> </w:t>
      </w:r>
      <w:r>
        <w:t xml:space="preserve">model with the interaction of these variables, which was not</w:t>
      </w:r>
      <w:r>
        <w:t xml:space="preserve"> </w:t>
      </w:r>
      <w:r>
        <w:t xml:space="preserve">significant.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Assets and Fuelwood Use</dc:title>
  <dc:creator>Renato Vargas; Natsuko Kiso Nozaki</dc:creator>
  <cp:keywords/>
  <dcterms:created xsi:type="dcterms:W3CDTF">2024-03-01T19:58:51Z</dcterms:created>
  <dcterms:modified xsi:type="dcterms:W3CDTF">2024-03-01T19:58:51Z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