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household-assets"/>
    <w:p>
      <w:pPr>
        <w:pStyle w:val="Heading2"/>
      </w:pPr>
      <w:r>
        <w:t xml:space="preserve">1 Household assets</w:t>
      </w:r>
    </w:p>
    <w:p>
      <w:pPr>
        <w:pStyle w:val="FirstParagraph"/>
      </w:pPr>
      <w:r>
        <w:t xml:space="preserve">Homes are perhaps the most important asset owned by households. In 2022, most of the 800,604 Armenian households owned their dwelling (about 89.4%),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m2, while apartments averaged 68.3 m2.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t xml:space="preserve">Source: Integrated Living Conditions Survey, 2022 (ARMSTAT, 2023).</w:t>
      </w:r>
    </w:p>
    <w:p>
      <w:pPr>
        <w:pStyle w:val="BodyText"/>
      </w:pPr>
      <w:r>
        <w:t xml:space="preserve">The rental market is small and an urban phenomenon, with 92% of rentals occurring in that area. 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t xml:space="preserve">Owned dwellings are an asset from which households derive welfare. Non renters derived an average of AMD 54,338.1 (USD 137.33) in monthly imputed rent. 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 Decile Average dwelling area (m2) Average imputed rent (Dram per month) Average net present value of rent (2050 horizon) 1 89.4 45,632.3 14,565,638.7 2 91.1 51,149.9 16,326,813.0 3 91.1 52,635.7 16,801,095.0 4 89.5 55,010.5 17,559,108.4 5 88.3 53,896.9 17,203,666.3 6 87.2 54,230.5 17,310,143.3 7 93.0 54,532.6 17,406,560.2 8 89.1 52,558.3 16,776,366.9 9 86.7 56,791.0 18,127,439.9 10 87.5 59,735.1 19,067,188.6 Country 89.0 54,338.1 17,344,482.6 Source: author based on log linear imputed rent approach (Ceriani et al., 2019)</w:t>
      </w:r>
    </w:p>
    <w:p>
      <w:pPr>
        <w:pStyle w:val="BodyText"/>
      </w:pPr>
      <w:r>
        <w:t xml:space="preserve">A little over a third (288,718 or 36.1%) of households owned a car in 2022 and used it in the month prior to the survey. 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t xml:space="preserve">Armenians access water mainly through centralized water supply (95.6% or 765,728 households),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t xml:space="preserve">Most homes (99.8% or 798,835 households) access electricity through the national grid, with only a small share 0.2% using solar panels. Both urban and rural homes spend about the same average expenditure on electricity of about AMD 7,948.3 (USD 20.1).</w:t>
      </w:r>
    </w:p>
    <w:bookmarkEnd w:id="20"/>
    <w:bookmarkStart w:id="21" w:name="Xb714aee89cfb846468e9b264c6a1eb782b8d63f"/>
    <w:p>
      <w:pPr>
        <w:pStyle w:val="Heading2"/>
      </w:pPr>
      <w:r>
        <w:t xml:space="preserve">2 Household exposure to the agricultural sector</w:t>
      </w:r>
    </w:p>
    <w:p>
      <w:pPr>
        <w:pStyle w:val="FirstParagraph"/>
      </w:pPr>
      <w:r>
        <w:t xml:space="preserve">About a fourth of all Armenian households (23.4%) had a monthly agricultural income component; a number that rises to 61% when discussing rural households, with that income representing an average 22.6% of total income. 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 Decile Average total income Average agricultural Income Average agricultural income share of total income 1 272,739.6 54,013.3 20.7% 2 277,204.7 47,470.2 19.3% 3 308,608.9 75,184.5 22.0% 4 280,508.0 51,349.7 18.3% 5 306,497.2 68,414.4 24.0% 6 301,499.4 69,378.7 22.8% 7 315,422.2 72,267.4 21.5% 8 337,909.6 78,487.8 25.5% 9 295,644.2 78,357.8 23.5% 10 315,725.2 92,134.7 26.3% Country 303,234.5 70,156.4 22.6% Source: author based on Integrated Living Conditions Survey, 2022 (ARMSTAT, 2023). Note: column three is the average of the share calculated at the household level and weighted by population weights, not column two divided by column one.</w:t>
      </w:r>
    </w:p>
    <w:p>
      <w:pPr>
        <w:pStyle w:val="BodyText"/>
      </w:pPr>
      <w:r>
        <w:t xml:space="preserve">While only 23.4% of households, derive income from the agricultural sector, exposure to agriculture is larger, since 41% of households use land for agricultural purposes (owned and/or rented). A total of 98% out of the 328,438 households that use agricultural land own their plots, and 5.3% of those (also) rented. The average area used by households for agricultural purposes is 7,329.9 m2, of which an average 70.6%, or 5,551.2 m2, is used for crops.</w:t>
      </w:r>
    </w:p>
    <w:bookmarkEnd w:id="21"/>
    <w:bookmarkStart w:id="24" w:name="X72c9f2f6e3b6608720872994c443b27a41b790f"/>
    <w:p>
      <w:pPr>
        <w:pStyle w:val="Heading2"/>
      </w:pPr>
      <w:r>
        <w:t xml:space="preserve">3 Household reliance on firewood for heating</w:t>
      </w:r>
    </w:p>
    <w:bookmarkStart w:id="22" w:name="expenditure-elasticities-for-fuelwood"/>
    <w:p>
      <w:pPr>
        <w:pStyle w:val="Heading3"/>
      </w:pPr>
      <w:r>
        <w:t xml:space="preserve">3.1 Expenditure elasticities for fuelwood</w:t>
      </w:r>
    </w:p>
    <w:p>
      <w:pPr>
        <w:pStyle w:val="FirstParagraph"/>
      </w:pPr>
      <w:r>
        <w:t xml:space="preserve">Most homes in Armenia use natural gas for heating (61.9% or 495,203 households), but an important 23.8% (190,884 households) use wood for heating, followed by 21.7% that use electricity and 8.2% pressed dung. 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t xml:space="preserve">While there is a market for fuelwood, many homes do not pay for fuelwood annually. Figure 2 shows the distribution for this concept, showing a clear component of households paying zero Dram for their fuelwood consumption annually. This is possibly related to those households that collect wood for free. However, as shown in Table 3,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t xml:space="preserve">Source: Integrated Living Conditions Survey, 2022 (ARMSTAT, 2023). Table 3. Average fuelwood expenditure and quantity used annually and in the month prior to the survey Area Average monthly household total expenditure (Dram) Average monthly household energy expenditure (Dram) Fuelwood expenditure in month prior to survey (Dram) Fuelwood quantity used in month prior to survey (m3) Fuelwood expenditure annually (Dram) Fuelwood quantity used annually (m3) URBAN 187,752.5 12,700.4 2,510.2 0.6 116,428.6 6.4 RURAL 201,881.6 15,652.8 1,821.9 0.6 131,653.5 6.8 Country 192,673.8 13,728.7 1,977.6 0.6 128,209.2 6.7 Source: author based on Integrated Living Conditions Survey, 2022 (ARMSTAT, 2023).</w:t>
      </w:r>
    </w:p>
    <w:p>
      <w:pPr>
        <w:pStyle w:val="BodyText"/>
      </w:pPr>
      <w:r>
        <w:t xml:space="preserve">However, an expenditure elasticity of annual wood expenditure across income deciles (when moving from decile to decile) 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4). The higher expenditure elasticity for fuelwood in decile 5 could be indicative of larger household sizes or larger homes that require more wood for heating and cooking.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 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4. Expenditure elasticity of annual wood expenditure across deciles Decile Elasticity of Annual Wood Quantity Used 1 - 2 0.5 3 0.2 4 1.6 5 3.3 6 2.1 7 -0.3 8 0.4 9 -0.1 10 -0.2 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5. Expenditure elasticity of natural gas expenditure across deciles Decile Elasticity 1 - 2 0.62 3 0.10 4 -0.88 5 -0.44 6 0.22 7 -0.29 8 -0.48 9 -6.59 10 -0.55 Source: author based on Integrated Living Conditions Survey, 2022 (ARMSTAT, 2023).</w:t>
      </w:r>
    </w:p>
    <w:bookmarkEnd w:id="22"/>
    <w:bookmarkStart w:id="23"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 To better understand this, a linear model was conducted on household data for Armenia (to explain annual wood quantity used by household as determined by Marz, urban/rural, total household income, hectares of forests per thousand inhabitants by Marz (see Table 6),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 (Adjusted R-squared: 0.2208), but the results are interesting as shown in Table 7. The baseline level of annual wood consumption is high (with an intercept 26.51 cubic meters of wood). The effect of administrative division is small and statistically insignificant (Marz 0.02603). The effect of being in a rural area, compared to an urban area, is significant (Urban/Rural 0.4193 at p = 0.0402). This indicates that for each unit increase in total income, wood consumption increases by approximately 0.0000029 cubic meters per year. This effect is highly significant (p &lt; 2e-16), suggesting a positive relationship between income and wood consumption, which is counterintuitive.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6. Hectares of forest per thousand inhabitants Marz Forested areas (Ha) Not Forested areas (Ha) Total area (Ha) Population 2020 (thousand inhabitants) Hectares of forest per thousand inhabitants Yerevan - 23,246.8 23,246.8 1,084.0 - Aragatsotn 1,948.2 270,744.9 272,693.1 26.8 72.7 Ararat 3,417.5 207,130.8 210,548.3 72.1 47.4 Armavir 196.5 125,429.7 125,626.2 82.4 2.4 Gegharkunik 13,525.9 383,155.5 396,681.4 66.6 203.1 Lori 81,492.8 293,208.2 374,701.0 126.1 646.3 Kotayk 11,571.6 199,289.4 210,861.0 136.8 84.6 Shirak 882.2 269,527.6 270,409.8 135.6 6.5 Syunik 44,390.9 402,134.9 446,525.9 93.2 476.3 Vayots Dzor 2,500.0 226,086.5 228,586.5 17.1 146.2 Tavush 121,962.8 149,079.3 271,042.2 93.2 1,308.6 Source: author land use land cover information from ESA CCI Land Cover time-series v.2.0.7, 1992-2020 (ESA, 2023) and population data (ARMSTAT, 2020).</w:t>
      </w:r>
    </w:p>
    <w:p>
      <w:pPr>
        <w:pStyle w:val="BodyText"/>
      </w:pPr>
      <w:r>
        <w:t xml:space="preserve">Table 7. Regression results on the determinants of fuelwood use Residuals: Min 1Q Median 3Q Max -17.4692 -1.7613 -0.5436 1.2742 13.9099</w:t>
      </w:r>
    </w:p>
    <w:p>
      <w:pPr>
        <w:pStyle w:val="SourceCode"/>
      </w:pPr>
      <w:r>
        <w:rPr>
          <w:rStyle w:val="VerbatimChar"/>
        </w:rPr>
        <w:t xml:space="preserve">Estimate    Std. Error  t value Pr(&gt;|t|)    </w:t>
      </w:r>
    </w:p>
    <w:p>
      <w:pPr>
        <w:pStyle w:val="FirstParagraph"/>
      </w:pPr>
      <w:r>
        <w:t xml:space="preserve">(Intercept) 2.65E+01 1.62E+01 1.64 0.1012</w:t>
      </w:r>
      <w:r>
        <w:br/>
      </w:r>
      <w:r>
        <w:t xml:space="preserve">Marz 2.60E-02 3.38E-02 0.77 0.4412</w:t>
      </w:r>
      <w:r>
        <w:br/>
      </w:r>
      <w:r>
        <w:t xml:space="preserve">Urban/Rural 4.19E-01 2.04E-01 2.054 0.0402</w:t>
      </w:r>
      <w:r>
        <w:t xml:space="preserve"> </w:t>
      </w:r>
      <w:r>
        <w:rPr>
          <w:iCs/>
          <w:i/>
        </w:rPr>
        <w:t xml:space="preserve">Total income 2.92E-06 3.14E-07 9.304 &lt;2e-16</w:t>
      </w:r>
      <w:r>
        <w:t xml:space="preserve"> </w:t>
      </w:r>
      <w:r>
        <w:rPr>
          <w:bCs/>
          <w:b/>
        </w:rPr>
        <w:t xml:space="preserve">Forest cover per thousand inhabitants 3.45E-03 3.32E-04 10.38 &lt;2e-16</w:t>
      </w:r>
      <w:r>
        <w:t xml:space="preserve"> </w:t>
      </w:r>
      <w:r>
        <w:rPr>
          <w:iCs/>
          <w:i/>
        </w:rPr>
        <w:t xml:space="preserve">Average price of natural gas -1.66E-01 1.16E-01 -1.425 0.1543</w:t>
      </w:r>
      <w:r>
        <w:br/>
      </w:r>
      <w:r>
        <w:rPr>
          <w:iCs/>
          <w:i/>
        </w:rPr>
        <w:t xml:space="preserve">Average electricity expenditure 9.09E-05 1.00E-04 0.907 0.3644</w:t>
      </w:r>
      <w:r>
        <w:br/>
      </w:r>
      <w:r>
        <w:rPr>
          <w:iCs/>
          <w:i/>
        </w:rPr>
        <w:t xml:space="preserve">Signif. codes: 0 ’</w:t>
      </w:r>
      <w:r>
        <w:rPr>
          <w:bCs/>
          <w:b/>
        </w:rPr>
        <w:t xml:space="preserve">’ 0.001 ’</w:t>
      </w:r>
      <w:r>
        <w:t xml:space="preserve">’ 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 Residual standard error: 2.894 on 1393 degrees of freedom (3784 observations deleted due to missingness) Multiple R-squared: 0.2241, Adjusted R-squared: 0.2208 F-statistic: 67.06 on 6 and 1393 DF, p-value: &lt; 2.2e-16</w:t>
      </w:r>
    </w:p>
    <w:p>
      <w:pPr>
        <w:pStyle w:val="BodyText"/>
      </w:pPr>
      <w:r>
        <w:t xml:space="preserve">Overall, it can be concluded that there is an income effect that is counter intuitive. Higher income is associated with increased wood consumption. This could indicate that wealthier households consume more wood, possibly due to larger homes, and a strong cultural preference for wood as a fuel source. Rural areas tend to use more wood as expected and this is a significant predictor. Forest availability is also a strong predictor, suggesting that more available forest resources lead to higher wood consumption. There’s a tendency for wood consumption to decrease as natural gas prices increase, though this is only marginally significant and general electricity expenditure does not seem to be a significant determinant of wood consumption at all.</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2024-02-26T16:26:25Z</dcterms:created>
  <dcterms:modified xsi:type="dcterms:W3CDTF">2024-02-26T16:26:25Z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