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r>
        <w:t xml:space="preserve"> </w:t>
      </w:r>
      <w:r>
        <w:t xml:space="preserve">Decile Average dwelling area (m2) Average imputed rent (Dram per month) Average net present value of rent (2050 horizon)</w:t>
      </w:r>
      <w:r>
        <w:t xml:space="preserve"> </w:t>
      </w:r>
      <w:r>
        <w:t xml:space="preserve">1 89.4 45,632.3 14,565,638.7</w:t>
      </w:r>
      <w:r>
        <w:t xml:space="preserve"> </w:t>
      </w:r>
      <w:r>
        <w:t xml:space="preserve">2 91.1 51,149.9 16,326,813.0</w:t>
      </w:r>
      <w:r>
        <w:t xml:space="preserve"> </w:t>
      </w:r>
      <w:r>
        <w:t xml:space="preserve">3 91.1 52,635.7 16,801,095.0</w:t>
      </w:r>
      <w:r>
        <w:t xml:space="preserve"> </w:t>
      </w:r>
      <w:r>
        <w:t xml:space="preserve">4 89.5 55,010.5 17,559,108.4</w:t>
      </w:r>
      <w:r>
        <w:t xml:space="preserve"> </w:t>
      </w:r>
      <w:r>
        <w:t xml:space="preserve">5 88.3 53,896.9 17,203,666.3</w:t>
      </w:r>
      <w:r>
        <w:t xml:space="preserve"> </w:t>
      </w:r>
      <w:r>
        <w:t xml:space="preserve">6 87.2 54,230.5 17,310,143.3</w:t>
      </w:r>
      <w:r>
        <w:t xml:space="preserve"> </w:t>
      </w:r>
      <w:r>
        <w:t xml:space="preserve">7 93.0 54,532.6 17,406,560.2</w:t>
      </w:r>
      <w:r>
        <w:t xml:space="preserve"> </w:t>
      </w:r>
      <w:r>
        <w:t xml:space="preserve">8 89.1 52,558.3 16,776,366.9</w:t>
      </w:r>
      <w:r>
        <w:t xml:space="preserve"> </w:t>
      </w:r>
      <w:r>
        <w:t xml:space="preserve">9 86.7 56,791.0 18,127,439.9</w:t>
      </w:r>
      <w:r>
        <w:t xml:space="preserve"> </w:t>
      </w:r>
      <w:r>
        <w:t xml:space="preserve">10 87.5 59,735.1 19,067,188.6</w:t>
      </w:r>
      <w:r>
        <w:t xml:space="preserve"> </w:t>
      </w:r>
      <w:r>
        <w:t xml:space="preserve">Country 89.0 54,338.1 17,344,482.6</w:t>
      </w:r>
      <w:r>
        <w:t xml:space="preserve"> </w:t>
      </w:r>
      <w:r>
        <w:t xml:space="preserve">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r>
        <w:t xml:space="preserve"> </w:t>
      </w:r>
      <w:r>
        <w:t xml:space="preserve">Decile Average total</w:t>
      </w:r>
      <w:r>
        <w:t xml:space="preserve"> </w:t>
      </w:r>
      <w:r>
        <w:t xml:space="preserve">income Average agricultural</w:t>
      </w:r>
      <w:r>
        <w:t xml:space="preserve"> </w:t>
      </w:r>
      <w:r>
        <w:t xml:space="preserve">Income Average agricultural income</w:t>
      </w:r>
      <w:r>
        <w:t xml:space="preserve"> </w:t>
      </w:r>
      <w:r>
        <w:t xml:space="preserve">share of total income</w:t>
      </w:r>
      <w:r>
        <w:t xml:space="preserve"> </w:t>
      </w:r>
      <w:r>
        <w:t xml:space="preserve">1 272,739.6 54,013.3 20.7%</w:t>
      </w:r>
      <w:r>
        <w:t xml:space="preserve"> </w:t>
      </w:r>
      <w:r>
        <w:t xml:space="preserve">2 277,204.7 47,470.2 19.3%</w:t>
      </w:r>
      <w:r>
        <w:t xml:space="preserve"> </w:t>
      </w:r>
      <w:r>
        <w:t xml:space="preserve">3 308,608.9 75,184.5 22.0%</w:t>
      </w:r>
      <w:r>
        <w:t xml:space="preserve"> </w:t>
      </w:r>
      <w:r>
        <w:t xml:space="preserve">4 280,508.0 51,349.7 18.3%</w:t>
      </w:r>
      <w:r>
        <w:t xml:space="preserve"> </w:t>
      </w:r>
      <w:r>
        <w:t xml:space="preserve">5 306,497.2 68,414.4 24.0%</w:t>
      </w:r>
      <w:r>
        <w:t xml:space="preserve"> </w:t>
      </w:r>
      <w:r>
        <w:t xml:space="preserve">6 301,499.4 69,378.7 22.8%</w:t>
      </w:r>
      <w:r>
        <w:t xml:space="preserve"> </w:t>
      </w:r>
      <w:r>
        <w:t xml:space="preserve">7 315,422.2 72,267.4 21.5%</w:t>
      </w:r>
      <w:r>
        <w:t xml:space="preserve"> </w:t>
      </w:r>
      <w:r>
        <w:t xml:space="preserve">8 337,909.6 78,487.8 25.5%</w:t>
      </w:r>
      <w:r>
        <w:t xml:space="preserve"> </w:t>
      </w:r>
      <w:r>
        <w:t xml:space="preserve">9 295,644.2 78,357.8 23.5%</w:t>
      </w:r>
      <w:r>
        <w:t xml:space="preserve"> </w:t>
      </w:r>
      <w:r>
        <w:t xml:space="preserve">10 315,725.2 92,134.7 26.3%</w:t>
      </w:r>
      <w:r>
        <w:t xml:space="preserve"> </w:t>
      </w:r>
      <w:r>
        <w:t xml:space="preserve">Country 303,234.5 70,156.4 22.6%</w:t>
      </w:r>
      <w:r>
        <w:t xml:space="preserve"> </w:t>
      </w:r>
      <w:r>
        <w:t xml:space="preserve">Source: author based on Integrated Living Conditions Survey, 2022 (ARMSTAT, 2023).</w:t>
      </w:r>
      <w:r>
        <w:t xml:space="preserve"> </w:t>
      </w:r>
      <w:r>
        <w:t xml:space="preserve">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r>
        <w:t xml:space="preserve"> </w:t>
      </w:r>
      <w:r>
        <w:t xml:space="preserve">Table 3. Average fuelwood expenditure and quantity used annually and in the month prior to the survey</w:t>
      </w:r>
      <w:r>
        <w:t xml:space="preserve"> </w:t>
      </w:r>
      <w:r>
        <w:t xml:space="preserve">Area Average monthly household total expenditure (Dram) Average monthly household energy expenditure (Dram) Fuelwood expenditure in month prior to survey (Dram) Fuelwood quantity used in month prior to survey (m3) Fuelwood expenditure annually</w:t>
      </w:r>
      <w:r>
        <w:t xml:space="preserve"> </w:t>
      </w:r>
      <w:r>
        <w:t xml:space="preserve">(Dram) Fuelwood quantity used annually</w:t>
      </w:r>
      <w:r>
        <w:t xml:space="preserve"> </w:t>
      </w:r>
      <w:r>
        <w:t xml:space="preserve">(m3)</w:t>
      </w:r>
      <w:r>
        <w:t xml:space="preserve"> </w:t>
      </w:r>
      <w:r>
        <w:t xml:space="preserve">URBAN 187,752.5 12,700.4 2,510.2 0.6 116,428.6 6.4</w:t>
      </w:r>
      <w:r>
        <w:t xml:space="preserve"> </w:t>
      </w:r>
      <w:r>
        <w:t xml:space="preserve">RURAL 201,881.6 15,652.8 1,821.9 0.6 131,653.5 6.8</w:t>
      </w:r>
      <w:r>
        <w:t xml:space="preserve"> </w:t>
      </w:r>
      <w:r>
        <w:t xml:space="preserve">Country 192,673.8 13,728.7 1,977.6 0.6 128,209.2 6.7</w:t>
      </w:r>
      <w:r>
        <w:t xml:space="preserve"> </w:t>
      </w:r>
      <w:r>
        <w:t xml:space="preserve">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w:t>
      </w:r>
      <w:r>
        <w:t xml:space="preserve"> </w:t>
      </w:r>
      <w:r>
        <w:t xml:space="preserve">Decile Elasticity of Annual Wood Quantity Used</w:t>
      </w:r>
      <w:r>
        <w:t xml:space="preserve"> </w:t>
      </w:r>
      <w:r>
        <w:t xml:space="preserve">1 -</w:t>
      </w:r>
      <w:r>
        <w:t xml:space="preserve"> </w:t>
      </w:r>
      <w:r>
        <w:t xml:space="preserve">2 0.5</w:t>
      </w:r>
      <w:r>
        <w:t xml:space="preserve"> </w:t>
      </w:r>
      <w:r>
        <w:t xml:space="preserve">3 0.2</w:t>
      </w:r>
      <w:r>
        <w:t xml:space="preserve"> </w:t>
      </w:r>
      <w:r>
        <w:t xml:space="preserve">4 1.6</w:t>
      </w:r>
      <w:r>
        <w:t xml:space="preserve"> </w:t>
      </w:r>
      <w:r>
        <w:t xml:space="preserve">5 3.3</w:t>
      </w:r>
      <w:r>
        <w:t xml:space="preserve"> </w:t>
      </w:r>
      <w:r>
        <w:t xml:space="preserve">6 2.1</w:t>
      </w:r>
      <w:r>
        <w:t xml:space="preserve"> </w:t>
      </w:r>
      <w:r>
        <w:t xml:space="preserve">7 -0.3</w:t>
      </w:r>
      <w:r>
        <w:t xml:space="preserve"> </w:t>
      </w:r>
      <w:r>
        <w:t xml:space="preserve">8 0.4</w:t>
      </w:r>
      <w:r>
        <w:t xml:space="preserve"> </w:t>
      </w:r>
      <w:r>
        <w:t xml:space="preserve">9 -0.1</w:t>
      </w:r>
      <w:r>
        <w:t xml:space="preserve"> </w:t>
      </w:r>
      <w:r>
        <w:t xml:space="preserve">10 -0.2</w:t>
      </w:r>
      <w:r>
        <w:t xml:space="preserve"> </w:t>
      </w: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w:t>
      </w:r>
      <w:r>
        <w:t xml:space="preserve"> </w:t>
      </w:r>
      <w:r>
        <w:t xml:space="preserve">Decile Elasticity</w:t>
      </w:r>
      <w:r>
        <w:t xml:space="preserve"> </w:t>
      </w:r>
      <w:r>
        <w:t xml:space="preserve">1 -</w:t>
      </w:r>
      <w:r>
        <w:t xml:space="preserve"> </w:t>
      </w:r>
      <w:r>
        <w:t xml:space="preserve">2 0.62</w:t>
      </w:r>
      <w:r>
        <w:t xml:space="preserve"> </w:t>
      </w:r>
      <w:r>
        <w:t xml:space="preserve">3 0.10</w:t>
      </w:r>
      <w:r>
        <w:t xml:space="preserve"> </w:t>
      </w:r>
      <w:r>
        <w:t xml:space="preserve">4 -0.88</w:t>
      </w:r>
      <w:r>
        <w:t xml:space="preserve"> </w:t>
      </w:r>
      <w:r>
        <w:t xml:space="preserve">5 -0.44</w:t>
      </w:r>
      <w:r>
        <w:t xml:space="preserve"> </w:t>
      </w:r>
      <w:r>
        <w:t xml:space="preserve">6 0.22</w:t>
      </w:r>
      <w:r>
        <w:t xml:space="preserve"> </w:t>
      </w:r>
      <w:r>
        <w:t xml:space="preserve">7 -0.29</w:t>
      </w:r>
      <w:r>
        <w:t xml:space="preserve"> </w:t>
      </w:r>
      <w:r>
        <w:t xml:space="preserve">8 -0.48</w:t>
      </w:r>
      <w:r>
        <w:t xml:space="preserve"> </w:t>
      </w:r>
      <w:r>
        <w:t xml:space="preserve">9 -6.59</w:t>
      </w:r>
      <w:r>
        <w:t xml:space="preserve"> </w:t>
      </w:r>
      <w:r>
        <w:t xml:space="preserve">10 -0.55</w:t>
      </w:r>
      <w:r>
        <w:t xml:space="preserve"> </w:t>
      </w:r>
      <w:r>
        <w:t xml:space="preserve">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r>
        <w:t xml:space="preserve"> </w:t>
      </w:r>
      <w:r>
        <w:t xml:space="preserve">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w:t>
      </w:r>
      <w:r>
        <w:t xml:space="preserve"> </w:t>
      </w:r>
      <w:r>
        <w:t xml:space="preserve">Marz Forested areas (Ha) Not Forested areas (Ha) Total area (Ha) Population 2020 (thousand inhabitants) Hectares of forest per thousand inhabitants</w:t>
      </w:r>
      <w:r>
        <w:t xml:space="preserve"> </w:t>
      </w:r>
      <w:r>
        <w:t xml:space="preserve">Yerevan - 23,246.8 23,246.8 1,084.0 -</w:t>
      </w:r>
      <w:r>
        <w:t xml:space="preserve"> </w:t>
      </w:r>
      <w:r>
        <w:t xml:space="preserve">Aragatsotn 1,948.2 270,744.9 272,693.1 26.8 72.7</w:t>
      </w:r>
      <w:r>
        <w:t xml:space="preserve"> </w:t>
      </w:r>
      <w:r>
        <w:t xml:space="preserve">Ararat 3,417.5 207,130.8 210,548.3 72.1 47.4</w:t>
      </w:r>
      <w:r>
        <w:t xml:space="preserve"> </w:t>
      </w:r>
      <w:r>
        <w:t xml:space="preserve">Armavir 196.5 125,429.7 125,626.2 82.4 2.4</w:t>
      </w:r>
      <w:r>
        <w:t xml:space="preserve"> </w:t>
      </w:r>
      <w:r>
        <w:t xml:space="preserve">Gegharkunik 13,525.9 383,155.5 396,681.4 66.6 203.1</w:t>
      </w:r>
      <w:r>
        <w:t xml:space="preserve"> </w:t>
      </w:r>
      <w:r>
        <w:t xml:space="preserve">Lori 81,492.8 293,208.2 374,701.0 126.1 646.3</w:t>
      </w:r>
      <w:r>
        <w:t xml:space="preserve"> </w:t>
      </w:r>
      <w:r>
        <w:t xml:space="preserve">Kotayk 11,571.6 199,289.4 210,861.0 136.8 84.6</w:t>
      </w:r>
      <w:r>
        <w:t xml:space="preserve"> </w:t>
      </w:r>
      <w:r>
        <w:t xml:space="preserve">Shirak 882.2 269,527.6 270,409.8 135.6 6.5</w:t>
      </w:r>
      <w:r>
        <w:t xml:space="preserve"> </w:t>
      </w:r>
      <w:r>
        <w:t xml:space="preserve">Syunik 44,390.9 402,134.9 446,525.9 93.2 476.3</w:t>
      </w:r>
      <w:r>
        <w:t xml:space="preserve"> </w:t>
      </w:r>
      <w:r>
        <w:t xml:space="preserve">Vayots Dzor 2,500.0 226,086.5 228,586.5 17.1 146.2</w:t>
      </w:r>
      <w:r>
        <w:t xml:space="preserve"> </w:t>
      </w:r>
      <w:r>
        <w:t xml:space="preserve">Tavush 121,962.8 149,079.3 271,042.2 93.2 1,308.6</w:t>
      </w:r>
      <w:r>
        <w:t xml:space="preserve"> </w:t>
      </w:r>
      <w:r>
        <w:t xml:space="preserve">Source: author land use land cover information from ESA CCI Land Cover time-series v.2.0.7, 1992-2020 (ESA, 2023) and population data (ARMSTAT, 2020).</w:t>
      </w:r>
    </w:p>
    <w:p>
      <w:pPr>
        <w:pStyle w:val="BodyText"/>
      </w:pPr>
      <w:r>
        <w:t xml:space="preserve">Table 7. Regression results on the determinants of fuelwood use</w:t>
      </w:r>
      <w:r>
        <w:t xml:space="preserve"> </w:t>
      </w:r>
      <w:r>
        <w:t xml:space="preserve">Residuals: Min 1Q Median 3Q Max</w:t>
      </w:r>
      <w:r>
        <w:t xml:space="preserve"> </w:t>
      </w:r>
      <w:r>
        <w:t xml:space="preserve">-17.4692 -1.7613 -0.5436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 </w:t>
      </w:r>
      <w:r>
        <w:rPr>
          <w:iCs/>
          <w:i/>
        </w:rPr>
        <w:t xml:space="preserve">Total income 2.92E-06 3.14E-07 9.304 &lt;2e-16</w:t>
      </w:r>
      <w:r>
        <w:rPr>
          <w:iCs/>
          <w:i/>
        </w:rPr>
        <w:t xml:space="preserve"> </w:t>
      </w:r>
      <w:r>
        <w:rPr>
          <w:bCs/>
          <w:b/>
        </w:rPr>
        <w:t xml:space="preserve"> </w:t>
      </w:r>
      <w:r>
        <w:rPr>
          <w:bCs/>
          <w:b/>
        </w:rPr>
        <w:t xml:space="preserve">Forest cover per thousand inhabitants 3.45E-03 3.32E-04 10.38 &lt;2e-16</w:t>
      </w:r>
      <w:r>
        <w:rPr>
          <w:bCs/>
          <w:b/>
        </w:rPr>
        <w:t xml:space="preserve"> </w:t>
      </w:r>
      <w:r>
        <w:t xml:space="preserve">*</w:t>
      </w:r>
      <w:r>
        <w:t xml:space="preserve"> </w:t>
      </w:r>
      <w:r>
        <w:t xml:space="preserve">Average price of natural gas -1.66E-01 1.16E-01 -1.425 0.1543</w:t>
      </w:r>
      <w:r>
        <w:br/>
      </w:r>
      <w:r>
        <w:t xml:space="preserve">Average electricity expenditure 9.09E-05 1.00E-04 0.907 0.3644</w:t>
      </w:r>
      <w:r>
        <w:br/>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r>
        <w:t xml:space="preserve"> </w:t>
      </w:r>
      <w:r>
        <w:t xml:space="preserve">Residual standard error: 2.894 on 1393 degrees of freedom (3784 observations deleted due to missingness)</w:t>
      </w:r>
      <w:r>
        <w:t xml:space="preserve"> </w:t>
      </w:r>
      <w:r>
        <w:t xml:space="preserve">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2024-02-10T17:26:34Z</dcterms:created>
  <dcterms:modified xsi:type="dcterms:W3CDTF">2024-02-10T17:26:34Z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