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90.png" ContentType="image/png"/>
  <Override PartName="/word/media/rId93.png" ContentType="image/png"/>
  <Override PartName="/word/media/rId96.png" ContentType="image/png"/>
  <Override PartName="/word/media/rId99.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6"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w:t>
            </w:r>
            <w:r>
              <w:br/>
            </w:r>
            <w:r>
              <w:rPr>
                <w:rStyle w:val="VerbatimChar"/>
              </w:rPr>
              <w:t xml:space="preserve">       aes(x = aec_r_2030_nzs, fill = 'NZS')) +</w:t>
            </w:r>
            <w:r>
              <w:br/>
            </w:r>
            <w:r>
              <w:rPr>
                <w:rStyle w:val="VerbatimChar"/>
              </w:rPr>
              <w:t xml:space="preserve">  geom_density(alpha = 0.3)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w:t>
            </w:r>
            <w:r>
              <w:br/>
            </w:r>
            <w:r>
              <w:rPr>
                <w:rStyle w:val="VerbatimChar"/>
              </w:rPr>
              <w:t xml:space="preserve">    alpha = 0.3)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w:t>
            </w:r>
            <w:r>
              <w:br/>
            </w:r>
            <w:r>
              <w:rPr>
                <w:rStyle w:val="VerbatimChar"/>
              </w:rPr>
              <w:t xml:space="preserve">    alpha = 0.3)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aes(x = aec_r_2030_nzs, color = 'NZS')) +</w:t>
            </w:r>
            <w:r>
              <w:br/>
            </w:r>
            <w:r>
              <w:rPr>
                <w:rStyle w:val="VerbatimChar"/>
              </w:rPr>
              <w:t xml:space="preserve">  stat_ecdf(geom = "step") +</w:t>
            </w:r>
            <w:r>
              <w:br/>
            </w:r>
            <w:r>
              <w:rPr>
                <w:rStyle w:val="VerbatimChar"/>
              </w:rPr>
              <w:t xml:space="preserve">  stat_ecdf(data = ca_microsim,</w:t>
            </w:r>
            <w:r>
              <w:br/>
            </w:r>
            <w:r>
              <w:rPr>
                <w:rStyle w:val="VerbatimChar"/>
              </w:rPr>
              <w:t xml:space="preserve">            aes(x = aec_r_2030_dry_hot, color = 'Dry/Hot')) +</w:t>
            </w:r>
            <w:r>
              <w:br/>
            </w:r>
            <w:r>
              <w:rPr>
                <w:rStyle w:val="VerbatimChar"/>
              </w:rPr>
              <w:t xml:space="preserve">  stat_ecdf(data = ca_microsim,</w:t>
            </w:r>
            <w:r>
              <w:br/>
            </w:r>
            <w:r>
              <w:rPr>
                <w:rStyle w:val="VerbatimChar"/>
              </w:rPr>
              <w:t xml:space="preserve">            aes(x = aec_r_2030_baseline, color = 'Baseline'))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 +</w:t>
            </w:r>
            <w:r>
              <w:br/>
            </w:r>
            <w:r>
              <w:rPr>
                <w:rStyle w:val="VerbatimChar"/>
              </w:rPr>
              <w:t xml:space="preserve">  annotate("segment", </w:t>
            </w:r>
            <w:r>
              <w:br/>
            </w:r>
            <w:r>
              <w:rPr>
                <w:rStyle w:val="VerbatimChar"/>
              </w:rPr>
              <w:t xml:space="preserve">           x = 70000, </w:t>
            </w:r>
            <w:r>
              <w:br/>
            </w:r>
            <w:r>
              <w:rPr>
                <w:rStyle w:val="VerbatimChar"/>
              </w:rPr>
              <w:t xml:space="preserve">           xend = 65000, </w:t>
            </w:r>
            <w:r>
              <w:br/>
            </w:r>
            <w:r>
              <w:rPr>
                <w:rStyle w:val="VerbatimChar"/>
              </w:rPr>
              <w:t xml:space="preserve">           y = 0.2, </w:t>
            </w:r>
            <w:r>
              <w:br/>
            </w:r>
            <w:r>
              <w:rPr>
                <w:rStyle w:val="VerbatimChar"/>
              </w:rPr>
              <w:t xml:space="preserve">           yend = 0.2,</w:t>
            </w:r>
            <w:r>
              <w:br/>
            </w:r>
            <w:r>
              <w:rPr>
                <w:rStyle w:val="VerbatimChar"/>
              </w:rPr>
              <w:t xml:space="preserve">           arrow = arrow(length = unit(0.3, "cm")), </w:t>
            </w:r>
            <w:r>
              <w:br/>
            </w:r>
            <w:r>
              <w:rPr>
                <w:rStyle w:val="VerbatimChar"/>
              </w:rPr>
              <w:t xml:space="preserve">           color = "black") +</w:t>
            </w:r>
            <w:r>
              <w:br/>
            </w:r>
            <w:r>
              <w:rPr>
                <w:rStyle w:val="VerbatimChar"/>
              </w:rPr>
              <w:t xml:space="preserve">  annotate("text", </w:t>
            </w:r>
            <w:r>
              <w:br/>
            </w:r>
            <w:r>
              <w:rPr>
                <w:rStyle w:val="VerbatimChar"/>
              </w:rPr>
              <w:t xml:space="preserve">           x = 72500, </w:t>
            </w:r>
            <w:r>
              <w:br/>
            </w:r>
            <w:r>
              <w:rPr>
                <w:rStyle w:val="VerbatimChar"/>
              </w:rPr>
              <w:t xml:space="preserve">           y = 0.2,</w:t>
            </w:r>
            <w:r>
              <w:br/>
            </w:r>
            <w:r>
              <w:rPr>
                <w:rStyle w:val="VerbatimChar"/>
              </w:rPr>
              <w:t xml:space="preserve">           label = "Shift due to scenario conditions", </w:t>
            </w:r>
            <w:r>
              <w:br/>
            </w:r>
            <w:r>
              <w:rPr>
                <w:rStyle w:val="VerbatimChar"/>
              </w:rPr>
              <w:t xml:space="preserve">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102"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9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2-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3-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100" name="Picture"/>
            <a:graphic>
              <a:graphicData uri="http://schemas.openxmlformats.org/drawingml/2006/picture">
                <pic:pic>
                  <pic:nvPicPr>
                    <pic:cNvPr descr="microsimulation_files/figure-docx/unnamed-chunk-10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102"/>
    <w:bookmarkStart w:id="103"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103"/>
    <w:bookmarkStart w:id="125"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4-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5-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6-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7-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8-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microsimulation_files/figure-docx/unnamed-chunk-119-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5"/>
    <w:bookmarkEnd w:id="126"/>
    <w:bookmarkStart w:id="130" w:name="end"/>
    <w:p>
      <w:pPr>
        <w:pStyle w:val="Heading2"/>
      </w:pPr>
      <w:r>
        <w:t xml:space="preserve">9 End</w:t>
      </w:r>
    </w:p>
    <w:bookmarkStart w:id="129" w:name="refs"/>
    <w:bookmarkStart w:id="127"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7"/>
    <w:bookmarkStart w:id="128"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2024-06-25T18:41:27Z</dcterms:created>
  <dcterms:modified xsi:type="dcterms:W3CDTF">2024-06-25T18:41:27Z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