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55.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54"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1421</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21,577</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totc.x, imputed_rent, adjusted_rent_by_weight, </w:t>
      </w:r>
      <w:r>
        <w:br/>
      </w:r>
      <w:r>
        <w:rPr>
          <w:rStyle w:val="NormalTok"/>
        </w:rPr>
        <w:t xml:space="preserve">         inc4, adjusted_inc4, ae_r.x, aec_r.x,</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End w:id="54"/>
    <w:bookmarkStart w:id="69" w:name="year-flood-events"/>
    <w:p>
      <w:pPr>
        <w:pStyle w:val="Heading2"/>
      </w:pPr>
      <w:r>
        <w:t xml:space="preserve">8 100 Year flood events</w:t>
      </w:r>
    </w:p>
    <w:bookmarkStart w:id="58"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vulnerability-hh-level-impacts_files/figure-docx/unnamed-chunk-80-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58"/>
    <w:bookmarkStart w:id="59"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59"/>
    <w:bookmarkStart w:id="68"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 Under Vulnerability"</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vulnerability-hh-level-impacts_files/figure-docx/unnamed-chunk-92-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67" w:name="refs"/>
    <w:bookmarkStart w:id="63"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63"/>
    <w:bookmarkStart w:id="65"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64">
        <w:r>
          <w:rPr>
            <w:rStyle w:val="Hyperlink"/>
          </w:rPr>
          <w:t xml:space="preserve">https://documents1.worldbank.org/curated/pt/336451565194643402/pdf/Housing-Imputed-Rent-and-Households-Welfare.pdf</w:t>
        </w:r>
      </w:hyperlink>
    </w:p>
    <w:bookmarkEnd w:id="65"/>
    <w:bookmarkStart w:id="66"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66"/>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hyperlink" Id="rId64"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64"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2024-03-26T01:56:02Z</dcterms:created>
  <dcterms:modified xsi:type="dcterms:W3CDTF">2024-03-26T01:56:02Z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