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3" w:name="fig-map-adm1"/>
          <w:p>
            <w:pPr>
              <w:pStyle w:val="Compact"/>
              <w:jc w:val="center"/>
            </w:pPr>
            <w:r>
              <w:drawing>
                <wp:inline>
                  <wp:extent cx="4620126" cy="3696101"/>
                  <wp:effectExtent b="0" l="0" r="0" t="0"/>
                  <wp:docPr descr="" title="" id="21" name="Picture"/>
                  <a:graphic>
                    <a:graphicData uri="http://schemas.openxmlformats.org/drawingml/2006/picture">
                      <pic:pic>
                        <pic:nvPicPr>
                          <pic:cNvPr descr="geo-microsimulation_files/figure-docx/fig-map-adm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 (ADM1)</w:t>
            </w:r>
          </w:p>
          <w:bookmarkEnd w:id="23"/>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4"/>
    <w:bookmarkStart w:id="26"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5"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5"/>
    <w:bookmarkEnd w:id="26"/>
    <w:bookmarkStart w:id="38"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(ARMSTAT, 2023)</w:t>
      </w:r>
      <w:r>
        <w:t xml:space="preserve">. We take this oportunity to standardize the household identification variable to</w:t>
      </w:r>
      <w:r>
        <w:t xml:space="preserve"> </w:t>
      </w:r>
      <w:r>
        <w:rPr>
          <w:rStyle w:val="VerbatimChar"/>
        </w:rPr>
        <w:t xml:space="preserve">household_id</w:t>
      </w:r>
      <w:r>
        <w:t xml:space="preserve">.</w:t>
      </w:r>
    </w:p>
    <w:bookmarkStart w:id="27"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7"/>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8"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8"/>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29"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29"/>
    <w:p>
      <w:pPr>
        <w:pStyle w:val="FirstParagraph"/>
      </w:pPr>
      <w:r>
        <w:t xml:space="preserve">Our population data comes from UN’s projections.</w:t>
      </w:r>
    </w:p>
    <w:bookmarkStart w:id="30"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0"/>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1"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1"/>
    <w:p>
      <w:pPr>
        <w:pStyle w:val="FirstParagraph"/>
      </w:pPr>
      <w:r>
        <w:t xml:space="preserve">Economic Activities in the Survey is in Georgian. The following dataset is a lookup table with the English names.</w:t>
      </w:r>
    </w:p>
    <w:bookmarkStart w:id="32"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2"/>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3"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3"/>
    <w:p>
      <w:pPr>
        <w:pStyle w:val="FirstParagraph"/>
      </w:pPr>
      <w:r>
        <w:t xml:space="preserve">And we plot it for reference (see</w:t>
      </w:r>
      <w:r>
        <w:t xml:space="preserve"> </w:t>
      </w:r>
      <w:r>
        <w:rPr>
          <w:bCs/>
          <w:b/>
        </w:rPr>
        <w:t xml:space="preserve">?@fig-map-example</w:t>
      </w:r>
      <w:r>
        <w:t xml:space="preserve">). This is done with the tmap R package and the code shown in</w:t>
      </w:r>
      <w:r>
        <w:t xml:space="preserve"> </w:t>
      </w:r>
      <w:r>
        <w:rPr>
          <w:bCs/>
          <w:b/>
        </w:rPr>
        <w:t xml:space="preserve">?@lst-map-example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map-adm1-2"/>
          <w:p>
            <w:pPr>
              <w:pStyle w:val="Compact"/>
              <w:jc w:val="center"/>
            </w:pPr>
            <w:r>
              <w:drawing>
                <wp:inline>
                  <wp:extent cx="4620126" cy="3696101"/>
                  <wp:effectExtent b="0" l="0" r="0" t="0"/>
                  <wp:docPr descr="" title="" id="35" name="Picture"/>
                  <a:graphic>
                    <a:graphicData uri="http://schemas.openxmlformats.org/drawingml/2006/picture">
                      <pic:pic>
                        <pic:nvPicPr>
                          <pic:cNvPr descr="geo-microsimulation_files/figure-docx/fig-map-adm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7"/>
        </w:tc>
      </w:tr>
    </w:tbl>
    <w:bookmarkEnd w:id="38"/>
    <w:bookmarkStart w:id="50"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39"/>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0"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0"/>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1"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1"/>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2"/>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3"/>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4"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4"/>
    <w:p>
      <w:pPr>
        <w:pStyle w:val="FirstParagraph"/>
      </w:pPr>
      <w:r>
        <w:t xml:space="preserve">We provide value labels for sector factors.</w:t>
      </w:r>
    </w:p>
    <w:bookmarkStart w:id="45"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5"/>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6"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6"/>
        </w:tc>
      </w:tr>
    </w:tbl>
    <w:bookmarkStart w:id="48" w:name="refs"/>
    <w:bookmarkStart w:id="47"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2024-09-21T01:00:41Z</dcterms:created>
  <dcterms:modified xsi:type="dcterms:W3CDTF">2024-09-21T01:00:41Z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