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r>
        <w:t xml:space="preserve"> </w:t>
      </w:r>
      <w:hyperlink r:id="rId20">
        <w:r>
          <w:rPr>
            <w:rStyle w:val="Hyperlink"/>
          </w:rPr>
          <w:t xml:space="preserve">available in this repository</w:t>
        </w:r>
      </w:hyperlink>
      <w:r>
        <w:t xml:space="preserve">.</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4" w:name="fig-map-adm1"/>
          <w:p>
            <w:pPr>
              <w:pStyle w:val="Compact"/>
              <w:jc w:val="center"/>
            </w:pPr>
            <w:r>
              <w:drawing>
                <wp:inline>
                  <wp:extent cx="4620126" cy="3696101"/>
                  <wp:effectExtent b="0" l="0" r="0" t="0"/>
                  <wp:docPr descr="" title="" id="22" name="Picture"/>
                  <a:graphic>
                    <a:graphicData uri="http://schemas.openxmlformats.org/drawingml/2006/picture">
                      <pic:pic>
                        <pic:nvPicPr>
                          <pic:cNvPr descr="geo-microsimulation_files/figure-docx/fig-map-adm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w:t>
            </w:r>
          </w:p>
          <w:bookmarkEnd w:id="24"/>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 eval: false</w:t>
      </w:r>
      <w:r>
        <w:br/>
      </w: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5"/>
    <w:bookmarkStart w:id="27"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6"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6"/>
    <w:bookmarkEnd w:id="27"/>
    <w:bookmarkStart w:id="40"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(GEOSTAT, 2023)</w:t>
      </w:r>
      <w:r>
        <w:t xml:space="preserve">. We take this oportunity to standardize the household identification variable to</w:t>
      </w:r>
      <w:r>
        <w:t xml:space="preserve"> </w:t>
      </w:r>
      <w:r>
        <w:rPr>
          <w:rStyle w:val="VerbatimChar"/>
        </w:rPr>
        <w:t xml:space="preserve">household_id</w:t>
      </w:r>
      <w:r>
        <w:t xml:space="preserve">.</w:t>
      </w:r>
    </w:p>
    <w:bookmarkStart w:id="28"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8"/>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9"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9"/>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30"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30"/>
    <w:p>
      <w:pPr>
        <w:pStyle w:val="FirstParagraph"/>
      </w:pPr>
      <w:r>
        <w:t xml:space="preserve">Our population data comes from UN’s projections.</w:t>
      </w:r>
    </w:p>
    <w:bookmarkStart w:id="31"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1"/>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2"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2"/>
    <w:p>
      <w:pPr>
        <w:pStyle w:val="FirstParagraph"/>
      </w:pPr>
      <w:r>
        <w:t xml:space="preserve">Economic Activities in the Survey is in Georgian. The following dataset is a lookup table with the English names.</w:t>
      </w:r>
    </w:p>
    <w:bookmarkStart w:id="33"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3"/>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4"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4"/>
    <w:p>
      <w:pPr>
        <w:pStyle w:val="FirstParagraph"/>
      </w:pPr>
      <w:r>
        <w:t xml:space="preserve">And we plot it for reference (see</w:t>
      </w:r>
      <w:r>
        <w:t xml:space="preserve"> </w:t>
      </w:r>
      <w:hyperlink w:anchor="fig-map-adm1-2">
        <w:r>
          <w:rPr>
            <w:rStyle w:val="Hyperlink"/>
          </w:rPr>
          <w:t xml:space="preserve">Figure 2</w:t>
        </w:r>
      </w:hyperlink>
      <w:r>
        <w:t xml:space="preserve">). This is done with the tmap R package and the code shown below.</w:t>
      </w:r>
    </w:p>
    <w:bookmarkStart w:id="35" w:name="lst-map-example"/>
    <w:p>
      <w:pPr>
        <w:pStyle w:val="SourceCode"/>
      </w:pP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bookmarkEnd w:id="35"/>
    <w:tbl>
      <w:tblPr>
        <w:tblStyle w:val="Table"/>
        <w:tblW w:type="pct" w:w="5000"/>
        <w:tblLook w:firstRow="0" w:lastRow="0" w:firstColumn="0" w:lastColumn="0" w:noHBand="0" w:noVBand="0" w:val="0000"/>
        <w:jc w:val="start"/>
        <w:tblLayout w:type="fixed"/>
      </w:tblPr>
      <w:tblGrid>
        <w:gridCol w:w="7920"/>
      </w:tblGrid>
      <w:tr>
        <w:tc>
          <w:tcPr/>
          <w:bookmarkStart w:id="39" w:name="fig-map-adm1-2"/>
          <w:p>
            <w:pPr>
              <w:pStyle w:val="Compact"/>
              <w:jc w:val="center"/>
            </w:pPr>
            <w:r>
              <w:drawing>
                <wp:inline>
                  <wp:extent cx="4620126" cy="3696101"/>
                  <wp:effectExtent b="0" l="0" r="0" t="0"/>
                  <wp:docPr descr="" title="" id="37" name="Picture"/>
                  <a:graphic>
                    <a:graphicData uri="http://schemas.openxmlformats.org/drawingml/2006/picture">
                      <pic:pic>
                        <pic:nvPicPr>
                          <pic:cNvPr descr="geo-microsimulation_files/figure-docx/fig-map-adm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9"/>
        </w:tc>
      </w:tr>
    </w:tbl>
    <w:bookmarkEnd w:id="40"/>
    <w:bookmarkStart w:id="54"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49"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1"/>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2"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2"/>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3"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3"/>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4"/>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5"/>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6"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6"/>
    <w:p>
      <w:pPr>
        <w:pStyle w:val="FirstParagraph"/>
      </w:pPr>
      <w:r>
        <w:t xml:space="preserve">We provide value labels for sector factors.</w:t>
      </w:r>
    </w:p>
    <w:bookmarkStart w:id="47"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7"/>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8"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8"/>
        </w:tc>
      </w:tr>
    </w:tbl>
    <w:bookmarkEnd w:id="49"/>
    <w:bookmarkStart w:id="52" w:name="the-regression"/>
    <w:p>
      <w:pPr>
        <w:pStyle w:val="Heading3"/>
      </w:pPr>
      <w:r>
        <w:t xml:space="preserve">4.2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7</w:t>
        </w:r>
      </w:hyperlink>
      <w:r>
        <w:t xml:space="preserve">. For the respondents with available information, we also identified outliers as those outside of five standard deviations from the mean labor income.</w:t>
      </w:r>
    </w:p>
    <w:p>
      <w:pPr>
        <w:pStyle w:val="BodyText"/>
      </w:pPr>
      <w:bookmarkStart w:id="50" w:name="eq-labor-income-regression"/>
      <m:oMathPara>
        <m:oMathParaPr>
          <m:jc m:val="center"/>
        </m:oMathParaPr>
        <m:oMath>
          <m:m>
            <m:mPr>
              <m:baseJc m:val="center"/>
              <m:plcHide m:val="on"/>
              <m:mcs>
                <m:mc>
                  <m:mcPr>
                    <m:mcJc m:val="right"/>
                    <m:count m:val="1"/>
                  </m:mcPr>
                </m:mc>
              </m:mcs>
            </m:mPr>
            <m:mr>
              <m:e>
                <m:r>
                  <m:rPr>
                    <m:sty m:val="p"/>
                  </m:rPr>
                  <m:t>ln</m:t>
                </m:r>
                <m:d>
                  <m:dPr>
                    <m:begChr m:val="("/>
                    <m:endChr m:val=")"/>
                    <m:sepChr m:val=""/>
                    <m:grow/>
                  </m:dPr>
                  <m:e>
                    <m:r>
                      <m:t>l</m:t>
                    </m:r>
                    <m:r>
                      <m:t>a</m:t>
                    </m:r>
                    <m:sSub>
                      <m:e>
                        <m:r>
                          <m:t>b</m:t>
                        </m:r>
                      </m:e>
                      <m:sub>
                        <m:r>
                          <m:t>i</m:t>
                        </m:r>
                      </m:sub>
                    </m:sSub>
                  </m:e>
                </m:d>
                <m:r>
                  <m:rPr>
                    <m:sty m:val="p"/>
                  </m:rPr>
                  <m:t>=</m:t>
                </m:r>
              </m:e>
            </m:mr>
            <m:mr>
              <m:e>
                <m:sSub>
                  <m:e>
                    <m:r>
                      <m:t>β</m:t>
                    </m:r>
                  </m:e>
                  <m:sub>
                    <m:r>
                      <m:t>0</m:t>
                    </m:r>
                  </m:sub>
                </m:sSub>
                <m:r>
                  <m:rPr>
                    <m:sty m:val="p"/>
                  </m:rPr>
                  <m:t>+</m:t>
                </m:r>
                <m:sSub>
                  <m:e>
                    <m:r>
                      <m:t>β</m:t>
                    </m:r>
                  </m:e>
                  <m:sub>
                    <m:r>
                      <m:t>1</m:t>
                    </m:r>
                  </m:sub>
                </m:sSub>
                <m:sSub>
                  <m:e>
                    <m:r>
                      <m:rPr>
                        <m:nor/>
                        <m:sty m:val="p"/>
                      </m:rPr>
                      <m:t>age</m:t>
                    </m:r>
                  </m:e>
                  <m:sub>
                    <m:r>
                      <m:t>i</m:t>
                    </m:r>
                  </m:sub>
                </m:sSub>
                <m:r>
                  <m:rPr>
                    <m:sty m:val="p"/>
                  </m:rPr>
                  <m:t>+</m:t>
                </m:r>
              </m:e>
            </m:mr>
            <m:mr>
              <m:e>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e>
            </m:mr>
            <m:mr>
              <m:e>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e>
            </m:mr>
            <m:mr>
              <m:e>
                <m:sSub>
                  <m:e>
                    <m:r>
                      <m:t>β</m:t>
                    </m:r>
                  </m:e>
                  <m:sub>
                    <m:r>
                      <m:t>6</m:t>
                    </m:r>
                  </m:sub>
                </m:sSub>
                <m:sSub>
                  <m:e>
                    <m:r>
                      <m:rPr>
                        <m:nor/>
                        <m:sty m:val="p"/>
                      </m:rPr>
                      <m:t>sector</m:t>
                    </m:r>
                  </m:e>
                  <m:sub>
                    <m:r>
                      <m:t>i</m:t>
                    </m:r>
                  </m:sub>
                </m:sSub>
                <m:r>
                  <m:rPr>
                    <m:sty m:val="p"/>
                  </m:rPr>
                  <m:t>+</m:t>
                </m:r>
                <m:sSub>
                  <m:e>
                    <m:r>
                      <m:t>ϵ</m:t>
                    </m:r>
                  </m:e>
                  <m:sub>
                    <m:r>
                      <m:t>i</m:t>
                    </m:r>
                  </m:sub>
                </m:sSub>
              </m:e>
            </m:mr>
          </m:m>
          <m:r>
            <m:t>  </m:t>
          </m:r>
          <m:d>
            <m:dPr>
              <m:begChr m:val="("/>
              <m:endChr m:val=")"/>
              <m:sepChr m:val=""/>
              <m:grow/>
            </m:dPr>
            <m:e>
              <m:r>
                <m:t>1</m:t>
              </m:r>
            </m:e>
          </m:d>
        </m:oMath>
      </m:oMathPara>
      <w:bookmarkEnd w:id="50"/>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1" w:name="lst-regression-model"/>
          <w:p>
            <w:pPr>
              <w:jc w:val="center"/>
            </w:pPr>
            <w:pPr>
              <w:jc w:val="start"/>
              <w:spacing w:before="200"/>
              <w:pStyle w:val="ImageCaption"/>
            </w:pPr>
            <w:r>
              <w:t xml:space="preserve">Listing 7: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1"/>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(poverty_designations, </w:t>
      </w:r>
      <w:r>
        <w:rPr>
          <w:rStyle w:val="AttributeTok"/>
        </w:rPr>
        <w:t xml:space="preserve">by =</w:t>
      </w:r>
      <w:r>
        <w:rPr>
          <w:rStyle w:val="NormalTok"/>
        </w:rPr>
        <w:t xml:space="preserve"> </w:t>
      </w:r>
      <w:r>
        <w:rPr>
          <w:rStyle w:val="StringTok"/>
        </w:rPr>
        <w:t xml:space="preserve">"household_id"</w:t>
      </w:r>
      <w:r>
        <w:rPr>
          <w:rStyle w:val="NormalTok"/>
        </w:rPr>
        <w:t xml:space="preserve">)</w:t>
      </w:r>
    </w:p>
    <w:bookmarkEnd w:id="52"/>
    <w:bookmarkStart w:id="53" w:name="total-income-and-shares"/>
    <w:p>
      <w:pPr>
        <w:pStyle w:val="Heading3"/>
      </w:pPr>
      <w:r>
        <w:t xml:space="preserve">4.3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OtherTok"/>
        </w:rPr>
        <w:t xml:space="preserve">=</w:t>
      </w:r>
      <w:r>
        <w:rPr>
          <w:rStyle w:val="NormalTok"/>
        </w:rPr>
        <w:t xml:space="preserve"> </w:t>
      </w:r>
      <w:r>
        <w:rPr>
          <w:rStyle w:val="StringTok"/>
        </w:rPr>
        <w:t xml:space="preserve">"household_id"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join_by(household_id == household_id))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person_id, industry, salaried,</w:t>
      </w:r>
      <w:r>
        <w:br/>
      </w:r>
      <w:r>
        <w:rPr>
          <w:rStyle w:val="NormalTok"/>
        </w:rPr>
        <w:t xml:space="preserve">         rural_dummy, hhsize,hhsize_R, marz_no, aepc,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settlement, urban_rural,</w:t>
      </w:r>
      <w:r>
        <w:br/>
      </w:r>
      <w:r>
        <w:rPr>
          <w:rStyle w:val="NormalTok"/>
        </w:rPr>
        <w:t xml:space="preserve">         gender, age, head, rel,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marz.x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3"/>
    <w:bookmarkEnd w:id="54"/>
    <w:bookmarkStart w:id="57"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survey_year </w:t>
      </w:r>
      <w:r>
        <w:rPr>
          <w:rStyle w:val="CommentTok"/>
        </w:rPr>
        <w:t xml:space="preserve"># Make sure `survey_year`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p>
    <w:p>
      <w:pPr>
        <w:pStyle w:val="FirstParagraph"/>
      </w:pPr>
      <w:r>
        <w:t xml:space="preserve">We have that the</w:t>
      </w:r>
      <w:r>
        <w:t xml:space="preserve"> </w:t>
      </w:r>
      <w:r>
        <w:t xml:space="preserve">“</w:t>
      </w:r>
      <w:r>
        <w:t xml:space="preserve">Min Year</w:t>
      </w:r>
      <w:r>
        <w:t xml:space="preserve">”</w:t>
      </w:r>
      <w:r>
        <w:t xml:space="preserve"> </w:t>
      </w:r>
      <w:r>
        <w:t xml:space="preserve">is</w:t>
      </w:r>
      <w:r>
        <w:t xml:space="preserve"> </w:t>
      </w:r>
      <w:r>
        <w:rPr>
          <w:rStyle w:val="VerbatimChar"/>
        </w:rPr>
        <w:t xml:space="preserve">minyear</w:t>
      </w:r>
      <w:r>
        <w:t xml:space="preserve"> </w:t>
      </w:r>
      <w:r>
        <w:t xml:space="preserve">and the</w:t>
      </w:r>
      <w:r>
        <w:t xml:space="preserve"> </w:t>
      </w:r>
      <w:r>
        <w:t xml:space="preserve">“</w:t>
      </w:r>
      <w:r>
        <w:t xml:space="preserve">Max Year</w:t>
      </w:r>
      <w:r>
        <w:t xml:space="preserve">”</w:t>
      </w:r>
      <w:r>
        <w:t xml:space="preserve"> </w:t>
      </w:r>
      <w:r>
        <w:t xml:space="preserve">is</w:t>
      </w:r>
      <w:r>
        <w:t xml:space="preserve"> </w:t>
      </w:r>
      <w:r>
        <w:rPr>
          <w:rStyle w:val="VerbatimChar"/>
        </w:rPr>
        <w:t xml:space="preserve">maxyear</w:t>
      </w:r>
      <w:r>
        <w:t xml:space="preserve">. Now we create a population growth rate by demographic variant dataset. We initialize an empty list to store our data by variant and we loop over variants to create this list.</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With the list ready, we convert back to dataframe by stitching the list elements one on top of the other.</w:t>
      </w:r>
    </w:p>
    <w:p>
      <w:pPr>
        <w:pStyle w:val="SourceCode"/>
      </w:pP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bookmarkStart w:id="56" w:name="refs"/>
    <w:bookmarkStart w:id="55" w:name="ref-geostat_integrated_2023"/>
    <w:p>
      <w:pPr>
        <w:pStyle w:val="Bibliography"/>
      </w:pPr>
      <w:r>
        <w:t xml:space="preserve">GEOSTAT.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2023</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0" Target="https://rvconsulting.github.io/geo-ccdr24/supporting-materials/geo-microsimulation.html" TargetMode="External" /></Relationships>
</file>

<file path=word/_rels/footnotes.xml.rels><?xml version="1.0" encoding="UTF-8"?><Relationships xmlns="http://schemas.openxmlformats.org/package/2006/relationships"><Relationship Type="http://schemas.openxmlformats.org/officeDocument/2006/relationships/hyperlink" Id="rId20" Target="https://rvconsulting.github.io/geo-ccdr24/supporting-materials/geo-microsimul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2024-10-23T18:33:40Z</dcterms:created>
  <dcterms:modified xsi:type="dcterms:W3CDTF">2024-10-23T18:33:40Z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