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charts/chart2.xml" ContentType="application/vnd.openxmlformats-officedocument.drawingml.chart+xml"/>
  <Override PartName="/word/charts/chart3.xml" ContentType="application/vnd.openxmlformats-officedocument.drawingml.chart+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A1AA1"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131C4AD6"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3F6FBDFF"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3CD8B9B3"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6158EE9A"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2BC67D56"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78C31B97" w14:textId="77777777" w:rsidR="00C4353F" w:rsidRDefault="00C4353F">
      <w:pPr>
        <w:spacing w:line="240" w:lineRule="auto"/>
        <w:jc w:val="center"/>
        <w:rPr>
          <w:rFonts w:ascii="Times New Roman" w:eastAsia="Times New Roman" w:hAnsi="Times New Roman" w:cs="Times New Roman"/>
          <w:b/>
          <w:bCs/>
          <w:color w:val="000000"/>
          <w:sz w:val="56"/>
          <w:szCs w:val="56"/>
        </w:rPr>
      </w:pPr>
    </w:p>
    <w:p w14:paraId="70065767" w14:textId="77777777" w:rsidR="00C4353F" w:rsidRDefault="00000000">
      <w:pPr>
        <w:spacing w:line="240" w:lineRule="auto"/>
        <w:jc w:val="center"/>
      </w:pPr>
      <w:r>
        <w:rPr>
          <w:rFonts w:ascii="Times New Roman" w:eastAsia="Times New Roman" w:hAnsi="Times New Roman" w:cs="Times New Roman"/>
          <w:b/>
          <w:color w:val="000000"/>
          <w:sz w:val="56"/>
          <w:szCs w:val="56"/>
        </w:rPr>
        <w:t>Kenya Energy Monetary Accounts</w:t>
      </w:r>
    </w:p>
    <w:p w14:paraId="3E540BD2" w14:textId="77777777" w:rsidR="00C4353F" w:rsidRDefault="00000000">
      <w:pPr>
        <w:spacing w:line="240" w:lineRule="auto"/>
        <w:jc w:val="center"/>
        <w:rPr>
          <w:rFonts w:ascii="Times New Roman" w:eastAsia="Times New Roman" w:hAnsi="Times New Roman" w:cs="Times New Roman"/>
          <w:b/>
          <w:color w:val="000000"/>
          <w:sz w:val="56"/>
          <w:szCs w:val="56"/>
        </w:rPr>
      </w:pPr>
      <w:r>
        <w:rPr>
          <w:rFonts w:ascii="Times New Roman" w:eastAsia="Times New Roman" w:hAnsi="Times New Roman" w:cs="Times New Roman"/>
          <w:b/>
          <w:color w:val="000000"/>
          <w:sz w:val="56"/>
          <w:szCs w:val="56"/>
        </w:rPr>
        <w:t>2026</w:t>
      </w:r>
    </w:p>
    <w:p w14:paraId="39564571" w14:textId="77777777" w:rsidR="00C4353F" w:rsidRDefault="00C4353F">
      <w:pPr>
        <w:spacing w:line="240" w:lineRule="auto"/>
        <w:rPr>
          <w:rFonts w:ascii="Times New Roman" w:eastAsia="Times New Roman" w:hAnsi="Times New Roman" w:cs="Times New Roman"/>
          <w:color w:val="000000"/>
          <w:kern w:val="0"/>
        </w:rPr>
      </w:pPr>
    </w:p>
    <w:p w14:paraId="3DB2C4D6" w14:textId="77777777" w:rsidR="00C4353F" w:rsidRDefault="00C4353F">
      <w:pPr>
        <w:spacing w:line="240" w:lineRule="auto"/>
        <w:rPr>
          <w:rFonts w:ascii="Times New Roman" w:eastAsia="Times New Roman" w:hAnsi="Times New Roman" w:cs="Times New Roman"/>
          <w:color w:val="000000"/>
          <w:kern w:val="0"/>
        </w:rPr>
      </w:pPr>
    </w:p>
    <w:p w14:paraId="0E3615D8" w14:textId="77777777" w:rsidR="00C4353F" w:rsidRDefault="00C4353F">
      <w:pPr>
        <w:spacing w:line="240" w:lineRule="auto"/>
        <w:rPr>
          <w:rFonts w:ascii="Times New Roman" w:eastAsia="Times New Roman" w:hAnsi="Times New Roman" w:cs="Times New Roman"/>
          <w:color w:val="000000"/>
          <w:kern w:val="0"/>
        </w:rPr>
      </w:pPr>
    </w:p>
    <w:p w14:paraId="4BF0B99D" w14:textId="77777777" w:rsidR="00C4353F" w:rsidRDefault="00C4353F">
      <w:pPr>
        <w:spacing w:line="240" w:lineRule="auto"/>
        <w:rPr>
          <w:rFonts w:ascii="Times New Roman" w:eastAsia="Times New Roman" w:hAnsi="Times New Roman" w:cs="Times New Roman"/>
          <w:color w:val="000000"/>
          <w:kern w:val="0"/>
        </w:rPr>
      </w:pPr>
    </w:p>
    <w:p w14:paraId="6D0D9413" w14:textId="77777777" w:rsidR="00C4353F" w:rsidRDefault="00C4353F">
      <w:pPr>
        <w:spacing w:line="240" w:lineRule="auto"/>
        <w:rPr>
          <w:rFonts w:ascii="Times New Roman" w:eastAsia="Times New Roman" w:hAnsi="Times New Roman" w:cs="Times New Roman"/>
          <w:color w:val="000000"/>
          <w:kern w:val="0"/>
        </w:rPr>
      </w:pPr>
    </w:p>
    <w:p w14:paraId="3CF68727" w14:textId="77777777" w:rsidR="00C4353F" w:rsidRDefault="00C4353F">
      <w:pPr>
        <w:spacing w:line="240" w:lineRule="auto"/>
        <w:rPr>
          <w:rFonts w:ascii="Times New Roman" w:eastAsia="Times New Roman" w:hAnsi="Times New Roman" w:cs="Times New Roman"/>
          <w:color w:val="000000"/>
          <w:kern w:val="0"/>
        </w:rPr>
      </w:pPr>
    </w:p>
    <w:p w14:paraId="58ABAC86" w14:textId="77777777" w:rsidR="00C4353F" w:rsidRDefault="00C4353F">
      <w:pPr>
        <w:spacing w:line="240" w:lineRule="auto"/>
        <w:rPr>
          <w:rFonts w:ascii="Times New Roman" w:eastAsia="Times New Roman" w:hAnsi="Times New Roman" w:cs="Times New Roman"/>
          <w:color w:val="000000"/>
          <w:kern w:val="0"/>
        </w:rPr>
      </w:pPr>
    </w:p>
    <w:p w14:paraId="4D0663DA" w14:textId="77777777" w:rsidR="00C4353F" w:rsidRDefault="00C4353F">
      <w:pPr>
        <w:spacing w:line="240" w:lineRule="auto"/>
        <w:rPr>
          <w:rFonts w:ascii="Times New Roman" w:eastAsia="Times New Roman" w:hAnsi="Times New Roman" w:cs="Times New Roman"/>
          <w:color w:val="000000"/>
          <w:kern w:val="0"/>
        </w:rPr>
      </w:pPr>
    </w:p>
    <w:p w14:paraId="09316D80" w14:textId="77777777" w:rsidR="00C4353F" w:rsidRDefault="00C4353F">
      <w:pPr>
        <w:spacing w:line="240" w:lineRule="auto"/>
        <w:rPr>
          <w:rFonts w:ascii="Times New Roman" w:eastAsia="Times New Roman" w:hAnsi="Times New Roman" w:cs="Times New Roman"/>
          <w:color w:val="000000"/>
          <w:kern w:val="0"/>
        </w:rPr>
      </w:pPr>
    </w:p>
    <w:p w14:paraId="48429008" w14:textId="77777777" w:rsidR="00C4353F" w:rsidRDefault="00C4353F">
      <w:pPr>
        <w:spacing w:line="240" w:lineRule="auto"/>
        <w:rPr>
          <w:rFonts w:ascii="Times New Roman" w:eastAsia="Times New Roman" w:hAnsi="Times New Roman" w:cs="Times New Roman"/>
          <w:color w:val="000000"/>
          <w:kern w:val="0"/>
        </w:rPr>
      </w:pPr>
    </w:p>
    <w:p w14:paraId="3C9C5627" w14:textId="77777777" w:rsidR="00C4353F" w:rsidRDefault="00C4353F">
      <w:pPr>
        <w:spacing w:line="240" w:lineRule="auto"/>
        <w:rPr>
          <w:rFonts w:ascii="Times New Roman" w:eastAsia="Times New Roman" w:hAnsi="Times New Roman" w:cs="Times New Roman"/>
          <w:color w:val="000000"/>
          <w:kern w:val="0"/>
        </w:rPr>
      </w:pPr>
    </w:p>
    <w:p w14:paraId="54A1E870" w14:textId="77777777" w:rsidR="00C4353F" w:rsidRDefault="00C4353F">
      <w:pPr>
        <w:spacing w:line="240" w:lineRule="auto"/>
        <w:rPr>
          <w:rFonts w:ascii="Times New Roman" w:eastAsia="Times New Roman" w:hAnsi="Times New Roman" w:cs="Times New Roman"/>
          <w:color w:val="000000"/>
          <w:kern w:val="0"/>
        </w:rPr>
      </w:pPr>
    </w:p>
    <w:p w14:paraId="625EFB75" w14:textId="77777777" w:rsidR="00C4353F" w:rsidRDefault="00C4353F">
      <w:pPr>
        <w:spacing w:line="240" w:lineRule="auto"/>
        <w:rPr>
          <w:rFonts w:ascii="Times New Roman" w:eastAsia="Times New Roman" w:hAnsi="Times New Roman" w:cs="Times New Roman"/>
          <w:color w:val="000000"/>
          <w:kern w:val="0"/>
        </w:rPr>
      </w:pPr>
    </w:p>
    <w:p w14:paraId="70E1B17C"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lastRenderedPageBreak/>
        <w:t>TABLE OF CONTENTS</w:t>
      </w:r>
    </w:p>
    <w:sdt>
      <w:sdtPr>
        <w:rPr>
          <w:rFonts w:ascii="Aptos" w:eastAsia="Aptos" w:hAnsi="Aptos" w:cs="Arial"/>
          <w:color w:val="auto"/>
          <w:kern w:val="3"/>
          <w:sz w:val="24"/>
          <w:szCs w:val="24"/>
          <w:lang w:val="en-US" w:eastAsia="en-US"/>
        </w:rPr>
        <w:id w:val="368105209"/>
        <w:docPartObj>
          <w:docPartGallery w:val="Table of Contents"/>
          <w:docPartUnique/>
        </w:docPartObj>
      </w:sdtPr>
      <w:sdtEndPr>
        <w:rPr>
          <w:b/>
          <w:bCs/>
        </w:rPr>
      </w:sdtEndPr>
      <w:sdtContent>
        <w:p w14:paraId="7F5DF3D3" w14:textId="42545A27" w:rsidR="00301E88" w:rsidRDefault="00301E88">
          <w:pPr>
            <w:pStyle w:val="TOCHeading"/>
          </w:pPr>
        </w:p>
        <w:p w14:paraId="7A3AAEE9" w14:textId="279AF071" w:rsidR="00301E88" w:rsidRDefault="00301E88">
          <w:pPr>
            <w:pStyle w:val="TOC1"/>
            <w:tabs>
              <w:tab w:val="left" w:pos="480"/>
              <w:tab w:val="right" w:leader="dot" w:pos="9350"/>
            </w:tabs>
            <w:rPr>
              <w:noProof/>
            </w:rPr>
          </w:pPr>
          <w:r>
            <w:fldChar w:fldCharType="begin"/>
          </w:r>
          <w:r>
            <w:instrText xml:space="preserve"> TOC \o "1-3" \h \z \u </w:instrText>
          </w:r>
          <w:r>
            <w:fldChar w:fldCharType="separate"/>
          </w:r>
          <w:hyperlink w:anchor="_Toc219801417" w:history="1">
            <w:r w:rsidRPr="002A0612">
              <w:rPr>
                <w:rStyle w:val="Hyperlink"/>
                <w:noProof/>
              </w:rPr>
              <w:t>1</w:t>
            </w:r>
            <w:r>
              <w:rPr>
                <w:noProof/>
              </w:rPr>
              <w:tab/>
            </w:r>
            <w:r w:rsidRPr="002A0612">
              <w:rPr>
                <w:rStyle w:val="Hyperlink"/>
                <w:b/>
                <w:noProof/>
              </w:rPr>
              <w:t>EXECUTIVE SUMMARY AND KEY FINDINGS</w:t>
            </w:r>
            <w:r>
              <w:rPr>
                <w:noProof/>
                <w:webHidden/>
              </w:rPr>
              <w:tab/>
            </w:r>
            <w:r>
              <w:rPr>
                <w:noProof/>
                <w:webHidden/>
              </w:rPr>
              <w:fldChar w:fldCharType="begin"/>
            </w:r>
            <w:r>
              <w:rPr>
                <w:noProof/>
                <w:webHidden/>
              </w:rPr>
              <w:instrText xml:space="preserve"> PAGEREF _Toc219801417 \h </w:instrText>
            </w:r>
            <w:r>
              <w:rPr>
                <w:noProof/>
                <w:webHidden/>
              </w:rPr>
            </w:r>
            <w:r>
              <w:rPr>
                <w:noProof/>
                <w:webHidden/>
              </w:rPr>
              <w:fldChar w:fldCharType="separate"/>
            </w:r>
            <w:r>
              <w:rPr>
                <w:noProof/>
                <w:webHidden/>
              </w:rPr>
              <w:t>4</w:t>
            </w:r>
            <w:r>
              <w:rPr>
                <w:noProof/>
                <w:webHidden/>
              </w:rPr>
              <w:fldChar w:fldCharType="end"/>
            </w:r>
          </w:hyperlink>
        </w:p>
        <w:p w14:paraId="3855269E" w14:textId="694B39BE" w:rsidR="00301E88" w:rsidRDefault="00301E88">
          <w:pPr>
            <w:pStyle w:val="TOC1"/>
            <w:tabs>
              <w:tab w:val="left" w:pos="480"/>
              <w:tab w:val="right" w:leader="dot" w:pos="9350"/>
            </w:tabs>
            <w:rPr>
              <w:noProof/>
            </w:rPr>
          </w:pPr>
          <w:hyperlink w:anchor="_Toc219801418" w:history="1">
            <w:r w:rsidRPr="002A0612">
              <w:rPr>
                <w:rStyle w:val="Hyperlink"/>
                <w:noProof/>
              </w:rPr>
              <w:t>1</w:t>
            </w:r>
            <w:r>
              <w:rPr>
                <w:noProof/>
              </w:rPr>
              <w:tab/>
            </w:r>
            <w:r w:rsidRPr="002A0612">
              <w:rPr>
                <w:rStyle w:val="Hyperlink"/>
                <w:noProof/>
              </w:rPr>
              <w:t>INTRODUCTION</w:t>
            </w:r>
            <w:r>
              <w:rPr>
                <w:noProof/>
                <w:webHidden/>
              </w:rPr>
              <w:tab/>
            </w:r>
            <w:r>
              <w:rPr>
                <w:noProof/>
                <w:webHidden/>
              </w:rPr>
              <w:fldChar w:fldCharType="begin"/>
            </w:r>
            <w:r>
              <w:rPr>
                <w:noProof/>
                <w:webHidden/>
              </w:rPr>
              <w:instrText xml:space="preserve"> PAGEREF _Toc219801418 \h </w:instrText>
            </w:r>
            <w:r>
              <w:rPr>
                <w:noProof/>
                <w:webHidden/>
              </w:rPr>
            </w:r>
            <w:r>
              <w:rPr>
                <w:noProof/>
                <w:webHidden/>
              </w:rPr>
              <w:fldChar w:fldCharType="separate"/>
            </w:r>
            <w:r>
              <w:rPr>
                <w:noProof/>
                <w:webHidden/>
              </w:rPr>
              <w:t>5</w:t>
            </w:r>
            <w:r>
              <w:rPr>
                <w:noProof/>
                <w:webHidden/>
              </w:rPr>
              <w:fldChar w:fldCharType="end"/>
            </w:r>
          </w:hyperlink>
        </w:p>
        <w:p w14:paraId="35B74C8C" w14:textId="5CD9BD65" w:rsidR="00301E88" w:rsidRDefault="00301E88">
          <w:pPr>
            <w:pStyle w:val="TOC2"/>
            <w:tabs>
              <w:tab w:val="left" w:pos="960"/>
              <w:tab w:val="right" w:leader="dot" w:pos="9350"/>
            </w:tabs>
            <w:rPr>
              <w:noProof/>
            </w:rPr>
          </w:pPr>
          <w:hyperlink w:anchor="_Toc219801419" w:history="1">
            <w:r w:rsidRPr="002A0612">
              <w:rPr>
                <w:rStyle w:val="Hyperlink"/>
                <w:noProof/>
              </w:rPr>
              <w:t>1.1</w:t>
            </w:r>
            <w:r>
              <w:rPr>
                <w:noProof/>
              </w:rPr>
              <w:tab/>
            </w:r>
            <w:r w:rsidRPr="002A0612">
              <w:rPr>
                <w:rStyle w:val="Hyperlink"/>
                <w:noProof/>
              </w:rPr>
              <w:t>Overview</w:t>
            </w:r>
            <w:r>
              <w:rPr>
                <w:noProof/>
                <w:webHidden/>
              </w:rPr>
              <w:tab/>
            </w:r>
            <w:r>
              <w:rPr>
                <w:noProof/>
                <w:webHidden/>
              </w:rPr>
              <w:fldChar w:fldCharType="begin"/>
            </w:r>
            <w:r>
              <w:rPr>
                <w:noProof/>
                <w:webHidden/>
              </w:rPr>
              <w:instrText xml:space="preserve"> PAGEREF _Toc219801419 \h </w:instrText>
            </w:r>
            <w:r>
              <w:rPr>
                <w:noProof/>
                <w:webHidden/>
              </w:rPr>
            </w:r>
            <w:r>
              <w:rPr>
                <w:noProof/>
                <w:webHidden/>
              </w:rPr>
              <w:fldChar w:fldCharType="separate"/>
            </w:r>
            <w:r>
              <w:rPr>
                <w:noProof/>
                <w:webHidden/>
              </w:rPr>
              <w:t>5</w:t>
            </w:r>
            <w:r>
              <w:rPr>
                <w:noProof/>
                <w:webHidden/>
              </w:rPr>
              <w:fldChar w:fldCharType="end"/>
            </w:r>
          </w:hyperlink>
        </w:p>
        <w:p w14:paraId="540065D5" w14:textId="4B1D2B6F" w:rsidR="00301E88" w:rsidRDefault="00301E88">
          <w:pPr>
            <w:pStyle w:val="TOC2"/>
            <w:tabs>
              <w:tab w:val="left" w:pos="960"/>
              <w:tab w:val="right" w:leader="dot" w:pos="9350"/>
            </w:tabs>
            <w:rPr>
              <w:noProof/>
            </w:rPr>
          </w:pPr>
          <w:hyperlink w:anchor="_Toc219801420" w:history="1">
            <w:r w:rsidRPr="002A0612">
              <w:rPr>
                <w:rStyle w:val="Hyperlink"/>
                <w:noProof/>
              </w:rPr>
              <w:t>1.2</w:t>
            </w:r>
            <w:r>
              <w:rPr>
                <w:noProof/>
              </w:rPr>
              <w:tab/>
            </w:r>
            <w:r w:rsidRPr="002A0612">
              <w:rPr>
                <w:rStyle w:val="Hyperlink"/>
                <w:rFonts w:ascii="Times New Roman" w:eastAsia="Times New Roman" w:hAnsi="Times New Roman"/>
                <w:b/>
                <w:bCs/>
                <w:noProof/>
                <w:kern w:val="0"/>
              </w:rPr>
              <w:t>Scope</w:t>
            </w:r>
            <w:r>
              <w:rPr>
                <w:noProof/>
                <w:webHidden/>
              </w:rPr>
              <w:tab/>
            </w:r>
            <w:r>
              <w:rPr>
                <w:noProof/>
                <w:webHidden/>
              </w:rPr>
              <w:fldChar w:fldCharType="begin"/>
            </w:r>
            <w:r>
              <w:rPr>
                <w:noProof/>
                <w:webHidden/>
              </w:rPr>
              <w:instrText xml:space="preserve"> PAGEREF _Toc219801420 \h </w:instrText>
            </w:r>
            <w:r>
              <w:rPr>
                <w:noProof/>
                <w:webHidden/>
              </w:rPr>
            </w:r>
            <w:r>
              <w:rPr>
                <w:noProof/>
                <w:webHidden/>
              </w:rPr>
              <w:fldChar w:fldCharType="separate"/>
            </w:r>
            <w:r>
              <w:rPr>
                <w:noProof/>
                <w:webHidden/>
              </w:rPr>
              <w:t>6</w:t>
            </w:r>
            <w:r>
              <w:rPr>
                <w:noProof/>
                <w:webHidden/>
              </w:rPr>
              <w:fldChar w:fldCharType="end"/>
            </w:r>
          </w:hyperlink>
        </w:p>
        <w:p w14:paraId="2E4F8774" w14:textId="6C7AF011" w:rsidR="00301E88" w:rsidRDefault="00301E88">
          <w:pPr>
            <w:pStyle w:val="TOC2"/>
            <w:tabs>
              <w:tab w:val="left" w:pos="960"/>
              <w:tab w:val="right" w:leader="dot" w:pos="9350"/>
            </w:tabs>
            <w:rPr>
              <w:noProof/>
            </w:rPr>
          </w:pPr>
          <w:hyperlink w:anchor="_Toc219801421" w:history="1">
            <w:r w:rsidRPr="002A0612">
              <w:rPr>
                <w:rStyle w:val="Hyperlink"/>
                <w:noProof/>
              </w:rPr>
              <w:t>1.3</w:t>
            </w:r>
            <w:r>
              <w:rPr>
                <w:noProof/>
              </w:rPr>
              <w:tab/>
            </w:r>
            <w:r w:rsidRPr="002A0612">
              <w:rPr>
                <w:rStyle w:val="Hyperlink"/>
                <w:rFonts w:ascii="Times New Roman" w:eastAsia="Times New Roman" w:hAnsi="Times New Roman"/>
                <w:b/>
                <w:bCs/>
                <w:noProof/>
                <w:kern w:val="0"/>
              </w:rPr>
              <w:t>Objectives</w:t>
            </w:r>
            <w:r>
              <w:rPr>
                <w:noProof/>
                <w:webHidden/>
              </w:rPr>
              <w:tab/>
            </w:r>
            <w:r>
              <w:rPr>
                <w:noProof/>
                <w:webHidden/>
              </w:rPr>
              <w:fldChar w:fldCharType="begin"/>
            </w:r>
            <w:r>
              <w:rPr>
                <w:noProof/>
                <w:webHidden/>
              </w:rPr>
              <w:instrText xml:space="preserve"> PAGEREF _Toc219801421 \h </w:instrText>
            </w:r>
            <w:r>
              <w:rPr>
                <w:noProof/>
                <w:webHidden/>
              </w:rPr>
            </w:r>
            <w:r>
              <w:rPr>
                <w:noProof/>
                <w:webHidden/>
              </w:rPr>
              <w:fldChar w:fldCharType="separate"/>
            </w:r>
            <w:r>
              <w:rPr>
                <w:noProof/>
                <w:webHidden/>
              </w:rPr>
              <w:t>6</w:t>
            </w:r>
            <w:r>
              <w:rPr>
                <w:noProof/>
                <w:webHidden/>
              </w:rPr>
              <w:fldChar w:fldCharType="end"/>
            </w:r>
          </w:hyperlink>
        </w:p>
        <w:p w14:paraId="3C0C3645" w14:textId="3AF28D02" w:rsidR="00301E88" w:rsidRDefault="00301E88">
          <w:pPr>
            <w:pStyle w:val="TOC1"/>
            <w:tabs>
              <w:tab w:val="left" w:pos="480"/>
              <w:tab w:val="right" w:leader="dot" w:pos="9350"/>
            </w:tabs>
            <w:rPr>
              <w:noProof/>
            </w:rPr>
          </w:pPr>
          <w:hyperlink w:anchor="_Toc219801422" w:history="1">
            <w:r w:rsidRPr="002A0612">
              <w:rPr>
                <w:rStyle w:val="Hyperlink"/>
                <w:noProof/>
              </w:rPr>
              <w:t>2</w:t>
            </w:r>
            <w:r>
              <w:rPr>
                <w:noProof/>
              </w:rPr>
              <w:tab/>
            </w:r>
            <w:r w:rsidRPr="002A0612">
              <w:rPr>
                <w:rStyle w:val="Hyperlink"/>
                <w:noProof/>
              </w:rPr>
              <w:t>METHODOLOGY</w:t>
            </w:r>
            <w:r>
              <w:rPr>
                <w:noProof/>
                <w:webHidden/>
              </w:rPr>
              <w:tab/>
            </w:r>
            <w:r>
              <w:rPr>
                <w:noProof/>
                <w:webHidden/>
              </w:rPr>
              <w:fldChar w:fldCharType="begin"/>
            </w:r>
            <w:r>
              <w:rPr>
                <w:noProof/>
                <w:webHidden/>
              </w:rPr>
              <w:instrText xml:space="preserve"> PAGEREF _Toc219801422 \h </w:instrText>
            </w:r>
            <w:r>
              <w:rPr>
                <w:noProof/>
                <w:webHidden/>
              </w:rPr>
            </w:r>
            <w:r>
              <w:rPr>
                <w:noProof/>
                <w:webHidden/>
              </w:rPr>
              <w:fldChar w:fldCharType="separate"/>
            </w:r>
            <w:r>
              <w:rPr>
                <w:noProof/>
                <w:webHidden/>
              </w:rPr>
              <w:t>7</w:t>
            </w:r>
            <w:r>
              <w:rPr>
                <w:noProof/>
                <w:webHidden/>
              </w:rPr>
              <w:fldChar w:fldCharType="end"/>
            </w:r>
          </w:hyperlink>
        </w:p>
        <w:p w14:paraId="3B8AD9B2" w14:textId="6EA9FFC5" w:rsidR="00301E88" w:rsidRDefault="00301E88">
          <w:pPr>
            <w:pStyle w:val="TOC2"/>
            <w:tabs>
              <w:tab w:val="left" w:pos="960"/>
              <w:tab w:val="right" w:leader="dot" w:pos="9350"/>
            </w:tabs>
            <w:rPr>
              <w:noProof/>
            </w:rPr>
          </w:pPr>
          <w:hyperlink w:anchor="_Toc219801423" w:history="1">
            <w:r w:rsidRPr="002A0612">
              <w:rPr>
                <w:rStyle w:val="Hyperlink"/>
                <w:noProof/>
              </w:rPr>
              <w:t>2.1</w:t>
            </w:r>
            <w:r>
              <w:rPr>
                <w:noProof/>
              </w:rPr>
              <w:tab/>
            </w:r>
            <w:r w:rsidRPr="002A0612">
              <w:rPr>
                <w:rStyle w:val="Hyperlink"/>
                <w:noProof/>
              </w:rPr>
              <w:t>Monetary Accounts Methodology</w:t>
            </w:r>
            <w:r>
              <w:rPr>
                <w:noProof/>
                <w:webHidden/>
              </w:rPr>
              <w:tab/>
            </w:r>
            <w:r>
              <w:rPr>
                <w:noProof/>
                <w:webHidden/>
              </w:rPr>
              <w:fldChar w:fldCharType="begin"/>
            </w:r>
            <w:r>
              <w:rPr>
                <w:noProof/>
                <w:webHidden/>
              </w:rPr>
              <w:instrText xml:space="preserve"> PAGEREF _Toc219801423 \h </w:instrText>
            </w:r>
            <w:r>
              <w:rPr>
                <w:noProof/>
                <w:webHidden/>
              </w:rPr>
            </w:r>
            <w:r>
              <w:rPr>
                <w:noProof/>
                <w:webHidden/>
              </w:rPr>
              <w:fldChar w:fldCharType="separate"/>
            </w:r>
            <w:r>
              <w:rPr>
                <w:noProof/>
                <w:webHidden/>
              </w:rPr>
              <w:t>7</w:t>
            </w:r>
            <w:r>
              <w:rPr>
                <w:noProof/>
                <w:webHidden/>
              </w:rPr>
              <w:fldChar w:fldCharType="end"/>
            </w:r>
          </w:hyperlink>
        </w:p>
        <w:p w14:paraId="58CE5954" w14:textId="6CF797D4" w:rsidR="00301E88" w:rsidRDefault="00301E88">
          <w:pPr>
            <w:pStyle w:val="TOC2"/>
            <w:tabs>
              <w:tab w:val="left" w:pos="960"/>
              <w:tab w:val="right" w:leader="dot" w:pos="9350"/>
            </w:tabs>
            <w:rPr>
              <w:noProof/>
            </w:rPr>
          </w:pPr>
          <w:hyperlink w:anchor="_Toc219801424" w:history="1">
            <w:r w:rsidRPr="002A0612">
              <w:rPr>
                <w:rStyle w:val="Hyperlink"/>
                <w:noProof/>
              </w:rPr>
              <w:t>2.2</w:t>
            </w:r>
            <w:r>
              <w:rPr>
                <w:noProof/>
              </w:rPr>
              <w:tab/>
            </w:r>
            <w:r w:rsidRPr="002A0612">
              <w:rPr>
                <w:rStyle w:val="Hyperlink"/>
                <w:noProof/>
              </w:rPr>
              <w:t>Methodological Limitations</w:t>
            </w:r>
            <w:r>
              <w:rPr>
                <w:noProof/>
                <w:webHidden/>
              </w:rPr>
              <w:tab/>
            </w:r>
            <w:r>
              <w:rPr>
                <w:noProof/>
                <w:webHidden/>
              </w:rPr>
              <w:fldChar w:fldCharType="begin"/>
            </w:r>
            <w:r>
              <w:rPr>
                <w:noProof/>
                <w:webHidden/>
              </w:rPr>
              <w:instrText xml:space="preserve"> PAGEREF _Toc219801424 \h </w:instrText>
            </w:r>
            <w:r>
              <w:rPr>
                <w:noProof/>
                <w:webHidden/>
              </w:rPr>
            </w:r>
            <w:r>
              <w:rPr>
                <w:noProof/>
                <w:webHidden/>
              </w:rPr>
              <w:fldChar w:fldCharType="separate"/>
            </w:r>
            <w:r>
              <w:rPr>
                <w:noProof/>
                <w:webHidden/>
              </w:rPr>
              <w:t>7</w:t>
            </w:r>
            <w:r>
              <w:rPr>
                <w:noProof/>
                <w:webHidden/>
              </w:rPr>
              <w:fldChar w:fldCharType="end"/>
            </w:r>
          </w:hyperlink>
        </w:p>
        <w:p w14:paraId="7F45D948" w14:textId="1F7A8D0F" w:rsidR="00301E88" w:rsidRDefault="00301E88">
          <w:pPr>
            <w:pStyle w:val="TOC2"/>
            <w:tabs>
              <w:tab w:val="left" w:pos="960"/>
              <w:tab w:val="right" w:leader="dot" w:pos="9350"/>
            </w:tabs>
            <w:rPr>
              <w:noProof/>
            </w:rPr>
          </w:pPr>
          <w:hyperlink w:anchor="_Toc219801425" w:history="1">
            <w:r w:rsidRPr="002A0612">
              <w:rPr>
                <w:rStyle w:val="Hyperlink"/>
                <w:noProof/>
              </w:rPr>
              <w:t>2.3</w:t>
            </w:r>
            <w:r>
              <w:rPr>
                <w:noProof/>
              </w:rPr>
              <w:tab/>
            </w:r>
            <w:r w:rsidRPr="002A0612">
              <w:rPr>
                <w:rStyle w:val="Hyperlink"/>
                <w:noProof/>
              </w:rPr>
              <w:t>Methodological Assumptions</w:t>
            </w:r>
            <w:r>
              <w:rPr>
                <w:noProof/>
                <w:webHidden/>
              </w:rPr>
              <w:tab/>
            </w:r>
            <w:r>
              <w:rPr>
                <w:noProof/>
                <w:webHidden/>
              </w:rPr>
              <w:fldChar w:fldCharType="begin"/>
            </w:r>
            <w:r>
              <w:rPr>
                <w:noProof/>
                <w:webHidden/>
              </w:rPr>
              <w:instrText xml:space="preserve"> PAGEREF _Toc219801425 \h </w:instrText>
            </w:r>
            <w:r>
              <w:rPr>
                <w:noProof/>
                <w:webHidden/>
              </w:rPr>
            </w:r>
            <w:r>
              <w:rPr>
                <w:noProof/>
                <w:webHidden/>
              </w:rPr>
              <w:fldChar w:fldCharType="separate"/>
            </w:r>
            <w:r>
              <w:rPr>
                <w:noProof/>
                <w:webHidden/>
              </w:rPr>
              <w:t>8</w:t>
            </w:r>
            <w:r>
              <w:rPr>
                <w:noProof/>
                <w:webHidden/>
              </w:rPr>
              <w:fldChar w:fldCharType="end"/>
            </w:r>
          </w:hyperlink>
        </w:p>
        <w:p w14:paraId="35ADA355" w14:textId="0DF85C76" w:rsidR="00301E88" w:rsidRDefault="00301E88">
          <w:pPr>
            <w:pStyle w:val="TOC2"/>
            <w:tabs>
              <w:tab w:val="left" w:pos="960"/>
              <w:tab w:val="right" w:leader="dot" w:pos="9350"/>
            </w:tabs>
            <w:rPr>
              <w:noProof/>
            </w:rPr>
          </w:pPr>
          <w:hyperlink w:anchor="_Toc219801426" w:history="1">
            <w:r w:rsidRPr="002A0612">
              <w:rPr>
                <w:rStyle w:val="Hyperlink"/>
                <w:noProof/>
              </w:rPr>
              <w:t>2.4</w:t>
            </w:r>
            <w:r>
              <w:rPr>
                <w:noProof/>
              </w:rPr>
              <w:tab/>
            </w:r>
            <w:r w:rsidRPr="002A0612">
              <w:rPr>
                <w:rStyle w:val="Hyperlink"/>
                <w:rFonts w:ascii="Times New Roman" w:eastAsia="Times New Roman" w:hAnsi="Times New Roman"/>
                <w:b/>
                <w:bCs/>
                <w:noProof/>
                <w:kern w:val="0"/>
              </w:rPr>
              <w:t>Data Sources</w:t>
            </w:r>
            <w:r>
              <w:rPr>
                <w:noProof/>
                <w:webHidden/>
              </w:rPr>
              <w:tab/>
            </w:r>
            <w:r>
              <w:rPr>
                <w:noProof/>
                <w:webHidden/>
              </w:rPr>
              <w:fldChar w:fldCharType="begin"/>
            </w:r>
            <w:r>
              <w:rPr>
                <w:noProof/>
                <w:webHidden/>
              </w:rPr>
              <w:instrText xml:space="preserve"> PAGEREF _Toc219801426 \h </w:instrText>
            </w:r>
            <w:r>
              <w:rPr>
                <w:noProof/>
                <w:webHidden/>
              </w:rPr>
            </w:r>
            <w:r>
              <w:rPr>
                <w:noProof/>
                <w:webHidden/>
              </w:rPr>
              <w:fldChar w:fldCharType="separate"/>
            </w:r>
            <w:r>
              <w:rPr>
                <w:noProof/>
                <w:webHidden/>
              </w:rPr>
              <w:t>9</w:t>
            </w:r>
            <w:r>
              <w:rPr>
                <w:noProof/>
                <w:webHidden/>
              </w:rPr>
              <w:fldChar w:fldCharType="end"/>
            </w:r>
          </w:hyperlink>
        </w:p>
        <w:p w14:paraId="615FB73D" w14:textId="6E6B2559" w:rsidR="00301E88" w:rsidRDefault="00301E88">
          <w:pPr>
            <w:pStyle w:val="TOC1"/>
            <w:tabs>
              <w:tab w:val="left" w:pos="480"/>
              <w:tab w:val="right" w:leader="dot" w:pos="9350"/>
            </w:tabs>
            <w:rPr>
              <w:noProof/>
            </w:rPr>
          </w:pPr>
          <w:hyperlink w:anchor="_Toc219801427" w:history="1">
            <w:r w:rsidRPr="002A0612">
              <w:rPr>
                <w:rStyle w:val="Hyperlink"/>
                <w:noProof/>
              </w:rPr>
              <w:t>3</w:t>
            </w:r>
            <w:r>
              <w:rPr>
                <w:noProof/>
              </w:rPr>
              <w:tab/>
            </w:r>
            <w:r w:rsidRPr="002A0612">
              <w:rPr>
                <w:rStyle w:val="Hyperlink"/>
                <w:noProof/>
              </w:rPr>
              <w:t>DATA GAPS AND LIMITATIONS</w:t>
            </w:r>
            <w:r>
              <w:rPr>
                <w:noProof/>
                <w:webHidden/>
              </w:rPr>
              <w:tab/>
            </w:r>
            <w:r>
              <w:rPr>
                <w:noProof/>
                <w:webHidden/>
              </w:rPr>
              <w:fldChar w:fldCharType="begin"/>
            </w:r>
            <w:r>
              <w:rPr>
                <w:noProof/>
                <w:webHidden/>
              </w:rPr>
              <w:instrText xml:space="preserve"> PAGEREF _Toc219801427 \h </w:instrText>
            </w:r>
            <w:r>
              <w:rPr>
                <w:noProof/>
                <w:webHidden/>
              </w:rPr>
            </w:r>
            <w:r>
              <w:rPr>
                <w:noProof/>
                <w:webHidden/>
              </w:rPr>
              <w:fldChar w:fldCharType="separate"/>
            </w:r>
            <w:r>
              <w:rPr>
                <w:noProof/>
                <w:webHidden/>
              </w:rPr>
              <w:t>11</w:t>
            </w:r>
            <w:r>
              <w:rPr>
                <w:noProof/>
                <w:webHidden/>
              </w:rPr>
              <w:fldChar w:fldCharType="end"/>
            </w:r>
          </w:hyperlink>
        </w:p>
        <w:p w14:paraId="30058451" w14:textId="404FCDE7" w:rsidR="00301E88" w:rsidRDefault="00301E88">
          <w:pPr>
            <w:pStyle w:val="TOC2"/>
            <w:tabs>
              <w:tab w:val="left" w:pos="960"/>
              <w:tab w:val="right" w:leader="dot" w:pos="9350"/>
            </w:tabs>
            <w:rPr>
              <w:noProof/>
            </w:rPr>
          </w:pPr>
          <w:hyperlink w:anchor="_Toc219801428" w:history="1">
            <w:r w:rsidRPr="002A0612">
              <w:rPr>
                <w:rStyle w:val="Hyperlink"/>
                <w:noProof/>
              </w:rPr>
              <w:t>3.1</w:t>
            </w:r>
            <w:r>
              <w:rPr>
                <w:noProof/>
              </w:rPr>
              <w:tab/>
            </w:r>
            <w:r w:rsidRPr="002A0612">
              <w:rPr>
                <w:rStyle w:val="Hyperlink"/>
                <w:noProof/>
              </w:rPr>
              <w:t>Data Gaps</w:t>
            </w:r>
            <w:r>
              <w:rPr>
                <w:noProof/>
                <w:webHidden/>
              </w:rPr>
              <w:tab/>
            </w:r>
            <w:r>
              <w:rPr>
                <w:noProof/>
                <w:webHidden/>
              </w:rPr>
              <w:fldChar w:fldCharType="begin"/>
            </w:r>
            <w:r>
              <w:rPr>
                <w:noProof/>
                <w:webHidden/>
              </w:rPr>
              <w:instrText xml:space="preserve"> PAGEREF _Toc219801428 \h </w:instrText>
            </w:r>
            <w:r>
              <w:rPr>
                <w:noProof/>
                <w:webHidden/>
              </w:rPr>
            </w:r>
            <w:r>
              <w:rPr>
                <w:noProof/>
                <w:webHidden/>
              </w:rPr>
              <w:fldChar w:fldCharType="separate"/>
            </w:r>
            <w:r>
              <w:rPr>
                <w:noProof/>
                <w:webHidden/>
              </w:rPr>
              <w:t>11</w:t>
            </w:r>
            <w:r>
              <w:rPr>
                <w:noProof/>
                <w:webHidden/>
              </w:rPr>
              <w:fldChar w:fldCharType="end"/>
            </w:r>
          </w:hyperlink>
        </w:p>
        <w:p w14:paraId="5EB1D324" w14:textId="60755248" w:rsidR="00301E88" w:rsidRDefault="00301E88">
          <w:pPr>
            <w:pStyle w:val="TOC2"/>
            <w:tabs>
              <w:tab w:val="left" w:pos="960"/>
              <w:tab w:val="right" w:leader="dot" w:pos="9350"/>
            </w:tabs>
            <w:rPr>
              <w:noProof/>
            </w:rPr>
          </w:pPr>
          <w:hyperlink w:anchor="_Toc219801429" w:history="1">
            <w:r w:rsidRPr="002A0612">
              <w:rPr>
                <w:rStyle w:val="Hyperlink"/>
                <w:noProof/>
              </w:rPr>
              <w:t>3.2</w:t>
            </w:r>
            <w:r>
              <w:rPr>
                <w:noProof/>
              </w:rPr>
              <w:tab/>
            </w:r>
            <w:r w:rsidRPr="002A0612">
              <w:rPr>
                <w:rStyle w:val="Hyperlink"/>
                <w:rFonts w:ascii="Times New Roman" w:eastAsia="Times New Roman" w:hAnsi="Times New Roman"/>
                <w:b/>
                <w:bCs/>
                <w:noProof/>
                <w:kern w:val="0"/>
              </w:rPr>
              <w:t>Limitations</w:t>
            </w:r>
            <w:r>
              <w:rPr>
                <w:noProof/>
                <w:webHidden/>
              </w:rPr>
              <w:tab/>
            </w:r>
            <w:r>
              <w:rPr>
                <w:noProof/>
                <w:webHidden/>
              </w:rPr>
              <w:fldChar w:fldCharType="begin"/>
            </w:r>
            <w:r>
              <w:rPr>
                <w:noProof/>
                <w:webHidden/>
              </w:rPr>
              <w:instrText xml:space="preserve"> PAGEREF _Toc219801429 \h </w:instrText>
            </w:r>
            <w:r>
              <w:rPr>
                <w:noProof/>
                <w:webHidden/>
              </w:rPr>
            </w:r>
            <w:r>
              <w:rPr>
                <w:noProof/>
                <w:webHidden/>
              </w:rPr>
              <w:fldChar w:fldCharType="separate"/>
            </w:r>
            <w:r>
              <w:rPr>
                <w:noProof/>
                <w:webHidden/>
              </w:rPr>
              <w:t>11</w:t>
            </w:r>
            <w:r>
              <w:rPr>
                <w:noProof/>
                <w:webHidden/>
              </w:rPr>
              <w:fldChar w:fldCharType="end"/>
            </w:r>
          </w:hyperlink>
        </w:p>
        <w:p w14:paraId="66FE035D" w14:textId="7CBC8024" w:rsidR="00301E88" w:rsidRDefault="00301E88">
          <w:pPr>
            <w:pStyle w:val="TOC1"/>
            <w:tabs>
              <w:tab w:val="left" w:pos="480"/>
              <w:tab w:val="right" w:leader="dot" w:pos="9350"/>
            </w:tabs>
            <w:rPr>
              <w:noProof/>
            </w:rPr>
          </w:pPr>
          <w:hyperlink w:anchor="_Toc219801430" w:history="1">
            <w:r w:rsidRPr="002A0612">
              <w:rPr>
                <w:rStyle w:val="Hyperlink"/>
                <w:noProof/>
              </w:rPr>
              <w:t>4</w:t>
            </w:r>
            <w:r>
              <w:rPr>
                <w:noProof/>
              </w:rPr>
              <w:tab/>
            </w:r>
            <w:r w:rsidRPr="002A0612">
              <w:rPr>
                <w:rStyle w:val="Hyperlink"/>
                <w:noProof/>
              </w:rPr>
              <w:t>PHYSICAL SUPPLY AND USE ENERGY ACCOUNTS</w:t>
            </w:r>
            <w:r>
              <w:rPr>
                <w:noProof/>
                <w:webHidden/>
              </w:rPr>
              <w:tab/>
            </w:r>
            <w:r>
              <w:rPr>
                <w:noProof/>
                <w:webHidden/>
              </w:rPr>
              <w:fldChar w:fldCharType="begin"/>
            </w:r>
            <w:r>
              <w:rPr>
                <w:noProof/>
                <w:webHidden/>
              </w:rPr>
              <w:instrText xml:space="preserve"> PAGEREF _Toc219801430 \h </w:instrText>
            </w:r>
            <w:r>
              <w:rPr>
                <w:noProof/>
                <w:webHidden/>
              </w:rPr>
            </w:r>
            <w:r>
              <w:rPr>
                <w:noProof/>
                <w:webHidden/>
              </w:rPr>
              <w:fldChar w:fldCharType="separate"/>
            </w:r>
            <w:r>
              <w:rPr>
                <w:noProof/>
                <w:webHidden/>
              </w:rPr>
              <w:t>13</w:t>
            </w:r>
            <w:r>
              <w:rPr>
                <w:noProof/>
                <w:webHidden/>
              </w:rPr>
              <w:fldChar w:fldCharType="end"/>
            </w:r>
          </w:hyperlink>
        </w:p>
        <w:p w14:paraId="39D3E738" w14:textId="46646B8E" w:rsidR="00301E88" w:rsidRDefault="00301E88">
          <w:pPr>
            <w:pStyle w:val="TOC1"/>
            <w:tabs>
              <w:tab w:val="left" w:pos="480"/>
              <w:tab w:val="right" w:leader="dot" w:pos="9350"/>
            </w:tabs>
            <w:rPr>
              <w:noProof/>
            </w:rPr>
          </w:pPr>
          <w:hyperlink w:anchor="_Toc219801431" w:history="1">
            <w:r w:rsidRPr="002A0612">
              <w:rPr>
                <w:rStyle w:val="Hyperlink"/>
                <w:noProof/>
              </w:rPr>
              <w:t>5</w:t>
            </w:r>
            <w:r>
              <w:rPr>
                <w:noProof/>
              </w:rPr>
              <w:tab/>
            </w:r>
            <w:r w:rsidRPr="002A0612">
              <w:rPr>
                <w:rStyle w:val="Hyperlink"/>
                <w:noProof/>
              </w:rPr>
              <w:t>MONETARY ENERGY ACCOUNTS</w:t>
            </w:r>
            <w:r>
              <w:rPr>
                <w:noProof/>
                <w:webHidden/>
              </w:rPr>
              <w:tab/>
            </w:r>
            <w:r>
              <w:rPr>
                <w:noProof/>
                <w:webHidden/>
              </w:rPr>
              <w:fldChar w:fldCharType="begin"/>
            </w:r>
            <w:r>
              <w:rPr>
                <w:noProof/>
                <w:webHidden/>
              </w:rPr>
              <w:instrText xml:space="preserve"> PAGEREF _Toc219801431 \h </w:instrText>
            </w:r>
            <w:r>
              <w:rPr>
                <w:noProof/>
                <w:webHidden/>
              </w:rPr>
            </w:r>
            <w:r>
              <w:rPr>
                <w:noProof/>
                <w:webHidden/>
              </w:rPr>
              <w:fldChar w:fldCharType="separate"/>
            </w:r>
            <w:r>
              <w:rPr>
                <w:noProof/>
                <w:webHidden/>
              </w:rPr>
              <w:t>26</w:t>
            </w:r>
            <w:r>
              <w:rPr>
                <w:noProof/>
                <w:webHidden/>
              </w:rPr>
              <w:fldChar w:fldCharType="end"/>
            </w:r>
          </w:hyperlink>
        </w:p>
        <w:p w14:paraId="115A206B" w14:textId="453A3C05" w:rsidR="00301E88" w:rsidRDefault="00301E88">
          <w:pPr>
            <w:pStyle w:val="TOC1"/>
            <w:tabs>
              <w:tab w:val="left" w:pos="480"/>
              <w:tab w:val="right" w:leader="dot" w:pos="9350"/>
            </w:tabs>
            <w:rPr>
              <w:noProof/>
            </w:rPr>
          </w:pPr>
          <w:hyperlink w:anchor="_Toc219801432" w:history="1">
            <w:r w:rsidRPr="002A0612">
              <w:rPr>
                <w:rStyle w:val="Hyperlink"/>
                <w:noProof/>
              </w:rPr>
              <w:t>6</w:t>
            </w:r>
            <w:r>
              <w:rPr>
                <w:noProof/>
              </w:rPr>
              <w:tab/>
            </w:r>
            <w:r w:rsidRPr="002A0612">
              <w:rPr>
                <w:rStyle w:val="Hyperlink"/>
                <w:noProof/>
              </w:rPr>
              <w:t>CONCLUSIONS AND RECOMMENDATIONS</w:t>
            </w:r>
            <w:r>
              <w:rPr>
                <w:noProof/>
                <w:webHidden/>
              </w:rPr>
              <w:tab/>
            </w:r>
            <w:r>
              <w:rPr>
                <w:noProof/>
                <w:webHidden/>
              </w:rPr>
              <w:fldChar w:fldCharType="begin"/>
            </w:r>
            <w:r>
              <w:rPr>
                <w:noProof/>
                <w:webHidden/>
              </w:rPr>
              <w:instrText xml:space="preserve"> PAGEREF _Toc219801432 \h </w:instrText>
            </w:r>
            <w:r>
              <w:rPr>
                <w:noProof/>
                <w:webHidden/>
              </w:rPr>
            </w:r>
            <w:r>
              <w:rPr>
                <w:noProof/>
                <w:webHidden/>
              </w:rPr>
              <w:fldChar w:fldCharType="separate"/>
            </w:r>
            <w:r>
              <w:rPr>
                <w:noProof/>
                <w:webHidden/>
              </w:rPr>
              <w:t>32</w:t>
            </w:r>
            <w:r>
              <w:rPr>
                <w:noProof/>
                <w:webHidden/>
              </w:rPr>
              <w:fldChar w:fldCharType="end"/>
            </w:r>
          </w:hyperlink>
        </w:p>
        <w:p w14:paraId="499A70E0" w14:textId="0EC3A760" w:rsidR="00301E88" w:rsidRDefault="00301E88">
          <w:pPr>
            <w:pStyle w:val="TOC2"/>
            <w:tabs>
              <w:tab w:val="left" w:pos="960"/>
              <w:tab w:val="right" w:leader="dot" w:pos="9350"/>
            </w:tabs>
            <w:rPr>
              <w:noProof/>
            </w:rPr>
          </w:pPr>
          <w:hyperlink w:anchor="_Toc219801433" w:history="1">
            <w:r w:rsidRPr="002A0612">
              <w:rPr>
                <w:rStyle w:val="Hyperlink"/>
                <w:noProof/>
              </w:rPr>
              <w:t>6.1</w:t>
            </w:r>
            <w:r>
              <w:rPr>
                <w:noProof/>
              </w:rPr>
              <w:tab/>
            </w:r>
            <w:r w:rsidRPr="002A0612">
              <w:rPr>
                <w:rStyle w:val="Hyperlink"/>
                <w:noProof/>
              </w:rPr>
              <w:t>Conclusions</w:t>
            </w:r>
            <w:r>
              <w:rPr>
                <w:noProof/>
                <w:webHidden/>
              </w:rPr>
              <w:tab/>
            </w:r>
            <w:r>
              <w:rPr>
                <w:noProof/>
                <w:webHidden/>
              </w:rPr>
              <w:fldChar w:fldCharType="begin"/>
            </w:r>
            <w:r>
              <w:rPr>
                <w:noProof/>
                <w:webHidden/>
              </w:rPr>
              <w:instrText xml:space="preserve"> PAGEREF _Toc219801433 \h </w:instrText>
            </w:r>
            <w:r>
              <w:rPr>
                <w:noProof/>
                <w:webHidden/>
              </w:rPr>
            </w:r>
            <w:r>
              <w:rPr>
                <w:noProof/>
                <w:webHidden/>
              </w:rPr>
              <w:fldChar w:fldCharType="separate"/>
            </w:r>
            <w:r>
              <w:rPr>
                <w:noProof/>
                <w:webHidden/>
              </w:rPr>
              <w:t>32</w:t>
            </w:r>
            <w:r>
              <w:rPr>
                <w:noProof/>
                <w:webHidden/>
              </w:rPr>
              <w:fldChar w:fldCharType="end"/>
            </w:r>
          </w:hyperlink>
        </w:p>
        <w:p w14:paraId="44E93092" w14:textId="1A1622C7" w:rsidR="00301E88" w:rsidRDefault="00301E88">
          <w:pPr>
            <w:pStyle w:val="TOC2"/>
            <w:tabs>
              <w:tab w:val="left" w:pos="960"/>
              <w:tab w:val="right" w:leader="dot" w:pos="9350"/>
            </w:tabs>
            <w:rPr>
              <w:noProof/>
            </w:rPr>
          </w:pPr>
          <w:hyperlink w:anchor="_Toc219801434" w:history="1">
            <w:r w:rsidRPr="002A0612">
              <w:rPr>
                <w:rStyle w:val="Hyperlink"/>
                <w:noProof/>
              </w:rPr>
              <w:t>6.2</w:t>
            </w:r>
            <w:r>
              <w:rPr>
                <w:noProof/>
              </w:rPr>
              <w:tab/>
            </w:r>
            <w:r w:rsidRPr="002A0612">
              <w:rPr>
                <w:rStyle w:val="Hyperlink"/>
                <w:noProof/>
              </w:rPr>
              <w:t>Recommendations</w:t>
            </w:r>
            <w:r>
              <w:rPr>
                <w:noProof/>
                <w:webHidden/>
              </w:rPr>
              <w:tab/>
            </w:r>
            <w:r>
              <w:rPr>
                <w:noProof/>
                <w:webHidden/>
              </w:rPr>
              <w:fldChar w:fldCharType="begin"/>
            </w:r>
            <w:r>
              <w:rPr>
                <w:noProof/>
                <w:webHidden/>
              </w:rPr>
              <w:instrText xml:space="preserve"> PAGEREF _Toc219801434 \h </w:instrText>
            </w:r>
            <w:r>
              <w:rPr>
                <w:noProof/>
                <w:webHidden/>
              </w:rPr>
            </w:r>
            <w:r>
              <w:rPr>
                <w:noProof/>
                <w:webHidden/>
              </w:rPr>
              <w:fldChar w:fldCharType="separate"/>
            </w:r>
            <w:r>
              <w:rPr>
                <w:noProof/>
                <w:webHidden/>
              </w:rPr>
              <w:t>32</w:t>
            </w:r>
            <w:r>
              <w:rPr>
                <w:noProof/>
                <w:webHidden/>
              </w:rPr>
              <w:fldChar w:fldCharType="end"/>
            </w:r>
          </w:hyperlink>
        </w:p>
        <w:p w14:paraId="40F919CB" w14:textId="7C50B4A8" w:rsidR="00301E88" w:rsidRDefault="00301E88">
          <w:pPr>
            <w:pStyle w:val="TOC1"/>
            <w:tabs>
              <w:tab w:val="left" w:pos="480"/>
              <w:tab w:val="right" w:leader="dot" w:pos="9350"/>
            </w:tabs>
            <w:rPr>
              <w:noProof/>
            </w:rPr>
          </w:pPr>
          <w:hyperlink w:anchor="_Toc219801435" w:history="1">
            <w:r w:rsidRPr="002A0612">
              <w:rPr>
                <w:rStyle w:val="Hyperlink"/>
                <w:noProof/>
              </w:rPr>
              <w:t>7</w:t>
            </w:r>
            <w:r>
              <w:rPr>
                <w:noProof/>
              </w:rPr>
              <w:tab/>
            </w:r>
            <w:r w:rsidRPr="002A0612">
              <w:rPr>
                <w:rStyle w:val="Hyperlink"/>
                <w:noProof/>
              </w:rPr>
              <w:t>APPENDICES</w:t>
            </w:r>
            <w:r>
              <w:rPr>
                <w:noProof/>
                <w:webHidden/>
              </w:rPr>
              <w:tab/>
            </w:r>
            <w:r>
              <w:rPr>
                <w:noProof/>
                <w:webHidden/>
              </w:rPr>
              <w:fldChar w:fldCharType="begin"/>
            </w:r>
            <w:r>
              <w:rPr>
                <w:noProof/>
                <w:webHidden/>
              </w:rPr>
              <w:instrText xml:space="preserve"> PAGEREF _Toc219801435 \h </w:instrText>
            </w:r>
            <w:r>
              <w:rPr>
                <w:noProof/>
                <w:webHidden/>
              </w:rPr>
            </w:r>
            <w:r>
              <w:rPr>
                <w:noProof/>
                <w:webHidden/>
              </w:rPr>
              <w:fldChar w:fldCharType="separate"/>
            </w:r>
            <w:r>
              <w:rPr>
                <w:noProof/>
                <w:webHidden/>
              </w:rPr>
              <w:t>34</w:t>
            </w:r>
            <w:r>
              <w:rPr>
                <w:noProof/>
                <w:webHidden/>
              </w:rPr>
              <w:fldChar w:fldCharType="end"/>
            </w:r>
          </w:hyperlink>
        </w:p>
        <w:p w14:paraId="2F5F68E6" w14:textId="1EF4BBC5" w:rsidR="00301E88" w:rsidRDefault="00301E88">
          <w:pPr>
            <w:pStyle w:val="TOC2"/>
            <w:tabs>
              <w:tab w:val="left" w:pos="960"/>
              <w:tab w:val="right" w:leader="dot" w:pos="9350"/>
            </w:tabs>
            <w:rPr>
              <w:noProof/>
            </w:rPr>
          </w:pPr>
          <w:hyperlink w:anchor="_Toc219801436" w:history="1">
            <w:r w:rsidRPr="002A0612">
              <w:rPr>
                <w:rStyle w:val="Hyperlink"/>
                <w:noProof/>
              </w:rPr>
              <w:t>7.1</w:t>
            </w:r>
            <w:r>
              <w:rPr>
                <w:noProof/>
              </w:rPr>
              <w:tab/>
            </w:r>
            <w:r w:rsidRPr="002A0612">
              <w:rPr>
                <w:rStyle w:val="Hyperlink"/>
                <w:noProof/>
              </w:rPr>
              <w:t>List of Tables</w:t>
            </w:r>
            <w:r>
              <w:rPr>
                <w:noProof/>
                <w:webHidden/>
              </w:rPr>
              <w:tab/>
            </w:r>
            <w:r>
              <w:rPr>
                <w:noProof/>
                <w:webHidden/>
              </w:rPr>
              <w:fldChar w:fldCharType="begin"/>
            </w:r>
            <w:r>
              <w:rPr>
                <w:noProof/>
                <w:webHidden/>
              </w:rPr>
              <w:instrText xml:space="preserve"> PAGEREF _Toc219801436 \h </w:instrText>
            </w:r>
            <w:r>
              <w:rPr>
                <w:noProof/>
                <w:webHidden/>
              </w:rPr>
            </w:r>
            <w:r>
              <w:rPr>
                <w:noProof/>
                <w:webHidden/>
              </w:rPr>
              <w:fldChar w:fldCharType="separate"/>
            </w:r>
            <w:r>
              <w:rPr>
                <w:noProof/>
                <w:webHidden/>
              </w:rPr>
              <w:t>34</w:t>
            </w:r>
            <w:r>
              <w:rPr>
                <w:noProof/>
                <w:webHidden/>
              </w:rPr>
              <w:fldChar w:fldCharType="end"/>
            </w:r>
          </w:hyperlink>
        </w:p>
        <w:p w14:paraId="7A480576" w14:textId="42163CE1" w:rsidR="00301E88" w:rsidRDefault="00301E88">
          <w:pPr>
            <w:pStyle w:val="TOC2"/>
            <w:tabs>
              <w:tab w:val="left" w:pos="960"/>
              <w:tab w:val="right" w:leader="dot" w:pos="9350"/>
            </w:tabs>
            <w:rPr>
              <w:noProof/>
            </w:rPr>
          </w:pPr>
          <w:hyperlink w:anchor="_Toc219801437" w:history="1">
            <w:r w:rsidRPr="002A0612">
              <w:rPr>
                <w:rStyle w:val="Hyperlink"/>
                <w:noProof/>
              </w:rPr>
              <w:t>7.2</w:t>
            </w:r>
            <w:r>
              <w:rPr>
                <w:noProof/>
              </w:rPr>
              <w:tab/>
            </w:r>
            <w:r w:rsidRPr="002A0612">
              <w:rPr>
                <w:rStyle w:val="Hyperlink"/>
                <w:noProof/>
              </w:rPr>
              <w:t>Glossary</w:t>
            </w:r>
            <w:r>
              <w:rPr>
                <w:noProof/>
                <w:webHidden/>
              </w:rPr>
              <w:tab/>
            </w:r>
            <w:r>
              <w:rPr>
                <w:noProof/>
                <w:webHidden/>
              </w:rPr>
              <w:fldChar w:fldCharType="begin"/>
            </w:r>
            <w:r>
              <w:rPr>
                <w:noProof/>
                <w:webHidden/>
              </w:rPr>
              <w:instrText xml:space="preserve"> PAGEREF _Toc219801437 \h </w:instrText>
            </w:r>
            <w:r>
              <w:rPr>
                <w:noProof/>
                <w:webHidden/>
              </w:rPr>
            </w:r>
            <w:r>
              <w:rPr>
                <w:noProof/>
                <w:webHidden/>
              </w:rPr>
              <w:fldChar w:fldCharType="separate"/>
            </w:r>
            <w:r>
              <w:rPr>
                <w:noProof/>
                <w:webHidden/>
              </w:rPr>
              <w:t>34</w:t>
            </w:r>
            <w:r>
              <w:rPr>
                <w:noProof/>
                <w:webHidden/>
              </w:rPr>
              <w:fldChar w:fldCharType="end"/>
            </w:r>
          </w:hyperlink>
        </w:p>
        <w:p w14:paraId="38066BC4" w14:textId="76DBE25B" w:rsidR="00301E88" w:rsidRDefault="00301E88">
          <w:pPr>
            <w:pStyle w:val="TOC2"/>
            <w:tabs>
              <w:tab w:val="left" w:pos="960"/>
              <w:tab w:val="right" w:leader="dot" w:pos="9350"/>
            </w:tabs>
            <w:rPr>
              <w:noProof/>
            </w:rPr>
          </w:pPr>
          <w:hyperlink w:anchor="_Toc219801438" w:history="1">
            <w:r w:rsidRPr="002A0612">
              <w:rPr>
                <w:rStyle w:val="Hyperlink"/>
                <w:noProof/>
              </w:rPr>
              <w:t>7.3</w:t>
            </w:r>
            <w:r>
              <w:rPr>
                <w:noProof/>
              </w:rPr>
              <w:tab/>
            </w:r>
            <w:r w:rsidRPr="002A0612">
              <w:rPr>
                <w:rStyle w:val="Hyperlink"/>
                <w:noProof/>
              </w:rPr>
              <w:t>Conversion Factors</w:t>
            </w:r>
            <w:r>
              <w:rPr>
                <w:noProof/>
                <w:webHidden/>
              </w:rPr>
              <w:tab/>
            </w:r>
            <w:r>
              <w:rPr>
                <w:noProof/>
                <w:webHidden/>
              </w:rPr>
              <w:fldChar w:fldCharType="begin"/>
            </w:r>
            <w:r>
              <w:rPr>
                <w:noProof/>
                <w:webHidden/>
              </w:rPr>
              <w:instrText xml:space="preserve"> PAGEREF _Toc219801438 \h </w:instrText>
            </w:r>
            <w:r>
              <w:rPr>
                <w:noProof/>
                <w:webHidden/>
              </w:rPr>
            </w:r>
            <w:r>
              <w:rPr>
                <w:noProof/>
                <w:webHidden/>
              </w:rPr>
              <w:fldChar w:fldCharType="separate"/>
            </w:r>
            <w:r>
              <w:rPr>
                <w:noProof/>
                <w:webHidden/>
              </w:rPr>
              <w:t>37</w:t>
            </w:r>
            <w:r>
              <w:rPr>
                <w:noProof/>
                <w:webHidden/>
              </w:rPr>
              <w:fldChar w:fldCharType="end"/>
            </w:r>
          </w:hyperlink>
        </w:p>
        <w:p w14:paraId="69610742" w14:textId="2E1B6906" w:rsidR="00301E88" w:rsidRDefault="00301E88">
          <w:pPr>
            <w:pStyle w:val="TOC2"/>
            <w:tabs>
              <w:tab w:val="left" w:pos="960"/>
              <w:tab w:val="right" w:leader="dot" w:pos="9350"/>
            </w:tabs>
            <w:rPr>
              <w:noProof/>
            </w:rPr>
          </w:pPr>
          <w:hyperlink w:anchor="_Toc219801439" w:history="1">
            <w:r w:rsidRPr="002A0612">
              <w:rPr>
                <w:rStyle w:val="Hyperlink"/>
                <w:noProof/>
              </w:rPr>
              <w:t>7.4</w:t>
            </w:r>
            <w:r>
              <w:rPr>
                <w:noProof/>
              </w:rPr>
              <w:tab/>
            </w:r>
            <w:r w:rsidRPr="002A0612">
              <w:rPr>
                <w:rStyle w:val="Hyperlink"/>
                <w:noProof/>
              </w:rPr>
              <w:t>REFERENCES</w:t>
            </w:r>
            <w:r>
              <w:rPr>
                <w:noProof/>
                <w:webHidden/>
              </w:rPr>
              <w:tab/>
            </w:r>
            <w:r>
              <w:rPr>
                <w:noProof/>
                <w:webHidden/>
              </w:rPr>
              <w:fldChar w:fldCharType="begin"/>
            </w:r>
            <w:r>
              <w:rPr>
                <w:noProof/>
                <w:webHidden/>
              </w:rPr>
              <w:instrText xml:space="preserve"> PAGEREF _Toc219801439 \h </w:instrText>
            </w:r>
            <w:r>
              <w:rPr>
                <w:noProof/>
                <w:webHidden/>
              </w:rPr>
            </w:r>
            <w:r>
              <w:rPr>
                <w:noProof/>
                <w:webHidden/>
              </w:rPr>
              <w:fldChar w:fldCharType="separate"/>
            </w:r>
            <w:r>
              <w:rPr>
                <w:noProof/>
                <w:webHidden/>
              </w:rPr>
              <w:t>38</w:t>
            </w:r>
            <w:r>
              <w:rPr>
                <w:noProof/>
                <w:webHidden/>
              </w:rPr>
              <w:fldChar w:fldCharType="end"/>
            </w:r>
          </w:hyperlink>
        </w:p>
        <w:p w14:paraId="525FDA8A" w14:textId="6C98CAF1" w:rsidR="00301E88" w:rsidRDefault="00301E88">
          <w:r>
            <w:rPr>
              <w:b/>
              <w:bCs/>
            </w:rPr>
            <w:fldChar w:fldCharType="end"/>
          </w:r>
        </w:p>
      </w:sdtContent>
    </w:sdt>
    <w:p w14:paraId="15B39EF0" w14:textId="77777777" w:rsidR="00E77887" w:rsidRDefault="00E77887">
      <w:pPr>
        <w:spacing w:line="240" w:lineRule="auto"/>
      </w:pPr>
    </w:p>
    <w:p w14:paraId="1D62D72A" w14:textId="77777777" w:rsidR="00C4353F" w:rsidRDefault="00C4353F">
      <w:pPr>
        <w:pageBreakBefore/>
      </w:pPr>
    </w:p>
    <w:p w14:paraId="73E51622" w14:textId="77777777" w:rsidR="00C4353F" w:rsidRDefault="00000000">
      <w:pPr>
        <w:spacing w:line="240" w:lineRule="auto"/>
      </w:pPr>
      <w:r>
        <w:rPr>
          <w:rStyle w:val="Heading1Char"/>
          <w:sz w:val="28"/>
          <w:szCs w:val="28"/>
        </w:rPr>
        <w:t>Acronyms and Abbreviations</w:t>
      </w:r>
      <w:r>
        <w:rPr>
          <w:rFonts w:ascii="Times New Roman" w:eastAsia="Times New Roman" w:hAnsi="Times New Roman" w:cs="Times New Roman"/>
          <w:b/>
          <w:bCs/>
          <w:color w:val="000000"/>
          <w:kern w:val="0"/>
        </w:rPr>
        <w:t xml:space="preserve"> </w:t>
      </w:r>
    </w:p>
    <w:p w14:paraId="368F192D" w14:textId="77777777" w:rsidR="00C4353F" w:rsidRDefault="00C4353F">
      <w:pPr>
        <w:pageBreakBefore/>
      </w:pPr>
    </w:p>
    <w:p w14:paraId="2AC5B2E2" w14:textId="77777777" w:rsidR="00C4353F" w:rsidRDefault="00C4353F">
      <w:pPr>
        <w:spacing w:after="0" w:line="240" w:lineRule="auto"/>
        <w:rPr>
          <w:rFonts w:ascii="Times New Roman" w:eastAsia="Times New Roman" w:hAnsi="Times New Roman" w:cs="Times New Roman"/>
          <w:kern w:val="0"/>
        </w:rPr>
      </w:pPr>
    </w:p>
    <w:p w14:paraId="7D6C5247" w14:textId="77777777" w:rsidR="00C4353F" w:rsidRDefault="00000000" w:rsidP="00301E88">
      <w:pPr>
        <w:pStyle w:val="Heading1"/>
        <w:numPr>
          <w:ilvl w:val="0"/>
          <w:numId w:val="0"/>
        </w:numPr>
        <w:ind w:left="432" w:hanging="432"/>
      </w:pPr>
      <w:bookmarkStart w:id="0" w:name="_Toc219801417"/>
      <w:r>
        <w:rPr>
          <w:b/>
          <w:sz w:val="32"/>
          <w:szCs w:val="32"/>
        </w:rPr>
        <w:t>EXECUTIVE SUMMARY AND KEY FINDINGS</w:t>
      </w:r>
      <w:bookmarkEnd w:id="0"/>
      <w:r>
        <w:rPr>
          <w:b/>
          <w:sz w:val="32"/>
          <w:szCs w:val="32"/>
        </w:rPr>
        <w:t xml:space="preserve"> </w:t>
      </w:r>
    </w:p>
    <w:p w14:paraId="3F9D6741" w14:textId="77777777" w:rsidR="00C4353F" w:rsidRDefault="00C4353F">
      <w:pPr>
        <w:pageBreakBefore/>
      </w:pPr>
    </w:p>
    <w:p w14:paraId="148EED07" w14:textId="77777777" w:rsidR="00C4353F" w:rsidRDefault="00C4353F">
      <w:pPr>
        <w:spacing w:line="240" w:lineRule="auto"/>
        <w:rPr>
          <w:rFonts w:ascii="Times New Roman" w:eastAsia="Times New Roman" w:hAnsi="Times New Roman" w:cs="Times New Roman"/>
          <w:color w:val="000000"/>
        </w:rPr>
      </w:pPr>
    </w:p>
    <w:p w14:paraId="4A27D2CD" w14:textId="4B34C8A0" w:rsidR="00C4353F" w:rsidRDefault="00000000" w:rsidP="00EC0F1C">
      <w:pPr>
        <w:pStyle w:val="Heading1"/>
        <w:numPr>
          <w:ilvl w:val="0"/>
          <w:numId w:val="10"/>
        </w:numPr>
      </w:pPr>
      <w:bookmarkStart w:id="1" w:name="_Toc219801418"/>
      <w:r>
        <w:t>INTRODUCTION</w:t>
      </w:r>
      <w:bookmarkEnd w:id="1"/>
    </w:p>
    <w:p w14:paraId="74CED138" w14:textId="77777777" w:rsidR="00C4353F" w:rsidRDefault="00000000">
      <w:pPr>
        <w:pStyle w:val="Heading2"/>
      </w:pPr>
      <w:r>
        <w:t>   </w:t>
      </w:r>
      <w:bookmarkStart w:id="2" w:name="_Toc219801419"/>
      <w:r>
        <w:t>Overview</w:t>
      </w:r>
      <w:bookmarkEnd w:id="2"/>
    </w:p>
    <w:p w14:paraId="3D3D4DE0" w14:textId="77777777" w:rsidR="00C4353F" w:rsidRDefault="00000000">
      <w:pPr>
        <w:spacing w:before="240" w:after="240" w:line="240" w:lineRule="auto"/>
        <w:jc w:val="both"/>
      </w:pPr>
      <w:r>
        <w:rPr>
          <w:rFonts w:ascii="Times New Roman" w:eastAsia="Times New Roman" w:hAnsi="Times New Roman" w:cs="Times New Roman"/>
          <w:color w:val="000000"/>
          <w:kern w:val="0"/>
        </w:rPr>
        <w:t>Kenya’s Energy sector plays a key enabling role in national development, driving socio-economic transformation. In view of the growing energy demand, evolving global energy transitions, and increased emphasis on climate action and environmental sustainability, the sector remains focal to the realization of Kenya Vision 2030, Bottom-Up Economic Transformation Agenda (BETA) as well as regional and global commitments. The Ministry of Energy and Petroleum Strategic Plan 2023–2027 provides a clear policy direction anchored on sustainable resource exploitation, universal access to modern energy services, environmental sustainability and energy efficiency, and conservation.</w:t>
      </w:r>
    </w:p>
    <w:p w14:paraId="73E16004" w14:textId="77777777" w:rsidR="00C4353F" w:rsidRDefault="00000000">
      <w:pPr>
        <w:spacing w:before="240" w:after="240" w:line="240" w:lineRule="auto"/>
        <w:jc w:val="both"/>
      </w:pPr>
      <w:r>
        <w:rPr>
          <w:rFonts w:ascii="Times New Roman" w:eastAsia="Times New Roman" w:hAnsi="Times New Roman" w:cs="Times New Roman"/>
          <w:color w:val="000000"/>
          <w:kern w:val="0"/>
        </w:rPr>
        <w:t>Within this strategic context, the development of Kenya’s National Energy Accounts represents a significant milestone in strengthening evidence-based planning, policy formulation, and decision making in the energy sector factoring in key aspects of the environment. The Energy Accounts operationalize the integration of natural capital into the national accounting framework through the System of Environmental-Economic Accounting (SEEA), thereby addressing long standing gaps in the visibility of energy resources within traditional economic statistics.</w:t>
      </w:r>
    </w:p>
    <w:p w14:paraId="282D6AE5" w14:textId="77777777" w:rsidR="00C4353F" w:rsidRDefault="00000000">
      <w:pPr>
        <w:spacing w:before="240" w:after="240" w:line="240" w:lineRule="auto"/>
        <w:jc w:val="both"/>
      </w:pPr>
      <w:r>
        <w:rPr>
          <w:rFonts w:ascii="Times New Roman" w:eastAsia="Times New Roman" w:hAnsi="Times New Roman" w:cs="Times New Roman"/>
          <w:b/>
          <w:color w:val="000000"/>
          <w:kern w:val="0"/>
        </w:rPr>
        <w:t>Natural Capital Accounting</w:t>
      </w:r>
      <w:r>
        <w:rPr>
          <w:rFonts w:ascii="Times New Roman" w:eastAsia="Times New Roman" w:hAnsi="Times New Roman" w:cs="Times New Roman"/>
          <w:color w:val="000000"/>
          <w:kern w:val="0"/>
        </w:rPr>
        <w:t xml:space="preserve"> is a tool that is used to measure a country’s natural resource stock and its contribution to the country’s economy (GDP). It encompasses accounting for natural resources, conversion of resources, and consumption factoring in losses and degradation across the value chain.</w:t>
      </w:r>
    </w:p>
    <w:p w14:paraId="716AAD54" w14:textId="77777777" w:rsidR="00C4353F" w:rsidRDefault="00000000">
      <w:pPr>
        <w:spacing w:before="240" w:after="240" w:line="240" w:lineRule="auto"/>
        <w:jc w:val="both"/>
      </w:pPr>
      <w:r>
        <w:rPr>
          <w:rFonts w:ascii="Times New Roman" w:eastAsia="Times New Roman" w:hAnsi="Times New Roman" w:cs="Times New Roman"/>
          <w:color w:val="000000"/>
          <w:kern w:val="0"/>
        </w:rPr>
        <w:t>For decades, Kenya’s economic growth has been closely linked to the exploitation and use of natural resources, particularly energy resources that support productive sectors such as agriculture, manufacturing, transport, and tourism among other services. However, traditional economic indicators have not adequately captured the full contribution of energy resources, nor the environmental and economic impact of their depletion, degradation, and efficiency in use. This limitation has constrained long-term planning and sustainability of trade-offs management.</w:t>
      </w:r>
    </w:p>
    <w:p w14:paraId="24885D10" w14:textId="77777777" w:rsidR="00C4353F" w:rsidRDefault="00000000">
      <w:pPr>
        <w:spacing w:before="240" w:after="240" w:line="240" w:lineRule="auto"/>
        <w:jc w:val="both"/>
      </w:pPr>
      <w:r>
        <w:rPr>
          <w:rFonts w:ascii="Times New Roman" w:eastAsia="Times New Roman" w:hAnsi="Times New Roman" w:cs="Times New Roman"/>
          <w:color w:val="000000"/>
          <w:kern w:val="0"/>
        </w:rPr>
        <w:t>In response, Kenya initiated a strategic pilot programme to integrate natural capital into national accounting, beginning with the development of Energy Accounts. These accounts are structured in line with international best practice under the SEEA framework and are fully consistent with the System of National Accounts (SNA). They comprise Physical Energy Accounts, Monetary Energy Accounts, and Energy Asset Accounts, collectively providing a comprehensive view of energy flows, economic value, and resource stocks.</w:t>
      </w:r>
    </w:p>
    <w:p w14:paraId="1E66F7DF" w14:textId="77777777" w:rsidR="00C4353F" w:rsidRDefault="00000000">
      <w:pPr>
        <w:spacing w:before="240" w:after="240" w:line="240" w:lineRule="auto"/>
        <w:jc w:val="both"/>
      </w:pPr>
      <w:r>
        <w:rPr>
          <w:rFonts w:ascii="Times New Roman" w:eastAsia="Times New Roman" w:hAnsi="Times New Roman" w:cs="Times New Roman"/>
          <w:color w:val="000000"/>
          <w:kern w:val="0"/>
        </w:rPr>
        <w:t xml:space="preserve">Through the Kenya Strategy for Environmental Economic Accounting (KSEEA) 2022–2026, and the leadership of the Kenya National Bureau of Statistics in collaboration with national and </w:t>
      </w:r>
      <w:r>
        <w:rPr>
          <w:rFonts w:ascii="Times New Roman" w:eastAsia="Times New Roman" w:hAnsi="Times New Roman" w:cs="Times New Roman"/>
          <w:color w:val="000000"/>
          <w:kern w:val="0"/>
        </w:rPr>
        <w:lastRenderedPageBreak/>
        <w:t>international partners, these accounts are increasingly informing climate policy, green growth strategies, and long-term development planning.</w:t>
      </w:r>
    </w:p>
    <w:p w14:paraId="6F3FDD4E" w14:textId="77777777" w:rsidR="00C4353F" w:rsidRDefault="00000000">
      <w:pPr>
        <w:spacing w:before="240" w:after="240" w:line="240" w:lineRule="auto"/>
        <w:jc w:val="both"/>
      </w:pPr>
      <w:r>
        <w:rPr>
          <w:rFonts w:ascii="Times New Roman" w:eastAsia="Times New Roman" w:hAnsi="Times New Roman" w:cs="Times New Roman"/>
          <w:color w:val="000000"/>
          <w:kern w:val="0"/>
        </w:rPr>
        <w:t>Overall, Kenya’s National Energy Accounts will go a long way in providing a critical evidence-based foundation for energy sector planning, regulatory oversight, market transparency, and the transition to a low carbon and resource efficient economy. In future, Kenya’s commitment to sustainable development, inclusive growth, and responsible management of energy resources will position the country as a regional leader in sustainable energy governance.</w:t>
      </w:r>
    </w:p>
    <w:p w14:paraId="0019FB7E" w14:textId="0BBD1B6B" w:rsidR="00C4353F" w:rsidRDefault="00000000" w:rsidP="001E48B7">
      <w:pPr>
        <w:pStyle w:val="Heading2"/>
      </w:pPr>
      <w:r>
        <w:rPr>
          <w:rFonts w:ascii="Times New Roman" w:eastAsia="Times New Roman" w:hAnsi="Times New Roman"/>
          <w:b/>
          <w:bCs/>
          <w:color w:val="000000"/>
          <w:kern w:val="0"/>
        </w:rPr>
        <w:t>   </w:t>
      </w:r>
      <w:bookmarkStart w:id="3" w:name="_Toc219801420"/>
      <w:r>
        <w:rPr>
          <w:rFonts w:ascii="Times New Roman" w:eastAsia="Times New Roman" w:hAnsi="Times New Roman"/>
          <w:b/>
          <w:bCs/>
          <w:color w:val="000000"/>
          <w:kern w:val="0"/>
        </w:rPr>
        <w:t>Scope</w:t>
      </w:r>
      <w:bookmarkEnd w:id="3"/>
    </w:p>
    <w:p w14:paraId="7FD1B183" w14:textId="77777777" w:rsidR="00C4353F" w:rsidRDefault="00000000">
      <w:pPr>
        <w:spacing w:before="240" w:after="240" w:line="240" w:lineRule="auto"/>
        <w:jc w:val="both"/>
      </w:pPr>
      <w:r>
        <w:rPr>
          <w:rFonts w:ascii="Times New Roman" w:eastAsia="Times New Roman" w:hAnsi="Times New Roman" w:cs="Times New Roman"/>
          <w:color w:val="000000"/>
          <w:kern w:val="0"/>
        </w:rPr>
        <w:t>The development of Kenya’s Energy Accounts represents a significant advancement in understanding the interaction between the energy sector, the environment, and the economy. The accounts are structured into Physical Energy Accounts, Monetary Energy Accounts, and Energy Asset Accounts, providing a comprehensive framework for tracking energy production, transformation, consumption, trade, and resource stocks. </w:t>
      </w:r>
    </w:p>
    <w:p w14:paraId="2A93FD42" w14:textId="77777777" w:rsidR="00C4353F" w:rsidRDefault="00000000">
      <w:pPr>
        <w:spacing w:before="240" w:after="240" w:line="240" w:lineRule="auto"/>
        <w:jc w:val="both"/>
      </w:pPr>
      <w:r>
        <w:rPr>
          <w:rFonts w:ascii="Times New Roman" w:eastAsia="Times New Roman" w:hAnsi="Times New Roman" w:cs="Times New Roman"/>
          <w:color w:val="000000"/>
          <w:kern w:val="0"/>
        </w:rPr>
        <w:t>The scope of this report encompasses the physical and monetary accounts of Kenya’s energy sector, covering:</w:t>
      </w:r>
    </w:p>
    <w:p w14:paraId="0A678840" w14:textId="1AFDDEEE" w:rsidR="00C4353F" w:rsidRDefault="00000000" w:rsidP="0024718D">
      <w:pPr>
        <w:pStyle w:val="ListParagraph"/>
        <w:numPr>
          <w:ilvl w:val="0"/>
          <w:numId w:val="13"/>
        </w:numPr>
        <w:spacing w:before="240" w:after="240" w:line="240" w:lineRule="auto"/>
        <w:jc w:val="both"/>
      </w:pPr>
      <w:r w:rsidRPr="0024718D">
        <w:rPr>
          <w:rFonts w:ascii="Times New Roman" w:eastAsia="Times New Roman" w:hAnsi="Times New Roman" w:cs="Times New Roman"/>
          <w:color w:val="000000"/>
          <w:kern w:val="0"/>
        </w:rPr>
        <w:t>Physical Accounts: Energy supply, conversion, and use have been quantified factoring in imports, exports and losses in the Physical supply and use tables.</w:t>
      </w:r>
    </w:p>
    <w:p w14:paraId="40E2A65D" w14:textId="61EED03E" w:rsidR="00C4353F" w:rsidRDefault="00000000" w:rsidP="0024718D">
      <w:pPr>
        <w:pStyle w:val="ListParagraph"/>
        <w:numPr>
          <w:ilvl w:val="0"/>
          <w:numId w:val="13"/>
        </w:numPr>
        <w:spacing w:before="240" w:after="240" w:line="240" w:lineRule="auto"/>
        <w:jc w:val="both"/>
      </w:pPr>
      <w:r w:rsidRPr="0024718D">
        <w:rPr>
          <w:rFonts w:ascii="Times New Roman" w:eastAsia="Times New Roman" w:hAnsi="Times New Roman" w:cs="Times New Roman"/>
          <w:color w:val="000000"/>
          <w:kern w:val="0"/>
        </w:rPr>
        <w:t>Monetary Accounts: Valuation of energy supply, conversion and use has been quantified in the monetary use tables.</w:t>
      </w:r>
    </w:p>
    <w:p w14:paraId="52151095" w14:textId="3A0FF070" w:rsidR="00C4353F" w:rsidRDefault="00000000" w:rsidP="0024718D">
      <w:pPr>
        <w:pStyle w:val="ListParagraph"/>
        <w:numPr>
          <w:ilvl w:val="0"/>
          <w:numId w:val="13"/>
        </w:numPr>
        <w:spacing w:before="240" w:after="240" w:line="240" w:lineRule="auto"/>
        <w:jc w:val="both"/>
      </w:pPr>
      <w:r w:rsidRPr="0024718D">
        <w:rPr>
          <w:rFonts w:ascii="Times New Roman" w:eastAsia="Times New Roman" w:hAnsi="Times New Roman" w:cs="Times New Roman"/>
          <w:color w:val="000000"/>
          <w:kern w:val="0"/>
        </w:rPr>
        <w:t>Energy Assets Account has not been produced in this report but will be considered in the near future to factor in valuation of energy assets and tracking changes in energy assets/stock levels.</w:t>
      </w:r>
    </w:p>
    <w:p w14:paraId="0D29F2F5" w14:textId="1C03DAB6" w:rsidR="00C4353F" w:rsidRDefault="00000000" w:rsidP="004C5446">
      <w:pPr>
        <w:pStyle w:val="Heading2"/>
      </w:pPr>
      <w:r>
        <w:rPr>
          <w:rFonts w:ascii="Times New Roman" w:eastAsia="Times New Roman" w:hAnsi="Times New Roman"/>
          <w:color w:val="000000"/>
          <w:kern w:val="0"/>
        </w:rPr>
        <w:t>  </w:t>
      </w:r>
      <w:r>
        <w:rPr>
          <w:rFonts w:ascii="Times New Roman" w:eastAsia="Times New Roman" w:hAnsi="Times New Roman"/>
          <w:b/>
          <w:bCs/>
          <w:color w:val="000000"/>
          <w:kern w:val="0"/>
        </w:rPr>
        <w:t> </w:t>
      </w:r>
      <w:bookmarkStart w:id="4" w:name="_Toc219801421"/>
      <w:r>
        <w:rPr>
          <w:rFonts w:ascii="Times New Roman" w:eastAsia="Times New Roman" w:hAnsi="Times New Roman"/>
          <w:b/>
          <w:bCs/>
          <w:color w:val="000000"/>
          <w:kern w:val="0"/>
        </w:rPr>
        <w:t>Objectives</w:t>
      </w:r>
      <w:bookmarkEnd w:id="4"/>
    </w:p>
    <w:p w14:paraId="1D5A57C7" w14:textId="77777777" w:rsidR="00C4353F" w:rsidRDefault="00000000">
      <w:pPr>
        <w:spacing w:before="240" w:after="240" w:line="240" w:lineRule="auto"/>
        <w:jc w:val="both"/>
      </w:pPr>
      <w:r>
        <w:rPr>
          <w:rFonts w:ascii="Times New Roman" w:eastAsia="Times New Roman" w:hAnsi="Times New Roman" w:cs="Times New Roman"/>
          <w:color w:val="000000"/>
          <w:kern w:val="0"/>
        </w:rPr>
        <w:t>The development of this report is set to meet the following objectives;</w:t>
      </w:r>
    </w:p>
    <w:p w14:paraId="2DE63EAB" w14:textId="77777777" w:rsidR="00C4353F" w:rsidRDefault="00000000">
      <w:pPr>
        <w:numPr>
          <w:ilvl w:val="0"/>
          <w:numId w:val="2"/>
        </w:numPr>
        <w:spacing w:before="240" w:after="0" w:line="240" w:lineRule="auto"/>
        <w:jc w:val="both"/>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Present reliable, evidence-based accounts of the energy value chain to inform future policy direction, investment decisions and tracking of national, regional, and global commitments.</w:t>
      </w:r>
    </w:p>
    <w:p w14:paraId="74FEE3A2" w14:textId="77777777" w:rsidR="00C4353F" w:rsidRDefault="00000000">
      <w:pPr>
        <w:numPr>
          <w:ilvl w:val="0"/>
          <w:numId w:val="3"/>
        </w:numPr>
        <w:spacing w:after="240" w:line="240" w:lineRule="auto"/>
        <w:jc w:val="both"/>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Strengthen transparency and accountability in energy sector resource management by tracking energy production, energy use and environmental sustainability.</w:t>
      </w:r>
    </w:p>
    <w:p w14:paraId="53DE0E9F" w14:textId="77777777" w:rsidR="0019003C" w:rsidRDefault="0019003C" w:rsidP="0019003C">
      <w:pPr>
        <w:spacing w:after="240" w:line="240" w:lineRule="auto"/>
        <w:jc w:val="both"/>
        <w:rPr>
          <w:rFonts w:ascii="Times New Roman" w:eastAsia="Times New Roman" w:hAnsi="Times New Roman" w:cs="Times New Roman"/>
          <w:color w:val="000000"/>
          <w:kern w:val="0"/>
        </w:rPr>
      </w:pPr>
    </w:p>
    <w:p w14:paraId="28AAD064" w14:textId="77777777" w:rsidR="0019003C" w:rsidRDefault="0019003C" w:rsidP="0019003C">
      <w:pPr>
        <w:spacing w:after="240" w:line="240" w:lineRule="auto"/>
        <w:jc w:val="both"/>
        <w:rPr>
          <w:rFonts w:ascii="Times New Roman" w:eastAsia="Times New Roman" w:hAnsi="Times New Roman" w:cs="Times New Roman"/>
          <w:color w:val="000000"/>
          <w:kern w:val="0"/>
        </w:rPr>
      </w:pPr>
    </w:p>
    <w:p w14:paraId="4B5182F4" w14:textId="77777777" w:rsidR="0019003C" w:rsidRDefault="0019003C" w:rsidP="0019003C">
      <w:pPr>
        <w:spacing w:after="240" w:line="240" w:lineRule="auto"/>
        <w:jc w:val="both"/>
        <w:rPr>
          <w:rFonts w:ascii="Times New Roman" w:eastAsia="Times New Roman" w:hAnsi="Times New Roman" w:cs="Times New Roman"/>
          <w:color w:val="000000"/>
          <w:kern w:val="0"/>
        </w:rPr>
      </w:pPr>
    </w:p>
    <w:p w14:paraId="21268494" w14:textId="77777777" w:rsidR="0019003C" w:rsidRDefault="0019003C" w:rsidP="0019003C">
      <w:pPr>
        <w:spacing w:after="240" w:line="240" w:lineRule="auto"/>
        <w:jc w:val="both"/>
        <w:rPr>
          <w:rFonts w:ascii="Times New Roman" w:eastAsia="Times New Roman" w:hAnsi="Times New Roman" w:cs="Times New Roman"/>
          <w:color w:val="000000"/>
          <w:kern w:val="0"/>
        </w:rPr>
      </w:pPr>
    </w:p>
    <w:p w14:paraId="716FC2EC" w14:textId="6726DDA8" w:rsidR="00C4353F" w:rsidRDefault="00000000" w:rsidP="0019003C">
      <w:pPr>
        <w:pStyle w:val="Heading1"/>
      </w:pPr>
      <w:bookmarkStart w:id="5" w:name="_Toc219801422"/>
      <w:r>
        <w:rPr>
          <w:rStyle w:val="Heading1Char"/>
        </w:rPr>
        <w:lastRenderedPageBreak/>
        <w:t>METHODOLOGY</w:t>
      </w:r>
      <w:bookmarkEnd w:id="5"/>
      <w:r>
        <w:rPr>
          <w:rStyle w:val="Heading1Char"/>
        </w:rPr>
        <w:t> </w:t>
      </w:r>
    </w:p>
    <w:p w14:paraId="6795C859" w14:textId="45564442" w:rsidR="00C4353F" w:rsidRDefault="00000000" w:rsidP="0019003C">
      <w:pPr>
        <w:pStyle w:val="Heading2"/>
      </w:pPr>
      <w:bookmarkStart w:id="6" w:name="_Toc219801423"/>
      <w:r>
        <w:t>Monetary Accounts Methodology</w:t>
      </w:r>
      <w:bookmarkEnd w:id="6"/>
      <w:r>
        <w:t> </w:t>
      </w:r>
    </w:p>
    <w:p w14:paraId="7833FED5" w14:textId="77777777" w:rsidR="00C4353F" w:rsidRDefault="00000000">
      <w:pPr>
        <w:spacing w:line="240" w:lineRule="auto"/>
      </w:pPr>
      <w:r>
        <w:rPr>
          <w:rFonts w:ascii="Times New Roman" w:eastAsia="Times New Roman" w:hAnsi="Times New Roman" w:cs="Times New Roman"/>
          <w:color w:val="000000"/>
          <w:kern w:val="0"/>
        </w:rPr>
        <w:t>The monetary accounts methodology provides a structured framework for assessing the economic dimensions of Kenya’s energy sector and its linkages with the wider economy. By expressing energy production, consumption, and related transactions in monetary terms, the methodology supports evidence-based policymaking, fiscal analysis, and strategic planning.</w:t>
      </w:r>
    </w:p>
    <w:p w14:paraId="7DC41EEC" w14:textId="77777777" w:rsidR="00C4353F" w:rsidRDefault="00000000">
      <w:pPr>
        <w:spacing w:line="240" w:lineRule="auto"/>
      </w:pPr>
      <w:r>
        <w:rPr>
          <w:rFonts w:ascii="Times New Roman" w:eastAsia="Times New Roman" w:hAnsi="Times New Roman" w:cs="Times New Roman"/>
          <w:color w:val="000000"/>
          <w:kern w:val="0"/>
        </w:rPr>
        <w:t xml:space="preserve">The framework is aligned with internationally recognized standards, notably the </w:t>
      </w:r>
      <w:r>
        <w:rPr>
          <w:rFonts w:ascii="Times New Roman" w:eastAsia="Times New Roman" w:hAnsi="Times New Roman" w:cs="Times New Roman"/>
          <w:b/>
          <w:bCs/>
          <w:color w:val="000000"/>
          <w:kern w:val="0"/>
        </w:rPr>
        <w:t>System of National Accounts (SNA)</w:t>
      </w:r>
      <w:r>
        <w:rPr>
          <w:rFonts w:ascii="Times New Roman" w:eastAsia="Times New Roman" w:hAnsi="Times New Roman" w:cs="Times New Roman"/>
          <w:color w:val="000000"/>
          <w:kern w:val="0"/>
        </w:rPr>
        <w:t xml:space="preserve"> and the </w:t>
      </w:r>
      <w:r>
        <w:rPr>
          <w:rFonts w:ascii="Times New Roman" w:eastAsia="Times New Roman" w:hAnsi="Times New Roman" w:cs="Times New Roman"/>
          <w:b/>
          <w:bCs/>
          <w:color w:val="000000"/>
          <w:kern w:val="0"/>
        </w:rPr>
        <w:t>System of Environmental-Economic Accounting (SEEA)</w:t>
      </w:r>
      <w:r>
        <w:rPr>
          <w:rFonts w:ascii="Times New Roman" w:eastAsia="Times New Roman" w:hAnsi="Times New Roman" w:cs="Times New Roman"/>
          <w:color w:val="000000"/>
          <w:kern w:val="0"/>
        </w:rPr>
        <w:t>. This ensures methodological consistency, international comparability, and integration with Kenya’s macroeconomic statistics.</w:t>
      </w:r>
    </w:p>
    <w:p w14:paraId="67E33327" w14:textId="77777777" w:rsidR="00C4353F" w:rsidRDefault="00000000">
      <w:pPr>
        <w:spacing w:before="240" w:after="240" w:line="240" w:lineRule="auto"/>
      </w:pPr>
      <w:r>
        <w:rPr>
          <w:rFonts w:ascii="Times New Roman" w:eastAsia="Times New Roman" w:hAnsi="Times New Roman" w:cs="Times New Roman"/>
          <w:color w:val="000000"/>
          <w:kern w:val="0"/>
        </w:rPr>
        <w:t>The monetary energy accounts are compiled into two key economic aggregates of energy supply and use by industry. The monetary energy Supply Table values energy products at purchasers' prices, including domestic production values, import values (at CIF), taxes and subsidies on products, trade and transport margins and total supply valuation. The monetary energy Use Table records expenditures on energy by industries (intermediate consumption), households (final consumption), government and public administration, accumulation (stock changes) and losses, exports at FOB (rest of the world)</w:t>
      </w:r>
    </w:p>
    <w:p w14:paraId="122E3CE8" w14:textId="77777777" w:rsidR="00C4353F" w:rsidRDefault="00000000">
      <w:pPr>
        <w:spacing w:before="240" w:after="240" w:line="240" w:lineRule="auto"/>
      </w:pPr>
      <w:r>
        <w:rPr>
          <w:rFonts w:ascii="Times New Roman" w:eastAsia="Times New Roman" w:hAnsi="Times New Roman" w:cs="Times New Roman"/>
          <w:color w:val="000000"/>
          <w:kern w:val="0"/>
        </w:rPr>
        <w:t xml:space="preserve">Monetary estimates for both Supply and Use tables are derived by applying average unit or market prices to corresponding physical quantities. Where price data are unavailable or distorted, proxy prices are imputed. </w:t>
      </w:r>
      <w:r>
        <w:rPr>
          <w:rFonts w:ascii="Times New Roman" w:eastAsia="Times New Roman" w:hAnsi="Times New Roman" w:cs="Times New Roman"/>
          <w:color w:val="222222"/>
          <w:kern w:val="0"/>
          <w:shd w:val="clear" w:color="auto" w:fill="FFFFFF"/>
        </w:rPr>
        <w:t>Presenting both physical and monetary estimates highlights the interactions between the economy and the environment. </w:t>
      </w:r>
    </w:p>
    <w:p w14:paraId="12E34CAD" w14:textId="77777777" w:rsidR="00C4353F" w:rsidRDefault="00000000">
      <w:pPr>
        <w:spacing w:after="0" w:line="240" w:lineRule="auto"/>
      </w:pPr>
      <w:r>
        <w:rPr>
          <w:rFonts w:ascii="Times New Roman" w:eastAsia="Times New Roman" w:hAnsi="Times New Roman" w:cs="Times New Roman"/>
          <w:color w:val="000000"/>
          <w:kern w:val="0"/>
        </w:rPr>
        <w:t>This methodology emphasizes on indicators that inform strategic decision-making, including:</w:t>
      </w:r>
    </w:p>
    <w:p w14:paraId="35014BC2" w14:textId="77777777" w:rsidR="00C4353F" w:rsidRDefault="00000000">
      <w:pPr>
        <w:numPr>
          <w:ilvl w:val="0"/>
          <w:numId w:val="4"/>
        </w:numPr>
        <w:spacing w:after="0" w:line="240" w:lineRule="auto"/>
      </w:pPr>
      <w:r>
        <w:rPr>
          <w:rFonts w:ascii="Times New Roman" w:eastAsia="Times New Roman" w:hAnsi="Times New Roman" w:cs="Times New Roman"/>
          <w:color w:val="000000"/>
          <w:kern w:val="0"/>
        </w:rPr>
        <w:t>Energy expenditures as a share of GDP and sectoral output</w:t>
      </w:r>
    </w:p>
    <w:p w14:paraId="0DC43330" w14:textId="77777777" w:rsidR="00C4353F" w:rsidRDefault="00000000">
      <w:pPr>
        <w:numPr>
          <w:ilvl w:val="0"/>
          <w:numId w:val="4"/>
        </w:numPr>
        <w:spacing w:after="0" w:line="240" w:lineRule="auto"/>
      </w:pPr>
      <w:r>
        <w:rPr>
          <w:rFonts w:ascii="Times New Roman" w:eastAsia="Times New Roman" w:hAnsi="Times New Roman" w:cs="Times New Roman"/>
          <w:color w:val="000000"/>
          <w:kern w:val="0"/>
        </w:rPr>
        <w:t>Fiscal revenues and expenditures related to energy taxation and subsidies</w:t>
      </w:r>
    </w:p>
    <w:p w14:paraId="3AEC6685" w14:textId="77777777" w:rsidR="00C4353F" w:rsidRDefault="00000000">
      <w:pPr>
        <w:numPr>
          <w:ilvl w:val="0"/>
          <w:numId w:val="4"/>
        </w:numPr>
        <w:spacing w:after="0" w:line="240" w:lineRule="auto"/>
      </w:pPr>
      <w:r>
        <w:rPr>
          <w:rFonts w:ascii="Times New Roman" w:eastAsia="Times New Roman" w:hAnsi="Times New Roman" w:cs="Times New Roman"/>
          <w:color w:val="000000"/>
          <w:kern w:val="0"/>
        </w:rPr>
        <w:t>Economic exposure to energy price fluctuations and import dependency</w:t>
      </w:r>
    </w:p>
    <w:p w14:paraId="1A25CAFE" w14:textId="77777777" w:rsidR="00C4353F" w:rsidRDefault="00000000">
      <w:pPr>
        <w:spacing w:before="240" w:after="240" w:line="240" w:lineRule="auto"/>
      </w:pPr>
      <w:r>
        <w:rPr>
          <w:rFonts w:ascii="Times New Roman" w:eastAsia="Times New Roman" w:hAnsi="Times New Roman" w:cs="Times New Roman"/>
          <w:color w:val="000000"/>
          <w:kern w:val="0"/>
        </w:rPr>
        <w:t>These indicators support analytical applications beyond descriptive accounting, such as trend analysis, cross-sectoral comparisons, and scenario-based assessments. They contribute to evaluating energy policies, pricing reforms, and transition pathways within a coherent macroeconomic framework.</w:t>
      </w:r>
    </w:p>
    <w:p w14:paraId="36E94179" w14:textId="7299A865" w:rsidR="00C4353F" w:rsidRDefault="00000000" w:rsidP="00337793">
      <w:pPr>
        <w:pStyle w:val="Heading2"/>
      </w:pPr>
      <w:bookmarkStart w:id="7" w:name="_Toc219801424"/>
      <w:r w:rsidRPr="00337793">
        <w:t>Methodological Limitations</w:t>
      </w:r>
      <w:bookmarkEnd w:id="7"/>
      <w:r w:rsidRPr="00337793">
        <w:t> </w:t>
      </w:r>
    </w:p>
    <w:p w14:paraId="2D819893" w14:textId="77777777" w:rsidR="00C4353F" w:rsidRDefault="00000000">
      <w:pPr>
        <w:spacing w:after="0" w:line="240" w:lineRule="auto"/>
      </w:pPr>
      <w:r>
        <w:rPr>
          <w:rFonts w:ascii="Times New Roman" w:eastAsia="Times New Roman" w:hAnsi="Times New Roman" w:cs="Times New Roman"/>
          <w:color w:val="000000"/>
          <w:kern w:val="0"/>
        </w:rPr>
        <w:t>While monetary energy accounts provide valuable insights into the economic role of energy, several limitations must be acknowledged while interpreting results:</w:t>
      </w:r>
    </w:p>
    <w:p w14:paraId="5FC6FC2B" w14:textId="77777777" w:rsidR="00C4353F" w:rsidRDefault="00000000">
      <w:pPr>
        <w:numPr>
          <w:ilvl w:val="0"/>
          <w:numId w:val="5"/>
        </w:numPr>
        <w:spacing w:after="0" w:line="240" w:lineRule="auto"/>
      </w:pPr>
      <w:r>
        <w:rPr>
          <w:rFonts w:ascii="Times New Roman" w:eastAsia="Times New Roman" w:hAnsi="Times New Roman" w:cs="Times New Roman"/>
          <w:b/>
          <w:bCs/>
          <w:color w:val="000000"/>
          <w:kern w:val="0"/>
        </w:rPr>
        <w:t xml:space="preserve">Market distortions: </w:t>
      </w:r>
      <w:r>
        <w:rPr>
          <w:rFonts w:ascii="Times New Roman" w:eastAsia="Times New Roman" w:hAnsi="Times New Roman" w:cs="Times New Roman"/>
          <w:b/>
          <w:color w:val="000000"/>
          <w:kern w:val="0"/>
        </w:rPr>
        <w:t>The</w:t>
      </w:r>
      <w:r>
        <w:rPr>
          <w:rFonts w:ascii="Times New Roman" w:eastAsia="Times New Roman" w:hAnsi="Times New Roman" w:cs="Times New Roman"/>
          <w:color w:val="000000"/>
          <w:kern w:val="0"/>
        </w:rPr>
        <w:t xml:space="preserve"> methodology reflects observed market transactions and policy-determined prices, which may not fully represent underlying economic costs or benefits, particularly in the presence of price regulation, subsidies, or market distortions.</w:t>
      </w:r>
    </w:p>
    <w:p w14:paraId="6FC4E35F" w14:textId="77777777" w:rsidR="00C4353F" w:rsidRDefault="00000000">
      <w:pPr>
        <w:numPr>
          <w:ilvl w:val="0"/>
          <w:numId w:val="5"/>
        </w:numPr>
        <w:spacing w:after="0" w:line="240" w:lineRule="auto"/>
      </w:pPr>
      <w:r>
        <w:rPr>
          <w:rFonts w:ascii="Times New Roman" w:eastAsia="Times New Roman" w:hAnsi="Times New Roman" w:cs="Times New Roman"/>
          <w:b/>
          <w:bCs/>
          <w:color w:val="000000"/>
          <w:kern w:val="0"/>
        </w:rPr>
        <w:t>Externalities</w:t>
      </w:r>
      <w:r>
        <w:rPr>
          <w:rFonts w:ascii="Times New Roman" w:eastAsia="Times New Roman" w:hAnsi="Times New Roman" w:cs="Times New Roman"/>
          <w:color w:val="000000"/>
          <w:kern w:val="0"/>
        </w:rPr>
        <w:t>: Monetary accounts may not comprehensively capture environmental externalities, social impacts, or long-term resource considerations unless complemented by additional valuation methods or satellite accounts.</w:t>
      </w:r>
    </w:p>
    <w:p w14:paraId="6F53A6F9" w14:textId="77777777" w:rsidR="00C4353F" w:rsidRDefault="00000000">
      <w:pPr>
        <w:numPr>
          <w:ilvl w:val="0"/>
          <w:numId w:val="5"/>
        </w:numPr>
        <w:spacing w:after="0" w:line="240" w:lineRule="auto"/>
      </w:pPr>
      <w:r>
        <w:rPr>
          <w:rFonts w:ascii="Times New Roman" w:eastAsia="Times New Roman" w:hAnsi="Times New Roman" w:cs="Times New Roman"/>
          <w:b/>
          <w:bCs/>
          <w:color w:val="000000"/>
          <w:kern w:val="0"/>
        </w:rPr>
        <w:lastRenderedPageBreak/>
        <w:t>Data constraints</w:t>
      </w:r>
      <w:r>
        <w:rPr>
          <w:rFonts w:ascii="Times New Roman" w:eastAsia="Times New Roman" w:hAnsi="Times New Roman" w:cs="Times New Roman"/>
          <w:color w:val="000000"/>
          <w:kern w:val="0"/>
        </w:rPr>
        <w:t>: Coverage, timeliness, and accuracy may be affected by data gaps, particularly in informal energy markets (e.g., charcoal, firewood).</w:t>
      </w:r>
    </w:p>
    <w:p w14:paraId="77399B36" w14:textId="77777777" w:rsidR="00C4353F" w:rsidRDefault="00000000">
      <w:pPr>
        <w:numPr>
          <w:ilvl w:val="0"/>
          <w:numId w:val="5"/>
        </w:numPr>
        <w:spacing w:after="0" w:line="240" w:lineRule="auto"/>
      </w:pPr>
      <w:r>
        <w:rPr>
          <w:rFonts w:ascii="Times New Roman" w:eastAsia="Times New Roman" w:hAnsi="Times New Roman" w:cs="Times New Roman"/>
          <w:b/>
          <w:bCs/>
          <w:color w:val="000000"/>
          <w:kern w:val="0"/>
        </w:rPr>
        <w:t>Comparability</w:t>
      </w:r>
      <w:r>
        <w:rPr>
          <w:rFonts w:ascii="Times New Roman" w:eastAsia="Times New Roman" w:hAnsi="Times New Roman" w:cs="Times New Roman"/>
          <w:color w:val="000000"/>
          <w:kern w:val="0"/>
        </w:rPr>
        <w:t>: Differences in data availability and accounting practices can limit comparability across sectors.</w:t>
      </w:r>
    </w:p>
    <w:p w14:paraId="78045116" w14:textId="77777777" w:rsidR="00C4353F" w:rsidRDefault="00C4353F">
      <w:pPr>
        <w:spacing w:after="0" w:line="240" w:lineRule="auto"/>
        <w:rPr>
          <w:rFonts w:ascii="Times New Roman" w:eastAsia="Times New Roman" w:hAnsi="Times New Roman" w:cs="Times New Roman"/>
          <w:kern w:val="0"/>
        </w:rPr>
      </w:pPr>
    </w:p>
    <w:p w14:paraId="58A7BD8A" w14:textId="77777777" w:rsidR="00C4353F" w:rsidRDefault="00000000">
      <w:pPr>
        <w:spacing w:after="0" w:line="240" w:lineRule="auto"/>
      </w:pPr>
      <w:r>
        <w:rPr>
          <w:rFonts w:ascii="Times New Roman" w:eastAsia="Times New Roman" w:hAnsi="Times New Roman" w:cs="Times New Roman"/>
          <w:color w:val="000000"/>
          <w:kern w:val="0"/>
        </w:rPr>
        <w:t>These limitations underscore the importance of transparent assumptions, regular methodological review, and integration with complementary frameworks to strengthen the robustness of the accounts.</w:t>
      </w:r>
    </w:p>
    <w:p w14:paraId="361F3D69" w14:textId="77777777" w:rsidR="00C4353F" w:rsidRDefault="00C4353F">
      <w:pPr>
        <w:spacing w:after="0" w:line="240" w:lineRule="auto"/>
        <w:rPr>
          <w:rFonts w:ascii="Times New Roman" w:eastAsia="Times New Roman" w:hAnsi="Times New Roman" w:cs="Times New Roman"/>
          <w:color w:val="000000"/>
        </w:rPr>
      </w:pPr>
    </w:p>
    <w:p w14:paraId="6783BCA9" w14:textId="3A6060CE" w:rsidR="00C4353F" w:rsidRDefault="00000000" w:rsidP="00B94562">
      <w:pPr>
        <w:pStyle w:val="Heading2"/>
      </w:pPr>
      <w:bookmarkStart w:id="8" w:name="_Toc219801425"/>
      <w:r w:rsidRPr="00B94562">
        <w:t>Methodological Assumptions</w:t>
      </w:r>
      <w:bookmarkEnd w:id="8"/>
    </w:p>
    <w:p w14:paraId="2ADF9621" w14:textId="4F73E771" w:rsidR="0002194A" w:rsidRPr="0002194A" w:rsidRDefault="0002194A" w:rsidP="0002194A">
      <w:r>
        <w:t xml:space="preserve">The  preparation  of the  monetary accounts  entailed the application of  various assumptions </w:t>
      </w:r>
      <w:r w:rsidR="00D1236A">
        <w:t>that  introduce  various  levels  of uncertainty. These assumptions are categorized as  follows;</w:t>
      </w:r>
    </w:p>
    <w:p w14:paraId="43E97F3A" w14:textId="29F2376A" w:rsidR="00C4353F" w:rsidRDefault="00000000" w:rsidP="009124AD">
      <w:pPr>
        <w:pStyle w:val="ListParagraph"/>
        <w:numPr>
          <w:ilvl w:val="0"/>
          <w:numId w:val="16"/>
        </w:numPr>
        <w:spacing w:before="240" w:after="240" w:line="240" w:lineRule="auto"/>
        <w:jc w:val="both"/>
      </w:pPr>
      <w:r w:rsidRPr="009124AD">
        <w:rPr>
          <w:rFonts w:ascii="Times New Roman" w:eastAsia="Times New Roman" w:hAnsi="Times New Roman" w:cs="Times New Roman"/>
          <w:b/>
          <w:bCs/>
          <w:color w:val="000000"/>
        </w:rPr>
        <w:t>Allocation Assumptions</w:t>
      </w:r>
    </w:p>
    <w:p w14:paraId="6FC2BA1F" w14:textId="77777777" w:rsidR="00C4353F" w:rsidRDefault="00000000">
      <w:pPr>
        <w:spacing w:before="240" w:after="240" w:line="240" w:lineRule="auto"/>
        <w:jc w:val="both"/>
      </w:pPr>
      <w:r>
        <w:rPr>
          <w:rFonts w:ascii="Times New Roman" w:eastAsia="Times New Roman" w:hAnsi="Times New Roman" w:cs="Times New Roman"/>
          <w:color w:val="000000"/>
        </w:rPr>
        <w:t>The compilation of energy supply and use tables requires the allocation of flows across industries and final consumption categories. In cases of missing detail, allocation relies on assumptions drawn from historical patterns, ratios from earlier surveys, or simplified distribution keys. While necessary, these assumptions introduce uncertainty.</w:t>
      </w:r>
    </w:p>
    <w:p w14:paraId="1C6B203D" w14:textId="79356D39" w:rsidR="00C4353F" w:rsidRDefault="00000000" w:rsidP="009124AD">
      <w:pPr>
        <w:pStyle w:val="ListParagraph"/>
        <w:numPr>
          <w:ilvl w:val="0"/>
          <w:numId w:val="16"/>
        </w:numPr>
        <w:spacing w:before="240" w:after="240" w:line="240" w:lineRule="auto"/>
        <w:jc w:val="both"/>
      </w:pPr>
      <w:r>
        <w:rPr>
          <w:rFonts w:ascii="Times New Roman" w:eastAsia="Times New Roman" w:hAnsi="Times New Roman" w:cs="Times New Roman"/>
          <w:b/>
          <w:bCs/>
          <w:color w:val="000000"/>
        </w:rPr>
        <w:t>Conversion Factors Limitations</w:t>
      </w:r>
    </w:p>
    <w:p w14:paraId="54C08A11" w14:textId="77777777" w:rsidR="00C4353F" w:rsidRDefault="00000000">
      <w:pPr>
        <w:spacing w:before="240" w:after="240" w:line="240" w:lineRule="auto"/>
        <w:jc w:val="both"/>
      </w:pPr>
      <w:r>
        <w:rPr>
          <w:rFonts w:ascii="Times New Roman" w:eastAsia="Times New Roman" w:hAnsi="Times New Roman" w:cs="Times New Roman"/>
          <w:color w:val="000000"/>
        </w:rPr>
        <w:t>Standard conversion factors are used to convert physical quantities into terajoules (TJ). However, energy content can vary significantly depending on fuel quality, moisture content (in biomass), or refinery source. Uniform factors may therefore overstate or understate actual energy values.</w:t>
      </w:r>
    </w:p>
    <w:p w14:paraId="797D9A12" w14:textId="77777777" w:rsidR="00C4353F" w:rsidRDefault="00000000">
      <w:pPr>
        <w:spacing w:before="240" w:after="240" w:line="240" w:lineRule="auto"/>
        <w:jc w:val="both"/>
      </w:pPr>
      <w:r>
        <w:rPr>
          <w:rFonts w:ascii="Times New Roman" w:eastAsia="Times New Roman" w:hAnsi="Times New Roman" w:cs="Times New Roman"/>
          <w:color w:val="000000"/>
        </w:rPr>
        <w:t>  </w:t>
      </w:r>
    </w:p>
    <w:p w14:paraId="628C93F5" w14:textId="0648EB41" w:rsidR="00C4353F" w:rsidRDefault="00000000" w:rsidP="009124AD">
      <w:pPr>
        <w:pStyle w:val="ListParagraph"/>
        <w:numPr>
          <w:ilvl w:val="0"/>
          <w:numId w:val="16"/>
        </w:numPr>
        <w:spacing w:before="240" w:after="240" w:line="240" w:lineRule="auto"/>
        <w:jc w:val="both"/>
      </w:pPr>
      <w:r>
        <w:rPr>
          <w:rFonts w:ascii="Times New Roman" w:eastAsia="Times New Roman" w:hAnsi="Times New Roman" w:cs="Times New Roman"/>
          <w:b/>
          <w:bCs/>
          <w:color w:val="000000"/>
        </w:rPr>
        <w:t>General Assumptions</w:t>
      </w:r>
    </w:p>
    <w:p w14:paraId="4614FBBD" w14:textId="77777777" w:rsidR="00C4353F" w:rsidRDefault="00000000">
      <w:pPr>
        <w:spacing w:before="240" w:after="240" w:line="240" w:lineRule="auto"/>
        <w:jc w:val="both"/>
      </w:pPr>
      <w:r>
        <w:rPr>
          <w:rFonts w:ascii="Times New Roman" w:eastAsia="Times New Roman" w:hAnsi="Times New Roman" w:cs="Times New Roman"/>
          <w:color w:val="000000"/>
        </w:rPr>
        <w:t>Other general assumptions applied in compiling the monetary energy accounts include:</w:t>
      </w:r>
    </w:p>
    <w:p w14:paraId="2E0A646B" w14:textId="77777777" w:rsidR="00C4353F" w:rsidRDefault="00000000">
      <w:pPr>
        <w:pStyle w:val="ListParagraph"/>
        <w:numPr>
          <w:ilvl w:val="0"/>
          <w:numId w:val="6"/>
        </w:numPr>
        <w:spacing w:before="240" w:after="240" w:line="240" w:lineRule="auto"/>
        <w:jc w:val="both"/>
      </w:pPr>
      <w:r>
        <w:rPr>
          <w:rFonts w:ascii="Times New Roman" w:eastAsia="Times New Roman" w:hAnsi="Times New Roman" w:cs="Times New Roman"/>
          <w:color w:val="000000"/>
        </w:rPr>
        <w:t>  Coke and coal have been combined and presented as one product, where the calorific value for coal was used and its import price. This was based on coal and coke having almost similar calorific values and coal being 99. 7% of the combined imports.</w:t>
      </w:r>
    </w:p>
    <w:p w14:paraId="5FBB1FC8" w14:textId="77777777" w:rsidR="00C4353F" w:rsidRDefault="00000000">
      <w:pPr>
        <w:pStyle w:val="ListParagraph"/>
        <w:numPr>
          <w:ilvl w:val="0"/>
          <w:numId w:val="6"/>
        </w:numPr>
        <w:spacing w:before="240" w:after="240" w:line="240" w:lineRule="auto"/>
        <w:jc w:val="both"/>
      </w:pPr>
      <w:r>
        <w:rPr>
          <w:rFonts w:ascii="Times New Roman" w:eastAsia="Times New Roman" w:hAnsi="Times New Roman" w:cs="Times New Roman"/>
          <w:color w:val="000000"/>
        </w:rPr>
        <w:t> Annual average prices were used to estimate the unit price of energy products.</w:t>
      </w:r>
    </w:p>
    <w:p w14:paraId="28BF1D5D" w14:textId="77777777" w:rsidR="00C4353F" w:rsidRDefault="00000000">
      <w:pPr>
        <w:pStyle w:val="ListParagraph"/>
        <w:numPr>
          <w:ilvl w:val="0"/>
          <w:numId w:val="6"/>
        </w:numPr>
        <w:spacing w:before="240" w:after="240" w:line="240" w:lineRule="auto"/>
        <w:jc w:val="both"/>
      </w:pPr>
      <w:r>
        <w:rPr>
          <w:rFonts w:ascii="Times New Roman" w:eastAsia="Times New Roman" w:hAnsi="Times New Roman" w:cs="Times New Roman"/>
          <w:color w:val="000000"/>
        </w:rPr>
        <w:t>  Export prices were used to estimate the model where retail prices were unavailable.</w:t>
      </w:r>
    </w:p>
    <w:p w14:paraId="46D64D3B" w14:textId="77777777" w:rsidR="00C4353F" w:rsidRDefault="00000000">
      <w:pPr>
        <w:pStyle w:val="ListParagraph"/>
        <w:numPr>
          <w:ilvl w:val="0"/>
          <w:numId w:val="6"/>
        </w:numPr>
        <w:spacing w:before="240" w:after="240" w:line="240" w:lineRule="auto"/>
        <w:jc w:val="both"/>
      </w:pPr>
      <w:r>
        <w:rPr>
          <w:rFonts w:ascii="Times New Roman" w:eastAsia="Times New Roman" w:hAnsi="Times New Roman" w:cs="Times New Roman"/>
          <w:color w:val="000000"/>
        </w:rPr>
        <w:t>  Taxes consist of import duty, excise, VAT and other taxes/levies less exemptions.</w:t>
      </w:r>
    </w:p>
    <w:p w14:paraId="265D9F1C" w14:textId="77777777" w:rsidR="00C4353F" w:rsidRDefault="00000000">
      <w:pPr>
        <w:pStyle w:val="ListParagraph"/>
        <w:numPr>
          <w:ilvl w:val="0"/>
          <w:numId w:val="6"/>
        </w:numPr>
        <w:spacing w:before="240" w:after="240" w:line="240" w:lineRule="auto"/>
        <w:jc w:val="both"/>
      </w:pPr>
      <w:r>
        <w:rPr>
          <w:rFonts w:ascii="Times New Roman" w:eastAsia="Times New Roman" w:hAnsi="Times New Roman" w:cs="Times New Roman"/>
          <w:color w:val="000000"/>
        </w:rPr>
        <w:t>   Household consumption for Motor Spirit Premium and Light Diesel Oil was assumed to be 20% and 7%, respectively, of transport and storage.</w:t>
      </w:r>
    </w:p>
    <w:p w14:paraId="70ADC45E" w14:textId="77777777" w:rsidR="00C4353F" w:rsidRDefault="00C4353F">
      <w:pPr>
        <w:spacing w:after="0" w:line="240" w:lineRule="auto"/>
        <w:rPr>
          <w:rFonts w:ascii="Times New Roman" w:eastAsia="Times New Roman" w:hAnsi="Times New Roman" w:cs="Times New Roman"/>
          <w:kern w:val="0"/>
        </w:rPr>
      </w:pPr>
    </w:p>
    <w:p w14:paraId="55534A20" w14:textId="2ECF0E8F" w:rsidR="00C4353F" w:rsidRDefault="00000000" w:rsidP="009B16D0">
      <w:pPr>
        <w:pStyle w:val="Heading2"/>
      </w:pPr>
      <w:bookmarkStart w:id="9" w:name="_Toc219801426"/>
      <w:r>
        <w:rPr>
          <w:rFonts w:ascii="Times New Roman" w:eastAsia="Times New Roman" w:hAnsi="Times New Roman"/>
          <w:b/>
          <w:bCs/>
          <w:color w:val="000000"/>
          <w:kern w:val="0"/>
        </w:rPr>
        <w:t>Data Sources</w:t>
      </w:r>
      <w:bookmarkEnd w:id="9"/>
    </w:p>
    <w:p w14:paraId="774F90C1" w14:textId="77777777" w:rsidR="00C4353F" w:rsidRDefault="00000000">
      <w:pPr>
        <w:spacing w:before="240" w:after="0" w:line="240" w:lineRule="auto"/>
      </w:pPr>
      <w:r>
        <w:rPr>
          <w:rFonts w:ascii="Times New Roman" w:eastAsia="Times New Roman" w:hAnsi="Times New Roman" w:cs="Times New Roman"/>
          <w:color w:val="000000"/>
          <w:kern w:val="0"/>
        </w:rPr>
        <w:t>The compilation of Kenya’s monetary energy accounts relies on diverse and authoritative data sources to ensure consistency, accuracy, and policy relevance. These sources include:</w:t>
      </w:r>
    </w:p>
    <w:p w14:paraId="427121DE" w14:textId="77777777" w:rsidR="00C4353F" w:rsidRDefault="00C4353F">
      <w:pPr>
        <w:spacing w:before="240" w:after="0" w:line="240" w:lineRule="auto"/>
        <w:rPr>
          <w:rFonts w:ascii="Times New Roman" w:eastAsia="Times New Roman" w:hAnsi="Times New Roman" w:cs="Times New Roman"/>
          <w:color w:val="000000"/>
        </w:rPr>
      </w:pPr>
    </w:p>
    <w:p w14:paraId="092D0EE7" w14:textId="1B060DDC" w:rsidR="00C4353F" w:rsidRDefault="00000000" w:rsidP="001678AC">
      <w:pPr>
        <w:pStyle w:val="ListParagraph"/>
        <w:numPr>
          <w:ilvl w:val="0"/>
          <w:numId w:val="18"/>
        </w:numPr>
        <w:spacing w:after="0" w:line="240" w:lineRule="auto"/>
      </w:pPr>
      <w:r w:rsidRPr="001678AC">
        <w:rPr>
          <w:rFonts w:ascii="Times New Roman" w:eastAsia="Times New Roman" w:hAnsi="Times New Roman" w:cs="Times New Roman"/>
          <w:b/>
          <w:bCs/>
          <w:color w:val="000000"/>
        </w:rPr>
        <w:t>Kenya National Bureau of Statistics (KNBS)</w:t>
      </w:r>
    </w:p>
    <w:p w14:paraId="20A171D0" w14:textId="77777777" w:rsidR="00C4353F" w:rsidRDefault="00000000" w:rsidP="001678AC">
      <w:pPr>
        <w:spacing w:after="0" w:line="240" w:lineRule="auto"/>
        <w:ind w:left="60"/>
      </w:pPr>
      <w:r>
        <w:rPr>
          <w:rFonts w:ascii="Times New Roman" w:eastAsia="Times New Roman" w:hAnsi="Times New Roman" w:cs="Times New Roman"/>
          <w:color w:val="000000"/>
        </w:rPr>
        <w:t>The Kenya National Bureau of Statistics is the government’s principal agency for the collection, analysis, and dissemination of statistical data, serving as the custodian of official statistical information in Kenya. KNBS fulfills its mandate through surveys and the publication of reports. Some of the data used in monetary accounts are sourced from;</w:t>
      </w:r>
    </w:p>
    <w:p w14:paraId="6C97ED62" w14:textId="77777777" w:rsidR="00C4353F" w:rsidRDefault="00C4353F" w:rsidP="001678AC">
      <w:pPr>
        <w:pStyle w:val="ListParagraph"/>
        <w:ind w:left="780"/>
      </w:pPr>
    </w:p>
    <w:p w14:paraId="1B7ACAFB" w14:textId="77777777" w:rsidR="00C4353F" w:rsidRDefault="00000000" w:rsidP="001678AC">
      <w:pPr>
        <w:pStyle w:val="ListParagraph"/>
        <w:numPr>
          <w:ilvl w:val="0"/>
          <w:numId w:val="7"/>
        </w:numPr>
        <w:spacing w:before="240" w:after="240"/>
        <w:ind w:left="780"/>
        <w:rPr>
          <w:rFonts w:ascii="Times New Roman" w:eastAsia="Times New Roman" w:hAnsi="Times New Roman" w:cs="Times New Roman"/>
          <w:color w:val="000000"/>
        </w:rPr>
      </w:pPr>
      <w:r>
        <w:rPr>
          <w:rFonts w:ascii="Times New Roman" w:eastAsia="Times New Roman" w:hAnsi="Times New Roman" w:cs="Times New Roman"/>
          <w:color w:val="000000"/>
        </w:rPr>
        <w:t xml:space="preserve"> Energy balances and input-output tables</w:t>
      </w:r>
    </w:p>
    <w:p w14:paraId="50C9B4C2" w14:textId="77777777" w:rsidR="00C4353F" w:rsidRDefault="00000000" w:rsidP="001678AC">
      <w:pPr>
        <w:pStyle w:val="ListParagraph"/>
        <w:numPr>
          <w:ilvl w:val="0"/>
          <w:numId w:val="7"/>
        </w:numPr>
        <w:spacing w:before="240" w:after="240"/>
        <w:ind w:left="780"/>
        <w:rPr>
          <w:rFonts w:ascii="Times New Roman" w:eastAsia="Times New Roman" w:hAnsi="Times New Roman" w:cs="Times New Roman"/>
          <w:color w:val="000000"/>
        </w:rPr>
      </w:pPr>
      <w:r>
        <w:rPr>
          <w:rFonts w:ascii="Times New Roman" w:eastAsia="Times New Roman" w:hAnsi="Times New Roman" w:cs="Times New Roman"/>
          <w:color w:val="000000"/>
        </w:rPr>
        <w:t>Economic surveys and price statistics</w:t>
      </w:r>
    </w:p>
    <w:p w14:paraId="65284B71" w14:textId="77777777" w:rsidR="00C4353F" w:rsidRDefault="00000000" w:rsidP="001678AC">
      <w:pPr>
        <w:pStyle w:val="ListParagraph"/>
        <w:numPr>
          <w:ilvl w:val="0"/>
          <w:numId w:val="7"/>
        </w:numPr>
        <w:spacing w:before="240" w:after="240"/>
        <w:ind w:left="780"/>
        <w:rPr>
          <w:rFonts w:ascii="Times New Roman" w:eastAsia="Times New Roman" w:hAnsi="Times New Roman" w:cs="Times New Roman"/>
          <w:color w:val="000000"/>
        </w:rPr>
      </w:pPr>
      <w:r>
        <w:rPr>
          <w:rFonts w:ascii="Times New Roman" w:eastAsia="Times New Roman" w:hAnsi="Times New Roman" w:cs="Times New Roman"/>
          <w:color w:val="000000"/>
        </w:rPr>
        <w:t>National accounts and sectoral GDP data</w:t>
      </w:r>
    </w:p>
    <w:p w14:paraId="55E32D81" w14:textId="77777777" w:rsidR="00C4353F" w:rsidRDefault="00000000" w:rsidP="001678AC">
      <w:pPr>
        <w:pStyle w:val="ListParagraph"/>
        <w:numPr>
          <w:ilvl w:val="0"/>
          <w:numId w:val="7"/>
        </w:numPr>
        <w:spacing w:before="240" w:after="240"/>
        <w:ind w:left="780"/>
        <w:rPr>
          <w:rFonts w:ascii="Times New Roman" w:eastAsia="Times New Roman" w:hAnsi="Times New Roman" w:cs="Times New Roman"/>
          <w:color w:val="000000"/>
        </w:rPr>
      </w:pPr>
      <w:r>
        <w:rPr>
          <w:rFonts w:ascii="Times New Roman" w:eastAsia="Times New Roman" w:hAnsi="Times New Roman" w:cs="Times New Roman"/>
          <w:color w:val="000000"/>
        </w:rPr>
        <w:t xml:space="preserve"> ICBT data</w:t>
      </w:r>
    </w:p>
    <w:p w14:paraId="07558695" w14:textId="5FB8E47F" w:rsidR="00C4353F" w:rsidRDefault="00000000" w:rsidP="00F0570F">
      <w:pPr>
        <w:pStyle w:val="ListParagraph"/>
        <w:numPr>
          <w:ilvl w:val="0"/>
          <w:numId w:val="18"/>
        </w:num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Ministry of Energy and Petroleum</w:t>
      </w:r>
    </w:p>
    <w:p w14:paraId="7718B800" w14:textId="77777777" w:rsidR="00C4353F" w:rsidRDefault="00000000" w:rsidP="00F0570F">
      <w:pPr>
        <w:spacing w:after="280"/>
        <w:rPr>
          <w:rFonts w:ascii="Times New Roman" w:eastAsia="Times New Roman" w:hAnsi="Times New Roman" w:cs="Times New Roman"/>
          <w:color w:val="000000"/>
        </w:rPr>
      </w:pPr>
      <w:r>
        <w:rPr>
          <w:rFonts w:ascii="Times New Roman" w:eastAsia="Times New Roman" w:hAnsi="Times New Roman" w:cs="Times New Roman"/>
          <w:color w:val="000000"/>
        </w:rPr>
        <w:t>The Ministry of Energy and Petroleum is the government entity mandated to develop and implement enabling policies for the energy and petroleum sectors. The ministry is organized into two state departments; these are Energy and Petroleum, each with distinct mandates. The ministry provided the following;</w:t>
      </w:r>
    </w:p>
    <w:p w14:paraId="0A57C8D8" w14:textId="77777777" w:rsidR="00C4353F" w:rsidRDefault="00000000">
      <w:pPr>
        <w:pStyle w:val="ListParagraph"/>
        <w:numPr>
          <w:ilvl w:val="0"/>
          <w:numId w:val="7"/>
        </w:num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Energy production, consumption, and infrastructure data</w:t>
      </w:r>
    </w:p>
    <w:p w14:paraId="64C0CF39" w14:textId="77777777" w:rsidR="00C4353F" w:rsidRDefault="00000000">
      <w:pPr>
        <w:pStyle w:val="ListParagraph"/>
        <w:numPr>
          <w:ilvl w:val="0"/>
          <w:numId w:val="7"/>
        </w:num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Licensing, regulatory, and policy documentation</w:t>
      </w:r>
    </w:p>
    <w:p w14:paraId="53DAA5DB" w14:textId="1A60E308" w:rsidR="00C4353F" w:rsidRDefault="00000000" w:rsidP="00F0570F">
      <w:pPr>
        <w:pStyle w:val="ListParagraph"/>
        <w:numPr>
          <w:ilvl w:val="0"/>
          <w:numId w:val="18"/>
        </w:num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Energy and Petroleum Regulatory Authority (EPRA)</w:t>
      </w:r>
    </w:p>
    <w:p w14:paraId="0619AED5" w14:textId="77777777" w:rsidR="00C4353F" w:rsidRPr="00431DD9" w:rsidRDefault="00000000" w:rsidP="00431DD9">
      <w:pPr>
        <w:spacing w:after="280"/>
        <w:rPr>
          <w:rFonts w:ascii="Times New Roman" w:eastAsia="Times New Roman" w:hAnsi="Times New Roman" w:cs="Times New Roman"/>
          <w:color w:val="000000"/>
        </w:rPr>
      </w:pPr>
      <w:r w:rsidRPr="00431DD9">
        <w:rPr>
          <w:rFonts w:ascii="Times New Roman" w:eastAsia="Times New Roman" w:hAnsi="Times New Roman" w:cs="Times New Roman"/>
          <w:color w:val="000000"/>
        </w:rPr>
        <w:t>The Energy and Petroleum Regulatory Authority is Kenya’s regulatory agency for the energy and petroleum sectors. It is responsible for the economic and technical regulation of electricity, renewable energy, petroleum, and coal. EPRA is mandated to collect and maintain energy and petroleum data, as well as to set electricity tariffs and petroleum prices. EPRA provides data on electricity and petroleum pricing.</w:t>
      </w:r>
    </w:p>
    <w:p w14:paraId="2E2B6810" w14:textId="706C36EE" w:rsidR="00C4353F" w:rsidRDefault="00000000" w:rsidP="00F0570F">
      <w:pPr>
        <w:pStyle w:val="ListParagraph"/>
        <w:numPr>
          <w:ilvl w:val="0"/>
          <w:numId w:val="18"/>
        </w:numPr>
        <w:spacing w:after="0" w:line="240" w:lineRule="auto"/>
      </w:pPr>
      <w:r>
        <w:rPr>
          <w:rFonts w:ascii="Times New Roman" w:eastAsia="Times New Roman" w:hAnsi="Times New Roman" w:cs="Times New Roman"/>
          <w:b/>
          <w:bCs/>
          <w:color w:val="000000"/>
        </w:rPr>
        <w:t>Kenya Power and Lighting Company (KPLC)</w:t>
      </w:r>
      <w:r>
        <w:rPr>
          <w:rFonts w:ascii="Times New Roman" w:eastAsia="Times New Roman" w:hAnsi="Times New Roman" w:cs="Times New Roman"/>
          <w:color w:val="000000"/>
        </w:rPr>
        <w:t>.</w:t>
      </w:r>
    </w:p>
    <w:p w14:paraId="52440B79" w14:textId="77777777" w:rsidR="00C4353F" w:rsidRPr="00431DD9" w:rsidRDefault="00000000" w:rsidP="00431DD9">
      <w:pPr>
        <w:spacing w:after="280"/>
        <w:rPr>
          <w:rFonts w:ascii="Times New Roman" w:eastAsia="Times New Roman" w:hAnsi="Times New Roman" w:cs="Times New Roman"/>
          <w:color w:val="000000"/>
        </w:rPr>
      </w:pPr>
      <w:r w:rsidRPr="00431DD9">
        <w:rPr>
          <w:rFonts w:ascii="Times New Roman" w:eastAsia="Times New Roman" w:hAnsi="Times New Roman" w:cs="Times New Roman"/>
          <w:color w:val="000000"/>
        </w:rPr>
        <w:t>The Kenya Power and Lighting Company is the primary electricity distribution and retail entity in Kenya. Its role includes purchasing power from electricity generators and selling it to end consumers. In executing its mandate, KPLC collects and maintains monetary data on electricity supply and consumption. KPLC provided data on;</w:t>
      </w:r>
    </w:p>
    <w:p w14:paraId="1778FCBF" w14:textId="77777777" w:rsidR="00C4353F" w:rsidRDefault="00000000">
      <w:pPr>
        <w:pStyle w:val="ListParagraph"/>
        <w:numPr>
          <w:ilvl w:val="0"/>
          <w:numId w:val="7"/>
        </w:num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Electricity supply and distribution.</w:t>
      </w:r>
    </w:p>
    <w:p w14:paraId="1784F26C" w14:textId="77777777" w:rsidR="00C4353F" w:rsidRDefault="00000000">
      <w:pPr>
        <w:pStyle w:val="ListParagraph"/>
        <w:numPr>
          <w:ilvl w:val="0"/>
          <w:numId w:val="7"/>
        </w:num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Primary and retail prices</w:t>
      </w:r>
    </w:p>
    <w:p w14:paraId="6B5DA6DB" w14:textId="6C318BA7" w:rsidR="00C4353F" w:rsidRDefault="00000000" w:rsidP="00431DD9">
      <w:pPr>
        <w:pStyle w:val="ListParagraph"/>
        <w:numPr>
          <w:ilvl w:val="0"/>
          <w:numId w:val="18"/>
        </w:num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Kenya Revenue Authority (KRA)</w:t>
      </w:r>
    </w:p>
    <w:p w14:paraId="02D702D8" w14:textId="77777777" w:rsidR="00C4353F" w:rsidRPr="00431DD9" w:rsidRDefault="00000000" w:rsidP="00431DD9">
      <w:pPr>
        <w:spacing w:after="280"/>
        <w:rPr>
          <w:rFonts w:ascii="Times New Roman" w:eastAsia="Times New Roman" w:hAnsi="Times New Roman" w:cs="Times New Roman"/>
          <w:color w:val="000000"/>
        </w:rPr>
      </w:pPr>
      <w:r w:rsidRPr="00431DD9">
        <w:rPr>
          <w:rFonts w:ascii="Times New Roman" w:eastAsia="Times New Roman" w:hAnsi="Times New Roman" w:cs="Times New Roman"/>
          <w:color w:val="000000"/>
        </w:rPr>
        <w:t>The Kenya Revenue Authority is mandated to assess, collect, and account for all revenues in accordance with written laws and their provisions. KRA collects and maintains both physical and monetary data on the supply and use of energy products. The KRA provided;</w:t>
      </w:r>
    </w:p>
    <w:p w14:paraId="0D94BF83" w14:textId="77777777" w:rsidR="00C4353F" w:rsidRDefault="00000000">
      <w:pPr>
        <w:pStyle w:val="ListParagraph"/>
        <w:numPr>
          <w:ilvl w:val="0"/>
          <w:numId w:val="7"/>
        </w:num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Taxation data on energy products</w:t>
      </w:r>
    </w:p>
    <w:p w14:paraId="1E83AA0F" w14:textId="77777777" w:rsidR="00C4353F" w:rsidRDefault="00000000">
      <w:pPr>
        <w:pStyle w:val="ListParagraph"/>
        <w:numPr>
          <w:ilvl w:val="0"/>
          <w:numId w:val="7"/>
        </w:numPr>
        <w:spacing w:before="240" w:after="240"/>
        <w:rPr>
          <w:rFonts w:ascii="Times New Roman" w:eastAsia="Times New Roman" w:hAnsi="Times New Roman" w:cs="Times New Roman"/>
          <w:color w:val="000000"/>
        </w:rPr>
      </w:pPr>
      <w:r>
        <w:rPr>
          <w:rFonts w:ascii="Times New Roman" w:eastAsia="Times New Roman" w:hAnsi="Times New Roman" w:cs="Times New Roman"/>
          <w:color w:val="000000"/>
        </w:rPr>
        <w:t>Import/export data for energy products</w:t>
      </w:r>
    </w:p>
    <w:p w14:paraId="29D6BDF7" w14:textId="20281E83" w:rsidR="00C4353F" w:rsidRDefault="00000000" w:rsidP="00431DD9">
      <w:pPr>
        <w:pStyle w:val="ListParagraph"/>
        <w:numPr>
          <w:ilvl w:val="0"/>
          <w:numId w:val="18"/>
        </w:numPr>
        <w:spacing w:after="0" w:line="240" w:lineRule="auto"/>
      </w:pPr>
      <w:r>
        <w:rPr>
          <w:rFonts w:ascii="Times New Roman" w:eastAsia="Times New Roman" w:hAnsi="Times New Roman" w:cs="Times New Roman"/>
          <w:b/>
          <w:color w:val="000000"/>
        </w:rPr>
        <w:t>International Energy Agency (IEA)</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UN SEEA Energy Framework</w:t>
      </w:r>
    </w:p>
    <w:p w14:paraId="2E428273" w14:textId="77777777" w:rsidR="00C4353F" w:rsidRPr="002D4269" w:rsidRDefault="00000000" w:rsidP="002D4269">
      <w:pPr>
        <w:spacing w:after="0"/>
        <w:rPr>
          <w:rFonts w:ascii="Times New Roman" w:eastAsia="Times New Roman" w:hAnsi="Times New Roman" w:cs="Times New Roman"/>
          <w:color w:val="000000"/>
        </w:rPr>
      </w:pPr>
      <w:r w:rsidRPr="002D4269">
        <w:rPr>
          <w:rFonts w:ascii="Times New Roman" w:eastAsia="Times New Roman" w:hAnsi="Times New Roman" w:cs="Times New Roman"/>
          <w:color w:val="000000"/>
        </w:rPr>
        <w:t>The IEA  and the United  Nations SEEA  Energy Framework  provided  the methodological guidance for  preparation of the  accounts.</w:t>
      </w:r>
    </w:p>
    <w:p w14:paraId="55373F85" w14:textId="77777777" w:rsidR="00C4353F" w:rsidRDefault="00C4353F">
      <w:pPr>
        <w:spacing w:after="0" w:line="240" w:lineRule="auto"/>
        <w:ind w:left="720"/>
      </w:pPr>
    </w:p>
    <w:p w14:paraId="077AA49A" w14:textId="68FC4C65" w:rsidR="005311A5" w:rsidRDefault="005311A5">
      <w:pPr>
        <w:suppressAutoHyphens w:val="0"/>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br w:type="page"/>
      </w:r>
    </w:p>
    <w:p w14:paraId="07096251" w14:textId="4DAD7BF5" w:rsidR="00C4353F" w:rsidRDefault="00000000" w:rsidP="00BB6C6F">
      <w:pPr>
        <w:pStyle w:val="Heading1"/>
      </w:pPr>
      <w:bookmarkStart w:id="10" w:name="_Toc219801427"/>
      <w:r>
        <w:lastRenderedPageBreak/>
        <w:t>DATA GAPS AND LIMITATIONS</w:t>
      </w:r>
      <w:bookmarkEnd w:id="10"/>
      <w:r>
        <w:t> </w:t>
      </w:r>
    </w:p>
    <w:p w14:paraId="0E0D8403" w14:textId="77777777" w:rsidR="00C4353F" w:rsidRDefault="00000000">
      <w:pPr>
        <w:spacing w:before="240" w:after="240" w:line="240" w:lineRule="auto"/>
        <w:jc w:val="both"/>
      </w:pPr>
      <w:r>
        <w:rPr>
          <w:rFonts w:ascii="Times New Roman" w:eastAsia="Times New Roman" w:hAnsi="Times New Roman" w:cs="Times New Roman"/>
          <w:color w:val="000000"/>
          <w:kern w:val="0"/>
        </w:rPr>
        <w:t xml:space="preserve">The development of Kenya’s first monetary energy accounts represents a significant milestone in advancing integrated environmental–economic statistics. These accounts provide a structured framework for linking energy flows with economic activity, thereby supporting evidence-based policy and planning. However, several data and methodological limitations continue to affect the completeness, precision, and reliability of the results. These gaps reflect long-standing challenges in the national energy data ecosystem as well as constraints inherent in applying the SEEA </w:t>
      </w:r>
      <w:r>
        <w:rPr>
          <w:rFonts w:ascii="Times New Roman" w:eastAsia="Times New Roman" w:hAnsi="Times New Roman" w:cs="Times New Roman"/>
          <w:color w:val="000000"/>
          <w:kern w:val="0"/>
        </w:rPr>
        <w:noBreakHyphen/>
        <w:t>Energy framework within a complex and evolving energy landscape. Recognizing and addressing these limitations is essential for strengthening institutional capacity, improving data quality, and enhancing the policy relevance of the accounts.</w:t>
      </w:r>
    </w:p>
    <w:p w14:paraId="378E1E9D" w14:textId="77777777" w:rsidR="00C4353F" w:rsidRDefault="00000000" w:rsidP="00D2260D">
      <w:pPr>
        <w:pStyle w:val="Heading2"/>
      </w:pPr>
      <w:bookmarkStart w:id="11" w:name="_Toc219801428"/>
      <w:r>
        <w:t>Data Gaps</w:t>
      </w:r>
      <w:bookmarkEnd w:id="11"/>
    </w:p>
    <w:p w14:paraId="308D41A1" w14:textId="05EEC225" w:rsidR="00AC79DF" w:rsidRPr="00AC79DF" w:rsidRDefault="00AC79DF" w:rsidP="00AC79DF">
      <w:r>
        <w:t xml:space="preserve">Several  data  gaps </w:t>
      </w:r>
      <w:r w:rsidR="00061863">
        <w:t xml:space="preserve">were </w:t>
      </w:r>
      <w:r w:rsidR="00071186">
        <w:t xml:space="preserve">noted  in the  course  of </w:t>
      </w:r>
      <w:r w:rsidR="00061863">
        <w:t>the  development  of the  accounts. These were;</w:t>
      </w:r>
    </w:p>
    <w:p w14:paraId="6239375D" w14:textId="5AF0F67B" w:rsidR="00C4353F" w:rsidRDefault="00000000" w:rsidP="00D2260D">
      <w:pPr>
        <w:pStyle w:val="ListParagraph"/>
        <w:numPr>
          <w:ilvl w:val="0"/>
          <w:numId w:val="19"/>
        </w:numPr>
        <w:spacing w:before="240" w:after="240" w:line="240" w:lineRule="auto"/>
        <w:jc w:val="both"/>
      </w:pPr>
      <w:r w:rsidRPr="00D2260D">
        <w:rPr>
          <w:rFonts w:ascii="Times New Roman" w:eastAsia="Times New Roman" w:hAnsi="Times New Roman" w:cs="Times New Roman"/>
          <w:b/>
          <w:bCs/>
          <w:color w:val="000000"/>
          <w:kern w:val="0"/>
        </w:rPr>
        <w:t>Informal Sector and Unrecorded Energy Flows</w:t>
      </w:r>
    </w:p>
    <w:p w14:paraId="480DCBD1" w14:textId="77777777" w:rsidR="00C4353F" w:rsidRDefault="00000000" w:rsidP="00D2260D">
      <w:pPr>
        <w:spacing w:before="240" w:after="240" w:line="240" w:lineRule="auto"/>
        <w:ind w:left="420"/>
        <w:jc w:val="both"/>
      </w:pPr>
      <w:r>
        <w:rPr>
          <w:rFonts w:ascii="Times New Roman" w:eastAsia="Times New Roman" w:hAnsi="Times New Roman" w:cs="Times New Roman"/>
          <w:color w:val="000000"/>
          <w:kern w:val="0"/>
        </w:rPr>
        <w:t>A substantial portion of Kenya’s energy supply, such as biomass, charcoal trading, small-scale fuel retailing, and informal electricity access, is outside formal administrative reporting systems. These flows are not consistently captured in regulatory databases or utility reports, leading to underestimation of both physical volumes and economic values.</w:t>
      </w:r>
    </w:p>
    <w:p w14:paraId="5450F361" w14:textId="1D5541A3" w:rsidR="00C4353F" w:rsidRDefault="00000000" w:rsidP="00D2260D">
      <w:pPr>
        <w:pStyle w:val="ListParagraph"/>
        <w:numPr>
          <w:ilvl w:val="0"/>
          <w:numId w:val="19"/>
        </w:numPr>
        <w:spacing w:before="240" w:after="240" w:line="240" w:lineRule="auto"/>
        <w:jc w:val="both"/>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Biomass Data Limitations</w:t>
      </w:r>
    </w:p>
    <w:p w14:paraId="4095C401" w14:textId="77777777" w:rsidR="00C4353F" w:rsidRDefault="00000000" w:rsidP="00D2260D">
      <w:pPr>
        <w:spacing w:before="240" w:after="240" w:line="240" w:lineRule="auto"/>
        <w:ind w:left="420"/>
        <w:jc w:val="both"/>
      </w:pPr>
      <w:r>
        <w:rPr>
          <w:rFonts w:ascii="Times New Roman" w:eastAsia="Times New Roman" w:hAnsi="Times New Roman" w:cs="Times New Roman"/>
          <w:color w:val="000000"/>
          <w:kern w:val="0"/>
        </w:rPr>
        <w:t xml:space="preserve">Biomass remains a major source of household energy. Yet data on firewood and charcoal consumption are fragmented and infrequently updated. Household surveys such as the Kenya Integrated Household Budget Survey (KIHBS) provide useful insights but are conducted intermittently, making it difficult to reflect year </w:t>
      </w:r>
      <w:r>
        <w:rPr>
          <w:rFonts w:ascii="Times New Roman" w:eastAsia="Times New Roman" w:hAnsi="Times New Roman" w:cs="Times New Roman"/>
          <w:color w:val="000000"/>
          <w:kern w:val="0"/>
        </w:rPr>
        <w:noBreakHyphen/>
        <w:t>on year</w:t>
      </w:r>
      <w:r>
        <w:rPr>
          <w:rFonts w:ascii="Times New Roman" w:eastAsia="Times New Roman" w:hAnsi="Times New Roman" w:cs="Times New Roman"/>
          <w:color w:val="000000"/>
          <w:kern w:val="0"/>
        </w:rPr>
        <w:noBreakHyphen/>
        <w:t xml:space="preserve"> changes.</w:t>
      </w:r>
    </w:p>
    <w:p w14:paraId="4C8D2631" w14:textId="42366A22" w:rsidR="00C4353F" w:rsidRDefault="00000000" w:rsidP="00D2260D">
      <w:pPr>
        <w:pStyle w:val="ListParagraph"/>
        <w:numPr>
          <w:ilvl w:val="0"/>
          <w:numId w:val="19"/>
        </w:numPr>
        <w:spacing w:before="240" w:after="240" w:line="240" w:lineRule="auto"/>
        <w:jc w:val="both"/>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Price Data Limitations</w:t>
      </w:r>
    </w:p>
    <w:p w14:paraId="5DFEF8BF" w14:textId="77777777" w:rsidR="00C4353F" w:rsidRDefault="00000000" w:rsidP="00D2260D">
      <w:pPr>
        <w:spacing w:before="240" w:after="240" w:line="240" w:lineRule="auto"/>
        <w:ind w:left="420"/>
        <w:jc w:val="both"/>
      </w:pPr>
      <w:r>
        <w:rPr>
          <w:rFonts w:ascii="Times New Roman" w:eastAsia="Times New Roman" w:hAnsi="Times New Roman" w:cs="Times New Roman"/>
          <w:color w:val="000000"/>
          <w:kern w:val="0"/>
        </w:rPr>
        <w:t>There are instances where the prices of non-regulated energy products, such as lubricating grease was unavailable. To mitigate this challenge, the price of a similar product, which is lubricating oil, was used as a proxy.</w:t>
      </w:r>
    </w:p>
    <w:p w14:paraId="19999427" w14:textId="77777777" w:rsidR="00C4353F" w:rsidRDefault="00000000" w:rsidP="00061863">
      <w:pPr>
        <w:pStyle w:val="Heading2"/>
      </w:pPr>
      <w:bookmarkStart w:id="12" w:name="_Toc219801429"/>
      <w:r>
        <w:rPr>
          <w:rFonts w:ascii="Times New Roman" w:eastAsia="Times New Roman" w:hAnsi="Times New Roman"/>
          <w:b/>
          <w:bCs/>
          <w:color w:val="000000"/>
          <w:kern w:val="0"/>
        </w:rPr>
        <w:t>Limitations</w:t>
      </w:r>
      <w:bookmarkEnd w:id="12"/>
    </w:p>
    <w:p w14:paraId="33D54AB3" w14:textId="6CBF3ADB" w:rsidR="00C4353F" w:rsidRDefault="00000000" w:rsidP="00DA2E5E">
      <w:pPr>
        <w:pStyle w:val="ListParagraph"/>
        <w:numPr>
          <w:ilvl w:val="0"/>
          <w:numId w:val="21"/>
        </w:numPr>
        <w:spacing w:before="240" w:after="240" w:line="240" w:lineRule="auto"/>
        <w:jc w:val="both"/>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Limited Price Differentiation</w:t>
      </w:r>
    </w:p>
    <w:p w14:paraId="189F8727" w14:textId="77777777" w:rsidR="00C4353F" w:rsidRDefault="00000000">
      <w:pPr>
        <w:spacing w:before="240" w:after="240" w:line="240" w:lineRule="auto"/>
        <w:jc w:val="both"/>
      </w:pPr>
      <w:r>
        <w:rPr>
          <w:rFonts w:ascii="Times New Roman" w:eastAsia="Times New Roman" w:hAnsi="Times New Roman" w:cs="Times New Roman"/>
          <w:color w:val="000000"/>
          <w:kern w:val="0"/>
        </w:rPr>
        <w:t>Energy products are consumed across diverse sectors, each subject to different pricing structures. Average or median prices have been used in compiling monetary energy accounts. The absence of standardized price determination methods can obscure true expenditure patterns in the monetary use table.</w:t>
      </w:r>
    </w:p>
    <w:p w14:paraId="3B1099A4" w14:textId="59F5C84B" w:rsidR="00C4353F" w:rsidRDefault="00000000" w:rsidP="00AA0551">
      <w:pPr>
        <w:pStyle w:val="ListParagraph"/>
        <w:numPr>
          <w:ilvl w:val="0"/>
          <w:numId w:val="21"/>
        </w:numPr>
        <w:spacing w:before="240" w:after="240" w:line="240" w:lineRule="auto"/>
        <w:jc w:val="both"/>
      </w:pPr>
      <w:r>
        <w:rPr>
          <w:rFonts w:ascii="Times New Roman" w:eastAsia="Times New Roman" w:hAnsi="Times New Roman" w:cs="Times New Roman"/>
          <w:color w:val="000000"/>
          <w:kern w:val="0"/>
        </w:rPr>
        <w:lastRenderedPageBreak/>
        <w:t>    </w:t>
      </w:r>
      <w:r>
        <w:rPr>
          <w:rFonts w:ascii="Times New Roman" w:eastAsia="Times New Roman" w:hAnsi="Times New Roman" w:cs="Times New Roman"/>
          <w:b/>
          <w:bCs/>
          <w:color w:val="000000"/>
          <w:kern w:val="0"/>
        </w:rPr>
        <w:t>Subsidy Disaggregation</w:t>
      </w:r>
    </w:p>
    <w:p w14:paraId="06E30472" w14:textId="77777777" w:rsidR="00C4353F" w:rsidRDefault="00000000">
      <w:pPr>
        <w:spacing w:before="240" w:after="240" w:line="240" w:lineRule="auto"/>
        <w:jc w:val="both"/>
      </w:pPr>
      <w:r>
        <w:rPr>
          <w:rFonts w:ascii="Times New Roman" w:eastAsia="Times New Roman" w:hAnsi="Times New Roman" w:cs="Times New Roman"/>
          <w:color w:val="000000"/>
          <w:kern w:val="0"/>
        </w:rPr>
        <w:t>A major limitation in valuing monetary energy flows is the difficulty of identifying and separating subsidy components within fuel prices. Subsidies are embedded within regulatory pricing structures through mechanisms such as price stabilization, delayed adjustments to international price changes, or supplier margin adjustments. They do not appear as clear, standalone records. This complicates allocation across sectors under the SEEA framework and reduces the accuracy of monetary supply and use of tables, potentially leading to underestimation or misclassification of fiscal support.</w:t>
      </w:r>
    </w:p>
    <w:p w14:paraId="4E2E310D" w14:textId="605D6996" w:rsidR="00C4353F" w:rsidRDefault="00000000" w:rsidP="00AA0551">
      <w:pPr>
        <w:pStyle w:val="ListParagraph"/>
        <w:numPr>
          <w:ilvl w:val="0"/>
          <w:numId w:val="21"/>
        </w:numPr>
        <w:spacing w:before="240" w:after="240" w:line="240" w:lineRule="auto"/>
        <w:jc w:val="both"/>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Use of Proxy Prices</w:t>
      </w:r>
    </w:p>
    <w:p w14:paraId="5D1C9CEF" w14:textId="77777777" w:rsidR="00C4353F" w:rsidRDefault="00000000">
      <w:pPr>
        <w:spacing w:before="240" w:after="240" w:line="240" w:lineRule="auto"/>
        <w:jc w:val="both"/>
      </w:pPr>
      <w:r>
        <w:rPr>
          <w:rFonts w:ascii="Times New Roman" w:eastAsia="Times New Roman" w:hAnsi="Times New Roman" w:cs="Times New Roman"/>
          <w:color w:val="000000"/>
          <w:kern w:val="0"/>
        </w:rPr>
        <w:t>Where direct price data are lacking, proxy market prices or national averages are applied. This has been applied in non-regulated fuel markets. Proxy prices introduce uncertainty and may not reflect local or seasonal variations. For example, the retail price of lubricating grease was unavailable, and the price of lubricating oils was used as a proxy.</w:t>
      </w:r>
    </w:p>
    <w:p w14:paraId="2DBD552B" w14:textId="697AFA13" w:rsidR="00C4353F" w:rsidRDefault="00000000" w:rsidP="001822B3">
      <w:pPr>
        <w:pStyle w:val="ListParagraph"/>
        <w:numPr>
          <w:ilvl w:val="0"/>
          <w:numId w:val="21"/>
        </w:numPr>
        <w:spacing w:before="240" w:after="240" w:line="240" w:lineRule="auto"/>
        <w:jc w:val="both"/>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Valuation of Informal Energy Flows</w:t>
      </w:r>
    </w:p>
    <w:p w14:paraId="53790C04" w14:textId="77777777" w:rsidR="00C4353F" w:rsidRDefault="00000000">
      <w:pPr>
        <w:spacing w:before="240" w:after="240" w:line="240" w:lineRule="auto"/>
        <w:jc w:val="both"/>
      </w:pPr>
      <w:r>
        <w:rPr>
          <w:rFonts w:ascii="Times New Roman" w:eastAsia="Times New Roman" w:hAnsi="Times New Roman" w:cs="Times New Roman"/>
          <w:color w:val="000000"/>
          <w:kern w:val="0"/>
        </w:rPr>
        <w:t>Valuing energy products with informal flows, such as biomass, remains a challenge. A significant proportion of household firewood use is not monetized, resulting in uncertainty. Similarly, electricity valuation was based on grid-supplied power, while captive electricity, estimated at over 600 MW, was excluded due to data and valuation challenges.</w:t>
      </w:r>
    </w:p>
    <w:p w14:paraId="65CED489" w14:textId="77777777" w:rsidR="00C4353F" w:rsidRDefault="00C4353F">
      <w:pPr>
        <w:spacing w:after="240" w:line="240" w:lineRule="auto"/>
        <w:rPr>
          <w:rFonts w:ascii="Times New Roman" w:eastAsia="Times New Roman" w:hAnsi="Times New Roman" w:cs="Times New Roman"/>
          <w:kern w:val="0"/>
        </w:rPr>
      </w:pPr>
    </w:p>
    <w:p w14:paraId="4ABC78DD" w14:textId="77777777" w:rsidR="00C4353F" w:rsidRDefault="00000000" w:rsidP="001822B3">
      <w:pPr>
        <w:pStyle w:val="ListParagraph"/>
        <w:numPr>
          <w:ilvl w:val="0"/>
          <w:numId w:val="21"/>
        </w:numPr>
        <w:spacing w:before="240" w:after="240" w:line="240" w:lineRule="auto"/>
        <w:jc w:val="both"/>
      </w:pPr>
      <w:r>
        <w:rPr>
          <w:rFonts w:ascii="Times New Roman" w:eastAsia="Times New Roman" w:hAnsi="Times New Roman" w:cs="Times New Roman"/>
          <w:b/>
          <w:bCs/>
          <w:color w:val="000000"/>
          <w:kern w:val="0"/>
        </w:rPr>
        <w:t>Price Volatility</w:t>
      </w:r>
    </w:p>
    <w:p w14:paraId="3B75A21C" w14:textId="77777777" w:rsidR="00C4353F" w:rsidRDefault="00000000">
      <w:pPr>
        <w:spacing w:before="240" w:after="240" w:line="240" w:lineRule="auto"/>
        <w:jc w:val="both"/>
      </w:pPr>
      <w:r>
        <w:rPr>
          <w:rFonts w:ascii="Times New Roman" w:eastAsia="Times New Roman" w:hAnsi="Times New Roman" w:cs="Times New Roman"/>
          <w:color w:val="000000"/>
          <w:kern w:val="0"/>
        </w:rPr>
        <w:t>Electricity and petroleum prices fluctuate significantly throughout the year. Reliance on average unit prices may mask the impact of extreme price variability. This limitation was partially mitigated by applying alternative measures of central tendency, such as median values.</w:t>
      </w:r>
    </w:p>
    <w:p w14:paraId="2AD8CE43" w14:textId="1761086D" w:rsidR="00C4353F" w:rsidRDefault="00000000" w:rsidP="001822B3">
      <w:pPr>
        <w:pStyle w:val="ListParagraph"/>
        <w:numPr>
          <w:ilvl w:val="0"/>
          <w:numId w:val="21"/>
        </w:numPr>
        <w:spacing w:before="240" w:after="240" w:line="240" w:lineRule="auto"/>
        <w:jc w:val="both"/>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Data Sources</w:t>
      </w:r>
    </w:p>
    <w:p w14:paraId="5A6D9BC2" w14:textId="77777777" w:rsidR="00C4353F" w:rsidRDefault="00000000">
      <w:pPr>
        <w:spacing w:before="240" w:after="240" w:line="240" w:lineRule="auto"/>
        <w:jc w:val="both"/>
      </w:pPr>
      <w:r>
        <w:rPr>
          <w:rFonts w:ascii="Times New Roman" w:eastAsia="Times New Roman" w:hAnsi="Times New Roman" w:cs="Times New Roman"/>
          <w:color w:val="000000"/>
          <w:kern w:val="0"/>
        </w:rPr>
        <w:t xml:space="preserve">Reliance on industry surveys, administrative records, and published energy statistics introduces inconsistencies arising from differing reporting thresholds, reference periods, and definitional frameworks. For example, in some cases price data were drawn from industry annual reports prepared on a financial year basis, while in others the available statistics reflected </w:t>
      </w:r>
      <w:r>
        <w:rPr>
          <w:rFonts w:ascii="Times New Roman" w:eastAsia="Times New Roman" w:hAnsi="Times New Roman" w:cs="Times New Roman"/>
          <w:color w:val="000000"/>
          <w:kern w:val="0"/>
        </w:rPr>
        <w:noBreakHyphen/>
        <w:t>calendar year</w:t>
      </w:r>
      <w:r>
        <w:rPr>
          <w:rFonts w:ascii="Times New Roman" w:eastAsia="Times New Roman" w:hAnsi="Times New Roman" w:cs="Times New Roman"/>
          <w:color w:val="000000"/>
          <w:kern w:val="0"/>
        </w:rPr>
        <w:noBreakHyphen/>
        <w:t xml:space="preserve"> reporting. These discrepancies complicate comparability and may affect the accuracy of valuation within the monetary energy accounts.</w:t>
      </w:r>
    </w:p>
    <w:p w14:paraId="39FD3CE4" w14:textId="77777777" w:rsidR="00C4353F" w:rsidRDefault="00000000">
      <w:pPr>
        <w:spacing w:before="240" w:after="240" w:line="240" w:lineRule="auto"/>
        <w:jc w:val="both"/>
        <w:rPr>
          <w:rFonts w:ascii="Times New Roman" w:eastAsia="Times New Roman" w:hAnsi="Times New Roman" w:cs="Times New Roman"/>
          <w:b/>
          <w:bCs/>
          <w:color w:val="000000"/>
          <w:kern w:val="0"/>
        </w:rPr>
      </w:pPr>
      <w:r>
        <w:rPr>
          <w:rFonts w:ascii="Times New Roman" w:eastAsia="Times New Roman" w:hAnsi="Times New Roman" w:cs="Times New Roman"/>
          <w:color w:val="000000"/>
          <w:kern w:val="0"/>
        </w:rPr>
        <w:t>  </w:t>
      </w:r>
      <w:r>
        <w:rPr>
          <w:rFonts w:ascii="Times New Roman" w:eastAsia="Times New Roman" w:hAnsi="Times New Roman" w:cs="Times New Roman"/>
          <w:b/>
          <w:bCs/>
          <w:color w:val="000000"/>
          <w:kern w:val="0"/>
        </w:rPr>
        <w:t>  </w:t>
      </w:r>
    </w:p>
    <w:p w14:paraId="2DAC6B9A" w14:textId="77777777" w:rsidR="006D6DB2" w:rsidRDefault="006D6DB2">
      <w:pPr>
        <w:spacing w:before="240" w:after="240" w:line="240" w:lineRule="auto"/>
        <w:jc w:val="both"/>
        <w:rPr>
          <w:rFonts w:ascii="Times New Roman" w:eastAsia="Times New Roman" w:hAnsi="Times New Roman" w:cs="Times New Roman"/>
          <w:b/>
          <w:bCs/>
          <w:color w:val="000000"/>
          <w:kern w:val="0"/>
        </w:rPr>
      </w:pPr>
    </w:p>
    <w:p w14:paraId="456F531A" w14:textId="77777777" w:rsidR="006D6DB2" w:rsidRDefault="006D6DB2">
      <w:pPr>
        <w:spacing w:before="240" w:after="240" w:line="240" w:lineRule="auto"/>
        <w:jc w:val="both"/>
        <w:rPr>
          <w:rFonts w:ascii="Times New Roman" w:eastAsia="Times New Roman" w:hAnsi="Times New Roman" w:cs="Times New Roman"/>
          <w:b/>
          <w:bCs/>
          <w:color w:val="000000"/>
          <w:kern w:val="0"/>
        </w:rPr>
      </w:pPr>
    </w:p>
    <w:p w14:paraId="0D98374F" w14:textId="77777777" w:rsidR="006D6DB2" w:rsidRDefault="006D6DB2">
      <w:pPr>
        <w:spacing w:before="240" w:after="240" w:line="240" w:lineRule="auto"/>
        <w:jc w:val="both"/>
      </w:pPr>
    </w:p>
    <w:p w14:paraId="4315C162" w14:textId="48E88E2A" w:rsidR="00C4353F" w:rsidRDefault="00000000" w:rsidP="006D6DB2">
      <w:pPr>
        <w:pStyle w:val="Heading1"/>
      </w:pPr>
      <w:bookmarkStart w:id="13" w:name="_Toc219801430"/>
      <w:r>
        <w:lastRenderedPageBreak/>
        <w:t>PHYSICAL SUPPLY AND USE ENERGY ACCOUNTS</w:t>
      </w:r>
      <w:bookmarkEnd w:id="13"/>
      <w:r>
        <w:t xml:space="preserve"> </w:t>
      </w:r>
    </w:p>
    <w:p w14:paraId="34A89C2D" w14:textId="77777777" w:rsidR="00C4353F" w:rsidRDefault="00C4353F">
      <w:pPr>
        <w:spacing w:line="240" w:lineRule="auto"/>
        <w:rPr>
          <w:rFonts w:ascii="Times New Roman" w:eastAsia="Times New Roman" w:hAnsi="Times New Roman" w:cs="Times New Roman"/>
          <w:color w:val="000000"/>
          <w:kern w:val="0"/>
        </w:rPr>
      </w:pPr>
    </w:p>
    <w:p w14:paraId="437C4071" w14:textId="77777777" w:rsidR="00C4353F" w:rsidRDefault="00C4353F">
      <w:pPr>
        <w:spacing w:line="240" w:lineRule="auto"/>
        <w:rPr>
          <w:rFonts w:ascii="Times New Roman" w:eastAsia="Times New Roman" w:hAnsi="Times New Roman" w:cs="Times New Roman"/>
          <w:color w:val="000000"/>
          <w:kern w:val="0"/>
        </w:rPr>
      </w:pPr>
    </w:p>
    <w:p w14:paraId="10C0FD94" w14:textId="77777777" w:rsidR="00C4353F" w:rsidRDefault="00C4353F">
      <w:pPr>
        <w:spacing w:line="240" w:lineRule="auto"/>
        <w:rPr>
          <w:rFonts w:ascii="Times New Roman" w:eastAsia="Times New Roman" w:hAnsi="Times New Roman" w:cs="Times New Roman"/>
          <w:color w:val="000000"/>
          <w:kern w:val="0"/>
        </w:rPr>
      </w:pPr>
    </w:p>
    <w:p w14:paraId="0B886667" w14:textId="77777777" w:rsidR="00C4353F" w:rsidRDefault="00C4353F">
      <w:pPr>
        <w:spacing w:line="240" w:lineRule="auto"/>
        <w:rPr>
          <w:rFonts w:ascii="Times New Roman" w:eastAsia="Times New Roman" w:hAnsi="Times New Roman" w:cs="Times New Roman"/>
          <w:color w:val="000000"/>
          <w:kern w:val="0"/>
        </w:rPr>
      </w:pPr>
    </w:p>
    <w:p w14:paraId="0ACD3970" w14:textId="77777777" w:rsidR="00C4353F" w:rsidRDefault="00C4353F">
      <w:pPr>
        <w:spacing w:line="240" w:lineRule="auto"/>
        <w:rPr>
          <w:rFonts w:ascii="Times New Roman" w:eastAsia="Times New Roman" w:hAnsi="Times New Roman" w:cs="Times New Roman"/>
          <w:color w:val="000000"/>
          <w:kern w:val="0"/>
        </w:rPr>
      </w:pPr>
    </w:p>
    <w:p w14:paraId="7E21441E" w14:textId="77777777" w:rsidR="00C4353F" w:rsidRDefault="00C4353F">
      <w:pPr>
        <w:spacing w:line="240" w:lineRule="auto"/>
        <w:rPr>
          <w:rFonts w:ascii="Times New Roman" w:eastAsia="Times New Roman" w:hAnsi="Times New Roman" w:cs="Times New Roman"/>
          <w:color w:val="000000"/>
          <w:kern w:val="0"/>
        </w:rPr>
      </w:pPr>
    </w:p>
    <w:p w14:paraId="5D3F2935" w14:textId="77777777" w:rsidR="00C4353F" w:rsidRDefault="00C4353F">
      <w:pPr>
        <w:spacing w:line="240" w:lineRule="auto"/>
        <w:rPr>
          <w:rFonts w:ascii="Times New Roman" w:eastAsia="Times New Roman" w:hAnsi="Times New Roman" w:cs="Times New Roman"/>
          <w:color w:val="000000"/>
          <w:kern w:val="0"/>
        </w:rPr>
      </w:pPr>
    </w:p>
    <w:p w14:paraId="5B1CCF43" w14:textId="77777777" w:rsidR="00C4353F" w:rsidRDefault="00C4353F">
      <w:pPr>
        <w:spacing w:line="240" w:lineRule="auto"/>
        <w:rPr>
          <w:rFonts w:ascii="Times New Roman" w:eastAsia="Times New Roman" w:hAnsi="Times New Roman" w:cs="Times New Roman"/>
          <w:color w:val="000000"/>
          <w:kern w:val="0"/>
        </w:rPr>
      </w:pPr>
    </w:p>
    <w:p w14:paraId="7B482496" w14:textId="77777777" w:rsidR="00C4353F" w:rsidRDefault="00C4353F">
      <w:pPr>
        <w:spacing w:line="240" w:lineRule="auto"/>
        <w:rPr>
          <w:rFonts w:ascii="Times New Roman" w:eastAsia="Times New Roman" w:hAnsi="Times New Roman" w:cs="Times New Roman"/>
          <w:color w:val="000000"/>
          <w:kern w:val="0"/>
        </w:rPr>
      </w:pPr>
    </w:p>
    <w:p w14:paraId="19B09A3C" w14:textId="77777777" w:rsidR="00C4353F" w:rsidRDefault="00C4353F">
      <w:pPr>
        <w:spacing w:line="240" w:lineRule="auto"/>
        <w:rPr>
          <w:rFonts w:ascii="Times New Roman" w:eastAsia="Times New Roman" w:hAnsi="Times New Roman" w:cs="Times New Roman"/>
          <w:color w:val="000000"/>
          <w:kern w:val="0"/>
        </w:rPr>
      </w:pPr>
    </w:p>
    <w:p w14:paraId="2719C07F" w14:textId="77777777" w:rsidR="00C4353F" w:rsidRDefault="00C4353F">
      <w:pPr>
        <w:spacing w:line="240" w:lineRule="auto"/>
        <w:rPr>
          <w:rFonts w:ascii="Times New Roman" w:eastAsia="Times New Roman" w:hAnsi="Times New Roman" w:cs="Times New Roman"/>
          <w:color w:val="000000"/>
          <w:kern w:val="0"/>
        </w:rPr>
      </w:pPr>
    </w:p>
    <w:p w14:paraId="21FA93AB" w14:textId="77777777" w:rsidR="00C4353F" w:rsidRDefault="00C4353F">
      <w:pPr>
        <w:spacing w:line="240" w:lineRule="auto"/>
        <w:rPr>
          <w:rFonts w:ascii="Times New Roman" w:eastAsia="Times New Roman" w:hAnsi="Times New Roman" w:cs="Times New Roman"/>
          <w:color w:val="000000"/>
          <w:kern w:val="0"/>
        </w:rPr>
      </w:pPr>
    </w:p>
    <w:p w14:paraId="24FFBE32" w14:textId="77777777" w:rsidR="00C4353F" w:rsidRDefault="00C4353F">
      <w:pPr>
        <w:spacing w:line="240" w:lineRule="auto"/>
        <w:rPr>
          <w:rFonts w:ascii="Times New Roman" w:eastAsia="Times New Roman" w:hAnsi="Times New Roman" w:cs="Times New Roman"/>
          <w:color w:val="000000"/>
          <w:kern w:val="0"/>
        </w:rPr>
      </w:pPr>
    </w:p>
    <w:p w14:paraId="02304B0D" w14:textId="77777777" w:rsidR="00C4353F" w:rsidRDefault="00C4353F">
      <w:pPr>
        <w:spacing w:line="240" w:lineRule="auto"/>
        <w:rPr>
          <w:rFonts w:ascii="Times New Roman" w:eastAsia="Times New Roman" w:hAnsi="Times New Roman" w:cs="Times New Roman"/>
          <w:color w:val="000000"/>
          <w:kern w:val="0"/>
        </w:rPr>
      </w:pPr>
    </w:p>
    <w:p w14:paraId="11BBDEC2" w14:textId="77777777" w:rsidR="00C4353F" w:rsidRDefault="00C4353F">
      <w:pPr>
        <w:spacing w:line="240" w:lineRule="auto"/>
        <w:rPr>
          <w:rFonts w:ascii="Times New Roman" w:eastAsia="Times New Roman" w:hAnsi="Times New Roman" w:cs="Times New Roman"/>
          <w:color w:val="000000"/>
          <w:kern w:val="0"/>
        </w:rPr>
      </w:pPr>
    </w:p>
    <w:p w14:paraId="6F5D7252" w14:textId="77777777" w:rsidR="00C4353F" w:rsidRDefault="00C4353F">
      <w:pPr>
        <w:spacing w:line="240" w:lineRule="auto"/>
        <w:rPr>
          <w:rFonts w:ascii="Times New Roman" w:eastAsia="Times New Roman" w:hAnsi="Times New Roman" w:cs="Times New Roman"/>
          <w:color w:val="000000"/>
          <w:kern w:val="0"/>
        </w:rPr>
        <w:sectPr w:rsidR="00C4353F">
          <w:headerReference w:type="default" r:id="rId8"/>
          <w:footerReference w:type="even" r:id="rId9"/>
          <w:footerReference w:type="default" r:id="rId10"/>
          <w:footerReference w:type="first" r:id="rId11"/>
          <w:pgSz w:w="12240" w:h="15840"/>
          <w:pgMar w:top="1440" w:right="1440" w:bottom="1440" w:left="1440" w:header="720" w:footer="720" w:gutter="0"/>
          <w:cols w:space="720"/>
        </w:sectPr>
      </w:pPr>
    </w:p>
    <w:p w14:paraId="6EF7AD52" w14:textId="77777777" w:rsidR="00C4353F" w:rsidRDefault="00000000">
      <w:pPr>
        <w:shd w:val="clear" w:color="auto" w:fill="FFFFFF"/>
        <w:jc w:val="both"/>
      </w:pPr>
      <w:bookmarkStart w:id="14" w:name="_MON_1830324644"/>
      <w:bookmarkEnd w:id="14"/>
      <w:r>
        <w:rPr>
          <w:rFonts w:ascii="Century Gothic" w:eastAsia="Century Gothic" w:hAnsi="Century Gothic" w:cs="Century Gothic"/>
          <w:color w:val="000000"/>
        </w:rPr>
        <w:lastRenderedPageBreak/>
        <w:t xml:space="preserve">The Physical Energy Flow of Account for Kenya are presented in physical terms, more specifically in Terajoule (TJ). These accounts are compiled according to the SEEA-Energy, making use of the Kenyan energy balances, as compiled and published by KNBS in the economic survey, along with additional data sets from various surveys and respective companies. </w:t>
      </w:r>
    </w:p>
    <w:p w14:paraId="2EC1149B" w14:textId="77777777" w:rsidR="00C4353F" w:rsidRDefault="00000000">
      <w:pPr>
        <w:shd w:val="clear" w:color="auto" w:fill="FFFFFF"/>
        <w:jc w:val="both"/>
      </w:pPr>
      <w:r>
        <w:rPr>
          <w:rFonts w:ascii="Century Gothic" w:eastAsia="Century Gothic" w:hAnsi="Century Gothic" w:cs="Century Gothic"/>
          <w:color w:val="000000"/>
        </w:rPr>
        <w:t xml:space="preserve">The purpose of the PEFA is to enable consistent monitoring of energy supply and use by physical flow type and industry within the territory of reference. The PEFA, based on a statistical accounting framework, records the flows of energy (in TJ) from the environment to the economy (natural inputs), within the economy (products), and from the economy back to the environment (residuals) (Eurostat, 2025). These flows include energy extraction, transformation, distribution, and consumption across different sectors. </w:t>
      </w:r>
    </w:p>
    <w:p w14:paraId="404054DA" w14:textId="77777777" w:rsidR="00C4353F" w:rsidRDefault="00000000">
      <w:pPr>
        <w:shd w:val="clear" w:color="auto" w:fill="FFFFFF"/>
        <w:jc w:val="both"/>
      </w:pPr>
      <w:r>
        <w:rPr>
          <w:rFonts w:ascii="Century Gothic" w:eastAsia="Century Gothic" w:hAnsi="Century Gothic" w:cs="Century Gothic"/>
          <w:color w:val="000000"/>
        </w:rPr>
        <w:t>The PEFA helps in understanding how energy contributes to economic activities and the environmental impacts associated with energy use (UN, 2019).</w:t>
      </w:r>
    </w:p>
    <w:p w14:paraId="7F04012A" w14:textId="77777777" w:rsidR="00C4353F" w:rsidRDefault="00000000">
      <w:pPr>
        <w:shd w:val="clear" w:color="auto" w:fill="FFFFFF"/>
        <w:spacing w:before="240" w:after="240"/>
        <w:jc w:val="both"/>
      </w:pPr>
      <w:r>
        <w:rPr>
          <w:rFonts w:ascii="Century Gothic" w:eastAsia="Century Gothic" w:hAnsi="Century Gothic" w:cs="Century Gothic"/>
          <w:color w:val="000000"/>
        </w:rPr>
        <w:t>KenGen is responsible for nearly 70% of Kenya’s energy generation, with the remainder supplied by Independent Power Producers (IPPs) and a small share of imports—approximately 6%. Kenya utilizes a diverse mix of generation technologies, including hydroelectric, geothermal, solar, wind, biomass, and thermal power.</w:t>
      </w:r>
    </w:p>
    <w:p w14:paraId="57AD9D85" w14:textId="77777777" w:rsidR="00C4353F" w:rsidRDefault="00000000">
      <w:pPr>
        <w:shd w:val="clear" w:color="auto" w:fill="FFFFFF"/>
        <w:spacing w:before="240" w:after="0"/>
      </w:pPr>
      <w:r>
        <w:rPr>
          <w:rFonts w:ascii="Century Gothic" w:eastAsia="Century Gothic" w:hAnsi="Century Gothic" w:cs="Century Gothic"/>
          <w:color w:val="000000"/>
          <w:shd w:val="clear" w:color="auto" w:fill="FFFF00"/>
        </w:rPr>
        <w:t>As shown in Table 9.13 (a)</w:t>
      </w:r>
      <w:r>
        <w:rPr>
          <w:rFonts w:ascii="Century Gothic" w:eastAsia="Century Gothic" w:hAnsi="Century Gothic" w:cs="Century Gothic"/>
          <w:color w:val="000000"/>
        </w:rPr>
        <w:t xml:space="preserve">, the total physical energy supplied in 2024 was </w:t>
      </w:r>
      <w:r>
        <w:rPr>
          <w:rFonts w:ascii="Century Gothic" w:eastAsia="Century Gothic" w:hAnsi="Century Gothic" w:cs="Century Gothic"/>
          <w:b/>
          <w:bCs/>
          <w:color w:val="000000"/>
        </w:rPr>
        <w:t>2,804,336.1</w:t>
      </w:r>
      <w:r>
        <w:rPr>
          <w:rFonts w:ascii="Century Gothic" w:eastAsia="Century Gothic" w:hAnsi="Century Gothic" w:cs="Century Gothic"/>
          <w:color w:val="000000"/>
        </w:rPr>
        <w:t xml:space="preserve"> terajoules (TJ). During the review period, 49.3% of this energy was extracted directly from the environment, while 1.2% was imported, primarily in the form of petroleum fuels.</w:t>
      </w:r>
    </w:p>
    <w:p w14:paraId="3A80DB7F" w14:textId="77777777" w:rsidR="00C4353F" w:rsidRDefault="00C4353F">
      <w:pPr>
        <w:spacing w:line="240" w:lineRule="auto"/>
        <w:rPr>
          <w:rFonts w:ascii="Times New Roman" w:eastAsia="Times New Roman" w:hAnsi="Times New Roman" w:cs="Times New Roman"/>
          <w:color w:val="000000"/>
        </w:rPr>
      </w:pPr>
    </w:p>
    <w:p w14:paraId="7C716B5A" w14:textId="77777777" w:rsidR="00C4353F" w:rsidRDefault="00C4353F">
      <w:pPr>
        <w:spacing w:line="240" w:lineRule="auto"/>
        <w:rPr>
          <w:rFonts w:ascii="Times New Roman" w:eastAsia="Times New Roman" w:hAnsi="Times New Roman" w:cs="Times New Roman"/>
          <w:color w:val="000000"/>
        </w:rPr>
      </w:pPr>
    </w:p>
    <w:p w14:paraId="26306232" w14:textId="77777777" w:rsidR="00C4353F" w:rsidRDefault="00C4353F">
      <w:pPr>
        <w:spacing w:line="240" w:lineRule="auto"/>
        <w:rPr>
          <w:rFonts w:ascii="Times New Roman" w:eastAsia="Times New Roman" w:hAnsi="Times New Roman" w:cs="Times New Roman"/>
          <w:color w:val="000000"/>
        </w:rPr>
      </w:pPr>
    </w:p>
    <w:p w14:paraId="2933CD71" w14:textId="77777777" w:rsidR="00C4353F" w:rsidRDefault="00C4353F">
      <w:pPr>
        <w:spacing w:line="240" w:lineRule="auto"/>
        <w:rPr>
          <w:rFonts w:ascii="Times New Roman" w:eastAsia="Times New Roman" w:hAnsi="Times New Roman" w:cs="Times New Roman"/>
          <w:color w:val="000000"/>
        </w:rPr>
      </w:pPr>
    </w:p>
    <w:p w14:paraId="435D2125" w14:textId="77777777" w:rsidR="00C4353F" w:rsidRDefault="00C4353F">
      <w:pPr>
        <w:spacing w:line="240" w:lineRule="auto"/>
        <w:rPr>
          <w:rFonts w:ascii="Times New Roman" w:eastAsia="Times New Roman" w:hAnsi="Times New Roman" w:cs="Times New Roman"/>
          <w:color w:val="000000"/>
        </w:rPr>
      </w:pPr>
    </w:p>
    <w:p w14:paraId="66CD7203" w14:textId="77777777" w:rsidR="00C4353F" w:rsidRDefault="00C4353F">
      <w:pPr>
        <w:spacing w:line="240" w:lineRule="auto"/>
        <w:rPr>
          <w:rFonts w:ascii="Times New Roman" w:eastAsia="Times New Roman" w:hAnsi="Times New Roman" w:cs="Times New Roman"/>
          <w:color w:val="000000"/>
        </w:rPr>
      </w:pPr>
    </w:p>
    <w:p w14:paraId="729BDAAB" w14:textId="77777777" w:rsidR="00C4353F" w:rsidRDefault="00C4353F">
      <w:pPr>
        <w:spacing w:line="240" w:lineRule="auto"/>
        <w:rPr>
          <w:rFonts w:ascii="Times New Roman" w:eastAsia="Times New Roman" w:hAnsi="Times New Roman" w:cs="Times New Roman"/>
          <w:color w:val="000000"/>
        </w:rPr>
      </w:pPr>
    </w:p>
    <w:p w14:paraId="6020BC71" w14:textId="77777777" w:rsidR="00C4353F" w:rsidRDefault="00C4353F">
      <w:pPr>
        <w:spacing w:line="240" w:lineRule="auto"/>
        <w:rPr>
          <w:rFonts w:ascii="Times New Roman" w:eastAsia="Times New Roman" w:hAnsi="Times New Roman" w:cs="Times New Roman"/>
          <w:color w:val="000000"/>
        </w:rPr>
      </w:pPr>
    </w:p>
    <w:p w14:paraId="62EA31A9" w14:textId="77777777" w:rsidR="00C4353F"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Table Physical Energy Supply Table,  2024</w:t>
      </w:r>
    </w:p>
    <w:p w14:paraId="4D800ED7" w14:textId="77777777" w:rsidR="00C4353F" w:rsidRDefault="00C4353F">
      <w:pPr>
        <w:spacing w:line="240" w:lineRule="auto"/>
        <w:rPr>
          <w:rFonts w:ascii="Times New Roman" w:eastAsia="Times New Roman" w:hAnsi="Times New Roman" w:cs="Times New Roman"/>
          <w:color w:val="000000"/>
        </w:rPr>
      </w:pPr>
    </w:p>
    <w:p w14:paraId="44C61DE7" w14:textId="77777777" w:rsidR="00C4353F" w:rsidRDefault="00000000">
      <w:pPr>
        <w:spacing w:line="240" w:lineRule="auto"/>
      </w:pPr>
      <w:r>
        <w:rPr>
          <w:rFonts w:ascii="Times New Roman" w:eastAsia="Times New Roman" w:hAnsi="Times New Roman" w:cs="Times New Roman"/>
          <w:color w:val="000000"/>
          <w:kern w:val="0"/>
          <w:u w:val="single"/>
        </w:rPr>
        <w:object w:dxaOrig="12210" w:dyaOrig="6705" w14:anchorId="4ABD9B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610.5pt;height:335.25pt;visibility:visible;mso-wrap-style:square" o:ole="">
            <v:imagedata r:id="rId12" o:title=""/>
          </v:shape>
          <o:OLEObject Type="Embed" ProgID="Excel.Sheet.12" ShapeID="Object 1" DrawAspect="Content" ObjectID="_1832918079" r:id="rId13"/>
        </w:object>
      </w:r>
    </w:p>
    <w:p w14:paraId="7F7611E9" w14:textId="77777777" w:rsidR="00C4353F" w:rsidRDefault="00C4353F">
      <w:pPr>
        <w:spacing w:line="240" w:lineRule="auto"/>
        <w:rPr>
          <w:rFonts w:ascii="Times New Roman" w:eastAsia="Times New Roman" w:hAnsi="Times New Roman" w:cs="Times New Roman"/>
          <w:color w:val="000000"/>
          <w:kern w:val="0"/>
        </w:rPr>
      </w:pPr>
    </w:p>
    <w:p w14:paraId="6F9A2688" w14:textId="77777777" w:rsidR="00C4353F" w:rsidRDefault="00000000">
      <w:pPr>
        <w:spacing w:line="240" w:lineRule="auto"/>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lastRenderedPageBreak/>
        <w:t>Table…Physical Energy Use Table</w:t>
      </w:r>
    </w:p>
    <w:p w14:paraId="07C5183C" w14:textId="77777777" w:rsidR="00C4353F" w:rsidRDefault="00000000">
      <w:pPr>
        <w:spacing w:after="0"/>
      </w:pPr>
      <w:bookmarkStart w:id="15" w:name="_MON_1830325697"/>
      <w:bookmarkEnd w:id="15"/>
      <w:r>
        <w:rPr>
          <w:rFonts w:ascii="Times New Roman" w:eastAsia="Times New Roman" w:hAnsi="Times New Roman" w:cs="Times New Roman"/>
        </w:rPr>
        <w:t xml:space="preserve">The table outlines the physical consumption of energy products across sectors, measured in terajoules. In the physical energy accounts, </w:t>
      </w:r>
      <w:r>
        <w:rPr>
          <w:rFonts w:ascii="Times New Roman" w:eastAsia="Times New Roman" w:hAnsi="Times New Roman" w:cs="Times New Roman"/>
          <w:b/>
          <w:bCs/>
        </w:rPr>
        <w:t>biomass overwhelmingly dominates total energy use</w:t>
      </w:r>
      <w:r>
        <w:rPr>
          <w:rFonts w:ascii="Times New Roman" w:eastAsia="Times New Roman" w:hAnsi="Times New Roman" w:cs="Times New Roman"/>
        </w:rPr>
        <w:t xml:space="preserve">, accounting for </w:t>
      </w:r>
      <w:r>
        <w:rPr>
          <w:rFonts w:ascii="Times New Roman" w:eastAsia="Times New Roman" w:hAnsi="Times New Roman" w:cs="Times New Roman"/>
          <w:b/>
          <w:bCs/>
        </w:rPr>
        <w:t>93.6% (2,623,872.8 TJ)</w:t>
      </w:r>
      <w:r>
        <w:rPr>
          <w:rFonts w:ascii="Times New Roman" w:eastAsia="Times New Roman" w:hAnsi="Times New Roman" w:cs="Times New Roman"/>
        </w:rPr>
        <w:t xml:space="preserve"> of all consumption. By contrast, </w:t>
      </w:r>
      <w:r>
        <w:rPr>
          <w:rFonts w:ascii="Times New Roman" w:eastAsia="Times New Roman" w:hAnsi="Times New Roman" w:cs="Times New Roman"/>
          <w:b/>
          <w:bCs/>
        </w:rPr>
        <w:t>electricity contributes to just 2.1% (57,593 TJ)</w:t>
      </w:r>
      <w:r>
        <w:rPr>
          <w:rFonts w:ascii="Times New Roman" w:eastAsia="Times New Roman" w:hAnsi="Times New Roman" w:cs="Times New Roman"/>
        </w:rPr>
        <w:t xml:space="preserve"> and </w:t>
      </w:r>
      <w:r>
        <w:rPr>
          <w:rFonts w:ascii="Times New Roman" w:eastAsia="Times New Roman" w:hAnsi="Times New Roman" w:cs="Times New Roman"/>
          <w:b/>
          <w:bCs/>
        </w:rPr>
        <w:t>petroleum products 0.8% (23,371.7 TJ)</w:t>
      </w:r>
      <w:r>
        <w:rPr>
          <w:rFonts w:ascii="Times New Roman" w:eastAsia="Times New Roman" w:hAnsi="Times New Roman" w:cs="Times New Roman"/>
        </w:rPr>
        <w:t>. This stark imbalance underscores the heavy reliance on traditional biomass fuels, particularly in households, while modern energy sources like electricity and petroleum play a much smaller role. The figures make clear that any shift toward cleaner and more efficient energy systems must address the overwhelming share of biomass in the energy mix.</w:t>
      </w:r>
    </w:p>
    <w:p w14:paraId="2F3F6DC5" w14:textId="77777777" w:rsidR="00C4353F" w:rsidRDefault="00C4353F">
      <w:pPr>
        <w:spacing w:after="0"/>
        <w:rPr>
          <w:rFonts w:ascii="Times New Roman" w:eastAsia="Times New Roman" w:hAnsi="Times New Roman" w:cs="Times New Roman"/>
        </w:rPr>
      </w:pPr>
    </w:p>
    <w:p w14:paraId="2F62EC58" w14:textId="77777777" w:rsidR="00C4353F" w:rsidRDefault="00000000">
      <w:pPr>
        <w:spacing w:after="0"/>
      </w:pPr>
      <w:r>
        <w:rPr>
          <w:rFonts w:ascii="Times New Roman" w:eastAsia="Times New Roman" w:hAnsi="Times New Roman" w:cs="Times New Roman"/>
          <w:b/>
          <w:bCs/>
        </w:rPr>
        <w:t>Key Highlights:</w:t>
      </w:r>
    </w:p>
    <w:p w14:paraId="0111B447" w14:textId="77777777" w:rsidR="00C4353F" w:rsidRDefault="00000000">
      <w:pPr>
        <w:pStyle w:val="ListParagraph"/>
        <w:numPr>
          <w:ilvl w:val="0"/>
          <w:numId w:val="8"/>
        </w:numPr>
        <w:spacing w:after="0" w:line="240" w:lineRule="auto"/>
      </w:pPr>
      <w:r>
        <w:rPr>
          <w:rFonts w:ascii="Calibri" w:eastAsia="Calibri" w:hAnsi="Calibri" w:cs="Calibri"/>
          <w:b/>
          <w:bCs/>
        </w:rPr>
        <w:t>Total Final Consumption</w:t>
      </w:r>
      <w:r>
        <w:rPr>
          <w:rFonts w:ascii="Calibri" w:eastAsia="Calibri" w:hAnsi="Calibri" w:cs="Calibri"/>
        </w:rPr>
        <w:t>:</w:t>
      </w:r>
    </w:p>
    <w:p w14:paraId="1F3DC623" w14:textId="77777777" w:rsidR="00C4353F" w:rsidRDefault="00000000">
      <w:pPr>
        <w:spacing w:after="0" w:line="240" w:lineRule="auto"/>
      </w:pPr>
      <w:r>
        <w:rPr>
          <w:rFonts w:ascii="Calibri" w:eastAsia="Calibri" w:hAnsi="Calibri" w:cs="Calibri"/>
        </w:rPr>
        <w:t xml:space="preserve">The total physical energy use in 2024 was </w:t>
      </w:r>
      <w:r>
        <w:rPr>
          <w:rFonts w:ascii="Calibri" w:eastAsia="Calibri" w:hAnsi="Calibri" w:cs="Calibri"/>
          <w:b/>
          <w:bCs/>
        </w:rPr>
        <w:t>2,804,336.1 TJ</w:t>
      </w:r>
      <w:r>
        <w:rPr>
          <w:rFonts w:ascii="Calibri" w:eastAsia="Calibri" w:hAnsi="Calibri" w:cs="Calibri"/>
        </w:rPr>
        <w:t xml:space="preserve">. Households dominated consumption with </w:t>
      </w:r>
      <w:r>
        <w:rPr>
          <w:rFonts w:ascii="Calibri" w:eastAsia="Calibri" w:hAnsi="Calibri" w:cs="Calibri"/>
          <w:b/>
          <w:bCs/>
        </w:rPr>
        <w:t>2,623,872.8 TJ</w:t>
      </w:r>
      <w:r>
        <w:rPr>
          <w:rFonts w:ascii="Calibri" w:eastAsia="Calibri" w:hAnsi="Calibri" w:cs="Calibri"/>
        </w:rPr>
        <w:t>, dominated by biomass at 2,623,635.1 TJ and mainly for heating (firewood: 7,450.9 TJ; charcoal: 832.5 TJ), cooking (LPG: 455.1 TJ), and electricity (domestic/commercial: 26,644 TJ; street lighting: 19,854.6 TJ).</w:t>
      </w:r>
      <w:r>
        <w:rPr>
          <w:rFonts w:ascii="Times New Roman" w:eastAsia="Times New Roman" w:hAnsi="Times New Roman" w:cs="Times New Roman"/>
        </w:rPr>
        <w:t xml:space="preserve"> </w:t>
      </w:r>
      <w:r>
        <w:rPr>
          <w:rFonts w:ascii="Calibri" w:eastAsia="Calibri" w:hAnsi="Calibri" w:cs="Calibri"/>
          <w:b/>
          <w:bCs/>
        </w:rPr>
        <w:t xml:space="preserve">Flows to the Environment </w:t>
      </w:r>
      <w:r>
        <w:rPr>
          <w:rFonts w:ascii="Calibri" w:eastAsia="Calibri" w:hAnsi="Calibri" w:cs="Calibri"/>
        </w:rPr>
        <w:t xml:space="preserve">was the second largest use of energy at </w:t>
      </w:r>
      <w:r>
        <w:rPr>
          <w:rFonts w:ascii="Calibri" w:eastAsia="Calibri" w:hAnsi="Calibri" w:cs="Calibri"/>
          <w:b/>
          <w:bCs/>
        </w:rPr>
        <w:t>54, 749.3 TJ</w:t>
      </w:r>
      <w:r>
        <w:rPr>
          <w:rFonts w:ascii="Calibri" w:eastAsia="Calibri" w:hAnsi="Calibri" w:cs="Calibri"/>
        </w:rPr>
        <w:t xml:space="preserve"> (extraction: 42,842.67 TJ, losses: 11906.64 TJ and others: 384.4 TJ). </w:t>
      </w:r>
    </w:p>
    <w:p w14:paraId="1FE6E4FD" w14:textId="77777777" w:rsidR="00C4353F" w:rsidRDefault="00000000">
      <w:pPr>
        <w:spacing w:after="0" w:line="240" w:lineRule="auto"/>
      </w:pPr>
      <w:r>
        <w:rPr>
          <w:rFonts w:ascii="Calibri" w:eastAsia="Calibri" w:hAnsi="Calibri" w:cs="Calibri"/>
        </w:rPr>
        <w:t xml:space="preserve"> </w:t>
      </w:r>
    </w:p>
    <w:p w14:paraId="77EB8CB2" w14:textId="77777777" w:rsidR="00C4353F" w:rsidRDefault="00000000">
      <w:pPr>
        <w:spacing w:after="0" w:line="240" w:lineRule="auto"/>
      </w:pPr>
      <w:r>
        <w:rPr>
          <w:rFonts w:ascii="Calibri" w:eastAsia="Calibri" w:hAnsi="Calibri" w:cs="Calibri"/>
        </w:rPr>
        <w:t xml:space="preserve">Consumption by </w:t>
      </w:r>
      <w:r>
        <w:rPr>
          <w:rFonts w:ascii="Calibri" w:eastAsia="Calibri" w:hAnsi="Calibri" w:cs="Calibri"/>
          <w:b/>
          <w:bCs/>
        </w:rPr>
        <w:t xml:space="preserve">Industry </w:t>
      </w:r>
      <w:r>
        <w:rPr>
          <w:rFonts w:ascii="Calibri" w:eastAsia="Calibri" w:hAnsi="Calibri" w:cs="Calibri"/>
        </w:rPr>
        <w:t xml:space="preserve">sector followed closely at </w:t>
      </w:r>
      <w:r>
        <w:rPr>
          <w:rFonts w:ascii="Calibri" w:eastAsia="Calibri" w:hAnsi="Calibri" w:cs="Calibri"/>
          <w:b/>
          <w:bCs/>
        </w:rPr>
        <w:t>113, 082.94 TJ</w:t>
      </w:r>
      <w:r>
        <w:rPr>
          <w:rFonts w:ascii="Calibri" w:eastAsia="Calibri" w:hAnsi="Calibri" w:cs="Calibri"/>
        </w:rPr>
        <w:t xml:space="preserve"> dominated by Electricity, Gas, Steam &amp; Air Conditioning Supply at 41,489.3</w:t>
      </w:r>
      <w:r>
        <w:rPr>
          <w:rFonts w:ascii="Calibri" w:eastAsia="Calibri" w:hAnsi="Calibri" w:cs="Calibri"/>
          <w:b/>
          <w:bCs/>
        </w:rPr>
        <w:t xml:space="preserve"> </w:t>
      </w:r>
      <w:r>
        <w:rPr>
          <w:rFonts w:ascii="Calibri" w:eastAsia="Calibri" w:hAnsi="Calibri" w:cs="Calibri"/>
        </w:rPr>
        <w:t>TJ, Manufacturing at 22,507.2 TJ (notably coal &amp; coke: 4,604.4 TJ; biomass wood: 8,283.4 TJ), Transport and Storage at 11,563.5 TJ</w:t>
      </w:r>
      <w:r>
        <w:rPr>
          <w:rFonts w:ascii="Calibri" w:eastAsia="Calibri" w:hAnsi="Calibri" w:cs="Calibri"/>
          <w:b/>
          <w:bCs/>
        </w:rPr>
        <w:t xml:space="preserve"> (</w:t>
      </w:r>
      <w:r>
        <w:rPr>
          <w:rFonts w:ascii="Calibri" w:eastAsia="Calibri" w:hAnsi="Calibri" w:cs="Calibri"/>
        </w:rPr>
        <w:t>driven by petroleum products (motor spirit: 3,006.3 TJ; jet fuel: 3,056.4 TJ; diesel: 2,813.9 TJ</w:t>
      </w:r>
      <w:r>
        <w:rPr>
          <w:rFonts w:ascii="Calibri" w:eastAsia="Calibri" w:hAnsi="Calibri" w:cs="Calibri"/>
          <w:b/>
          <w:bCs/>
        </w:rPr>
        <w:t xml:space="preserve">) </w:t>
      </w:r>
      <w:r>
        <w:rPr>
          <w:rFonts w:ascii="Calibri" w:eastAsia="Calibri" w:hAnsi="Calibri" w:cs="Calibri"/>
        </w:rPr>
        <w:t>and Other Commercial Sectors at 6864.5 TJ</w:t>
      </w:r>
    </w:p>
    <w:p w14:paraId="22817580" w14:textId="77777777" w:rsidR="00C4353F" w:rsidRDefault="00C4353F">
      <w:pPr>
        <w:spacing w:after="0" w:line="240" w:lineRule="auto"/>
        <w:rPr>
          <w:rFonts w:ascii="Calibri" w:eastAsia="Calibri" w:hAnsi="Calibri" w:cs="Calibri"/>
        </w:rPr>
      </w:pPr>
    </w:p>
    <w:p w14:paraId="5B856FDD" w14:textId="77777777" w:rsidR="00C4353F" w:rsidRDefault="00000000">
      <w:pPr>
        <w:pStyle w:val="ListParagraph"/>
        <w:numPr>
          <w:ilvl w:val="0"/>
          <w:numId w:val="8"/>
        </w:numPr>
        <w:spacing w:after="0" w:line="240" w:lineRule="auto"/>
        <w:rPr>
          <w:rFonts w:ascii="Calibri" w:eastAsia="Calibri" w:hAnsi="Calibri" w:cs="Calibri"/>
          <w:b/>
          <w:bCs/>
        </w:rPr>
      </w:pPr>
      <w:r>
        <w:rPr>
          <w:rFonts w:ascii="Calibri" w:eastAsia="Calibri" w:hAnsi="Calibri" w:cs="Calibri"/>
          <w:b/>
          <w:bCs/>
        </w:rPr>
        <w:t>Transformation and Own Use:</w:t>
      </w:r>
    </w:p>
    <w:p w14:paraId="29214C40" w14:textId="77777777" w:rsidR="00C4353F" w:rsidRDefault="00000000">
      <w:pPr>
        <w:spacing w:after="0" w:line="240" w:lineRule="auto"/>
      </w:pPr>
      <w:r>
        <w:rPr>
          <w:rFonts w:ascii="Calibri" w:eastAsia="Calibri" w:hAnsi="Calibri" w:cs="Calibri"/>
        </w:rPr>
        <w:t>A large volume of energy is used in transformation processes at</w:t>
      </w:r>
      <w:r>
        <w:rPr>
          <w:rFonts w:ascii="Calibri" w:eastAsia="Calibri" w:hAnsi="Calibri" w:cs="Calibri"/>
          <w:b/>
          <w:bCs/>
        </w:rPr>
        <w:t xml:space="preserve"> 41,183.4 TJ</w:t>
      </w:r>
      <w:r>
        <w:rPr>
          <w:rFonts w:ascii="Calibri" w:eastAsia="Calibri" w:hAnsi="Calibri" w:cs="Calibri"/>
        </w:rPr>
        <w:t xml:space="preserve">, mainly in electricity and steam generation, converting primary energy (solar: 1,657.6 TJ; wind: 6,471.6 TJ; hydro: 13,070.5 TJ; geothermal: 19,983.6 TJ) into secondary forms. </w:t>
      </w:r>
      <w:r>
        <w:rPr>
          <w:rFonts w:ascii="Calibri" w:eastAsia="Calibri" w:hAnsi="Calibri" w:cs="Calibri"/>
          <w:b/>
          <w:bCs/>
        </w:rPr>
        <w:t>Energy Industry Own Use</w:t>
      </w:r>
      <w:r>
        <w:rPr>
          <w:rFonts w:ascii="Calibri" w:eastAsia="Calibri" w:hAnsi="Calibri" w:cs="Calibri"/>
        </w:rPr>
        <w:t xml:space="preserve"> reflects internal consumption by energy-producing sectors, such as power plants</w:t>
      </w:r>
    </w:p>
    <w:p w14:paraId="7D76FA5B" w14:textId="77777777" w:rsidR="00C4353F" w:rsidRDefault="00C4353F">
      <w:pPr>
        <w:spacing w:after="0" w:line="240" w:lineRule="auto"/>
        <w:rPr>
          <w:rFonts w:ascii="Calibri" w:eastAsia="Calibri" w:hAnsi="Calibri" w:cs="Calibri"/>
        </w:rPr>
      </w:pPr>
    </w:p>
    <w:p w14:paraId="586F5D5C" w14:textId="77777777" w:rsidR="00C4353F" w:rsidRDefault="00000000">
      <w:pPr>
        <w:pStyle w:val="ListParagraph"/>
        <w:numPr>
          <w:ilvl w:val="0"/>
          <w:numId w:val="8"/>
        </w:numPr>
        <w:spacing w:after="0" w:line="240" w:lineRule="auto"/>
        <w:rPr>
          <w:rFonts w:ascii="Calibri" w:eastAsia="Calibri" w:hAnsi="Calibri" w:cs="Calibri"/>
          <w:b/>
          <w:bCs/>
        </w:rPr>
      </w:pPr>
      <w:r>
        <w:rPr>
          <w:rFonts w:ascii="Calibri" w:eastAsia="Calibri" w:hAnsi="Calibri" w:cs="Calibri"/>
          <w:b/>
          <w:bCs/>
        </w:rPr>
        <w:t>Energy Residuals:</w:t>
      </w:r>
    </w:p>
    <w:p w14:paraId="435D6644" w14:textId="77777777" w:rsidR="00C4353F" w:rsidRDefault="00000000">
      <w:pPr>
        <w:spacing w:after="0" w:line="240" w:lineRule="auto"/>
      </w:pPr>
      <w:r>
        <w:rPr>
          <w:rFonts w:ascii="Calibri" w:eastAsia="Calibri" w:hAnsi="Calibri" w:cs="Calibri"/>
        </w:rPr>
        <w:t xml:space="preserve">Residuals represent flows that don’t end up as direct consumption but still represent significant energy movements. They include </w:t>
      </w:r>
      <w:r>
        <w:rPr>
          <w:rFonts w:ascii="Calibri" w:eastAsia="Calibri" w:hAnsi="Calibri" w:cs="Calibri"/>
          <w:b/>
          <w:bCs/>
        </w:rPr>
        <w:t>extraction, transformation, and losses</w:t>
      </w:r>
      <w:r>
        <w:rPr>
          <w:rFonts w:ascii="Calibri" w:eastAsia="Calibri" w:hAnsi="Calibri" w:cs="Calibri"/>
        </w:rPr>
        <w:t xml:space="preserve">. Residuals accounted for </w:t>
      </w:r>
      <w:r>
        <w:rPr>
          <w:rFonts w:ascii="Calibri" w:eastAsia="Calibri" w:hAnsi="Calibri" w:cs="Calibri"/>
          <w:b/>
          <w:bCs/>
        </w:rPr>
        <w:t>54, 749.3 TJ</w:t>
      </w:r>
      <w:r>
        <w:rPr>
          <w:rFonts w:ascii="Calibri" w:eastAsia="Calibri" w:hAnsi="Calibri" w:cs="Calibri"/>
        </w:rPr>
        <w:t xml:space="preserve"> dominated by extraction at 42, 842.67 TJ and Losses at 11,906.6 TJ of energy, primarily from electricity and gas transmission/distribution. These residuals highlight system-level processes and inefficiencies </w:t>
      </w:r>
    </w:p>
    <w:p w14:paraId="7129225B" w14:textId="77777777" w:rsidR="00C4353F" w:rsidRDefault="00C4353F">
      <w:pPr>
        <w:spacing w:after="0" w:line="240" w:lineRule="auto"/>
        <w:rPr>
          <w:rFonts w:ascii="Calibri" w:eastAsia="Calibri" w:hAnsi="Calibri" w:cs="Calibri"/>
        </w:rPr>
      </w:pPr>
    </w:p>
    <w:p w14:paraId="5217ED3A" w14:textId="77777777" w:rsidR="00C4353F" w:rsidRDefault="00000000">
      <w:pPr>
        <w:pStyle w:val="ListParagraph"/>
        <w:numPr>
          <w:ilvl w:val="0"/>
          <w:numId w:val="8"/>
        </w:numPr>
        <w:spacing w:after="0" w:line="240" w:lineRule="auto"/>
        <w:rPr>
          <w:rFonts w:ascii="Calibri" w:eastAsia="Calibri" w:hAnsi="Calibri" w:cs="Calibri"/>
          <w:b/>
          <w:bCs/>
        </w:rPr>
      </w:pPr>
      <w:r>
        <w:rPr>
          <w:rFonts w:ascii="Calibri" w:eastAsia="Calibri" w:hAnsi="Calibri" w:cs="Calibri"/>
          <w:b/>
          <w:bCs/>
        </w:rPr>
        <w:t>Other Sectoral Breakdown</w:t>
      </w:r>
    </w:p>
    <w:p w14:paraId="7AF4A0C2" w14:textId="77777777" w:rsidR="00C4353F" w:rsidRDefault="00000000">
      <w:pPr>
        <w:spacing w:after="0" w:line="240" w:lineRule="auto"/>
      </w:pPr>
      <w:r>
        <w:rPr>
          <w:rFonts w:ascii="Calibri" w:eastAsia="Calibri" w:hAnsi="Calibri" w:cs="Calibri"/>
          <w:b/>
          <w:bCs/>
        </w:rPr>
        <w:t>Agriculture, Forestry &amp; Fishery</w:t>
      </w:r>
      <w:r>
        <w:rPr>
          <w:rFonts w:ascii="Calibri" w:eastAsia="Calibri" w:hAnsi="Calibri" w:cs="Calibri"/>
        </w:rPr>
        <w:t xml:space="preserve"> uses energy was </w:t>
      </w:r>
      <w:r>
        <w:rPr>
          <w:rFonts w:ascii="Calibri" w:eastAsia="Calibri" w:hAnsi="Calibri" w:cs="Calibri"/>
          <w:b/>
          <w:bCs/>
        </w:rPr>
        <w:t>92.2 TJ</w:t>
      </w:r>
      <w:r>
        <w:rPr>
          <w:rFonts w:ascii="Calibri" w:eastAsia="Calibri" w:hAnsi="Calibri" w:cs="Calibri"/>
        </w:rPr>
        <w:t xml:space="preserve"> mainly petroleum fuels for machinery, irrigation, and processing.</w:t>
      </w:r>
      <w:r>
        <w:rPr>
          <w:rFonts w:ascii="Times New Roman" w:eastAsia="Times New Roman" w:hAnsi="Times New Roman" w:cs="Times New Roman"/>
        </w:rPr>
        <w:t xml:space="preserve"> </w:t>
      </w:r>
      <w:r>
        <w:rPr>
          <w:rFonts w:ascii="Calibri" w:eastAsia="Calibri" w:hAnsi="Calibri" w:cs="Calibri"/>
          <w:b/>
          <w:bCs/>
        </w:rPr>
        <w:t>Construction and Services recorded m</w:t>
      </w:r>
      <w:r>
        <w:rPr>
          <w:rFonts w:ascii="Calibri" w:eastAsia="Calibri" w:hAnsi="Calibri" w:cs="Calibri"/>
        </w:rPr>
        <w:t>oderate energy use, largely electricity and diesel fuel.</w:t>
      </w:r>
      <w:r>
        <w:rPr>
          <w:rFonts w:ascii="Times New Roman" w:eastAsia="Times New Roman" w:hAnsi="Times New Roman" w:cs="Times New Roman"/>
        </w:rPr>
        <w:t xml:space="preserve"> </w:t>
      </w:r>
      <w:r>
        <w:rPr>
          <w:rFonts w:ascii="Calibri" w:eastAsia="Calibri" w:hAnsi="Calibri" w:cs="Calibri"/>
          <w:b/>
          <w:bCs/>
        </w:rPr>
        <w:t>Public Administration and Defense recorded c</w:t>
      </w:r>
      <w:r>
        <w:rPr>
          <w:rFonts w:ascii="Calibri" w:eastAsia="Calibri" w:hAnsi="Calibri" w:cs="Calibri"/>
        </w:rPr>
        <w:t>onsistently low energy demand.</w:t>
      </w:r>
    </w:p>
    <w:p w14:paraId="15C838C0" w14:textId="77777777" w:rsidR="00C4353F" w:rsidRDefault="00C4353F">
      <w:pPr>
        <w:spacing w:line="240" w:lineRule="auto"/>
        <w:rPr>
          <w:rFonts w:ascii="Times New Roman" w:eastAsia="Times New Roman" w:hAnsi="Times New Roman" w:cs="Times New Roman"/>
          <w:color w:val="000000"/>
        </w:rPr>
      </w:pPr>
    </w:p>
    <w:p w14:paraId="3D35E468" w14:textId="77777777" w:rsidR="00C4353F" w:rsidRDefault="00000000">
      <w:pPr>
        <w:spacing w:line="240" w:lineRule="auto"/>
      </w:pPr>
      <w:r>
        <w:rPr>
          <w:rFonts w:ascii="Times New Roman" w:eastAsia="Times New Roman" w:hAnsi="Times New Roman" w:cs="Times New Roman"/>
          <w:color w:val="000000"/>
          <w:kern w:val="0"/>
        </w:rPr>
        <w:object w:dxaOrig="13920" w:dyaOrig="7845" w14:anchorId="66F8C5AD">
          <v:shape id="Object 2" o:spid="_x0000_i1026" type="#_x0000_t75" style="width:696pt;height:392.25pt;visibility:visible;mso-wrap-style:square" o:ole="">
            <v:imagedata r:id="rId14" o:title=""/>
          </v:shape>
          <o:OLEObject Type="Embed" ProgID="Excel.Sheet.12" ShapeID="Object 2" DrawAspect="Content" ObjectID="_1832918080" r:id="rId15"/>
        </w:object>
      </w:r>
    </w:p>
    <w:p w14:paraId="57884EA2" w14:textId="77777777" w:rsidR="00C4353F" w:rsidRDefault="00C4353F">
      <w:pPr>
        <w:spacing w:line="240" w:lineRule="auto"/>
        <w:rPr>
          <w:rFonts w:ascii="Times New Roman" w:eastAsia="Times New Roman" w:hAnsi="Times New Roman" w:cs="Times New Roman"/>
          <w:color w:val="000000"/>
          <w:kern w:val="0"/>
        </w:rPr>
      </w:pPr>
    </w:p>
    <w:p w14:paraId="233D896D" w14:textId="77777777" w:rsidR="00C4353F" w:rsidRDefault="00C4353F">
      <w:pPr>
        <w:spacing w:line="240" w:lineRule="auto"/>
        <w:rPr>
          <w:rFonts w:ascii="Times New Roman" w:eastAsia="Times New Roman" w:hAnsi="Times New Roman" w:cs="Times New Roman"/>
          <w:color w:val="000000"/>
          <w:kern w:val="0"/>
        </w:rPr>
        <w:sectPr w:rsidR="00C4353F">
          <w:headerReference w:type="default" r:id="rId16"/>
          <w:footerReference w:type="default" r:id="rId17"/>
          <w:pgSz w:w="15840" w:h="12240" w:orient="landscape"/>
          <w:pgMar w:top="1440" w:right="1440" w:bottom="1440" w:left="1440" w:header="720" w:footer="720" w:gutter="0"/>
          <w:cols w:space="720"/>
        </w:sectPr>
      </w:pPr>
    </w:p>
    <w:p w14:paraId="0ACDD5A5" w14:textId="77777777" w:rsidR="00C4353F" w:rsidRDefault="00C4353F">
      <w:pPr>
        <w:spacing w:line="240" w:lineRule="auto"/>
        <w:rPr>
          <w:rFonts w:ascii="Times New Roman" w:eastAsia="Times New Roman" w:hAnsi="Times New Roman" w:cs="Times New Roman"/>
          <w:color w:val="000000"/>
          <w:kern w:val="0"/>
        </w:rPr>
      </w:pPr>
    </w:p>
    <w:p w14:paraId="1589D384" w14:textId="77777777" w:rsidR="00C4353F" w:rsidRDefault="00C4353F">
      <w:pPr>
        <w:spacing w:line="240" w:lineRule="auto"/>
        <w:rPr>
          <w:rFonts w:ascii="Times New Roman" w:eastAsia="Times New Roman" w:hAnsi="Times New Roman" w:cs="Times New Roman"/>
          <w:color w:val="000000"/>
          <w:kern w:val="0"/>
        </w:rPr>
      </w:pPr>
    </w:p>
    <w:p w14:paraId="638427BF" w14:textId="77777777" w:rsidR="00C4353F" w:rsidRDefault="00C4353F">
      <w:pPr>
        <w:spacing w:line="240" w:lineRule="auto"/>
        <w:rPr>
          <w:rFonts w:ascii="Times New Roman" w:eastAsia="Times New Roman" w:hAnsi="Times New Roman" w:cs="Times New Roman"/>
          <w:color w:val="000000"/>
          <w:kern w:val="0"/>
        </w:rPr>
      </w:pPr>
    </w:p>
    <w:p w14:paraId="5FF5BE73" w14:textId="77777777" w:rsidR="00C4353F" w:rsidRDefault="00C4353F">
      <w:pPr>
        <w:spacing w:line="240" w:lineRule="auto"/>
        <w:rPr>
          <w:rFonts w:ascii="Times New Roman" w:eastAsia="Times New Roman" w:hAnsi="Times New Roman" w:cs="Times New Roman"/>
          <w:color w:val="000000"/>
          <w:kern w:val="0"/>
        </w:rPr>
      </w:pPr>
    </w:p>
    <w:p w14:paraId="7198297A" w14:textId="77777777" w:rsidR="00C4353F" w:rsidRDefault="00C4353F">
      <w:pPr>
        <w:spacing w:line="240" w:lineRule="auto"/>
        <w:rPr>
          <w:rFonts w:ascii="Times New Roman" w:eastAsia="Times New Roman" w:hAnsi="Times New Roman" w:cs="Times New Roman"/>
          <w:color w:val="000000"/>
          <w:kern w:val="0"/>
        </w:rPr>
      </w:pPr>
    </w:p>
    <w:p w14:paraId="757C1624"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Table…Import of Energy Products, 2018 - 2024</w:t>
      </w:r>
    </w:p>
    <w:p w14:paraId="346A67C7" w14:textId="77777777" w:rsidR="00C4353F" w:rsidRDefault="00000000">
      <w:pPr>
        <w:spacing w:line="240" w:lineRule="auto"/>
      </w:pPr>
      <w:r>
        <w:rPr>
          <w:rFonts w:ascii="Times New Roman" w:eastAsia="Times New Roman" w:hAnsi="Times New Roman" w:cs="Times New Roman"/>
          <w:color w:val="000000"/>
          <w:kern w:val="0"/>
        </w:rPr>
        <w:object w:dxaOrig="10530" w:dyaOrig="2145" w14:anchorId="70C4743B">
          <v:shape id="Object 3" o:spid="_x0000_i1027" type="#_x0000_t75" style="width:527.05pt;height:107.35pt;visibility:visible;mso-wrap-style:square" o:ole="">
            <v:imagedata r:id="rId18" o:title=""/>
          </v:shape>
          <o:OLEObject Type="Embed" ProgID="Excel.Sheet.12" ShapeID="Object 3" DrawAspect="Content" ObjectID="_1832918081" r:id="rId19"/>
        </w:object>
      </w:r>
    </w:p>
    <w:p w14:paraId="711C0B24" w14:textId="77777777" w:rsidR="00C4353F" w:rsidRDefault="00C4353F">
      <w:pPr>
        <w:spacing w:line="240" w:lineRule="auto"/>
        <w:rPr>
          <w:rFonts w:ascii="Times New Roman" w:eastAsia="Times New Roman" w:hAnsi="Times New Roman" w:cs="Times New Roman"/>
          <w:color w:val="000000"/>
          <w:kern w:val="0"/>
        </w:rPr>
      </w:pPr>
    </w:p>
    <w:p w14:paraId="5BE459B7"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Table…Import of Energy Products, 2018 - 2024</w:t>
      </w:r>
    </w:p>
    <w:p w14:paraId="6252A236" w14:textId="77777777" w:rsidR="00C4353F" w:rsidRDefault="00C4353F">
      <w:pPr>
        <w:spacing w:line="240" w:lineRule="auto"/>
        <w:rPr>
          <w:rFonts w:ascii="Times New Roman" w:eastAsia="Times New Roman" w:hAnsi="Times New Roman" w:cs="Times New Roman"/>
          <w:color w:val="000000"/>
          <w:kern w:val="0"/>
        </w:rPr>
      </w:pPr>
    </w:p>
    <w:p w14:paraId="1725DE91" w14:textId="77777777" w:rsidR="00C4353F" w:rsidRDefault="00000000">
      <w:pPr>
        <w:spacing w:line="240" w:lineRule="auto"/>
      </w:pPr>
      <w:r>
        <w:rPr>
          <w:rFonts w:ascii="Times New Roman" w:eastAsia="Times New Roman" w:hAnsi="Times New Roman" w:cs="Times New Roman"/>
          <w:color w:val="000000"/>
          <w:kern w:val="0"/>
        </w:rPr>
        <w:object w:dxaOrig="10395" w:dyaOrig="2145" w14:anchorId="3BABFB56">
          <v:shape id="Object 4" o:spid="_x0000_i1028" type="#_x0000_t75" style="width:519.75pt;height:107.35pt;visibility:visible;mso-wrap-style:square" o:ole="">
            <v:imagedata r:id="rId20" o:title=""/>
          </v:shape>
          <o:OLEObject Type="Embed" ProgID="Excel.Sheet.12" ShapeID="Object 4" DrawAspect="Content" ObjectID="_1832918082" r:id="rId21"/>
        </w:object>
      </w:r>
    </w:p>
    <w:p w14:paraId="22D81833" w14:textId="77777777" w:rsidR="00C4353F" w:rsidRDefault="00C4353F">
      <w:pPr>
        <w:spacing w:line="240" w:lineRule="auto"/>
        <w:rPr>
          <w:rFonts w:ascii="Times New Roman" w:eastAsia="Times New Roman" w:hAnsi="Times New Roman" w:cs="Times New Roman"/>
          <w:color w:val="000000"/>
          <w:kern w:val="0"/>
        </w:rPr>
      </w:pPr>
    </w:p>
    <w:p w14:paraId="572526DB" w14:textId="77777777" w:rsidR="00C4353F" w:rsidRDefault="00C4353F">
      <w:pPr>
        <w:spacing w:line="240" w:lineRule="auto"/>
        <w:rPr>
          <w:rFonts w:ascii="Times New Roman" w:eastAsia="Times New Roman" w:hAnsi="Times New Roman" w:cs="Times New Roman"/>
          <w:color w:val="000000"/>
          <w:kern w:val="0"/>
        </w:rPr>
      </w:pPr>
    </w:p>
    <w:p w14:paraId="47508097" w14:textId="77777777" w:rsidR="00C4353F" w:rsidRDefault="00C4353F">
      <w:pPr>
        <w:spacing w:line="240" w:lineRule="auto"/>
        <w:rPr>
          <w:rFonts w:ascii="Times New Roman" w:eastAsia="Times New Roman" w:hAnsi="Times New Roman" w:cs="Times New Roman"/>
          <w:color w:val="000000"/>
          <w:kern w:val="0"/>
        </w:rPr>
      </w:pPr>
    </w:p>
    <w:p w14:paraId="7662034F" w14:textId="77777777" w:rsidR="00C4353F" w:rsidRDefault="00C4353F">
      <w:pPr>
        <w:spacing w:line="240" w:lineRule="auto"/>
        <w:rPr>
          <w:rFonts w:ascii="Times New Roman" w:eastAsia="Times New Roman" w:hAnsi="Times New Roman" w:cs="Times New Roman"/>
          <w:color w:val="000000"/>
          <w:kern w:val="0"/>
        </w:rPr>
      </w:pPr>
    </w:p>
    <w:p w14:paraId="2925E177" w14:textId="77777777" w:rsidR="00C4353F" w:rsidRDefault="00000000">
      <w:pPr>
        <w:spacing w:line="240" w:lineRule="auto"/>
      </w:pPr>
      <w:r>
        <w:rPr>
          <w:noProof/>
        </w:rPr>
        <w:lastRenderedPageBreak/>
        <w:drawing>
          <wp:inline distT="0" distB="0" distL="0" distR="0" wp14:anchorId="4FD5EE7A" wp14:editId="5D2AAF29">
            <wp:extent cx="5122541" cy="3607436"/>
            <wp:effectExtent l="0" t="0" r="0" b="0"/>
            <wp:docPr id="86822736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D475E22" w14:textId="77777777" w:rsidR="00C4353F" w:rsidRDefault="00C4353F">
      <w:pPr>
        <w:spacing w:line="240" w:lineRule="auto"/>
        <w:rPr>
          <w:rFonts w:ascii="Times New Roman" w:eastAsia="Times New Roman" w:hAnsi="Times New Roman" w:cs="Times New Roman"/>
          <w:color w:val="000000"/>
          <w:kern w:val="0"/>
        </w:rPr>
      </w:pPr>
    </w:p>
    <w:p w14:paraId="25F31844" w14:textId="77777777" w:rsidR="00C4353F" w:rsidRDefault="00C4353F">
      <w:pPr>
        <w:spacing w:line="240" w:lineRule="auto"/>
        <w:rPr>
          <w:rFonts w:ascii="Times New Roman" w:eastAsia="Times New Roman" w:hAnsi="Times New Roman" w:cs="Times New Roman"/>
          <w:color w:val="000000"/>
          <w:kern w:val="0"/>
        </w:rPr>
      </w:pPr>
    </w:p>
    <w:p w14:paraId="79F6C157" w14:textId="77777777" w:rsidR="00C4353F" w:rsidRDefault="00C4353F">
      <w:pPr>
        <w:spacing w:line="240" w:lineRule="auto"/>
        <w:rPr>
          <w:rFonts w:ascii="Times New Roman" w:eastAsia="Times New Roman" w:hAnsi="Times New Roman" w:cs="Times New Roman"/>
          <w:color w:val="000000"/>
          <w:kern w:val="0"/>
        </w:rPr>
      </w:pPr>
    </w:p>
    <w:p w14:paraId="0A64223E"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Table….Energy Balance, 2024-Supply and Demand of Coal and Coke, and Renewable Feedstocks</w:t>
      </w:r>
    </w:p>
    <w:p w14:paraId="3E824CE9" w14:textId="77777777" w:rsidR="00C4353F" w:rsidRDefault="00000000">
      <w:pPr>
        <w:spacing w:before="240" w:after="240"/>
      </w:pPr>
      <w:bookmarkStart w:id="16" w:name="_MON_1830329527"/>
      <w:bookmarkEnd w:id="16"/>
      <w:r>
        <w:rPr>
          <w:rFonts w:ascii="Times New Roman" w:eastAsia="Times New Roman" w:hAnsi="Times New Roman" w:cs="Times New Roman"/>
        </w:rPr>
        <w:t xml:space="preserve">In 2024, the total supply of </w:t>
      </w:r>
      <w:r>
        <w:rPr>
          <w:rFonts w:ascii="Times New Roman" w:eastAsia="Times New Roman" w:hAnsi="Times New Roman" w:cs="Times New Roman"/>
          <w:b/>
          <w:bCs/>
        </w:rPr>
        <w:t>coal and coke</w:t>
      </w:r>
      <w:r>
        <w:rPr>
          <w:rFonts w:ascii="Times New Roman" w:eastAsia="Times New Roman" w:hAnsi="Times New Roman" w:cs="Times New Roman"/>
        </w:rPr>
        <w:t xml:space="preserve"> amounted to </w:t>
      </w:r>
      <w:r>
        <w:rPr>
          <w:rFonts w:ascii="Times New Roman" w:eastAsia="Times New Roman" w:hAnsi="Times New Roman" w:cs="Times New Roman"/>
          <w:b/>
          <w:bCs/>
        </w:rPr>
        <w:t>7,402.27 TJ</w:t>
      </w:r>
      <w:r>
        <w:rPr>
          <w:rFonts w:ascii="Times New Roman" w:eastAsia="Times New Roman" w:hAnsi="Times New Roman" w:cs="Times New Roman"/>
        </w:rPr>
        <w:t xml:space="preserve">,mainly from </w:t>
      </w:r>
      <w:r>
        <w:rPr>
          <w:rFonts w:ascii="Times New Roman" w:eastAsia="Times New Roman" w:hAnsi="Times New Roman" w:cs="Times New Roman"/>
          <w:b/>
          <w:bCs/>
        </w:rPr>
        <w:t xml:space="preserve">imports </w:t>
      </w:r>
      <w:r>
        <w:rPr>
          <w:rFonts w:ascii="Times New Roman" w:eastAsia="Times New Roman" w:hAnsi="Times New Roman" w:cs="Times New Roman"/>
        </w:rPr>
        <w:t xml:space="preserve">The </w:t>
      </w:r>
      <w:r>
        <w:rPr>
          <w:rFonts w:ascii="Times New Roman" w:eastAsia="Times New Roman" w:hAnsi="Times New Roman" w:cs="Times New Roman"/>
          <w:b/>
          <w:bCs/>
        </w:rPr>
        <w:t>total demand</w:t>
      </w:r>
      <w:r>
        <w:rPr>
          <w:rFonts w:ascii="Times New Roman" w:eastAsia="Times New Roman" w:hAnsi="Times New Roman" w:cs="Times New Roman"/>
        </w:rPr>
        <w:t xml:space="preserve"> stood at </w:t>
      </w:r>
      <w:r>
        <w:rPr>
          <w:rFonts w:ascii="Times New Roman" w:eastAsia="Times New Roman" w:hAnsi="Times New Roman" w:cs="Times New Roman"/>
          <w:b/>
          <w:bCs/>
        </w:rPr>
        <w:t>3,757.98 TJ</w:t>
      </w:r>
      <w:r>
        <w:rPr>
          <w:rFonts w:ascii="Times New Roman" w:eastAsia="Times New Roman" w:hAnsi="Times New Roman" w:cs="Times New Roman"/>
        </w:rPr>
        <w:t xml:space="preserve">, which was </w:t>
      </w:r>
      <w:r>
        <w:rPr>
          <w:rFonts w:ascii="Times New Roman" w:eastAsia="Times New Roman" w:hAnsi="Times New Roman" w:cs="Times New Roman"/>
          <w:b/>
          <w:bCs/>
        </w:rPr>
        <w:t>entirely consumed by industry</w:t>
      </w:r>
      <w:r>
        <w:rPr>
          <w:rFonts w:ascii="Times New Roman" w:eastAsia="Times New Roman" w:hAnsi="Times New Roman" w:cs="Times New Roman"/>
        </w:rPr>
        <w:t xml:space="preserve">. A notable </w:t>
      </w:r>
      <w:r>
        <w:rPr>
          <w:rFonts w:ascii="Times New Roman" w:eastAsia="Times New Roman" w:hAnsi="Times New Roman" w:cs="Times New Roman"/>
          <w:b/>
          <w:bCs/>
        </w:rPr>
        <w:t>statistical difference of 3,644.29 TJ</w:t>
      </w:r>
      <w:r>
        <w:rPr>
          <w:rFonts w:ascii="Times New Roman" w:eastAsia="Times New Roman" w:hAnsi="Times New Roman" w:cs="Times New Roman"/>
        </w:rPr>
        <w:t xml:space="preserve"> suggests the presence of unaccounted usage, stock changes, or data discrepancies. Coal and coke continue to be </w:t>
      </w:r>
      <w:r>
        <w:rPr>
          <w:rFonts w:ascii="Times New Roman" w:eastAsia="Times New Roman" w:hAnsi="Times New Roman" w:cs="Times New Roman"/>
          <w:b/>
          <w:bCs/>
        </w:rPr>
        <w:t>industry-specific fuels</w:t>
      </w:r>
      <w:r>
        <w:rPr>
          <w:rFonts w:ascii="Times New Roman" w:eastAsia="Times New Roman" w:hAnsi="Times New Roman" w:cs="Times New Roman"/>
        </w:rPr>
        <w:t xml:space="preserve">, primarily utilized in </w:t>
      </w:r>
      <w:r>
        <w:rPr>
          <w:rFonts w:ascii="Times New Roman" w:eastAsia="Times New Roman" w:hAnsi="Times New Roman" w:cs="Times New Roman"/>
          <w:b/>
          <w:bCs/>
        </w:rPr>
        <w:t>manufacturing and heavy industrial processes</w:t>
      </w:r>
      <w:r>
        <w:rPr>
          <w:rFonts w:ascii="Times New Roman" w:eastAsia="Times New Roman" w:hAnsi="Times New Roman" w:cs="Times New Roman"/>
        </w:rPr>
        <w:t>, reflecting their limited role in broader household or service sector energy consumption.</w:t>
      </w:r>
    </w:p>
    <w:p w14:paraId="27CD5CD0" w14:textId="77777777" w:rsidR="00C4353F" w:rsidRDefault="00000000">
      <w:pPr>
        <w:spacing w:before="240" w:after="240"/>
      </w:pPr>
      <w:r>
        <w:rPr>
          <w:rFonts w:ascii="Times New Roman" w:eastAsia="Times New Roman" w:hAnsi="Times New Roman" w:cs="Times New Roman"/>
        </w:rPr>
        <w:t xml:space="preserve">By contrast, </w:t>
      </w:r>
      <w:r>
        <w:rPr>
          <w:rFonts w:ascii="Times New Roman" w:eastAsia="Times New Roman" w:hAnsi="Times New Roman" w:cs="Times New Roman"/>
          <w:b/>
          <w:bCs/>
        </w:rPr>
        <w:t>renewable feedstocks</w:t>
      </w:r>
      <w:r>
        <w:rPr>
          <w:rFonts w:ascii="Times New Roman" w:eastAsia="Times New Roman" w:hAnsi="Times New Roman" w:cs="Times New Roman"/>
        </w:rPr>
        <w:t xml:space="preserve"> dominated the energy balance, with a </w:t>
      </w:r>
      <w:r>
        <w:rPr>
          <w:rFonts w:ascii="Times New Roman" w:eastAsia="Times New Roman" w:hAnsi="Times New Roman" w:cs="Times New Roman"/>
          <w:b/>
          <w:bCs/>
        </w:rPr>
        <w:t>total supply of 1,348,924.62 TJ</w:t>
      </w:r>
      <w:r>
        <w:rPr>
          <w:rFonts w:ascii="Times New Roman" w:eastAsia="Times New Roman" w:hAnsi="Times New Roman" w:cs="Times New Roman"/>
        </w:rPr>
        <w:t xml:space="preserve">, almost entirely from </w:t>
      </w:r>
      <w:r>
        <w:rPr>
          <w:rFonts w:ascii="Times New Roman" w:eastAsia="Times New Roman" w:hAnsi="Times New Roman" w:cs="Times New Roman"/>
          <w:b/>
          <w:bCs/>
        </w:rPr>
        <w:t>domestic production</w:t>
      </w:r>
      <w:r>
        <w:rPr>
          <w:rFonts w:ascii="Times New Roman" w:eastAsia="Times New Roman" w:hAnsi="Times New Roman" w:cs="Times New Roman"/>
        </w:rPr>
        <w:t xml:space="preserve">. The largest contributors were </w:t>
      </w:r>
      <w:r>
        <w:rPr>
          <w:rFonts w:ascii="Times New Roman" w:eastAsia="Times New Roman" w:hAnsi="Times New Roman" w:cs="Times New Roman"/>
          <w:b/>
          <w:bCs/>
        </w:rPr>
        <w:t>fuel wood (1,195,357.15 TJ)</w:t>
      </w:r>
      <w:r>
        <w:rPr>
          <w:rFonts w:ascii="Times New Roman" w:eastAsia="Times New Roman" w:hAnsi="Times New Roman" w:cs="Times New Roman"/>
        </w:rPr>
        <w:t xml:space="preserve">, </w:t>
      </w:r>
      <w:r>
        <w:rPr>
          <w:rFonts w:ascii="Times New Roman" w:eastAsia="Times New Roman" w:hAnsi="Times New Roman" w:cs="Times New Roman"/>
          <w:b/>
          <w:bCs/>
        </w:rPr>
        <w:t>wood charcoal (103,322.53 TJ)</w:t>
      </w:r>
      <w:r>
        <w:rPr>
          <w:rFonts w:ascii="Times New Roman" w:eastAsia="Times New Roman" w:hAnsi="Times New Roman" w:cs="Times New Roman"/>
        </w:rPr>
        <w:t xml:space="preserve">, and </w:t>
      </w:r>
      <w:r>
        <w:rPr>
          <w:rFonts w:ascii="Times New Roman" w:eastAsia="Times New Roman" w:hAnsi="Times New Roman" w:cs="Times New Roman"/>
          <w:b/>
          <w:bCs/>
        </w:rPr>
        <w:t>wastes or scraps (42,842.67 TJ)</w:t>
      </w:r>
      <w:r>
        <w:rPr>
          <w:rFonts w:ascii="Times New Roman" w:eastAsia="Times New Roman" w:hAnsi="Times New Roman" w:cs="Times New Roman"/>
        </w:rPr>
        <w:t xml:space="preserve">. Demand closely matched supply at </w:t>
      </w:r>
      <w:r>
        <w:rPr>
          <w:rFonts w:ascii="Times New Roman" w:eastAsia="Times New Roman" w:hAnsi="Times New Roman" w:cs="Times New Roman"/>
          <w:b/>
          <w:bCs/>
        </w:rPr>
        <w:t>1,345,280.32 TJ</w:t>
      </w:r>
      <w:r>
        <w:rPr>
          <w:rFonts w:ascii="Times New Roman" w:eastAsia="Times New Roman" w:hAnsi="Times New Roman" w:cs="Times New Roman"/>
        </w:rPr>
        <w:t xml:space="preserve">, with </w:t>
      </w:r>
      <w:r>
        <w:rPr>
          <w:rFonts w:ascii="Times New Roman" w:eastAsia="Times New Roman" w:hAnsi="Times New Roman" w:cs="Times New Roman"/>
          <w:b/>
          <w:bCs/>
        </w:rPr>
        <w:t>households consuming the vast majority (1,333,238.90 TJ)</w:t>
      </w:r>
      <w:r>
        <w:rPr>
          <w:rFonts w:ascii="Times New Roman" w:eastAsia="Times New Roman" w:hAnsi="Times New Roman" w:cs="Times New Roman"/>
        </w:rPr>
        <w:t xml:space="preserve">. Household demand included </w:t>
      </w:r>
      <w:r>
        <w:rPr>
          <w:rFonts w:ascii="Times New Roman" w:eastAsia="Times New Roman" w:hAnsi="Times New Roman" w:cs="Times New Roman"/>
          <w:b/>
          <w:bCs/>
        </w:rPr>
        <w:t>fuel wood (1,187,906.25 TJ)</w:t>
      </w:r>
      <w:r>
        <w:rPr>
          <w:rFonts w:ascii="Times New Roman" w:eastAsia="Times New Roman" w:hAnsi="Times New Roman" w:cs="Times New Roman"/>
        </w:rPr>
        <w:t xml:space="preserve">, </w:t>
      </w:r>
      <w:r>
        <w:rPr>
          <w:rFonts w:ascii="Times New Roman" w:eastAsia="Times New Roman" w:hAnsi="Times New Roman" w:cs="Times New Roman"/>
          <w:b/>
          <w:bCs/>
        </w:rPr>
        <w:t>charcoal (102,489.99 TJ)</w:t>
      </w:r>
      <w:r>
        <w:rPr>
          <w:rFonts w:ascii="Times New Roman" w:eastAsia="Times New Roman" w:hAnsi="Times New Roman" w:cs="Times New Roman"/>
        </w:rPr>
        <w:t xml:space="preserve">, and </w:t>
      </w:r>
      <w:r>
        <w:rPr>
          <w:rFonts w:ascii="Times New Roman" w:eastAsia="Times New Roman" w:hAnsi="Times New Roman" w:cs="Times New Roman"/>
          <w:b/>
          <w:bCs/>
        </w:rPr>
        <w:t>wastes or scraps (42,842.67 TJ)</w:t>
      </w:r>
      <w:r>
        <w:rPr>
          <w:rFonts w:ascii="Times New Roman" w:eastAsia="Times New Roman" w:hAnsi="Times New Roman" w:cs="Times New Roman"/>
        </w:rPr>
        <w:t xml:space="preserve">, underscoring the reliance on biomass for cooking and heating. Industry demand was comparatively small at </w:t>
      </w:r>
      <w:r>
        <w:rPr>
          <w:rFonts w:ascii="Times New Roman" w:eastAsia="Times New Roman" w:hAnsi="Times New Roman" w:cs="Times New Roman"/>
          <w:b/>
          <w:bCs/>
        </w:rPr>
        <w:t>12,041.42 TJ</w:t>
      </w:r>
      <w:r>
        <w:rPr>
          <w:rFonts w:ascii="Times New Roman" w:eastAsia="Times New Roman" w:hAnsi="Times New Roman" w:cs="Times New Roman"/>
        </w:rPr>
        <w:t>, reflecting limited use of renewable feedstocks outside household energy needs.</w:t>
      </w:r>
    </w:p>
    <w:p w14:paraId="0C6E6D0F" w14:textId="77777777" w:rsidR="00C4353F" w:rsidRDefault="00000000">
      <w:pPr>
        <w:spacing w:before="240" w:after="240"/>
      </w:pPr>
      <w:r>
        <w:rPr>
          <w:rFonts w:ascii="Times New Roman" w:eastAsia="Times New Roman" w:hAnsi="Times New Roman" w:cs="Times New Roman"/>
        </w:rPr>
        <w:lastRenderedPageBreak/>
        <w:t xml:space="preserve">Overall, the 2024 energy balance shows a sharp contrast: </w:t>
      </w:r>
      <w:r>
        <w:rPr>
          <w:rFonts w:ascii="Times New Roman" w:eastAsia="Times New Roman" w:hAnsi="Times New Roman" w:cs="Times New Roman"/>
          <w:b/>
          <w:bCs/>
        </w:rPr>
        <w:t>coal and coke remain niche fuels confined to industry</w:t>
      </w:r>
      <w:r>
        <w:rPr>
          <w:rFonts w:ascii="Times New Roman" w:eastAsia="Times New Roman" w:hAnsi="Times New Roman" w:cs="Times New Roman"/>
        </w:rPr>
        <w:t xml:space="preserve">, while </w:t>
      </w:r>
      <w:r>
        <w:rPr>
          <w:rFonts w:ascii="Times New Roman" w:eastAsia="Times New Roman" w:hAnsi="Times New Roman" w:cs="Times New Roman"/>
          <w:b/>
          <w:bCs/>
        </w:rPr>
        <w:t>renewable feedstocks are the dominant energy source for households</w:t>
      </w:r>
      <w:r>
        <w:rPr>
          <w:rFonts w:ascii="Times New Roman" w:eastAsia="Times New Roman" w:hAnsi="Times New Roman" w:cs="Times New Roman"/>
        </w:rPr>
        <w:t xml:space="preserve">, accounting for nearly all household energy consumption. This highlights both the </w:t>
      </w:r>
      <w:r>
        <w:rPr>
          <w:rFonts w:ascii="Times New Roman" w:eastAsia="Times New Roman" w:hAnsi="Times New Roman" w:cs="Times New Roman"/>
          <w:b/>
          <w:bCs/>
        </w:rPr>
        <w:t>industrial dependence on imported coal</w:t>
      </w:r>
      <w:r>
        <w:rPr>
          <w:rFonts w:ascii="Times New Roman" w:eastAsia="Times New Roman" w:hAnsi="Times New Roman" w:cs="Times New Roman"/>
        </w:rPr>
        <w:t xml:space="preserve"> and the </w:t>
      </w:r>
      <w:r>
        <w:rPr>
          <w:rFonts w:ascii="Times New Roman" w:eastAsia="Times New Roman" w:hAnsi="Times New Roman" w:cs="Times New Roman"/>
          <w:b/>
          <w:bCs/>
        </w:rPr>
        <w:t>household reliance on traditional biomass</w:t>
      </w:r>
      <w:r>
        <w:rPr>
          <w:rFonts w:ascii="Times New Roman" w:eastAsia="Times New Roman" w:hAnsi="Times New Roman" w:cs="Times New Roman"/>
        </w:rPr>
        <w:t>, raising important sustainability and efficiency considerations for future energy policy.</w:t>
      </w:r>
    </w:p>
    <w:p w14:paraId="035A9598" w14:textId="77777777" w:rsidR="00C4353F" w:rsidRDefault="00C4353F">
      <w:pPr>
        <w:spacing w:line="240" w:lineRule="auto"/>
        <w:rPr>
          <w:rFonts w:ascii="Times New Roman" w:eastAsia="Times New Roman" w:hAnsi="Times New Roman" w:cs="Times New Roman"/>
          <w:color w:val="000000"/>
        </w:rPr>
      </w:pPr>
    </w:p>
    <w:p w14:paraId="4529A416" w14:textId="77777777" w:rsidR="00C4353F" w:rsidRDefault="00000000">
      <w:pPr>
        <w:spacing w:line="240" w:lineRule="auto"/>
      </w:pPr>
      <w:r>
        <w:rPr>
          <w:rFonts w:ascii="Times New Roman" w:eastAsia="Times New Roman" w:hAnsi="Times New Roman" w:cs="Times New Roman"/>
          <w:color w:val="000000"/>
          <w:kern w:val="0"/>
        </w:rPr>
        <w:object w:dxaOrig="10380" w:dyaOrig="6525" w14:anchorId="498EA6DD">
          <v:shape id="Object 5" o:spid="_x0000_i1029" type="#_x0000_t75" style="width:519pt;height:326.25pt;visibility:visible;mso-wrap-style:square" o:ole="">
            <v:imagedata r:id="rId23" o:title=""/>
          </v:shape>
          <o:OLEObject Type="Embed" ProgID="Excel.Sheet.12" ShapeID="Object 5" DrawAspect="Content" ObjectID="_1832918083" r:id="rId24"/>
        </w:object>
      </w:r>
    </w:p>
    <w:p w14:paraId="6988BED9" w14:textId="77777777" w:rsidR="00C4353F" w:rsidRDefault="00C4353F">
      <w:pPr>
        <w:spacing w:line="240" w:lineRule="auto"/>
        <w:rPr>
          <w:rFonts w:ascii="Times New Roman" w:eastAsia="Times New Roman" w:hAnsi="Times New Roman" w:cs="Times New Roman"/>
          <w:color w:val="000000"/>
          <w:kern w:val="0"/>
        </w:rPr>
      </w:pPr>
    </w:p>
    <w:p w14:paraId="3E0E8963" w14:textId="77777777" w:rsidR="00C4353F" w:rsidRDefault="00C4353F">
      <w:pPr>
        <w:spacing w:line="240" w:lineRule="auto"/>
        <w:rPr>
          <w:rFonts w:ascii="Times New Roman" w:eastAsia="Times New Roman" w:hAnsi="Times New Roman" w:cs="Times New Roman"/>
          <w:color w:val="000000"/>
          <w:kern w:val="0"/>
        </w:rPr>
      </w:pPr>
    </w:p>
    <w:p w14:paraId="4EB96CC9" w14:textId="77777777" w:rsidR="00C4353F" w:rsidRDefault="00C4353F">
      <w:pPr>
        <w:spacing w:line="240" w:lineRule="auto"/>
        <w:rPr>
          <w:rFonts w:ascii="Times New Roman" w:eastAsia="Times New Roman" w:hAnsi="Times New Roman" w:cs="Times New Roman"/>
          <w:color w:val="000000"/>
          <w:kern w:val="0"/>
        </w:rPr>
      </w:pPr>
    </w:p>
    <w:p w14:paraId="3A8F4259" w14:textId="77777777" w:rsidR="00C4353F" w:rsidRDefault="00C4353F">
      <w:pPr>
        <w:spacing w:line="240" w:lineRule="auto"/>
        <w:rPr>
          <w:rFonts w:ascii="Times New Roman" w:eastAsia="Times New Roman" w:hAnsi="Times New Roman" w:cs="Times New Roman"/>
          <w:color w:val="000000"/>
          <w:kern w:val="0"/>
        </w:rPr>
      </w:pPr>
    </w:p>
    <w:p w14:paraId="24F11651" w14:textId="77777777" w:rsidR="00C4353F" w:rsidRDefault="00C4353F">
      <w:pPr>
        <w:spacing w:line="240" w:lineRule="auto"/>
        <w:rPr>
          <w:rFonts w:ascii="Times New Roman" w:eastAsia="Times New Roman" w:hAnsi="Times New Roman" w:cs="Times New Roman"/>
          <w:color w:val="000000"/>
          <w:kern w:val="0"/>
        </w:rPr>
      </w:pPr>
    </w:p>
    <w:p w14:paraId="4FF1EDED" w14:textId="77777777" w:rsidR="00C4353F" w:rsidRDefault="00C4353F">
      <w:pPr>
        <w:spacing w:line="240" w:lineRule="auto"/>
        <w:rPr>
          <w:rFonts w:ascii="Times New Roman" w:eastAsia="Times New Roman" w:hAnsi="Times New Roman" w:cs="Times New Roman"/>
          <w:color w:val="000000"/>
          <w:kern w:val="0"/>
        </w:rPr>
      </w:pPr>
    </w:p>
    <w:p w14:paraId="0F418866" w14:textId="77777777" w:rsidR="00C4353F" w:rsidRDefault="00C4353F">
      <w:pPr>
        <w:spacing w:line="240" w:lineRule="auto"/>
        <w:rPr>
          <w:rFonts w:ascii="Times New Roman" w:eastAsia="Times New Roman" w:hAnsi="Times New Roman" w:cs="Times New Roman"/>
          <w:color w:val="000000"/>
          <w:kern w:val="0"/>
        </w:rPr>
      </w:pPr>
    </w:p>
    <w:p w14:paraId="601A68BA" w14:textId="77777777" w:rsidR="00C4353F" w:rsidRDefault="00C4353F">
      <w:pPr>
        <w:spacing w:line="240" w:lineRule="auto"/>
        <w:rPr>
          <w:rFonts w:ascii="Times New Roman" w:eastAsia="Times New Roman" w:hAnsi="Times New Roman" w:cs="Times New Roman"/>
          <w:color w:val="000000"/>
          <w:kern w:val="0"/>
        </w:rPr>
      </w:pPr>
    </w:p>
    <w:p w14:paraId="70307FD5" w14:textId="77777777" w:rsidR="00C4353F" w:rsidRDefault="00C4353F">
      <w:pPr>
        <w:spacing w:line="240" w:lineRule="auto"/>
        <w:rPr>
          <w:rFonts w:ascii="Times New Roman" w:eastAsia="Times New Roman" w:hAnsi="Times New Roman" w:cs="Times New Roman"/>
          <w:color w:val="000000"/>
          <w:kern w:val="0"/>
        </w:rPr>
      </w:pPr>
    </w:p>
    <w:p w14:paraId="0FA50D89" w14:textId="77777777" w:rsidR="00C4353F" w:rsidRDefault="00C4353F">
      <w:pPr>
        <w:spacing w:line="240" w:lineRule="auto"/>
        <w:rPr>
          <w:rFonts w:ascii="Times New Roman" w:eastAsia="Times New Roman" w:hAnsi="Times New Roman" w:cs="Times New Roman"/>
          <w:color w:val="000000"/>
          <w:kern w:val="0"/>
        </w:rPr>
      </w:pPr>
    </w:p>
    <w:p w14:paraId="4A04FDB0"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Table…Supply and Demand of Electricity, 2024</w:t>
      </w:r>
    </w:p>
    <w:p w14:paraId="3C851644" w14:textId="77777777" w:rsidR="00C4353F" w:rsidRDefault="00000000">
      <w:pPr>
        <w:spacing w:line="240" w:lineRule="auto"/>
      </w:pPr>
      <w:r>
        <w:rPr>
          <w:rFonts w:ascii="Times New Roman" w:eastAsia="Times New Roman" w:hAnsi="Times New Roman" w:cs="Times New Roman"/>
          <w:color w:val="000000"/>
          <w:kern w:val="0"/>
        </w:rPr>
        <w:object w:dxaOrig="10320" w:dyaOrig="8595" w14:anchorId="00A44681">
          <v:shape id="Object 6" o:spid="_x0000_i1030" type="#_x0000_t75" style="width:516pt;height:429.75pt;visibility:visible;mso-wrap-style:square" o:ole="">
            <v:imagedata r:id="rId25" o:title=""/>
          </v:shape>
          <o:OLEObject Type="Embed" ProgID="Excel.Sheet.12" ShapeID="Object 6" DrawAspect="Content" ObjectID="_1832918084" r:id="rId26"/>
        </w:object>
      </w:r>
    </w:p>
    <w:p w14:paraId="58B3F390" w14:textId="77777777" w:rsidR="00C4353F" w:rsidRDefault="00C4353F">
      <w:pPr>
        <w:spacing w:line="240" w:lineRule="auto"/>
        <w:rPr>
          <w:rFonts w:ascii="Times New Roman" w:eastAsia="Times New Roman" w:hAnsi="Times New Roman" w:cs="Times New Roman"/>
          <w:color w:val="000000"/>
          <w:kern w:val="0"/>
        </w:rPr>
      </w:pPr>
    </w:p>
    <w:p w14:paraId="0A93B262" w14:textId="77777777" w:rsidR="00C4353F" w:rsidRDefault="00C4353F">
      <w:pPr>
        <w:spacing w:line="240" w:lineRule="auto"/>
        <w:rPr>
          <w:rFonts w:ascii="Times New Roman" w:eastAsia="Times New Roman" w:hAnsi="Times New Roman" w:cs="Times New Roman"/>
          <w:color w:val="000000"/>
          <w:kern w:val="0"/>
        </w:rPr>
      </w:pPr>
    </w:p>
    <w:p w14:paraId="5F2F0FA0" w14:textId="77777777" w:rsidR="00C4353F" w:rsidRDefault="00C4353F">
      <w:pPr>
        <w:spacing w:line="240" w:lineRule="auto"/>
        <w:rPr>
          <w:rFonts w:ascii="Times New Roman" w:eastAsia="Times New Roman" w:hAnsi="Times New Roman" w:cs="Times New Roman"/>
          <w:color w:val="000000"/>
          <w:kern w:val="0"/>
        </w:rPr>
      </w:pPr>
    </w:p>
    <w:p w14:paraId="2B77458B" w14:textId="77777777" w:rsidR="00C4353F" w:rsidRDefault="00C4353F">
      <w:pPr>
        <w:spacing w:line="240" w:lineRule="auto"/>
        <w:rPr>
          <w:rFonts w:ascii="Times New Roman" w:eastAsia="Times New Roman" w:hAnsi="Times New Roman" w:cs="Times New Roman"/>
          <w:color w:val="000000"/>
          <w:kern w:val="0"/>
        </w:rPr>
      </w:pPr>
    </w:p>
    <w:p w14:paraId="19B3A5DD" w14:textId="77777777" w:rsidR="00C4353F" w:rsidRDefault="00C4353F">
      <w:pPr>
        <w:spacing w:line="240" w:lineRule="auto"/>
        <w:rPr>
          <w:rFonts w:ascii="Times New Roman" w:eastAsia="Times New Roman" w:hAnsi="Times New Roman" w:cs="Times New Roman"/>
          <w:color w:val="000000"/>
          <w:kern w:val="0"/>
        </w:rPr>
      </w:pPr>
    </w:p>
    <w:p w14:paraId="1BEEC3E3" w14:textId="77777777" w:rsidR="00C4353F" w:rsidRDefault="00C4353F">
      <w:pPr>
        <w:spacing w:line="240" w:lineRule="auto"/>
        <w:rPr>
          <w:rFonts w:ascii="Times New Roman" w:eastAsia="Times New Roman" w:hAnsi="Times New Roman" w:cs="Times New Roman"/>
          <w:color w:val="000000"/>
          <w:kern w:val="0"/>
        </w:rPr>
      </w:pPr>
    </w:p>
    <w:p w14:paraId="31DDA293"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Table…Supply and Demand of Electricity, 2024</w:t>
      </w:r>
    </w:p>
    <w:p w14:paraId="1EB2A357" w14:textId="77777777" w:rsidR="00C4353F" w:rsidRDefault="00C4353F">
      <w:pPr>
        <w:spacing w:line="240" w:lineRule="auto"/>
        <w:rPr>
          <w:rFonts w:ascii="Times New Roman" w:eastAsia="Times New Roman" w:hAnsi="Times New Roman" w:cs="Times New Roman"/>
          <w:color w:val="000000"/>
          <w:kern w:val="0"/>
        </w:rPr>
      </w:pPr>
    </w:p>
    <w:p w14:paraId="46311473" w14:textId="77777777" w:rsidR="00C4353F" w:rsidRDefault="00C4353F">
      <w:pPr>
        <w:spacing w:line="240" w:lineRule="auto"/>
        <w:rPr>
          <w:rFonts w:ascii="Times New Roman" w:eastAsia="Times New Roman" w:hAnsi="Times New Roman" w:cs="Times New Roman"/>
          <w:color w:val="000000"/>
          <w:kern w:val="0"/>
        </w:rPr>
      </w:pPr>
    </w:p>
    <w:p w14:paraId="63EA636E" w14:textId="77777777" w:rsidR="00C4353F" w:rsidRDefault="00C4353F">
      <w:pPr>
        <w:spacing w:line="240" w:lineRule="auto"/>
        <w:rPr>
          <w:rFonts w:ascii="Times New Roman" w:eastAsia="Times New Roman" w:hAnsi="Times New Roman" w:cs="Times New Roman"/>
          <w:color w:val="000000"/>
          <w:kern w:val="0"/>
        </w:rPr>
      </w:pPr>
    </w:p>
    <w:p w14:paraId="31F56321" w14:textId="77777777" w:rsidR="00C4353F" w:rsidRDefault="00C4353F">
      <w:pPr>
        <w:spacing w:line="240" w:lineRule="auto"/>
        <w:rPr>
          <w:rFonts w:ascii="Times New Roman" w:eastAsia="Times New Roman" w:hAnsi="Times New Roman" w:cs="Times New Roman"/>
          <w:color w:val="000000"/>
          <w:kern w:val="0"/>
        </w:rPr>
      </w:pPr>
    </w:p>
    <w:p w14:paraId="2DE8BF9B" w14:textId="77777777" w:rsidR="00C4353F" w:rsidRDefault="00C4353F">
      <w:pPr>
        <w:spacing w:line="240" w:lineRule="auto"/>
        <w:rPr>
          <w:rFonts w:ascii="Times New Roman" w:eastAsia="Times New Roman" w:hAnsi="Times New Roman" w:cs="Times New Roman"/>
          <w:color w:val="000000"/>
          <w:kern w:val="0"/>
        </w:rPr>
      </w:pPr>
    </w:p>
    <w:p w14:paraId="550B763F" w14:textId="77777777" w:rsidR="00C4353F" w:rsidRDefault="00C4353F">
      <w:pPr>
        <w:spacing w:line="240" w:lineRule="auto"/>
        <w:rPr>
          <w:rFonts w:ascii="Times New Roman" w:eastAsia="Times New Roman" w:hAnsi="Times New Roman" w:cs="Times New Roman"/>
          <w:color w:val="000000"/>
          <w:kern w:val="0"/>
        </w:rPr>
      </w:pPr>
    </w:p>
    <w:p w14:paraId="33C44008" w14:textId="77777777" w:rsidR="00C4353F" w:rsidRDefault="00C4353F">
      <w:pPr>
        <w:spacing w:line="240" w:lineRule="auto"/>
        <w:rPr>
          <w:rFonts w:ascii="Times New Roman" w:eastAsia="Times New Roman" w:hAnsi="Times New Roman" w:cs="Times New Roman"/>
          <w:color w:val="000000"/>
          <w:kern w:val="0"/>
        </w:rPr>
      </w:pPr>
    </w:p>
    <w:p w14:paraId="0AD93106" w14:textId="77777777" w:rsidR="00C4353F" w:rsidRDefault="00C4353F">
      <w:pPr>
        <w:spacing w:line="240" w:lineRule="auto"/>
        <w:rPr>
          <w:rFonts w:ascii="Times New Roman" w:eastAsia="Times New Roman" w:hAnsi="Times New Roman" w:cs="Times New Roman"/>
          <w:color w:val="000000"/>
          <w:kern w:val="0"/>
        </w:rPr>
      </w:pPr>
    </w:p>
    <w:p w14:paraId="493A7CE9" w14:textId="77777777" w:rsidR="00C4353F" w:rsidRDefault="00C4353F">
      <w:pPr>
        <w:spacing w:line="240" w:lineRule="auto"/>
        <w:rPr>
          <w:rFonts w:ascii="Times New Roman" w:eastAsia="Times New Roman" w:hAnsi="Times New Roman" w:cs="Times New Roman"/>
          <w:color w:val="000000"/>
          <w:kern w:val="0"/>
        </w:rPr>
      </w:pPr>
    </w:p>
    <w:p w14:paraId="63D6C64B" w14:textId="77777777" w:rsidR="00C4353F" w:rsidRDefault="00C4353F">
      <w:pPr>
        <w:spacing w:line="240" w:lineRule="auto"/>
        <w:rPr>
          <w:rFonts w:ascii="Times New Roman" w:eastAsia="Times New Roman" w:hAnsi="Times New Roman" w:cs="Times New Roman"/>
          <w:color w:val="000000"/>
          <w:kern w:val="0"/>
        </w:rPr>
      </w:pPr>
    </w:p>
    <w:p w14:paraId="4182084F" w14:textId="77777777" w:rsidR="00C4353F" w:rsidRDefault="00C4353F">
      <w:pPr>
        <w:spacing w:line="240" w:lineRule="auto"/>
        <w:rPr>
          <w:rFonts w:ascii="Times New Roman" w:eastAsia="Times New Roman" w:hAnsi="Times New Roman" w:cs="Times New Roman"/>
          <w:color w:val="000000"/>
          <w:kern w:val="0"/>
        </w:rPr>
      </w:pPr>
    </w:p>
    <w:p w14:paraId="3485891B" w14:textId="77777777" w:rsidR="00C4353F" w:rsidRDefault="00C4353F">
      <w:pPr>
        <w:spacing w:line="240" w:lineRule="auto"/>
        <w:rPr>
          <w:rFonts w:ascii="Times New Roman" w:eastAsia="Times New Roman" w:hAnsi="Times New Roman" w:cs="Times New Roman"/>
          <w:color w:val="000000"/>
          <w:kern w:val="0"/>
        </w:rPr>
      </w:pPr>
    </w:p>
    <w:p w14:paraId="01E99273" w14:textId="77777777" w:rsidR="00C4353F" w:rsidRDefault="00C4353F">
      <w:pPr>
        <w:spacing w:line="240" w:lineRule="auto"/>
        <w:rPr>
          <w:rFonts w:ascii="Times New Roman" w:eastAsia="Times New Roman" w:hAnsi="Times New Roman" w:cs="Times New Roman"/>
          <w:color w:val="000000"/>
          <w:kern w:val="0"/>
        </w:rPr>
      </w:pPr>
    </w:p>
    <w:p w14:paraId="78A3FDBF" w14:textId="77777777" w:rsidR="00C4353F" w:rsidRDefault="00C4353F">
      <w:pPr>
        <w:spacing w:line="240" w:lineRule="auto"/>
        <w:rPr>
          <w:rFonts w:ascii="Times New Roman" w:eastAsia="Times New Roman" w:hAnsi="Times New Roman" w:cs="Times New Roman"/>
          <w:color w:val="000000"/>
          <w:kern w:val="0"/>
        </w:rPr>
      </w:pPr>
    </w:p>
    <w:p w14:paraId="464A7C87" w14:textId="77777777" w:rsidR="00C4353F" w:rsidRDefault="00C4353F">
      <w:pPr>
        <w:spacing w:line="240" w:lineRule="auto"/>
        <w:rPr>
          <w:rFonts w:ascii="Times New Roman" w:eastAsia="Times New Roman" w:hAnsi="Times New Roman" w:cs="Times New Roman"/>
          <w:color w:val="000000"/>
          <w:kern w:val="0"/>
        </w:rPr>
      </w:pPr>
    </w:p>
    <w:p w14:paraId="3298266E" w14:textId="77777777" w:rsidR="00C4353F" w:rsidRDefault="00C4353F">
      <w:pPr>
        <w:spacing w:line="240" w:lineRule="auto"/>
        <w:rPr>
          <w:rFonts w:ascii="Times New Roman" w:eastAsia="Times New Roman" w:hAnsi="Times New Roman" w:cs="Times New Roman"/>
          <w:color w:val="000000"/>
          <w:kern w:val="0"/>
        </w:rPr>
      </w:pPr>
    </w:p>
    <w:p w14:paraId="12070635" w14:textId="77777777" w:rsidR="00C4353F" w:rsidRDefault="00C4353F">
      <w:pPr>
        <w:spacing w:line="240" w:lineRule="auto"/>
        <w:rPr>
          <w:rFonts w:ascii="Times New Roman" w:eastAsia="Times New Roman" w:hAnsi="Times New Roman" w:cs="Times New Roman"/>
          <w:color w:val="000000"/>
          <w:kern w:val="0"/>
        </w:rPr>
      </w:pPr>
    </w:p>
    <w:p w14:paraId="3285D43B" w14:textId="77777777" w:rsidR="00C4353F" w:rsidRDefault="00C4353F">
      <w:pPr>
        <w:spacing w:line="240" w:lineRule="auto"/>
        <w:rPr>
          <w:rFonts w:ascii="Times New Roman" w:eastAsia="Times New Roman" w:hAnsi="Times New Roman" w:cs="Times New Roman"/>
          <w:color w:val="000000"/>
          <w:kern w:val="0"/>
        </w:rPr>
      </w:pPr>
    </w:p>
    <w:p w14:paraId="532B9F05" w14:textId="77777777" w:rsidR="00C4353F" w:rsidRDefault="00C4353F">
      <w:pPr>
        <w:spacing w:line="240" w:lineRule="auto"/>
        <w:rPr>
          <w:rFonts w:ascii="Times New Roman" w:eastAsia="Times New Roman" w:hAnsi="Times New Roman" w:cs="Times New Roman"/>
          <w:color w:val="000000"/>
          <w:kern w:val="0"/>
        </w:rPr>
      </w:pPr>
    </w:p>
    <w:p w14:paraId="4B805683" w14:textId="77777777" w:rsidR="00C4353F" w:rsidRDefault="00C4353F">
      <w:pPr>
        <w:spacing w:line="240" w:lineRule="auto"/>
        <w:rPr>
          <w:rFonts w:ascii="Times New Roman" w:eastAsia="Times New Roman" w:hAnsi="Times New Roman" w:cs="Times New Roman"/>
          <w:color w:val="000000"/>
          <w:kern w:val="0"/>
        </w:rPr>
        <w:sectPr w:rsidR="00C4353F">
          <w:headerReference w:type="default" r:id="rId27"/>
          <w:footerReference w:type="default" r:id="rId28"/>
          <w:pgSz w:w="12240" w:h="15840"/>
          <w:pgMar w:top="1440" w:right="1440" w:bottom="1440" w:left="1440" w:header="720" w:footer="720" w:gutter="0"/>
          <w:cols w:space="720"/>
        </w:sectPr>
      </w:pPr>
    </w:p>
    <w:p w14:paraId="1583B550"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lastRenderedPageBreak/>
        <w:t>Table…Supply and Demand of Petroleum Fuels, 2024</w:t>
      </w:r>
    </w:p>
    <w:p w14:paraId="78CF69BE" w14:textId="77777777" w:rsidR="00C4353F" w:rsidRDefault="00000000">
      <w:pPr>
        <w:spacing w:line="240" w:lineRule="auto"/>
      </w:pPr>
      <w:r>
        <w:rPr>
          <w:rFonts w:ascii="Times New Roman" w:eastAsia="Times New Roman" w:hAnsi="Times New Roman" w:cs="Times New Roman"/>
        </w:rPr>
        <w:t xml:space="preserve">In 2024, petroleum fuels accounted for </w:t>
      </w:r>
      <w:r>
        <w:rPr>
          <w:rFonts w:ascii="Times New Roman" w:eastAsia="Times New Roman" w:hAnsi="Times New Roman" w:cs="Times New Roman"/>
          <w:b/>
          <w:bCs/>
        </w:rPr>
        <w:t>0.8% of total energy consumption (23,371.7 TJ out of 2,804,336.4 TJ)</w:t>
      </w:r>
      <w:r>
        <w:rPr>
          <w:rFonts w:ascii="Times New Roman" w:eastAsia="Times New Roman" w:hAnsi="Times New Roman" w:cs="Times New Roman"/>
        </w:rPr>
        <w:t xml:space="preserve">, with the entire supply derived from imports. The supply mix included </w:t>
      </w:r>
      <w:r>
        <w:rPr>
          <w:rFonts w:ascii="Times New Roman" w:eastAsia="Times New Roman" w:hAnsi="Times New Roman" w:cs="Times New Roman"/>
          <w:b/>
          <w:bCs/>
        </w:rPr>
        <w:t>motor spirit (5,539.5 TJ)</w:t>
      </w:r>
      <w:r>
        <w:rPr>
          <w:rFonts w:ascii="Times New Roman" w:eastAsia="Times New Roman" w:hAnsi="Times New Roman" w:cs="Times New Roman"/>
        </w:rPr>
        <w:t xml:space="preserve">, </w:t>
      </w:r>
      <w:r>
        <w:rPr>
          <w:rFonts w:ascii="Times New Roman" w:eastAsia="Times New Roman" w:hAnsi="Times New Roman" w:cs="Times New Roman"/>
          <w:b/>
          <w:bCs/>
        </w:rPr>
        <w:t>jet fuel (3,156.8 TJ)</w:t>
      </w:r>
      <w:r>
        <w:rPr>
          <w:rFonts w:ascii="Times New Roman" w:eastAsia="Times New Roman" w:hAnsi="Times New Roman" w:cs="Times New Roman"/>
        </w:rPr>
        <w:t xml:space="preserve">, </w:t>
      </w:r>
      <w:r>
        <w:rPr>
          <w:rFonts w:ascii="Times New Roman" w:eastAsia="Times New Roman" w:hAnsi="Times New Roman" w:cs="Times New Roman"/>
          <w:b/>
          <w:bCs/>
        </w:rPr>
        <w:t>light diesel oil (9,979.6 TJ)</w:t>
      </w:r>
      <w:r>
        <w:rPr>
          <w:rFonts w:ascii="Times New Roman" w:eastAsia="Times New Roman" w:hAnsi="Times New Roman" w:cs="Times New Roman"/>
        </w:rPr>
        <w:t xml:space="preserve">, </w:t>
      </w:r>
      <w:r>
        <w:rPr>
          <w:rFonts w:ascii="Times New Roman" w:eastAsia="Times New Roman" w:hAnsi="Times New Roman" w:cs="Times New Roman"/>
          <w:b/>
          <w:bCs/>
        </w:rPr>
        <w:t>heavy diesel oil (1,300.6 TJ)</w:t>
      </w:r>
      <w:r>
        <w:rPr>
          <w:rFonts w:ascii="Times New Roman" w:eastAsia="Times New Roman" w:hAnsi="Times New Roman" w:cs="Times New Roman"/>
        </w:rPr>
        <w:t xml:space="preserve">, </w:t>
      </w:r>
      <w:r>
        <w:rPr>
          <w:rFonts w:ascii="Times New Roman" w:eastAsia="Times New Roman" w:hAnsi="Times New Roman" w:cs="Times New Roman"/>
          <w:b/>
          <w:bCs/>
        </w:rPr>
        <w:t>fuel oils (1,000.3 TJ)</w:t>
      </w:r>
      <w:r>
        <w:rPr>
          <w:rFonts w:ascii="Times New Roman" w:eastAsia="Times New Roman" w:hAnsi="Times New Roman" w:cs="Times New Roman"/>
        </w:rPr>
        <w:t xml:space="preserve">, </w:t>
      </w:r>
      <w:r>
        <w:rPr>
          <w:rFonts w:ascii="Times New Roman" w:eastAsia="Times New Roman" w:hAnsi="Times New Roman" w:cs="Times New Roman"/>
          <w:b/>
          <w:bCs/>
        </w:rPr>
        <w:t>liquefied petroleum gas (LPG, 1,895 TJ)</w:t>
      </w:r>
      <w:r>
        <w:rPr>
          <w:rFonts w:ascii="Times New Roman" w:eastAsia="Times New Roman" w:hAnsi="Times New Roman" w:cs="Times New Roman"/>
        </w:rPr>
        <w:t xml:space="preserve">, </w:t>
      </w:r>
      <w:r>
        <w:rPr>
          <w:rFonts w:ascii="Times New Roman" w:eastAsia="Times New Roman" w:hAnsi="Times New Roman" w:cs="Times New Roman"/>
          <w:b/>
          <w:bCs/>
        </w:rPr>
        <w:t>kerosene (98.4 TJ)</w:t>
      </w:r>
      <w:r>
        <w:rPr>
          <w:rFonts w:ascii="Times New Roman" w:eastAsia="Times New Roman" w:hAnsi="Times New Roman" w:cs="Times New Roman"/>
        </w:rPr>
        <w:t xml:space="preserve">, and </w:t>
      </w:r>
      <w:r>
        <w:rPr>
          <w:rFonts w:ascii="Times New Roman" w:eastAsia="Times New Roman" w:hAnsi="Times New Roman" w:cs="Times New Roman"/>
          <w:b/>
          <w:bCs/>
        </w:rPr>
        <w:t>lubricants (401.5 TJ combined)</w:t>
      </w:r>
      <w:r>
        <w:rPr>
          <w:rFonts w:ascii="Times New Roman" w:eastAsia="Times New Roman" w:hAnsi="Times New Roman" w:cs="Times New Roman"/>
        </w:rPr>
        <w:t xml:space="preserve">, while white spirit and aviation gasoline were imported in minimal quantities. On the demand side, transport and manufacturing dominated petroleum use, with </w:t>
      </w:r>
      <w:r>
        <w:rPr>
          <w:rFonts w:ascii="Times New Roman" w:eastAsia="Times New Roman" w:hAnsi="Times New Roman" w:cs="Times New Roman"/>
          <w:b/>
          <w:bCs/>
        </w:rPr>
        <w:t>road transport consuming 3,006.3 TJ of motor spirit and diesel</w:t>
      </w:r>
      <w:r>
        <w:rPr>
          <w:rFonts w:ascii="Times New Roman" w:eastAsia="Times New Roman" w:hAnsi="Times New Roman" w:cs="Times New Roman"/>
        </w:rPr>
        <w:t xml:space="preserve"> and </w:t>
      </w:r>
      <w:r>
        <w:rPr>
          <w:rFonts w:ascii="Times New Roman" w:eastAsia="Times New Roman" w:hAnsi="Times New Roman" w:cs="Times New Roman"/>
          <w:b/>
          <w:bCs/>
        </w:rPr>
        <w:t>air transport using 3,056.4 TJ of jet fuel</w:t>
      </w:r>
      <w:r>
        <w:rPr>
          <w:rFonts w:ascii="Times New Roman" w:eastAsia="Times New Roman" w:hAnsi="Times New Roman" w:cs="Times New Roman"/>
        </w:rPr>
        <w:t xml:space="preserve">, while industry relied on </w:t>
      </w:r>
      <w:r>
        <w:rPr>
          <w:rFonts w:ascii="Times New Roman" w:eastAsia="Times New Roman" w:hAnsi="Times New Roman" w:cs="Times New Roman"/>
          <w:b/>
          <w:bCs/>
        </w:rPr>
        <w:t>1,300.6 TJ of heavy diesel</w:t>
      </w:r>
      <w:r>
        <w:rPr>
          <w:rFonts w:ascii="Times New Roman" w:eastAsia="Times New Roman" w:hAnsi="Times New Roman" w:cs="Times New Roman"/>
        </w:rPr>
        <w:t xml:space="preserve">, </w:t>
      </w:r>
      <w:r>
        <w:rPr>
          <w:rFonts w:ascii="Times New Roman" w:eastAsia="Times New Roman" w:hAnsi="Times New Roman" w:cs="Times New Roman"/>
          <w:b/>
          <w:bCs/>
        </w:rPr>
        <w:t>212.9 TJ of LPG</w:t>
      </w:r>
      <w:r>
        <w:rPr>
          <w:rFonts w:ascii="Times New Roman" w:eastAsia="Times New Roman" w:hAnsi="Times New Roman" w:cs="Times New Roman"/>
        </w:rPr>
        <w:t xml:space="preserve">, and </w:t>
      </w:r>
      <w:r>
        <w:rPr>
          <w:rFonts w:ascii="Times New Roman" w:eastAsia="Times New Roman" w:hAnsi="Times New Roman" w:cs="Times New Roman"/>
          <w:b/>
          <w:bCs/>
        </w:rPr>
        <w:t>194.5 TJ of lubricants</w:t>
      </w:r>
      <w:r>
        <w:rPr>
          <w:rFonts w:ascii="Times New Roman" w:eastAsia="Times New Roman" w:hAnsi="Times New Roman" w:cs="Times New Roman"/>
        </w:rPr>
        <w:t xml:space="preserve">, alongside </w:t>
      </w:r>
      <w:r>
        <w:rPr>
          <w:rFonts w:ascii="Times New Roman" w:eastAsia="Times New Roman" w:hAnsi="Times New Roman" w:cs="Times New Roman"/>
          <w:b/>
          <w:bCs/>
        </w:rPr>
        <w:t>747 TJ in electricity and steam supply</w:t>
      </w:r>
      <w:r>
        <w:rPr>
          <w:rFonts w:ascii="Times New Roman" w:eastAsia="Times New Roman" w:hAnsi="Times New Roman" w:cs="Times New Roman"/>
        </w:rPr>
        <w:t xml:space="preserve">. Households contributed a smaller but notable share, consuming </w:t>
      </w:r>
      <w:r>
        <w:rPr>
          <w:rFonts w:ascii="Times New Roman" w:eastAsia="Times New Roman" w:hAnsi="Times New Roman" w:cs="Times New Roman"/>
          <w:b/>
          <w:bCs/>
        </w:rPr>
        <w:t>475.3 TJ of motor spirit</w:t>
      </w:r>
      <w:r>
        <w:rPr>
          <w:rFonts w:ascii="Times New Roman" w:eastAsia="Times New Roman" w:hAnsi="Times New Roman" w:cs="Times New Roman"/>
        </w:rPr>
        <w:t xml:space="preserve">, </w:t>
      </w:r>
      <w:r>
        <w:rPr>
          <w:rFonts w:ascii="Times New Roman" w:eastAsia="Times New Roman" w:hAnsi="Times New Roman" w:cs="Times New Roman"/>
          <w:b/>
          <w:bCs/>
        </w:rPr>
        <w:t>716 TJ of diesel</w:t>
      </w:r>
      <w:r>
        <w:rPr>
          <w:rFonts w:ascii="Times New Roman" w:eastAsia="Times New Roman" w:hAnsi="Times New Roman" w:cs="Times New Roman"/>
        </w:rPr>
        <w:t xml:space="preserve">, and </w:t>
      </w:r>
      <w:r>
        <w:rPr>
          <w:rFonts w:ascii="Times New Roman" w:eastAsia="Times New Roman" w:hAnsi="Times New Roman" w:cs="Times New Roman"/>
          <w:b/>
          <w:bCs/>
        </w:rPr>
        <w:t>455.1 TJ of LPG</w:t>
      </w:r>
      <w:r>
        <w:rPr>
          <w:rFonts w:ascii="Times New Roman" w:eastAsia="Times New Roman" w:hAnsi="Times New Roman" w:cs="Times New Roman"/>
        </w:rPr>
        <w:t xml:space="preserve">, mainly for cooking and limited transport use, while other sectors such as agriculture, construction, services, and public administration recorded moderate consumption, primarily of diesel and lubricants. While modest in overall share compared to biomass, petroleum fuels remain critical for </w:t>
      </w:r>
      <w:r>
        <w:rPr>
          <w:rFonts w:ascii="Times New Roman" w:eastAsia="Times New Roman" w:hAnsi="Times New Roman" w:cs="Times New Roman"/>
          <w:b/>
          <w:bCs/>
        </w:rPr>
        <w:t>mobility, industrial operations, and urban household needs</w:t>
      </w:r>
      <w:r>
        <w:rPr>
          <w:rFonts w:ascii="Times New Roman" w:eastAsia="Times New Roman" w:hAnsi="Times New Roman" w:cs="Times New Roman"/>
        </w:rPr>
        <w:t xml:space="preserve">, underscoring their role as a </w:t>
      </w:r>
      <w:r>
        <w:rPr>
          <w:rFonts w:ascii="Times New Roman" w:eastAsia="Times New Roman" w:hAnsi="Times New Roman" w:cs="Times New Roman"/>
          <w:b/>
          <w:bCs/>
        </w:rPr>
        <w:t>strategic, high-value energy source</w:t>
      </w:r>
      <w:r>
        <w:rPr>
          <w:rFonts w:ascii="Times New Roman" w:eastAsia="Times New Roman" w:hAnsi="Times New Roman" w:cs="Times New Roman"/>
        </w:rPr>
        <w:t xml:space="preserve"> despite their relatively small footprint in the national energy balance.</w:t>
      </w:r>
    </w:p>
    <w:p w14:paraId="48189A41" w14:textId="77777777" w:rsidR="00C4353F" w:rsidRDefault="00000000">
      <w:pPr>
        <w:spacing w:line="240" w:lineRule="auto"/>
        <w:sectPr w:rsidR="00C4353F">
          <w:headerReference w:type="default" r:id="rId29"/>
          <w:footerReference w:type="default" r:id="rId30"/>
          <w:pgSz w:w="15840" w:h="12240" w:orient="landscape"/>
          <w:pgMar w:top="1440" w:right="1440" w:bottom="1440" w:left="1440" w:header="720" w:footer="720" w:gutter="0"/>
          <w:cols w:space="720"/>
        </w:sectPr>
      </w:pPr>
      <w:r>
        <w:rPr>
          <w:rFonts w:ascii="Times New Roman" w:eastAsia="Times New Roman" w:hAnsi="Times New Roman" w:cs="Times New Roman"/>
          <w:color w:val="000000"/>
          <w:kern w:val="0"/>
        </w:rPr>
        <w:object w:dxaOrig="18915" w:dyaOrig="7335" w14:anchorId="39316AA7">
          <v:shape id="Object 7" o:spid="_x0000_i1031" type="#_x0000_t75" style="width:945.75pt;height:366.75pt;visibility:visible;mso-wrap-style:square" o:ole="">
            <v:imagedata r:id="rId31" o:title=""/>
          </v:shape>
          <o:OLEObject Type="Embed" ProgID="Excel.Sheet.12" ShapeID="Object 7" DrawAspect="Content" ObjectID="_1832918085" r:id="rId32"/>
        </w:object>
      </w:r>
    </w:p>
    <w:p w14:paraId="72E28FBE" w14:textId="401D4583" w:rsidR="00C4353F" w:rsidRDefault="00000000" w:rsidP="00F126EF">
      <w:pPr>
        <w:pStyle w:val="Heading1"/>
      </w:pPr>
      <w:r>
        <w:lastRenderedPageBreak/>
        <w:t xml:space="preserve"> </w:t>
      </w:r>
      <w:bookmarkStart w:id="17" w:name="_Toc219801431"/>
      <w:r>
        <w:t>MONETARY ENERGY ACCOUNTS</w:t>
      </w:r>
      <w:bookmarkEnd w:id="17"/>
      <w:r>
        <w:t xml:space="preserve"> </w:t>
      </w:r>
    </w:p>
    <w:p w14:paraId="78B16DF2" w14:textId="77777777" w:rsidR="00C4353F" w:rsidRDefault="00000000">
      <w:pP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Monetary accounts complement physical accounts by attaching economic value to energy stocks and flows. Using the National Capital Accounting tools, value of energy resources, value at production, transformation and use level as well as value of losses and waste are computed and recorded in monetary terms. This enables the integration of energy-related revenues, costs, taxes, subsidies, imports, and export value into economic statistics while monitoring their implications on policies. This supports evidence-based planning and fiscal sustainability while promoting environmental conservation.  These energy-related transactions are aligned with SNA through monetary supply and use tables. </w:t>
      </w:r>
    </w:p>
    <w:p w14:paraId="49D3DBEB" w14:textId="77777777" w:rsidR="00C4353F" w:rsidRDefault="00000000">
      <w:pPr>
        <w:spacing w:line="240" w:lineRule="auto"/>
        <w:jc w:val="both"/>
      </w:pPr>
      <w:r>
        <w:rPr>
          <w:rFonts w:ascii="Times New Roman" w:eastAsia="Times New Roman" w:hAnsi="Times New Roman" w:cs="Times New Roman"/>
          <w:color w:val="000000"/>
        </w:rPr>
        <w:t>The monetary supply table tracks the value of energy products from domestic production and imports at basic prices. It also presents, for each type of energy product and the sum of taxes less subsidies, and trade and transport margins. The monetary use tables track the value of energy products consumed locally or exported at current market price. It also includes intermediate consumption by industries and other uses including household consumption, exports and accumulation.</w:t>
      </w:r>
    </w:p>
    <w:p w14:paraId="5FA89BB6" w14:textId="77777777" w:rsidR="00C4353F" w:rsidRDefault="00C4353F">
      <w:pPr>
        <w:spacing w:line="240" w:lineRule="auto"/>
        <w:jc w:val="both"/>
        <w:rPr>
          <w:rFonts w:ascii="Times New Roman" w:eastAsia="Times New Roman" w:hAnsi="Times New Roman" w:cs="Times New Roman"/>
          <w:color w:val="000000"/>
        </w:rPr>
      </w:pPr>
    </w:p>
    <w:p w14:paraId="626A910C" w14:textId="77777777" w:rsidR="00C4353F" w:rsidRDefault="00000000">
      <w:pP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PROPORTIONS OF MONETARY ENERGY SUPPLY</w:t>
      </w:r>
    </w:p>
    <w:p w14:paraId="2D4B63D5" w14:textId="77777777" w:rsidR="00C4353F" w:rsidRDefault="00000000">
      <w:pPr>
        <w:spacing w:line="240" w:lineRule="auto"/>
        <w:jc w:val="both"/>
      </w:pPr>
      <w:r>
        <w:rPr>
          <w:rFonts w:ascii="Times New Roman" w:eastAsia="Times New Roman" w:hAnsi="Times New Roman" w:cs="Times New Roman"/>
          <w:color w:val="000000"/>
        </w:rPr>
        <w:t xml:space="preserve"> </w:t>
      </w:r>
      <w:r>
        <w:rPr>
          <w:noProof/>
        </w:rPr>
        <w:drawing>
          <wp:inline distT="0" distB="0" distL="0" distR="0" wp14:anchorId="37D54D74" wp14:editId="0D0936B5">
            <wp:extent cx="5308969" cy="2831915"/>
            <wp:effectExtent l="0" t="0" r="5981" b="6535"/>
            <wp:docPr id="170269793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308969" cy="2831915"/>
                    </a:xfrm>
                    <a:prstGeom prst="rect">
                      <a:avLst/>
                    </a:prstGeom>
                    <a:noFill/>
                    <a:ln>
                      <a:noFill/>
                      <a:prstDash/>
                    </a:ln>
                  </pic:spPr>
                </pic:pic>
              </a:graphicData>
            </a:graphic>
          </wp:inline>
        </w:drawing>
      </w:r>
    </w:p>
    <w:p w14:paraId="4041C07D" w14:textId="77777777" w:rsidR="00C4353F" w:rsidRDefault="00000000">
      <w:pPr>
        <w:spacing w:line="240" w:lineRule="auto"/>
        <w:jc w:val="both"/>
      </w:pPr>
      <w:r>
        <w:rPr>
          <w:rFonts w:ascii="Times New Roman" w:eastAsia="Times New Roman" w:hAnsi="Times New Roman" w:cs="Times New Roman"/>
          <w:color w:val="000000"/>
          <w:shd w:val="clear" w:color="auto" w:fill="FFFF00"/>
        </w:rPr>
        <w:t>Table…. And Table....</w:t>
      </w:r>
      <w:r>
        <w:rPr>
          <w:rFonts w:ascii="Times New Roman" w:eastAsia="Times New Roman" w:hAnsi="Times New Roman" w:cs="Times New Roman"/>
          <w:color w:val="000000"/>
        </w:rPr>
        <w:t>presents the Monetary Supply Table and Monetary Use Table for Energy respectively for 2024. In the period under review, the country’s total energy supply and use was valued at Kshs. 4,042,096,881,569. Supply and use from Natural Resources and Input accounted for Kshs. 855,677,474,238 (21.17%), from Petroleum accounted for Kshs. 1,319,573,495,081 (32.65%), from Electricity accounted for Kshs. 239,346,270,106 (5.92%), from Biomass accounted for Kshs. 1,544,209,131,950 (38.20%) and residuals accounted for Kshs. 83,290,519,193 (2.06%) of the total energy use.</w:t>
      </w:r>
      <w:r>
        <w:rPr>
          <w:rFonts w:ascii="Times New Roman" w:eastAsia="Times New Roman" w:hAnsi="Times New Roman" w:cs="Times New Roman"/>
          <w:color w:val="000000"/>
          <w:shd w:val="clear" w:color="auto" w:fill="FFFF00"/>
        </w:rPr>
        <w:t xml:space="preserve"> </w:t>
      </w:r>
      <w:r>
        <w:rPr>
          <w:rFonts w:ascii="Times New Roman" w:eastAsia="Times New Roman" w:hAnsi="Times New Roman" w:cs="Times New Roman"/>
          <w:shd w:val="clear" w:color="auto" w:fill="FFFF00"/>
        </w:rPr>
        <w:t xml:space="preserve">Energy residuals comprise energy losses and </w:t>
      </w:r>
      <w:r>
        <w:rPr>
          <w:rFonts w:ascii="Times New Roman" w:eastAsia="Times New Roman" w:hAnsi="Times New Roman" w:cs="Times New Roman"/>
          <w:shd w:val="clear" w:color="auto" w:fill="FFFF00"/>
        </w:rPr>
        <w:lastRenderedPageBreak/>
        <w:t>waste. In this report, Energy losses account for losses during electricity transmission and distribution while the reported waste is from Biomass use.</w:t>
      </w:r>
    </w:p>
    <w:p w14:paraId="35825AA5" w14:textId="77777777" w:rsidR="00C4353F" w:rsidRDefault="00C4353F">
      <w:pPr>
        <w:spacing w:line="240" w:lineRule="auto"/>
        <w:jc w:val="both"/>
        <w:rPr>
          <w:rFonts w:ascii="Times New Roman" w:eastAsia="Times New Roman" w:hAnsi="Times New Roman" w:cs="Times New Roman"/>
          <w:shd w:val="clear" w:color="auto" w:fill="FFFF00"/>
        </w:rPr>
      </w:pPr>
    </w:p>
    <w:p w14:paraId="64DC409C" w14:textId="77777777" w:rsidR="00C4353F" w:rsidRDefault="00C4353F">
      <w:pPr>
        <w:spacing w:line="240" w:lineRule="auto"/>
        <w:jc w:val="both"/>
        <w:rPr>
          <w:rFonts w:ascii="Times New Roman" w:eastAsia="Times New Roman" w:hAnsi="Times New Roman" w:cs="Times New Roman"/>
          <w:shd w:val="clear" w:color="auto" w:fill="FFFF00"/>
        </w:rPr>
      </w:pPr>
    </w:p>
    <w:p w14:paraId="70A78440" w14:textId="77777777" w:rsidR="00C4353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Flows from the environment accounted for the largest energy supply valued at Kshs. 855,677,218,784 (...%), followed by supply from households valued at Kshs.624,485,278,248 (...%). Followed by Industries valued at Kshs. 105,116,688,258 (...%). Imports accounted for Kshs. 18,207,410,723.</w:t>
      </w:r>
    </w:p>
    <w:p w14:paraId="65897473" w14:textId="77777777" w:rsidR="00C4353F" w:rsidRDefault="00000000">
      <w:pPr>
        <w:spacing w:line="240" w:lineRule="auto"/>
        <w:jc w:val="both"/>
      </w:pPr>
      <w:r>
        <w:rPr>
          <w:rFonts w:ascii="Times New Roman" w:eastAsia="Times New Roman" w:hAnsi="Times New Roman" w:cs="Times New Roman"/>
        </w:rPr>
        <w:t>Electricity, gas, steam &amp; air conditioning supply industry accounted for the largest energy supply from industries, supplying electricity valued at Kshs. 101,070,352,639, followed by Agriculture, Forestry &amp; Fishery industry that supplied biomass valued at Kshs. 4,046,080,165 and Biofuel valued at Kshs. 255,455 then Manufacturing that supplied Lubricating oils valued at Kshs. 13,048,963.</w:t>
      </w:r>
    </w:p>
    <w:p w14:paraId="65453A83" w14:textId="77777777" w:rsidR="00C4353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Households accounted for the largest energy use valued at Kshs. 2,493,491,688,003 (...%), followed by use by industries valued at Kshs.1,451,548,270,146(...%). Followed by exports valued at Kshs. 237,803,227,309 (...%).  Flows back to the environment were valued at Kshs. 83,290,510,193.</w:t>
      </w:r>
    </w:p>
    <w:p w14:paraId="2BE2B285" w14:textId="77777777" w:rsidR="00C4353F"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Transport and Storage Industry accounted for the largest energy use from industries, having used petroleum products valued at Kshs. 550,665,396,251, followed by Other commercial sector that used petroleum products valued at Kshs. 379,771,501,930, followed by the manufacturing industry whose use was valued at Kshs. 144,392,639,029 from petroleum products and biomass and Electricity, gas, steam &amp; air conditioning supply accounted for use valued at  Kshs. 111,959,762,457 from petroleum products, natural resources and other input.</w:t>
      </w:r>
    </w:p>
    <w:p w14:paraId="32E7669E" w14:textId="77777777" w:rsidR="00C4353F" w:rsidRDefault="00C4353F">
      <w:pPr>
        <w:spacing w:line="240" w:lineRule="auto"/>
        <w:rPr>
          <w:rFonts w:ascii="Times New Roman" w:eastAsia="Times New Roman" w:hAnsi="Times New Roman" w:cs="Times New Roman"/>
          <w:color w:val="000000"/>
          <w:kern w:val="0"/>
        </w:rPr>
      </w:pPr>
    </w:p>
    <w:p w14:paraId="72588E1E" w14:textId="77777777" w:rsidR="00C4353F" w:rsidRDefault="00C4353F">
      <w:pPr>
        <w:spacing w:line="240" w:lineRule="auto"/>
        <w:rPr>
          <w:rFonts w:ascii="Times New Roman" w:eastAsia="Times New Roman" w:hAnsi="Times New Roman" w:cs="Times New Roman"/>
          <w:color w:val="000000"/>
          <w:kern w:val="0"/>
        </w:rPr>
      </w:pPr>
    </w:p>
    <w:p w14:paraId="4A51031E" w14:textId="77777777" w:rsidR="00C4353F" w:rsidRDefault="00C4353F">
      <w:pPr>
        <w:spacing w:line="240" w:lineRule="auto"/>
        <w:rPr>
          <w:rFonts w:ascii="Times New Roman" w:eastAsia="Times New Roman" w:hAnsi="Times New Roman" w:cs="Times New Roman"/>
          <w:color w:val="000000"/>
          <w:kern w:val="0"/>
        </w:rPr>
      </w:pPr>
    </w:p>
    <w:p w14:paraId="20F1773C" w14:textId="77777777" w:rsidR="00C4353F" w:rsidRDefault="00C4353F">
      <w:pPr>
        <w:spacing w:line="240" w:lineRule="auto"/>
        <w:rPr>
          <w:rFonts w:ascii="Times New Roman" w:eastAsia="Times New Roman" w:hAnsi="Times New Roman" w:cs="Times New Roman"/>
          <w:color w:val="000000"/>
          <w:kern w:val="0"/>
        </w:rPr>
      </w:pPr>
    </w:p>
    <w:p w14:paraId="6A77EA66" w14:textId="77777777" w:rsidR="00C4353F" w:rsidRDefault="00C4353F">
      <w:pPr>
        <w:spacing w:line="240" w:lineRule="auto"/>
        <w:rPr>
          <w:rFonts w:ascii="Times New Roman" w:eastAsia="Times New Roman" w:hAnsi="Times New Roman" w:cs="Times New Roman"/>
          <w:color w:val="000000"/>
          <w:kern w:val="0"/>
        </w:rPr>
      </w:pPr>
    </w:p>
    <w:p w14:paraId="15682E56" w14:textId="77777777" w:rsidR="00C4353F" w:rsidRDefault="00C4353F">
      <w:pPr>
        <w:spacing w:line="240" w:lineRule="auto"/>
        <w:rPr>
          <w:rFonts w:ascii="Times New Roman" w:eastAsia="Times New Roman" w:hAnsi="Times New Roman" w:cs="Times New Roman"/>
          <w:color w:val="000000"/>
          <w:kern w:val="0"/>
        </w:rPr>
      </w:pPr>
    </w:p>
    <w:p w14:paraId="58C66691" w14:textId="77777777" w:rsidR="00C4353F" w:rsidRDefault="00C4353F">
      <w:pPr>
        <w:spacing w:line="240" w:lineRule="auto"/>
        <w:rPr>
          <w:rFonts w:ascii="Times New Roman" w:eastAsia="Times New Roman" w:hAnsi="Times New Roman" w:cs="Times New Roman"/>
          <w:color w:val="000000"/>
          <w:kern w:val="0"/>
        </w:rPr>
      </w:pPr>
    </w:p>
    <w:p w14:paraId="4E59B3E6" w14:textId="77777777" w:rsidR="00C4353F" w:rsidRDefault="00C4353F">
      <w:pPr>
        <w:spacing w:line="240" w:lineRule="auto"/>
        <w:rPr>
          <w:rFonts w:ascii="Times New Roman" w:eastAsia="Times New Roman" w:hAnsi="Times New Roman" w:cs="Times New Roman"/>
          <w:color w:val="000000"/>
          <w:kern w:val="0"/>
        </w:rPr>
      </w:pPr>
    </w:p>
    <w:p w14:paraId="6257559F" w14:textId="77777777" w:rsidR="00C4353F" w:rsidRDefault="00C4353F">
      <w:pPr>
        <w:spacing w:line="240" w:lineRule="auto"/>
        <w:rPr>
          <w:rFonts w:ascii="Times New Roman" w:eastAsia="Times New Roman" w:hAnsi="Times New Roman" w:cs="Times New Roman"/>
          <w:color w:val="000000"/>
          <w:kern w:val="0"/>
        </w:rPr>
      </w:pPr>
    </w:p>
    <w:p w14:paraId="4B7C9126" w14:textId="77777777" w:rsidR="00C4353F" w:rsidRDefault="00C4353F">
      <w:pPr>
        <w:spacing w:line="240" w:lineRule="auto"/>
        <w:rPr>
          <w:rFonts w:ascii="Times New Roman" w:eastAsia="Times New Roman" w:hAnsi="Times New Roman" w:cs="Times New Roman"/>
          <w:color w:val="000000"/>
          <w:kern w:val="0"/>
        </w:rPr>
      </w:pPr>
    </w:p>
    <w:p w14:paraId="04D93739" w14:textId="77777777" w:rsidR="00C4353F" w:rsidRDefault="00C4353F">
      <w:pPr>
        <w:spacing w:line="240" w:lineRule="auto"/>
        <w:rPr>
          <w:rFonts w:ascii="Times New Roman" w:eastAsia="Times New Roman" w:hAnsi="Times New Roman" w:cs="Times New Roman"/>
          <w:color w:val="000000"/>
          <w:kern w:val="0"/>
        </w:rPr>
      </w:pPr>
    </w:p>
    <w:p w14:paraId="1C284613" w14:textId="77777777" w:rsidR="00C4353F" w:rsidRDefault="00C4353F">
      <w:pPr>
        <w:spacing w:line="240" w:lineRule="auto"/>
        <w:rPr>
          <w:rFonts w:ascii="Times New Roman" w:eastAsia="Times New Roman" w:hAnsi="Times New Roman" w:cs="Times New Roman"/>
          <w:color w:val="000000"/>
          <w:kern w:val="0"/>
        </w:rPr>
      </w:pPr>
    </w:p>
    <w:p w14:paraId="5014FB80" w14:textId="77777777" w:rsidR="00C4353F" w:rsidRDefault="00C4353F">
      <w:pPr>
        <w:spacing w:line="240" w:lineRule="auto"/>
        <w:rPr>
          <w:rFonts w:ascii="Times New Roman" w:eastAsia="Times New Roman" w:hAnsi="Times New Roman" w:cs="Times New Roman"/>
          <w:color w:val="000000"/>
          <w:kern w:val="0"/>
        </w:rPr>
      </w:pPr>
    </w:p>
    <w:p w14:paraId="50014AF8" w14:textId="77777777" w:rsidR="00C4353F" w:rsidRDefault="00C4353F">
      <w:pPr>
        <w:spacing w:line="240" w:lineRule="auto"/>
        <w:rPr>
          <w:rFonts w:ascii="Times New Roman" w:eastAsia="Times New Roman" w:hAnsi="Times New Roman" w:cs="Times New Roman"/>
          <w:color w:val="000000"/>
          <w:kern w:val="0"/>
        </w:rPr>
        <w:sectPr w:rsidR="00C4353F">
          <w:headerReference w:type="default" r:id="rId34"/>
          <w:footerReference w:type="default" r:id="rId35"/>
          <w:pgSz w:w="12240" w:h="15840"/>
          <w:pgMar w:top="1440" w:right="1440" w:bottom="1440" w:left="1440" w:header="720" w:footer="720" w:gutter="0"/>
          <w:cols w:space="720"/>
        </w:sectPr>
      </w:pPr>
    </w:p>
    <w:p w14:paraId="5CA5F464"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lastRenderedPageBreak/>
        <w:t>Table….Monetary Supply Table for Energy</w:t>
      </w:r>
    </w:p>
    <w:p w14:paraId="659D9A89" w14:textId="77777777" w:rsidR="00C4353F" w:rsidRDefault="00000000">
      <w:pPr>
        <w:spacing w:line="240" w:lineRule="auto"/>
      </w:pPr>
      <w:r>
        <w:rPr>
          <w:rFonts w:ascii="Times New Roman" w:eastAsia="Times New Roman" w:hAnsi="Times New Roman" w:cs="Times New Roman"/>
          <w:color w:val="000000"/>
          <w:kern w:val="0"/>
        </w:rPr>
        <w:object w:dxaOrig="13830" w:dyaOrig="5835" w14:anchorId="35846FE2">
          <v:shape id="Object 8" o:spid="_x0000_i1032" type="#_x0000_t75" style="width:691.5pt;height:291.45pt;visibility:visible;mso-wrap-style:square" o:ole="">
            <v:imagedata r:id="rId36" o:title=""/>
          </v:shape>
          <o:OLEObject Type="Embed" ProgID="Excel.Sheet.12" ShapeID="Object 8" DrawAspect="Content" ObjectID="_1832918086" r:id="rId37"/>
        </w:object>
      </w:r>
    </w:p>
    <w:p w14:paraId="6A3E5D6C" w14:textId="77777777" w:rsidR="00C4353F" w:rsidRDefault="00C4353F">
      <w:pPr>
        <w:spacing w:line="240" w:lineRule="auto"/>
        <w:rPr>
          <w:rFonts w:ascii="Times New Roman" w:eastAsia="Times New Roman" w:hAnsi="Times New Roman" w:cs="Times New Roman"/>
          <w:color w:val="000000"/>
          <w:kern w:val="0"/>
        </w:rPr>
      </w:pPr>
    </w:p>
    <w:p w14:paraId="7592E866" w14:textId="77777777" w:rsidR="00C4353F" w:rsidRDefault="00C4353F">
      <w:pPr>
        <w:spacing w:line="240" w:lineRule="auto"/>
        <w:rPr>
          <w:rFonts w:ascii="Times New Roman" w:eastAsia="Times New Roman" w:hAnsi="Times New Roman" w:cs="Times New Roman"/>
          <w:color w:val="000000"/>
          <w:kern w:val="0"/>
        </w:rPr>
      </w:pPr>
    </w:p>
    <w:p w14:paraId="1FEA8E0A" w14:textId="77777777" w:rsidR="00C4353F" w:rsidRDefault="00C4353F">
      <w:pPr>
        <w:spacing w:line="240" w:lineRule="auto"/>
        <w:rPr>
          <w:rFonts w:ascii="Times New Roman" w:eastAsia="Times New Roman" w:hAnsi="Times New Roman" w:cs="Times New Roman"/>
          <w:color w:val="000000"/>
          <w:kern w:val="0"/>
        </w:rPr>
      </w:pPr>
    </w:p>
    <w:p w14:paraId="0457C837" w14:textId="77777777" w:rsidR="00C4353F" w:rsidRDefault="00C4353F">
      <w:pPr>
        <w:spacing w:line="240" w:lineRule="auto"/>
        <w:rPr>
          <w:rFonts w:ascii="Times New Roman" w:eastAsia="Times New Roman" w:hAnsi="Times New Roman" w:cs="Times New Roman"/>
          <w:color w:val="000000"/>
          <w:kern w:val="0"/>
        </w:rPr>
      </w:pPr>
    </w:p>
    <w:p w14:paraId="36A88A66" w14:textId="77777777" w:rsidR="00C4353F" w:rsidRDefault="00C4353F">
      <w:pPr>
        <w:spacing w:line="240" w:lineRule="auto"/>
        <w:rPr>
          <w:rFonts w:ascii="Times New Roman" w:eastAsia="Times New Roman" w:hAnsi="Times New Roman" w:cs="Times New Roman"/>
          <w:color w:val="000000"/>
          <w:kern w:val="0"/>
        </w:rPr>
      </w:pPr>
    </w:p>
    <w:p w14:paraId="7AD2292B" w14:textId="77777777" w:rsidR="00C4353F" w:rsidRDefault="00C4353F">
      <w:pPr>
        <w:spacing w:line="240" w:lineRule="auto"/>
        <w:rPr>
          <w:rFonts w:ascii="Times New Roman" w:eastAsia="Times New Roman" w:hAnsi="Times New Roman" w:cs="Times New Roman"/>
          <w:color w:val="000000"/>
          <w:kern w:val="0"/>
        </w:rPr>
      </w:pPr>
    </w:p>
    <w:p w14:paraId="6B8246B6" w14:textId="77777777" w:rsidR="00C4353F" w:rsidRDefault="00C4353F">
      <w:pPr>
        <w:spacing w:line="240" w:lineRule="auto"/>
        <w:rPr>
          <w:rFonts w:ascii="Times New Roman" w:eastAsia="Times New Roman" w:hAnsi="Times New Roman" w:cs="Times New Roman"/>
          <w:color w:val="000000"/>
          <w:kern w:val="0"/>
        </w:rPr>
      </w:pPr>
    </w:p>
    <w:p w14:paraId="7FDFAA20" w14:textId="77777777" w:rsidR="00C4353F" w:rsidRDefault="00000000">
      <w:pPr>
        <w:spacing w:line="240"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lastRenderedPageBreak/>
        <w:t>Table….Monetary Use Table for Energy</w:t>
      </w:r>
    </w:p>
    <w:p w14:paraId="428E9120" w14:textId="77777777" w:rsidR="00C4353F" w:rsidRDefault="00000000">
      <w:pPr>
        <w:spacing w:line="240" w:lineRule="auto"/>
      </w:pPr>
      <w:r>
        <w:rPr>
          <w:rFonts w:ascii="Times New Roman" w:eastAsia="Times New Roman" w:hAnsi="Times New Roman" w:cs="Times New Roman"/>
          <w:color w:val="000000"/>
          <w:kern w:val="0"/>
        </w:rPr>
        <w:object w:dxaOrig="13740" w:dyaOrig="7215" w14:anchorId="34C4F86F">
          <v:shape id="Object 9" o:spid="_x0000_i1033" type="#_x0000_t75" style="width:687pt;height:360.75pt;visibility:visible;mso-wrap-style:square" o:ole="">
            <v:imagedata r:id="rId38" o:title=""/>
          </v:shape>
          <o:OLEObject Type="Embed" ProgID="Excel.Sheet.12" ShapeID="Object 9" DrawAspect="Content" ObjectID="_1832918087" r:id="rId39"/>
        </w:object>
      </w:r>
    </w:p>
    <w:p w14:paraId="72624A12" w14:textId="77777777" w:rsidR="00C4353F" w:rsidRDefault="00C4353F">
      <w:pPr>
        <w:spacing w:line="240" w:lineRule="auto"/>
        <w:rPr>
          <w:rFonts w:ascii="Times New Roman" w:eastAsia="Times New Roman" w:hAnsi="Times New Roman" w:cs="Times New Roman"/>
          <w:color w:val="000000"/>
          <w:kern w:val="0"/>
        </w:rPr>
      </w:pPr>
    </w:p>
    <w:p w14:paraId="3FC07F63" w14:textId="77777777" w:rsidR="00C4353F" w:rsidRDefault="00C4353F">
      <w:pPr>
        <w:spacing w:line="240" w:lineRule="auto"/>
        <w:rPr>
          <w:rFonts w:ascii="Times New Roman" w:eastAsia="Times New Roman" w:hAnsi="Times New Roman" w:cs="Times New Roman"/>
          <w:color w:val="000000"/>
          <w:kern w:val="0"/>
        </w:rPr>
      </w:pPr>
    </w:p>
    <w:p w14:paraId="56E3D3B4" w14:textId="77777777" w:rsidR="00C4353F" w:rsidRDefault="00C4353F">
      <w:pPr>
        <w:spacing w:line="240" w:lineRule="auto"/>
        <w:rPr>
          <w:rFonts w:ascii="Times New Roman" w:eastAsia="Times New Roman" w:hAnsi="Times New Roman" w:cs="Times New Roman"/>
          <w:color w:val="000000"/>
          <w:kern w:val="0"/>
        </w:rPr>
        <w:sectPr w:rsidR="00C4353F">
          <w:headerReference w:type="default" r:id="rId40"/>
          <w:footerReference w:type="default" r:id="rId41"/>
          <w:pgSz w:w="15840" w:h="12240" w:orient="landscape"/>
          <w:pgMar w:top="1440" w:right="1440" w:bottom="1440" w:left="1440" w:header="720" w:footer="720" w:gutter="0"/>
          <w:cols w:space="720"/>
        </w:sectPr>
      </w:pPr>
    </w:p>
    <w:p w14:paraId="7D3D78F4" w14:textId="77777777" w:rsidR="00C4353F" w:rsidRDefault="00C4353F">
      <w:pPr>
        <w:spacing w:line="240" w:lineRule="auto"/>
        <w:rPr>
          <w:rFonts w:ascii="Times New Roman" w:eastAsia="Times New Roman" w:hAnsi="Times New Roman" w:cs="Times New Roman"/>
          <w:color w:val="000000"/>
          <w:kern w:val="0"/>
        </w:rPr>
      </w:pPr>
    </w:p>
    <w:p w14:paraId="3A561D4E" w14:textId="77777777" w:rsidR="00C4353F" w:rsidRDefault="00000000">
      <w:pPr>
        <w:spacing w:line="240" w:lineRule="auto"/>
      </w:pPr>
      <w:r>
        <w:rPr>
          <w:noProof/>
        </w:rPr>
        <w:drawing>
          <wp:inline distT="0" distB="0" distL="0" distR="0" wp14:anchorId="037B912C" wp14:editId="367CE61B">
            <wp:extent cx="4572000" cy="2743200"/>
            <wp:effectExtent l="0" t="0" r="0" b="0"/>
            <wp:docPr id="7623370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4AF0C22" w14:textId="77777777" w:rsidR="00C4353F" w:rsidRDefault="00C4353F">
      <w:pPr>
        <w:spacing w:line="240" w:lineRule="auto"/>
        <w:rPr>
          <w:rFonts w:ascii="Times New Roman" w:eastAsia="Times New Roman" w:hAnsi="Times New Roman" w:cs="Times New Roman"/>
          <w:color w:val="000000"/>
          <w:kern w:val="0"/>
        </w:rPr>
      </w:pPr>
    </w:p>
    <w:p w14:paraId="1A71432E" w14:textId="77777777" w:rsidR="00C4353F" w:rsidRDefault="00000000">
      <w:pPr>
        <w:spacing w:line="240" w:lineRule="auto"/>
      </w:pPr>
      <w:r>
        <w:rPr>
          <w:noProof/>
        </w:rPr>
        <w:drawing>
          <wp:inline distT="0" distB="0" distL="0" distR="0" wp14:anchorId="70945839" wp14:editId="06096850">
            <wp:extent cx="4572000" cy="2743200"/>
            <wp:effectExtent l="0" t="0" r="0" b="0"/>
            <wp:docPr id="120288703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6AC2E7C" w14:textId="03F56BE8" w:rsidR="002B465A" w:rsidRDefault="002B465A">
      <w:pPr>
        <w:spacing w:line="240" w:lineRule="auto"/>
        <w:rPr>
          <w:rFonts w:ascii="Times New Roman" w:eastAsia="Times New Roman" w:hAnsi="Times New Roman" w:cs="Times New Roman"/>
          <w:color w:val="000000"/>
          <w:kern w:val="0"/>
        </w:rPr>
      </w:pPr>
    </w:p>
    <w:p w14:paraId="1E27DDB9" w14:textId="77777777" w:rsidR="002B465A" w:rsidRDefault="002B465A">
      <w:pPr>
        <w:spacing w:line="240" w:lineRule="auto"/>
        <w:rPr>
          <w:rFonts w:ascii="Times New Roman" w:eastAsia="Times New Roman" w:hAnsi="Times New Roman" w:cs="Times New Roman"/>
          <w:color w:val="000000"/>
          <w:kern w:val="0"/>
        </w:rPr>
      </w:pPr>
    </w:p>
    <w:p w14:paraId="7B365F7F" w14:textId="77777777" w:rsidR="002B465A" w:rsidRDefault="002B465A">
      <w:pPr>
        <w:spacing w:line="240" w:lineRule="auto"/>
        <w:rPr>
          <w:rFonts w:ascii="Times New Roman" w:eastAsia="Times New Roman" w:hAnsi="Times New Roman" w:cs="Times New Roman"/>
          <w:color w:val="000000"/>
          <w:kern w:val="0"/>
        </w:rPr>
      </w:pPr>
    </w:p>
    <w:p w14:paraId="78B7E63F" w14:textId="77777777" w:rsidR="002B465A" w:rsidRDefault="002B465A">
      <w:pPr>
        <w:spacing w:line="240" w:lineRule="auto"/>
        <w:rPr>
          <w:rFonts w:ascii="Times New Roman" w:eastAsia="Times New Roman" w:hAnsi="Times New Roman" w:cs="Times New Roman"/>
          <w:color w:val="000000"/>
          <w:kern w:val="0"/>
        </w:rPr>
      </w:pPr>
    </w:p>
    <w:p w14:paraId="6E7F637B" w14:textId="77777777" w:rsidR="002B465A" w:rsidRDefault="002B465A">
      <w:pPr>
        <w:spacing w:line="240" w:lineRule="auto"/>
        <w:rPr>
          <w:rFonts w:ascii="Times New Roman" w:eastAsia="Times New Roman" w:hAnsi="Times New Roman" w:cs="Times New Roman"/>
          <w:color w:val="000000"/>
          <w:kern w:val="0"/>
        </w:rPr>
      </w:pPr>
    </w:p>
    <w:p w14:paraId="46385EC4" w14:textId="77777777" w:rsidR="002B465A" w:rsidRDefault="002B465A">
      <w:pPr>
        <w:spacing w:line="240" w:lineRule="auto"/>
        <w:rPr>
          <w:rFonts w:ascii="Times New Roman" w:eastAsia="Times New Roman" w:hAnsi="Times New Roman" w:cs="Times New Roman"/>
          <w:color w:val="000000"/>
          <w:kern w:val="0"/>
        </w:rPr>
      </w:pPr>
    </w:p>
    <w:p w14:paraId="2203FDD5" w14:textId="77777777" w:rsidR="002B465A" w:rsidRDefault="002B465A">
      <w:pPr>
        <w:spacing w:line="240" w:lineRule="auto"/>
        <w:rPr>
          <w:rFonts w:ascii="Times New Roman" w:eastAsia="Times New Roman" w:hAnsi="Times New Roman" w:cs="Times New Roman"/>
          <w:color w:val="000000"/>
          <w:kern w:val="0"/>
        </w:rPr>
      </w:pPr>
    </w:p>
    <w:p w14:paraId="062AF27D" w14:textId="7B986FBF" w:rsidR="00C4353F" w:rsidRDefault="00000000" w:rsidP="002B465A">
      <w:pPr>
        <w:pStyle w:val="Heading1"/>
      </w:pPr>
      <w:r>
        <w:lastRenderedPageBreak/>
        <w:t xml:space="preserve"> </w:t>
      </w:r>
      <w:bookmarkStart w:id="18" w:name="_Toc219801432"/>
      <w:r>
        <w:t>CONCLUSIONS AND RECOMMENDATIONS</w:t>
      </w:r>
      <w:bookmarkEnd w:id="18"/>
      <w:r>
        <w:t xml:space="preserve"> </w:t>
      </w:r>
    </w:p>
    <w:p w14:paraId="38A5506B" w14:textId="77777777" w:rsidR="00C4353F" w:rsidRDefault="00000000" w:rsidP="006A6E2C">
      <w:pPr>
        <w:pStyle w:val="Heading2"/>
      </w:pPr>
      <w:bookmarkStart w:id="19" w:name="_Toc219801433"/>
      <w:r>
        <w:t>Conclusions</w:t>
      </w:r>
      <w:bookmarkEnd w:id="19"/>
    </w:p>
    <w:p w14:paraId="390AFCC0" w14:textId="77777777" w:rsidR="00C4353F" w:rsidRDefault="00000000">
      <w:pPr>
        <w:jc w:val="both"/>
      </w:pPr>
      <w:r>
        <w:rPr>
          <w:rFonts w:ascii="Times New Roman" w:eastAsia="Times New Roman" w:hAnsi="Times New Roman" w:cs="Times New Roman"/>
        </w:rPr>
        <w:t>This report presents Kenya’s energy monetary accounts as part of the wider system of energy accounts, describing the flow of energy products across the economy in monetary terms and showing how expenditure is distributed between industries, households, government, and the rest of the world. The results indicate that energy expenditure is concentrated in few users, particularly households, transport related activity, manufacturing, agriculture, mining, and commercial services, which makes these segments the most influential in shaping the economy wide energy cost burden and its policy sensitivity.</w:t>
      </w:r>
    </w:p>
    <w:p w14:paraId="758F3075" w14:textId="77777777" w:rsidR="00C4353F" w:rsidRDefault="00000000">
      <w:pPr>
        <w:jc w:val="both"/>
      </w:pPr>
      <w:r>
        <w:rPr>
          <w:rFonts w:ascii="Times New Roman" w:eastAsia="Times New Roman" w:hAnsi="Times New Roman" w:cs="Times New Roman"/>
        </w:rPr>
        <w:t>The analysis show that total monetary use of energy products is about KSh 4.04 trillion, with households accounting for about 61.7 per cent. Household energy expenditure remains heavily shaped by biomass fuels, even as payments for electricity and other modern fuels increase, reflecting towards a transition though not yet fully realised.</w:t>
      </w:r>
    </w:p>
    <w:p w14:paraId="1142E920" w14:textId="77777777" w:rsidR="00C4353F" w:rsidRDefault="00000000">
      <w:pPr>
        <w:jc w:val="both"/>
      </w:pPr>
      <w:r>
        <w:rPr>
          <w:rFonts w:ascii="Times New Roman" w:eastAsia="Times New Roman" w:hAnsi="Times New Roman" w:cs="Times New Roman"/>
        </w:rPr>
        <w:t>The analysis also show that the electricity affordability remains a constraint for households and smaller enterprises, driven by tariff structures and fixed charges, even as electricity continues to feature strongly in the expenditure profile of households and service-oriented activities. Petroleum products remain central to economic performance and public finance, with taxes forming a significant portion of the monetary outlay on these fuels, and with transport and storage standing out as a major cost centre that is highly exposed to both international price movements and domestic fiscal measures. In addition, the distribution of energy expenditure reflects structural differences across the economy, as urban based industrial, and transport intensive activities carry a larger recorded monetary burden than rural users who rely more on biomass, where valuation and measurement challenges remain more pronounced.</w:t>
      </w:r>
    </w:p>
    <w:p w14:paraId="4EF62466" w14:textId="77777777" w:rsidR="00C4353F" w:rsidRDefault="00000000">
      <w:pPr>
        <w:jc w:val="both"/>
      </w:pPr>
      <w:r>
        <w:rPr>
          <w:rFonts w:ascii="Times New Roman" w:eastAsia="Times New Roman" w:hAnsi="Times New Roman" w:cs="Times New Roman"/>
        </w:rPr>
        <w:t>Overall, the monetary energy accounts provide a practical basis for monitoring affordability, competitiveness, and vulnerability to external shocks, while also offering a way to track the direction of the transition from biomass towards electricity and other modern energy sources, including the gradual expansion of LPG adoption.</w:t>
      </w:r>
    </w:p>
    <w:p w14:paraId="53DF4A99" w14:textId="77777777" w:rsidR="00C4353F" w:rsidRDefault="00000000" w:rsidP="006A6E2C">
      <w:pPr>
        <w:pStyle w:val="Heading2"/>
      </w:pPr>
      <w:bookmarkStart w:id="20" w:name="_Toc219801434"/>
      <w:r>
        <w:t>Recommendations</w:t>
      </w:r>
      <w:bookmarkEnd w:id="20"/>
    </w:p>
    <w:p w14:paraId="383DBEDA" w14:textId="77777777" w:rsidR="00C4353F" w:rsidRDefault="00000000">
      <w:pPr>
        <w:jc w:val="both"/>
      </w:pPr>
      <w:r>
        <w:rPr>
          <w:rFonts w:ascii="Times New Roman" w:eastAsia="Times New Roman" w:hAnsi="Times New Roman" w:cs="Times New Roman"/>
        </w:rPr>
        <w:t>The analysis supports a stronger policy emphasis on household affordability and clean cooking as the most direct levers for improving welfare outcomes. Since a large share of household expenditure remains tied to cooking fuels, accelerating the shift towards clean cooking solutions should be treated as a mainstream economic priority, combining affordability measures, dependable last mile access, safety assurance, and consumer confidence interventions that sustain adoption over time.</w:t>
      </w:r>
    </w:p>
    <w:p w14:paraId="33CF80EC" w14:textId="77777777" w:rsidR="00C4353F" w:rsidRDefault="00000000">
      <w:pPr>
        <w:jc w:val="both"/>
      </w:pPr>
      <w:r>
        <w:rPr>
          <w:rFonts w:ascii="Times New Roman" w:eastAsia="Times New Roman" w:hAnsi="Times New Roman" w:cs="Times New Roman"/>
        </w:rPr>
        <w:lastRenderedPageBreak/>
        <w:t>The energy accounts shows that electricity ranks among the leading expenditure categories, particularly for households and commercial services, which means that changes in electricity pricing are likely to have immediate distributional and competitiveness effects. It is therefore important that tariff reforms balance cost recovery with affordability, and that they are assessed using evidence on how different user groups, especially low-income households and smaller enterprises, experience fixed charges and consumption blocks. Well targeted and predictable measures that protect essential consumption while supporting continued uptake of modern energy can ease welfare pressures and support gradual substitution away from traditional fuels.</w:t>
      </w:r>
    </w:p>
    <w:p w14:paraId="3A919B67" w14:textId="77777777" w:rsidR="00C4353F" w:rsidRDefault="00000000">
      <w:pPr>
        <w:jc w:val="both"/>
      </w:pPr>
      <w:r>
        <w:rPr>
          <w:rFonts w:ascii="Times New Roman" w:eastAsia="Times New Roman" w:hAnsi="Times New Roman" w:cs="Times New Roman"/>
        </w:rPr>
        <w:t>Transport and storage emerges as one of the biggest energy spending areas, largely because petrol, diesel, and jet fuel take such a large share of the bill. This makes the cost of moving people and goods a direct competitiveness issue, and it also leaves the economy exposed when international oil prices rise. One of the proposal to this is to reduce fuel use per kilometre through better vehicle efficiency and maintenance, improved freight planning and routing, and workable shifts to more efficient transport options where these are available.</w:t>
      </w:r>
    </w:p>
    <w:p w14:paraId="7F0384B2" w14:textId="77777777" w:rsidR="00C4353F" w:rsidRDefault="00000000">
      <w:pPr>
        <w:jc w:val="both"/>
      </w:pPr>
      <w:r>
        <w:rPr>
          <w:rFonts w:ascii="Times New Roman" w:eastAsia="Times New Roman" w:hAnsi="Times New Roman" w:cs="Times New Roman"/>
        </w:rPr>
        <w:t xml:space="preserve">The accounts underline that energy costs influence competitiveness for many businesses, especially those that depend heavily on electricity and diesel, and where reliability challenges still push firms towards generator use, which often increases the cost of production. The recommended solution is to strengthen reliability and power quality for commercial and industrial users while scaling efficiency measures with clear payback, such as efficient motors and equipment, better lighting, process improvements, and demand management, because dependable grid supply and lower energy intensity reduce operating costs and support productivity. </w:t>
      </w:r>
    </w:p>
    <w:p w14:paraId="4506AF67" w14:textId="77777777" w:rsidR="00C4353F" w:rsidRDefault="00000000">
      <w:pPr>
        <w:jc w:val="both"/>
      </w:pPr>
      <w:r>
        <w:rPr>
          <w:rFonts w:ascii="Times New Roman" w:eastAsia="Times New Roman" w:hAnsi="Times New Roman" w:cs="Times New Roman"/>
        </w:rPr>
        <w:t>The results indicate that exposure to external fuel price shocks remains substantial, given the continued dominance of petroleum products in expenditure across transport and other petroleum dependent activities. Strengthening resilience will therefore require sustained reductions in petrol and diesel intensity through improved logistics, more efficient fleets, and reduced reliance on standby generation. Over the medium term, a more sustainable pathway is to support a gradual shift towards cleaner and more reliable power, stronger public transport, and a phased expansion of electric mobility, on motorcycles and urban fleets, alongside the charging infrastructure and financing models needed to make adoption practical. In this regard, it is recommended that time bound fiscal incentives be considered for hybrid vehicles and electric motorcycles, since high upfront import taxes at an early stage slows adoption and delay transition benefits, while targeted relief can lower entry costs, stimulate uptake, and allow the supporting market systems to mature before a gradual return to standard taxation.</w:t>
      </w:r>
    </w:p>
    <w:p w14:paraId="2C83DD4F" w14:textId="77777777" w:rsidR="00C4353F" w:rsidRDefault="00000000">
      <w:pPr>
        <w:jc w:val="both"/>
      </w:pPr>
      <w:r>
        <w:rPr>
          <w:rFonts w:ascii="Times New Roman" w:eastAsia="Times New Roman" w:hAnsi="Times New Roman" w:cs="Times New Roman"/>
        </w:rPr>
        <w:t>The monetary energy accounts should then be used routinely to track whether expenditure is shifting away from imported petroleum products and whether cost pressures on households and key sectors are easing in a measurable way.</w:t>
      </w:r>
    </w:p>
    <w:p w14:paraId="59CDDFD6" w14:textId="77777777" w:rsidR="00C4353F" w:rsidRDefault="00C4353F">
      <w:pPr>
        <w:spacing w:line="240" w:lineRule="auto"/>
        <w:rPr>
          <w:rFonts w:ascii="Times New Roman" w:eastAsia="Times New Roman" w:hAnsi="Times New Roman" w:cs="Times New Roman"/>
          <w:color w:val="000000"/>
        </w:rPr>
      </w:pPr>
    </w:p>
    <w:p w14:paraId="7C574899" w14:textId="77777777" w:rsidR="00ED1613" w:rsidRDefault="00ED1613">
      <w:pPr>
        <w:spacing w:line="240" w:lineRule="auto"/>
        <w:rPr>
          <w:rFonts w:ascii="Times New Roman" w:eastAsia="Times New Roman" w:hAnsi="Times New Roman" w:cs="Times New Roman"/>
          <w:color w:val="000000"/>
        </w:rPr>
      </w:pPr>
    </w:p>
    <w:p w14:paraId="3BA575BF" w14:textId="46721AA1" w:rsidR="00C4353F" w:rsidRDefault="00000000" w:rsidP="00B02026">
      <w:pPr>
        <w:pStyle w:val="Heading1"/>
      </w:pPr>
      <w:bookmarkStart w:id="21" w:name="_Toc219801435"/>
      <w:r>
        <w:lastRenderedPageBreak/>
        <w:t>APPENDICES</w:t>
      </w:r>
      <w:bookmarkEnd w:id="21"/>
    </w:p>
    <w:p w14:paraId="55A2FECC" w14:textId="2A9B652F" w:rsidR="00C4353F" w:rsidRDefault="00000000" w:rsidP="00B02026">
      <w:pPr>
        <w:pStyle w:val="Heading2"/>
      </w:pPr>
      <w:bookmarkStart w:id="22" w:name="_Toc219801436"/>
      <w:r>
        <w:t>List of Tables</w:t>
      </w:r>
      <w:bookmarkEnd w:id="22"/>
    </w:p>
    <w:p w14:paraId="6915ACDA" w14:textId="10C5BB3F" w:rsidR="00C4353F" w:rsidRDefault="00000000" w:rsidP="00B02026">
      <w:pPr>
        <w:pStyle w:val="Heading2"/>
      </w:pPr>
      <w:r w:rsidRPr="00B02026">
        <w:t> </w:t>
      </w:r>
      <w:bookmarkStart w:id="23" w:name="_Toc219801437"/>
      <w:r w:rsidRPr="00B02026">
        <w:t>Glossary</w:t>
      </w:r>
      <w:bookmarkEnd w:id="23"/>
    </w:p>
    <w:p w14:paraId="7F9511BD" w14:textId="77777777" w:rsidR="00C4353F" w:rsidRDefault="00000000">
      <w:pPr>
        <w:spacing w:before="240" w:after="240" w:line="240" w:lineRule="auto"/>
        <w:jc w:val="both"/>
      </w:pPr>
      <w:r>
        <w:rPr>
          <w:rFonts w:ascii="Times New Roman" w:eastAsia="Times New Roman" w:hAnsi="Times New Roman" w:cs="Times New Roman"/>
          <w:b/>
          <w:bCs/>
          <w:color w:val="000000"/>
          <w:kern w:val="0"/>
          <w:shd w:val="clear" w:color="auto" w:fill="FFFF00"/>
        </w:rPr>
        <w:t>Average unit price</w:t>
      </w:r>
    </w:p>
    <w:p w14:paraId="14D68B1B" w14:textId="77777777" w:rsidR="00C4353F" w:rsidRDefault="00000000">
      <w:pPr>
        <w:spacing w:before="240" w:after="240" w:line="240" w:lineRule="auto"/>
        <w:jc w:val="both"/>
      </w:pPr>
      <w:r>
        <w:rPr>
          <w:rFonts w:ascii="Times New Roman" w:eastAsia="Times New Roman" w:hAnsi="Times New Roman" w:cs="Times New Roman"/>
          <w:color w:val="000000"/>
          <w:kern w:val="0"/>
          <w:shd w:val="clear" w:color="auto" w:fill="FFFFFF"/>
        </w:rPr>
        <w:t xml:space="preserve">Average unit price is defined as  the simple </w:t>
      </w:r>
      <w:r>
        <w:rPr>
          <w:rFonts w:ascii="Times New Roman" w:eastAsia="Times New Roman" w:hAnsi="Times New Roman" w:cs="Times New Roman"/>
          <w:color w:val="000000"/>
        </w:rPr>
        <w:t xml:space="preserve">mean  of the energy  products’ import  prices or annual  mean of the published retail prices. </w:t>
      </w:r>
    </w:p>
    <w:p w14:paraId="05A33FA3" w14:textId="77777777" w:rsidR="00C4353F" w:rsidRDefault="00000000">
      <w:pPr>
        <w:spacing w:before="240" w:after="240" w:line="240" w:lineRule="auto"/>
        <w:jc w:val="both"/>
      </w:pPr>
      <w:r>
        <w:rPr>
          <w:rFonts w:ascii="Times New Roman" w:eastAsia="Times New Roman" w:hAnsi="Times New Roman" w:cs="Times New Roman"/>
          <w:b/>
          <w:bCs/>
          <w:color w:val="000000"/>
          <w:kern w:val="0"/>
          <w:shd w:val="clear" w:color="auto" w:fill="FFFFFF"/>
        </w:rPr>
        <w:t>Aviation gasoline</w:t>
      </w:r>
    </w:p>
    <w:p w14:paraId="62CD05DD" w14:textId="77777777" w:rsidR="00C4353F" w:rsidRDefault="00000000">
      <w:pPr>
        <w:spacing w:before="240" w:after="240" w:line="240" w:lineRule="auto"/>
        <w:jc w:val="both"/>
      </w:pPr>
      <w:r>
        <w:rPr>
          <w:rFonts w:ascii="Times New Roman" w:eastAsia="Times New Roman" w:hAnsi="Times New Roman" w:cs="Times New Roman"/>
          <w:color w:val="000000"/>
          <w:kern w:val="0"/>
          <w:shd w:val="clear" w:color="auto" w:fill="FFFFFF"/>
        </w:rPr>
        <w:t xml:space="preserve">Universally abbreviated as </w:t>
      </w:r>
      <w:r>
        <w:rPr>
          <w:rFonts w:ascii="Times New Roman" w:eastAsia="Times New Roman" w:hAnsi="Times New Roman" w:cs="Times New Roman"/>
          <w:b/>
          <w:bCs/>
          <w:color w:val="000000"/>
          <w:kern w:val="0"/>
          <w:shd w:val="clear" w:color="auto" w:fill="FFFFFF"/>
        </w:rPr>
        <w:t>Avgas</w:t>
      </w:r>
      <w:r>
        <w:rPr>
          <w:rFonts w:ascii="Times New Roman" w:eastAsia="Times New Roman" w:hAnsi="Times New Roman" w:cs="Times New Roman"/>
          <w:color w:val="000000"/>
          <w:kern w:val="0"/>
          <w:shd w:val="clear" w:color="auto" w:fill="FFFFFF"/>
        </w:rPr>
        <w:t>, is a specialized lead, high-octane fuel used primarily in piston-engine aircrafts’ internal combustion engines that power aviation aircraft, such as training planes, agricultural aircraft, and vintage/classic planes. It is distinctly different from the jet fuel used in turbine-engine aircraft.</w:t>
      </w:r>
    </w:p>
    <w:p w14:paraId="6E66CB38"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Bagasse</w:t>
      </w:r>
    </w:p>
    <w:p w14:paraId="788F1EAC"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The fibrous residue that remains after the sugarcane is crushed. It is used as a fuel to produce steam and electricity for use in sugar production, or for export to the electricity grid.</w:t>
      </w:r>
    </w:p>
    <w:p w14:paraId="2598AC17"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Biofuels</w:t>
      </w:r>
    </w:p>
    <w:p w14:paraId="6D0EAEB7"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Produced from renewable organic sources or ‘feedstocks’, biofuels include ethanol and biodiesel, commonly used as fuels in transportation, as well as landfill and sludge biogas captured for combustion to generate heat or electricity.</w:t>
      </w:r>
    </w:p>
    <w:p w14:paraId="6751A3CE"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Biomass</w:t>
      </w:r>
    </w:p>
    <w:p w14:paraId="42060375" w14:textId="77777777" w:rsidR="00C4353F" w:rsidRDefault="00000000">
      <w:pPr>
        <w:shd w:val="clear" w:color="auto" w:fill="FFFFFF"/>
        <w:spacing w:after="0" w:line="240" w:lineRule="auto"/>
        <w:jc w:val="both"/>
      </w:pPr>
      <w:r>
        <w:rPr>
          <w:rFonts w:ascii="Times New Roman" w:eastAsia="Times New Roman" w:hAnsi="Times New Roman" w:cs="Times New Roman"/>
          <w:color w:val="0F1115"/>
          <w:kern w:val="0"/>
        </w:rPr>
        <w:t>Any organic material that comes from plants or animals and is used as a source of energy or raw material. It is essentially stored biological energy from the sun</w:t>
      </w:r>
      <w:r>
        <w:rPr>
          <w:rFonts w:ascii="Times New Roman" w:eastAsia="Times New Roman" w:hAnsi="Times New Roman" w:cs="Times New Roman"/>
          <w:b/>
          <w:bCs/>
          <w:color w:val="0F1115"/>
          <w:kern w:val="0"/>
        </w:rPr>
        <w:t>,</w:t>
      </w:r>
      <w:r>
        <w:rPr>
          <w:rFonts w:ascii="Times New Roman" w:eastAsia="Times New Roman" w:hAnsi="Times New Roman" w:cs="Times New Roman"/>
          <w:color w:val="0F1115"/>
          <w:kern w:val="0"/>
        </w:rPr>
        <w:t xml:space="preserve"> captured through photosynthesis.</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Biomass can be categorised as Wood &amp; Forestry Products, Agricultural Residues &amp; Byproducts and animal manure</w:t>
      </w:r>
      <w:r>
        <w:rPr>
          <w:rFonts w:ascii="Times New Roman" w:eastAsia="Times New Roman" w:hAnsi="Times New Roman" w:cs="Times New Roman"/>
          <w:b/>
          <w:bCs/>
          <w:color w:val="0F1115"/>
          <w:kern w:val="0"/>
        </w:rPr>
        <w:t>.</w:t>
      </w:r>
    </w:p>
    <w:p w14:paraId="7BBF6F60"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F1115"/>
          <w:kern w:val="0"/>
        </w:rPr>
        <w:t>Coal and Coke</w:t>
      </w:r>
    </w:p>
    <w:p w14:paraId="7A20A7D6"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F1115"/>
          <w:kern w:val="0"/>
        </w:rPr>
        <w:t>Coal</w:t>
      </w:r>
      <w:r>
        <w:rPr>
          <w:rFonts w:ascii="Times New Roman" w:eastAsia="Times New Roman" w:hAnsi="Times New Roman" w:cs="Times New Roman"/>
          <w:color w:val="0F1115"/>
          <w:kern w:val="0"/>
        </w:rPr>
        <w:t xml:space="preserve"> is a naturally occurring sedimentary rock</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 xml:space="preserve">formed over millions of years from the remains of ancient plants under high heat and pressure. It is a </w:t>
      </w:r>
      <w:r>
        <w:rPr>
          <w:rFonts w:ascii="Times New Roman" w:eastAsia="Times New Roman" w:hAnsi="Times New Roman" w:cs="Times New Roman"/>
          <w:color w:val="000000"/>
          <w:kern w:val="0"/>
        </w:rPr>
        <w:t>fossil fuel</w:t>
      </w:r>
      <w:r>
        <w:rPr>
          <w:rFonts w:ascii="Times New Roman" w:eastAsia="Times New Roman" w:hAnsi="Times New Roman" w:cs="Times New Roman"/>
          <w:color w:val="0F1115"/>
          <w:kern w:val="0"/>
        </w:rPr>
        <w:t xml:space="preserve"> mined directly from the earth. Includes products made from coal such as metallurgical coke, coal tar, and briquettes. Coal in Kenya is majorly imported for Cement Manufacturing, Other Industrial Heating and</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Potential for Steel.</w:t>
      </w:r>
    </w:p>
    <w:p w14:paraId="51D3C795"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F1115"/>
          <w:kern w:val="0"/>
        </w:rPr>
        <w:t xml:space="preserve">Coke </w:t>
      </w:r>
      <w:r>
        <w:rPr>
          <w:rFonts w:ascii="Times New Roman" w:eastAsia="Times New Roman" w:hAnsi="Times New Roman" w:cs="Times New Roman"/>
          <w:color w:val="0F1115"/>
          <w:kern w:val="0"/>
        </w:rPr>
        <w:t>is a</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synthetic, porous, carbon-rich material</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produced by heating</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specific types of coal (bituminous coal) in the</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absence of air</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This drives off</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volatile</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components.</w:t>
      </w:r>
      <w:r>
        <w:rPr>
          <w:rFonts w:ascii="Times New Roman" w:eastAsia="Times New Roman" w:hAnsi="Times New Roman" w:cs="Times New Roman"/>
          <w:b/>
          <w:bCs/>
          <w:color w:val="0F1115"/>
          <w:kern w:val="0"/>
        </w:rPr>
        <w:t xml:space="preserve"> </w:t>
      </w:r>
      <w:r>
        <w:rPr>
          <w:rFonts w:ascii="Times New Roman" w:eastAsia="Times New Roman" w:hAnsi="Times New Roman" w:cs="Times New Roman"/>
          <w:color w:val="0F1115"/>
          <w:kern w:val="0"/>
        </w:rPr>
        <w:t>Coke is a manufactured product, not a natural resource.</w:t>
      </w:r>
    </w:p>
    <w:p w14:paraId="449C8F4C"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F1115"/>
          <w:kern w:val="0"/>
        </w:rPr>
        <w:t>Electricity</w:t>
      </w:r>
    </w:p>
    <w:p w14:paraId="45322D3A" w14:textId="77777777" w:rsidR="00C4353F" w:rsidRDefault="00000000">
      <w:pPr>
        <w:shd w:val="clear" w:color="auto" w:fill="FFFFFF"/>
        <w:spacing w:after="0" w:line="240" w:lineRule="auto"/>
        <w:jc w:val="both"/>
      </w:pPr>
      <w:r>
        <w:rPr>
          <w:rFonts w:ascii="Times New Roman" w:eastAsia="Times New Roman" w:hAnsi="Times New Roman" w:cs="Times New Roman"/>
          <w:color w:val="0F1115"/>
          <w:kern w:val="0"/>
        </w:rPr>
        <w:t>The flow of electrical power or charge. It is a secondary energy source, meaning it is derived from the conversion of primary sources of energy such as wind, hydro, oil, and geothermal energy sources.</w:t>
      </w:r>
    </w:p>
    <w:p w14:paraId="30FDE303"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Exports</w:t>
      </w:r>
    </w:p>
    <w:p w14:paraId="16FAB4DF"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Goods exported (exports) represents the quantity of goods sent to other countries or for which ownership changes from residents to non-residents.</w:t>
      </w:r>
    </w:p>
    <w:p w14:paraId="2AF98D21"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lastRenderedPageBreak/>
        <w:t>Flow accounts</w:t>
      </w:r>
    </w:p>
    <w:p w14:paraId="42A7F4B8"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The general term used for a framework presents information on the physical flows of resources throughout the economy. Flow accounts published for energy include supply and use tables.</w:t>
      </w:r>
    </w:p>
    <w:p w14:paraId="4064067E"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Fuel oils</w:t>
      </w:r>
    </w:p>
    <w:p w14:paraId="5859ECD5"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Fuel oils include petroleum-based oils used as fuel, e.g. for transport, heating oil or other petroleum-based oils.</w:t>
      </w:r>
    </w:p>
    <w:p w14:paraId="0CDF9826" w14:textId="77777777" w:rsidR="00C4353F" w:rsidRDefault="00C4353F">
      <w:pPr>
        <w:shd w:val="clear" w:color="auto" w:fill="FFFFFF"/>
        <w:spacing w:after="0" w:line="240" w:lineRule="auto"/>
        <w:jc w:val="both"/>
        <w:rPr>
          <w:rFonts w:ascii="Times New Roman" w:eastAsia="Times New Roman" w:hAnsi="Times New Roman" w:cs="Times New Roman"/>
          <w:kern w:val="0"/>
        </w:rPr>
      </w:pPr>
    </w:p>
    <w:p w14:paraId="78DCAB70" w14:textId="77777777" w:rsidR="00C4353F" w:rsidRDefault="00C4353F">
      <w:pPr>
        <w:shd w:val="clear" w:color="auto" w:fill="FFFFFF"/>
        <w:spacing w:after="0" w:line="240" w:lineRule="auto"/>
        <w:jc w:val="both"/>
        <w:rPr>
          <w:rFonts w:ascii="Times New Roman" w:eastAsia="Times New Roman" w:hAnsi="Times New Roman" w:cs="Times New Roman"/>
          <w:kern w:val="0"/>
        </w:rPr>
      </w:pPr>
    </w:p>
    <w:p w14:paraId="44A9EC63"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F1115"/>
          <w:kern w:val="0"/>
          <w:shd w:val="clear" w:color="auto" w:fill="FFFFFF"/>
        </w:rPr>
        <w:t>Geothermal Power</w:t>
      </w:r>
    </w:p>
    <w:p w14:paraId="45DE5FD1" w14:textId="77777777" w:rsidR="00C4353F" w:rsidRDefault="00000000">
      <w:pPr>
        <w:shd w:val="clear" w:color="auto" w:fill="FFFFFF"/>
        <w:spacing w:after="0" w:line="240" w:lineRule="auto"/>
        <w:jc w:val="both"/>
      </w:pPr>
      <w:r>
        <w:rPr>
          <w:rFonts w:ascii="Times New Roman" w:eastAsia="Times New Roman" w:hAnsi="Times New Roman" w:cs="Times New Roman"/>
          <w:color w:val="0F1115"/>
          <w:kern w:val="0"/>
          <w:shd w:val="clear" w:color="auto" w:fill="FFFFFF"/>
        </w:rPr>
        <w:t>Geothermal power generation is the process of converting the Earth's internal heat into electricity.</w:t>
      </w:r>
    </w:p>
    <w:p w14:paraId="7F0EA432"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Hydropower</w:t>
      </w:r>
    </w:p>
    <w:p w14:paraId="6FBE191B"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A process in which flowing water is used to spin a turbine connected to an electricity generator.</w:t>
      </w:r>
    </w:p>
    <w:p w14:paraId="6AD62641"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Imports</w:t>
      </w:r>
    </w:p>
    <w:p w14:paraId="348678C9"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Goods imported (imports) represent the quantity of goods received from other countries or for which ownership changes from non-residents to residents.</w:t>
      </w:r>
    </w:p>
    <w:p w14:paraId="25D48386"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Illuminating Kerosene</w:t>
      </w:r>
    </w:p>
    <w:p w14:paraId="64C6709D"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Kerosene is a refined product made from crude oil and is used to power jet aircraft engines as well as for lighting and heating. It was previously aggregated into other refined products.</w:t>
      </w:r>
      <w:r>
        <w:rPr>
          <w:rFonts w:ascii="Times New Roman" w:eastAsia="Times New Roman" w:hAnsi="Times New Roman" w:cs="Times New Roman"/>
          <w:color w:val="0F1115"/>
          <w:kern w:val="0"/>
          <w:shd w:val="clear" w:color="auto" w:fill="FFFFFF"/>
        </w:rPr>
        <w:t>Illuminating kerosene therefore is a specific, higher-grade subset of kerosene that has been specially refined and treated to burn cleanly, safely, and brightly in lamps, lanterns, and wick-based appliances.</w:t>
      </w:r>
    </w:p>
    <w:p w14:paraId="2BDB1512"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F1115"/>
          <w:kern w:val="0"/>
          <w:shd w:val="clear" w:color="auto" w:fill="FFFFFF"/>
        </w:rPr>
        <w:t>ISIC</w:t>
      </w:r>
    </w:p>
    <w:p w14:paraId="0EC42BCF" w14:textId="77777777" w:rsidR="00C4353F" w:rsidRDefault="00000000">
      <w:pPr>
        <w:shd w:val="clear" w:color="auto" w:fill="FFFFFF"/>
        <w:spacing w:after="0" w:line="240" w:lineRule="auto"/>
        <w:jc w:val="both"/>
      </w:pPr>
      <w:r>
        <w:rPr>
          <w:rFonts w:ascii="Times New Roman" w:eastAsia="Times New Roman" w:hAnsi="Times New Roman" w:cs="Times New Roman"/>
          <w:color w:val="0F1115"/>
          <w:kern w:val="0"/>
          <w:shd w:val="clear" w:color="auto" w:fill="FFFFFF"/>
        </w:rPr>
        <w:t>ISIC stands for the International Standard Industrial Classification of All Economic Activities. It is a United Nations system for classifying economic data according to the type of economic activity.</w:t>
      </w:r>
    </w:p>
    <w:p w14:paraId="16D156A1"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Liquefied petroleum gas (LPG)</w:t>
      </w:r>
    </w:p>
    <w:p w14:paraId="77F51B54"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Consists of propane, butane and isobutane and is derived by processing the natural gas produced from either gas or oil reservoirs through a low-pressure gas separation plant.</w:t>
      </w:r>
    </w:p>
    <w:p w14:paraId="1126523D"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National accounts</w:t>
      </w:r>
    </w:p>
    <w:p w14:paraId="062DB738"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Systematic summary of national economic activity. At a detailed level it shows a statistical picture of the performance and structure of the economy.</w:t>
      </w:r>
    </w:p>
    <w:p w14:paraId="22DA96A5"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Primary energy source</w:t>
      </w:r>
    </w:p>
    <w:p w14:paraId="36D1ED5E"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Those forms of energy obtained directly from nature. They include both non-renewable and renewable energy. Primary energy sources include firewood, coal, crude oil, natural gas, liquefied natural petroleum gases, uranium, bagasse, hydro, wind and solar energy.</w:t>
      </w:r>
    </w:p>
    <w:p w14:paraId="2E8BF62F"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Renewable energy</w:t>
      </w:r>
    </w:p>
    <w:p w14:paraId="4A70240B"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Renewable energy is defined as those energy resources that are naturally replenishing. They are virtually inexhaustible in duration but may be limited in the amount of energy available at a given time. Renewable energy resources include biomass, hydro, geothermal, solar and wind.</w:t>
      </w:r>
    </w:p>
    <w:p w14:paraId="4B2391F6"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shd w:val="clear" w:color="auto" w:fill="FFFF00"/>
        </w:rPr>
        <w:t>Residuals</w:t>
      </w:r>
    </w:p>
    <w:p w14:paraId="2EA36DA6"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xml:space="preserve">Energy residuals include flows of energy that are discarded, discharged or emitted by businesses and households. Examples of energy losses include flaring and venting of natural gas and losses during transformation in the production of primary energy products from natural inputs and in the production of secondary energy products. Energy losses during distribution may arise from the evaporation and leakages of liquid fuels, loss of heat during transport of steam, and losses during gas distribution, electricity transmission and pipeline transport. Energy residuals also include </w:t>
      </w:r>
      <w:r>
        <w:rPr>
          <w:rFonts w:ascii="Times New Roman" w:eastAsia="Times New Roman" w:hAnsi="Times New Roman" w:cs="Times New Roman"/>
          <w:color w:val="000000"/>
          <w:kern w:val="0"/>
        </w:rPr>
        <w:lastRenderedPageBreak/>
        <w:t>dissipative heat losses to the environment resulting from end use of energy products by households and businesses.</w:t>
      </w:r>
    </w:p>
    <w:p w14:paraId="4EB246A1"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Resource</w:t>
      </w:r>
    </w:p>
    <w:p w14:paraId="284C79B6"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A concentration of naturally occurring solid, liquid, or gaseous materials in or on the earth’s crust and in such form that its economic extraction is feasible now or in the future. The definition does not intend to imply that exploitation of any such material will take place in that time span, but only that its possibility might reasonably be considered.</w:t>
      </w:r>
    </w:p>
    <w:p w14:paraId="18E61230"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Secondary energy source</w:t>
      </w:r>
    </w:p>
    <w:p w14:paraId="4D547176"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A product that has been derived from a primary energy source. Secondary energy resources include refined petroleum products, coal by-products, coke and electricity.</w:t>
      </w:r>
    </w:p>
    <w:p w14:paraId="3B919448"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Solar power</w:t>
      </w:r>
    </w:p>
    <w:p w14:paraId="5AF274E2"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Photovoltaic (PV) conversion generates electric power directly from the light of the sun in a photovoltaic (solar) cell. Solar thermal electric generators use the radiant energy from the sun to produce steam to drive turbines.</w:t>
      </w:r>
    </w:p>
    <w:p w14:paraId="227ADD11"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Supply-use framework</w:t>
      </w:r>
    </w:p>
    <w:p w14:paraId="5E7F9C48"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An accounting framework with the basic principle that the total supply of a product is equal to its total use.</w:t>
      </w:r>
    </w:p>
    <w:p w14:paraId="609B5E74"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System of Environmental-Economic Accounting (SEEA)</w:t>
      </w:r>
    </w:p>
    <w:p w14:paraId="43838259"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The SEEA is a framework used to develop environmental accounts by integrating environmental information into an accounting framework. The SEEA manual provides the conceptual basis for developing a framework to describe the relationship between the natural environment and the economy.</w:t>
      </w:r>
    </w:p>
    <w:p w14:paraId="272C73FD"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System of National Accounts (SNA)</w:t>
      </w:r>
    </w:p>
    <w:p w14:paraId="6F6A7AB6" w14:textId="77777777" w:rsidR="00C4353F" w:rsidRDefault="00000000">
      <w:pPr>
        <w:shd w:val="clear" w:color="auto" w:fill="FFFFFF"/>
        <w:spacing w:after="0" w:line="240" w:lineRule="auto"/>
      </w:pPr>
      <w:r>
        <w:rPr>
          <w:rFonts w:ascii="Times New Roman" w:eastAsia="Times New Roman" w:hAnsi="Times New Roman" w:cs="Times New Roman"/>
          <w:color w:val="000000"/>
          <w:kern w:val="0"/>
        </w:rPr>
        <w:t>The SNA is an international framework which can be used to develop a comprehensive, consistent and flexible set of macro-economic accounts.</w:t>
      </w:r>
    </w:p>
    <w:p w14:paraId="62F29519"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shd w:val="clear" w:color="auto" w:fill="FFFF00"/>
        </w:rPr>
        <w:t> </w:t>
      </w:r>
    </w:p>
    <w:p w14:paraId="0F4EB906"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shd w:val="clear" w:color="auto" w:fill="FFFF00"/>
        </w:rPr>
        <w:t> </w:t>
      </w:r>
    </w:p>
    <w:p w14:paraId="5A1CE5F5"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shd w:val="clear" w:color="auto" w:fill="FFFF00"/>
        </w:rPr>
        <w:t>Total domestic energy use</w:t>
      </w:r>
    </w:p>
    <w:p w14:paraId="21AECC7C"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A measure of total resident energy use, including losses due to conversion or transformation into other energy products. Total domestic energy use is calculated from total net energy use minus exports of energy products.</w:t>
      </w:r>
    </w:p>
    <w:p w14:paraId="49E77AC7"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Wind power</w:t>
      </w:r>
    </w:p>
    <w:p w14:paraId="505DF3F1" w14:textId="77777777" w:rsidR="00C4353F" w:rsidRDefault="00000000">
      <w:pPr>
        <w:shd w:val="clear" w:color="auto" w:fill="FFFFFF"/>
        <w:spacing w:after="0" w:line="240" w:lineRule="auto"/>
      </w:pPr>
      <w:r>
        <w:rPr>
          <w:rFonts w:ascii="Times New Roman" w:eastAsia="Times New Roman" w:hAnsi="Times New Roman" w:cs="Times New Roman"/>
          <w:color w:val="000000"/>
          <w:kern w:val="0"/>
        </w:rPr>
        <w:t>The conversion of wind energy into electricity using wind turbines.</w:t>
      </w:r>
    </w:p>
    <w:p w14:paraId="3F64419D"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0435EE71"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240926B1"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0E1E0C47"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31C9A735"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20206490"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15BEA6A8" w14:textId="77777777" w:rsidR="00C4353F" w:rsidRDefault="00000000">
      <w:pPr>
        <w:shd w:val="clear" w:color="auto" w:fill="FFFFFF"/>
        <w:spacing w:after="0" w:line="240" w:lineRule="auto"/>
        <w:jc w:val="both"/>
      </w:pPr>
      <w:r>
        <w:rPr>
          <w:rFonts w:ascii="Times New Roman" w:eastAsia="Times New Roman" w:hAnsi="Times New Roman" w:cs="Times New Roman"/>
          <w:color w:val="000000"/>
          <w:kern w:val="0"/>
        </w:rPr>
        <w:t> </w:t>
      </w:r>
    </w:p>
    <w:p w14:paraId="4E0C334D"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 </w:t>
      </w:r>
    </w:p>
    <w:p w14:paraId="4518FA9F" w14:textId="77777777" w:rsidR="00C4353F" w:rsidRDefault="00000000">
      <w:pPr>
        <w:shd w:val="clear" w:color="auto" w:fill="FFFFFF"/>
        <w:spacing w:after="0" w:line="240" w:lineRule="auto"/>
        <w:jc w:val="both"/>
      </w:pPr>
      <w:r>
        <w:rPr>
          <w:rFonts w:ascii="Times New Roman" w:eastAsia="Times New Roman" w:hAnsi="Times New Roman" w:cs="Times New Roman"/>
          <w:b/>
          <w:bCs/>
          <w:color w:val="000000"/>
          <w:kern w:val="0"/>
        </w:rPr>
        <w:t> </w:t>
      </w:r>
    </w:p>
    <w:p w14:paraId="6A5383F2" w14:textId="77777777" w:rsidR="00C4353F" w:rsidRDefault="00000000">
      <w:pPr>
        <w:shd w:val="clear" w:color="auto" w:fill="FFFFFF"/>
        <w:spacing w:after="0" w:line="240" w:lineRule="auto"/>
      </w:pPr>
      <w:r>
        <w:rPr>
          <w:rFonts w:ascii="Times New Roman" w:eastAsia="Times New Roman" w:hAnsi="Times New Roman" w:cs="Times New Roman"/>
          <w:b/>
          <w:bCs/>
          <w:color w:val="000000"/>
          <w:kern w:val="0"/>
        </w:rPr>
        <w:t> </w:t>
      </w:r>
    </w:p>
    <w:p w14:paraId="20F9C11E" w14:textId="77777777" w:rsidR="00C4353F" w:rsidRDefault="00000000">
      <w:pPr>
        <w:spacing w:before="240" w:after="240" w:line="240" w:lineRule="auto"/>
        <w:jc w:val="both"/>
      </w:pPr>
      <w:r>
        <w:rPr>
          <w:rFonts w:ascii="Times New Roman" w:eastAsia="Times New Roman" w:hAnsi="Times New Roman" w:cs="Times New Roman"/>
          <w:b/>
          <w:bCs/>
          <w:color w:val="000000"/>
          <w:kern w:val="0"/>
          <w:u w:val="single"/>
        </w:rPr>
        <w:t> </w:t>
      </w:r>
    </w:p>
    <w:p w14:paraId="28726C73" w14:textId="0FCCD7ED" w:rsidR="00C4353F" w:rsidRDefault="00E24CCB" w:rsidP="008F0F34">
      <w:pPr>
        <w:pStyle w:val="Heading2"/>
      </w:pPr>
      <w:bookmarkStart w:id="24" w:name="_Toc219801438"/>
      <w:r>
        <w:lastRenderedPageBreak/>
        <w:t>Conversion Factors</w:t>
      </w:r>
      <w:bookmarkEnd w:id="24"/>
      <w:r>
        <w:br/>
      </w:r>
      <w:r>
        <w:br/>
      </w:r>
    </w:p>
    <w:tbl>
      <w:tblPr>
        <w:tblW w:w="9090" w:type="dxa"/>
        <w:tblCellMar>
          <w:left w:w="10" w:type="dxa"/>
          <w:right w:w="10" w:type="dxa"/>
        </w:tblCellMar>
        <w:tblLook w:val="0000" w:firstRow="0" w:lastRow="0" w:firstColumn="0" w:lastColumn="0" w:noHBand="0" w:noVBand="0"/>
      </w:tblPr>
      <w:tblGrid>
        <w:gridCol w:w="5025"/>
        <w:gridCol w:w="705"/>
        <w:gridCol w:w="1260"/>
        <w:gridCol w:w="1575"/>
        <w:gridCol w:w="525"/>
      </w:tblGrid>
      <w:tr w:rsidR="00C4353F" w14:paraId="37873CD4" w14:textId="77777777">
        <w:trPr>
          <w:trHeight w:val="315"/>
        </w:trPr>
        <w:tc>
          <w:tcPr>
            <w:tcW w:w="9090" w:type="dxa"/>
            <w:gridSpan w:val="5"/>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B7355E" w14:textId="77777777" w:rsidR="00C4353F" w:rsidRDefault="00000000">
            <w:pPr>
              <w:spacing w:before="240" w:after="0"/>
              <w:jc w:val="center"/>
            </w:pPr>
            <w:r>
              <w:rPr>
                <w:rFonts w:ascii="Calibri" w:eastAsia="Calibri" w:hAnsi="Calibri" w:cs="Calibri"/>
                <w:b/>
                <w:bCs/>
              </w:rPr>
              <w:t>Energy  Products Conversion Factors</w:t>
            </w:r>
          </w:p>
        </w:tc>
      </w:tr>
      <w:tr w:rsidR="00C4353F" w14:paraId="7613F95B"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355726" w14:textId="77777777" w:rsidR="00C4353F" w:rsidRDefault="00000000">
            <w:pPr>
              <w:spacing w:before="240" w:after="0"/>
            </w:pPr>
            <w:r>
              <w:rPr>
                <w:rFonts w:ascii="Calibri" w:eastAsia="Calibri" w:hAnsi="Calibri" w:cs="Calibri"/>
              </w:rPr>
              <w:t>Electricity</w:t>
            </w:r>
          </w:p>
        </w:tc>
        <w:tc>
          <w:tcPr>
            <w:tcW w:w="70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B5D273E" w14:textId="77777777" w:rsidR="00C4353F" w:rsidRDefault="00000000">
            <w:pPr>
              <w:spacing w:before="240" w:after="0"/>
              <w:jc w:val="right"/>
            </w:pPr>
            <w:r>
              <w:rPr>
                <w:rFonts w:ascii="Calibri" w:eastAsia="Calibri" w:hAnsi="Calibri" w:cs="Calibri"/>
              </w:rPr>
              <w:t>1</w:t>
            </w:r>
          </w:p>
        </w:tc>
        <w:tc>
          <w:tcPr>
            <w:tcW w:w="126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FB75894" w14:textId="77777777" w:rsidR="00C4353F" w:rsidRDefault="00000000">
            <w:pPr>
              <w:spacing w:before="240" w:after="0"/>
            </w:pPr>
            <w:r>
              <w:rPr>
                <w:rFonts w:ascii="Calibri" w:eastAsia="Calibri" w:hAnsi="Calibri" w:cs="Calibri"/>
              </w:rPr>
              <w:t>GWh</w:t>
            </w:r>
          </w:p>
        </w:tc>
        <w:tc>
          <w:tcPr>
            <w:tcW w:w="15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CE048D" w14:textId="77777777" w:rsidR="00C4353F" w:rsidRDefault="00000000">
            <w:pPr>
              <w:spacing w:before="240" w:after="0"/>
              <w:jc w:val="right"/>
            </w:pPr>
            <w:r>
              <w:rPr>
                <w:rFonts w:ascii="Calibri" w:eastAsia="Calibri" w:hAnsi="Calibri" w:cs="Calibri"/>
              </w:rPr>
              <w:t>3.6</w:t>
            </w:r>
          </w:p>
        </w:tc>
        <w:tc>
          <w:tcPr>
            <w:tcW w:w="5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5916672" w14:textId="77777777" w:rsidR="00C4353F" w:rsidRDefault="00000000">
            <w:pPr>
              <w:spacing w:before="240" w:after="0"/>
            </w:pPr>
            <w:r>
              <w:rPr>
                <w:rFonts w:ascii="Calibri" w:eastAsia="Calibri" w:hAnsi="Calibri" w:cs="Calibri"/>
              </w:rPr>
              <w:t>TJ</w:t>
            </w:r>
          </w:p>
        </w:tc>
      </w:tr>
      <w:tr w:rsidR="00C4353F" w14:paraId="60A78A93"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51FF02" w14:textId="77777777" w:rsidR="00C4353F" w:rsidRDefault="00000000">
            <w:pPr>
              <w:spacing w:before="240" w:after="0"/>
            </w:pPr>
            <w:r>
              <w:rPr>
                <w:rFonts w:ascii="Calibri" w:eastAsia="Calibri" w:hAnsi="Calibri" w:cs="Calibri"/>
              </w:rPr>
              <w:t xml:space="preserve"> Automotive Gas Oil(AGO) or Light Diesel Oil</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B0DFBF"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F846B24"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0F2C3A" w14:textId="77777777" w:rsidR="00C4353F" w:rsidRDefault="00000000">
            <w:pPr>
              <w:spacing w:before="240" w:after="0"/>
              <w:jc w:val="right"/>
            </w:pPr>
            <w:r>
              <w:rPr>
                <w:rFonts w:ascii="Calibri" w:eastAsia="Calibri" w:hAnsi="Calibri" w:cs="Calibri"/>
              </w:rPr>
              <w:t>0.00003591</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209958" w14:textId="77777777" w:rsidR="00C4353F" w:rsidRDefault="00000000">
            <w:pPr>
              <w:spacing w:before="240" w:after="0"/>
            </w:pPr>
            <w:r>
              <w:rPr>
                <w:rFonts w:ascii="Calibri" w:eastAsia="Calibri" w:hAnsi="Calibri" w:cs="Calibri"/>
              </w:rPr>
              <w:t>TJ</w:t>
            </w:r>
          </w:p>
        </w:tc>
      </w:tr>
      <w:tr w:rsidR="00C4353F" w14:paraId="72E210C1"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7C1FCB" w14:textId="77777777" w:rsidR="00C4353F" w:rsidRDefault="00000000">
            <w:pPr>
              <w:spacing w:before="240" w:after="0"/>
            </w:pPr>
            <w:r>
              <w:rPr>
                <w:rFonts w:ascii="Calibri" w:eastAsia="Calibri" w:hAnsi="Calibri" w:cs="Calibri"/>
              </w:rPr>
              <w:t>Jet fuel(kerosene type jet fuel)</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DC61EC"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A576E5"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CF1911" w14:textId="77777777" w:rsidR="00C4353F" w:rsidRDefault="00000000">
            <w:pPr>
              <w:spacing w:before="240" w:after="0"/>
              <w:jc w:val="right"/>
            </w:pPr>
            <w:r>
              <w:rPr>
                <w:rFonts w:ascii="Calibri" w:eastAsia="Calibri" w:hAnsi="Calibri" w:cs="Calibri"/>
              </w:rPr>
              <w:t>0.0000344</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016DE8" w14:textId="77777777" w:rsidR="00C4353F" w:rsidRDefault="00000000">
            <w:pPr>
              <w:spacing w:before="240" w:after="0"/>
            </w:pPr>
            <w:r>
              <w:rPr>
                <w:rFonts w:ascii="Calibri" w:eastAsia="Calibri" w:hAnsi="Calibri" w:cs="Calibri"/>
              </w:rPr>
              <w:t>TJ</w:t>
            </w:r>
          </w:p>
        </w:tc>
      </w:tr>
      <w:tr w:rsidR="00C4353F" w14:paraId="6B8FF9ED"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A9B425" w14:textId="77777777" w:rsidR="00C4353F" w:rsidRDefault="00000000">
            <w:pPr>
              <w:spacing w:before="240" w:after="0"/>
            </w:pPr>
            <w:r>
              <w:rPr>
                <w:rFonts w:ascii="Calibri" w:eastAsia="Calibri" w:hAnsi="Calibri" w:cs="Calibri"/>
              </w:rPr>
              <w:t>Illuminating kerosene</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70EF58"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9ADF22"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6EDEDC" w14:textId="77777777" w:rsidR="00C4353F" w:rsidRDefault="00000000">
            <w:pPr>
              <w:spacing w:before="240" w:after="0"/>
              <w:jc w:val="right"/>
            </w:pPr>
            <w:r>
              <w:rPr>
                <w:rFonts w:ascii="Calibri" w:eastAsia="Calibri" w:hAnsi="Calibri" w:cs="Calibri"/>
              </w:rPr>
              <w:t>0.0000348</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689102" w14:textId="77777777" w:rsidR="00C4353F" w:rsidRDefault="00000000">
            <w:pPr>
              <w:spacing w:before="240" w:after="0"/>
            </w:pPr>
            <w:r>
              <w:rPr>
                <w:rFonts w:ascii="Calibri" w:eastAsia="Calibri" w:hAnsi="Calibri" w:cs="Calibri"/>
              </w:rPr>
              <w:t>TJ</w:t>
            </w:r>
          </w:p>
        </w:tc>
      </w:tr>
      <w:tr w:rsidR="00C4353F" w14:paraId="35DB7F3A"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73F123" w14:textId="77777777" w:rsidR="00C4353F" w:rsidRDefault="00000000">
            <w:pPr>
              <w:spacing w:before="240" w:after="0"/>
            </w:pPr>
            <w:r>
              <w:rPr>
                <w:rFonts w:ascii="Calibri" w:eastAsia="Calibri" w:hAnsi="Calibri" w:cs="Calibri"/>
              </w:rPr>
              <w:t>Liquefied Petroleum Gas(LPG)</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F67EE4"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6ECCFE" w14:textId="77777777" w:rsidR="00C4353F" w:rsidRDefault="00000000">
            <w:pPr>
              <w:spacing w:before="240" w:after="0"/>
            </w:pPr>
            <w:r>
              <w:rPr>
                <w:rFonts w:ascii="Calibri" w:eastAsia="Calibri" w:hAnsi="Calibri" w:cs="Calibri"/>
              </w:rPr>
              <w:t>MT</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BAEFC9" w14:textId="77777777" w:rsidR="00C4353F" w:rsidRDefault="00000000">
            <w:pPr>
              <w:spacing w:before="240" w:after="0"/>
              <w:jc w:val="right"/>
            </w:pPr>
            <w:r>
              <w:rPr>
                <w:rFonts w:ascii="Calibri" w:eastAsia="Calibri" w:hAnsi="Calibri" w:cs="Calibri"/>
              </w:rPr>
              <w:t>0.0000461</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8DBEC0" w14:textId="77777777" w:rsidR="00C4353F" w:rsidRDefault="00000000">
            <w:pPr>
              <w:spacing w:before="240" w:after="0"/>
            </w:pPr>
            <w:r>
              <w:rPr>
                <w:rFonts w:ascii="Calibri" w:eastAsia="Calibri" w:hAnsi="Calibri" w:cs="Calibri"/>
              </w:rPr>
              <w:t>TJ</w:t>
            </w:r>
          </w:p>
        </w:tc>
      </w:tr>
      <w:tr w:rsidR="00C4353F" w14:paraId="0CE44C5F"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ACA5BE" w14:textId="77777777" w:rsidR="00C4353F" w:rsidRDefault="00000000">
            <w:pPr>
              <w:spacing w:before="240" w:after="0"/>
            </w:pPr>
            <w:r>
              <w:rPr>
                <w:rFonts w:ascii="Calibri" w:eastAsia="Calibri" w:hAnsi="Calibri" w:cs="Calibri"/>
              </w:rPr>
              <w:t>13 kg of LPG</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5F4EE1" w14:textId="77777777" w:rsidR="00C4353F" w:rsidRDefault="00000000">
            <w:pPr>
              <w:spacing w:before="240" w:after="0"/>
              <w:jc w:val="right"/>
            </w:pPr>
            <w:r>
              <w:rPr>
                <w:rFonts w:ascii="Calibri" w:eastAsia="Calibri" w:hAnsi="Calibri" w:cs="Calibri"/>
              </w:rPr>
              <w:t>13</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61D3F1" w14:textId="77777777" w:rsidR="00C4353F" w:rsidRDefault="00000000">
            <w:pPr>
              <w:spacing w:before="240" w:after="0"/>
            </w:pPr>
            <w:r>
              <w:rPr>
                <w:rFonts w:ascii="Calibri" w:eastAsia="Calibri" w:hAnsi="Calibri" w:cs="Calibri"/>
              </w:rPr>
              <w:t>Kg</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0CCC52" w14:textId="77777777" w:rsidR="00C4353F" w:rsidRDefault="00000000">
            <w:pPr>
              <w:spacing w:before="240" w:after="0"/>
              <w:jc w:val="right"/>
            </w:pPr>
            <w:r>
              <w:rPr>
                <w:rFonts w:ascii="Calibri" w:eastAsia="Calibri" w:hAnsi="Calibri" w:cs="Calibri"/>
              </w:rPr>
              <w:t>0.00065</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744BA" w14:textId="77777777" w:rsidR="00C4353F" w:rsidRDefault="00000000">
            <w:pPr>
              <w:spacing w:before="240" w:after="0"/>
            </w:pPr>
            <w:r>
              <w:rPr>
                <w:rFonts w:ascii="Calibri" w:eastAsia="Calibri" w:hAnsi="Calibri" w:cs="Calibri"/>
              </w:rPr>
              <w:t>TJ</w:t>
            </w:r>
          </w:p>
        </w:tc>
      </w:tr>
      <w:tr w:rsidR="00C4353F" w14:paraId="03DAC321"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527FDA" w14:textId="77777777" w:rsidR="00C4353F" w:rsidRDefault="00000000">
            <w:pPr>
              <w:spacing w:before="240" w:after="0"/>
            </w:pPr>
            <w:r>
              <w:rPr>
                <w:rFonts w:ascii="Calibri" w:eastAsia="Calibri" w:hAnsi="Calibri" w:cs="Calibri"/>
              </w:rPr>
              <w:t>White spirit</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FF8F88"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323D3A"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63DEB1" w14:textId="77777777" w:rsidR="00C4353F" w:rsidRDefault="00000000">
            <w:pPr>
              <w:spacing w:before="240" w:after="0"/>
              <w:jc w:val="right"/>
            </w:pPr>
            <w:r>
              <w:rPr>
                <w:rFonts w:ascii="Calibri" w:eastAsia="Calibri" w:hAnsi="Calibri" w:cs="Calibri"/>
              </w:rPr>
              <w:t>0.000034</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63199F" w14:textId="77777777" w:rsidR="00C4353F" w:rsidRDefault="00000000">
            <w:pPr>
              <w:spacing w:before="240" w:after="0"/>
            </w:pPr>
            <w:r>
              <w:rPr>
                <w:rFonts w:ascii="Calibri" w:eastAsia="Calibri" w:hAnsi="Calibri" w:cs="Calibri"/>
              </w:rPr>
              <w:t>TJ</w:t>
            </w:r>
          </w:p>
        </w:tc>
      </w:tr>
      <w:tr w:rsidR="00C4353F" w14:paraId="79E06A5D"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7C7EB5" w14:textId="77777777" w:rsidR="00C4353F" w:rsidRDefault="00000000">
            <w:pPr>
              <w:spacing w:before="240" w:after="0"/>
            </w:pPr>
            <w:r>
              <w:rPr>
                <w:rFonts w:ascii="Calibri" w:eastAsia="Calibri" w:hAnsi="Calibri" w:cs="Calibri"/>
              </w:rPr>
              <w:t>Motor Spirit Premium</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15EF07"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7F8A08"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DF0803" w14:textId="77777777" w:rsidR="00C4353F" w:rsidRDefault="00000000">
            <w:pPr>
              <w:spacing w:before="240" w:after="0"/>
              <w:jc w:val="right"/>
            </w:pPr>
            <w:r>
              <w:rPr>
                <w:rFonts w:ascii="Calibri" w:eastAsia="Calibri" w:hAnsi="Calibri" w:cs="Calibri"/>
              </w:rPr>
              <w:t>0.000032035</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4309EB" w14:textId="77777777" w:rsidR="00C4353F" w:rsidRDefault="00000000">
            <w:pPr>
              <w:spacing w:before="240" w:after="0"/>
            </w:pPr>
            <w:r>
              <w:rPr>
                <w:rFonts w:ascii="Calibri" w:eastAsia="Calibri" w:hAnsi="Calibri" w:cs="Calibri"/>
              </w:rPr>
              <w:t>TJ</w:t>
            </w:r>
          </w:p>
        </w:tc>
      </w:tr>
      <w:tr w:rsidR="00C4353F" w14:paraId="06441471"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5D6480" w14:textId="77777777" w:rsidR="00C4353F" w:rsidRDefault="00000000">
            <w:pPr>
              <w:spacing w:before="240" w:after="0"/>
            </w:pPr>
            <w:r>
              <w:rPr>
                <w:rFonts w:ascii="Calibri" w:eastAsia="Calibri" w:hAnsi="Calibri" w:cs="Calibri"/>
              </w:rPr>
              <w:t>coal</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E55FEF"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9E4113" w14:textId="77777777" w:rsidR="00C4353F" w:rsidRDefault="00000000">
            <w:pPr>
              <w:spacing w:before="240" w:after="0"/>
            </w:pPr>
            <w:r>
              <w:rPr>
                <w:rFonts w:ascii="Calibri" w:eastAsia="Calibri" w:hAnsi="Calibri" w:cs="Calibri"/>
              </w:rPr>
              <w:t>kg</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3322EF" w14:textId="77777777" w:rsidR="00C4353F" w:rsidRDefault="00000000">
            <w:pPr>
              <w:spacing w:before="240" w:after="0"/>
              <w:jc w:val="right"/>
            </w:pPr>
            <w:r>
              <w:rPr>
                <w:rFonts w:ascii="Calibri" w:eastAsia="Calibri" w:hAnsi="Calibri" w:cs="Calibri"/>
              </w:rPr>
              <w:t>0.000027</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D00B08" w14:textId="77777777" w:rsidR="00C4353F" w:rsidRDefault="00000000">
            <w:pPr>
              <w:spacing w:before="240" w:after="0"/>
            </w:pPr>
            <w:r>
              <w:rPr>
                <w:rFonts w:ascii="Calibri" w:eastAsia="Calibri" w:hAnsi="Calibri" w:cs="Calibri"/>
              </w:rPr>
              <w:t>TJ</w:t>
            </w:r>
          </w:p>
        </w:tc>
      </w:tr>
      <w:tr w:rsidR="00C4353F" w14:paraId="173829E9"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D0E10E" w14:textId="77777777" w:rsidR="00C4353F" w:rsidRDefault="00000000">
            <w:pPr>
              <w:spacing w:before="240" w:after="0"/>
            </w:pPr>
            <w:r>
              <w:rPr>
                <w:rFonts w:ascii="Calibri" w:eastAsia="Calibri" w:hAnsi="Calibri" w:cs="Calibri"/>
              </w:rPr>
              <w:t>coke</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56C427"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B005ED" w14:textId="77777777" w:rsidR="00C4353F" w:rsidRDefault="00000000">
            <w:pPr>
              <w:spacing w:before="240" w:after="0"/>
            </w:pPr>
            <w:r>
              <w:rPr>
                <w:rFonts w:ascii="Calibri" w:eastAsia="Calibri" w:hAnsi="Calibri" w:cs="Calibri"/>
              </w:rPr>
              <w:t>Kg</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E03561" w14:textId="77777777" w:rsidR="00C4353F" w:rsidRDefault="00000000">
            <w:pPr>
              <w:spacing w:before="240" w:after="0"/>
              <w:jc w:val="right"/>
            </w:pPr>
            <w:r>
              <w:rPr>
                <w:rFonts w:ascii="Calibri" w:eastAsia="Calibri" w:hAnsi="Calibri" w:cs="Calibri"/>
              </w:rPr>
              <w:t>0.00002831</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6CB3BC" w14:textId="77777777" w:rsidR="00C4353F" w:rsidRDefault="00000000">
            <w:pPr>
              <w:spacing w:before="240" w:after="0"/>
            </w:pPr>
            <w:r>
              <w:rPr>
                <w:rFonts w:ascii="Calibri" w:eastAsia="Calibri" w:hAnsi="Calibri" w:cs="Calibri"/>
              </w:rPr>
              <w:t>TJ</w:t>
            </w:r>
          </w:p>
        </w:tc>
      </w:tr>
      <w:tr w:rsidR="00C4353F" w14:paraId="514ADBD8"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AC97B9" w14:textId="77777777" w:rsidR="00C4353F" w:rsidRDefault="00000000">
            <w:pPr>
              <w:spacing w:before="240" w:after="0"/>
            </w:pPr>
            <w:r>
              <w:rPr>
                <w:rFonts w:ascii="Calibri" w:eastAsia="Calibri" w:hAnsi="Calibri" w:cs="Calibri"/>
              </w:rPr>
              <w:t>Aviation spirit(Aviation gasoline)</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458A5E"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DA2324"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832AF8" w14:textId="77777777" w:rsidR="00C4353F" w:rsidRDefault="00000000">
            <w:pPr>
              <w:spacing w:before="240" w:after="0"/>
              <w:jc w:val="right"/>
            </w:pPr>
            <w:r>
              <w:rPr>
                <w:rFonts w:ascii="Calibri" w:eastAsia="Calibri" w:hAnsi="Calibri" w:cs="Calibri"/>
              </w:rPr>
              <w:t>0.000032</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142E8D" w14:textId="77777777" w:rsidR="00C4353F" w:rsidRDefault="00000000">
            <w:pPr>
              <w:spacing w:before="240" w:after="0"/>
            </w:pPr>
            <w:r>
              <w:rPr>
                <w:rFonts w:ascii="Calibri" w:eastAsia="Calibri" w:hAnsi="Calibri" w:cs="Calibri"/>
              </w:rPr>
              <w:t>TJ</w:t>
            </w:r>
          </w:p>
        </w:tc>
      </w:tr>
      <w:tr w:rsidR="00C4353F" w14:paraId="216070D1"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E0DACA" w14:textId="77777777" w:rsidR="00C4353F" w:rsidRDefault="00000000">
            <w:pPr>
              <w:spacing w:before="240" w:after="0"/>
            </w:pPr>
            <w:r>
              <w:rPr>
                <w:rFonts w:ascii="Calibri" w:eastAsia="Calibri" w:hAnsi="Calibri" w:cs="Calibri"/>
              </w:rPr>
              <w:t>Charcoal</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3651BF"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EAE87A" w14:textId="77777777" w:rsidR="00C4353F" w:rsidRDefault="00000000">
            <w:pPr>
              <w:spacing w:before="240" w:after="0"/>
            </w:pPr>
            <w:r>
              <w:rPr>
                <w:rFonts w:ascii="Calibri" w:eastAsia="Calibri" w:hAnsi="Calibri" w:cs="Calibri"/>
              </w:rPr>
              <w:t>kg</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E54CDE" w14:textId="77777777" w:rsidR="00C4353F" w:rsidRDefault="00000000">
            <w:pPr>
              <w:spacing w:before="240" w:after="0"/>
              <w:jc w:val="right"/>
            </w:pPr>
            <w:r>
              <w:rPr>
                <w:rFonts w:ascii="Calibri" w:eastAsia="Calibri" w:hAnsi="Calibri" w:cs="Calibri"/>
              </w:rPr>
              <w:t>0.00003</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C28B21" w14:textId="77777777" w:rsidR="00C4353F" w:rsidRDefault="00000000">
            <w:pPr>
              <w:spacing w:before="240" w:after="0"/>
            </w:pPr>
            <w:r>
              <w:rPr>
                <w:rFonts w:ascii="Calibri" w:eastAsia="Calibri" w:hAnsi="Calibri" w:cs="Calibri"/>
              </w:rPr>
              <w:t>TJ</w:t>
            </w:r>
          </w:p>
        </w:tc>
      </w:tr>
      <w:tr w:rsidR="00C4353F" w14:paraId="3C5614F6"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D4D746" w14:textId="77777777" w:rsidR="00C4353F" w:rsidRDefault="00000000">
            <w:pPr>
              <w:spacing w:before="240" w:after="0"/>
            </w:pPr>
            <w:r>
              <w:rPr>
                <w:rFonts w:ascii="Calibri" w:eastAsia="Calibri" w:hAnsi="Calibri" w:cs="Calibri"/>
              </w:rPr>
              <w:t>Firewood</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5347A2"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EFFC53" w14:textId="77777777" w:rsidR="00C4353F" w:rsidRDefault="00000000">
            <w:pPr>
              <w:spacing w:before="240" w:after="0"/>
            </w:pPr>
            <w:r>
              <w:rPr>
                <w:rFonts w:ascii="Calibri" w:eastAsia="Calibri" w:hAnsi="Calibri" w:cs="Calibri"/>
              </w:rPr>
              <w:t>MT</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AFDA56" w14:textId="77777777" w:rsidR="00C4353F" w:rsidRDefault="00000000">
            <w:pPr>
              <w:spacing w:before="240" w:after="0"/>
              <w:jc w:val="right"/>
            </w:pPr>
            <w:r>
              <w:rPr>
                <w:rFonts w:ascii="Calibri" w:eastAsia="Calibri" w:hAnsi="Calibri" w:cs="Calibri"/>
              </w:rPr>
              <w:t>0.0156</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57FB72" w14:textId="77777777" w:rsidR="00C4353F" w:rsidRDefault="00000000">
            <w:pPr>
              <w:spacing w:before="240" w:after="0"/>
            </w:pPr>
            <w:r>
              <w:rPr>
                <w:rFonts w:ascii="Calibri" w:eastAsia="Calibri" w:hAnsi="Calibri" w:cs="Calibri"/>
              </w:rPr>
              <w:t>TJ</w:t>
            </w:r>
          </w:p>
        </w:tc>
      </w:tr>
      <w:tr w:rsidR="00C4353F" w14:paraId="6E88B970"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6F0552" w14:textId="77777777" w:rsidR="00C4353F" w:rsidRDefault="00000000">
            <w:pPr>
              <w:spacing w:before="240" w:after="0"/>
            </w:pPr>
            <w:r>
              <w:rPr>
                <w:rFonts w:ascii="Calibri" w:eastAsia="Calibri" w:hAnsi="Calibri" w:cs="Calibri"/>
              </w:rPr>
              <w:t>Electricity</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2C0078"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1AC1BA" w14:textId="77777777" w:rsidR="00C4353F" w:rsidRDefault="00000000">
            <w:pPr>
              <w:spacing w:before="240" w:after="0"/>
            </w:pPr>
            <w:r>
              <w:rPr>
                <w:rFonts w:ascii="Calibri" w:eastAsia="Calibri" w:hAnsi="Calibri" w:cs="Calibri"/>
              </w:rPr>
              <w:t>Kwh</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86D702" w14:textId="77777777" w:rsidR="00C4353F" w:rsidRDefault="00000000">
            <w:pPr>
              <w:spacing w:before="240" w:after="0"/>
              <w:jc w:val="right"/>
            </w:pPr>
            <w:r>
              <w:rPr>
                <w:rFonts w:ascii="Calibri" w:eastAsia="Calibri" w:hAnsi="Calibri" w:cs="Calibri"/>
              </w:rPr>
              <w:t>0.0000036</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F34AC7" w14:textId="77777777" w:rsidR="00C4353F" w:rsidRDefault="00000000">
            <w:pPr>
              <w:spacing w:before="240" w:after="0"/>
            </w:pPr>
            <w:r>
              <w:rPr>
                <w:rFonts w:ascii="Calibri" w:eastAsia="Calibri" w:hAnsi="Calibri" w:cs="Calibri"/>
              </w:rPr>
              <w:t>TJ</w:t>
            </w:r>
          </w:p>
        </w:tc>
      </w:tr>
      <w:tr w:rsidR="00C4353F" w14:paraId="0E2F7D1F"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3EF55A" w14:textId="77777777" w:rsidR="00C4353F" w:rsidRDefault="00000000">
            <w:pPr>
              <w:spacing w:before="240" w:after="0"/>
            </w:pPr>
            <w:r>
              <w:rPr>
                <w:rFonts w:ascii="Calibri" w:eastAsia="Calibri" w:hAnsi="Calibri" w:cs="Calibri"/>
              </w:rPr>
              <w:t>Fuel oil</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573452"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7EF139"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F903D4" w14:textId="77777777" w:rsidR="00C4353F" w:rsidRDefault="00000000">
            <w:pPr>
              <w:spacing w:before="240" w:after="0"/>
              <w:jc w:val="right"/>
            </w:pPr>
            <w:r>
              <w:rPr>
                <w:rFonts w:ascii="Calibri" w:eastAsia="Calibri" w:hAnsi="Calibri" w:cs="Calibri"/>
              </w:rPr>
              <w:t>0.00003888</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14B9FA" w14:textId="77777777" w:rsidR="00C4353F" w:rsidRDefault="00000000">
            <w:pPr>
              <w:spacing w:before="240" w:after="0"/>
            </w:pPr>
            <w:r>
              <w:rPr>
                <w:rFonts w:ascii="Calibri" w:eastAsia="Calibri" w:hAnsi="Calibri" w:cs="Calibri"/>
              </w:rPr>
              <w:t>TJ</w:t>
            </w:r>
          </w:p>
        </w:tc>
      </w:tr>
      <w:tr w:rsidR="00C4353F" w14:paraId="552CA7EC" w14:textId="77777777">
        <w:trPr>
          <w:trHeight w:val="270"/>
        </w:trPr>
        <w:tc>
          <w:tcPr>
            <w:tcW w:w="5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DFC4CF" w14:textId="77777777" w:rsidR="00C4353F" w:rsidRDefault="00000000">
            <w:pPr>
              <w:spacing w:before="240" w:after="0"/>
            </w:pPr>
            <w:r>
              <w:rPr>
                <w:rFonts w:ascii="Calibri" w:eastAsia="Calibri" w:hAnsi="Calibri" w:cs="Calibri"/>
              </w:rPr>
              <w:t>Heavy Diesel Oil</w:t>
            </w:r>
          </w:p>
        </w:tc>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8E1C07" w14:textId="77777777" w:rsidR="00C4353F" w:rsidRDefault="00000000">
            <w:pPr>
              <w:spacing w:before="240" w:after="0"/>
              <w:jc w:val="right"/>
            </w:pPr>
            <w:r>
              <w:rPr>
                <w:rFonts w:ascii="Calibri" w:eastAsia="Calibri" w:hAnsi="Calibri" w:cs="Calibri"/>
              </w:rPr>
              <w:t>1</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D628C9" w14:textId="77777777" w:rsidR="00C4353F" w:rsidRDefault="00000000">
            <w:pPr>
              <w:spacing w:before="240" w:after="0"/>
            </w:pPr>
            <w:r>
              <w:rPr>
                <w:rFonts w:ascii="Calibri" w:eastAsia="Calibri" w:hAnsi="Calibri" w:cs="Calibri"/>
              </w:rPr>
              <w:t>litre</w:t>
            </w:r>
          </w:p>
        </w:tc>
        <w:tc>
          <w:tcPr>
            <w:tcW w:w="15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E784C1" w14:textId="77777777" w:rsidR="00C4353F" w:rsidRDefault="00000000">
            <w:pPr>
              <w:spacing w:before="240" w:after="0"/>
              <w:jc w:val="right"/>
            </w:pPr>
            <w:r>
              <w:rPr>
                <w:rFonts w:ascii="Calibri" w:eastAsia="Calibri" w:hAnsi="Calibri" w:cs="Calibri"/>
              </w:rPr>
              <w:t>0.0000401</w:t>
            </w:r>
          </w:p>
        </w:tc>
        <w:tc>
          <w:tcPr>
            <w:tcW w:w="5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DCC2DE" w14:textId="77777777" w:rsidR="00C4353F" w:rsidRDefault="00000000">
            <w:pPr>
              <w:spacing w:before="240" w:after="0"/>
            </w:pPr>
            <w:r>
              <w:rPr>
                <w:rFonts w:ascii="Calibri" w:eastAsia="Calibri" w:hAnsi="Calibri" w:cs="Calibri"/>
              </w:rPr>
              <w:t>TJ</w:t>
            </w:r>
          </w:p>
        </w:tc>
      </w:tr>
    </w:tbl>
    <w:p w14:paraId="2D32EA71" w14:textId="77777777" w:rsidR="00C4353F" w:rsidRDefault="00C4353F">
      <w:pPr>
        <w:spacing w:after="240" w:line="240" w:lineRule="auto"/>
        <w:rPr>
          <w:rFonts w:ascii="Times New Roman" w:eastAsia="Times New Roman" w:hAnsi="Times New Roman" w:cs="Times New Roman"/>
          <w:color w:val="000000"/>
        </w:rPr>
      </w:pPr>
    </w:p>
    <w:p w14:paraId="1558C57F" w14:textId="77777777" w:rsidR="00C4353F" w:rsidRDefault="00C4353F">
      <w:pPr>
        <w:spacing w:line="240" w:lineRule="auto"/>
        <w:rPr>
          <w:rFonts w:ascii="Times New Roman" w:eastAsia="Times New Roman" w:hAnsi="Times New Roman" w:cs="Times New Roman"/>
          <w:color w:val="000000"/>
        </w:rPr>
      </w:pPr>
    </w:p>
    <w:p w14:paraId="099D67D1" w14:textId="77777777" w:rsidR="00C4353F" w:rsidRDefault="00C4353F">
      <w:pPr>
        <w:pageBreakBefore/>
      </w:pPr>
    </w:p>
    <w:p w14:paraId="76A465C2" w14:textId="77777777" w:rsidR="00C4353F" w:rsidRDefault="00C4353F">
      <w:pPr>
        <w:spacing w:line="240" w:lineRule="auto"/>
        <w:rPr>
          <w:rFonts w:ascii="Times New Roman" w:eastAsia="Times New Roman" w:hAnsi="Times New Roman" w:cs="Times New Roman"/>
          <w:color w:val="000000"/>
        </w:rPr>
      </w:pPr>
    </w:p>
    <w:p w14:paraId="1BE0C375" w14:textId="4B13638B" w:rsidR="00C4353F" w:rsidRDefault="00000000" w:rsidP="00E24CCB">
      <w:pPr>
        <w:pStyle w:val="Heading2"/>
      </w:pPr>
      <w:r>
        <w:t>    </w:t>
      </w:r>
      <w:bookmarkStart w:id="25" w:name="_Toc219801439"/>
      <w:r>
        <w:t>REFERENCES</w:t>
      </w:r>
      <w:bookmarkEnd w:id="25"/>
      <w:r>
        <w:t xml:space="preserve"> </w:t>
      </w:r>
    </w:p>
    <w:p w14:paraId="18B71C46" w14:textId="77777777" w:rsidR="00C4353F" w:rsidRDefault="00000000">
      <w:pPr>
        <w:spacing w:before="240" w:after="240" w:line="240" w:lineRule="auto"/>
      </w:pPr>
      <w:r>
        <w:rPr>
          <w:rFonts w:ascii="Calibri" w:eastAsia="Calibri" w:hAnsi="Calibri" w:cs="Calibri"/>
        </w:rPr>
        <w:t>Intergovernmental Panel on Climate Change. (2006). 2006 IPCC guidelines for national greenhouse gas inventories (Vol. 2). Institute for Global Environmental Strategies.</w:t>
      </w:r>
    </w:p>
    <w:p w14:paraId="43C468D2" w14:textId="77777777" w:rsidR="00C4353F" w:rsidRDefault="00C4353F">
      <w:pPr>
        <w:spacing w:before="240" w:after="240" w:line="240" w:lineRule="auto"/>
      </w:pPr>
      <w:hyperlink r:id="rId44" w:history="1">
        <w:r>
          <w:rPr>
            <w:rStyle w:val="Hyperlink"/>
            <w:rFonts w:ascii="Calibri" w:eastAsia="Calibri" w:hAnsi="Calibri" w:cs="Calibri"/>
          </w:rPr>
          <w:t>https://www.ipcc-nggip.iges.or.jp/public/2006gl/vol2.html</w:t>
        </w:r>
      </w:hyperlink>
    </w:p>
    <w:p w14:paraId="60F60D63" w14:textId="77777777" w:rsidR="00C4353F" w:rsidRDefault="00000000">
      <w:pPr>
        <w:spacing w:before="240" w:after="240" w:line="240" w:lineRule="auto"/>
      </w:pPr>
      <w:r>
        <w:rPr>
          <w:rFonts w:ascii="Calibri" w:eastAsia="Calibri" w:hAnsi="Calibri" w:cs="Calibri"/>
        </w:rPr>
        <w:t xml:space="preserve"> </w:t>
      </w:r>
    </w:p>
    <w:p w14:paraId="5A6C8BA5" w14:textId="77777777" w:rsidR="00C4353F" w:rsidRDefault="00000000">
      <w:pPr>
        <w:spacing w:before="240" w:after="240" w:line="240" w:lineRule="auto"/>
      </w:pPr>
      <w:r>
        <w:rPr>
          <w:rFonts w:ascii="Calibri" w:eastAsia="Calibri" w:hAnsi="Calibri" w:cs="Calibri"/>
        </w:rPr>
        <w:t>International Energy Agency. (2023). Energy statistics manual. OECD Publishing.</w:t>
      </w:r>
    </w:p>
    <w:p w14:paraId="11361C60" w14:textId="77777777" w:rsidR="00C4353F" w:rsidRDefault="00C4353F">
      <w:pPr>
        <w:spacing w:before="240" w:after="240" w:line="240" w:lineRule="auto"/>
      </w:pPr>
      <w:hyperlink r:id="rId45" w:history="1">
        <w:r>
          <w:rPr>
            <w:rStyle w:val="Hyperlink"/>
            <w:rFonts w:ascii="Calibri" w:eastAsia="Calibri" w:hAnsi="Calibri" w:cs="Calibri"/>
          </w:rPr>
          <w:t>https://www.iea.org/reports/energy-statistics-manual</w:t>
        </w:r>
      </w:hyperlink>
    </w:p>
    <w:p w14:paraId="63EB43C6" w14:textId="77777777" w:rsidR="00C4353F" w:rsidRDefault="00000000">
      <w:pPr>
        <w:spacing w:before="240" w:after="240" w:line="240" w:lineRule="auto"/>
      </w:pPr>
      <w:r>
        <w:rPr>
          <w:rFonts w:ascii="Calibri" w:eastAsia="Calibri" w:hAnsi="Calibri" w:cs="Calibri"/>
        </w:rPr>
        <w:t xml:space="preserve"> </w:t>
      </w:r>
    </w:p>
    <w:p w14:paraId="5393E5E9" w14:textId="77777777" w:rsidR="00C4353F" w:rsidRDefault="00000000">
      <w:pPr>
        <w:spacing w:before="240" w:after="240" w:line="240" w:lineRule="auto"/>
      </w:pPr>
      <w:r>
        <w:rPr>
          <w:rFonts w:ascii="Calibri" w:eastAsia="Calibri" w:hAnsi="Calibri" w:cs="Calibri"/>
        </w:rPr>
        <w:t>U.S. Energy Information Administration. (2024). Monthly energy review. U.S. Department of Energy.</w:t>
      </w:r>
    </w:p>
    <w:p w14:paraId="6BE7F375" w14:textId="77777777" w:rsidR="00C4353F" w:rsidRDefault="00C4353F">
      <w:pPr>
        <w:spacing w:before="240" w:after="240" w:line="240" w:lineRule="auto"/>
      </w:pPr>
      <w:hyperlink r:id="rId46" w:history="1">
        <w:r>
          <w:rPr>
            <w:rStyle w:val="Hyperlink"/>
            <w:rFonts w:ascii="Calibri" w:eastAsia="Calibri" w:hAnsi="Calibri" w:cs="Calibri"/>
          </w:rPr>
          <w:t>https://www.eia.gov/totalenergy/data/monthly/</w:t>
        </w:r>
      </w:hyperlink>
    </w:p>
    <w:p w14:paraId="3C73CB36" w14:textId="77777777" w:rsidR="00C4353F" w:rsidRDefault="00000000">
      <w:pPr>
        <w:spacing w:before="240" w:after="240" w:line="240" w:lineRule="auto"/>
      </w:pPr>
      <w:r>
        <w:rPr>
          <w:rFonts w:ascii="Calibri" w:eastAsia="Calibri" w:hAnsi="Calibri" w:cs="Calibri"/>
        </w:rPr>
        <w:t xml:space="preserve"> </w:t>
      </w:r>
    </w:p>
    <w:p w14:paraId="4147AC43" w14:textId="77777777" w:rsidR="00C4353F" w:rsidRDefault="00000000">
      <w:pPr>
        <w:spacing w:before="240" w:after="240" w:line="240" w:lineRule="auto"/>
      </w:pPr>
      <w:r>
        <w:rPr>
          <w:rFonts w:ascii="Calibri" w:eastAsia="Calibri" w:hAnsi="Calibri" w:cs="Calibri"/>
        </w:rPr>
        <w:t>United Nations. (2019). System of environmental-economic accounting for energy.</w:t>
      </w:r>
    </w:p>
    <w:p w14:paraId="75A8516A" w14:textId="77777777" w:rsidR="00C4353F" w:rsidRDefault="00C4353F">
      <w:pPr>
        <w:spacing w:before="240" w:after="240" w:line="240" w:lineRule="auto"/>
      </w:pPr>
      <w:hyperlink r:id="rId47" w:history="1">
        <w:r>
          <w:rPr>
            <w:rStyle w:val="Hyperlink"/>
            <w:rFonts w:ascii="Calibri" w:eastAsia="Calibri" w:hAnsi="Calibri" w:cs="Calibri"/>
          </w:rPr>
          <w:t>https://seea.un.org/content/seea-energy</w:t>
        </w:r>
      </w:hyperlink>
    </w:p>
    <w:p w14:paraId="55484FDC" w14:textId="77777777" w:rsidR="00C4353F" w:rsidRDefault="00C4353F">
      <w:pPr>
        <w:spacing w:line="240" w:lineRule="auto"/>
        <w:rPr>
          <w:rFonts w:ascii="Times New Roman" w:eastAsia="Times New Roman" w:hAnsi="Times New Roman" w:cs="Times New Roman"/>
          <w:color w:val="000000"/>
        </w:rPr>
      </w:pPr>
    </w:p>
    <w:p w14:paraId="522C8A9B" w14:textId="77777777" w:rsidR="00C4353F" w:rsidRDefault="00000000">
      <w:pPr>
        <w:spacing w:after="240" w:line="240" w:lineRule="auto"/>
        <w:rPr>
          <w:rFonts w:ascii="Times New Roman" w:eastAsia="Times New Roman" w:hAnsi="Times New Roman" w:cs="Times New Roman"/>
          <w:kern w:val="0"/>
        </w:rPr>
      </w:pPr>
      <w:r>
        <w:rPr>
          <w:rFonts w:ascii="Times New Roman" w:eastAsia="Times New Roman" w:hAnsi="Times New Roman" w:cs="Times New Roman"/>
          <w:kern w:val="0"/>
        </w:rPr>
        <w:br/>
      </w:r>
    </w:p>
    <w:p w14:paraId="11CE346D" w14:textId="77777777" w:rsidR="00C4353F" w:rsidRDefault="00000000">
      <w:pPr>
        <w:spacing w:line="240" w:lineRule="auto"/>
      </w:pPr>
      <w:r>
        <w:rPr>
          <w:rFonts w:ascii="Times New Roman" w:eastAsia="Times New Roman" w:hAnsi="Times New Roman" w:cs="Times New Roman"/>
          <w:color w:val="000000"/>
          <w:kern w:val="0"/>
        </w:rPr>
        <w:t>   </w:t>
      </w:r>
    </w:p>
    <w:p w14:paraId="2EBE0474" w14:textId="77777777" w:rsidR="00C4353F" w:rsidRDefault="00C4353F"/>
    <w:sectPr w:rsidR="00C4353F">
      <w:headerReference w:type="default" r:id="rId48"/>
      <w:footerReference w:type="default" r:id="rId4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F7A5" w14:textId="77777777" w:rsidR="00722AE1" w:rsidRDefault="00722AE1">
      <w:pPr>
        <w:spacing w:after="0" w:line="240" w:lineRule="auto"/>
      </w:pPr>
      <w:r>
        <w:separator/>
      </w:r>
    </w:p>
  </w:endnote>
  <w:endnote w:type="continuationSeparator" w:id="0">
    <w:p w14:paraId="287B34E9" w14:textId="77777777" w:rsidR="00722AE1" w:rsidRDefault="00722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455A" w14:textId="521EFEA0" w:rsidR="00E85A60" w:rsidRDefault="00E85A60">
    <w:pPr>
      <w:pStyle w:val="Footer"/>
    </w:pPr>
    <w:r>
      <w:rPr>
        <w:noProof/>
      </w:rPr>
      <mc:AlternateContent>
        <mc:Choice Requires="wps">
          <w:drawing>
            <wp:anchor distT="0" distB="0" distL="0" distR="0" simplePos="0" relativeHeight="251659264" behindDoc="0" locked="0" layoutInCell="1" allowOverlap="1" wp14:anchorId="0A1B2941" wp14:editId="64613BAB">
              <wp:simplePos x="635" y="635"/>
              <wp:positionH relativeFrom="page">
                <wp:align>right</wp:align>
              </wp:positionH>
              <wp:positionV relativeFrom="page">
                <wp:align>bottom</wp:align>
              </wp:positionV>
              <wp:extent cx="1170305" cy="368935"/>
              <wp:effectExtent l="0" t="0" r="0" b="0"/>
              <wp:wrapNone/>
              <wp:docPr id="111122068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50629ECA" w14:textId="7272819F"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1B2941"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" filled="f" stroked="f">
              <v:fill o:detectmouseclick="t"/>
              <v:textbox style="mso-fit-shape-to-text:t" inset="0,0,20pt,15pt">
                <w:txbxContent>
                  <w:p w14:paraId="50629ECA" w14:textId="7272819F"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1C9624D9" w14:textId="77777777">
      <w:trPr>
        <w:trHeight w:val="300"/>
      </w:trPr>
      <w:tc>
        <w:tcPr>
          <w:tcW w:w="3120" w:type="dxa"/>
          <w:tcMar>
            <w:top w:w="0" w:type="dxa"/>
            <w:left w:w="108" w:type="dxa"/>
            <w:bottom w:w="0" w:type="dxa"/>
            <w:right w:w="108" w:type="dxa"/>
          </w:tcMar>
        </w:tcPr>
        <w:p w14:paraId="24DEEDD4" w14:textId="4FCDCB96" w:rsidR="005F7CF2" w:rsidRDefault="00E85A60">
          <w:pPr>
            <w:pStyle w:val="Header"/>
            <w:ind w:left="-115"/>
          </w:pPr>
          <w:r>
            <w:rPr>
              <w:noProof/>
            </w:rPr>
            <mc:AlternateContent>
              <mc:Choice Requires="wps">
                <w:drawing>
                  <wp:anchor distT="0" distB="0" distL="0" distR="0" simplePos="0" relativeHeight="251660288" behindDoc="0" locked="0" layoutInCell="1" allowOverlap="1" wp14:anchorId="25080F4A" wp14:editId="38EAD4F7">
                    <wp:simplePos x="635" y="635"/>
                    <wp:positionH relativeFrom="page">
                      <wp:align>right</wp:align>
                    </wp:positionH>
                    <wp:positionV relativeFrom="page">
                      <wp:align>bottom</wp:align>
                    </wp:positionV>
                    <wp:extent cx="1170305" cy="368935"/>
                    <wp:effectExtent l="0" t="0" r="0" b="0"/>
                    <wp:wrapNone/>
                    <wp:docPr id="2577777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7F7B6294" w14:textId="3B81CB31"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080F4A" id="_x0000_t202" coordsize="21600,21600" o:spt="202" path="m,l,21600r21600,l21600,xe">
                    <v:stroke joinstyle="miter"/>
                    <v:path gradientshapeok="t" o:connecttype="rect"/>
                  </v:shapetype>
                  <v:shape id="Text Box 3" o:spid="_x0000_s1027" type="#_x0000_t202" alt="Official Use Only" style="position:absolute;left:0;text-align:left;margin-left:40.95pt;margin-top:0;width:92.15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" filled="f" stroked="f">
                    <v:fill o:detectmouseclick="t"/>
                    <v:textbox style="mso-fit-shape-to-text:t" inset="0,0,20pt,15pt">
                      <w:txbxContent>
                        <w:p w14:paraId="7F7B6294" w14:textId="3B81CB31"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3120" w:type="dxa"/>
          <w:tcMar>
            <w:top w:w="0" w:type="dxa"/>
            <w:left w:w="108" w:type="dxa"/>
            <w:bottom w:w="0" w:type="dxa"/>
            <w:right w:w="108" w:type="dxa"/>
          </w:tcMar>
        </w:tcPr>
        <w:p w14:paraId="1756A606" w14:textId="77777777" w:rsidR="005F7CF2" w:rsidRDefault="005F7CF2">
          <w:pPr>
            <w:pStyle w:val="Header"/>
            <w:jc w:val="center"/>
          </w:pPr>
        </w:p>
      </w:tc>
      <w:tc>
        <w:tcPr>
          <w:tcW w:w="3120" w:type="dxa"/>
          <w:tcMar>
            <w:top w:w="0" w:type="dxa"/>
            <w:left w:w="108" w:type="dxa"/>
            <w:bottom w:w="0" w:type="dxa"/>
            <w:right w:w="108" w:type="dxa"/>
          </w:tcMar>
        </w:tcPr>
        <w:p w14:paraId="722BFD02" w14:textId="77777777" w:rsidR="005F7CF2" w:rsidRDefault="005F7CF2">
          <w:pPr>
            <w:pStyle w:val="Header"/>
            <w:ind w:right="-115"/>
            <w:jc w:val="right"/>
          </w:pPr>
        </w:p>
      </w:tc>
    </w:tr>
  </w:tbl>
  <w:p w14:paraId="47105AB2" w14:textId="77777777" w:rsidR="005F7CF2" w:rsidRDefault="005F7C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B7D4" w14:textId="28D2B8F8" w:rsidR="00E85A60" w:rsidRDefault="00E85A60">
    <w:pPr>
      <w:pStyle w:val="Footer"/>
    </w:pPr>
    <w:r>
      <w:rPr>
        <w:noProof/>
      </w:rPr>
      <mc:AlternateContent>
        <mc:Choice Requires="wps">
          <w:drawing>
            <wp:anchor distT="0" distB="0" distL="0" distR="0" simplePos="0" relativeHeight="251658240" behindDoc="0" locked="0" layoutInCell="1" allowOverlap="1" wp14:anchorId="370ED976" wp14:editId="6128248E">
              <wp:simplePos x="635" y="635"/>
              <wp:positionH relativeFrom="page">
                <wp:align>right</wp:align>
              </wp:positionH>
              <wp:positionV relativeFrom="page">
                <wp:align>bottom</wp:align>
              </wp:positionV>
              <wp:extent cx="1170305" cy="368935"/>
              <wp:effectExtent l="0" t="0" r="0" b="0"/>
              <wp:wrapNone/>
              <wp:docPr id="1747093166"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1270E894" w14:textId="109742A5"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70ED976"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" filled="f" stroked="f">
              <v:fill o:detectmouseclick="t"/>
              <v:textbox style="mso-fit-shape-to-text:t" inset="0,0,20pt,15pt">
                <w:txbxContent>
                  <w:p w14:paraId="1270E894" w14:textId="109742A5"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960" w:type="dxa"/>
      <w:tblCellMar>
        <w:left w:w="10" w:type="dxa"/>
        <w:right w:w="10" w:type="dxa"/>
      </w:tblCellMar>
      <w:tblLook w:val="0000" w:firstRow="0" w:lastRow="0" w:firstColumn="0" w:lastColumn="0" w:noHBand="0" w:noVBand="0"/>
    </w:tblPr>
    <w:tblGrid>
      <w:gridCol w:w="4320"/>
      <w:gridCol w:w="4320"/>
      <w:gridCol w:w="4320"/>
    </w:tblGrid>
    <w:tr w:rsidR="00092F40" w14:paraId="24D5C4B0" w14:textId="77777777">
      <w:trPr>
        <w:trHeight w:val="300"/>
      </w:trPr>
      <w:tc>
        <w:tcPr>
          <w:tcW w:w="4320" w:type="dxa"/>
          <w:tcMar>
            <w:top w:w="0" w:type="dxa"/>
            <w:left w:w="108" w:type="dxa"/>
            <w:bottom w:w="0" w:type="dxa"/>
            <w:right w:w="108" w:type="dxa"/>
          </w:tcMar>
        </w:tcPr>
        <w:p w14:paraId="3DD0C34B" w14:textId="1EA4A7B2" w:rsidR="005F7CF2" w:rsidRDefault="00E85A60">
          <w:pPr>
            <w:pStyle w:val="Header"/>
            <w:ind w:left="-115"/>
          </w:pPr>
          <w:r>
            <w:rPr>
              <w:noProof/>
            </w:rPr>
            <mc:AlternateContent>
              <mc:Choice Requires="wps">
                <w:drawing>
                  <wp:anchor distT="0" distB="0" distL="0" distR="0" simplePos="0" relativeHeight="251661312" behindDoc="0" locked="0" layoutInCell="1" allowOverlap="1" wp14:anchorId="2DC217BB" wp14:editId="0C8BBF04">
                    <wp:simplePos x="635" y="635"/>
                    <wp:positionH relativeFrom="page">
                      <wp:align>right</wp:align>
                    </wp:positionH>
                    <wp:positionV relativeFrom="page">
                      <wp:align>bottom</wp:align>
                    </wp:positionV>
                    <wp:extent cx="1170305" cy="368935"/>
                    <wp:effectExtent l="0" t="0" r="0" b="0"/>
                    <wp:wrapNone/>
                    <wp:docPr id="400990793" name="Text Box 4"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5C6C355E" w14:textId="3E483915"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C217BB" id="_x0000_t202" coordsize="21600,21600" o:spt="202" path="m,l,21600r21600,l21600,xe">
                    <v:stroke joinstyle="miter"/>
                    <v:path gradientshapeok="t" o:connecttype="rect"/>
                  </v:shapetype>
                  <v:shape id="Text Box 4" o:spid="_x0000_s1029" type="#_x0000_t202" alt="Official Use Only" style="position:absolute;left:0;text-align:left;margin-left:40.95pt;margin-top:0;width:92.15pt;height:29.0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" filled="f" stroked="f">
                    <v:fill o:detectmouseclick="t"/>
                    <v:textbox style="mso-fit-shape-to-text:t" inset="0,0,20pt,15pt">
                      <w:txbxContent>
                        <w:p w14:paraId="5C6C355E" w14:textId="3E483915"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4320" w:type="dxa"/>
          <w:tcMar>
            <w:top w:w="0" w:type="dxa"/>
            <w:left w:w="108" w:type="dxa"/>
            <w:bottom w:w="0" w:type="dxa"/>
            <w:right w:w="108" w:type="dxa"/>
          </w:tcMar>
        </w:tcPr>
        <w:p w14:paraId="0CE0DA88" w14:textId="77777777" w:rsidR="005F7CF2" w:rsidRDefault="005F7CF2">
          <w:pPr>
            <w:pStyle w:val="Header"/>
            <w:jc w:val="center"/>
          </w:pPr>
        </w:p>
      </w:tc>
      <w:tc>
        <w:tcPr>
          <w:tcW w:w="4320" w:type="dxa"/>
          <w:tcMar>
            <w:top w:w="0" w:type="dxa"/>
            <w:left w:w="108" w:type="dxa"/>
            <w:bottom w:w="0" w:type="dxa"/>
            <w:right w:w="108" w:type="dxa"/>
          </w:tcMar>
        </w:tcPr>
        <w:p w14:paraId="292C556B" w14:textId="77777777" w:rsidR="005F7CF2" w:rsidRDefault="005F7CF2">
          <w:pPr>
            <w:pStyle w:val="Header"/>
            <w:ind w:right="-115"/>
            <w:jc w:val="right"/>
          </w:pPr>
        </w:p>
      </w:tc>
    </w:tr>
  </w:tbl>
  <w:p w14:paraId="37E74D1C" w14:textId="77777777" w:rsidR="005F7CF2" w:rsidRDefault="005F7C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3A4E47F0" w14:textId="77777777">
      <w:trPr>
        <w:trHeight w:val="300"/>
      </w:trPr>
      <w:tc>
        <w:tcPr>
          <w:tcW w:w="3120" w:type="dxa"/>
          <w:tcMar>
            <w:top w:w="0" w:type="dxa"/>
            <w:left w:w="108" w:type="dxa"/>
            <w:bottom w:w="0" w:type="dxa"/>
            <w:right w:w="108" w:type="dxa"/>
          </w:tcMar>
        </w:tcPr>
        <w:p w14:paraId="237AA6EE" w14:textId="71B81039" w:rsidR="005F7CF2" w:rsidRDefault="00E85A60">
          <w:pPr>
            <w:pStyle w:val="Header"/>
            <w:ind w:left="-115"/>
          </w:pPr>
          <w:r>
            <w:rPr>
              <w:noProof/>
            </w:rPr>
            <mc:AlternateContent>
              <mc:Choice Requires="wps">
                <w:drawing>
                  <wp:anchor distT="0" distB="0" distL="0" distR="0" simplePos="0" relativeHeight="251662336" behindDoc="0" locked="0" layoutInCell="1" allowOverlap="1" wp14:anchorId="3D53409C" wp14:editId="6B31B593">
                    <wp:simplePos x="635" y="635"/>
                    <wp:positionH relativeFrom="page">
                      <wp:align>right</wp:align>
                    </wp:positionH>
                    <wp:positionV relativeFrom="page">
                      <wp:align>bottom</wp:align>
                    </wp:positionV>
                    <wp:extent cx="1170305" cy="368935"/>
                    <wp:effectExtent l="0" t="0" r="0" b="0"/>
                    <wp:wrapNone/>
                    <wp:docPr id="199369220" name="Text Box 5"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7C3D12FA" w14:textId="4E0DFB67"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53409C" id="_x0000_t202" coordsize="21600,21600" o:spt="202" path="m,l,21600r21600,l21600,xe">
                    <v:stroke joinstyle="miter"/>
                    <v:path gradientshapeok="t" o:connecttype="rect"/>
                  </v:shapetype>
                  <v:shape id="Text Box 5" o:spid="_x0000_s1030" type="#_x0000_t202" alt="Official Use Only" style="position:absolute;left:0;text-align:left;margin-left:40.95pt;margin-top:0;width:92.15pt;height:29.0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KzFQIAACIEAAAOAAAAZHJzL2Uyb0RvYy54bWysU99v2jAQfp+0/8Hy+0iA0rU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" filled="f" stroked="f">
                    <v:fill o:detectmouseclick="t"/>
                    <v:textbox style="mso-fit-shape-to-text:t" inset="0,0,20pt,15pt">
                      <w:txbxContent>
                        <w:p w14:paraId="7C3D12FA" w14:textId="4E0DFB67"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3120" w:type="dxa"/>
          <w:tcMar>
            <w:top w:w="0" w:type="dxa"/>
            <w:left w:w="108" w:type="dxa"/>
            <w:bottom w:w="0" w:type="dxa"/>
            <w:right w:w="108" w:type="dxa"/>
          </w:tcMar>
        </w:tcPr>
        <w:p w14:paraId="3362AEEF" w14:textId="77777777" w:rsidR="005F7CF2" w:rsidRDefault="005F7CF2">
          <w:pPr>
            <w:pStyle w:val="Header"/>
            <w:jc w:val="center"/>
          </w:pPr>
        </w:p>
      </w:tc>
      <w:tc>
        <w:tcPr>
          <w:tcW w:w="3120" w:type="dxa"/>
          <w:tcMar>
            <w:top w:w="0" w:type="dxa"/>
            <w:left w:w="108" w:type="dxa"/>
            <w:bottom w:w="0" w:type="dxa"/>
            <w:right w:w="108" w:type="dxa"/>
          </w:tcMar>
        </w:tcPr>
        <w:p w14:paraId="6BDDE2AF" w14:textId="77777777" w:rsidR="005F7CF2" w:rsidRDefault="005F7CF2">
          <w:pPr>
            <w:pStyle w:val="Header"/>
            <w:ind w:right="-115"/>
            <w:jc w:val="right"/>
          </w:pPr>
        </w:p>
      </w:tc>
    </w:tr>
  </w:tbl>
  <w:p w14:paraId="682A9F79" w14:textId="77777777" w:rsidR="005F7CF2" w:rsidRDefault="005F7C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960" w:type="dxa"/>
      <w:tblCellMar>
        <w:left w:w="10" w:type="dxa"/>
        <w:right w:w="10" w:type="dxa"/>
      </w:tblCellMar>
      <w:tblLook w:val="0000" w:firstRow="0" w:lastRow="0" w:firstColumn="0" w:lastColumn="0" w:noHBand="0" w:noVBand="0"/>
    </w:tblPr>
    <w:tblGrid>
      <w:gridCol w:w="4320"/>
      <w:gridCol w:w="4320"/>
      <w:gridCol w:w="4320"/>
    </w:tblGrid>
    <w:tr w:rsidR="00092F40" w14:paraId="20E5C32D" w14:textId="77777777">
      <w:trPr>
        <w:trHeight w:val="300"/>
      </w:trPr>
      <w:tc>
        <w:tcPr>
          <w:tcW w:w="4320" w:type="dxa"/>
          <w:tcMar>
            <w:top w:w="0" w:type="dxa"/>
            <w:left w:w="108" w:type="dxa"/>
            <w:bottom w:w="0" w:type="dxa"/>
            <w:right w:w="108" w:type="dxa"/>
          </w:tcMar>
        </w:tcPr>
        <w:p w14:paraId="69E1A622" w14:textId="0ECF73D2" w:rsidR="005F7CF2" w:rsidRDefault="00E85A60">
          <w:pPr>
            <w:pStyle w:val="Header"/>
            <w:ind w:left="-115"/>
          </w:pPr>
          <w:r>
            <w:rPr>
              <w:noProof/>
            </w:rPr>
            <mc:AlternateContent>
              <mc:Choice Requires="wps">
                <w:drawing>
                  <wp:anchor distT="0" distB="0" distL="0" distR="0" simplePos="0" relativeHeight="251663360" behindDoc="0" locked="0" layoutInCell="1" allowOverlap="1" wp14:anchorId="479AE62D" wp14:editId="42190E83">
                    <wp:simplePos x="635" y="635"/>
                    <wp:positionH relativeFrom="page">
                      <wp:align>right</wp:align>
                    </wp:positionH>
                    <wp:positionV relativeFrom="page">
                      <wp:align>bottom</wp:align>
                    </wp:positionV>
                    <wp:extent cx="1170305" cy="368935"/>
                    <wp:effectExtent l="0" t="0" r="0" b="0"/>
                    <wp:wrapNone/>
                    <wp:docPr id="207269707" name="Text Box 6"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6754775D" w14:textId="2E7406B9"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79AE62D" id="_x0000_t202" coordsize="21600,21600" o:spt="202" path="m,l,21600r21600,l21600,xe">
                    <v:stroke joinstyle="miter"/>
                    <v:path gradientshapeok="t" o:connecttype="rect"/>
                  </v:shapetype>
                  <v:shape id="Text Box 6" o:spid="_x0000_s1031" type="#_x0000_t202" alt="Official Use Only" style="position:absolute;left:0;text-align:left;margin-left:40.95pt;margin-top:0;width:92.15pt;height:29.05pt;z-index:2516633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" filled="f" stroked="f">
                    <v:fill o:detectmouseclick="t"/>
                    <v:textbox style="mso-fit-shape-to-text:t" inset="0,0,20pt,15pt">
                      <w:txbxContent>
                        <w:p w14:paraId="6754775D" w14:textId="2E7406B9"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4320" w:type="dxa"/>
          <w:tcMar>
            <w:top w:w="0" w:type="dxa"/>
            <w:left w:w="108" w:type="dxa"/>
            <w:bottom w:w="0" w:type="dxa"/>
            <w:right w:w="108" w:type="dxa"/>
          </w:tcMar>
        </w:tcPr>
        <w:p w14:paraId="10AF59AB" w14:textId="77777777" w:rsidR="005F7CF2" w:rsidRDefault="005F7CF2">
          <w:pPr>
            <w:pStyle w:val="Header"/>
            <w:jc w:val="center"/>
          </w:pPr>
        </w:p>
      </w:tc>
      <w:tc>
        <w:tcPr>
          <w:tcW w:w="4320" w:type="dxa"/>
          <w:tcMar>
            <w:top w:w="0" w:type="dxa"/>
            <w:left w:w="108" w:type="dxa"/>
            <w:bottom w:w="0" w:type="dxa"/>
            <w:right w:w="108" w:type="dxa"/>
          </w:tcMar>
        </w:tcPr>
        <w:p w14:paraId="320FBD81" w14:textId="77777777" w:rsidR="005F7CF2" w:rsidRDefault="005F7CF2">
          <w:pPr>
            <w:pStyle w:val="Header"/>
            <w:ind w:right="-115"/>
            <w:jc w:val="right"/>
          </w:pPr>
        </w:p>
      </w:tc>
    </w:tr>
  </w:tbl>
  <w:p w14:paraId="297D4980" w14:textId="77777777" w:rsidR="005F7CF2" w:rsidRDefault="005F7C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3757319C" w14:textId="77777777">
      <w:trPr>
        <w:trHeight w:val="300"/>
      </w:trPr>
      <w:tc>
        <w:tcPr>
          <w:tcW w:w="3120" w:type="dxa"/>
          <w:tcMar>
            <w:top w:w="0" w:type="dxa"/>
            <w:left w:w="108" w:type="dxa"/>
            <w:bottom w:w="0" w:type="dxa"/>
            <w:right w:w="108" w:type="dxa"/>
          </w:tcMar>
        </w:tcPr>
        <w:p w14:paraId="632D1731" w14:textId="1C98D861" w:rsidR="005F7CF2" w:rsidRDefault="00E85A60">
          <w:pPr>
            <w:pStyle w:val="Header"/>
            <w:ind w:left="-115"/>
          </w:pPr>
          <w:r>
            <w:rPr>
              <w:noProof/>
            </w:rPr>
            <mc:AlternateContent>
              <mc:Choice Requires="wps">
                <w:drawing>
                  <wp:anchor distT="0" distB="0" distL="0" distR="0" simplePos="0" relativeHeight="251664384" behindDoc="0" locked="0" layoutInCell="1" allowOverlap="1" wp14:anchorId="2EB1CF64" wp14:editId="2D2B426C">
                    <wp:simplePos x="635" y="635"/>
                    <wp:positionH relativeFrom="page">
                      <wp:align>right</wp:align>
                    </wp:positionH>
                    <wp:positionV relativeFrom="page">
                      <wp:align>bottom</wp:align>
                    </wp:positionV>
                    <wp:extent cx="1170305" cy="368935"/>
                    <wp:effectExtent l="0" t="0" r="0" b="0"/>
                    <wp:wrapNone/>
                    <wp:docPr id="655409896" name="Text Box 7"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31C9436F" w14:textId="112CD869"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B1CF64" id="_x0000_t202" coordsize="21600,21600" o:spt="202" path="m,l,21600r21600,l21600,xe">
                    <v:stroke joinstyle="miter"/>
                    <v:path gradientshapeok="t" o:connecttype="rect"/>
                  </v:shapetype>
                  <v:shape id="Text Box 7" o:spid="_x0000_s1032" type="#_x0000_t202" alt="Official Use Only" style="position:absolute;left:0;text-align:left;margin-left:40.95pt;margin-top:0;width:92.15pt;height:29.05pt;z-index:2516643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" filled="f" stroked="f">
                    <v:fill o:detectmouseclick="t"/>
                    <v:textbox style="mso-fit-shape-to-text:t" inset="0,0,20pt,15pt">
                      <w:txbxContent>
                        <w:p w14:paraId="31C9436F" w14:textId="112CD869"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3120" w:type="dxa"/>
          <w:tcMar>
            <w:top w:w="0" w:type="dxa"/>
            <w:left w:w="108" w:type="dxa"/>
            <w:bottom w:w="0" w:type="dxa"/>
            <w:right w:w="108" w:type="dxa"/>
          </w:tcMar>
        </w:tcPr>
        <w:p w14:paraId="53DFAC2F" w14:textId="77777777" w:rsidR="005F7CF2" w:rsidRDefault="005F7CF2">
          <w:pPr>
            <w:pStyle w:val="Header"/>
            <w:jc w:val="center"/>
          </w:pPr>
        </w:p>
      </w:tc>
      <w:tc>
        <w:tcPr>
          <w:tcW w:w="3120" w:type="dxa"/>
          <w:tcMar>
            <w:top w:w="0" w:type="dxa"/>
            <w:left w:w="108" w:type="dxa"/>
            <w:bottom w:w="0" w:type="dxa"/>
            <w:right w:w="108" w:type="dxa"/>
          </w:tcMar>
        </w:tcPr>
        <w:p w14:paraId="46DD6ACE" w14:textId="77777777" w:rsidR="005F7CF2" w:rsidRDefault="005F7CF2">
          <w:pPr>
            <w:pStyle w:val="Header"/>
            <w:ind w:right="-115"/>
            <w:jc w:val="right"/>
          </w:pPr>
        </w:p>
      </w:tc>
    </w:tr>
  </w:tbl>
  <w:p w14:paraId="2717002B" w14:textId="77777777" w:rsidR="005F7CF2" w:rsidRDefault="005F7CF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960" w:type="dxa"/>
      <w:tblCellMar>
        <w:left w:w="10" w:type="dxa"/>
        <w:right w:w="10" w:type="dxa"/>
      </w:tblCellMar>
      <w:tblLook w:val="0000" w:firstRow="0" w:lastRow="0" w:firstColumn="0" w:lastColumn="0" w:noHBand="0" w:noVBand="0"/>
    </w:tblPr>
    <w:tblGrid>
      <w:gridCol w:w="4320"/>
      <w:gridCol w:w="4320"/>
      <w:gridCol w:w="4320"/>
    </w:tblGrid>
    <w:tr w:rsidR="00092F40" w14:paraId="5F492B09" w14:textId="77777777">
      <w:trPr>
        <w:trHeight w:val="300"/>
      </w:trPr>
      <w:tc>
        <w:tcPr>
          <w:tcW w:w="4320" w:type="dxa"/>
          <w:tcMar>
            <w:top w:w="0" w:type="dxa"/>
            <w:left w:w="108" w:type="dxa"/>
            <w:bottom w:w="0" w:type="dxa"/>
            <w:right w:w="108" w:type="dxa"/>
          </w:tcMar>
        </w:tcPr>
        <w:p w14:paraId="2519BC5D" w14:textId="68F8FDB1" w:rsidR="005F7CF2" w:rsidRDefault="00E85A60">
          <w:pPr>
            <w:pStyle w:val="Header"/>
            <w:ind w:left="-115"/>
          </w:pPr>
          <w:r>
            <w:rPr>
              <w:noProof/>
            </w:rPr>
            <mc:AlternateContent>
              <mc:Choice Requires="wps">
                <w:drawing>
                  <wp:anchor distT="0" distB="0" distL="0" distR="0" simplePos="0" relativeHeight="251665408" behindDoc="0" locked="0" layoutInCell="1" allowOverlap="1" wp14:anchorId="33296683" wp14:editId="18D1859E">
                    <wp:simplePos x="635" y="635"/>
                    <wp:positionH relativeFrom="page">
                      <wp:align>right</wp:align>
                    </wp:positionH>
                    <wp:positionV relativeFrom="page">
                      <wp:align>bottom</wp:align>
                    </wp:positionV>
                    <wp:extent cx="1170305" cy="368935"/>
                    <wp:effectExtent l="0" t="0" r="0" b="0"/>
                    <wp:wrapNone/>
                    <wp:docPr id="2092433135" name="Text Box 8"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1CA698CA" w14:textId="3E4049BC"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296683" id="_x0000_t202" coordsize="21600,21600" o:spt="202" path="m,l,21600r21600,l21600,xe">
                    <v:stroke joinstyle="miter"/>
                    <v:path gradientshapeok="t" o:connecttype="rect"/>
                  </v:shapetype>
                  <v:shape id="Text Box 8" o:spid="_x0000_s1033" type="#_x0000_t202" alt="Official Use Only" style="position:absolute;left:0;text-align:left;margin-left:40.95pt;margin-top:0;width:92.15pt;height:29.05pt;z-index:25166540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" filled="f" stroked="f">
                    <v:fill o:detectmouseclick="t"/>
                    <v:textbox style="mso-fit-shape-to-text:t" inset="0,0,20pt,15pt">
                      <w:txbxContent>
                        <w:p w14:paraId="1CA698CA" w14:textId="3E4049BC"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4320" w:type="dxa"/>
          <w:tcMar>
            <w:top w:w="0" w:type="dxa"/>
            <w:left w:w="108" w:type="dxa"/>
            <w:bottom w:w="0" w:type="dxa"/>
            <w:right w:w="108" w:type="dxa"/>
          </w:tcMar>
        </w:tcPr>
        <w:p w14:paraId="675C06DC" w14:textId="77777777" w:rsidR="005F7CF2" w:rsidRDefault="005F7CF2">
          <w:pPr>
            <w:pStyle w:val="Header"/>
            <w:jc w:val="center"/>
          </w:pPr>
        </w:p>
      </w:tc>
      <w:tc>
        <w:tcPr>
          <w:tcW w:w="4320" w:type="dxa"/>
          <w:tcMar>
            <w:top w:w="0" w:type="dxa"/>
            <w:left w:w="108" w:type="dxa"/>
            <w:bottom w:w="0" w:type="dxa"/>
            <w:right w:w="108" w:type="dxa"/>
          </w:tcMar>
        </w:tcPr>
        <w:p w14:paraId="50802646" w14:textId="77777777" w:rsidR="005F7CF2" w:rsidRDefault="005F7CF2">
          <w:pPr>
            <w:pStyle w:val="Header"/>
            <w:ind w:right="-115"/>
            <w:jc w:val="right"/>
          </w:pPr>
        </w:p>
      </w:tc>
    </w:tr>
  </w:tbl>
  <w:p w14:paraId="1504EFC8" w14:textId="77777777" w:rsidR="005F7CF2" w:rsidRDefault="005F7CF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5E9B77BD" w14:textId="77777777">
      <w:trPr>
        <w:trHeight w:val="300"/>
      </w:trPr>
      <w:tc>
        <w:tcPr>
          <w:tcW w:w="3120" w:type="dxa"/>
          <w:tcMar>
            <w:top w:w="0" w:type="dxa"/>
            <w:left w:w="108" w:type="dxa"/>
            <w:bottom w:w="0" w:type="dxa"/>
            <w:right w:w="108" w:type="dxa"/>
          </w:tcMar>
        </w:tcPr>
        <w:p w14:paraId="0D76ACC6" w14:textId="469C55EC" w:rsidR="005F7CF2" w:rsidRDefault="00E85A60">
          <w:pPr>
            <w:pStyle w:val="Header"/>
            <w:ind w:left="-115"/>
          </w:pPr>
          <w:r>
            <w:rPr>
              <w:noProof/>
            </w:rPr>
            <mc:AlternateContent>
              <mc:Choice Requires="wps">
                <w:drawing>
                  <wp:anchor distT="0" distB="0" distL="0" distR="0" simplePos="0" relativeHeight="251666432" behindDoc="0" locked="0" layoutInCell="1" allowOverlap="1" wp14:anchorId="769923A9" wp14:editId="37FA999D">
                    <wp:simplePos x="635" y="635"/>
                    <wp:positionH relativeFrom="page">
                      <wp:align>right</wp:align>
                    </wp:positionH>
                    <wp:positionV relativeFrom="page">
                      <wp:align>bottom</wp:align>
                    </wp:positionV>
                    <wp:extent cx="1170305" cy="368935"/>
                    <wp:effectExtent l="0" t="0" r="0" b="0"/>
                    <wp:wrapNone/>
                    <wp:docPr id="2146468770" name="Text Box 9"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68935"/>
                            </a:xfrm>
                            <a:prstGeom prst="rect">
                              <a:avLst/>
                            </a:prstGeom>
                            <a:noFill/>
                            <a:ln>
                              <a:noFill/>
                            </a:ln>
                          </wps:spPr>
                          <wps:txbx>
                            <w:txbxContent>
                              <w:p w14:paraId="4FAAAC4C" w14:textId="61A0BA0C"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69923A9" id="_x0000_t202" coordsize="21600,21600" o:spt="202" path="m,l,21600r21600,l21600,xe">
                    <v:stroke joinstyle="miter"/>
                    <v:path gradientshapeok="t" o:connecttype="rect"/>
                  </v:shapetype>
                  <v:shape id="Text Box 9" o:spid="_x0000_s1034" type="#_x0000_t202" alt="Official Use Only" style="position:absolute;left:0;text-align:left;margin-left:40.95pt;margin-top:0;width:92.15pt;height:29.05pt;z-index:25166643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" filled="f" stroked="f">
                    <v:fill o:detectmouseclick="t"/>
                    <v:textbox style="mso-fit-shape-to-text:t" inset="0,0,20pt,15pt">
                      <w:txbxContent>
                        <w:p w14:paraId="4FAAAC4C" w14:textId="61A0BA0C" w:rsidR="00E85A60" w:rsidRPr="00E85A60" w:rsidRDefault="00E85A60" w:rsidP="00E85A60">
                          <w:pPr>
                            <w:spacing w:after="0"/>
                            <w:rPr>
                              <w:rFonts w:cs="Aptos"/>
                              <w:noProof/>
                              <w:color w:val="000000"/>
                              <w:sz w:val="20"/>
                              <w:szCs w:val="20"/>
                            </w:rPr>
                          </w:pPr>
                          <w:r w:rsidRPr="00E85A60">
                            <w:rPr>
                              <w:rFonts w:cs="Aptos"/>
                              <w:noProof/>
                              <w:color w:val="000000"/>
                              <w:sz w:val="20"/>
                              <w:szCs w:val="20"/>
                            </w:rPr>
                            <w:t>Official Use Only</w:t>
                          </w:r>
                        </w:p>
                      </w:txbxContent>
                    </v:textbox>
                    <w10:wrap anchorx="page" anchory="page"/>
                  </v:shape>
                </w:pict>
              </mc:Fallback>
            </mc:AlternateContent>
          </w:r>
        </w:p>
      </w:tc>
      <w:tc>
        <w:tcPr>
          <w:tcW w:w="3120" w:type="dxa"/>
          <w:tcMar>
            <w:top w:w="0" w:type="dxa"/>
            <w:left w:w="108" w:type="dxa"/>
            <w:bottom w:w="0" w:type="dxa"/>
            <w:right w:w="108" w:type="dxa"/>
          </w:tcMar>
        </w:tcPr>
        <w:p w14:paraId="1CCEE8F8" w14:textId="77777777" w:rsidR="005F7CF2" w:rsidRDefault="005F7CF2">
          <w:pPr>
            <w:pStyle w:val="Header"/>
            <w:jc w:val="center"/>
          </w:pPr>
        </w:p>
      </w:tc>
      <w:tc>
        <w:tcPr>
          <w:tcW w:w="3120" w:type="dxa"/>
          <w:tcMar>
            <w:top w:w="0" w:type="dxa"/>
            <w:left w:w="108" w:type="dxa"/>
            <w:bottom w:w="0" w:type="dxa"/>
            <w:right w:w="108" w:type="dxa"/>
          </w:tcMar>
        </w:tcPr>
        <w:p w14:paraId="48CC3F0B" w14:textId="77777777" w:rsidR="005F7CF2" w:rsidRDefault="005F7CF2">
          <w:pPr>
            <w:pStyle w:val="Header"/>
            <w:ind w:right="-115"/>
            <w:jc w:val="right"/>
          </w:pPr>
        </w:p>
      </w:tc>
    </w:tr>
  </w:tbl>
  <w:p w14:paraId="0D4D7956" w14:textId="77777777" w:rsidR="005F7CF2" w:rsidRDefault="005F7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45E72" w14:textId="77777777" w:rsidR="00722AE1" w:rsidRDefault="00722AE1">
      <w:pPr>
        <w:spacing w:after="0" w:line="240" w:lineRule="auto"/>
      </w:pPr>
      <w:r>
        <w:rPr>
          <w:color w:val="000000"/>
        </w:rPr>
        <w:separator/>
      </w:r>
    </w:p>
  </w:footnote>
  <w:footnote w:type="continuationSeparator" w:id="0">
    <w:p w14:paraId="3D0455A5" w14:textId="77777777" w:rsidR="00722AE1" w:rsidRDefault="00722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6DCDC34A" w14:textId="77777777">
      <w:trPr>
        <w:trHeight w:val="300"/>
      </w:trPr>
      <w:tc>
        <w:tcPr>
          <w:tcW w:w="3120" w:type="dxa"/>
          <w:tcMar>
            <w:top w:w="0" w:type="dxa"/>
            <w:left w:w="108" w:type="dxa"/>
            <w:bottom w:w="0" w:type="dxa"/>
            <w:right w:w="108" w:type="dxa"/>
          </w:tcMar>
        </w:tcPr>
        <w:p w14:paraId="393A03FC" w14:textId="77777777" w:rsidR="005F7CF2" w:rsidRDefault="005F7CF2">
          <w:pPr>
            <w:pStyle w:val="Header"/>
            <w:ind w:left="-115"/>
          </w:pPr>
        </w:p>
      </w:tc>
      <w:tc>
        <w:tcPr>
          <w:tcW w:w="3120" w:type="dxa"/>
          <w:tcMar>
            <w:top w:w="0" w:type="dxa"/>
            <w:left w:w="108" w:type="dxa"/>
            <w:bottom w:w="0" w:type="dxa"/>
            <w:right w:w="108" w:type="dxa"/>
          </w:tcMar>
        </w:tcPr>
        <w:p w14:paraId="01B7B07E" w14:textId="77777777" w:rsidR="005F7CF2" w:rsidRDefault="005F7CF2">
          <w:pPr>
            <w:pStyle w:val="Header"/>
            <w:jc w:val="center"/>
          </w:pPr>
        </w:p>
      </w:tc>
      <w:tc>
        <w:tcPr>
          <w:tcW w:w="3120" w:type="dxa"/>
          <w:tcMar>
            <w:top w:w="0" w:type="dxa"/>
            <w:left w:w="108" w:type="dxa"/>
            <w:bottom w:w="0" w:type="dxa"/>
            <w:right w:w="108" w:type="dxa"/>
          </w:tcMar>
        </w:tcPr>
        <w:p w14:paraId="7EFA925C" w14:textId="77777777" w:rsidR="005F7CF2" w:rsidRDefault="005F7CF2">
          <w:pPr>
            <w:pStyle w:val="Header"/>
            <w:ind w:right="-115"/>
            <w:jc w:val="right"/>
          </w:pPr>
        </w:p>
      </w:tc>
    </w:tr>
  </w:tbl>
  <w:p w14:paraId="09C9E5FF" w14:textId="77777777" w:rsidR="005F7CF2" w:rsidRDefault="005F7C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960" w:type="dxa"/>
      <w:tblCellMar>
        <w:left w:w="10" w:type="dxa"/>
        <w:right w:w="10" w:type="dxa"/>
      </w:tblCellMar>
      <w:tblLook w:val="0000" w:firstRow="0" w:lastRow="0" w:firstColumn="0" w:lastColumn="0" w:noHBand="0" w:noVBand="0"/>
    </w:tblPr>
    <w:tblGrid>
      <w:gridCol w:w="4320"/>
      <w:gridCol w:w="4320"/>
      <w:gridCol w:w="4320"/>
    </w:tblGrid>
    <w:tr w:rsidR="00092F40" w14:paraId="58E0CC2D" w14:textId="77777777">
      <w:trPr>
        <w:trHeight w:val="300"/>
      </w:trPr>
      <w:tc>
        <w:tcPr>
          <w:tcW w:w="4320" w:type="dxa"/>
          <w:tcMar>
            <w:top w:w="0" w:type="dxa"/>
            <w:left w:w="108" w:type="dxa"/>
            <w:bottom w:w="0" w:type="dxa"/>
            <w:right w:w="108" w:type="dxa"/>
          </w:tcMar>
        </w:tcPr>
        <w:p w14:paraId="58B734E8" w14:textId="77777777" w:rsidR="005F7CF2" w:rsidRDefault="005F7CF2">
          <w:pPr>
            <w:pStyle w:val="Header"/>
            <w:ind w:left="-115"/>
          </w:pPr>
        </w:p>
      </w:tc>
      <w:tc>
        <w:tcPr>
          <w:tcW w:w="4320" w:type="dxa"/>
          <w:tcMar>
            <w:top w:w="0" w:type="dxa"/>
            <w:left w:w="108" w:type="dxa"/>
            <w:bottom w:w="0" w:type="dxa"/>
            <w:right w:w="108" w:type="dxa"/>
          </w:tcMar>
        </w:tcPr>
        <w:p w14:paraId="07759814" w14:textId="77777777" w:rsidR="005F7CF2" w:rsidRDefault="005F7CF2">
          <w:pPr>
            <w:pStyle w:val="Header"/>
            <w:jc w:val="center"/>
          </w:pPr>
        </w:p>
      </w:tc>
      <w:tc>
        <w:tcPr>
          <w:tcW w:w="4320" w:type="dxa"/>
          <w:tcMar>
            <w:top w:w="0" w:type="dxa"/>
            <w:left w:w="108" w:type="dxa"/>
            <w:bottom w:w="0" w:type="dxa"/>
            <w:right w:w="108" w:type="dxa"/>
          </w:tcMar>
        </w:tcPr>
        <w:p w14:paraId="4557EB0B" w14:textId="77777777" w:rsidR="005F7CF2" w:rsidRDefault="005F7CF2">
          <w:pPr>
            <w:pStyle w:val="Header"/>
            <w:ind w:right="-115"/>
            <w:jc w:val="right"/>
          </w:pPr>
        </w:p>
      </w:tc>
    </w:tr>
  </w:tbl>
  <w:p w14:paraId="4305C99E" w14:textId="77777777" w:rsidR="005F7CF2" w:rsidRDefault="005F7C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6952C71A" w14:textId="77777777">
      <w:trPr>
        <w:trHeight w:val="300"/>
      </w:trPr>
      <w:tc>
        <w:tcPr>
          <w:tcW w:w="3120" w:type="dxa"/>
          <w:tcMar>
            <w:top w:w="0" w:type="dxa"/>
            <w:left w:w="108" w:type="dxa"/>
            <w:bottom w:w="0" w:type="dxa"/>
            <w:right w:w="108" w:type="dxa"/>
          </w:tcMar>
        </w:tcPr>
        <w:p w14:paraId="112250CB" w14:textId="77777777" w:rsidR="005F7CF2" w:rsidRDefault="005F7CF2">
          <w:pPr>
            <w:pStyle w:val="Header"/>
            <w:ind w:left="-115"/>
          </w:pPr>
        </w:p>
      </w:tc>
      <w:tc>
        <w:tcPr>
          <w:tcW w:w="3120" w:type="dxa"/>
          <w:tcMar>
            <w:top w:w="0" w:type="dxa"/>
            <w:left w:w="108" w:type="dxa"/>
            <w:bottom w:w="0" w:type="dxa"/>
            <w:right w:w="108" w:type="dxa"/>
          </w:tcMar>
        </w:tcPr>
        <w:p w14:paraId="6C824014" w14:textId="77777777" w:rsidR="005F7CF2" w:rsidRDefault="005F7CF2">
          <w:pPr>
            <w:pStyle w:val="Header"/>
            <w:jc w:val="center"/>
          </w:pPr>
        </w:p>
      </w:tc>
      <w:tc>
        <w:tcPr>
          <w:tcW w:w="3120" w:type="dxa"/>
          <w:tcMar>
            <w:top w:w="0" w:type="dxa"/>
            <w:left w:w="108" w:type="dxa"/>
            <w:bottom w:w="0" w:type="dxa"/>
            <w:right w:w="108" w:type="dxa"/>
          </w:tcMar>
        </w:tcPr>
        <w:p w14:paraId="5BE13247" w14:textId="77777777" w:rsidR="005F7CF2" w:rsidRDefault="005F7CF2">
          <w:pPr>
            <w:pStyle w:val="Header"/>
            <w:ind w:right="-115"/>
            <w:jc w:val="right"/>
          </w:pPr>
        </w:p>
      </w:tc>
    </w:tr>
  </w:tbl>
  <w:p w14:paraId="27AD0D35" w14:textId="77777777" w:rsidR="005F7CF2" w:rsidRDefault="005F7C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960" w:type="dxa"/>
      <w:tblCellMar>
        <w:left w:w="10" w:type="dxa"/>
        <w:right w:w="10" w:type="dxa"/>
      </w:tblCellMar>
      <w:tblLook w:val="0000" w:firstRow="0" w:lastRow="0" w:firstColumn="0" w:lastColumn="0" w:noHBand="0" w:noVBand="0"/>
    </w:tblPr>
    <w:tblGrid>
      <w:gridCol w:w="4320"/>
      <w:gridCol w:w="4320"/>
      <w:gridCol w:w="4320"/>
    </w:tblGrid>
    <w:tr w:rsidR="00092F40" w14:paraId="6D8B50EC" w14:textId="77777777">
      <w:trPr>
        <w:trHeight w:val="300"/>
      </w:trPr>
      <w:tc>
        <w:tcPr>
          <w:tcW w:w="4320" w:type="dxa"/>
          <w:tcMar>
            <w:top w:w="0" w:type="dxa"/>
            <w:left w:w="108" w:type="dxa"/>
            <w:bottom w:w="0" w:type="dxa"/>
            <w:right w:w="108" w:type="dxa"/>
          </w:tcMar>
        </w:tcPr>
        <w:p w14:paraId="715A4056" w14:textId="77777777" w:rsidR="005F7CF2" w:rsidRDefault="005F7CF2">
          <w:pPr>
            <w:pStyle w:val="Header"/>
            <w:ind w:left="-115"/>
          </w:pPr>
        </w:p>
      </w:tc>
      <w:tc>
        <w:tcPr>
          <w:tcW w:w="4320" w:type="dxa"/>
          <w:tcMar>
            <w:top w:w="0" w:type="dxa"/>
            <w:left w:w="108" w:type="dxa"/>
            <w:bottom w:w="0" w:type="dxa"/>
            <w:right w:w="108" w:type="dxa"/>
          </w:tcMar>
        </w:tcPr>
        <w:p w14:paraId="2E632911" w14:textId="77777777" w:rsidR="005F7CF2" w:rsidRDefault="005F7CF2">
          <w:pPr>
            <w:pStyle w:val="Header"/>
            <w:jc w:val="center"/>
          </w:pPr>
        </w:p>
      </w:tc>
      <w:tc>
        <w:tcPr>
          <w:tcW w:w="4320" w:type="dxa"/>
          <w:tcMar>
            <w:top w:w="0" w:type="dxa"/>
            <w:left w:w="108" w:type="dxa"/>
            <w:bottom w:w="0" w:type="dxa"/>
            <w:right w:w="108" w:type="dxa"/>
          </w:tcMar>
        </w:tcPr>
        <w:p w14:paraId="2D2B348A" w14:textId="77777777" w:rsidR="005F7CF2" w:rsidRDefault="005F7CF2">
          <w:pPr>
            <w:pStyle w:val="Header"/>
            <w:ind w:right="-115"/>
            <w:jc w:val="right"/>
          </w:pPr>
        </w:p>
      </w:tc>
    </w:tr>
  </w:tbl>
  <w:p w14:paraId="14AC4FD2" w14:textId="77777777" w:rsidR="005F7CF2" w:rsidRDefault="005F7C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65D5AE80" w14:textId="77777777">
      <w:trPr>
        <w:trHeight w:val="300"/>
      </w:trPr>
      <w:tc>
        <w:tcPr>
          <w:tcW w:w="3120" w:type="dxa"/>
          <w:tcMar>
            <w:top w:w="0" w:type="dxa"/>
            <w:left w:w="108" w:type="dxa"/>
            <w:bottom w:w="0" w:type="dxa"/>
            <w:right w:w="108" w:type="dxa"/>
          </w:tcMar>
        </w:tcPr>
        <w:p w14:paraId="3CDD3A8F" w14:textId="77777777" w:rsidR="005F7CF2" w:rsidRDefault="005F7CF2">
          <w:pPr>
            <w:pStyle w:val="Header"/>
            <w:ind w:left="-115"/>
          </w:pPr>
        </w:p>
      </w:tc>
      <w:tc>
        <w:tcPr>
          <w:tcW w:w="3120" w:type="dxa"/>
          <w:tcMar>
            <w:top w:w="0" w:type="dxa"/>
            <w:left w:w="108" w:type="dxa"/>
            <w:bottom w:w="0" w:type="dxa"/>
            <w:right w:w="108" w:type="dxa"/>
          </w:tcMar>
        </w:tcPr>
        <w:p w14:paraId="0E1C518D" w14:textId="77777777" w:rsidR="005F7CF2" w:rsidRDefault="005F7CF2">
          <w:pPr>
            <w:pStyle w:val="Header"/>
            <w:jc w:val="center"/>
          </w:pPr>
        </w:p>
      </w:tc>
      <w:tc>
        <w:tcPr>
          <w:tcW w:w="3120" w:type="dxa"/>
          <w:tcMar>
            <w:top w:w="0" w:type="dxa"/>
            <w:left w:w="108" w:type="dxa"/>
            <w:bottom w:w="0" w:type="dxa"/>
            <w:right w:w="108" w:type="dxa"/>
          </w:tcMar>
        </w:tcPr>
        <w:p w14:paraId="6F713A47" w14:textId="77777777" w:rsidR="005F7CF2" w:rsidRDefault="005F7CF2">
          <w:pPr>
            <w:pStyle w:val="Header"/>
            <w:ind w:right="-115"/>
            <w:jc w:val="right"/>
          </w:pPr>
        </w:p>
      </w:tc>
    </w:tr>
  </w:tbl>
  <w:p w14:paraId="51945651" w14:textId="77777777" w:rsidR="005F7CF2" w:rsidRDefault="005F7CF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960" w:type="dxa"/>
      <w:tblCellMar>
        <w:left w:w="10" w:type="dxa"/>
        <w:right w:w="10" w:type="dxa"/>
      </w:tblCellMar>
      <w:tblLook w:val="0000" w:firstRow="0" w:lastRow="0" w:firstColumn="0" w:lastColumn="0" w:noHBand="0" w:noVBand="0"/>
    </w:tblPr>
    <w:tblGrid>
      <w:gridCol w:w="4320"/>
      <w:gridCol w:w="4320"/>
      <w:gridCol w:w="4320"/>
    </w:tblGrid>
    <w:tr w:rsidR="00092F40" w14:paraId="1E1C4032" w14:textId="77777777">
      <w:trPr>
        <w:trHeight w:val="300"/>
      </w:trPr>
      <w:tc>
        <w:tcPr>
          <w:tcW w:w="4320" w:type="dxa"/>
          <w:tcMar>
            <w:top w:w="0" w:type="dxa"/>
            <w:left w:w="108" w:type="dxa"/>
            <w:bottom w:w="0" w:type="dxa"/>
            <w:right w:w="108" w:type="dxa"/>
          </w:tcMar>
        </w:tcPr>
        <w:p w14:paraId="7A3DA071" w14:textId="77777777" w:rsidR="005F7CF2" w:rsidRDefault="005F7CF2">
          <w:pPr>
            <w:pStyle w:val="Header"/>
            <w:ind w:left="-115"/>
          </w:pPr>
        </w:p>
      </w:tc>
      <w:tc>
        <w:tcPr>
          <w:tcW w:w="4320" w:type="dxa"/>
          <w:tcMar>
            <w:top w:w="0" w:type="dxa"/>
            <w:left w:w="108" w:type="dxa"/>
            <w:bottom w:w="0" w:type="dxa"/>
            <w:right w:w="108" w:type="dxa"/>
          </w:tcMar>
        </w:tcPr>
        <w:p w14:paraId="2941054A" w14:textId="77777777" w:rsidR="005F7CF2" w:rsidRDefault="005F7CF2">
          <w:pPr>
            <w:pStyle w:val="Header"/>
            <w:jc w:val="center"/>
          </w:pPr>
        </w:p>
      </w:tc>
      <w:tc>
        <w:tcPr>
          <w:tcW w:w="4320" w:type="dxa"/>
          <w:tcMar>
            <w:top w:w="0" w:type="dxa"/>
            <w:left w:w="108" w:type="dxa"/>
            <w:bottom w:w="0" w:type="dxa"/>
            <w:right w:w="108" w:type="dxa"/>
          </w:tcMar>
        </w:tcPr>
        <w:p w14:paraId="3E74B3A3" w14:textId="77777777" w:rsidR="005F7CF2" w:rsidRDefault="005F7CF2">
          <w:pPr>
            <w:pStyle w:val="Header"/>
            <w:ind w:right="-115"/>
            <w:jc w:val="right"/>
          </w:pPr>
        </w:p>
      </w:tc>
    </w:tr>
  </w:tbl>
  <w:p w14:paraId="3CD778AF" w14:textId="77777777" w:rsidR="005F7CF2" w:rsidRDefault="005F7CF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092F40" w14:paraId="349CF1C5" w14:textId="77777777">
      <w:trPr>
        <w:trHeight w:val="300"/>
      </w:trPr>
      <w:tc>
        <w:tcPr>
          <w:tcW w:w="3120" w:type="dxa"/>
          <w:tcMar>
            <w:top w:w="0" w:type="dxa"/>
            <w:left w:w="108" w:type="dxa"/>
            <w:bottom w:w="0" w:type="dxa"/>
            <w:right w:w="108" w:type="dxa"/>
          </w:tcMar>
        </w:tcPr>
        <w:p w14:paraId="498BFD90" w14:textId="77777777" w:rsidR="005F7CF2" w:rsidRDefault="005F7CF2">
          <w:pPr>
            <w:pStyle w:val="Header"/>
            <w:ind w:left="-115"/>
          </w:pPr>
        </w:p>
      </w:tc>
      <w:tc>
        <w:tcPr>
          <w:tcW w:w="3120" w:type="dxa"/>
          <w:tcMar>
            <w:top w:w="0" w:type="dxa"/>
            <w:left w:w="108" w:type="dxa"/>
            <w:bottom w:w="0" w:type="dxa"/>
            <w:right w:w="108" w:type="dxa"/>
          </w:tcMar>
        </w:tcPr>
        <w:p w14:paraId="1A8B4685" w14:textId="77777777" w:rsidR="005F7CF2" w:rsidRDefault="005F7CF2">
          <w:pPr>
            <w:pStyle w:val="Header"/>
            <w:jc w:val="center"/>
          </w:pPr>
        </w:p>
      </w:tc>
      <w:tc>
        <w:tcPr>
          <w:tcW w:w="3120" w:type="dxa"/>
          <w:tcMar>
            <w:top w:w="0" w:type="dxa"/>
            <w:left w:w="108" w:type="dxa"/>
            <w:bottom w:w="0" w:type="dxa"/>
            <w:right w:w="108" w:type="dxa"/>
          </w:tcMar>
        </w:tcPr>
        <w:p w14:paraId="6C1D218C" w14:textId="77777777" w:rsidR="005F7CF2" w:rsidRDefault="005F7CF2">
          <w:pPr>
            <w:pStyle w:val="Header"/>
            <w:ind w:right="-115"/>
            <w:jc w:val="right"/>
          </w:pPr>
        </w:p>
      </w:tc>
    </w:tr>
  </w:tbl>
  <w:p w14:paraId="03F3DA6D" w14:textId="77777777" w:rsidR="005F7CF2" w:rsidRDefault="005F7C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3D0"/>
    <w:multiLevelType w:val="multilevel"/>
    <w:tmpl w:val="DF3235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B9C010B"/>
    <w:multiLevelType w:val="multilevel"/>
    <w:tmpl w:val="731C960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133B6F47"/>
    <w:multiLevelType w:val="hybridMultilevel"/>
    <w:tmpl w:val="5798BA1E"/>
    <w:lvl w:ilvl="0" w:tplc="0809001B">
      <w:start w:val="1"/>
      <w:numFmt w:val="lowerRoman"/>
      <w:lvlText w:val="%1."/>
      <w:lvlJc w:val="right"/>
      <w:pPr>
        <w:ind w:left="420" w:hanging="360"/>
      </w:p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182154A0"/>
    <w:multiLevelType w:val="multilevel"/>
    <w:tmpl w:val="8754193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C1B667F"/>
    <w:multiLevelType w:val="hybridMultilevel"/>
    <w:tmpl w:val="C66809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733B9A"/>
    <w:multiLevelType w:val="multilevel"/>
    <w:tmpl w:val="A12453C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E1176E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95A6BEE"/>
    <w:multiLevelType w:val="multilevel"/>
    <w:tmpl w:val="BE44B7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51C37AB5"/>
    <w:multiLevelType w:val="multilevel"/>
    <w:tmpl w:val="A6627F9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545E6FFD"/>
    <w:multiLevelType w:val="multilevel"/>
    <w:tmpl w:val="201401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554452AA"/>
    <w:multiLevelType w:val="hybridMultilevel"/>
    <w:tmpl w:val="DEF4B494"/>
    <w:lvl w:ilvl="0" w:tplc="FFFFFFFF">
      <w:start w:val="1"/>
      <w:numFmt w:val="lowerRoman"/>
      <w:lvlText w:val="%1."/>
      <w:lvlJc w:val="right"/>
      <w:pPr>
        <w:ind w:left="420" w:hanging="360"/>
      </w:p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1" w15:restartNumberingAfterBreak="0">
    <w:nsid w:val="670B5E39"/>
    <w:multiLevelType w:val="multilevel"/>
    <w:tmpl w:val="02D061C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1A34D26"/>
    <w:multiLevelType w:val="hybridMultilevel"/>
    <w:tmpl w:val="5798BA1E"/>
    <w:lvl w:ilvl="0" w:tplc="FFFFFFFF">
      <w:start w:val="1"/>
      <w:numFmt w:val="lowerRoman"/>
      <w:lvlText w:val="%1."/>
      <w:lvlJc w:val="right"/>
      <w:pPr>
        <w:ind w:left="420" w:hanging="360"/>
      </w:p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13" w15:restartNumberingAfterBreak="0">
    <w:nsid w:val="72601125"/>
    <w:multiLevelType w:val="hybridMultilevel"/>
    <w:tmpl w:val="5798BA1E"/>
    <w:lvl w:ilvl="0" w:tplc="FFFFFFFF">
      <w:start w:val="1"/>
      <w:numFmt w:val="lowerRoman"/>
      <w:lvlText w:val="%1."/>
      <w:lvlJc w:val="right"/>
      <w:pPr>
        <w:ind w:left="420" w:hanging="360"/>
      </w:p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num w:numId="1" w16cid:durableId="300230411">
    <w:abstractNumId w:val="5"/>
  </w:num>
  <w:num w:numId="2" w16cid:durableId="1443308779">
    <w:abstractNumId w:val="8"/>
  </w:num>
  <w:num w:numId="3" w16cid:durableId="1370715086">
    <w:abstractNumId w:val="9"/>
  </w:num>
  <w:num w:numId="4" w16cid:durableId="2101951047">
    <w:abstractNumId w:val="1"/>
  </w:num>
  <w:num w:numId="5" w16cid:durableId="497501269">
    <w:abstractNumId w:val="3"/>
  </w:num>
  <w:num w:numId="6" w16cid:durableId="1639535413">
    <w:abstractNumId w:val="0"/>
  </w:num>
  <w:num w:numId="7" w16cid:durableId="116342077">
    <w:abstractNumId w:val="7"/>
  </w:num>
  <w:num w:numId="8" w16cid:durableId="986782153">
    <w:abstractNumId w:val="11"/>
  </w:num>
  <w:num w:numId="9" w16cid:durableId="1562718078">
    <w:abstractNumId w:val="6"/>
  </w:num>
  <w:num w:numId="10" w16cid:durableId="1150099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5828635">
    <w:abstractNumId w:val="6"/>
  </w:num>
  <w:num w:numId="12" w16cid:durableId="465589989">
    <w:abstractNumId w:val="6"/>
  </w:num>
  <w:num w:numId="13" w16cid:durableId="838156432">
    <w:abstractNumId w:val="4"/>
  </w:num>
  <w:num w:numId="14" w16cid:durableId="133641773">
    <w:abstractNumId w:val="6"/>
  </w:num>
  <w:num w:numId="15" w16cid:durableId="794324368">
    <w:abstractNumId w:val="6"/>
  </w:num>
  <w:num w:numId="16" w16cid:durableId="1528132118">
    <w:abstractNumId w:val="2"/>
  </w:num>
  <w:num w:numId="17" w16cid:durableId="1811939651">
    <w:abstractNumId w:val="6"/>
  </w:num>
  <w:num w:numId="18" w16cid:durableId="2105102128">
    <w:abstractNumId w:val="10"/>
  </w:num>
  <w:num w:numId="19" w16cid:durableId="1905870779">
    <w:abstractNumId w:val="12"/>
  </w:num>
  <w:num w:numId="20" w16cid:durableId="1669357358">
    <w:abstractNumId w:val="6"/>
  </w:num>
  <w:num w:numId="21" w16cid:durableId="1783918541">
    <w:abstractNumId w:val="13"/>
  </w:num>
  <w:num w:numId="22" w16cid:durableId="603732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53F"/>
    <w:rsid w:val="0002194A"/>
    <w:rsid w:val="00061863"/>
    <w:rsid w:val="00071186"/>
    <w:rsid w:val="001678AC"/>
    <w:rsid w:val="001822B3"/>
    <w:rsid w:val="0019003C"/>
    <w:rsid w:val="001E48B7"/>
    <w:rsid w:val="0024718D"/>
    <w:rsid w:val="00250A30"/>
    <w:rsid w:val="00266966"/>
    <w:rsid w:val="00267E67"/>
    <w:rsid w:val="002B465A"/>
    <w:rsid w:val="002D4269"/>
    <w:rsid w:val="00301E88"/>
    <w:rsid w:val="003060A5"/>
    <w:rsid w:val="00337793"/>
    <w:rsid w:val="00431DD9"/>
    <w:rsid w:val="004C5446"/>
    <w:rsid w:val="005311A5"/>
    <w:rsid w:val="005F7CF2"/>
    <w:rsid w:val="00604BC0"/>
    <w:rsid w:val="006A6E2C"/>
    <w:rsid w:val="006D6DB2"/>
    <w:rsid w:val="00722AE1"/>
    <w:rsid w:val="00801C60"/>
    <w:rsid w:val="008F0F34"/>
    <w:rsid w:val="009124AD"/>
    <w:rsid w:val="009B16D0"/>
    <w:rsid w:val="00AA0551"/>
    <w:rsid w:val="00AC79DF"/>
    <w:rsid w:val="00B02026"/>
    <w:rsid w:val="00B94562"/>
    <w:rsid w:val="00BB6C6F"/>
    <w:rsid w:val="00C4353F"/>
    <w:rsid w:val="00C53436"/>
    <w:rsid w:val="00D1236A"/>
    <w:rsid w:val="00D2260D"/>
    <w:rsid w:val="00DA2E5E"/>
    <w:rsid w:val="00E24CCB"/>
    <w:rsid w:val="00E77887"/>
    <w:rsid w:val="00E85A60"/>
    <w:rsid w:val="00EC0F1C"/>
    <w:rsid w:val="00ED1613"/>
    <w:rsid w:val="00F0570F"/>
    <w:rsid w:val="00F126EF"/>
    <w:rsid w:val="00F449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C095"/>
  <w15:docId w15:val="{29551597-B13B-4A71-BABF-993C8BC63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numPr>
        <w:numId w:val="9"/>
      </w:numPr>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unhideWhenUsed/>
    <w:qFormat/>
    <w:pPr>
      <w:keepNext/>
      <w:keepLines/>
      <w:numPr>
        <w:ilvl w:val="1"/>
        <w:numId w:val="9"/>
      </w:numPr>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semiHidden/>
    <w:unhideWhenUsed/>
    <w:qFormat/>
    <w:pPr>
      <w:keepNext/>
      <w:keepLines/>
      <w:numPr>
        <w:ilvl w:val="2"/>
        <w:numId w:val="9"/>
      </w:numPr>
      <w:spacing w:before="160" w:after="80"/>
      <w:outlineLvl w:val="2"/>
    </w:pPr>
    <w:rPr>
      <w:rFonts w:eastAsia="Yu Gothic Light" w:cs="Times New Roman"/>
      <w:color w:val="0F4761"/>
      <w:sz w:val="28"/>
      <w:szCs w:val="28"/>
    </w:rPr>
  </w:style>
  <w:style w:type="paragraph" w:styleId="Heading4">
    <w:name w:val="heading 4"/>
    <w:basedOn w:val="Normal"/>
    <w:next w:val="Normal"/>
    <w:uiPriority w:val="9"/>
    <w:semiHidden/>
    <w:unhideWhenUsed/>
    <w:qFormat/>
    <w:pPr>
      <w:keepNext/>
      <w:keepLines/>
      <w:numPr>
        <w:ilvl w:val="3"/>
        <w:numId w:val="9"/>
      </w:numPr>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numPr>
        <w:ilvl w:val="4"/>
        <w:numId w:val="9"/>
      </w:numPr>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numPr>
        <w:ilvl w:val="5"/>
        <w:numId w:val="9"/>
      </w:numPr>
      <w:spacing w:before="40" w:after="0"/>
      <w:outlineLvl w:val="5"/>
    </w:pPr>
    <w:rPr>
      <w:rFonts w:eastAsia="Yu Gothic Light" w:cs="Times New Roman"/>
      <w:i/>
      <w:iCs/>
      <w:color w:val="595959"/>
    </w:rPr>
  </w:style>
  <w:style w:type="paragraph" w:styleId="Heading7">
    <w:name w:val="heading 7"/>
    <w:basedOn w:val="Normal"/>
    <w:next w:val="Normal"/>
    <w:pPr>
      <w:keepNext/>
      <w:keepLines/>
      <w:numPr>
        <w:ilvl w:val="6"/>
        <w:numId w:val="9"/>
      </w:numPr>
      <w:spacing w:before="40" w:after="0"/>
      <w:outlineLvl w:val="6"/>
    </w:pPr>
    <w:rPr>
      <w:rFonts w:eastAsia="Yu Gothic Light" w:cs="Times New Roman"/>
      <w:color w:val="595959"/>
    </w:rPr>
  </w:style>
  <w:style w:type="paragraph" w:styleId="Heading8">
    <w:name w:val="heading 8"/>
    <w:basedOn w:val="Normal"/>
    <w:next w:val="Normal"/>
    <w:pPr>
      <w:keepNext/>
      <w:keepLines/>
      <w:numPr>
        <w:ilvl w:val="7"/>
        <w:numId w:val="9"/>
      </w:numPr>
      <w:spacing w:after="0"/>
      <w:outlineLvl w:val="7"/>
    </w:pPr>
    <w:rPr>
      <w:rFonts w:eastAsia="Yu Gothic Light" w:cs="Times New Roman"/>
      <w:i/>
      <w:iCs/>
      <w:color w:val="272727"/>
    </w:rPr>
  </w:style>
  <w:style w:type="paragraph" w:styleId="Heading9">
    <w:name w:val="heading 9"/>
    <w:basedOn w:val="Normal"/>
    <w:next w:val="Normal"/>
    <w:pPr>
      <w:keepNext/>
      <w:keepLines/>
      <w:numPr>
        <w:ilvl w:val="8"/>
        <w:numId w:val="9"/>
      </w:numPr>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Yu Gothic Light" w:hAnsi="Aptos Display" w:cs="Times New Roman"/>
      <w:color w:val="0F4761"/>
      <w:sz w:val="40"/>
      <w:szCs w:val="40"/>
    </w:rPr>
  </w:style>
  <w:style w:type="character" w:customStyle="1" w:styleId="Heading2Char">
    <w:name w:val="Heading 2 Char"/>
    <w:basedOn w:val="DefaultParagraphFont"/>
    <w:rPr>
      <w:rFonts w:ascii="Aptos Display" w:eastAsia="Yu Gothic Light" w:hAnsi="Aptos Display" w:cs="Times New Roman"/>
      <w:color w:val="0F4761"/>
      <w:sz w:val="32"/>
      <w:szCs w:val="32"/>
    </w:rPr>
  </w:style>
  <w:style w:type="character" w:customStyle="1" w:styleId="Heading3Char">
    <w:name w:val="Heading 3 Char"/>
    <w:basedOn w:val="DefaultParagraphFont"/>
    <w:rPr>
      <w:rFonts w:eastAsia="Yu Gothic Light" w:cs="Times New Roman"/>
      <w:color w:val="0F4761"/>
      <w:sz w:val="28"/>
      <w:szCs w:val="28"/>
    </w:rPr>
  </w:style>
  <w:style w:type="character" w:customStyle="1" w:styleId="Heading4Char">
    <w:name w:val="Heading 4 Char"/>
    <w:basedOn w:val="DefaultParagraphFont"/>
    <w:rPr>
      <w:rFonts w:eastAsia="Yu Gothic Light" w:cs="Times New Roman"/>
      <w:i/>
      <w:iCs/>
      <w:color w:val="0F4761"/>
    </w:rPr>
  </w:style>
  <w:style w:type="character" w:customStyle="1" w:styleId="Heading5Char">
    <w:name w:val="Heading 5 Char"/>
    <w:basedOn w:val="DefaultParagraphFont"/>
    <w:rPr>
      <w:rFonts w:eastAsia="Yu Gothic Light" w:cs="Times New Roman"/>
      <w:color w:val="0F4761"/>
    </w:rPr>
  </w:style>
  <w:style w:type="character" w:customStyle="1" w:styleId="Heading6Char">
    <w:name w:val="Heading 6 Char"/>
    <w:basedOn w:val="DefaultParagraphFont"/>
    <w:rPr>
      <w:rFonts w:eastAsia="Yu Gothic Light" w:cs="Times New Roman"/>
      <w:i/>
      <w:iCs/>
      <w:color w:val="595959"/>
    </w:rPr>
  </w:style>
  <w:style w:type="character" w:customStyle="1" w:styleId="Heading7Char">
    <w:name w:val="Heading 7 Char"/>
    <w:basedOn w:val="DefaultParagraphFont"/>
    <w:rPr>
      <w:rFonts w:eastAsia="Yu Gothic Light" w:cs="Times New Roman"/>
      <w:color w:val="595959"/>
    </w:rPr>
  </w:style>
  <w:style w:type="character" w:customStyle="1" w:styleId="Heading8Char">
    <w:name w:val="Heading 8 Char"/>
    <w:basedOn w:val="DefaultParagraphFont"/>
    <w:rPr>
      <w:rFonts w:eastAsia="Yu Gothic Light" w:cs="Times New Roman"/>
      <w:i/>
      <w:iCs/>
      <w:color w:val="272727"/>
    </w:rPr>
  </w:style>
  <w:style w:type="character" w:customStyle="1" w:styleId="Heading9Char">
    <w:name w:val="Heading 9 Ch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pPr>
    <w:rPr>
      <w:rFonts w:ascii="Aptos Display" w:eastAsia="Yu Gothic Light" w:hAnsi="Aptos Display" w:cs="Times New Roman"/>
      <w:spacing w:val="-10"/>
      <w:sz w:val="56"/>
      <w:szCs w:val="56"/>
    </w:rPr>
  </w:style>
  <w:style w:type="character" w:customStyle="1" w:styleId="TitleChar">
    <w:name w:val="Title Ch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ubtitleChar">
    <w:name w:val="Subtitle Ch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uiPriority w:val="99"/>
    <w:rPr>
      <w:color w:val="467886"/>
      <w:u w:val="single"/>
    </w:rPr>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TOCHeading">
    <w:name w:val="TOC Heading"/>
    <w:basedOn w:val="Heading1"/>
    <w:next w:val="Normal"/>
    <w:uiPriority w:val="39"/>
    <w:unhideWhenUsed/>
    <w:qFormat/>
    <w:rsid w:val="00301E88"/>
    <w:pPr>
      <w:numPr>
        <w:numId w:val="0"/>
      </w:numPr>
      <w:suppressAutoHyphens w:val="0"/>
      <w:autoSpaceDN/>
      <w:spacing w:before="240" w:after="0" w:line="259" w:lineRule="auto"/>
      <w:textAlignment w:val="auto"/>
      <w:outlineLvl w:val="9"/>
    </w:pPr>
    <w:rPr>
      <w:rFonts w:asciiTheme="majorHAnsi" w:eastAsiaTheme="majorEastAsia" w:hAnsiTheme="majorHAnsi" w:cstheme="majorBidi"/>
      <w:color w:val="2F5496" w:themeColor="accent1" w:themeShade="BF"/>
      <w:kern w:val="0"/>
      <w:sz w:val="32"/>
      <w:szCs w:val="32"/>
      <w:lang w:val="en-GB" w:eastAsia="en-GB"/>
    </w:rPr>
  </w:style>
  <w:style w:type="paragraph" w:styleId="TOC1">
    <w:name w:val="toc 1"/>
    <w:basedOn w:val="Normal"/>
    <w:next w:val="Normal"/>
    <w:autoRedefine/>
    <w:uiPriority w:val="39"/>
    <w:unhideWhenUsed/>
    <w:rsid w:val="00301E88"/>
    <w:pPr>
      <w:spacing w:after="100"/>
    </w:pPr>
  </w:style>
  <w:style w:type="paragraph" w:styleId="TOC2">
    <w:name w:val="toc 2"/>
    <w:basedOn w:val="Normal"/>
    <w:next w:val="Normal"/>
    <w:autoRedefine/>
    <w:uiPriority w:val="39"/>
    <w:unhideWhenUsed/>
    <w:rsid w:val="00301E8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image" Target="media/image3.emf"/><Relationship Id="rId26" Type="http://schemas.openxmlformats.org/officeDocument/2006/relationships/package" Target="embeddings/Microsoft_Excel_Worksheet5.xlsx"/><Relationship Id="rId39" Type="http://schemas.openxmlformats.org/officeDocument/2006/relationships/package" Target="embeddings/Microsoft_Excel_Worksheet8.xlsx"/><Relationship Id="rId21" Type="http://schemas.openxmlformats.org/officeDocument/2006/relationships/package" Target="embeddings/Microsoft_Excel_Worksheet3.xlsx"/><Relationship Id="rId34" Type="http://schemas.openxmlformats.org/officeDocument/2006/relationships/header" Target="header5.xml"/><Relationship Id="rId42" Type="http://schemas.openxmlformats.org/officeDocument/2006/relationships/chart" Target="charts/chart2.xml"/><Relationship Id="rId47" Type="http://schemas.openxmlformats.org/officeDocument/2006/relationships/hyperlink" Target="https://seea.un.org/content/seea-energy"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4.xml"/><Relationship Id="rId11" Type="http://schemas.openxmlformats.org/officeDocument/2006/relationships/footer" Target="footer3.xml"/><Relationship Id="rId24" Type="http://schemas.openxmlformats.org/officeDocument/2006/relationships/package" Target="embeddings/Microsoft_Excel_Worksheet4.xlsx"/><Relationship Id="rId32" Type="http://schemas.openxmlformats.org/officeDocument/2006/relationships/package" Target="embeddings/Microsoft_Excel_Worksheet6.xlsx"/><Relationship Id="rId37" Type="http://schemas.openxmlformats.org/officeDocument/2006/relationships/package" Target="embeddings/Microsoft_Excel_Worksheet7.xlsx"/><Relationship Id="rId40" Type="http://schemas.openxmlformats.org/officeDocument/2006/relationships/header" Target="header6.xml"/><Relationship Id="rId45" Type="http://schemas.openxmlformats.org/officeDocument/2006/relationships/hyperlink" Target="https://www.iea.org/reports/energy-statistics-manual" TargetMode="External"/><Relationship Id="rId5" Type="http://schemas.openxmlformats.org/officeDocument/2006/relationships/webSettings" Target="webSettings.xml"/><Relationship Id="rId15" Type="http://schemas.openxmlformats.org/officeDocument/2006/relationships/package" Target="embeddings/Microsoft_Excel_Worksheet1.xlsx"/><Relationship Id="rId23" Type="http://schemas.openxmlformats.org/officeDocument/2006/relationships/image" Target="media/image5.emf"/><Relationship Id="rId28" Type="http://schemas.openxmlformats.org/officeDocument/2006/relationships/footer" Target="footer5.xml"/><Relationship Id="rId36" Type="http://schemas.openxmlformats.org/officeDocument/2006/relationships/image" Target="media/image9.emf"/><Relationship Id="rId49" Type="http://schemas.openxmlformats.org/officeDocument/2006/relationships/footer" Target="footer9.xml"/><Relationship Id="rId10" Type="http://schemas.openxmlformats.org/officeDocument/2006/relationships/footer" Target="footer2.xml"/><Relationship Id="rId19" Type="http://schemas.openxmlformats.org/officeDocument/2006/relationships/package" Target="embeddings/Microsoft_Excel_Worksheet2.xlsx"/><Relationship Id="rId31" Type="http://schemas.openxmlformats.org/officeDocument/2006/relationships/image" Target="media/image7.emf"/><Relationship Id="rId44" Type="http://schemas.openxmlformats.org/officeDocument/2006/relationships/hyperlink" Target="https://www.ipcc-nggip.iges.or.jp/public/2006gl/vol2.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emf"/><Relationship Id="rId22" Type="http://schemas.openxmlformats.org/officeDocument/2006/relationships/chart" Target="charts/chart1.xml"/><Relationship Id="rId27" Type="http://schemas.openxmlformats.org/officeDocument/2006/relationships/header" Target="header3.xml"/><Relationship Id="rId30" Type="http://schemas.openxmlformats.org/officeDocument/2006/relationships/footer" Target="footer6.xml"/><Relationship Id="rId35" Type="http://schemas.openxmlformats.org/officeDocument/2006/relationships/footer" Target="footer7.xml"/><Relationship Id="rId43" Type="http://schemas.openxmlformats.org/officeDocument/2006/relationships/chart" Target="charts/chart3.xml"/><Relationship Id="rId48" Type="http://schemas.openxmlformats.org/officeDocument/2006/relationships/header" Target="header7.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4.xml"/><Relationship Id="rId25" Type="http://schemas.openxmlformats.org/officeDocument/2006/relationships/image" Target="media/image6.emf"/><Relationship Id="rId33" Type="http://schemas.openxmlformats.org/officeDocument/2006/relationships/image" Target="media/image8.png"/><Relationship Id="rId38" Type="http://schemas.openxmlformats.org/officeDocument/2006/relationships/image" Target="media/image10.emf"/><Relationship Id="rId46" Type="http://schemas.openxmlformats.org/officeDocument/2006/relationships/hyperlink" Target="https://www.eia.gov/totalenergy/data/monthly/" TargetMode="External"/><Relationship Id="rId20" Type="http://schemas.openxmlformats.org/officeDocument/2006/relationships/image" Target="media/image4.emf"/><Relationship Id="rId41"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600" b="1" i="0" u="none" strike="noStrike" kern="1200" baseline="0">
                <a:solidFill>
                  <a:srgbClr val="0E2841"/>
                </a:solidFill>
                <a:latin typeface="Aptos"/>
              </a:defRPr>
            </a:pPr>
            <a:r>
              <a:rPr lang="en-GB" sz="1600" b="1" i="0" u="none" strike="noStrike" kern="1200" cap="none" spc="0" baseline="0">
                <a:solidFill>
                  <a:srgbClr val="0E2841"/>
                </a:solidFill>
                <a:uFillTx/>
                <a:latin typeface="Aptos"/>
              </a:rPr>
              <a:t>Proportion of Imports by Percentage</a:t>
            </a:r>
          </a:p>
        </c:rich>
      </c:tx>
      <c:overlay val="0"/>
      <c:spPr>
        <a:noFill/>
        <a:ln>
          <a:noFill/>
        </a:ln>
      </c:spPr>
    </c:title>
    <c:autoTitleDeleted val="0"/>
    <c:plotArea>
      <c:layout/>
      <c:barChart>
        <c:barDir val="col"/>
        <c:grouping val="stacked"/>
        <c:varyColors val="0"/>
        <c:ser>
          <c:idx val="0"/>
          <c:order val="0"/>
          <c:tx>
            <c:v>Liquid fuels</c:v>
          </c:tx>
          <c:spPr>
            <a:gradFill>
              <a:gsLst>
                <a:gs pos="0">
                  <a:srgbClr val="497491"/>
                </a:gs>
                <a:gs pos="100000">
                  <a:srgbClr val="106287"/>
                </a:gs>
              </a:gsLst>
              <a:lin ang="5400000"/>
            </a:gradFill>
            <a:ln>
              <a:noFill/>
            </a:ln>
          </c:spPr>
          <c:invertIfNegative val="0"/>
          <c:cat>
            <c:numLit>
              <c:formatCode>General</c:formatCode>
              <c:ptCount val="7"/>
              <c:pt idx="0">
                <c:v>2018</c:v>
              </c:pt>
              <c:pt idx="1">
                <c:v>2019</c:v>
              </c:pt>
              <c:pt idx="2">
                <c:v>2020</c:v>
              </c:pt>
              <c:pt idx="3">
                <c:v>2021</c:v>
              </c:pt>
              <c:pt idx="4">
                <c:v>2022</c:v>
              </c:pt>
              <c:pt idx="5">
                <c:v>2023</c:v>
              </c:pt>
              <c:pt idx="6">
                <c:v>2024</c:v>
              </c:pt>
            </c:numLit>
          </c:cat>
          <c:val>
            <c:numLit>
              <c:formatCode>General</c:formatCode>
              <c:ptCount val="7"/>
              <c:pt idx="0">
                <c:v>64.773679080832025</c:v>
              </c:pt>
              <c:pt idx="1">
                <c:v>85.011404801685515</c:v>
              </c:pt>
              <c:pt idx="2">
                <c:v>81.166782640038292</c:v>
              </c:pt>
              <c:pt idx="3">
                <c:v>75.628698129527564</c:v>
              </c:pt>
              <c:pt idx="4">
                <c:v>71.575128651612459</c:v>
              </c:pt>
              <c:pt idx="5">
                <c:v>59.515115495338222</c:v>
              </c:pt>
              <c:pt idx="6">
                <c:v>57.479212417039726</c:v>
              </c:pt>
            </c:numLit>
          </c:val>
          <c:extLst>
            <c:ext xmlns:c16="http://schemas.microsoft.com/office/drawing/2014/chart" uri="{C3380CC4-5D6E-409C-BE32-E72D297353CC}">
              <c16:uniqueId val="{00000000-3A40-4C90-9B81-4FC3B0695CA2}"/>
            </c:ext>
          </c:extLst>
        </c:ser>
        <c:ser>
          <c:idx val="1"/>
          <c:order val="1"/>
          <c:tx>
            <c:v>Coal and Coke</c:v>
          </c:tx>
          <c:spPr>
            <a:gradFill>
              <a:gsLst>
                <a:gs pos="0">
                  <a:srgbClr val="ED8256"/>
                </a:gs>
                <a:gs pos="100000">
                  <a:srgbClr val="F26E29"/>
                </a:gs>
              </a:gsLst>
              <a:lin ang="5400000"/>
            </a:gradFill>
            <a:ln>
              <a:noFill/>
            </a:ln>
          </c:spPr>
          <c:invertIfNegative val="0"/>
          <c:cat>
            <c:numLit>
              <c:formatCode>General</c:formatCode>
              <c:ptCount val="7"/>
              <c:pt idx="0">
                <c:v>2018</c:v>
              </c:pt>
              <c:pt idx="1">
                <c:v>2019</c:v>
              </c:pt>
              <c:pt idx="2">
                <c:v>2020</c:v>
              </c:pt>
              <c:pt idx="3">
                <c:v>2021</c:v>
              </c:pt>
              <c:pt idx="4">
                <c:v>2022</c:v>
              </c:pt>
              <c:pt idx="5">
                <c:v>2023</c:v>
              </c:pt>
              <c:pt idx="6">
                <c:v>2024</c:v>
              </c:pt>
            </c:numLit>
          </c:cat>
          <c:val>
            <c:numLit>
              <c:formatCode>General</c:formatCode>
              <c:ptCount val="7"/>
              <c:pt idx="0">
                <c:v>7.6182313385591849</c:v>
              </c:pt>
              <c:pt idx="1">
                <c:v>8.3496251311112175</c:v>
              </c:pt>
              <c:pt idx="2">
                <c:v>12.358376410416653</c:v>
              </c:pt>
              <c:pt idx="3">
                <c:v>14.794175122646536</c:v>
              </c:pt>
              <c:pt idx="4">
                <c:v>18.826638750585918</c:v>
              </c:pt>
              <c:pt idx="5">
                <c:v>22.214485494183201</c:v>
              </c:pt>
              <c:pt idx="6">
                <c:v>21.25636321648491</c:v>
              </c:pt>
            </c:numLit>
          </c:val>
          <c:extLst>
            <c:ext xmlns:c16="http://schemas.microsoft.com/office/drawing/2014/chart" uri="{C3380CC4-5D6E-409C-BE32-E72D297353CC}">
              <c16:uniqueId val="{00000001-3A40-4C90-9B81-4FC3B0695CA2}"/>
            </c:ext>
          </c:extLst>
        </c:ser>
        <c:ser>
          <c:idx val="2"/>
          <c:order val="2"/>
          <c:tx>
            <c:v>Electricity</c:v>
          </c:tx>
          <c:spPr>
            <a:gradFill>
              <a:gsLst>
                <a:gs pos="0">
                  <a:srgbClr val="4A7E4E"/>
                </a:gs>
                <a:gs pos="100000">
                  <a:srgbClr val="156F21"/>
                </a:gs>
              </a:gsLst>
              <a:lin ang="5400000"/>
            </a:gradFill>
            <a:ln>
              <a:noFill/>
            </a:ln>
          </c:spPr>
          <c:invertIfNegative val="0"/>
          <c:cat>
            <c:numLit>
              <c:formatCode>General</c:formatCode>
              <c:ptCount val="7"/>
              <c:pt idx="0">
                <c:v>2018</c:v>
              </c:pt>
              <c:pt idx="1">
                <c:v>2019</c:v>
              </c:pt>
              <c:pt idx="2">
                <c:v>2020</c:v>
              </c:pt>
              <c:pt idx="3">
                <c:v>2021</c:v>
              </c:pt>
              <c:pt idx="4">
                <c:v>2022</c:v>
              </c:pt>
              <c:pt idx="5">
                <c:v>2023</c:v>
              </c:pt>
              <c:pt idx="6">
                <c:v>2024</c:v>
              </c:pt>
            </c:numLit>
          </c:cat>
          <c:val>
            <c:numLit>
              <c:formatCode>General</c:formatCode>
              <c:ptCount val="7"/>
              <c:pt idx="0">
                <c:v>1.2358554367254984</c:v>
              </c:pt>
              <c:pt idx="1">
                <c:v>2.4876092158881047</c:v>
              </c:pt>
              <c:pt idx="2">
                <c:v>1.7353683985552764</c:v>
              </c:pt>
              <c:pt idx="3">
                <c:v>3.8172411037764786</c:v>
              </c:pt>
              <c:pt idx="4">
                <c:v>4.3815690701534029</c:v>
              </c:pt>
              <c:pt idx="5">
                <c:v>12.09700175593267</c:v>
              </c:pt>
              <c:pt idx="6">
                <c:v>15.828082349954316</c:v>
              </c:pt>
            </c:numLit>
          </c:val>
          <c:extLst>
            <c:ext xmlns:c16="http://schemas.microsoft.com/office/drawing/2014/chart" uri="{C3380CC4-5D6E-409C-BE32-E72D297353CC}">
              <c16:uniqueId val="{00000002-3A40-4C90-9B81-4FC3B0695CA2}"/>
            </c:ext>
          </c:extLst>
        </c:ser>
        <c:ser>
          <c:idx val="3"/>
          <c:order val="3"/>
          <c:tx>
            <c:v>LPG</c:v>
          </c:tx>
          <c:spPr>
            <a:gradFill>
              <a:gsLst>
                <a:gs pos="0">
                  <a:srgbClr val="47AADF"/>
                </a:gs>
                <a:gs pos="100000">
                  <a:srgbClr val="05A2DF"/>
                </a:gs>
              </a:gsLst>
              <a:lin ang="5400000"/>
            </a:gradFill>
            <a:ln>
              <a:noFill/>
            </a:ln>
          </c:spPr>
          <c:invertIfNegative val="0"/>
          <c:cat>
            <c:numLit>
              <c:formatCode>General</c:formatCode>
              <c:ptCount val="7"/>
              <c:pt idx="0">
                <c:v>2018</c:v>
              </c:pt>
              <c:pt idx="1">
                <c:v>2019</c:v>
              </c:pt>
              <c:pt idx="2">
                <c:v>2020</c:v>
              </c:pt>
              <c:pt idx="3">
                <c:v>2021</c:v>
              </c:pt>
              <c:pt idx="4">
                <c:v>2022</c:v>
              </c:pt>
              <c:pt idx="5">
                <c:v>2023</c:v>
              </c:pt>
              <c:pt idx="6">
                <c:v>2024</c:v>
              </c:pt>
            </c:numLit>
          </c:cat>
          <c:val>
            <c:numLit>
              <c:formatCode>General</c:formatCode>
              <c:ptCount val="7"/>
              <c:pt idx="0">
                <c:v>26.372234143883293</c:v>
              </c:pt>
              <c:pt idx="1">
                <c:v>4.1513608513151539</c:v>
              </c:pt>
              <c:pt idx="2">
                <c:v>4.7394725509897828</c:v>
              </c:pt>
              <c:pt idx="3">
                <c:v>5.7598856440494295</c:v>
              </c:pt>
              <c:pt idx="4">
                <c:v>5.2166635276482047</c:v>
              </c:pt>
              <c:pt idx="5">
                <c:v>6.1733972545459066</c:v>
              </c:pt>
              <c:pt idx="6">
                <c:v>5.4363420165210545</c:v>
              </c:pt>
            </c:numLit>
          </c:val>
          <c:extLst>
            <c:ext xmlns:c16="http://schemas.microsoft.com/office/drawing/2014/chart" uri="{C3380CC4-5D6E-409C-BE32-E72D297353CC}">
              <c16:uniqueId val="{00000003-3A40-4C90-9B81-4FC3B0695CA2}"/>
            </c:ext>
          </c:extLst>
        </c:ser>
        <c:dLbls>
          <c:showLegendKey val="0"/>
          <c:showVal val="0"/>
          <c:showCatName val="0"/>
          <c:showSerName val="0"/>
          <c:showPercent val="0"/>
          <c:showBubbleSize val="0"/>
        </c:dLbls>
        <c:gapWidth val="150"/>
        <c:overlap val="100"/>
        <c:axId val="196131216"/>
        <c:axId val="196131696"/>
      </c:barChart>
      <c:valAx>
        <c:axId val="196131696"/>
        <c:scaling>
          <c:orientation val="minMax"/>
          <c:max val="100"/>
        </c:scaling>
        <c:delete val="0"/>
        <c:axPos val="l"/>
        <c:majorGridlines>
          <c:spPr>
            <a:ln w="9528" cap="flat">
              <a:solidFill>
                <a:srgbClr val="CADFF4"/>
              </a:solidFill>
              <a:prstDash val="solid"/>
              <a:round/>
            </a:ln>
          </c:spPr>
        </c:majorGridlines>
        <c:title>
          <c:tx>
            <c:rich>
              <a:bodyPr lIns="0" tIns="0" rIns="0" bIns="0"/>
              <a:lstStyle/>
              <a:p>
                <a:pPr marL="0" marR="0" indent="0" algn="ctr" defTabSz="914400" fontAlgn="auto" hangingPunct="1">
                  <a:lnSpc>
                    <a:spcPct val="100000"/>
                  </a:lnSpc>
                  <a:spcBef>
                    <a:spcPts val="0"/>
                  </a:spcBef>
                  <a:spcAft>
                    <a:spcPts val="0"/>
                  </a:spcAft>
                  <a:tabLst/>
                  <a:defRPr sz="900" b="1" i="0" u="none" strike="noStrike" kern="1200" baseline="0">
                    <a:solidFill>
                      <a:srgbClr val="0E2841"/>
                    </a:solidFill>
                    <a:latin typeface="Aptos"/>
                  </a:defRPr>
                </a:pPr>
                <a:r>
                  <a:rPr lang="en-GB" sz="900" b="1" i="0" u="none" strike="noStrike" kern="1200" cap="none" spc="0" baseline="0">
                    <a:solidFill>
                      <a:srgbClr val="0E2841"/>
                    </a:solidFill>
                    <a:uFillTx/>
                    <a:latin typeface="Aptos"/>
                  </a:rPr>
                  <a:t>Percentage</a:t>
                </a:r>
              </a:p>
            </c:rich>
          </c:tx>
          <c:overlay val="0"/>
          <c:spPr>
            <a:noFill/>
            <a:ln>
              <a:noFill/>
            </a:ln>
          </c:spPr>
        </c:title>
        <c:numFmt formatCode="&quot; &quot;#,##0.00&quot; &quot;;&quot; (&quot;#,##0.00&quot;)&quot;;&quot; -&quot;00&quot; &quot;;&quot; &quot;" sourceLinked="0"/>
        <c:majorTickMark val="none"/>
        <c:minorTickMark val="none"/>
        <c:tickLblPos val="nextTo"/>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0E2841"/>
                </a:solidFill>
                <a:latin typeface="Aptos"/>
              </a:defRPr>
            </a:pPr>
            <a:endParaRPr lang="en-US"/>
          </a:p>
        </c:txPr>
        <c:crossAx val="196131216"/>
        <c:crosses val="autoZero"/>
        <c:crossBetween val="between"/>
      </c:valAx>
      <c:catAx>
        <c:axId val="196131216"/>
        <c:scaling>
          <c:orientation val="minMax"/>
        </c:scaling>
        <c:delete val="0"/>
        <c:axPos val="b"/>
        <c:numFmt formatCode="General" sourceLinked="0"/>
        <c:majorTickMark val="none"/>
        <c:minorTickMark val="none"/>
        <c:tickLblPos val="nextTo"/>
        <c:spPr>
          <a:noFill/>
          <a:ln w="9528" cap="flat">
            <a:solidFill>
              <a:srgbClr val="CADFF4"/>
            </a:solidFill>
            <a:prstDash val="solid"/>
            <a:round/>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0E2841"/>
                </a:solidFill>
                <a:latin typeface="Aptos"/>
              </a:defRPr>
            </a:pPr>
            <a:endParaRPr lang="en-US"/>
          </a:p>
        </c:txPr>
        <c:crossAx val="196131696"/>
        <c:crosses val="autoZero"/>
        <c:auto val="1"/>
        <c:lblAlgn val="ctr"/>
        <c:lblOffset val="100"/>
        <c:noMultiLvlLbl val="0"/>
      </c:catAx>
      <c:spPr>
        <a:noFill/>
        <a:ln>
          <a:noFill/>
        </a:ln>
      </c:spPr>
    </c:plotArea>
    <c:legend>
      <c:legendPos val="b"/>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0E2841"/>
              </a:solidFill>
              <a:latin typeface="Aptos"/>
            </a:defRPr>
          </a:pPr>
          <a:endParaRPr lang="en-US"/>
        </a:p>
      </c:txPr>
    </c:legend>
    <c:plotVisOnly val="1"/>
    <c:dispBlanksAs val="gap"/>
    <c:showDLblsOverMax val="0"/>
  </c:chart>
  <c:spPr>
    <a:solidFill>
      <a:srgbClr val="FFFFFF"/>
    </a:solidFill>
    <a:ln w="9528" cap="flat">
      <a:solidFill>
        <a:srgbClr val="CADFF4"/>
      </a:solidFill>
      <a:prstDash val="solid"/>
      <a:round/>
    </a:ln>
  </c:spPr>
  <c:txPr>
    <a:bodyPr lIns="0" tIns="0" rIns="0" bIns="0"/>
    <a:lstStyle/>
    <a:p>
      <a:pPr marL="0" marR="0" indent="0" defTabSz="914400" fontAlgn="auto" hangingPunct="1">
        <a:lnSpc>
          <a:spcPct val="100000"/>
        </a:lnSpc>
        <a:spcBef>
          <a:spcPts val="0"/>
        </a:spcBef>
        <a:spcAft>
          <a:spcPts val="0"/>
        </a:spcAft>
        <a:tabLst/>
        <a:defRPr lang="en-US" sz="900" b="0" i="0" u="none" strike="noStrike" kern="1200" baseline="0">
          <a:solidFill>
            <a:srgbClr val="0E2841"/>
          </a:solidFill>
          <a:latin typeface="Aptos"/>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400" b="0" i="0" u="none" strike="noStrike" kern="1200" spc="0" baseline="0">
                <a:solidFill>
                  <a:srgbClr val="595959"/>
                </a:solidFill>
                <a:latin typeface="Aptos"/>
              </a:defRPr>
            </a:pPr>
            <a:r>
              <a:rPr lang="en-GB" sz="1400" b="0" i="0" u="none" strike="noStrike" kern="1200" cap="none" spc="0" baseline="0">
                <a:solidFill>
                  <a:srgbClr val="595959"/>
                </a:solidFill>
                <a:uFillTx/>
                <a:latin typeface="Aptos"/>
              </a:rPr>
              <a:t>Monetary Use By Industry</a:t>
            </a:r>
          </a:p>
        </c:rich>
      </c:tx>
      <c:overlay val="0"/>
      <c:spPr>
        <a:noFill/>
        <a:ln>
          <a:noFill/>
        </a:ln>
      </c:spPr>
    </c:title>
    <c:autoTitleDeleted val="0"/>
    <c:plotArea>
      <c:layout/>
      <c:barChart>
        <c:barDir val="bar"/>
        <c:grouping val="clustered"/>
        <c:varyColors val="0"/>
        <c:ser>
          <c:idx val="0"/>
          <c:order val="0"/>
          <c:tx>
            <c:v>Series1</c:v>
          </c:tx>
          <c:spPr>
            <a:solidFill>
              <a:srgbClr val="156082"/>
            </a:solidFill>
            <a:ln>
              <a:noFill/>
            </a:ln>
          </c:spPr>
          <c:invertIfNegative val="0"/>
          <c:dLbls>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sz="900" b="0" i="0" u="none" strike="noStrike" kern="1200" baseline="0">
                    <a:solidFill>
                      <a:srgbClr val="404040"/>
                    </a:solidFill>
                    <a:latin typeface="Aptos"/>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0"/>
              <c:pt idx="0">
                <c:v>Agriculture Forestry &amp; Fishery</c:v>
              </c:pt>
              <c:pt idx="1">
                <c:v>Mining &amp; Quarrying</c:v>
              </c:pt>
              <c:pt idx="2">
                <c:v>Manufacturing</c:v>
              </c:pt>
              <c:pt idx="3">
                <c:v>Electricity, gas, steam &amp; air conditioning supply</c:v>
              </c:pt>
              <c:pt idx="4">
                <c:v>Construction</c:v>
              </c:pt>
              <c:pt idx="5">
                <c:v>Transportation &amp; Storage</c:v>
              </c:pt>
              <c:pt idx="6">
                <c:v>Accommodation and Food Service Activities</c:v>
              </c:pt>
              <c:pt idx="7">
                <c:v> Other Commercial Sectors</c:v>
              </c:pt>
              <c:pt idx="8">
                <c:v>Public Administration and Defense</c:v>
              </c:pt>
              <c:pt idx="9">
                <c:v>Households</c:v>
              </c:pt>
            </c:strLit>
          </c:cat>
          <c:val>
            <c:numLit>
              <c:formatCode>General</c:formatCode>
              <c:ptCount val="10"/>
              <c:pt idx="0">
                <c:v>0.12045515280999</c:v>
              </c:pt>
              <c:pt idx="1">
                <c:v>0.51369797588305266</c:v>
              </c:pt>
              <c:pt idx="2">
                <c:v>3.660105868664739</c:v>
              </c:pt>
              <c:pt idx="3">
                <c:v>2.8379880468895942</c:v>
              </c:pt>
              <c:pt idx="4">
                <c:v>0.79444283516412217</c:v>
              </c:pt>
              <c:pt idx="5">
                <c:v>13.95842379525401</c:v>
              </c:pt>
              <c:pt idx="6">
                <c:v>2.5606660300806033E-2</c:v>
              </c:pt>
              <c:pt idx="7">
                <c:v>14.765342304293366</c:v>
              </c:pt>
              <c:pt idx="8">
                <c:v>0.11819763553183732</c:v>
              </c:pt>
              <c:pt idx="9">
                <c:v>63.205739725208474</c:v>
              </c:pt>
            </c:numLit>
          </c:val>
          <c:extLst>
            <c:ext xmlns:c16="http://schemas.microsoft.com/office/drawing/2014/chart" uri="{C3380CC4-5D6E-409C-BE32-E72D297353CC}">
              <c16:uniqueId val="{00000000-E2F9-4B93-9B2C-9F00AB793A7C}"/>
            </c:ext>
          </c:extLst>
        </c:ser>
        <c:dLbls>
          <c:showLegendKey val="0"/>
          <c:showVal val="0"/>
          <c:showCatName val="0"/>
          <c:showSerName val="0"/>
          <c:showPercent val="0"/>
          <c:showBubbleSize val="0"/>
        </c:dLbls>
        <c:gapWidth val="182"/>
        <c:axId val="146931056"/>
        <c:axId val="146928656"/>
      </c:barChart>
      <c:valAx>
        <c:axId val="146928656"/>
        <c:scaling>
          <c:orientation val="minMax"/>
        </c:scaling>
        <c:delete val="0"/>
        <c:axPos val="b"/>
        <c:majorGridlines>
          <c:spPr>
            <a:ln w="9528" cap="flat">
              <a:solidFill>
                <a:srgbClr val="D9D9D9"/>
              </a:solidFill>
              <a:prstDash val="solid"/>
              <a:round/>
            </a:ln>
          </c:spPr>
        </c:majorGridlines>
        <c:numFmt formatCode="0.00" sourceLinked="0"/>
        <c:majorTickMark val="none"/>
        <c:minorTickMark val="none"/>
        <c:tickLblPos val="nextTo"/>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Aptos"/>
              </a:defRPr>
            </a:pPr>
            <a:endParaRPr lang="en-US"/>
          </a:p>
        </c:txPr>
        <c:crossAx val="146931056"/>
        <c:crosses val="autoZero"/>
        <c:crossBetween val="between"/>
      </c:valAx>
      <c:catAx>
        <c:axId val="146931056"/>
        <c:scaling>
          <c:orientation val="minMax"/>
        </c:scaling>
        <c:delete val="0"/>
        <c:axPos val="l"/>
        <c:numFmt formatCode="General" sourceLinked="0"/>
        <c:majorTickMark val="none"/>
        <c:minorTickMark val="none"/>
        <c:tickLblPos val="nextTo"/>
        <c:spPr>
          <a:no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Aptos"/>
              </a:defRPr>
            </a:pPr>
            <a:endParaRPr lang="en-US"/>
          </a:p>
        </c:txPr>
        <c:crossAx val="146928656"/>
        <c:crosses val="autoZero"/>
        <c:auto val="1"/>
        <c:lblAlgn val="ctr"/>
        <c:lblOffset val="100"/>
        <c:noMultiLvlLbl val="0"/>
      </c:catAx>
      <c:spPr>
        <a:noFill/>
        <a:ln>
          <a:noFill/>
        </a:ln>
      </c:spPr>
    </c:plotArea>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US" sz="1000" b="0" i="0" u="none" strike="noStrike" kern="1200" baseline="0">
          <a:solidFill>
            <a:srgbClr val="000000"/>
          </a:solidFill>
          <a:latin typeface="Aptos"/>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lIns="0" tIns="0" rIns="0" bIns="0"/>
          <a:lstStyle/>
          <a:p>
            <a:pPr marL="0" marR="0" indent="0" algn="ctr" defTabSz="914400" fontAlgn="auto" hangingPunct="1">
              <a:lnSpc>
                <a:spcPct val="100000"/>
              </a:lnSpc>
              <a:spcBef>
                <a:spcPts val="0"/>
              </a:spcBef>
              <a:spcAft>
                <a:spcPts val="0"/>
              </a:spcAft>
              <a:tabLst/>
              <a:defRPr sz="1400" b="0" i="0" u="none" strike="noStrike" kern="1200" spc="0" baseline="0">
                <a:solidFill>
                  <a:srgbClr val="595959"/>
                </a:solidFill>
                <a:latin typeface="Aptos"/>
              </a:defRPr>
            </a:pPr>
            <a:r>
              <a:rPr lang="en-GB" sz="1400" b="0" i="0" u="none" strike="noStrike" kern="1200" cap="none" spc="0" baseline="0">
                <a:solidFill>
                  <a:srgbClr val="595959"/>
                </a:solidFill>
                <a:uFillTx/>
                <a:latin typeface="Aptos"/>
              </a:rPr>
              <a:t>Proportion of Monetary Use by Indegenious Use</a:t>
            </a:r>
          </a:p>
        </c:rich>
      </c:tx>
      <c:overlay val="0"/>
      <c:spPr>
        <a:noFill/>
        <a:ln>
          <a:noFill/>
        </a:ln>
      </c:spPr>
    </c:title>
    <c:autoTitleDeleted val="0"/>
    <c:plotArea>
      <c:layout/>
      <c:pieChart>
        <c:varyColors val="1"/>
        <c:ser>
          <c:idx val="0"/>
          <c:order val="0"/>
          <c:tx>
            <c:v>Series1</c:v>
          </c:tx>
          <c:dPt>
            <c:idx val="0"/>
            <c:bubble3D val="0"/>
            <c:spPr>
              <a:solidFill>
                <a:srgbClr val="156082"/>
              </a:solidFill>
              <a:ln w="19046">
                <a:solidFill>
                  <a:srgbClr val="FFFFFF"/>
                </a:solidFill>
                <a:prstDash val="solid"/>
              </a:ln>
            </c:spPr>
            <c:extLst>
              <c:ext xmlns:c16="http://schemas.microsoft.com/office/drawing/2014/chart" uri="{C3380CC4-5D6E-409C-BE32-E72D297353CC}">
                <c16:uniqueId val="{00000001-1C01-4FE8-B771-8D2A1FFAC4D7}"/>
              </c:ext>
            </c:extLst>
          </c:dPt>
          <c:dPt>
            <c:idx val="1"/>
            <c:bubble3D val="0"/>
            <c:spPr>
              <a:solidFill>
                <a:srgbClr val="E97132"/>
              </a:solidFill>
              <a:ln w="19046">
                <a:solidFill>
                  <a:srgbClr val="FFFFFF"/>
                </a:solidFill>
                <a:prstDash val="solid"/>
              </a:ln>
            </c:spPr>
            <c:extLst>
              <c:ext xmlns:c16="http://schemas.microsoft.com/office/drawing/2014/chart" uri="{C3380CC4-5D6E-409C-BE32-E72D297353CC}">
                <c16:uniqueId val="{00000002-1C01-4FE8-B771-8D2A1FFAC4D7}"/>
              </c:ext>
            </c:extLst>
          </c:dPt>
          <c:dPt>
            <c:idx val="2"/>
            <c:bubble3D val="0"/>
            <c:spPr>
              <a:solidFill>
                <a:srgbClr val="196B24"/>
              </a:solidFill>
              <a:ln w="19046">
                <a:solidFill>
                  <a:srgbClr val="FFFFFF"/>
                </a:solidFill>
                <a:prstDash val="solid"/>
              </a:ln>
            </c:spPr>
            <c:extLst>
              <c:ext xmlns:c16="http://schemas.microsoft.com/office/drawing/2014/chart" uri="{C3380CC4-5D6E-409C-BE32-E72D297353CC}">
                <c16:uniqueId val="{00000003-1C01-4FE8-B771-8D2A1FFAC4D7}"/>
              </c:ext>
            </c:extLst>
          </c:dPt>
          <c:dPt>
            <c:idx val="3"/>
            <c:bubble3D val="0"/>
            <c:spPr>
              <a:solidFill>
                <a:srgbClr val="0F9ED5"/>
              </a:solidFill>
              <a:ln w="19046">
                <a:solidFill>
                  <a:srgbClr val="FFFFFF"/>
                </a:solidFill>
                <a:prstDash val="solid"/>
              </a:ln>
            </c:spPr>
            <c:extLst>
              <c:ext xmlns:c16="http://schemas.microsoft.com/office/drawing/2014/chart" uri="{C3380CC4-5D6E-409C-BE32-E72D297353CC}">
                <c16:uniqueId val="{00000004-1C01-4FE8-B771-8D2A1FFAC4D7}"/>
              </c:ext>
            </c:extLst>
          </c:dPt>
          <c:dPt>
            <c:idx val="4"/>
            <c:bubble3D val="0"/>
            <c:spPr>
              <a:solidFill>
                <a:srgbClr val="A02B93"/>
              </a:solidFill>
              <a:ln w="19046">
                <a:solidFill>
                  <a:srgbClr val="FFFFFF"/>
                </a:solidFill>
                <a:prstDash val="solid"/>
              </a:ln>
            </c:spPr>
            <c:extLst>
              <c:ext xmlns:c16="http://schemas.microsoft.com/office/drawing/2014/chart" uri="{C3380CC4-5D6E-409C-BE32-E72D297353CC}">
                <c16:uniqueId val="{00000005-1C01-4FE8-B771-8D2A1FFAC4D7}"/>
              </c:ext>
            </c:extLst>
          </c:dPt>
          <c:dPt>
            <c:idx val="5"/>
            <c:bubble3D val="0"/>
            <c:spPr>
              <a:solidFill>
                <a:srgbClr val="4EA72E"/>
              </a:solidFill>
              <a:ln w="19046">
                <a:solidFill>
                  <a:srgbClr val="FFFFFF"/>
                </a:solidFill>
                <a:prstDash val="solid"/>
              </a:ln>
            </c:spPr>
            <c:extLst>
              <c:ext xmlns:c16="http://schemas.microsoft.com/office/drawing/2014/chart" uri="{C3380CC4-5D6E-409C-BE32-E72D297353CC}">
                <c16:uniqueId val="{00000006-1C01-4FE8-B771-8D2A1FFAC4D7}"/>
              </c:ext>
            </c:extLst>
          </c:dPt>
          <c:dLbls>
            <c:dLbl>
              <c:idx val="2"/>
              <c:layout>
                <c:manualLayout>
                  <c:xMode val="edge"/>
                  <c:yMode val="edge"/>
                  <c:x val="0.55964391951006121"/>
                  <c:y val="0.2106116943715369"/>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1C01-4FE8-B771-8D2A1FFAC4D7}"/>
                </c:ext>
              </c:extLst>
            </c:dLbl>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sz="900" b="0" i="0" u="none" strike="noStrike" kern="1200" baseline="0">
                    <a:solidFill>
                      <a:srgbClr val="404040"/>
                    </a:solidFill>
                    <a:latin typeface="Aptos"/>
                  </a:defRPr>
                </a:pPr>
                <a:endParaRPr lang="en-US"/>
              </a:p>
            </c:txPr>
            <c:showLegendKey val="0"/>
            <c:showVal val="1"/>
            <c:showCatName val="0"/>
            <c:showSerName val="0"/>
            <c:showPercent val="0"/>
            <c:showBubbleSize val="0"/>
            <c:separator>, </c:separator>
            <c:showLeaderLines val="1"/>
            <c:extLst>
              <c:ext xmlns:c15="http://schemas.microsoft.com/office/drawing/2012/chart" uri="{CE6537A1-D6FC-4f65-9D91-7224C49458BB}">
                <c15:spPr xmlns:c15="http://schemas.microsoft.com/office/drawing/2012/chart">
                  <a:prstGeom prst="rect">
                    <a:avLst/>
                  </a:prstGeom>
                </c15:spPr>
              </c:ext>
            </c:extLst>
          </c:dLbls>
          <c:cat>
            <c:strLit>
              <c:ptCount val="6"/>
              <c:pt idx="0">
                <c:v>Solar</c:v>
              </c:pt>
              <c:pt idx="1">
                <c:v>Wind</c:v>
              </c:pt>
              <c:pt idx="2">
                <c:v>Hydro</c:v>
              </c:pt>
              <c:pt idx="3">
                <c:v>Geo-Thermal</c:v>
              </c:pt>
              <c:pt idx="4">
                <c:v>Biomass</c:v>
              </c:pt>
              <c:pt idx="5">
                <c:v>Biomass Wood</c:v>
              </c:pt>
            </c:strLit>
          </c:cat>
          <c:val>
            <c:numLit>
              <c:formatCode>General</c:formatCode>
              <c:ptCount val="6"/>
              <c:pt idx="0">
                <c:v>0.87183382085271599</c:v>
              </c:pt>
              <c:pt idx="1">
                <c:v>3.0562239050975384</c:v>
              </c:pt>
              <c:pt idx="2">
                <c:v>1.4350523384227016</c:v>
              </c:pt>
              <c:pt idx="3">
                <c:v>6.4486888408037775</c:v>
              </c:pt>
              <c:pt idx="4">
                <c:v>2.9854069219466909E-5</c:v>
              </c:pt>
              <c:pt idx="5">
                <c:v>88.188171240754045</c:v>
              </c:pt>
            </c:numLit>
          </c:val>
          <c:extLst>
            <c:ext xmlns:c16="http://schemas.microsoft.com/office/drawing/2014/chart" uri="{C3380CC4-5D6E-409C-BE32-E72D297353CC}">
              <c16:uniqueId val="{00000000-1C01-4FE8-B771-8D2A1FFAC4D7}"/>
            </c:ext>
          </c:extLst>
        </c:ser>
        <c:dLbls>
          <c:showLegendKey val="0"/>
          <c:showVal val="0"/>
          <c:showCatName val="0"/>
          <c:showSerName val="0"/>
          <c:showPercent val="0"/>
          <c:showBubbleSize val="0"/>
          <c:showLeaderLines val="1"/>
        </c:dLbls>
        <c:firstSliceAng val="360"/>
      </c:pieChart>
      <c:spPr>
        <a:noFill/>
        <a:ln>
          <a:noFill/>
        </a:ln>
      </c:spPr>
    </c:plotArea>
    <c:legend>
      <c:legendPos val="b"/>
      <c:overlay val="0"/>
      <c:spPr>
        <a:noFill/>
        <a:ln>
          <a:noFill/>
        </a:ln>
      </c:spPr>
      <c:txPr>
        <a:bodyPr lIns="0" tIns="0" rIns="0" bIns="0"/>
        <a:lstStyle/>
        <a:p>
          <a:pPr marL="0" marR="0" indent="0" defTabSz="914400" fontAlgn="auto" hangingPunct="1">
            <a:lnSpc>
              <a:spcPct val="100000"/>
            </a:lnSpc>
            <a:spcBef>
              <a:spcPts val="0"/>
            </a:spcBef>
            <a:spcAft>
              <a:spcPts val="0"/>
            </a:spcAft>
            <a:tabLst/>
            <a:defRPr sz="900" b="0" i="0" u="none" strike="noStrike" kern="1200" baseline="0">
              <a:solidFill>
                <a:srgbClr val="595959"/>
              </a:solidFill>
              <a:latin typeface="Aptos"/>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US" sz="900" b="0" i="0" u="none" strike="noStrike" kern="1200" baseline="0">
          <a:solidFill>
            <a:srgbClr val="000000"/>
          </a:solidFill>
          <a:latin typeface="Aptos"/>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618E6-A6C2-40C4-9E6B-BA456D536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38</Pages>
  <Words>6455</Words>
  <Characters>39188</Characters>
  <Application>Microsoft Office Word</Application>
  <DocSecurity>0</DocSecurity>
  <Lines>933</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Kamire Obunde</dc:creator>
  <dc:description/>
  <cp:lastModifiedBy>Yurani Arias Granada</cp:lastModifiedBy>
  <cp:revision>44</cp:revision>
  <dcterms:created xsi:type="dcterms:W3CDTF">2026-01-20T08:10:00Z</dcterms:created>
  <dcterms:modified xsi:type="dcterms:W3CDTF">2026-02-18T16:08:00Z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b8742f37-a6ab-4ff3-b463-57b2400c0f14</vt:lpwstr>
  </property>
  <property fmtid="{D5CDD505-2E9C-101B-9397-08002B2CF9AE}" pid="3" name="ClassificationContentMarkingFooterShapeIds">
    <vt:lpwstr>682286ae,423be1cb,189566f,17e6a249,be22204,c5aaf4b,2710c2e8,7cb7feef,7ff083a2</vt:lpwstr>
  </property>
  <property fmtid="{D5CDD505-2E9C-101B-9397-08002B2CF9AE}" pid="4" name="ClassificationContentMarkingFooterFontProps">
    <vt:lpwstr>#000000,10,Aptos</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2026-02-18T16:08:26Z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e21d1865-5348-47c5-8d3f-e90687965e57</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ies>
</file>