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80"/>
        <w:rPr>
          <w:rFonts w:ascii="Cambria" w:hAnsi="Cambria" w:eastAsia="Overlock" w:cs="Overlock"/>
          <w:color w:val="000000"/>
          <w:sz w:val="36"/>
          <w:szCs w:val="36"/>
        </w:rPr>
      </w:pPr>
      <w:r>
        <w:rPr>
          <w:rFonts w:eastAsia="Overlock" w:cs="Overlock" w:ascii="Cambria" w:hAnsi="Cambria"/>
          <w:color w:val="000000"/>
          <w:sz w:val="36"/>
          <w:szCs w:val="36"/>
        </w:rPr>
        <w:drawing>
          <wp:anchor distT="0" distB="0" distL="0" distR="0" simplePos="0" relativeHeight="105" behindDoc="0" locked="0" layoutInCell="0" allowOverlap="1">
            <wp:simplePos x="0" y="0"/>
            <wp:positionH relativeFrom="page">
              <wp:posOffset>2938145</wp:posOffset>
            </wp:positionH>
            <wp:positionV relativeFrom="page">
              <wp:posOffset>676275</wp:posOffset>
            </wp:positionV>
            <wp:extent cx="1610360" cy="904875"/>
            <wp:effectExtent l="0" t="0" r="0" b="0"/>
            <wp:wrapNone/>
            <wp:docPr id="1"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pic:cNvPicPr>
                      <a:picLocks noChangeAspect="1" noChangeArrowheads="1"/>
                    </pic:cNvPicPr>
                  </pic:nvPicPr>
                  <pic:blipFill>
                    <a:blip r:embed="rId2"/>
                    <a:stretch>
                      <a:fillRect/>
                    </a:stretch>
                  </pic:blipFill>
                  <pic:spPr bwMode="auto">
                    <a:xfrm>
                      <a:off x="0" y="0"/>
                      <a:ext cx="1610360" cy="904875"/>
                    </a:xfrm>
                    <a:prstGeom prst="rect">
                      <a:avLst/>
                    </a:prstGeom>
                    <a:noFill/>
                  </pic:spPr>
                </pic:pic>
              </a:graphicData>
            </a:graphic>
          </wp:anchor>
        </w:drawing>
        <w:drawing>
          <wp:anchor distT="0" distB="0" distL="0" distR="0" simplePos="0" relativeHeight="106" behindDoc="0" locked="0" layoutInCell="0" allowOverlap="1">
            <wp:simplePos x="0" y="0"/>
            <wp:positionH relativeFrom="page">
              <wp:posOffset>5524500</wp:posOffset>
            </wp:positionH>
            <wp:positionV relativeFrom="page">
              <wp:posOffset>676275</wp:posOffset>
            </wp:positionV>
            <wp:extent cx="1240155" cy="90487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1240155" cy="904875"/>
                    </a:xfrm>
                    <a:prstGeom prst="rect">
                      <a:avLst/>
                    </a:prstGeom>
                    <a:noFill/>
                  </pic:spPr>
                </pic:pic>
              </a:graphicData>
            </a:graphic>
          </wp:anchor>
        </w:drawing>
        <w:drawing>
          <wp:anchor distT="0" distB="0" distL="0" distR="0" simplePos="0" relativeHeight="107" behindDoc="0" locked="0" layoutInCell="0" allowOverlap="1">
            <wp:simplePos x="0" y="0"/>
            <wp:positionH relativeFrom="page">
              <wp:posOffset>914400</wp:posOffset>
            </wp:positionH>
            <wp:positionV relativeFrom="page">
              <wp:posOffset>700405</wp:posOffset>
            </wp:positionV>
            <wp:extent cx="934720" cy="904875"/>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934720" cy="904875"/>
                    </a:xfrm>
                    <a:prstGeom prst="rect">
                      <a:avLst/>
                    </a:prstGeom>
                    <a:noFill/>
                  </pic:spPr>
                </pic:pic>
              </a:graphicData>
            </a:graphic>
          </wp:anchor>
        </w:drawing>
      </w:r>
    </w:p>
    <w:p>
      <w:pPr>
        <w:pStyle w:val="Normal"/>
        <w:spacing w:before="280" w:after="280"/>
        <w:rPr>
          <w:rFonts w:ascii="Cambria" w:hAnsi="Cambria" w:eastAsia="Overlock" w:cs="Overlock"/>
          <w:color w:val="000000"/>
          <w:sz w:val="36"/>
          <w:szCs w:val="36"/>
        </w:rPr>
      </w:pPr>
      <w:r>
        <w:rPr>
          <w:rFonts w:eastAsia="Overlock" w:cs="Overlock" w:ascii="Cambria" w:hAnsi="Cambria"/>
          <w:color w:val="000000"/>
          <w:sz w:val="36"/>
          <w:szCs w:val="36"/>
        </w:rPr>
      </w:r>
    </w:p>
    <w:p>
      <w:pPr>
        <w:pStyle w:val="Normal"/>
        <w:spacing w:before="280" w:after="280"/>
        <w:rPr>
          <w:rFonts w:ascii="Cambria" w:hAnsi="Cambria" w:eastAsia="Overlock" w:cs="Overlock"/>
          <w:sz w:val="36"/>
          <w:szCs w:val="36"/>
        </w:rPr>
      </w:pPr>
      <w:r>
        <w:rPr>
          <w:rFonts w:eastAsia="Overlock" w:cs="Overlock" w:ascii="Cambria" w:hAnsi="Cambria"/>
          <w:sz w:val="36"/>
          <w:szCs w:val="36"/>
        </w:rPr>
      </w:r>
    </w:p>
    <w:p>
      <w:pPr>
        <w:pStyle w:val="Normal"/>
        <w:spacing w:before="280" w:after="280"/>
        <w:rPr>
          <w:rFonts w:ascii="Cambria" w:hAnsi="Cambria" w:eastAsia="Overlock" w:cs="Overlock"/>
          <w:sz w:val="36"/>
          <w:szCs w:val="36"/>
        </w:rPr>
      </w:pPr>
      <w:r>
        <w:rPr>
          <w:rFonts w:eastAsia="Overlock" w:cs="Overlock" w:ascii="Cambria" w:hAnsi="Cambria"/>
          <w:sz w:val="36"/>
          <w:szCs w:val="36"/>
        </w:rPr>
      </w:r>
    </w:p>
    <w:p>
      <w:pPr>
        <w:pStyle w:val="Normal"/>
        <w:jc w:val="center"/>
        <w:rPr>
          <w:rFonts w:ascii="Cambria" w:hAnsi="Cambria"/>
        </w:rPr>
      </w:pPr>
      <w:r>
        <w:rPr>
          <w:rFonts w:eastAsia="Overlock" w:cs="Overlock" w:ascii="Cambria" w:hAnsi="Cambria"/>
          <w:b/>
          <w:bCs/>
          <w:color w:val="0070C0"/>
          <w:sz w:val="48"/>
          <w:szCs w:val="48"/>
        </w:rPr>
        <w:t>Kenya Natural Capital Accounts for Forests</w:t>
      </w:r>
    </w:p>
    <w:p>
      <w:pPr>
        <w:pStyle w:val="Normal"/>
        <w:jc w:val="center"/>
        <w:rPr>
          <w:rFonts w:ascii="Cambria" w:hAnsi="Cambria" w:eastAsia="Overlock" w:cs="Overlock"/>
          <w:b/>
          <w:bCs/>
          <w:color w:val="000000"/>
          <w:sz w:val="36"/>
          <w:szCs w:val="36"/>
        </w:rPr>
      </w:pPr>
      <w:r>
        <w:rPr>
          <w:rFonts w:eastAsia="Overlock" w:cs="Overlock" w:ascii="Cambria" w:hAnsi="Cambria"/>
          <w:b/>
          <w:bCs/>
          <w:color w:val="000000"/>
          <w:sz w:val="36"/>
          <w:szCs w:val="36"/>
        </w:rPr>
      </w:r>
    </w:p>
    <w:p>
      <w:pPr>
        <w:pStyle w:val="Normal"/>
        <w:jc w:val="center"/>
        <w:rPr>
          <w:rFonts w:ascii="Cambria" w:hAnsi="Cambria" w:eastAsia="Overlock" w:cs="Overlock"/>
          <w:b/>
          <w:bCs/>
          <w:color w:val="000000"/>
          <w:sz w:val="36"/>
          <w:szCs w:val="36"/>
        </w:rPr>
      </w:pPr>
      <w:r>
        <w:rPr>
          <w:rFonts w:eastAsia="Overlock" w:cs="Overlock" w:ascii="Cambria" w:hAnsi="Cambria"/>
          <w:b/>
          <w:bCs/>
          <w:color w:val="000000"/>
          <w:sz w:val="36"/>
          <w:szCs w:val="36"/>
        </w:rPr>
      </w:r>
    </w:p>
    <w:p>
      <w:pPr>
        <w:pStyle w:val="Normal"/>
        <w:jc w:val="center"/>
        <w:rPr>
          <w:rFonts w:ascii="Cambria" w:hAnsi="Cambria" w:eastAsia="Overlock" w:cs="Overlock"/>
          <w:b/>
          <w:bCs/>
          <w:color w:val="000000"/>
          <w:sz w:val="36"/>
          <w:szCs w:val="36"/>
        </w:rPr>
      </w:pPr>
      <w:r>
        <w:rPr>
          <w:rFonts w:eastAsia="Overlock" w:cs="Overlock" w:ascii="Cambria" w:hAnsi="Cambria"/>
          <w:b/>
          <w:bCs/>
          <w:color w:val="000000"/>
          <w:sz w:val="36"/>
          <w:szCs w:val="36"/>
        </w:rPr>
      </w:r>
    </w:p>
    <w:p>
      <w:pPr>
        <w:pStyle w:val="Normal"/>
        <w:jc w:val="center"/>
        <w:rPr>
          <w:rFonts w:ascii="Cambria" w:hAnsi="Cambria" w:eastAsia="Overlock" w:cs="Overlock"/>
          <w:b/>
          <w:bCs/>
          <w:color w:val="000000"/>
          <w:sz w:val="36"/>
          <w:szCs w:val="36"/>
        </w:rPr>
      </w:pPr>
      <w:r>
        <w:rPr>
          <w:rFonts w:eastAsia="Overlock" w:cs="Overlock" w:ascii="Cambria" w:hAnsi="Cambria"/>
          <w:b/>
          <w:bCs/>
          <w:color w:val="000000"/>
          <w:sz w:val="36"/>
          <w:szCs w:val="36"/>
        </w:rPr>
      </w:r>
    </w:p>
    <w:p>
      <w:pPr>
        <w:pStyle w:val="Normal"/>
        <w:jc w:val="center"/>
        <w:rPr>
          <w:rFonts w:ascii="Cambria" w:hAnsi="Cambria"/>
        </w:rPr>
      </w:pPr>
      <w:r>
        <w:rPr>
          <w:rFonts w:eastAsia="Overlock" w:cs="Overlock" w:ascii="Cambria" w:hAnsi="Cambria"/>
          <w:b/>
          <w:bCs/>
          <w:color w:val="000000"/>
          <w:sz w:val="36"/>
          <w:szCs w:val="36"/>
        </w:rPr>
        <w:t>Draft 1</w:t>
      </w:r>
    </w:p>
    <w:p>
      <w:pPr>
        <w:pStyle w:val="Normal"/>
        <w:jc w:val="center"/>
        <w:rPr>
          <w:rFonts w:ascii="Cambria" w:hAnsi="Cambria" w:eastAsia="Overlock" w:cs="Overlock"/>
          <w:b/>
          <w:bCs/>
          <w:color w:val="000000"/>
          <w:sz w:val="36"/>
          <w:szCs w:val="36"/>
        </w:rPr>
      </w:pPr>
      <w:r>
        <w:rPr>
          <w:rFonts w:eastAsia="Overlock" w:cs="Overlock" w:ascii="Cambria" w:hAnsi="Cambria"/>
          <w:b/>
          <w:bCs/>
          <w:color w:val="000000"/>
          <w:sz w:val="36"/>
          <w:szCs w:val="36"/>
        </w:rPr>
      </w:r>
    </w:p>
    <w:p>
      <w:pPr>
        <w:pStyle w:val="Normal"/>
        <w:jc w:val="center"/>
        <w:rPr>
          <w:rFonts w:ascii="Cambria" w:hAnsi="Cambria"/>
        </w:rPr>
      </w:pPr>
      <w:r>
        <w:rPr>
          <w:rFonts w:eastAsia="Overlock" w:cs="Overlock" w:ascii="Cambria" w:hAnsi="Cambria"/>
          <w:b/>
          <w:bCs/>
          <w:sz w:val="36"/>
          <w:szCs w:val="36"/>
        </w:rPr>
        <w:t xml:space="preserve">January </w:t>
      </w:r>
      <w:r>
        <w:rPr>
          <w:rFonts w:eastAsia="Overlock" w:cs="Overlock" w:ascii="Cambria" w:hAnsi="Cambria"/>
          <w:b/>
          <w:bCs/>
          <w:color w:val="000000"/>
          <w:sz w:val="36"/>
          <w:szCs w:val="36"/>
        </w:rPr>
        <w:t>202</w:t>
      </w:r>
      <w:r>
        <w:rPr>
          <w:rFonts w:eastAsia="Overlock" w:cs="Overlock" w:ascii="Cambria" w:hAnsi="Cambria"/>
          <w:b/>
          <w:bCs/>
          <w:sz w:val="36"/>
          <w:szCs w:val="36"/>
        </w:rPr>
        <w:t>6</w:t>
      </w:r>
    </w:p>
    <w:p>
      <w:pPr>
        <w:pStyle w:val="Normal"/>
        <w:jc w:val="center"/>
        <w:rPr>
          <w:rFonts w:ascii="Cambria" w:hAnsi="Cambria" w:eastAsia="Overlock" w:cs="Overlock"/>
          <w:b/>
          <w:bCs/>
          <w:color w:val="000000"/>
          <w:sz w:val="36"/>
          <w:szCs w:val="36"/>
        </w:rPr>
      </w:pPr>
      <w:r>
        <w:rPr>
          <w:rFonts w:eastAsia="Overlock" w:cs="Overlock" w:ascii="Cambria" w:hAnsi="Cambria"/>
          <w:b/>
          <w:bCs/>
          <w:color w:val="000000"/>
          <w:sz w:val="36"/>
          <w:szCs w:val="36"/>
        </w:rPr>
      </w:r>
    </w:p>
    <w:p>
      <w:pPr>
        <w:pStyle w:val="Normal"/>
        <w:jc w:val="center"/>
        <w:rPr>
          <w:rFonts w:ascii="Cambria" w:hAnsi="Cambria" w:eastAsia="Overlock" w:cs="Overlock"/>
          <w:b/>
          <w:bCs/>
          <w:color w:val="000000"/>
          <w:sz w:val="36"/>
          <w:szCs w:val="36"/>
        </w:rPr>
      </w:pPr>
      <w:r>
        <w:rPr>
          <w:rFonts w:eastAsia="Overlock" w:cs="Overlock" w:ascii="Cambria" w:hAnsi="Cambria"/>
          <w:b/>
          <w:bCs/>
          <w:color w:val="000000"/>
          <w:sz w:val="36"/>
          <w:szCs w:val="36"/>
        </w:rPr>
      </w:r>
    </w:p>
    <w:p>
      <w:pPr>
        <w:pStyle w:val="Normal"/>
        <w:spacing w:before="280" w:after="280"/>
        <w:jc w:val="center"/>
        <w:rPr>
          <w:rFonts w:ascii="Cambria" w:hAnsi="Cambria" w:eastAsia="Overlock" w:cs="Overlock"/>
          <w:color w:val="000000"/>
          <w:sz w:val="36"/>
          <w:szCs w:val="36"/>
        </w:rPr>
      </w:pPr>
      <w:r>
        <w:rPr>
          <w:rFonts w:eastAsia="Overlock" w:cs="Overlock" w:ascii="Cambria" w:hAnsi="Cambria"/>
          <w:color w:val="000000"/>
          <w:sz w:val="36"/>
          <w:szCs w:val="36"/>
        </w:rPr>
      </w:r>
    </w:p>
    <w:p>
      <w:pPr>
        <w:pStyle w:val="Normal"/>
        <w:spacing w:before="280" w:after="280"/>
        <w:jc w:val="center"/>
        <w:rPr>
          <w:rFonts w:ascii="Cambria" w:hAnsi="Cambria" w:eastAsia="Overlock" w:cs="Overlock"/>
          <w:color w:val="000000"/>
          <w:sz w:val="36"/>
          <w:szCs w:val="36"/>
        </w:rPr>
      </w:pPr>
      <w:r>
        <w:rPr>
          <w:rFonts w:eastAsia="Overlock" w:cs="Overlock" w:ascii="Cambria" w:hAnsi="Cambria"/>
          <w:color w:val="000000"/>
          <w:sz w:val="36"/>
          <w:szCs w:val="36"/>
        </w:rPr>
      </w:r>
    </w:p>
    <w:p>
      <w:pPr>
        <w:pStyle w:val="Normal"/>
        <w:jc w:val="center"/>
        <w:rPr>
          <w:rFonts w:ascii="Cambria" w:hAnsi="Cambria" w:eastAsia="Overlock" w:cs="Overlock"/>
          <w:color w:val="000000"/>
          <w:sz w:val="40"/>
          <w:szCs w:val="40"/>
        </w:rPr>
      </w:pPr>
      <w:r>
        <w:rPr>
          <w:rFonts w:eastAsia="Overlock" w:cs="Overlock" w:ascii="Cambria" w:hAnsi="Cambria"/>
          <w:color w:val="000000"/>
          <w:sz w:val="40"/>
          <w:szCs w:val="40"/>
        </w:rPr>
      </w:r>
      <w:r>
        <w:br w:type="page"/>
      </w:r>
    </w:p>
    <w:p>
      <w:pPr>
        <w:pStyle w:val="Normal"/>
        <w:keepNext w:val="true"/>
        <w:keepLines/>
        <w:pBdr/>
        <w:spacing w:before="0" w:after="0"/>
        <w:rPr>
          <w:rFonts w:ascii="Cambria" w:hAnsi="Cambria"/>
        </w:rPr>
      </w:pPr>
      <w:r>
        <w:rPr>
          <w:rFonts w:eastAsia="Overlock" w:cs="Overlock" w:ascii="Cambria" w:hAnsi="Cambria"/>
          <w:b/>
          <w:bCs/>
          <w:color w:val="0F4761"/>
          <w:sz w:val="28"/>
          <w:szCs w:val="28"/>
        </w:rPr>
        <w:t>Table of Contents</w:t>
      </w:r>
    </w:p>
    <w:sdt>
      <w:sdtPr>
        <w:docPartObj>
          <w:docPartGallery w:val="Table of Contents"/>
          <w:docPartUnique w:val="true"/>
        </w:docPartObj>
      </w:sdtPr>
      <w:sdtContent>
        <w:p>
          <w:pPr>
            <w:pStyle w:val="Normal"/>
            <w:pBdr/>
            <w:tabs>
              <w:tab w:val="clear" w:pos="720"/>
              <w:tab w:val="right" w:pos="9440" w:leader="none"/>
            </w:tabs>
            <w:spacing w:before="0" w:after="100"/>
            <w:ind w:start="240"/>
            <w:rPr/>
          </w:pPr>
          <w:r>
            <w:fldChar w:fldCharType="begin"/>
          </w:r>
          <w:r>
            <w:rPr>
              <w:rStyle w:val="IndexLink"/>
              <w:rFonts w:ascii="Cambria" w:hAnsi="Cambria"/>
              <w:webHidden/>
              <w:color w:val="000000"/>
            </w:rPr>
            <w:instrText xml:space="preserve"> TOC \z \o "1-9" \u \t "heading 1,1,heading 2,2,heading 3,3" \h</w:instrText>
          </w:r>
          <w:r>
            <w:rPr>
              <w:rStyle w:val="IndexLink"/>
              <w:rFonts w:ascii="Cambria" w:hAnsi="Cambria"/>
              <w:webHidden/>
              <w:color w:val="000000"/>
            </w:rPr>
            <w:fldChar w:fldCharType="separate"/>
          </w:r>
          <w:hyperlink w:anchor="_heading=h.at97juar2z12">
            <w:r>
              <w:rPr>
                <w:rStyle w:val="IndexLink"/>
                <w:rFonts w:ascii="Cambria" w:hAnsi="Cambria"/>
                <w:webHidden/>
                <w:color w:val="000000"/>
              </w:rPr>
              <w:t>List of Figures and Tables</w:t>
              <w:tab/>
              <w:t>4</w:t>
            </w:r>
          </w:hyperlink>
        </w:p>
        <w:p>
          <w:pPr>
            <w:pStyle w:val="Normal"/>
            <w:pBdr/>
            <w:tabs>
              <w:tab w:val="clear" w:pos="720"/>
              <w:tab w:val="right" w:pos="9440" w:leader="none"/>
            </w:tabs>
            <w:spacing w:before="0" w:after="100"/>
            <w:ind w:start="240"/>
            <w:rPr/>
          </w:pPr>
          <w:hyperlink w:anchor="_heading=h.qltl198wrnfc">
            <w:r>
              <w:rPr>
                <w:rStyle w:val="IndexLink"/>
                <w:rFonts w:ascii="Cambria" w:hAnsi="Cambria"/>
                <w:webHidden/>
                <w:color w:val="000000"/>
              </w:rPr>
              <w:t>Acronyms</w:t>
              <w:tab/>
              <w:t>5</w:t>
            </w:r>
          </w:hyperlink>
        </w:p>
        <w:p>
          <w:pPr>
            <w:pStyle w:val="Normal"/>
            <w:pBdr/>
            <w:tabs>
              <w:tab w:val="clear" w:pos="720"/>
              <w:tab w:val="right" w:pos="9440" w:leader="none"/>
            </w:tabs>
            <w:spacing w:before="0" w:after="100"/>
            <w:ind w:start="240"/>
            <w:rPr/>
          </w:pPr>
          <w:hyperlink w:anchor="_heading=h.innesshx1bcz">
            <w:r>
              <w:rPr>
                <w:rStyle w:val="IndexLink"/>
                <w:rFonts w:ascii="Cambria" w:hAnsi="Cambria"/>
                <w:webHidden/>
                <w:color w:val="000000"/>
              </w:rPr>
              <w:t>Glossary</w:t>
              <w:tab/>
              <w:t>8</w:t>
            </w:r>
          </w:hyperlink>
        </w:p>
        <w:p>
          <w:pPr>
            <w:pStyle w:val="Normal"/>
            <w:pBdr/>
            <w:tabs>
              <w:tab w:val="clear" w:pos="720"/>
              <w:tab w:val="right" w:pos="9440" w:leader="none"/>
            </w:tabs>
            <w:spacing w:before="0" w:after="100"/>
            <w:rPr/>
          </w:pPr>
          <w:hyperlink w:anchor="_heading=h.saqilc4brvpx">
            <w:r>
              <w:rPr>
                <w:rStyle w:val="IndexLink"/>
                <w:rFonts w:eastAsia="Overlock" w:cs="Overlock" w:ascii="Cambria" w:hAnsi="Cambria"/>
                <w:b/>
                <w:bCs/>
                <w:webHidden/>
                <w:color w:val="000000"/>
              </w:rPr>
              <w:t>Foreword</w:t>
            </w:r>
          </w:hyperlink>
          <w:hyperlink w:anchor="_heading=h.saqilc4brvpx">
            <w:r>
              <w:rPr>
                <w:rStyle w:val="IndexLink"/>
                <w:rFonts w:ascii="Cambria" w:hAnsi="Cambria"/>
                <w:webHidden/>
                <w:color w:val="000000"/>
              </w:rPr>
              <w:tab/>
              <w:t>10</w:t>
            </w:r>
          </w:hyperlink>
        </w:p>
        <w:p>
          <w:pPr>
            <w:pStyle w:val="Normal"/>
            <w:pBdr/>
            <w:tabs>
              <w:tab w:val="clear" w:pos="720"/>
              <w:tab w:val="right" w:pos="9440" w:leader="none"/>
            </w:tabs>
            <w:spacing w:before="0" w:after="100"/>
            <w:rPr/>
          </w:pPr>
          <w:hyperlink w:anchor="_heading=h.gttl44fwl1ws">
            <w:r>
              <w:rPr>
                <w:rStyle w:val="IndexLink"/>
                <w:rFonts w:eastAsia="Overlock" w:cs="Overlock" w:ascii="Cambria" w:hAnsi="Cambria"/>
                <w:b/>
                <w:bCs/>
                <w:webHidden/>
                <w:color w:val="000000"/>
              </w:rPr>
              <w:t>Executive Summary</w:t>
            </w:r>
          </w:hyperlink>
          <w:hyperlink w:anchor="_heading=h.gttl44fwl1ws">
            <w:r>
              <w:rPr>
                <w:rStyle w:val="IndexLink"/>
                <w:rFonts w:ascii="Cambria" w:hAnsi="Cambria"/>
                <w:webHidden/>
                <w:color w:val="000000"/>
              </w:rPr>
              <w:tab/>
              <w:t>13</w:t>
            </w:r>
          </w:hyperlink>
        </w:p>
        <w:p>
          <w:pPr>
            <w:pStyle w:val="Normal"/>
            <w:pBdr/>
            <w:tabs>
              <w:tab w:val="clear" w:pos="720"/>
              <w:tab w:val="left" w:pos="480" w:leader="none"/>
              <w:tab w:val="right" w:pos="9440" w:leader="none"/>
            </w:tabs>
            <w:spacing w:before="0" w:after="100"/>
            <w:rPr/>
          </w:pPr>
          <w:hyperlink w:anchor="_heading=h.xjuv3yx2k9k">
            <w:r>
              <w:rPr>
                <w:rStyle w:val="IndexLink"/>
                <w:rFonts w:eastAsia="Overlock" w:cs="Overlock" w:ascii="Cambria" w:hAnsi="Cambria"/>
                <w:b/>
                <w:bCs/>
                <w:webHidden/>
                <w:color w:val="000000"/>
              </w:rPr>
              <w:t>1.</w:t>
            </w:r>
          </w:hyperlink>
          <w:hyperlink w:anchor="_heading=h.xjuv3yx2k9k">
            <w:r>
              <w:rPr>
                <w:rStyle w:val="IndexLink"/>
                <w:rFonts w:eastAsia="Cambria" w:cs="Cambria" w:ascii="Cambria" w:hAnsi="Cambria"/>
                <w:webHidden/>
                <w:color w:val="000000"/>
                <w:sz w:val="24"/>
                <w:szCs w:val="24"/>
              </w:rPr>
              <w:tab/>
            </w:r>
          </w:hyperlink>
          <w:r>
            <w:rPr>
              <w:rFonts w:eastAsia="Overlock" w:cs="Overlock" w:ascii="Cambria" w:hAnsi="Cambria"/>
              <w:b/>
              <w:bCs/>
              <w:color w:val="000000"/>
            </w:rPr>
            <w:t>Introduction</w:t>
          </w:r>
          <w:r>
            <w:rPr>
              <w:rFonts w:ascii="Cambria" w:hAnsi="Cambria"/>
              <w:color w:val="000000"/>
            </w:rPr>
            <w:tab/>
            <w:t>14</w:t>
          </w:r>
        </w:p>
        <w:p>
          <w:pPr>
            <w:pStyle w:val="Normal"/>
            <w:pBdr/>
            <w:tabs>
              <w:tab w:val="clear" w:pos="720"/>
              <w:tab w:val="right" w:pos="9440" w:leader="none"/>
            </w:tabs>
            <w:spacing w:before="0" w:after="100"/>
            <w:ind w:start="240"/>
            <w:rPr/>
          </w:pPr>
          <w:hyperlink w:anchor="_heading=h.ktjct41hz336">
            <w:r>
              <w:rPr>
                <w:rStyle w:val="IndexLink"/>
                <w:rFonts w:ascii="Cambria" w:hAnsi="Cambria"/>
                <w:webHidden/>
                <w:color w:val="000000"/>
              </w:rPr>
              <w:t>1.1.      Introduction</w:t>
              <w:tab/>
              <w:t>14</w:t>
            </w:r>
          </w:hyperlink>
        </w:p>
        <w:p>
          <w:pPr>
            <w:pStyle w:val="Normal"/>
            <w:pBdr/>
            <w:tabs>
              <w:tab w:val="clear" w:pos="720"/>
              <w:tab w:val="right" w:pos="9440" w:leader="none"/>
            </w:tabs>
            <w:spacing w:before="0" w:after="100"/>
            <w:ind w:start="240"/>
            <w:rPr/>
          </w:pPr>
          <w:hyperlink w:anchor="_heading=h.rzrzngqt7ppx">
            <w:r>
              <w:rPr>
                <w:rStyle w:val="IndexLink"/>
                <w:rFonts w:ascii="Cambria" w:hAnsi="Cambria"/>
                <w:webHidden/>
                <w:color w:val="000000"/>
              </w:rPr>
              <w:t>1.2.     Background Information</w:t>
              <w:tab/>
              <w:t>14</w:t>
            </w:r>
          </w:hyperlink>
        </w:p>
        <w:p>
          <w:pPr>
            <w:pStyle w:val="Normal"/>
            <w:pBdr/>
            <w:tabs>
              <w:tab w:val="clear" w:pos="720"/>
              <w:tab w:val="left" w:pos="1200" w:leader="none"/>
              <w:tab w:val="right" w:pos="9440" w:leader="none"/>
            </w:tabs>
            <w:spacing w:before="0" w:after="100"/>
            <w:ind w:start="240"/>
            <w:rPr/>
          </w:pPr>
          <w:hyperlink w:anchor="_heading=h.ojbpht5w2row">
            <w:r>
              <w:rPr>
                <w:rStyle w:val="IndexLink"/>
                <w:rFonts w:ascii="Cambria" w:hAnsi="Cambria"/>
                <w:webHidden/>
                <w:color w:val="000000"/>
              </w:rPr>
              <w:t xml:space="preserve">1.3.  </w:t>
            </w:r>
          </w:hyperlink>
          <w:hyperlink w:anchor="_heading=h.ojbpht5w2row">
            <w:r>
              <w:rPr>
                <w:rStyle w:val="IndexLink"/>
                <w:rFonts w:eastAsia="Cambria" w:cs="Cambria" w:ascii="Cambria" w:hAnsi="Cambria"/>
                <w:webHidden/>
                <w:color w:val="000000"/>
                <w:sz w:val="24"/>
                <w:szCs w:val="24"/>
              </w:rPr>
              <w:tab/>
            </w:r>
          </w:hyperlink>
          <w:r>
            <w:rPr>
              <w:rFonts w:ascii="Cambria" w:hAnsi="Cambria"/>
              <w:color w:val="000000"/>
            </w:rPr>
            <w:t>Importance of Forest Accounts (Purpose and objectives)</w:t>
            <w:tab/>
            <w:t>15</w:t>
          </w:r>
        </w:p>
        <w:p>
          <w:pPr>
            <w:pStyle w:val="Normal"/>
            <w:pBdr/>
            <w:tabs>
              <w:tab w:val="clear" w:pos="720"/>
              <w:tab w:val="left" w:pos="960" w:leader="none"/>
              <w:tab w:val="right" w:pos="9440" w:leader="none"/>
            </w:tabs>
            <w:spacing w:before="0" w:after="100"/>
            <w:ind w:start="240"/>
            <w:rPr/>
          </w:pPr>
          <w:hyperlink w:anchor="_heading=h.rb81qzvv4qvo">
            <w:r>
              <w:rPr>
                <w:rStyle w:val="IndexLink"/>
                <w:rFonts w:ascii="Cambria" w:hAnsi="Cambria"/>
                <w:webHidden/>
                <w:color w:val="000000"/>
              </w:rPr>
              <w:t>1.4</w:t>
            </w:r>
          </w:hyperlink>
          <w:hyperlink w:anchor="_heading=h.rb81qzvv4qvo">
            <w:r>
              <w:rPr>
                <w:rStyle w:val="IndexLink"/>
                <w:rFonts w:eastAsia="Cambria" w:cs="Cambria" w:ascii="Cambria" w:hAnsi="Cambria"/>
                <w:webHidden/>
                <w:color w:val="000000"/>
                <w:sz w:val="24"/>
                <w:szCs w:val="24"/>
              </w:rPr>
              <w:tab/>
            </w:r>
          </w:hyperlink>
          <w:r>
            <w:rPr>
              <w:rFonts w:ascii="Cambria" w:hAnsi="Cambria"/>
              <w:color w:val="000000"/>
            </w:rPr>
            <w:t>The institutional and policy context for forest accounts</w:t>
            <w:tab/>
            <w:t>15</w:t>
          </w:r>
        </w:p>
        <w:p>
          <w:pPr>
            <w:pStyle w:val="Normal"/>
            <w:pBdr/>
            <w:tabs>
              <w:tab w:val="clear" w:pos="720"/>
              <w:tab w:val="right" w:pos="9440" w:leader="none"/>
            </w:tabs>
            <w:spacing w:before="0" w:after="100"/>
            <w:ind w:start="480"/>
            <w:rPr/>
          </w:pPr>
          <w:hyperlink w:anchor="_heading=h.sjyi1uibyywr">
            <w:r>
              <w:rPr>
                <w:rStyle w:val="IndexLink"/>
                <w:rFonts w:eastAsia="Overlock" w:cs="Overlock" w:ascii="Cambria" w:hAnsi="Cambria"/>
                <w:webHidden/>
                <w:color w:val="000000"/>
              </w:rPr>
              <w:t>1.4.1. Constitution of Kenya 2010</w:t>
            </w:r>
          </w:hyperlink>
          <w:hyperlink w:anchor="_heading=h.sjyi1uibyywr">
            <w:r>
              <w:rPr>
                <w:rStyle w:val="IndexLink"/>
                <w:rFonts w:ascii="Cambria" w:hAnsi="Cambria"/>
                <w:webHidden/>
                <w:color w:val="000000"/>
              </w:rPr>
              <w:tab/>
              <w:t>15</w:t>
            </w:r>
          </w:hyperlink>
        </w:p>
        <w:p>
          <w:pPr>
            <w:pStyle w:val="Normal"/>
            <w:pBdr/>
            <w:tabs>
              <w:tab w:val="clear" w:pos="720"/>
              <w:tab w:val="right" w:pos="9440" w:leader="none"/>
            </w:tabs>
            <w:spacing w:before="0" w:after="100"/>
            <w:ind w:start="240"/>
            <w:rPr/>
          </w:pPr>
          <w:hyperlink w:anchor="_heading=h.1ei3z1mnvrqh">
            <w:r>
              <w:rPr>
                <w:rStyle w:val="IndexLink"/>
                <w:rFonts w:ascii="Cambria" w:hAnsi="Cambria"/>
                <w:webHidden/>
                <w:color w:val="000000"/>
              </w:rPr>
              <w:t>1.5. Forest in Kenya</w:t>
              <w:tab/>
              <w:t>21</w:t>
            </w:r>
          </w:hyperlink>
        </w:p>
        <w:p>
          <w:pPr>
            <w:pStyle w:val="Normal"/>
            <w:pBdr/>
            <w:tabs>
              <w:tab w:val="clear" w:pos="720"/>
              <w:tab w:val="left" w:pos="1200" w:leader="none"/>
              <w:tab w:val="right" w:pos="9440" w:leader="none"/>
            </w:tabs>
            <w:spacing w:before="0" w:after="100"/>
            <w:ind w:start="480"/>
            <w:rPr/>
          </w:pPr>
          <w:hyperlink w:anchor="_heading=h.7hueumt76eb6">
            <w:r>
              <w:rPr>
                <w:rStyle w:val="IndexLink"/>
                <w:rFonts w:eastAsia="Overlock" w:cs="Overlock" w:ascii="Cambria" w:hAnsi="Cambria"/>
                <w:webHidden/>
                <w:color w:val="000000"/>
              </w:rPr>
              <w:t>1.5.1</w:t>
            </w:r>
          </w:hyperlink>
          <w:hyperlink w:anchor="_heading=h.7hueumt76eb6">
            <w:r>
              <w:rPr>
                <w:rStyle w:val="IndexLink"/>
                <w:rFonts w:eastAsia="Cambria" w:cs="Cambria" w:ascii="Cambria" w:hAnsi="Cambria"/>
                <w:webHidden/>
                <w:color w:val="000000"/>
                <w:sz w:val="24"/>
                <w:szCs w:val="24"/>
              </w:rPr>
              <w:tab/>
            </w:r>
          </w:hyperlink>
          <w:r>
            <w:rPr>
              <w:rFonts w:eastAsia="Overlock" w:cs="Overlock" w:ascii="Cambria" w:hAnsi="Cambria"/>
              <w:color w:val="000000"/>
            </w:rPr>
            <w:t>Kenya’s Geographical and Forest Ecological Context</w:t>
          </w:r>
          <w:r>
            <w:rPr>
              <w:rFonts w:ascii="Cambria" w:hAnsi="Cambria"/>
              <w:color w:val="000000"/>
            </w:rPr>
            <w:tab/>
            <w:t>21</w:t>
          </w:r>
        </w:p>
        <w:p>
          <w:pPr>
            <w:pStyle w:val="Normal"/>
            <w:pBdr/>
            <w:tabs>
              <w:tab w:val="clear" w:pos="720"/>
              <w:tab w:val="left" w:pos="480" w:leader="none"/>
              <w:tab w:val="right" w:pos="9440" w:leader="none"/>
            </w:tabs>
            <w:spacing w:before="0" w:after="100"/>
            <w:rPr/>
          </w:pPr>
          <w:hyperlink w:anchor="_heading=h.9teqw1o6k778">
            <w:r>
              <w:rPr>
                <w:rStyle w:val="IndexLink"/>
                <w:rFonts w:eastAsia="Overlock" w:cs="Overlock" w:ascii="Cambria" w:hAnsi="Cambria"/>
                <w:b/>
                <w:bCs/>
                <w:webHidden/>
                <w:color w:val="000000"/>
              </w:rPr>
              <w:t>2.</w:t>
            </w:r>
          </w:hyperlink>
          <w:hyperlink w:anchor="_heading=h.9teqw1o6k778">
            <w:r>
              <w:rPr>
                <w:rStyle w:val="IndexLink"/>
                <w:rFonts w:eastAsia="Cambria" w:cs="Cambria" w:ascii="Cambria" w:hAnsi="Cambria"/>
                <w:webHidden/>
                <w:color w:val="000000"/>
                <w:sz w:val="24"/>
                <w:szCs w:val="24"/>
              </w:rPr>
              <w:tab/>
            </w:r>
          </w:hyperlink>
          <w:r>
            <w:rPr>
              <w:rFonts w:eastAsia="Overlock" w:cs="Overlock" w:ascii="Cambria" w:hAnsi="Cambria"/>
              <w:b/>
              <w:bCs/>
              <w:color w:val="000000"/>
            </w:rPr>
            <w:t>Methodology</w:t>
          </w:r>
          <w:r>
            <w:rPr>
              <w:rFonts w:ascii="Cambria" w:hAnsi="Cambria"/>
              <w:color w:val="000000"/>
            </w:rPr>
            <w:tab/>
            <w:t>26</w:t>
          </w:r>
        </w:p>
        <w:p>
          <w:pPr>
            <w:pStyle w:val="Normal"/>
            <w:pBdr/>
            <w:tabs>
              <w:tab w:val="left" w:pos="720" w:leader="none"/>
              <w:tab w:val="right" w:pos="9440" w:leader="none"/>
            </w:tabs>
            <w:spacing w:before="0" w:after="100"/>
            <w:ind w:start="240"/>
            <w:rPr/>
          </w:pPr>
          <w:hyperlink w:anchor="_heading=h.iuxqy8jcfcmf">
            <w:r>
              <w:rPr>
                <w:rStyle w:val="IndexLink"/>
                <w:rFonts w:ascii="Cambria" w:hAnsi="Cambria"/>
                <w:webHidden/>
                <w:color w:val="000000"/>
              </w:rPr>
              <w:t>a.</w:t>
            </w:r>
          </w:hyperlink>
          <w:hyperlink w:anchor="_heading=h.iuxqy8jcfcmf">
            <w:r>
              <w:rPr>
                <w:rStyle w:val="IndexLink"/>
                <w:rFonts w:eastAsia="Cambria" w:cs="Cambria" w:ascii="Cambria" w:hAnsi="Cambria"/>
                <w:webHidden/>
                <w:color w:val="000000"/>
                <w:sz w:val="24"/>
                <w:szCs w:val="24"/>
              </w:rPr>
              <w:tab/>
            </w:r>
          </w:hyperlink>
          <w:r>
            <w:rPr>
              <w:rFonts w:ascii="Cambria" w:hAnsi="Cambria"/>
              <w:color w:val="000000"/>
            </w:rPr>
            <w:t>Introduction</w:t>
            <w:tab/>
            <w:t>26</w:t>
          </w:r>
        </w:p>
        <w:p>
          <w:pPr>
            <w:pStyle w:val="Normal"/>
            <w:pBdr/>
            <w:tabs>
              <w:tab w:val="left" w:pos="720" w:leader="none"/>
              <w:tab w:val="right" w:pos="9440" w:leader="none"/>
            </w:tabs>
            <w:spacing w:before="0" w:after="100"/>
            <w:ind w:start="240"/>
            <w:rPr/>
          </w:pPr>
          <w:hyperlink w:anchor="_heading=h.fos3t47ybgpr">
            <w:r>
              <w:rPr>
                <w:rStyle w:val="IndexLink"/>
                <w:rFonts w:ascii="Cambria" w:hAnsi="Cambria"/>
                <w:webHidden/>
                <w:color w:val="000000"/>
              </w:rPr>
              <w:t>b.</w:t>
            </w:r>
          </w:hyperlink>
          <w:hyperlink w:anchor="_heading=h.fos3t47ybgpr">
            <w:r>
              <w:rPr>
                <w:rStyle w:val="IndexLink"/>
                <w:rFonts w:eastAsia="Cambria" w:cs="Cambria" w:ascii="Cambria" w:hAnsi="Cambria"/>
                <w:webHidden/>
                <w:color w:val="000000"/>
                <w:sz w:val="24"/>
                <w:szCs w:val="24"/>
              </w:rPr>
              <w:tab/>
            </w:r>
          </w:hyperlink>
          <w:r>
            <w:rPr>
              <w:rFonts w:ascii="Cambria" w:hAnsi="Cambria"/>
              <w:color w:val="000000"/>
            </w:rPr>
            <w:t>Land cover data and their sources</w:t>
            <w:tab/>
            <w:t>26</w:t>
          </w:r>
        </w:p>
        <w:p>
          <w:pPr>
            <w:pStyle w:val="Normal"/>
            <w:pBdr/>
            <w:tabs>
              <w:tab w:val="left" w:pos="720" w:leader="none"/>
              <w:tab w:val="right" w:pos="9440" w:leader="none"/>
            </w:tabs>
            <w:spacing w:before="0" w:after="100"/>
            <w:ind w:start="240"/>
            <w:rPr/>
          </w:pPr>
          <w:hyperlink w:anchor="_heading=h.tdikosn9anhd">
            <w:r>
              <w:rPr>
                <w:rStyle w:val="IndexLink"/>
                <w:rFonts w:ascii="Cambria" w:hAnsi="Cambria"/>
                <w:webHidden/>
                <w:color w:val="000000"/>
              </w:rPr>
              <w:t>c.</w:t>
            </w:r>
          </w:hyperlink>
          <w:hyperlink w:anchor="_heading=h.tdikosn9anhd">
            <w:r>
              <w:rPr>
                <w:rStyle w:val="IndexLink"/>
                <w:rFonts w:eastAsia="Cambria" w:cs="Cambria" w:ascii="Cambria" w:hAnsi="Cambria"/>
                <w:webHidden/>
                <w:color w:val="000000"/>
                <w:sz w:val="24"/>
                <w:szCs w:val="24"/>
              </w:rPr>
              <w:tab/>
            </w:r>
          </w:hyperlink>
          <w:r>
            <w:rPr>
              <w:rFonts w:ascii="Cambria" w:hAnsi="Cambria"/>
              <w:color w:val="000000"/>
            </w:rPr>
            <w:t>Emission factors for biomass assessment</w:t>
            <w:tab/>
            <w:t>27</w:t>
          </w:r>
        </w:p>
        <w:p>
          <w:pPr>
            <w:pStyle w:val="Normal"/>
            <w:pBdr/>
            <w:tabs>
              <w:tab w:val="left" w:pos="720" w:leader="none"/>
              <w:tab w:val="right" w:pos="9440" w:leader="none"/>
            </w:tabs>
            <w:spacing w:before="0" w:after="100"/>
            <w:ind w:start="240"/>
            <w:rPr/>
          </w:pPr>
          <w:hyperlink w:anchor="_heading=h.5fyyojhjyat6">
            <w:r>
              <w:rPr>
                <w:rStyle w:val="IndexLink"/>
                <w:rFonts w:ascii="Cambria" w:hAnsi="Cambria"/>
                <w:webHidden/>
                <w:color w:val="000000"/>
              </w:rPr>
              <w:t>d.</w:t>
            </w:r>
          </w:hyperlink>
          <w:hyperlink w:anchor="_heading=h.5fyyojhjyat6">
            <w:r>
              <w:rPr>
                <w:rStyle w:val="IndexLink"/>
                <w:rFonts w:eastAsia="Cambria" w:cs="Cambria" w:ascii="Cambria" w:hAnsi="Cambria"/>
                <w:webHidden/>
                <w:color w:val="000000"/>
                <w:sz w:val="24"/>
                <w:szCs w:val="24"/>
              </w:rPr>
              <w:tab/>
            </w:r>
          </w:hyperlink>
          <w:r>
            <w:rPr>
              <w:rFonts w:ascii="Cambria" w:hAnsi="Cambria"/>
              <w:color w:val="000000"/>
            </w:rPr>
            <w:t>Forest volumes in public plantations</w:t>
            <w:tab/>
            <w:t>27</w:t>
          </w:r>
        </w:p>
        <w:p>
          <w:pPr>
            <w:pStyle w:val="Normal"/>
            <w:pBdr/>
            <w:tabs>
              <w:tab w:val="left" w:pos="720" w:leader="none"/>
              <w:tab w:val="right" w:pos="9440" w:leader="none"/>
            </w:tabs>
            <w:spacing w:before="0" w:after="100"/>
            <w:ind w:start="240"/>
            <w:rPr/>
          </w:pPr>
          <w:hyperlink w:anchor="_heading=h.anvjobkl6ml">
            <w:r>
              <w:rPr>
                <w:rStyle w:val="IndexLink"/>
                <w:rFonts w:ascii="Cambria" w:hAnsi="Cambria"/>
                <w:webHidden/>
                <w:color w:val="000000"/>
              </w:rPr>
              <w:t>e.</w:t>
            </w:r>
          </w:hyperlink>
          <w:hyperlink w:anchor="_heading=h.anvjobkl6ml">
            <w:r>
              <w:rPr>
                <w:rStyle w:val="IndexLink"/>
                <w:rFonts w:eastAsia="Cambria" w:cs="Cambria" w:ascii="Cambria" w:hAnsi="Cambria"/>
                <w:webHidden/>
                <w:color w:val="000000"/>
                <w:sz w:val="24"/>
                <w:szCs w:val="24"/>
              </w:rPr>
              <w:tab/>
            </w:r>
          </w:hyperlink>
          <w:r>
            <w:rPr>
              <w:rFonts w:ascii="Cambria" w:hAnsi="Cambria"/>
              <w:color w:val="000000"/>
            </w:rPr>
            <w:t>Food resources from the forest</w:t>
            <w:tab/>
            <w:t>27</w:t>
          </w:r>
        </w:p>
        <w:p>
          <w:pPr>
            <w:pStyle w:val="Normal"/>
            <w:pBdr/>
            <w:tabs>
              <w:tab w:val="left" w:pos="720" w:leader="none"/>
              <w:tab w:val="right" w:pos="9440" w:leader="none"/>
            </w:tabs>
            <w:spacing w:before="0" w:after="100"/>
            <w:ind w:start="240"/>
            <w:rPr/>
          </w:pPr>
          <w:hyperlink w:anchor="_heading=h.q2iza1fjr8vr">
            <w:r>
              <w:rPr>
                <w:rStyle w:val="IndexLink"/>
                <w:rFonts w:ascii="Cambria" w:hAnsi="Cambria"/>
                <w:webHidden/>
                <w:color w:val="000000"/>
              </w:rPr>
              <w:t>f.</w:t>
            </w:r>
          </w:hyperlink>
          <w:hyperlink w:anchor="_heading=h.q2iza1fjr8vr">
            <w:r>
              <w:rPr>
                <w:rStyle w:val="IndexLink"/>
                <w:rFonts w:eastAsia="Cambria" w:cs="Cambria" w:ascii="Cambria" w:hAnsi="Cambria"/>
                <w:webHidden/>
                <w:color w:val="000000"/>
                <w:sz w:val="24"/>
                <w:szCs w:val="24"/>
              </w:rPr>
              <w:tab/>
            </w:r>
          </w:hyperlink>
          <w:r>
            <w:rPr>
              <w:rFonts w:ascii="Cambria" w:hAnsi="Cambria"/>
              <w:color w:val="000000"/>
            </w:rPr>
            <w:t>Developing Supply and Use tables for wood products</w:t>
            <w:tab/>
            <w:t>28</w:t>
          </w:r>
        </w:p>
        <w:p>
          <w:pPr>
            <w:pStyle w:val="Normal"/>
            <w:pBdr/>
            <w:tabs>
              <w:tab w:val="clear" w:pos="720"/>
              <w:tab w:val="left" w:pos="480" w:leader="none"/>
              <w:tab w:val="right" w:pos="9440" w:leader="none"/>
            </w:tabs>
            <w:spacing w:before="0" w:after="100"/>
            <w:rPr/>
          </w:pPr>
          <w:hyperlink w:anchor="_heading=h.ru8lulv7xh07">
            <w:r>
              <w:rPr>
                <w:rStyle w:val="IndexLink"/>
                <w:rFonts w:eastAsia="Overlock" w:cs="Overlock" w:ascii="Cambria" w:hAnsi="Cambria"/>
                <w:b/>
                <w:bCs/>
                <w:webHidden/>
                <w:color w:val="000000"/>
              </w:rPr>
              <w:t>3.</w:t>
            </w:r>
          </w:hyperlink>
          <w:hyperlink w:anchor="_heading=h.ru8lulv7xh07">
            <w:r>
              <w:rPr>
                <w:rStyle w:val="IndexLink"/>
                <w:rFonts w:eastAsia="Cambria" w:cs="Cambria" w:ascii="Cambria" w:hAnsi="Cambria"/>
                <w:webHidden/>
                <w:color w:val="000000"/>
                <w:sz w:val="24"/>
                <w:szCs w:val="24"/>
              </w:rPr>
              <w:tab/>
            </w:r>
          </w:hyperlink>
          <w:r>
            <w:rPr>
              <w:rFonts w:eastAsia="Overlock" w:cs="Overlock" w:ascii="Cambria" w:hAnsi="Cambria"/>
              <w:b/>
              <w:bCs/>
              <w:color w:val="000000"/>
            </w:rPr>
            <w:t>Asset Accounts for Forests</w:t>
          </w:r>
          <w:r>
            <w:rPr>
              <w:rFonts w:ascii="Cambria" w:hAnsi="Cambria"/>
              <w:color w:val="000000"/>
            </w:rPr>
            <w:tab/>
            <w:t>29</w:t>
          </w:r>
        </w:p>
        <w:p>
          <w:pPr>
            <w:pStyle w:val="Normal"/>
            <w:pBdr/>
            <w:tabs>
              <w:tab w:val="clear" w:pos="720"/>
              <w:tab w:val="left" w:pos="960" w:leader="none"/>
              <w:tab w:val="right" w:pos="9440" w:leader="none"/>
            </w:tabs>
            <w:spacing w:before="0" w:after="100"/>
            <w:ind w:start="240"/>
            <w:rPr/>
          </w:pPr>
          <w:hyperlink w:anchor="_heading=h.cdz47j5qxdav">
            <w:r>
              <w:rPr>
                <w:rStyle w:val="IndexLink"/>
                <w:rFonts w:ascii="Cambria" w:hAnsi="Cambria"/>
                <w:webHidden/>
                <w:color w:val="000000"/>
              </w:rPr>
              <w:t>3.1</w:t>
            </w:r>
          </w:hyperlink>
          <w:hyperlink w:anchor="_heading=h.cdz47j5qxdav">
            <w:r>
              <w:rPr>
                <w:rStyle w:val="IndexLink"/>
                <w:rFonts w:eastAsia="Cambria" w:cs="Cambria" w:ascii="Cambria" w:hAnsi="Cambria"/>
                <w:webHidden/>
                <w:color w:val="000000"/>
                <w:sz w:val="24"/>
                <w:szCs w:val="24"/>
              </w:rPr>
              <w:tab/>
            </w:r>
          </w:hyperlink>
          <w:r>
            <w:rPr>
              <w:rFonts w:ascii="Cambria" w:hAnsi="Cambria"/>
              <w:color w:val="000000"/>
            </w:rPr>
            <w:t>Forest Assets in Kenya</w:t>
            <w:tab/>
            <w:t>29</w:t>
          </w:r>
        </w:p>
        <w:p>
          <w:pPr>
            <w:pStyle w:val="Normal"/>
            <w:pBdr/>
            <w:tabs>
              <w:tab w:val="clear" w:pos="720"/>
              <w:tab w:val="left" w:pos="1440" w:leader="none"/>
              <w:tab w:val="right" w:pos="9440" w:leader="none"/>
            </w:tabs>
            <w:spacing w:before="0" w:after="100"/>
            <w:ind w:start="480"/>
            <w:rPr/>
          </w:pPr>
          <w:hyperlink w:anchor="_heading=h.a0fq4l4owpru">
            <w:r>
              <w:rPr>
                <w:rStyle w:val="IndexLink"/>
                <w:rFonts w:ascii="Cambria" w:hAnsi="Cambria"/>
                <w:webHidden/>
                <w:color w:val="000000"/>
              </w:rPr>
              <w:t>3.1.1</w:t>
            </w:r>
          </w:hyperlink>
          <w:hyperlink w:anchor="_heading=h.a0fq4l4owpru">
            <w:r>
              <w:rPr>
                <w:rStyle w:val="IndexLink"/>
                <w:rFonts w:eastAsia="Cambria" w:cs="Cambria" w:ascii="Cambria" w:hAnsi="Cambria"/>
                <w:webHidden/>
                <w:color w:val="000000"/>
                <w:sz w:val="24"/>
                <w:szCs w:val="24"/>
              </w:rPr>
              <w:tab/>
            </w:r>
          </w:hyperlink>
          <w:r>
            <w:rPr>
              <w:rFonts w:eastAsia="Overlock" w:cs="Overlock" w:ascii="Cambria" w:hAnsi="Cambria"/>
              <w:color w:val="000000"/>
            </w:rPr>
            <w:t>Forest Cover Trends and Status (1990–2024)</w:t>
          </w:r>
          <w:r>
            <w:rPr>
              <w:rFonts w:ascii="Cambria" w:hAnsi="Cambria"/>
              <w:color w:val="000000"/>
            </w:rPr>
            <w:tab/>
            <w:t>29</w:t>
          </w:r>
        </w:p>
        <w:p>
          <w:pPr>
            <w:pStyle w:val="Normal"/>
            <w:pBdr/>
            <w:tabs>
              <w:tab w:val="clear" w:pos="720"/>
              <w:tab w:val="right" w:pos="9440" w:leader="none"/>
            </w:tabs>
            <w:spacing w:before="0" w:after="100"/>
            <w:ind w:start="480"/>
            <w:rPr/>
          </w:pPr>
          <w:hyperlink w:anchor="_heading=h.nfulaa11yqda">
            <w:r>
              <w:rPr>
                <w:rStyle w:val="IndexLink"/>
                <w:rFonts w:eastAsia="Overlock" w:cs="Overlock" w:ascii="Cambria" w:hAnsi="Cambria"/>
                <w:webHidden/>
                <w:color w:val="000000"/>
              </w:rPr>
              <w:t>3.1.2. Forest Assets by strata</w:t>
            </w:r>
          </w:hyperlink>
          <w:hyperlink w:anchor="_heading=h.nfulaa11yqda">
            <w:r>
              <w:rPr>
                <w:rStyle w:val="IndexLink"/>
                <w:rFonts w:ascii="Cambria" w:hAnsi="Cambria"/>
                <w:webHidden/>
                <w:color w:val="000000"/>
              </w:rPr>
              <w:tab/>
              <w:t>31</w:t>
            </w:r>
          </w:hyperlink>
        </w:p>
        <w:p>
          <w:pPr>
            <w:pStyle w:val="Normal"/>
            <w:pBdr/>
            <w:tabs>
              <w:tab w:val="clear" w:pos="720"/>
              <w:tab w:val="right" w:pos="9440" w:leader="none"/>
            </w:tabs>
            <w:spacing w:before="0" w:after="100"/>
            <w:ind w:start="480"/>
            <w:rPr/>
          </w:pPr>
          <w:hyperlink w:anchor="_heading=h.8gbtwhy2d6a">
            <w:r>
              <w:rPr>
                <w:rStyle w:val="IndexLink"/>
                <w:rFonts w:ascii="Cambria" w:hAnsi="Cambria"/>
                <w:webHidden/>
                <w:color w:val="000000"/>
              </w:rPr>
              <w:t>3.1.3. Spatial Distribution of Forest Assets by County</w:t>
              <w:tab/>
              <w:t>32</w:t>
            </w:r>
          </w:hyperlink>
        </w:p>
        <w:p>
          <w:pPr>
            <w:pStyle w:val="Normal"/>
            <w:pBdr/>
            <w:tabs>
              <w:tab w:val="clear" w:pos="720"/>
              <w:tab w:val="right" w:pos="9440" w:leader="none"/>
            </w:tabs>
            <w:spacing w:before="0" w:after="100"/>
            <w:ind w:start="240"/>
            <w:rPr/>
          </w:pPr>
          <w:hyperlink w:anchor="_heading=h.45py3ns2mxeb">
            <w:r>
              <w:rPr>
                <w:rStyle w:val="IndexLink"/>
                <w:rFonts w:ascii="Cambria" w:hAnsi="Cambria"/>
                <w:webHidden/>
                <w:color w:val="000000"/>
              </w:rPr>
              <w:t>3.2. Forest Opening and Closing Stocks</w:t>
              <w:tab/>
              <w:t>36</w:t>
            </w:r>
          </w:hyperlink>
        </w:p>
        <w:p>
          <w:pPr>
            <w:pStyle w:val="Normal"/>
            <w:pBdr/>
            <w:tabs>
              <w:tab w:val="clear" w:pos="720"/>
              <w:tab w:val="left" w:pos="960" w:leader="none"/>
              <w:tab w:val="right" w:pos="9440" w:leader="none"/>
            </w:tabs>
            <w:spacing w:before="0" w:after="100"/>
            <w:ind w:start="240"/>
            <w:rPr/>
          </w:pPr>
          <w:hyperlink w:anchor="_heading=h.j02d82bskwn6">
            <w:r>
              <w:rPr>
                <w:rStyle w:val="IndexLink"/>
                <w:rFonts w:ascii="Cambria" w:hAnsi="Cambria"/>
                <w:webHidden/>
                <w:color w:val="000000"/>
              </w:rPr>
              <w:t>3.3</w:t>
            </w:r>
          </w:hyperlink>
          <w:hyperlink w:anchor="_heading=h.j02d82bskwn6">
            <w:r>
              <w:rPr>
                <w:rStyle w:val="IndexLink"/>
                <w:rFonts w:eastAsia="Cambria" w:cs="Cambria" w:ascii="Cambria" w:hAnsi="Cambria"/>
                <w:webHidden/>
                <w:color w:val="000000"/>
                <w:sz w:val="24"/>
                <w:szCs w:val="24"/>
              </w:rPr>
              <w:tab/>
            </w:r>
          </w:hyperlink>
          <w:r>
            <w:rPr>
              <w:rFonts w:ascii="Cambria" w:hAnsi="Cambria"/>
              <w:color w:val="000000"/>
            </w:rPr>
            <w:t>Forest Biomass and Volume Stocks</w:t>
            <w:tab/>
            <w:t>37</w:t>
          </w:r>
        </w:p>
        <w:p>
          <w:pPr>
            <w:pStyle w:val="Normal"/>
            <w:pBdr/>
            <w:tabs>
              <w:tab w:val="clear" w:pos="720"/>
              <w:tab w:val="right" w:pos="9440" w:leader="none"/>
            </w:tabs>
            <w:spacing w:before="0" w:after="100"/>
            <w:ind w:start="480"/>
            <w:rPr/>
          </w:pPr>
          <w:hyperlink w:anchor="_heading=h.9ppjydh92rtj">
            <w:r>
              <w:rPr>
                <w:rStyle w:val="IndexLink"/>
                <w:rFonts w:ascii="Cambria" w:hAnsi="Cambria"/>
                <w:webHidden/>
                <w:color w:val="000000"/>
              </w:rPr>
              <w:t>3</w:t>
            </w:r>
          </w:hyperlink>
          <w:hyperlink w:anchor="_heading=h.9ppjydh92rtj">
            <w:r>
              <w:rPr>
                <w:rStyle w:val="IndexLink"/>
                <w:rFonts w:eastAsia="Overlock" w:cs="Overlock" w:ascii="Cambria" w:hAnsi="Cambria"/>
                <w:webHidden/>
                <w:color w:val="000000"/>
              </w:rPr>
              <w:t>.3.1. Volumes of standing wood</w:t>
            </w:r>
          </w:hyperlink>
          <w:hyperlink w:anchor="_heading=h.9ppjydh92rtj">
            <w:r>
              <w:rPr>
                <w:rStyle w:val="IndexLink"/>
                <w:rFonts w:ascii="Cambria" w:hAnsi="Cambria"/>
                <w:webHidden/>
                <w:color w:val="000000"/>
              </w:rPr>
              <w:tab/>
              <w:t>37</w:t>
            </w:r>
          </w:hyperlink>
        </w:p>
        <w:p>
          <w:pPr>
            <w:pStyle w:val="Normal"/>
            <w:pBdr/>
            <w:tabs>
              <w:tab w:val="clear" w:pos="720"/>
              <w:tab w:val="right" w:pos="9440" w:leader="none"/>
            </w:tabs>
            <w:spacing w:before="0" w:after="100"/>
            <w:ind w:start="480"/>
            <w:rPr/>
          </w:pPr>
          <w:hyperlink w:anchor="_heading=h.aw2v7zaay6se">
            <w:r>
              <w:rPr>
                <w:rStyle w:val="IndexLink"/>
                <w:rFonts w:eastAsia="Overlock" w:cs="Overlock" w:ascii="Cambria" w:hAnsi="Cambria"/>
                <w:webHidden/>
                <w:color w:val="000000"/>
              </w:rPr>
              <w:t>3.3.4. Forests as Food sources</w:t>
            </w:r>
          </w:hyperlink>
          <w:hyperlink w:anchor="_heading=h.aw2v7zaay6se">
            <w:r>
              <w:rPr>
                <w:rStyle w:val="IndexLink"/>
                <w:rFonts w:ascii="Cambria" w:hAnsi="Cambria"/>
                <w:webHidden/>
                <w:color w:val="000000"/>
              </w:rPr>
              <w:tab/>
              <w:t>40</w:t>
            </w:r>
          </w:hyperlink>
        </w:p>
        <w:p>
          <w:pPr>
            <w:pStyle w:val="Normal"/>
            <w:pBdr/>
            <w:tabs>
              <w:tab w:val="clear" w:pos="720"/>
              <w:tab w:val="left" w:pos="480" w:leader="none"/>
              <w:tab w:val="right" w:pos="9440" w:leader="none"/>
            </w:tabs>
            <w:spacing w:before="0" w:after="100"/>
            <w:rPr/>
          </w:pPr>
          <w:hyperlink w:anchor="_heading=h.xq2vsrr1yxpx">
            <w:r>
              <w:rPr>
                <w:rStyle w:val="IndexLink"/>
                <w:rFonts w:eastAsia="Overlock" w:cs="Overlock" w:ascii="Cambria" w:hAnsi="Cambria"/>
                <w:b/>
                <w:bCs/>
                <w:webHidden/>
                <w:color w:val="000000"/>
              </w:rPr>
              <w:t>4.</w:t>
            </w:r>
          </w:hyperlink>
          <w:hyperlink w:anchor="_heading=h.xq2vsrr1yxpx">
            <w:r>
              <w:rPr>
                <w:rStyle w:val="IndexLink"/>
                <w:rFonts w:eastAsia="Cambria" w:cs="Cambria" w:ascii="Cambria" w:hAnsi="Cambria"/>
                <w:webHidden/>
                <w:color w:val="000000"/>
                <w:sz w:val="24"/>
                <w:szCs w:val="24"/>
              </w:rPr>
              <w:tab/>
            </w:r>
          </w:hyperlink>
          <w:r>
            <w:rPr>
              <w:rFonts w:eastAsia="Overlock" w:cs="Overlock" w:ascii="Cambria" w:hAnsi="Cambria"/>
              <w:b/>
              <w:bCs/>
              <w:color w:val="000000"/>
            </w:rPr>
            <w:t>Supply and Use Tables</w:t>
          </w:r>
          <w:r>
            <w:rPr>
              <w:rFonts w:ascii="Cambria" w:hAnsi="Cambria"/>
              <w:color w:val="000000"/>
            </w:rPr>
            <w:tab/>
            <w:t>41</w:t>
          </w:r>
        </w:p>
        <w:p>
          <w:pPr>
            <w:pStyle w:val="Normal"/>
            <w:pBdr/>
            <w:tabs>
              <w:tab w:val="left" w:pos="720" w:leader="none"/>
              <w:tab w:val="right" w:pos="9440" w:leader="none"/>
            </w:tabs>
            <w:spacing w:before="0" w:after="100"/>
            <w:ind w:start="240"/>
            <w:rPr/>
          </w:pPr>
          <w:hyperlink w:anchor="_heading=h.t9kj2wrf0zhn">
            <w:r>
              <w:rPr>
                <w:rStyle w:val="IndexLink"/>
                <w:rFonts w:ascii="Cambria" w:hAnsi="Cambria"/>
                <w:webHidden/>
                <w:color w:val="000000"/>
              </w:rPr>
              <w:t>a.</w:t>
            </w:r>
          </w:hyperlink>
          <w:hyperlink w:anchor="_heading=h.t9kj2wrf0zhn">
            <w:r>
              <w:rPr>
                <w:rStyle w:val="IndexLink"/>
                <w:rFonts w:eastAsia="Cambria" w:cs="Cambria" w:ascii="Cambria" w:hAnsi="Cambria"/>
                <w:webHidden/>
                <w:color w:val="000000"/>
                <w:sz w:val="24"/>
                <w:szCs w:val="24"/>
              </w:rPr>
              <w:tab/>
            </w:r>
          </w:hyperlink>
          <w:r>
            <w:rPr>
              <w:rFonts w:ascii="Cambria" w:hAnsi="Cambria"/>
              <w:color w:val="000000"/>
            </w:rPr>
            <w:t>Physical Supply and Use Table</w:t>
            <w:tab/>
            <w:t>41</w:t>
          </w:r>
        </w:p>
        <w:p>
          <w:pPr>
            <w:pStyle w:val="Normal"/>
            <w:pBdr/>
            <w:tabs>
              <w:tab w:val="left" w:pos="720" w:leader="none"/>
              <w:tab w:val="right" w:pos="9440" w:leader="none"/>
            </w:tabs>
            <w:spacing w:before="0" w:after="100"/>
            <w:ind w:start="240"/>
            <w:rPr/>
          </w:pPr>
          <w:hyperlink w:anchor="_heading=h.qq57f6s5816h">
            <w:r>
              <w:rPr>
                <w:rStyle w:val="IndexLink"/>
                <w:rFonts w:ascii="Cambria" w:hAnsi="Cambria"/>
                <w:webHidden/>
                <w:color w:val="000000"/>
              </w:rPr>
              <w:t>b.</w:t>
            </w:r>
          </w:hyperlink>
          <w:hyperlink w:anchor="_heading=h.qq57f6s5816h">
            <w:r>
              <w:rPr>
                <w:rStyle w:val="IndexLink"/>
                <w:rFonts w:eastAsia="Cambria" w:cs="Cambria" w:ascii="Cambria" w:hAnsi="Cambria"/>
                <w:webHidden/>
                <w:color w:val="000000"/>
                <w:sz w:val="24"/>
                <w:szCs w:val="24"/>
              </w:rPr>
              <w:tab/>
            </w:r>
          </w:hyperlink>
          <w:r>
            <w:rPr>
              <w:rFonts w:ascii="Cambria" w:hAnsi="Cambria"/>
              <w:color w:val="000000"/>
            </w:rPr>
            <w:t>Monetary Supply and Use Tables</w:t>
            <w:tab/>
            <w:t>44</w:t>
          </w:r>
        </w:p>
        <w:p>
          <w:pPr>
            <w:pStyle w:val="Normal"/>
            <w:pBdr/>
            <w:tabs>
              <w:tab w:val="left" w:pos="720" w:leader="none"/>
              <w:tab w:val="right" w:pos="9440" w:leader="none"/>
            </w:tabs>
            <w:spacing w:before="0" w:after="100"/>
            <w:ind w:start="240"/>
            <w:rPr/>
          </w:pPr>
          <w:hyperlink w:anchor="_heading=h.uma932kc7c2r">
            <w:r>
              <w:rPr>
                <w:rStyle w:val="IndexLink"/>
                <w:rFonts w:ascii="Cambria" w:hAnsi="Cambria"/>
                <w:webHidden/>
                <w:color w:val="000000"/>
              </w:rPr>
              <w:t>c.</w:t>
            </w:r>
          </w:hyperlink>
          <w:hyperlink w:anchor="_heading=h.uma932kc7c2r">
            <w:r>
              <w:rPr>
                <w:rStyle w:val="IndexLink"/>
                <w:rFonts w:eastAsia="Cambria" w:cs="Cambria" w:ascii="Cambria" w:hAnsi="Cambria"/>
                <w:webHidden/>
                <w:color w:val="000000"/>
                <w:sz w:val="24"/>
                <w:szCs w:val="24"/>
              </w:rPr>
              <w:tab/>
            </w:r>
          </w:hyperlink>
          <w:r>
            <w:rPr>
              <w:rFonts w:ascii="Cambria" w:hAnsi="Cambria"/>
              <w:color w:val="000000"/>
            </w:rPr>
            <w:t>Timber and Non-timber Forest Products Physical and Monetary Flow Account (PFA)</w:t>
            <w:tab/>
            <w:t>44</w:t>
          </w:r>
        </w:p>
        <w:p>
          <w:pPr>
            <w:pStyle w:val="Normal"/>
            <w:pBdr/>
            <w:tabs>
              <w:tab w:val="left" w:pos="720" w:leader="none"/>
              <w:tab w:val="right" w:pos="9440" w:leader="none"/>
            </w:tabs>
            <w:spacing w:before="0" w:after="100"/>
            <w:ind w:start="240"/>
            <w:rPr/>
          </w:pPr>
          <w:hyperlink w:anchor="_heading=h.hovtfihpwcwo">
            <w:r>
              <w:rPr>
                <w:rStyle w:val="IndexLink"/>
                <w:rFonts w:ascii="Cambria" w:hAnsi="Cambria"/>
                <w:webHidden/>
                <w:color w:val="000000"/>
              </w:rPr>
              <w:t>d.</w:t>
            </w:r>
          </w:hyperlink>
          <w:hyperlink w:anchor="_heading=h.hovtfihpwcwo">
            <w:r>
              <w:rPr>
                <w:rStyle w:val="IndexLink"/>
                <w:rFonts w:eastAsia="Cambria" w:cs="Cambria" w:ascii="Cambria" w:hAnsi="Cambria"/>
                <w:webHidden/>
                <w:color w:val="000000"/>
                <w:sz w:val="24"/>
                <w:szCs w:val="24"/>
              </w:rPr>
              <w:tab/>
            </w:r>
          </w:hyperlink>
          <w:r>
            <w:rPr>
              <w:rFonts w:ascii="Cambria" w:hAnsi="Cambria"/>
              <w:color w:val="000000"/>
            </w:rPr>
            <w:t>Scenario Analysis</w:t>
            <w:tab/>
            <w:t>44</w:t>
          </w:r>
        </w:p>
        <w:p>
          <w:pPr>
            <w:pStyle w:val="Normal"/>
            <w:pBdr/>
            <w:tabs>
              <w:tab w:val="clear" w:pos="720"/>
              <w:tab w:val="left" w:pos="480" w:leader="none"/>
              <w:tab w:val="right" w:pos="9440" w:leader="none"/>
            </w:tabs>
            <w:spacing w:before="0" w:after="100"/>
            <w:rPr/>
          </w:pPr>
          <w:hyperlink w:anchor="_heading=h.a07h2ij8kl1r">
            <w:r>
              <w:rPr>
                <w:rStyle w:val="IndexLink"/>
                <w:rFonts w:eastAsia="Overlock" w:cs="Overlock" w:ascii="Cambria" w:hAnsi="Cambria"/>
                <w:b/>
                <w:bCs/>
                <w:webHidden/>
                <w:color w:val="000000"/>
              </w:rPr>
              <w:t>5.</w:t>
            </w:r>
          </w:hyperlink>
          <w:hyperlink w:anchor="_heading=h.a07h2ij8kl1r">
            <w:r>
              <w:rPr>
                <w:rStyle w:val="IndexLink"/>
                <w:rFonts w:eastAsia="Cambria" w:cs="Cambria" w:ascii="Cambria" w:hAnsi="Cambria"/>
                <w:webHidden/>
                <w:color w:val="000000"/>
                <w:sz w:val="24"/>
                <w:szCs w:val="24"/>
              </w:rPr>
              <w:tab/>
            </w:r>
          </w:hyperlink>
          <w:r>
            <w:rPr>
              <w:rFonts w:eastAsia="Overlock" w:cs="Overlock" w:ascii="Cambria" w:hAnsi="Cambria"/>
              <w:b/>
              <w:bCs/>
              <w:color w:val="000000"/>
            </w:rPr>
            <w:t>Conclusions &amp; Emerging Issues</w:t>
          </w:r>
          <w:r>
            <w:rPr>
              <w:rFonts w:ascii="Cambria" w:hAnsi="Cambria"/>
              <w:color w:val="000000"/>
            </w:rPr>
            <w:tab/>
            <w:t>45</w:t>
          </w:r>
        </w:p>
        <w:p>
          <w:pPr>
            <w:pStyle w:val="Normal"/>
            <w:pBdr/>
            <w:tabs>
              <w:tab w:val="clear" w:pos="720"/>
              <w:tab w:val="left" w:pos="480" w:leader="none"/>
              <w:tab w:val="right" w:pos="9440" w:leader="none"/>
            </w:tabs>
            <w:spacing w:before="0" w:after="100"/>
            <w:rPr/>
          </w:pPr>
          <w:hyperlink w:anchor="_heading=h.15evlesxwj1y">
            <w:r>
              <w:rPr>
                <w:rStyle w:val="IndexLink"/>
                <w:rFonts w:eastAsia="Overlock" w:cs="Overlock" w:ascii="Cambria" w:hAnsi="Cambria"/>
                <w:webHidden/>
                <w:color w:val="000000"/>
              </w:rPr>
              <w:t>6.</w:t>
            </w:r>
          </w:hyperlink>
          <w:hyperlink w:anchor="_heading=h.15evlesxwj1y">
            <w:r>
              <w:rPr>
                <w:rStyle w:val="IndexLink"/>
                <w:rFonts w:eastAsia="Cambria" w:cs="Cambria" w:ascii="Cambria" w:hAnsi="Cambria"/>
                <w:webHidden/>
                <w:color w:val="000000"/>
                <w:sz w:val="24"/>
                <w:szCs w:val="24"/>
              </w:rPr>
              <w:tab/>
            </w:r>
          </w:hyperlink>
          <w:r>
            <w:rPr>
              <w:rFonts w:eastAsia="Overlock" w:cs="Overlock" w:ascii="Cambria" w:hAnsi="Cambria"/>
              <w:b/>
              <w:bCs/>
              <w:color w:val="000000"/>
            </w:rPr>
            <w:t>Annexes</w:t>
          </w:r>
          <w:r>
            <w:rPr>
              <w:rFonts w:ascii="Cambria" w:hAnsi="Cambria"/>
              <w:color w:val="000000"/>
            </w:rPr>
            <w:tab/>
            <w:t>47</w:t>
          </w:r>
          <w:r>
            <w:rPr>
              <w:rFonts w:ascii="Cambria" w:hAnsi="Cambria"/>
              <w:color w:val="000000"/>
            </w:rPr>
            <w:fldChar w:fldCharType="end"/>
          </w:r>
        </w:p>
      </w:sdtContent>
    </w:sdt>
    <w:p>
      <w:pPr>
        <w:pStyle w:val="Normal"/>
        <w:pBdr/>
        <w:tabs>
          <w:tab w:val="clear" w:pos="720"/>
          <w:tab w:val="left" w:pos="480" w:leader="none"/>
          <w:tab w:val="right" w:pos="8900" w:leader="none"/>
        </w:tabs>
        <w:spacing w:lineRule="auto" w:line="278" w:before="0" w:after="100"/>
        <w:rPr>
          <w:rFonts w:ascii="Cambria" w:hAnsi="Cambria" w:eastAsia="Cambria" w:cs="Cambria"/>
          <w:color w:val="000000"/>
        </w:rPr>
      </w:pPr>
      <w:r>
        <w:rPr>
          <w:rFonts w:eastAsia="Cambria" w:cs="Cambria" w:ascii="Cambria" w:hAnsi="Cambria"/>
          <w:color w:val="000000"/>
        </w:rPr>
      </w:r>
    </w:p>
    <w:p>
      <w:pPr>
        <w:pStyle w:val="Normal"/>
        <w:rPr>
          <w:rFonts w:ascii="Cambria" w:hAnsi="Cambria" w:eastAsia="Overlock" w:cs="Overlock"/>
        </w:rPr>
      </w:pPr>
      <w:r>
        <w:rPr>
          <w:rFonts w:eastAsia="Overlock" w:cs="Overlock" w:ascii="Cambria" w:hAnsi="Cambria"/>
        </w:rPr>
      </w:r>
    </w:p>
    <w:p>
      <w:pPr>
        <w:pStyle w:val="Normal"/>
        <w:rPr>
          <w:rFonts w:ascii="Cambria" w:hAnsi="Cambria" w:eastAsia="Overlock" w:cs="Overlock"/>
          <w:sz w:val="28"/>
          <w:szCs w:val="28"/>
        </w:rPr>
      </w:pPr>
      <w:r>
        <w:rPr>
          <w:rFonts w:eastAsia="Overlock" w:cs="Overlock" w:ascii="Cambria" w:hAnsi="Cambria"/>
          <w:sz w:val="28"/>
          <w:szCs w:val="28"/>
        </w:rPr>
      </w:r>
      <w:r>
        <w:br w:type="page"/>
      </w:r>
    </w:p>
    <w:p>
      <w:pPr>
        <w:pStyle w:val="Heading2"/>
        <w:rPr>
          <w:b w:val="false"/>
          <w:bCs w:val="false"/>
          <w:sz w:val="40"/>
          <w:szCs w:val="40"/>
        </w:rPr>
      </w:pPr>
      <w:bookmarkStart w:id="0" w:name="_heading=h.at97juar2z12"/>
      <w:bookmarkEnd w:id="0"/>
      <w:r>
        <w:rPr>
          <w:rFonts w:ascii="Cambria" w:hAnsi="Cambria"/>
          <w:sz w:val="40"/>
          <w:szCs w:val="40"/>
        </w:rPr>
        <w:t>List of Figures and Tables</w:t>
      </w:r>
    </w:p>
    <w:p>
      <w:pPr>
        <w:pStyle w:val="Normal"/>
        <w:rPr>
          <w:rFonts w:ascii="Cambria" w:hAnsi="Cambria" w:eastAsia="Overlock" w:cs="Overlock"/>
        </w:rPr>
      </w:pPr>
      <w:r>
        <w:rPr>
          <w:rFonts w:eastAsia="Overlock" w:cs="Overlock" w:ascii="Cambria" w:hAnsi="Cambria"/>
        </w:rPr>
      </w:r>
    </w:p>
    <w:p>
      <w:pPr>
        <w:pStyle w:val="Normal"/>
        <w:rPr>
          <w:rFonts w:ascii="Cambria" w:hAnsi="Cambria" w:eastAsia="Overlock" w:cs="Overlock"/>
        </w:rPr>
      </w:pPr>
      <w:r>
        <w:rPr>
          <w:rFonts w:eastAsia="Overlock" w:cs="Overlock" w:ascii="Cambria" w:hAnsi="Cambria"/>
        </w:rPr>
      </w:r>
      <w:r>
        <w:br w:type="page"/>
      </w:r>
    </w:p>
    <w:p>
      <w:pPr>
        <w:pStyle w:val="Heading2"/>
        <w:rPr>
          <w:rFonts w:eastAsia="Arial" w:cs="Arial"/>
          <w:b w:val="false"/>
          <w:bCs w:val="false"/>
          <w:color w:val="C00000"/>
          <w:sz w:val="28"/>
          <w:szCs w:val="28"/>
        </w:rPr>
      </w:pPr>
      <w:bookmarkStart w:id="1" w:name="_heading=h.qltl198wrnfc"/>
      <w:bookmarkEnd w:id="1"/>
      <w:r>
        <w:rPr>
          <w:rFonts w:ascii="Cambria" w:hAnsi="Cambria"/>
          <w:sz w:val="40"/>
          <w:szCs w:val="40"/>
        </w:rPr>
        <w:t>Acronyms</w:t>
      </w:r>
    </w:p>
    <w:p>
      <w:pPr>
        <w:pStyle w:val="Normal"/>
        <w:spacing w:before="240" w:after="240"/>
        <w:rPr>
          <w:rFonts w:ascii="Cambria" w:hAnsi="Cambria"/>
        </w:rPr>
      </w:pPr>
      <w:r>
        <w:rPr>
          <w:rFonts w:eastAsia="Overlock" w:cs="Overlock" w:ascii="Cambria" w:hAnsi="Cambria"/>
        </w:rPr>
        <w:t xml:space="preserve">AFR100     </w:t>
        <w:tab/>
        <w:t>African Forest Landscape Restoration Initiative</w:t>
      </w:r>
    </w:p>
    <w:p>
      <w:pPr>
        <w:pStyle w:val="Normal"/>
        <w:spacing w:before="240" w:after="240"/>
        <w:rPr>
          <w:rFonts w:ascii="Cambria" w:hAnsi="Cambria"/>
        </w:rPr>
      </w:pPr>
      <w:r>
        <w:rPr>
          <w:rFonts w:eastAsia="Overlock" w:cs="Overlock" w:ascii="Cambria" w:hAnsi="Cambria"/>
        </w:rPr>
        <w:t xml:space="preserve">CFAs         </w:t>
        <w:tab/>
        <w:t>Community Forest Associations</w:t>
      </w:r>
    </w:p>
    <w:p>
      <w:pPr>
        <w:pStyle w:val="Normal"/>
        <w:spacing w:before="240" w:after="240"/>
        <w:rPr>
          <w:rFonts w:ascii="Cambria" w:hAnsi="Cambria"/>
        </w:rPr>
      </w:pPr>
      <w:r>
        <w:rPr>
          <w:rFonts w:eastAsia="Overlock" w:cs="Overlock" w:ascii="Cambria" w:hAnsi="Cambria"/>
        </w:rPr>
        <w:t xml:space="preserve">DRSRS       </w:t>
        <w:tab/>
        <w:t>Department of Resource Surveys and Remote Sensing</w:t>
      </w:r>
    </w:p>
    <w:p>
      <w:pPr>
        <w:pStyle w:val="Normal"/>
        <w:spacing w:before="240" w:after="240"/>
        <w:rPr>
          <w:rFonts w:ascii="Cambria" w:hAnsi="Cambria"/>
        </w:rPr>
      </w:pPr>
      <w:r>
        <w:rPr>
          <w:rFonts w:eastAsia="Overlock" w:cs="Overlock" w:ascii="Cambria" w:hAnsi="Cambria"/>
        </w:rPr>
        <w:t xml:space="preserve">EO            </w:t>
        <w:tab/>
        <w:t>Earth Observation</w:t>
      </w:r>
    </w:p>
    <w:p>
      <w:pPr>
        <w:pStyle w:val="Normal"/>
        <w:spacing w:before="240" w:after="240"/>
        <w:rPr>
          <w:rFonts w:ascii="Cambria" w:hAnsi="Cambria"/>
        </w:rPr>
      </w:pPr>
      <w:r>
        <w:rPr>
          <w:rFonts w:eastAsia="Overlock" w:cs="Overlock" w:ascii="Cambria" w:hAnsi="Cambria"/>
        </w:rPr>
        <w:t xml:space="preserve">GDP         </w:t>
        <w:tab/>
        <w:t>Gross Domestic Product</w:t>
      </w:r>
    </w:p>
    <w:p>
      <w:pPr>
        <w:pStyle w:val="Normal"/>
        <w:spacing w:before="240" w:after="240"/>
        <w:rPr>
          <w:rFonts w:ascii="Cambria" w:hAnsi="Cambria"/>
        </w:rPr>
      </w:pPr>
      <w:r>
        <w:rPr>
          <w:rFonts w:eastAsia="Overlock" w:cs="Overlock" w:ascii="Cambria" w:hAnsi="Cambria"/>
        </w:rPr>
        <w:t xml:space="preserve">GPS          </w:t>
        <w:tab/>
        <w:t>Global Program on Sustainability (World Bank)</w:t>
      </w:r>
    </w:p>
    <w:p>
      <w:pPr>
        <w:pStyle w:val="Normal"/>
        <w:spacing w:before="240" w:after="240"/>
        <w:rPr>
          <w:rFonts w:ascii="Cambria" w:hAnsi="Cambria"/>
        </w:rPr>
      </w:pPr>
      <w:r>
        <w:rPr>
          <w:rFonts w:eastAsia="Overlock" w:cs="Overlock" w:ascii="Cambria" w:hAnsi="Cambria"/>
        </w:rPr>
        <w:t xml:space="preserve">ICBT         </w:t>
        <w:tab/>
        <w:t>Informal Cross-Border Trade</w:t>
      </w:r>
    </w:p>
    <w:p>
      <w:pPr>
        <w:pStyle w:val="Normal"/>
        <w:spacing w:before="240" w:after="240"/>
        <w:rPr>
          <w:rFonts w:ascii="Cambria" w:hAnsi="Cambria"/>
        </w:rPr>
      </w:pPr>
      <w:r>
        <w:rPr>
          <w:rFonts w:eastAsia="Overlock" w:cs="Overlock" w:ascii="Cambria" w:hAnsi="Cambria"/>
        </w:rPr>
        <w:t xml:space="preserve">IPCC         </w:t>
        <w:tab/>
        <w:t>Intergovernmental Panel on Climate Change</w:t>
      </w:r>
    </w:p>
    <w:p>
      <w:pPr>
        <w:pStyle w:val="Normal"/>
        <w:spacing w:before="240" w:after="240"/>
        <w:rPr>
          <w:rFonts w:ascii="Cambria" w:hAnsi="Cambria"/>
        </w:rPr>
      </w:pPr>
      <w:r>
        <w:rPr>
          <w:rFonts w:eastAsia="Overlock" w:cs="Overlock" w:ascii="Cambria" w:hAnsi="Cambria"/>
        </w:rPr>
        <w:t xml:space="preserve">ISIC          </w:t>
        <w:tab/>
        <w:t>International Standard Industrial Classification</w:t>
      </w:r>
    </w:p>
    <w:p>
      <w:pPr>
        <w:pStyle w:val="Normal"/>
        <w:spacing w:before="240" w:after="240"/>
        <w:rPr>
          <w:rFonts w:ascii="Cambria" w:hAnsi="Cambria"/>
        </w:rPr>
      </w:pPr>
      <w:r>
        <w:rPr>
          <w:rFonts w:eastAsia="Overlock" w:cs="Overlock" w:ascii="Cambria" w:hAnsi="Cambria"/>
        </w:rPr>
        <w:t xml:space="preserve">KENMOD </w:t>
        <w:tab/>
        <w:t>Kenya Macroeconomic Model</w:t>
      </w:r>
    </w:p>
    <w:p>
      <w:pPr>
        <w:pStyle w:val="Normal"/>
        <w:spacing w:before="240" w:after="240"/>
        <w:rPr>
          <w:rFonts w:ascii="Cambria" w:hAnsi="Cambria"/>
        </w:rPr>
      </w:pPr>
      <w:r>
        <w:rPr>
          <w:rFonts w:eastAsia="Overlock" w:cs="Overlock" w:ascii="Cambria" w:hAnsi="Cambria"/>
        </w:rPr>
        <w:t xml:space="preserve">KEFRI       </w:t>
        <w:tab/>
        <w:t>Kenya Forestry Research Institute</w:t>
      </w:r>
    </w:p>
    <w:p>
      <w:pPr>
        <w:pStyle w:val="Normal"/>
        <w:spacing w:before="240" w:after="240"/>
        <w:rPr>
          <w:rFonts w:ascii="Cambria" w:hAnsi="Cambria"/>
        </w:rPr>
      </w:pPr>
      <w:r>
        <w:rPr>
          <w:rFonts w:eastAsia="Overlock" w:cs="Overlock" w:ascii="Cambria" w:hAnsi="Cambria"/>
        </w:rPr>
        <w:t xml:space="preserve">KFS           </w:t>
        <w:tab/>
        <w:t>Kenya Forest Service</w:t>
      </w:r>
    </w:p>
    <w:p>
      <w:pPr>
        <w:pStyle w:val="Normal"/>
        <w:spacing w:before="240" w:after="240"/>
        <w:rPr>
          <w:rFonts w:ascii="Cambria" w:hAnsi="Cambria"/>
        </w:rPr>
      </w:pPr>
      <w:r>
        <w:rPr>
          <w:rFonts w:eastAsia="Overlock" w:cs="Overlock" w:ascii="Cambria" w:hAnsi="Cambria"/>
        </w:rPr>
        <w:t xml:space="preserve">Kgs           </w:t>
        <w:tab/>
        <w:t>Kilograms</w:t>
      </w:r>
    </w:p>
    <w:p>
      <w:pPr>
        <w:pStyle w:val="Normal"/>
        <w:spacing w:before="240" w:after="240"/>
        <w:rPr>
          <w:rFonts w:ascii="Cambria" w:hAnsi="Cambria"/>
        </w:rPr>
      </w:pPr>
      <w:r>
        <w:rPr>
          <w:rFonts w:eastAsia="Overlock" w:cs="Overlock" w:ascii="Cambria" w:hAnsi="Cambria"/>
        </w:rPr>
        <w:t xml:space="preserve">KNBS        </w:t>
        <w:tab/>
        <w:t>Kenya National Bureau of Statistics</w:t>
      </w:r>
    </w:p>
    <w:p>
      <w:pPr>
        <w:pStyle w:val="Normal"/>
        <w:spacing w:before="240" w:after="240"/>
        <w:rPr>
          <w:rFonts w:ascii="Cambria" w:hAnsi="Cambria"/>
        </w:rPr>
      </w:pPr>
      <w:r>
        <w:rPr>
          <w:rFonts w:eastAsia="Overlock" w:cs="Overlock" w:ascii="Cambria" w:hAnsi="Cambria"/>
        </w:rPr>
        <w:t xml:space="preserve">Ksh           </w:t>
        <w:tab/>
        <w:t>Kenya Shillings</w:t>
      </w:r>
    </w:p>
    <w:p>
      <w:pPr>
        <w:pStyle w:val="Normal"/>
        <w:spacing w:before="240" w:after="240"/>
        <w:rPr>
          <w:rFonts w:ascii="Cambria" w:hAnsi="Cambria"/>
        </w:rPr>
      </w:pPr>
      <w:r>
        <w:rPr>
          <w:rFonts w:eastAsia="Overlock" w:cs="Overlock" w:ascii="Cambria" w:hAnsi="Cambria"/>
        </w:rPr>
        <w:t xml:space="preserve">LCLU        </w:t>
        <w:tab/>
        <w:t>Land Cover and Land Use</w:t>
      </w:r>
    </w:p>
    <w:p>
      <w:pPr>
        <w:pStyle w:val="Normal"/>
        <w:spacing w:before="240" w:after="240"/>
        <w:rPr>
          <w:rFonts w:ascii="Cambria" w:hAnsi="Cambria"/>
        </w:rPr>
      </w:pPr>
      <w:r>
        <w:rPr>
          <w:rFonts w:eastAsia="Overlock" w:cs="Overlock" w:ascii="Cambria" w:hAnsi="Cambria"/>
        </w:rPr>
        <w:t xml:space="preserve">m³  </w:t>
        <w:tab/>
        <w:t xml:space="preserve">      </w:t>
        <w:tab/>
        <w:t>Cubic Meter</w:t>
      </w:r>
    </w:p>
    <w:p>
      <w:pPr>
        <w:pStyle w:val="Normal"/>
        <w:spacing w:before="240" w:after="240"/>
        <w:rPr>
          <w:rFonts w:ascii="Cambria" w:hAnsi="Cambria"/>
        </w:rPr>
      </w:pPr>
      <w:r>
        <w:rPr>
          <w:rFonts w:ascii="Cambria" w:hAnsi="Cambria"/>
        </w:rPr>
        <w:t>MoECCF</w:t>
        <w:tab/>
        <w:t>Ministry of Environment, Climate Change &amp; Forestry</w:t>
      </w:r>
    </w:p>
    <w:p>
      <w:pPr>
        <w:pStyle w:val="Normal"/>
        <w:spacing w:before="240" w:after="240"/>
        <w:rPr>
          <w:rFonts w:ascii="Cambria" w:hAnsi="Cambria"/>
        </w:rPr>
      </w:pPr>
      <w:r>
        <w:rPr>
          <w:rFonts w:eastAsia="Overlock" w:cs="Overlock" w:ascii="Cambria" w:hAnsi="Cambria"/>
        </w:rPr>
        <w:t xml:space="preserve">NDC         </w:t>
        <w:tab/>
        <w:t>Nationally Determined Contributions</w:t>
      </w:r>
    </w:p>
    <w:p>
      <w:pPr>
        <w:pStyle w:val="Normal"/>
        <w:spacing w:before="240" w:after="240"/>
        <w:rPr>
          <w:rFonts w:ascii="Cambria" w:hAnsi="Cambria"/>
        </w:rPr>
      </w:pPr>
      <w:r>
        <w:rPr>
          <w:rFonts w:eastAsia="Overlock" w:cs="Overlock" w:ascii="Cambria" w:hAnsi="Cambria"/>
        </w:rPr>
        <w:t xml:space="preserve">NPAEEA    </w:t>
        <w:tab/>
        <w:t>National Plan for Advancing Environmental Economic Accounting</w:t>
      </w:r>
    </w:p>
    <w:p>
      <w:pPr>
        <w:pStyle w:val="Normal"/>
        <w:spacing w:before="240" w:after="240"/>
        <w:rPr>
          <w:rFonts w:ascii="Cambria" w:hAnsi="Cambria"/>
        </w:rPr>
      </w:pPr>
      <w:r>
        <w:rPr>
          <w:rFonts w:eastAsia="Overlock" w:cs="Overlock" w:ascii="Cambria" w:hAnsi="Cambria"/>
        </w:rPr>
        <w:t xml:space="preserve">NTFPs       </w:t>
        <w:tab/>
        <w:t>Non-Timber Forest Products</w:t>
      </w:r>
    </w:p>
    <w:p>
      <w:pPr>
        <w:pStyle w:val="Normal"/>
        <w:spacing w:before="240" w:after="240"/>
        <w:rPr>
          <w:rFonts w:ascii="Cambria" w:hAnsi="Cambria"/>
        </w:rPr>
      </w:pPr>
      <w:r>
        <w:rPr>
          <w:rFonts w:eastAsia="Overlock" w:cs="Overlock" w:ascii="Cambria" w:hAnsi="Cambria"/>
        </w:rPr>
        <w:t xml:space="preserve">NPV         </w:t>
        <w:tab/>
        <w:t>Net Present Value</w:t>
      </w:r>
    </w:p>
    <w:p>
      <w:pPr>
        <w:pStyle w:val="Normal"/>
        <w:spacing w:before="240" w:after="240"/>
        <w:rPr>
          <w:rFonts w:ascii="Cambria" w:hAnsi="Cambria"/>
        </w:rPr>
      </w:pPr>
      <w:r>
        <w:rPr>
          <w:rFonts w:eastAsia="Overlock" w:cs="Overlock" w:ascii="Cambria" w:hAnsi="Cambria"/>
        </w:rPr>
        <w:t xml:space="preserve">PES           </w:t>
        <w:tab/>
        <w:t>Payment for Ecosystem Services</w:t>
      </w:r>
    </w:p>
    <w:p>
      <w:pPr>
        <w:pStyle w:val="Normal"/>
        <w:spacing w:before="240" w:after="240"/>
        <w:rPr>
          <w:rFonts w:ascii="Cambria" w:hAnsi="Cambria"/>
        </w:rPr>
      </w:pPr>
      <w:r>
        <w:rPr>
          <w:rFonts w:eastAsia="Overlock" w:cs="Overlock" w:ascii="Cambria" w:hAnsi="Cambria"/>
        </w:rPr>
        <w:t xml:space="preserve">PFA          </w:t>
        <w:tab/>
        <w:t>Physical Flow Account</w:t>
      </w:r>
    </w:p>
    <w:p>
      <w:pPr>
        <w:pStyle w:val="Normal"/>
        <w:spacing w:before="240" w:after="240"/>
        <w:rPr>
          <w:rFonts w:ascii="Cambria" w:hAnsi="Cambria"/>
        </w:rPr>
      </w:pPr>
      <w:r>
        <w:rPr>
          <w:rFonts w:eastAsia="Overlock" w:cs="Overlock" w:ascii="Cambria" w:hAnsi="Cambria"/>
        </w:rPr>
        <w:t xml:space="preserve">PSUT        </w:t>
        <w:tab/>
        <w:t>Physical Supply and Use Table</w:t>
      </w:r>
    </w:p>
    <w:p>
      <w:pPr>
        <w:pStyle w:val="Normal"/>
        <w:spacing w:before="240" w:after="240"/>
        <w:rPr>
          <w:rFonts w:ascii="Cambria" w:hAnsi="Cambria"/>
        </w:rPr>
      </w:pPr>
      <w:r>
        <w:rPr>
          <w:rFonts w:eastAsia="Overlock" w:cs="Overlock" w:ascii="Cambria" w:hAnsi="Cambria"/>
        </w:rPr>
        <w:t xml:space="preserve">QGIS        </w:t>
        <w:tab/>
        <w:t>Quantum Geographic Information System</w:t>
      </w:r>
    </w:p>
    <w:p>
      <w:pPr>
        <w:pStyle w:val="Normal"/>
        <w:spacing w:before="240" w:after="240"/>
        <w:rPr>
          <w:rFonts w:ascii="Cambria" w:hAnsi="Cambria"/>
        </w:rPr>
      </w:pPr>
      <w:r>
        <w:rPr>
          <w:rFonts w:eastAsia="Overlock" w:cs="Overlock" w:ascii="Cambria" w:hAnsi="Cambria"/>
        </w:rPr>
        <w:t xml:space="preserve">REDD+     </w:t>
        <w:tab/>
        <w:t>Reducing Emissions from Deforestation and Forest Degradation</w:t>
      </w:r>
    </w:p>
    <w:p>
      <w:pPr>
        <w:pStyle w:val="Normal"/>
        <w:spacing w:before="240" w:after="240"/>
        <w:rPr>
          <w:rFonts w:ascii="Cambria" w:hAnsi="Cambria"/>
        </w:rPr>
      </w:pPr>
      <w:r>
        <w:rPr>
          <w:rFonts w:eastAsia="Overlock" w:cs="Overlock" w:ascii="Cambria" w:hAnsi="Cambria"/>
        </w:rPr>
        <w:t xml:space="preserve">R-Studio    </w:t>
        <w:tab/>
        <w:t>Statistical computing and graphics software (based on R)</w:t>
      </w:r>
    </w:p>
    <w:p>
      <w:pPr>
        <w:pStyle w:val="Normal"/>
        <w:spacing w:before="240" w:after="240"/>
        <w:rPr>
          <w:rFonts w:ascii="Cambria" w:hAnsi="Cambria"/>
        </w:rPr>
      </w:pPr>
      <w:r>
        <w:rPr>
          <w:rFonts w:eastAsia="Overlock" w:cs="Overlock" w:ascii="Cambria" w:hAnsi="Cambria"/>
        </w:rPr>
        <w:t xml:space="preserve">SDGs        </w:t>
        <w:tab/>
        <w:t>Sustainable Development Goals</w:t>
      </w:r>
    </w:p>
    <w:p>
      <w:pPr>
        <w:pStyle w:val="Normal"/>
        <w:spacing w:before="240" w:after="240"/>
        <w:rPr>
          <w:rFonts w:ascii="Cambria" w:hAnsi="Cambria"/>
        </w:rPr>
      </w:pPr>
      <w:r>
        <w:rPr>
          <w:rFonts w:eastAsia="Overlock" w:cs="Overlock" w:ascii="Cambria" w:hAnsi="Cambria"/>
        </w:rPr>
        <w:t xml:space="preserve">SEEA         </w:t>
        <w:tab/>
        <w:t>System of Environmental-Economic Accounting</w:t>
      </w:r>
    </w:p>
    <w:p>
      <w:pPr>
        <w:pStyle w:val="Normal"/>
        <w:spacing w:before="240" w:after="240"/>
        <w:rPr>
          <w:rFonts w:ascii="Cambria" w:hAnsi="Cambria"/>
        </w:rPr>
      </w:pPr>
      <w:r>
        <w:rPr>
          <w:rFonts w:eastAsia="Overlock" w:cs="Overlock" w:ascii="Cambria" w:hAnsi="Cambria"/>
        </w:rPr>
        <w:t xml:space="preserve">SEEA CF    </w:t>
        <w:tab/>
        <w:t>System of Environmental-Economic Accounting – Central Framework</w:t>
      </w:r>
    </w:p>
    <w:p>
      <w:pPr>
        <w:pStyle w:val="Normal"/>
        <w:spacing w:before="240" w:after="240"/>
        <w:rPr>
          <w:rFonts w:ascii="Cambria" w:hAnsi="Cambria"/>
        </w:rPr>
      </w:pPr>
      <w:r>
        <w:rPr>
          <w:rFonts w:eastAsia="Overlock" w:cs="Overlock" w:ascii="Cambria" w:hAnsi="Cambria"/>
        </w:rPr>
        <w:t xml:space="preserve">SEEA EA    </w:t>
        <w:tab/>
        <w:t>System of Environmental-Economic Accounting – Ecosystem Accounting</w:t>
      </w:r>
    </w:p>
    <w:p>
      <w:pPr>
        <w:pStyle w:val="Normal"/>
        <w:spacing w:before="240" w:after="240"/>
        <w:rPr>
          <w:rFonts w:ascii="Cambria" w:hAnsi="Cambria"/>
        </w:rPr>
      </w:pPr>
      <w:r>
        <w:rPr>
          <w:rFonts w:eastAsia="Overlock" w:cs="Overlock" w:ascii="Cambria" w:hAnsi="Cambria"/>
        </w:rPr>
        <w:t xml:space="preserve">SLEEK        </w:t>
        <w:tab/>
        <w:t>System for Land-based Emissions Estimation in Kenya</w:t>
      </w:r>
    </w:p>
    <w:p>
      <w:pPr>
        <w:pStyle w:val="Normal"/>
        <w:spacing w:before="240" w:after="240"/>
        <w:rPr>
          <w:rFonts w:ascii="Cambria" w:hAnsi="Cambria"/>
        </w:rPr>
      </w:pPr>
      <w:r>
        <w:rPr>
          <w:rFonts w:eastAsia="Overlock" w:cs="Overlock" w:ascii="Cambria" w:hAnsi="Cambria"/>
        </w:rPr>
        <w:t xml:space="preserve">SNA          </w:t>
        <w:tab/>
        <w:t>System of National Accounts</w:t>
      </w:r>
    </w:p>
    <w:p>
      <w:pPr>
        <w:pStyle w:val="Normal"/>
        <w:spacing w:before="240" w:after="240"/>
        <w:rPr>
          <w:rFonts w:ascii="Cambria" w:hAnsi="Cambria"/>
        </w:rPr>
      </w:pPr>
      <w:r>
        <w:rPr>
          <w:rFonts w:eastAsia="Overlock" w:cs="Overlock" w:ascii="Cambria" w:hAnsi="Cambria"/>
        </w:rPr>
        <w:t xml:space="preserve">SUT          </w:t>
        <w:tab/>
        <w:t>Supply and Use Table</w:t>
      </w:r>
    </w:p>
    <w:p>
      <w:pPr>
        <w:pStyle w:val="Normal"/>
        <w:spacing w:before="240" w:after="240"/>
        <w:rPr>
          <w:rFonts w:ascii="Cambria" w:hAnsi="Cambria"/>
        </w:rPr>
      </w:pPr>
      <w:r>
        <w:rPr>
          <w:rFonts w:eastAsia="Overlock" w:cs="Overlock" w:ascii="Cambria" w:hAnsi="Cambria"/>
        </w:rPr>
        <w:t xml:space="preserve">TJ             </w:t>
        <w:tab/>
        <w:t>Terajoules</w:t>
      </w:r>
    </w:p>
    <w:p>
      <w:pPr>
        <w:pStyle w:val="Normal"/>
        <w:spacing w:before="240" w:after="240"/>
        <w:rPr>
          <w:rFonts w:ascii="Cambria" w:hAnsi="Cambria"/>
        </w:rPr>
      </w:pPr>
      <w:r>
        <w:rPr>
          <w:rFonts w:eastAsia="Overlock" w:cs="Overlock" w:ascii="Cambria" w:hAnsi="Cambria"/>
        </w:rPr>
        <w:t xml:space="preserve">TWG        </w:t>
        <w:tab/>
        <w:t>Technical Working Group</w:t>
      </w:r>
    </w:p>
    <w:p>
      <w:pPr>
        <w:pStyle w:val="Normal"/>
        <w:spacing w:before="240" w:after="240"/>
        <w:rPr>
          <w:rFonts w:ascii="Cambria" w:hAnsi="Cambria"/>
        </w:rPr>
      </w:pPr>
      <w:r>
        <w:rPr>
          <w:rFonts w:eastAsia="Overlock" w:cs="Overlock" w:ascii="Cambria" w:hAnsi="Cambria"/>
        </w:rPr>
        <w:t xml:space="preserve">UNSD       </w:t>
        <w:tab/>
        <w:t>United Nations Statistics Division</w:t>
      </w:r>
    </w:p>
    <w:p>
      <w:pPr>
        <w:pStyle w:val="Normal"/>
        <w:spacing w:before="240" w:after="240"/>
        <w:rPr>
          <w:rFonts w:ascii="Cambria" w:hAnsi="Cambria"/>
        </w:rPr>
      </w:pPr>
      <w:r>
        <w:rPr>
          <w:rFonts w:eastAsia="Overlock" w:cs="Overlock" w:ascii="Cambria" w:hAnsi="Cambria"/>
        </w:rPr>
        <w:t xml:space="preserve">WB           </w:t>
        <w:tab/>
        <w:t>World Bank</w:t>
      </w:r>
    </w:p>
    <w:p>
      <w:pPr>
        <w:pStyle w:val="Normal"/>
        <w:spacing w:before="240" w:after="240"/>
        <w:rPr>
          <w:rFonts w:ascii="Cambria" w:hAnsi="Cambria" w:eastAsia="Overlock" w:cs="Overlock"/>
        </w:rPr>
      </w:pPr>
      <w:r>
        <w:rPr>
          <w:rFonts w:eastAsia="Overlock" w:cs="Overlock" w:ascii="Cambria" w:hAnsi="Cambria"/>
        </w:rPr>
      </w:r>
    </w:p>
    <w:p>
      <w:pPr>
        <w:pStyle w:val="Normal"/>
        <w:rPr>
          <w:rFonts w:ascii="Cambria" w:hAnsi="Cambria" w:eastAsia="Overlock" w:cs="Overlock"/>
        </w:rPr>
      </w:pPr>
      <w:r>
        <w:rPr>
          <w:rFonts w:eastAsia="Overlock" w:cs="Overlock" w:ascii="Cambria" w:hAnsi="Cambria"/>
        </w:rPr>
      </w:r>
    </w:p>
    <w:p>
      <w:pPr>
        <w:pStyle w:val="Normal"/>
        <w:rPr>
          <w:rFonts w:ascii="Cambria" w:hAnsi="Cambria" w:eastAsia="Overlock" w:cs="Overlock"/>
          <w:color w:val="FF0000"/>
        </w:rPr>
      </w:pPr>
      <w:r>
        <w:rPr>
          <w:rFonts w:eastAsia="Overlock" w:cs="Overlock" w:ascii="Cambria" w:hAnsi="Cambria"/>
          <w:color w:val="FF0000"/>
        </w:rPr>
      </w:r>
    </w:p>
    <w:p>
      <w:pPr>
        <w:pStyle w:val="Heading2"/>
        <w:rPr>
          <w:rFonts w:ascii="Cambria" w:hAnsi="Cambria"/>
        </w:rPr>
      </w:pPr>
      <w:r>
        <w:rPr>
          <w:rFonts w:ascii="Cambria" w:hAnsi="Cambria"/>
        </w:rPr>
      </w:r>
      <w:r>
        <w:br w:type="page"/>
      </w:r>
    </w:p>
    <w:p>
      <w:pPr>
        <w:pStyle w:val="Heading2"/>
        <w:rPr>
          <w:b w:val="false"/>
          <w:bCs w:val="false"/>
          <w:sz w:val="40"/>
          <w:szCs w:val="40"/>
        </w:rPr>
      </w:pPr>
      <w:bookmarkStart w:id="2" w:name="_heading=h.innesshx1bcz"/>
      <w:bookmarkEnd w:id="2"/>
      <w:r>
        <w:rPr>
          <w:rFonts w:ascii="Cambria" w:hAnsi="Cambria"/>
          <w:sz w:val="40"/>
          <w:szCs w:val="40"/>
        </w:rPr>
        <w:t>Glossary</w:t>
      </w:r>
    </w:p>
    <w:p>
      <w:pPr>
        <w:pStyle w:val="Normal"/>
        <w:rPr>
          <w:rFonts w:ascii="Cambria" w:hAnsi="Cambria"/>
          <w:b/>
          <w:bCs/>
          <w:color w:val="C00000"/>
          <w:sz w:val="28"/>
          <w:szCs w:val="28"/>
        </w:rPr>
      </w:pPr>
      <w:r>
        <w:rPr>
          <w:rFonts w:ascii="Cambria" w:hAnsi="Cambria"/>
          <w:b/>
          <w:bCs/>
          <w:color w:val="C00000"/>
          <w:sz w:val="28"/>
          <w:szCs w:val="28"/>
        </w:rPr>
      </w:r>
    </w:p>
    <w:p>
      <w:pPr>
        <w:pStyle w:val="Normal"/>
        <w:rPr>
          <w:rFonts w:ascii="Cambria" w:hAnsi="Cambria"/>
        </w:rPr>
      </w:pPr>
      <w:r>
        <w:rPr>
          <w:rFonts w:eastAsia="Overlock" w:cs="Overlock" w:ascii="Cambria" w:hAnsi="Cambria"/>
          <w:b/>
          <w:bCs/>
          <w:sz w:val="24"/>
          <w:szCs w:val="24"/>
        </w:rPr>
        <w:t xml:space="preserve">Carbon Sequestration: </w:t>
      </w:r>
      <w:r>
        <w:rPr>
          <w:rFonts w:eastAsia="Overlock" w:cs="Overlock" w:ascii="Cambria" w:hAnsi="Cambria"/>
          <w:sz w:val="24"/>
          <w:szCs w:val="24"/>
        </w:rPr>
        <w:t>The process by which forests and other ecosystems capture and store carbon dioxide from the atmosphere.</w:t>
      </w:r>
    </w:p>
    <w:p>
      <w:pPr>
        <w:pStyle w:val="Normal"/>
        <w:rPr>
          <w:rFonts w:ascii="Cambria" w:hAnsi="Cambria"/>
        </w:rPr>
      </w:pPr>
      <w:r>
        <w:rPr>
          <w:rFonts w:eastAsia="Overlock" w:cs="Overlock" w:ascii="Cambria" w:hAnsi="Cambria"/>
          <w:b/>
          <w:bCs/>
          <w:sz w:val="24"/>
          <w:szCs w:val="24"/>
        </w:rPr>
        <w:t>Ecosystem Accounting:</w:t>
      </w:r>
      <w:r>
        <w:rPr>
          <w:rFonts w:eastAsia="Overlock" w:cs="Overlock" w:ascii="Cambria" w:hAnsi="Cambria"/>
          <w:sz w:val="24"/>
          <w:szCs w:val="24"/>
        </w:rPr>
        <w:t xml:space="preserve"> A statistical framework (SEEA EA) that measures ecosystems as assets, tracking their extent, condition, and the services they provide.</w:t>
      </w:r>
    </w:p>
    <w:p>
      <w:pPr>
        <w:pStyle w:val="Normal"/>
        <w:rPr>
          <w:rFonts w:ascii="Cambria" w:hAnsi="Cambria"/>
        </w:rPr>
      </w:pPr>
      <w:r>
        <w:rPr>
          <w:rFonts w:eastAsia="Overlock" w:cs="Overlock" w:ascii="Cambria" w:hAnsi="Cambria"/>
          <w:b/>
          <w:bCs/>
          <w:sz w:val="24"/>
          <w:szCs w:val="24"/>
        </w:rPr>
        <w:t xml:space="preserve">Ecosystem Services: </w:t>
      </w:r>
      <w:r>
        <w:rPr>
          <w:rFonts w:eastAsia="Overlock" w:cs="Overlock" w:ascii="Cambria" w:hAnsi="Cambria"/>
          <w:sz w:val="24"/>
          <w:szCs w:val="24"/>
        </w:rPr>
        <w:t>The contributions of ecosystems to economic and human activity, such as air purification or water regulation, which enable people to derive benefits like clean air and safe water.</w:t>
      </w:r>
    </w:p>
    <w:p>
      <w:pPr>
        <w:pStyle w:val="Normal"/>
        <w:rPr>
          <w:rFonts w:ascii="Cambria" w:hAnsi="Cambria"/>
        </w:rPr>
      </w:pPr>
      <w:r>
        <w:rPr>
          <w:rFonts w:eastAsia="Overlock" w:cs="Overlock" w:ascii="Cambria" w:hAnsi="Cambria"/>
          <w:b/>
          <w:bCs/>
          <w:sz w:val="24"/>
          <w:szCs w:val="24"/>
        </w:rPr>
        <w:t>Exchange Value:</w:t>
      </w:r>
      <w:r>
        <w:rPr>
          <w:rFonts w:eastAsia="Overlock" w:cs="Overlock" w:ascii="Cambria" w:hAnsi="Cambria"/>
          <w:sz w:val="24"/>
          <w:szCs w:val="24"/>
        </w:rPr>
        <w:t xml:space="preserve"> The monetary value that goods or services would fetch in a real or hypothetical market, used in SEEA-based accounts.</w:t>
      </w:r>
    </w:p>
    <w:p>
      <w:pPr>
        <w:pStyle w:val="Normal"/>
        <w:rPr>
          <w:rFonts w:ascii="Cambria" w:hAnsi="Cambria"/>
        </w:rPr>
      </w:pPr>
      <w:r>
        <w:rPr>
          <w:rFonts w:eastAsia="Overlock" w:cs="Overlock" w:ascii="Cambria" w:hAnsi="Cambria"/>
          <w:b/>
          <w:bCs/>
          <w:sz w:val="24"/>
          <w:szCs w:val="24"/>
        </w:rPr>
        <w:t>Forestland:</w:t>
      </w:r>
      <w:r>
        <w:rPr>
          <w:rFonts w:eastAsia="Overlock" w:cs="Overlock" w:ascii="Cambria" w:hAnsi="Cambria"/>
          <w:sz w:val="24"/>
          <w:szCs w:val="24"/>
        </w:rPr>
        <w:t xml:space="preserve"> Is a land area of more than 0.5ha, with at least canopy cover of at least 15%, trees of minimum 2m height in situ, which is not primarily under agricultural or other specific non-forest land use.</w:t>
      </w:r>
    </w:p>
    <w:p>
      <w:pPr>
        <w:pStyle w:val="Normal"/>
        <w:rPr>
          <w:rFonts w:ascii="Cambria" w:hAnsi="Cambria"/>
        </w:rPr>
      </w:pPr>
      <w:r>
        <w:rPr>
          <w:rFonts w:eastAsia="Overlock" w:cs="Overlock" w:ascii="Cambria" w:hAnsi="Cambria"/>
          <w:b/>
          <w:bCs/>
          <w:sz w:val="24"/>
          <w:szCs w:val="24"/>
        </w:rPr>
        <w:t>Forest Asset Account:</w:t>
      </w:r>
      <w:r>
        <w:rPr>
          <w:rFonts w:eastAsia="Overlock" w:cs="Overlock" w:ascii="Cambria" w:hAnsi="Cambria"/>
          <w:sz w:val="24"/>
          <w:szCs w:val="24"/>
        </w:rPr>
        <w:t xml:space="preserve"> An account that records the opening and closing stock of forest resources, along with changes due to natural growth, removals, and degradation.</w:t>
      </w:r>
    </w:p>
    <w:p>
      <w:pPr>
        <w:pStyle w:val="Normal"/>
        <w:rPr>
          <w:rFonts w:ascii="Cambria" w:hAnsi="Cambria"/>
        </w:rPr>
      </w:pPr>
      <w:r>
        <w:rPr>
          <w:rFonts w:eastAsia="Overlock" w:cs="Overlock" w:ascii="Cambria" w:hAnsi="Cambria"/>
          <w:b/>
          <w:bCs/>
          <w:sz w:val="24"/>
          <w:szCs w:val="24"/>
        </w:rPr>
        <w:t xml:space="preserve">Forest Ecosystem Asset: </w:t>
      </w:r>
      <w:r>
        <w:rPr>
          <w:rFonts w:eastAsia="Overlock" w:cs="Overlock" w:ascii="Cambria" w:hAnsi="Cambria"/>
          <w:sz w:val="24"/>
          <w:szCs w:val="24"/>
        </w:rPr>
        <w:t>The stock of natural forest ecosystems, valued as the net present value of expected future service flows.</w:t>
      </w:r>
    </w:p>
    <w:p>
      <w:pPr>
        <w:pStyle w:val="Normal"/>
        <w:rPr>
          <w:rFonts w:ascii="Cambria" w:hAnsi="Cambria"/>
        </w:rPr>
      </w:pPr>
      <w:r>
        <w:rPr>
          <w:rFonts w:eastAsia="Overlock" w:cs="Overlock" w:ascii="Cambria" w:hAnsi="Cambria"/>
          <w:b/>
          <w:bCs/>
          <w:sz w:val="24"/>
          <w:szCs w:val="24"/>
        </w:rPr>
        <w:t>Forest Ecosystem Services:</w:t>
      </w:r>
      <w:r>
        <w:rPr>
          <w:rFonts w:eastAsia="Overlock" w:cs="Overlock" w:ascii="Cambria" w:hAnsi="Cambria"/>
          <w:sz w:val="24"/>
          <w:szCs w:val="24"/>
        </w:rPr>
        <w:t xml:space="preserve"> Services provided by forests, such as timber, carbon sequestration, water regulation, recreation, and habitat maintenance.</w:t>
      </w:r>
    </w:p>
    <w:p>
      <w:pPr>
        <w:pStyle w:val="Normal"/>
        <w:rPr>
          <w:rFonts w:ascii="Cambria" w:hAnsi="Cambria"/>
        </w:rPr>
      </w:pPr>
      <w:r>
        <w:rPr>
          <w:rFonts w:eastAsia="Overlock" w:cs="Overlock" w:ascii="Cambria" w:hAnsi="Cambria"/>
          <w:b/>
          <w:bCs/>
          <w:sz w:val="24"/>
          <w:szCs w:val="24"/>
        </w:rPr>
        <w:t>Green GDP:</w:t>
      </w:r>
      <w:r>
        <w:rPr>
          <w:rFonts w:eastAsia="Overlock" w:cs="Overlock" w:ascii="Cambria" w:hAnsi="Cambria"/>
          <w:sz w:val="24"/>
          <w:szCs w:val="24"/>
        </w:rPr>
        <w:t xml:space="preserve"> Gross Domestic Product adjusted for environmental degradation and depletion of natural resources.</w:t>
      </w:r>
    </w:p>
    <w:p>
      <w:pPr>
        <w:pStyle w:val="Normal"/>
        <w:rPr>
          <w:rFonts w:ascii="Cambria" w:hAnsi="Cambria"/>
        </w:rPr>
      </w:pPr>
      <w:r>
        <w:rPr>
          <w:rFonts w:eastAsia="Overlock" w:cs="Overlock" w:ascii="Cambria" w:hAnsi="Cambria"/>
          <w:b/>
          <w:bCs/>
          <w:sz w:val="24"/>
          <w:szCs w:val="24"/>
        </w:rPr>
        <w:t>Market Price Principle:</w:t>
      </w:r>
      <w:r>
        <w:rPr>
          <w:rFonts w:eastAsia="Overlock" w:cs="Overlock" w:ascii="Cambria" w:hAnsi="Cambria"/>
          <w:sz w:val="24"/>
          <w:szCs w:val="24"/>
        </w:rPr>
        <w:t xml:space="preserve"> The use of observable market prices, or their proxies, to value goods and services for consistency with the SNA.</w:t>
      </w:r>
    </w:p>
    <w:p>
      <w:pPr>
        <w:pStyle w:val="Normal"/>
        <w:rPr>
          <w:rFonts w:ascii="Cambria" w:hAnsi="Cambria"/>
        </w:rPr>
      </w:pPr>
      <w:r>
        <w:rPr>
          <w:rFonts w:eastAsia="Overlock" w:cs="Overlock" w:ascii="Cambria" w:hAnsi="Cambria"/>
          <w:b/>
          <w:bCs/>
          <w:sz w:val="24"/>
          <w:szCs w:val="24"/>
        </w:rPr>
        <w:t>Monetary Accounts:</w:t>
      </w:r>
      <w:r>
        <w:rPr>
          <w:rFonts w:eastAsia="Overlock" w:cs="Overlock" w:ascii="Cambria" w:hAnsi="Cambria"/>
          <w:sz w:val="24"/>
          <w:szCs w:val="24"/>
        </w:rPr>
        <w:t xml:space="preserve"> Accounts that assign monetary values to stocks and flows of environmental assets and services, making them comparable to traditional economic accounts.</w:t>
      </w:r>
    </w:p>
    <w:p>
      <w:pPr>
        <w:pStyle w:val="Normal"/>
        <w:rPr>
          <w:rFonts w:ascii="Cambria" w:hAnsi="Cambria"/>
        </w:rPr>
      </w:pPr>
      <w:r>
        <w:rPr>
          <w:rFonts w:eastAsia="Overlock" w:cs="Overlock" w:ascii="Cambria" w:hAnsi="Cambria"/>
          <w:b/>
          <w:bCs/>
          <w:sz w:val="24"/>
          <w:szCs w:val="24"/>
        </w:rPr>
        <w:t xml:space="preserve">Net Present Value (NPV): </w:t>
      </w:r>
      <w:r>
        <w:rPr>
          <w:rFonts w:eastAsia="Overlock" w:cs="Overlock" w:ascii="Cambria" w:hAnsi="Cambria"/>
          <w:sz w:val="24"/>
          <w:szCs w:val="24"/>
        </w:rPr>
        <w:t xml:space="preserve">The discounted sum of expected future benefits, expressed in today’s monetary terms. </w:t>
      </w:r>
    </w:p>
    <w:p>
      <w:pPr>
        <w:pStyle w:val="Normal"/>
        <w:rPr>
          <w:rFonts w:ascii="Cambria" w:hAnsi="Cambria"/>
        </w:rPr>
      </w:pPr>
      <w:r>
        <w:rPr>
          <w:rFonts w:eastAsia="Overlock" w:cs="Overlock" w:ascii="Cambria" w:hAnsi="Cambria"/>
          <w:b/>
          <w:bCs/>
          <w:sz w:val="24"/>
          <w:szCs w:val="24"/>
        </w:rPr>
        <w:t>Non-Timber Forest Products (NTFPs):</w:t>
      </w:r>
      <w:r>
        <w:rPr>
          <w:rFonts w:eastAsia="Overlock" w:cs="Overlock" w:ascii="Cambria" w:hAnsi="Cambria"/>
          <w:sz w:val="24"/>
          <w:szCs w:val="24"/>
        </w:rPr>
        <w:t xml:space="preserve"> Products derived from forests that are not timber, such as honey, fruits, medicinal plants, and resins</w:t>
      </w:r>
    </w:p>
    <w:p>
      <w:pPr>
        <w:pStyle w:val="Normal"/>
        <w:rPr>
          <w:rFonts w:ascii="Cambria" w:hAnsi="Cambria"/>
        </w:rPr>
      </w:pPr>
      <w:r>
        <w:rPr>
          <w:rFonts w:eastAsia="Overlock" w:cs="Overlock" w:ascii="Cambria" w:hAnsi="Cambria"/>
          <w:b/>
          <w:bCs/>
          <w:sz w:val="24"/>
          <w:szCs w:val="24"/>
        </w:rPr>
        <w:t xml:space="preserve">Physical Flow Account (PFA): </w:t>
      </w:r>
      <w:r>
        <w:rPr>
          <w:rFonts w:eastAsia="Overlock" w:cs="Overlock" w:ascii="Cambria" w:hAnsi="Cambria"/>
          <w:sz w:val="24"/>
          <w:szCs w:val="24"/>
        </w:rPr>
        <w:t>An account that tracks the supply and use of natural resource flows and residuals in physical units (e.g., tonnes, cubic meters).</w:t>
      </w:r>
    </w:p>
    <w:p>
      <w:pPr>
        <w:pStyle w:val="Normal"/>
        <w:rPr>
          <w:rFonts w:ascii="Cambria" w:hAnsi="Cambria"/>
        </w:rPr>
      </w:pPr>
      <w:r>
        <w:rPr>
          <w:rFonts w:eastAsia="Overlock" w:cs="Overlock" w:ascii="Cambria" w:hAnsi="Cambria"/>
          <w:b/>
          <w:bCs/>
          <w:sz w:val="24"/>
          <w:szCs w:val="24"/>
        </w:rPr>
        <w:t>Physical Supply and Use Table (PSUT):</w:t>
      </w:r>
      <w:r>
        <w:rPr>
          <w:rFonts w:eastAsia="Overlock" w:cs="Overlock" w:ascii="Cambria" w:hAnsi="Cambria"/>
          <w:sz w:val="24"/>
          <w:szCs w:val="24"/>
        </w:rPr>
        <w:t xml:space="preserve"> A tabular framework recording physical flows of goods, services, and residuals between the environment and the economy. </w:t>
      </w:r>
    </w:p>
    <w:p>
      <w:pPr>
        <w:pStyle w:val="Normal"/>
        <w:rPr>
          <w:rFonts w:ascii="Cambria" w:hAnsi="Cambria"/>
        </w:rPr>
      </w:pPr>
      <w:r>
        <w:rPr>
          <w:rFonts w:eastAsia="Overlock" w:cs="Overlock" w:ascii="Cambria" w:hAnsi="Cambria"/>
          <w:b/>
          <w:bCs/>
          <w:sz w:val="24"/>
          <w:szCs w:val="24"/>
        </w:rPr>
        <w:t>Provisioning Services:</w:t>
      </w:r>
      <w:r>
        <w:rPr>
          <w:rFonts w:eastAsia="Overlock" w:cs="Overlock" w:ascii="Cambria" w:hAnsi="Cambria"/>
          <w:sz w:val="24"/>
          <w:szCs w:val="24"/>
        </w:rPr>
        <w:t xml:space="preserve"> The material products provided by ecosystems, such as timber, fuelwood, and food. </w:t>
      </w:r>
    </w:p>
    <w:p>
      <w:pPr>
        <w:pStyle w:val="Normal"/>
        <w:rPr>
          <w:rFonts w:ascii="Cambria" w:hAnsi="Cambria"/>
        </w:rPr>
      </w:pPr>
      <w:r>
        <w:rPr>
          <w:rFonts w:eastAsia="Overlock" w:cs="Overlock" w:ascii="Cambria" w:hAnsi="Cambria"/>
          <w:b/>
          <w:bCs/>
          <w:sz w:val="24"/>
          <w:szCs w:val="24"/>
        </w:rPr>
        <w:t>Raster Data:</w:t>
      </w:r>
      <w:r>
        <w:rPr>
          <w:rFonts w:eastAsia="Overlock" w:cs="Overlock" w:ascii="Cambria" w:hAnsi="Cambria"/>
          <w:sz w:val="24"/>
          <w:szCs w:val="24"/>
        </w:rPr>
        <w:t xml:space="preserve"> Gridded spatial data where each cell (pixel) has a value representing a land cover type or other variable; commonly used in satellite-based mapping.</w:t>
      </w:r>
    </w:p>
    <w:p>
      <w:pPr>
        <w:pStyle w:val="Normal"/>
        <w:rPr>
          <w:rFonts w:ascii="Cambria" w:hAnsi="Cambria"/>
        </w:rPr>
      </w:pPr>
      <w:r>
        <w:rPr>
          <w:rFonts w:eastAsia="Overlock" w:cs="Overlock" w:ascii="Cambria" w:hAnsi="Cambria"/>
          <w:b/>
          <w:bCs/>
          <w:sz w:val="24"/>
          <w:szCs w:val="24"/>
        </w:rPr>
        <w:t>Regulating Services:</w:t>
      </w:r>
      <w:r>
        <w:rPr>
          <w:rFonts w:eastAsia="Overlock" w:cs="Overlock" w:ascii="Cambria" w:hAnsi="Cambria"/>
          <w:sz w:val="24"/>
          <w:szCs w:val="24"/>
        </w:rPr>
        <w:t xml:space="preserve"> The contributions of ecosystems that regulate ecological processes, such as climate regulation, flood control, or air and water purification, which support human well-being and economic activity. </w:t>
      </w:r>
    </w:p>
    <w:p>
      <w:pPr>
        <w:pStyle w:val="Normal"/>
        <w:rPr>
          <w:rFonts w:ascii="Cambria" w:hAnsi="Cambria"/>
        </w:rPr>
      </w:pPr>
      <w:r>
        <w:rPr>
          <w:rFonts w:eastAsia="Overlock" w:cs="Overlock" w:ascii="Cambria" w:hAnsi="Cambria"/>
          <w:b/>
          <w:bCs/>
          <w:sz w:val="24"/>
          <w:szCs w:val="24"/>
        </w:rPr>
        <w:t>Remote Sensing:</w:t>
      </w:r>
      <w:r>
        <w:rPr>
          <w:rFonts w:eastAsia="Overlock" w:cs="Overlock" w:ascii="Cambria" w:hAnsi="Cambria"/>
          <w:sz w:val="24"/>
          <w:szCs w:val="24"/>
        </w:rPr>
        <w:t xml:space="preserve"> The use of satellite or airborne sensors to collect information about the Earth’s surface without physical contact, widely used in land cover and land use monitoring.</w:t>
      </w:r>
    </w:p>
    <w:p>
      <w:pPr>
        <w:pStyle w:val="Normal"/>
        <w:rPr>
          <w:rFonts w:ascii="Cambria" w:hAnsi="Cambria"/>
        </w:rPr>
      </w:pPr>
      <w:r>
        <w:rPr>
          <w:rFonts w:eastAsia="Overlock" w:cs="Overlock" w:ascii="Cambria" w:hAnsi="Cambria"/>
          <w:b/>
          <w:bCs/>
          <w:sz w:val="24"/>
          <w:szCs w:val="24"/>
        </w:rPr>
        <w:t xml:space="preserve">SEEA (System of Environmental-Economic Accounting): </w:t>
      </w:r>
      <w:r>
        <w:rPr>
          <w:rFonts w:eastAsia="Overlock" w:cs="Overlock" w:ascii="Cambria" w:hAnsi="Cambria"/>
          <w:sz w:val="24"/>
          <w:szCs w:val="24"/>
        </w:rPr>
        <w:t>An international statistical standard for integrating environmental and economic data</w:t>
      </w:r>
    </w:p>
    <w:p>
      <w:pPr>
        <w:pStyle w:val="Normal"/>
        <w:rPr>
          <w:rFonts w:ascii="Cambria" w:hAnsi="Cambria"/>
        </w:rPr>
      </w:pPr>
      <w:r>
        <w:rPr>
          <w:rFonts w:eastAsia="Overlock" w:cs="Overlock" w:ascii="Cambria" w:hAnsi="Cambria"/>
          <w:b/>
          <w:bCs/>
          <w:sz w:val="24"/>
          <w:szCs w:val="24"/>
        </w:rPr>
        <w:t>SEEA Central Framework (SEEA CF):</w:t>
      </w:r>
      <w:r>
        <w:rPr>
          <w:rFonts w:eastAsia="Overlock" w:cs="Overlock" w:ascii="Cambria" w:hAnsi="Cambria"/>
          <w:sz w:val="24"/>
          <w:szCs w:val="24"/>
        </w:rPr>
        <w:t xml:space="preserve"> The core SEEA standard, focusing on individual environmental assets and flows, consistent with the SNA.</w:t>
      </w:r>
    </w:p>
    <w:p>
      <w:pPr>
        <w:pStyle w:val="Normal"/>
        <w:rPr>
          <w:rFonts w:ascii="Cambria" w:hAnsi="Cambria"/>
        </w:rPr>
      </w:pPr>
      <w:r>
        <w:rPr>
          <w:rFonts w:eastAsia="Overlock" w:cs="Overlock" w:ascii="Cambria" w:hAnsi="Cambria"/>
          <w:b/>
          <w:bCs/>
          <w:sz w:val="24"/>
          <w:szCs w:val="24"/>
        </w:rPr>
        <w:t>SEEA Ecosystem Accounting (SEEA EA):</w:t>
      </w:r>
      <w:r>
        <w:rPr>
          <w:rFonts w:eastAsia="Overlock" w:cs="Overlock" w:ascii="Cambria" w:hAnsi="Cambria"/>
          <w:sz w:val="24"/>
          <w:szCs w:val="24"/>
        </w:rPr>
        <w:t xml:space="preserve"> An extension of the SEEA that includes ecosystem extent, condition, and services</w:t>
      </w:r>
    </w:p>
    <w:p>
      <w:pPr>
        <w:pStyle w:val="Normal"/>
        <w:rPr>
          <w:rFonts w:ascii="Cambria" w:hAnsi="Cambria"/>
        </w:rPr>
      </w:pPr>
      <w:r>
        <w:rPr>
          <w:rFonts w:eastAsia="Overlock" w:cs="Overlock" w:ascii="Cambria" w:hAnsi="Cambria"/>
          <w:b/>
          <w:bCs/>
          <w:sz w:val="24"/>
          <w:szCs w:val="24"/>
        </w:rPr>
        <w:t xml:space="preserve">SLEEK: </w:t>
      </w:r>
      <w:r>
        <w:rPr>
          <w:rFonts w:eastAsia="Overlock" w:cs="Overlock" w:ascii="Cambria" w:hAnsi="Cambria"/>
          <w:sz w:val="24"/>
          <w:szCs w:val="24"/>
        </w:rPr>
        <w:t>System for Land-based Emissions Estimation in Kenya (SLEEK) is a national program that was designed to estimate emissions using medium-resolution imagery (Landsat) from land cover change maps (1990-2018).</w:t>
      </w:r>
    </w:p>
    <w:p>
      <w:pPr>
        <w:pStyle w:val="Normal"/>
        <w:rPr>
          <w:rFonts w:ascii="Cambria" w:hAnsi="Cambria"/>
        </w:rPr>
      </w:pPr>
      <w:r>
        <w:rPr>
          <w:rFonts w:eastAsia="Overlock" w:cs="Overlock" w:ascii="Cambria" w:hAnsi="Cambria"/>
          <w:b/>
          <w:bCs/>
          <w:sz w:val="24"/>
          <w:szCs w:val="24"/>
        </w:rPr>
        <w:t xml:space="preserve">System of National Accounts (SNA): </w:t>
      </w:r>
      <w:r>
        <w:rPr>
          <w:rFonts w:eastAsia="Overlock" w:cs="Overlock" w:ascii="Cambria" w:hAnsi="Cambria"/>
          <w:sz w:val="24"/>
          <w:szCs w:val="24"/>
        </w:rPr>
        <w:t>The internationally agreed standard set of recommendations on how to compile measures of economic activity in accordance with strict accounting conventions based on economic principles (SNA, 2008). The SNA provides a comprehensive and detailed record of the complex economic activities taking place within an economy and of the interaction between the different economic agents, and groups of agents, that takes place on markets or elsewhere (SNA, 2008).</w:t>
      </w:r>
    </w:p>
    <w:p>
      <w:pPr>
        <w:pStyle w:val="Normal"/>
        <w:rPr>
          <w:rFonts w:ascii="Cambria" w:hAnsi="Cambria"/>
        </w:rPr>
      </w:pPr>
      <w:r>
        <w:rPr>
          <w:rFonts w:eastAsia="Overlock" w:cs="Overlock" w:ascii="Cambria" w:hAnsi="Cambria"/>
          <w:b/>
          <w:bCs/>
          <w:sz w:val="24"/>
          <w:szCs w:val="24"/>
        </w:rPr>
        <w:t>Social Discount Rate:</w:t>
      </w:r>
      <w:r>
        <w:rPr>
          <w:rFonts w:eastAsia="Overlock" w:cs="Overlock" w:ascii="Cambria" w:hAnsi="Cambria"/>
          <w:sz w:val="24"/>
          <w:szCs w:val="24"/>
        </w:rPr>
        <w:t xml:space="preserve"> A lower discount rate used for public policy to give greater weight to future generations’ benefits. </w:t>
      </w:r>
    </w:p>
    <w:p>
      <w:pPr>
        <w:pStyle w:val="Normal"/>
        <w:rPr>
          <w:rFonts w:ascii="Cambria" w:hAnsi="Cambria"/>
        </w:rPr>
      </w:pPr>
      <w:r>
        <w:rPr>
          <w:rFonts w:eastAsia="Overlock" w:cs="Overlock" w:ascii="Cambria" w:hAnsi="Cambria"/>
          <w:b/>
          <w:bCs/>
          <w:sz w:val="24"/>
          <w:szCs w:val="24"/>
        </w:rPr>
        <w:t>Spatial Disaggregation:</w:t>
      </w:r>
      <w:r>
        <w:rPr>
          <w:rFonts w:eastAsia="Overlock" w:cs="Overlock" w:ascii="Cambria" w:hAnsi="Cambria"/>
          <w:sz w:val="24"/>
          <w:szCs w:val="24"/>
        </w:rPr>
        <w:t xml:space="preserve"> The process of breaking down data to smaller geographic units (e.g., counties or sub-counties) to support localised analysis and decision-making.</w:t>
      </w:r>
    </w:p>
    <w:p>
      <w:pPr>
        <w:pStyle w:val="Normal"/>
        <w:rPr>
          <w:rFonts w:ascii="Cambria" w:hAnsi="Cambria"/>
        </w:rPr>
      </w:pPr>
      <w:r>
        <w:rPr>
          <w:rFonts w:eastAsia="Overlock" w:cs="Overlock" w:ascii="Cambria" w:hAnsi="Cambria"/>
          <w:b/>
          <w:bCs/>
          <w:sz w:val="24"/>
          <w:szCs w:val="24"/>
        </w:rPr>
        <w:t xml:space="preserve">Supply and Use Table (SUT): </w:t>
      </w:r>
      <w:r>
        <w:rPr>
          <w:rFonts w:eastAsia="Overlock" w:cs="Overlock" w:ascii="Cambria" w:hAnsi="Cambria"/>
          <w:sz w:val="24"/>
          <w:szCs w:val="24"/>
        </w:rPr>
        <w:t xml:space="preserve">A table that shows the supply of products from domestic production and imports and their use by industries, households, and exports, in monetary terms. </w:t>
      </w:r>
    </w:p>
    <w:p>
      <w:pPr>
        <w:pStyle w:val="Normal"/>
        <w:rPr>
          <w:rFonts w:ascii="Cambria" w:hAnsi="Cambria"/>
        </w:rPr>
      </w:pPr>
      <w:r>
        <w:rPr>
          <w:rFonts w:eastAsia="Overlock" w:cs="Overlock" w:ascii="Cambria" w:hAnsi="Cambria"/>
          <w:b/>
          <w:bCs/>
          <w:sz w:val="24"/>
          <w:szCs w:val="24"/>
        </w:rPr>
        <w:t>Technical Working Group (TWG):</w:t>
      </w:r>
      <w:r>
        <w:rPr>
          <w:rFonts w:eastAsia="Overlock" w:cs="Overlock" w:ascii="Cambria" w:hAnsi="Cambria"/>
          <w:sz w:val="24"/>
          <w:szCs w:val="24"/>
        </w:rPr>
        <w:t xml:space="preserve"> A multi-agency body responsible for the coordination, development and validation of natural capital accounts, such as those for land, water or ecosystems. </w:t>
      </w:r>
    </w:p>
    <w:p>
      <w:pPr>
        <w:pStyle w:val="Normal"/>
        <w:rPr>
          <w:rFonts w:ascii="Cambria" w:hAnsi="Cambria"/>
        </w:rPr>
      </w:pPr>
      <w:r>
        <w:rPr>
          <w:rFonts w:eastAsia="Overlock" w:cs="Overlock" w:ascii="Cambria" w:hAnsi="Cambria"/>
          <w:b/>
          <w:bCs/>
          <w:sz w:val="24"/>
          <w:szCs w:val="24"/>
        </w:rPr>
        <w:t>Welfare Value:</w:t>
      </w:r>
      <w:r>
        <w:rPr>
          <w:rFonts w:eastAsia="Overlock" w:cs="Overlock" w:ascii="Cambria" w:hAnsi="Cambria"/>
          <w:sz w:val="24"/>
          <w:szCs w:val="24"/>
        </w:rPr>
        <w:t xml:space="preserve"> The broader value of goods and services, including consumer surplus, beyond their market value (not used in SEEA accounts).</w:t>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eastAsia="Overlock" w:cs="Overlock"/>
          <w:color w:val="0F4761"/>
          <w:sz w:val="32"/>
          <w:szCs w:val="32"/>
        </w:rPr>
      </w:pPr>
      <w:r>
        <w:rPr>
          <w:rFonts w:eastAsia="Overlock" w:cs="Overlock" w:ascii="Cambria" w:hAnsi="Cambria"/>
          <w:color w:val="0F4761"/>
          <w:sz w:val="32"/>
          <w:szCs w:val="32"/>
        </w:rPr>
      </w:r>
      <w:r>
        <w:br w:type="page"/>
      </w:r>
    </w:p>
    <w:p>
      <w:pPr>
        <w:pStyle w:val="Heading1"/>
        <w:rPr>
          <w:rFonts w:eastAsia="Overlock" w:cs="Overlock"/>
          <w:b/>
          <w:bCs/>
        </w:rPr>
      </w:pPr>
      <w:bookmarkStart w:id="3" w:name="_heading=h.saqilc4brvpx"/>
      <w:bookmarkEnd w:id="3"/>
      <w:r>
        <w:rPr>
          <w:rFonts w:eastAsia="Overlock" w:cs="Overlock" w:ascii="Cambria" w:hAnsi="Cambria"/>
          <w:b/>
          <w:bCs/>
        </w:rPr>
        <w:t>Foreword</w:t>
      </w:r>
    </w:p>
    <w:p>
      <w:pPr>
        <w:pStyle w:val="Normal"/>
        <w:spacing w:before="240" w:after="240"/>
        <w:rPr>
          <w:rFonts w:ascii="Cambria" w:hAnsi="Cambria"/>
        </w:rPr>
      </w:pPr>
      <w:r>
        <w:rPr>
          <w:rFonts w:eastAsia="Overlock" w:cs="Overlock" w:ascii="Cambria" w:hAnsi="Cambria"/>
          <w:sz w:val="24"/>
          <w:szCs w:val="24"/>
        </w:rPr>
        <w:t>The Kenya National Bureau of Statistics (KNBS) is pleased to present the report on Kenya's Natural Capital Accounts for Forests, developed in collaboration with the State Department for Economic Planning and our development partners. This report represents a significant milestone in Kenya's efforts to integrate environmental sustainability into economic planning and decision-making. Forests constitute a critical component of Kenya's natural capital, providing essential ecosystem services including water regulation, carbon sequestration, biodiversity conservation, and livelihoods for millions of Kenyans. Despite their importance, the true value of forests and the services they provide have remained largely invisible in our national economic accounts.</w:t>
      </w:r>
    </w:p>
    <w:p>
      <w:pPr>
        <w:pStyle w:val="Normal"/>
        <w:spacing w:before="240" w:after="240"/>
        <w:rPr>
          <w:rFonts w:ascii="Cambria" w:hAnsi="Cambria"/>
        </w:rPr>
      </w:pPr>
      <w:r>
        <w:rPr>
          <w:rFonts w:eastAsia="Overlock" w:cs="Overlock" w:ascii="Cambria" w:hAnsi="Cambria"/>
          <w:sz w:val="24"/>
          <w:szCs w:val="24"/>
        </w:rPr>
        <w:t>This report follows the internationally recognized System of Environmental-Economic Accounting (SEEA) framework, adopted by the United Nations Statistical Commission, thus ensuring Kenya's forest accounts are not only scientifically robust but also internationally comparable. The development of the forest accounts builds on Kenya's pioneering work in Environmental-Economic Accounting that began in 2017 with a pilot report on Energy accounts. Over time, the Bureau has progressively expanded the natural capital accounting framework across water, energy, land, ecosystems, and forests. The formal adoption of the National Plan for Advancing Environmental-Economic Accounting (NP-AEEA) 2025-2028, in July 2025, established a clear national roadmap for institutionalizing natural capital accounting across the six priority sectors.</w:t>
      </w:r>
    </w:p>
    <w:p>
      <w:pPr>
        <w:pStyle w:val="Normal"/>
        <w:spacing w:before="240" w:after="240"/>
        <w:rPr>
          <w:rFonts w:ascii="Cambria" w:hAnsi="Cambria"/>
        </w:rPr>
      </w:pPr>
      <w:r>
        <w:rPr>
          <w:rFonts w:eastAsia="Overlock" w:cs="Overlock" w:ascii="Cambria" w:hAnsi="Cambria"/>
          <w:sz w:val="24"/>
          <w:szCs w:val="24"/>
        </w:rPr>
        <w:t>The findings of this report have direct relevance for Kenya's national development priorities. The forest accounts provide critical inputs for our Vision 2030 development blueprint and the Bottom-Up Economic Transformation Agenda. They support our commitments under international frameworks, including the Sustainable Development Goals, the Paris Agreement on Climate Change, and the Global Biodiversity Framework.</w:t>
      </w:r>
    </w:p>
    <w:p>
      <w:pPr>
        <w:pStyle w:val="Normal"/>
        <w:spacing w:before="240" w:after="240"/>
        <w:rPr>
          <w:rFonts w:ascii="Cambria" w:hAnsi="Cambria"/>
        </w:rPr>
      </w:pPr>
      <w:r>
        <w:rPr>
          <w:rFonts w:eastAsia="Overlock" w:cs="Overlock" w:ascii="Cambria" w:hAnsi="Cambria"/>
          <w:sz w:val="24"/>
          <w:szCs w:val="24"/>
        </w:rPr>
        <w:t>The analysis also establishes a clear link between forest conservation and broader economic outcomes. The integration of these forest accounts into Kenya's macro-fiscal modeling through the enhanced Kenya Macroeconomic and Fiscal Model (KENMOD) allows us to quantify the macroeconomic impacts of climate shocks on forests and to assess the benefits and trade-offs of green fiscal measures and forest restoration investments. As such, strengthening the evidence base for aligning fiscal policy with climate and environmental objectives. The report further provides insights aimed at strengthening forest management and governance in Kenya.</w:t>
      </w:r>
    </w:p>
    <w:p>
      <w:pPr>
        <w:pStyle w:val="Normal"/>
        <w:spacing w:before="240" w:after="240"/>
        <w:rPr>
          <w:rFonts w:ascii="Cambria" w:hAnsi="Cambria"/>
        </w:rPr>
      </w:pPr>
      <w:r>
        <w:rPr>
          <w:rFonts w:eastAsia="Overlock" w:cs="Overlock" w:ascii="Cambria" w:hAnsi="Cambria"/>
          <w:sz w:val="24"/>
          <w:szCs w:val="24"/>
        </w:rPr>
        <w:t>As we implement the NP-AEEA over the coming years, these forest accounts will be produced regularly, enabling us to track progress and ensure accountability in natural resource governance. This regular reporting cycle will also provide opportunities for continuous refinement of methodologies, enhancement of data quality, and strengthening of institutional technical capacity as implementation of the natural capital accounting framework advances. It is our hope that this report will serve as a resource for policymakers, researchers, and stakeholders as we collectively work toward achieving sustainable forest management and environmental stewardship.</w:t>
      </w:r>
    </w:p>
    <w:p>
      <w:pPr>
        <w:pStyle w:val="Normal"/>
        <w:spacing w:before="240" w:after="240"/>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b/>
          <w:bCs/>
          <w:sz w:val="24"/>
          <w:szCs w:val="24"/>
        </w:rPr>
        <w:t xml:space="preserve">Macdonald George Obudho, PhD, EBS, MBS </w:t>
      </w:r>
    </w:p>
    <w:p>
      <w:pPr>
        <w:pStyle w:val="Normal"/>
        <w:rPr>
          <w:rFonts w:ascii="Cambria" w:hAnsi="Cambria"/>
        </w:rPr>
      </w:pPr>
      <w:r>
        <w:rPr>
          <w:rFonts w:eastAsia="Overlock" w:cs="Overlock" w:ascii="Cambria" w:hAnsi="Cambria"/>
          <w:b/>
          <w:bCs/>
          <w:sz w:val="24"/>
          <w:szCs w:val="24"/>
        </w:rPr>
        <w:t xml:space="preserve">DIRECTOR GENERAL </w:t>
      </w:r>
    </w:p>
    <w:p>
      <w:pPr>
        <w:pStyle w:val="Normal"/>
        <w:rPr>
          <w:rFonts w:ascii="Cambria" w:hAnsi="Cambria"/>
        </w:rPr>
      </w:pPr>
      <w:r>
        <w:rPr>
          <w:rFonts w:eastAsia="Overlock" w:cs="Overlock" w:ascii="Cambria" w:hAnsi="Cambria"/>
          <w:b/>
          <w:bCs/>
          <w:sz w:val="24"/>
          <w:szCs w:val="24"/>
        </w:rPr>
        <w:t>KENYA NATIONAL BUREAU OF STATISTICS</w:t>
      </w:r>
    </w:p>
    <w:p>
      <w:pPr>
        <w:pStyle w:val="Normal"/>
        <w:rPr>
          <w:rFonts w:ascii="Cambria" w:hAnsi="Cambria"/>
          <w:color w:val="FF0000"/>
        </w:rPr>
      </w:pPr>
      <w:r>
        <w:rPr>
          <w:rFonts w:ascii="Cambria" w:hAnsi="Cambria"/>
          <w:color w:val="FF0000"/>
        </w:rPr>
      </w:r>
    </w:p>
    <w:p>
      <w:pPr>
        <w:pStyle w:val="Normal"/>
        <w:rPr>
          <w:rFonts w:ascii="Cambria" w:hAnsi="Cambria" w:eastAsia="Overlock" w:cs="Overlock"/>
        </w:rPr>
      </w:pPr>
      <w:r>
        <w:rPr>
          <w:rFonts w:eastAsia="Overlock" w:cs="Overlock" w:ascii="Cambria" w:hAnsi="Cambria"/>
        </w:rPr>
      </w:r>
    </w:p>
    <w:p>
      <w:pPr>
        <w:pStyle w:val="Normal"/>
        <w:ind w:end="-270"/>
        <w:rPr>
          <w:rFonts w:ascii="Cambria" w:hAnsi="Cambria" w:eastAsia="Overlock" w:cs="Overlock"/>
        </w:rPr>
      </w:pPr>
      <w:r>
        <w:rPr>
          <w:rFonts w:eastAsia="Overlock" w:cs="Overlock" w:ascii="Cambria" w:hAnsi="Cambria"/>
        </w:rPr>
      </w:r>
      <w:r>
        <w:br w:type="page"/>
      </w:r>
    </w:p>
    <w:p>
      <w:pPr>
        <w:pStyle w:val="Normal"/>
        <w:spacing w:before="0" w:after="0"/>
        <w:rPr>
          <w:rFonts w:ascii="Cambria" w:hAnsi="Cambria"/>
        </w:rPr>
      </w:pPr>
      <w:r>
        <w:rPr>
          <w:rFonts w:eastAsia="Overlock" w:cs="Overlock" w:ascii="Cambria" w:hAnsi="Cambria"/>
          <w:b/>
          <w:bCs/>
          <w:color w:val="0B5394"/>
          <w:sz w:val="40"/>
          <w:szCs w:val="40"/>
        </w:rPr>
        <w:t>Acknowledgements:</w:t>
      </w:r>
    </w:p>
    <w:p>
      <w:pPr>
        <w:pStyle w:val="Normal"/>
        <w:spacing w:before="120" w:after="0"/>
        <w:ind w:start="360" w:end="340"/>
        <w:rPr>
          <w:rFonts w:ascii="Cambria" w:hAnsi="Cambria"/>
        </w:rPr>
      </w:pPr>
      <w:r>
        <w:rPr>
          <w:rFonts w:eastAsia="Overlock" w:cs="Overlock" w:ascii="Cambria" w:hAnsi="Cambria"/>
          <w:sz w:val="24"/>
          <w:szCs w:val="24"/>
        </w:rPr>
        <w:t>This report is the product of a collaborative effort between the Kenya National Bureau of Statistics (KNBS), the State Department for Economic Planning, Kenya Forest Service and Kenya Forestry Research Institute (in the State Department of Forestry, Ministry of Environment, Climate Change and Forestry) and our development partners. I extend my sincere appreciation to all the teams and individuals whose invaluable contributions made this work possible.</w:t>
      </w:r>
    </w:p>
    <w:p>
      <w:pPr>
        <w:pStyle w:val="Normal"/>
        <w:spacing w:before="120" w:after="0"/>
        <w:ind w:start="360" w:end="340"/>
        <w:rPr>
          <w:rFonts w:ascii="Cambria" w:hAnsi="Cambria" w:eastAsia="Overlock" w:cs="Overlock"/>
          <w:sz w:val="24"/>
          <w:szCs w:val="24"/>
        </w:rPr>
      </w:pPr>
      <w:r>
        <w:rPr>
          <w:rFonts w:eastAsia="Overlock" w:cs="Overlock" w:ascii="Cambria" w:hAnsi="Cambria"/>
          <w:sz w:val="24"/>
          <w:szCs w:val="24"/>
        </w:rPr>
      </w:r>
    </w:p>
    <w:p>
      <w:pPr>
        <w:pStyle w:val="Normal"/>
        <w:spacing w:before="120" w:after="0"/>
        <w:ind w:start="360" w:end="340"/>
        <w:rPr>
          <w:rFonts w:ascii="Cambria" w:hAnsi="Cambria"/>
        </w:rPr>
      </w:pPr>
      <w:r>
        <w:rPr>
          <w:rFonts w:eastAsia="Overlock" w:cs="Overlock" w:ascii="Cambria" w:hAnsi="Cambria"/>
          <w:sz w:val="24"/>
          <w:szCs w:val="24"/>
        </w:rPr>
        <w:t>The State Department for Economic Planning, under the leadership of Principal Secretary Dr. Bonface Makokha, has been instrumental in championing the institutionalization of natural capital accounting in Kenya and ensuring alignment with national development priorities. The formation of the National Steering Committee has ensured high-level coordination across government agencies.</w:t>
      </w:r>
    </w:p>
    <w:p>
      <w:pPr>
        <w:pStyle w:val="Normal"/>
        <w:spacing w:before="120" w:after="0"/>
        <w:ind w:start="360" w:end="340"/>
        <w:rPr>
          <w:rFonts w:ascii="Cambria" w:hAnsi="Cambria" w:eastAsia="Overlock" w:cs="Overlock"/>
          <w:sz w:val="24"/>
          <w:szCs w:val="24"/>
        </w:rPr>
      </w:pPr>
      <w:r>
        <w:rPr>
          <w:rFonts w:eastAsia="Overlock" w:cs="Overlock" w:ascii="Cambria" w:hAnsi="Cambria"/>
          <w:sz w:val="24"/>
          <w:szCs w:val="24"/>
        </w:rPr>
      </w:r>
    </w:p>
    <w:p>
      <w:pPr>
        <w:pStyle w:val="Normal"/>
        <w:spacing w:before="120" w:after="0"/>
        <w:ind w:start="360" w:end="340"/>
        <w:rPr>
          <w:rFonts w:ascii="Cambria" w:hAnsi="Cambria"/>
        </w:rPr>
      </w:pPr>
      <w:r>
        <w:rPr>
          <w:rFonts w:eastAsia="Overlock" w:cs="Overlock" w:ascii="Cambria" w:hAnsi="Cambria"/>
          <w:sz w:val="24"/>
          <w:szCs w:val="24"/>
        </w:rPr>
        <w:t>I acknowledge the Kenya National Bureau of Statistics (KNBS) for the leadership and technical support throughout the development of this report. I wish to applaud the KNBS Directors, notably Mr. Robert Nderitu .…. , for their dedicated leadership in constituting the technical working group, validation of the findings of the study, as well as for their technical guidance and encouragement throughout the entire report preparation process. I extend special thanks .</w:t>
      </w:r>
    </w:p>
    <w:p>
      <w:pPr>
        <w:pStyle w:val="Normal"/>
        <w:spacing w:before="120" w:after="0"/>
        <w:ind w:start="360" w:end="340"/>
        <w:rPr>
          <w:rFonts w:ascii="Cambria" w:hAnsi="Cambria" w:eastAsia="Overlock" w:cs="Overlock"/>
          <w:sz w:val="24"/>
          <w:szCs w:val="24"/>
        </w:rPr>
      </w:pPr>
      <w:r>
        <w:rPr>
          <w:rFonts w:eastAsia="Overlock" w:cs="Overlock" w:ascii="Cambria" w:hAnsi="Cambria"/>
          <w:sz w:val="24"/>
          <w:szCs w:val="24"/>
        </w:rPr>
      </w:r>
    </w:p>
    <w:p>
      <w:pPr>
        <w:pStyle w:val="Normal"/>
        <w:spacing w:before="120" w:after="0"/>
        <w:ind w:start="360" w:end="340"/>
        <w:rPr>
          <w:rFonts w:ascii="Cambria" w:hAnsi="Cambria"/>
        </w:rPr>
      </w:pPr>
      <w:r>
        <w:rPr>
          <w:rFonts w:eastAsia="Overlock" w:cs="Overlock" w:ascii="Cambria" w:hAnsi="Cambria"/>
          <w:sz w:val="24"/>
          <w:szCs w:val="24"/>
        </w:rPr>
        <w:t xml:space="preserve">I acknowledge tireless efforts of the members of the technical committee in consolidating data and write up of the document.  </w:t>
      </w:r>
    </w:p>
    <w:p>
      <w:pPr>
        <w:pStyle w:val="Normal"/>
        <w:spacing w:before="240" w:after="240"/>
        <w:ind w:start="-270" w:end="-810"/>
        <w:rPr>
          <w:rFonts w:ascii="Cambria" w:hAnsi="Cambria" w:eastAsia="Overlock" w:cs="Overlock"/>
          <w:sz w:val="28"/>
          <w:szCs w:val="28"/>
        </w:rPr>
      </w:pPr>
      <w:r>
        <w:rPr>
          <w:rFonts w:eastAsia="Overlock" w:cs="Overlock" w:ascii="Cambria" w:hAnsi="Cambria"/>
          <w:sz w:val="28"/>
          <w:szCs w:val="28"/>
        </w:rPr>
      </w:r>
    </w:p>
    <w:p>
      <w:pPr>
        <w:pStyle w:val="Normal"/>
        <w:spacing w:before="240" w:after="240"/>
        <w:ind w:start="-270" w:end="-810"/>
        <w:rPr>
          <w:rFonts w:ascii="Cambria" w:hAnsi="Cambria" w:eastAsia="Overlock" w:cs="Overlock"/>
          <w:sz w:val="28"/>
          <w:szCs w:val="28"/>
        </w:rPr>
      </w:pPr>
      <w:r>
        <w:rPr>
          <w:rFonts w:eastAsia="Overlock" w:cs="Overlock" w:ascii="Cambria" w:hAnsi="Cambria"/>
          <w:sz w:val="28"/>
          <w:szCs w:val="28"/>
        </w:rPr>
      </w:r>
      <w:r>
        <w:br w:type="page"/>
      </w:r>
    </w:p>
    <w:p>
      <w:pPr>
        <w:pStyle w:val="Normal"/>
        <w:spacing w:before="0" w:after="0"/>
        <w:rPr>
          <w:rFonts w:ascii="Cambria" w:hAnsi="Cambria"/>
        </w:rPr>
      </w:pPr>
      <w:r>
        <w:rPr>
          <w:rFonts w:eastAsia="Overlock" w:cs="Overlock" w:ascii="Cambria" w:hAnsi="Cambria"/>
        </w:rPr>
        <w:t xml:space="preserve">     </w:t>
      </w:r>
    </w:p>
    <w:p>
      <w:pPr>
        <w:pStyle w:val="Heading1"/>
        <w:rPr>
          <w:rFonts w:eastAsia="Overlock" w:cs="Overlock"/>
          <w:b/>
          <w:bCs/>
        </w:rPr>
      </w:pPr>
      <w:bookmarkStart w:id="4" w:name="_heading=h.gttl44fwl1ws"/>
      <w:bookmarkEnd w:id="4"/>
      <w:r>
        <w:rPr>
          <w:rFonts w:eastAsia="Overlock" w:cs="Overlock" w:ascii="Cambria" w:hAnsi="Cambria"/>
          <w:b/>
          <w:bCs/>
        </w:rPr>
        <w:t>Executive Summary</w:t>
      </w:r>
    </w:p>
    <w:p>
      <w:pPr>
        <w:pStyle w:val="Normal"/>
        <w:rPr>
          <w:rFonts w:ascii="Cambria" w:hAnsi="Cambria" w:eastAsia="Overlock" w:cs="Overlock"/>
        </w:rPr>
      </w:pPr>
      <w:r>
        <w:rPr>
          <w:rFonts w:eastAsia="Overlock" w:cs="Overlock" w:ascii="Cambria" w:hAnsi="Cambria"/>
        </w:rPr>
      </w:r>
    </w:p>
    <w:p>
      <w:pPr>
        <w:pStyle w:val="Normal"/>
        <w:rPr>
          <w:rFonts w:ascii="Cambria" w:hAnsi="Cambria"/>
        </w:rPr>
      </w:pPr>
      <w:r>
        <w:rPr>
          <w:rFonts w:eastAsia="Overlock" w:cs="Overlock" w:ascii="Cambria" w:hAnsi="Cambria"/>
          <w:b/>
          <w:bCs/>
          <w:color w:val="C00000"/>
          <w:sz w:val="28"/>
          <w:szCs w:val="28"/>
        </w:rPr>
        <w:t>Dr. Kinyanjui</w:t>
      </w:r>
    </w:p>
    <w:p>
      <w:pPr>
        <w:pStyle w:val="Normal"/>
        <w:rPr>
          <w:rFonts w:ascii="Cambria" w:hAnsi="Cambria" w:eastAsia="Overlock" w:cs="Overlock"/>
        </w:rPr>
      </w:pPr>
      <w:r>
        <w:rPr>
          <w:rFonts w:eastAsia="Overlock" w:cs="Overlock" w:ascii="Cambria" w:hAnsi="Cambria"/>
        </w:rPr>
      </w:r>
    </w:p>
    <w:p>
      <w:pPr>
        <w:pStyle w:val="Normal"/>
        <w:rPr>
          <w:rFonts w:ascii="Cambria" w:hAnsi="Cambria" w:eastAsia="Overlock" w:cs="Overlock"/>
        </w:rPr>
      </w:pPr>
      <w:r>
        <w:rPr>
          <w:rFonts w:eastAsia="Overlock" w:cs="Overlock" w:ascii="Cambria" w:hAnsi="Cambria"/>
        </w:rPr>
      </w:r>
    </w:p>
    <w:p>
      <w:pPr>
        <w:pStyle w:val="Normal"/>
        <w:rPr>
          <w:rFonts w:ascii="Cambria" w:hAnsi="Cambria" w:eastAsia="Overlock" w:cs="Overlock"/>
          <w:color w:val="FF0000"/>
        </w:rPr>
      </w:pPr>
      <w:r>
        <w:rPr>
          <w:rFonts w:eastAsia="Overlock" w:cs="Overlock" w:ascii="Cambria" w:hAnsi="Cambria"/>
          <w:color w:val="FF0000"/>
        </w:rPr>
      </w:r>
    </w:p>
    <w:p>
      <w:pPr>
        <w:pStyle w:val="Normal"/>
        <w:rPr>
          <w:rFonts w:ascii="Cambria" w:hAnsi="Cambria" w:eastAsia="Overlock" w:cs="Overlock"/>
        </w:rPr>
      </w:pPr>
      <w:r>
        <w:rPr>
          <w:rFonts w:eastAsia="Overlock" w:cs="Overlock" w:ascii="Cambria" w:hAnsi="Cambria"/>
        </w:rPr>
      </w:r>
    </w:p>
    <w:p>
      <w:pPr>
        <w:pStyle w:val="Normal"/>
        <w:rPr>
          <w:rFonts w:ascii="Cambria" w:hAnsi="Cambria" w:eastAsia="Overlock" w:cs="Overlock"/>
        </w:rPr>
      </w:pPr>
      <w:r>
        <w:rPr>
          <w:rFonts w:eastAsia="Overlock" w:cs="Overlock" w:ascii="Cambria" w:hAnsi="Cambria"/>
        </w:rPr>
      </w:r>
      <w:r>
        <w:br w:type="page"/>
      </w:r>
    </w:p>
    <w:p>
      <w:pPr>
        <w:pStyle w:val="Heading1"/>
        <w:numPr>
          <w:ilvl w:val="0"/>
          <w:numId w:val="10"/>
        </w:numPr>
        <w:rPr>
          <w:rFonts w:eastAsia="Overlock" w:cs="Overlock"/>
          <w:b/>
          <w:bCs/>
          <w:sz w:val="36"/>
          <w:szCs w:val="36"/>
        </w:rPr>
      </w:pPr>
      <w:bookmarkStart w:id="5" w:name="_heading=h.xjuv3yx2k9k"/>
      <w:bookmarkEnd w:id="5"/>
      <w:r>
        <w:rPr>
          <w:rFonts w:eastAsia="Overlock" w:cs="Overlock" w:ascii="Cambria" w:hAnsi="Cambria"/>
          <w:b/>
          <w:bCs/>
          <w:sz w:val="36"/>
          <w:szCs w:val="36"/>
        </w:rPr>
        <w:t>Introduction</w:t>
      </w:r>
    </w:p>
    <w:p>
      <w:pPr>
        <w:pStyle w:val="Heading2"/>
        <w:rPr>
          <w:b w:val="false"/>
          <w:bCs w:val="false"/>
        </w:rPr>
      </w:pPr>
      <w:bookmarkStart w:id="6" w:name="_heading=h.ktjct41hz336"/>
      <w:bookmarkEnd w:id="6"/>
      <w:r>
        <w:rPr>
          <w:rFonts w:ascii="Cambria" w:hAnsi="Cambria"/>
          <w:sz w:val="28"/>
          <w:szCs w:val="28"/>
        </w:rPr>
        <w:t>1.1.</w:t>
      </w:r>
      <w:r>
        <w:rPr>
          <w:rFonts w:ascii="Cambria" w:hAnsi="Cambria"/>
        </w:rPr>
        <w:t xml:space="preserve">      Introduction</w:t>
      </w:r>
    </w:p>
    <w:p>
      <w:pPr>
        <w:pStyle w:val="Normal"/>
        <w:spacing w:before="120" w:after="0"/>
        <w:ind w:start="360" w:end="340"/>
        <w:rPr>
          <w:rFonts w:ascii="Cambria" w:hAnsi="Cambria"/>
        </w:rPr>
      </w:pPr>
      <w:r>
        <w:rPr>
          <w:rFonts w:eastAsia="Overlock" w:cs="Overlock" w:ascii="Cambria" w:hAnsi="Cambria"/>
          <w:sz w:val="24"/>
          <w:szCs w:val="24"/>
        </w:rPr>
        <w:t>Forests are a vital part of Kenya’s natural capital, supporting the economy, climate resilience, and livelihoods. They provide goods such as timber, fuel wood, honey, and medicinal plants, which are critical for both formal industries and household needs. Forests also deliver essential ecosystem services — including carbon sequestration, water regulation, soil erosion control, and cultural and recreational opportunities — that sustain agriculture, energy, biodiversity, and human well-being. These contributions make forests central to Kenya’s sustainable development agenda and its national and international commitments, including Vision 2030, the Nationally Determined Contributions (NDCs), and the AFR100 restoration initiative.</w:t>
      </w:r>
    </w:p>
    <w:p>
      <w:pPr>
        <w:pStyle w:val="Normal"/>
        <w:spacing w:before="120" w:after="0"/>
        <w:ind w:start="360" w:end="340"/>
        <w:rPr>
          <w:rFonts w:ascii="Cambria" w:hAnsi="Cambria"/>
        </w:rPr>
      </w:pPr>
      <w:r>
        <w:rPr>
          <w:rFonts w:eastAsia="Overlock" w:cs="Overlock" w:ascii="Cambria" w:hAnsi="Cambria"/>
          <w:sz w:val="24"/>
          <w:szCs w:val="24"/>
        </w:rPr>
        <w:t>Despite this importance, forests remain undervalued in Kenya’s official statistics. Conventional accounts, based on the System of National Accounts (SNA), recognize only a limited set of marketed products like timber and charcoal, overlooking the wider ecosystem services that forests provide. This gap in measurement can lead to decisions that underestimate the economic and social costs of deforestation and the benefits of restoration and sustainable management.</w:t>
      </w:r>
    </w:p>
    <w:p>
      <w:pPr>
        <w:pStyle w:val="Normal"/>
        <w:spacing w:before="120" w:after="0"/>
        <w:ind w:start="360" w:end="340"/>
        <w:rPr>
          <w:rFonts w:ascii="Cambria" w:hAnsi="Cambria"/>
        </w:rPr>
      </w:pPr>
      <w:r>
        <w:rPr>
          <w:rFonts w:eastAsia="Overlock" w:cs="Overlock" w:ascii="Cambria" w:hAnsi="Cambria"/>
          <w:sz w:val="24"/>
          <w:szCs w:val="24"/>
        </w:rPr>
        <w:t>This document introduces the internationally recognized System of Environmental-Economic Accounting (SEEA) as a framework for compiling more comprehensive forest accounts. It explains the concepts, structure, and policy relevance of SEEA forest accounts, describes the current data situation in Kenya, and identifies steps toward developing physical, monetary, and ecosystem accounts for forests.</w:t>
      </w:r>
    </w:p>
    <w:p>
      <w:pPr>
        <w:pStyle w:val="Normal"/>
        <w:spacing w:before="120" w:after="0"/>
        <w:ind w:start="360" w:end="340"/>
        <w:rPr>
          <w:rFonts w:ascii="Cambria" w:hAnsi="Cambria" w:eastAsia="Overlock" w:cs="Overlock"/>
          <w:sz w:val="24"/>
          <w:szCs w:val="24"/>
        </w:rPr>
      </w:pPr>
      <w:r>
        <w:rPr>
          <w:rFonts w:eastAsia="Overlock" w:cs="Overlock" w:ascii="Cambria" w:hAnsi="Cambria"/>
          <w:sz w:val="24"/>
          <w:szCs w:val="24"/>
        </w:rPr>
      </w:r>
    </w:p>
    <w:p>
      <w:pPr>
        <w:pStyle w:val="Heading2"/>
        <w:rPr>
          <w:b w:val="false"/>
          <w:bCs w:val="false"/>
        </w:rPr>
      </w:pPr>
      <w:bookmarkStart w:id="7" w:name="_heading=h.rzrzngqt7ppx"/>
      <w:bookmarkEnd w:id="7"/>
      <w:r>
        <w:rPr>
          <w:rFonts w:ascii="Cambria" w:hAnsi="Cambria"/>
        </w:rPr>
        <w:t xml:space="preserve">1.2.     Background Information </w:t>
      </w:r>
    </w:p>
    <w:p>
      <w:pPr>
        <w:pStyle w:val="Normal"/>
        <w:spacing w:before="240" w:after="240"/>
        <w:rPr>
          <w:rFonts w:ascii="Cambria" w:hAnsi="Cambria"/>
        </w:rPr>
      </w:pPr>
      <w:r>
        <w:rPr>
          <w:rFonts w:eastAsia="Overlock" w:cs="Overlock" w:ascii="Cambria" w:hAnsi="Cambria"/>
          <w:sz w:val="24"/>
          <w:szCs w:val="24"/>
        </w:rPr>
        <w:t>Kenya has recently developed and adopted a National Plan for Advancing Environmental Economic Accounts (NPAEEA). The plan describes the conditions which make it critical to account for natural capital in a way that it is congruent with sustainable economic development and national planning. The plan, the first draft of which was conceived during a collaborative effort between the Kenya National Bureau of Statistics (KNBS) and the United Nations Statistics Division (UNSD) to develop environmental-economic accounts for Kenya in September 2023,</w:t>
      </w:r>
      <w:r>
        <w:rPr>
          <w:rFonts w:eastAsia="Overlock" w:cs="Overlock" w:ascii="Cambria" w:hAnsi="Cambria"/>
          <w:sz w:val="24"/>
          <w:szCs w:val="24"/>
          <w:vertAlign w:val="superscript"/>
        </w:rPr>
        <w:t>[1]</w:t>
      </w:r>
      <w:r>
        <w:rPr>
          <w:rFonts w:eastAsia="Overlock" w:cs="Overlock" w:ascii="Cambria" w:hAnsi="Cambria"/>
          <w:sz w:val="24"/>
          <w:szCs w:val="24"/>
        </w:rPr>
        <w:t xml:space="preserve"> identified as priority Water, Energy, Land, Forest and Ecosystem Accounts.</w:t>
      </w:r>
    </w:p>
    <w:p>
      <w:pPr>
        <w:pStyle w:val="Normal"/>
        <w:spacing w:before="240" w:after="240"/>
        <w:rPr>
          <w:rFonts w:ascii="Cambria" w:hAnsi="Cambria"/>
        </w:rPr>
      </w:pPr>
      <w:r>
        <w:rPr>
          <w:rFonts w:eastAsia="Overlock" w:cs="Overlock" w:ascii="Cambria" w:hAnsi="Cambria"/>
          <w:sz w:val="24"/>
          <w:szCs w:val="24"/>
        </w:rPr>
        <w:t>This technical report provides an overview of the development of Forest Accounts in Kenya. It begins with an introduction to the context, objectives, and significance of SEEA-aligned Forest Accounting within the broader framework of Kenya’s development plan. It then outlines the data sources and methodology used. The report proceeds to explain how national and county-level Forest Accounts were compiled and analyzed, followed by a presentation of key empirical results, in tables and graphics, including maps. The report also discusses current gaps in monetary and ownership accounts, before offering recommendations to improve technical methods, institutional coordination, and policy relevance.</w:t>
      </w:r>
    </w:p>
    <w:p>
      <w:pPr>
        <w:pStyle w:val="Heading2"/>
        <w:rPr>
          <w:rFonts w:ascii="Cambria" w:hAnsi="Cambria"/>
        </w:rPr>
      </w:pPr>
      <w:bookmarkStart w:id="8" w:name="_heading=h.ojbpht5w2row"/>
      <w:bookmarkEnd w:id="8"/>
      <w:r>
        <w:rPr>
          <w:rFonts w:ascii="Cambria" w:hAnsi="Cambria"/>
        </w:rPr>
        <w:t xml:space="preserve">1.3.  </w:t>
        <w:tab/>
        <w:t>Importance of Forest Accounts (Purpose and objectives)</w:t>
      </w:r>
    </w:p>
    <w:p>
      <w:pPr>
        <w:pStyle w:val="Normal"/>
        <w:numPr>
          <w:ilvl w:val="0"/>
          <w:numId w:val="8"/>
        </w:numPr>
        <w:spacing w:before="120" w:after="0"/>
        <w:ind w:hanging="360" w:start="720" w:end="340"/>
        <w:rPr>
          <w:rFonts w:ascii="Cambria" w:hAnsi="Cambria"/>
        </w:rPr>
      </w:pPr>
      <w:r>
        <w:rPr>
          <w:rFonts w:eastAsia="Overlock" w:cs="Overlock" w:ascii="Cambria" w:hAnsi="Cambria"/>
          <w:sz w:val="24"/>
          <w:szCs w:val="24"/>
        </w:rPr>
        <w:t>Forest accounting addresses key gaps in national statistics by integrating biophysical and economic data. It enables better monitoring of forest resources, supports sustainable management, and informs climate, development, and restoration policies. Forest accounting complements conventional macro-economic statistics by making the full value of forests visible to decision-makers. Consequently, SEEA provides standardized and internationally accepted methods, ensuring comparability and consistency.</w:t>
      </w:r>
    </w:p>
    <w:p>
      <w:pPr>
        <w:pStyle w:val="Normal"/>
        <w:numPr>
          <w:ilvl w:val="0"/>
          <w:numId w:val="8"/>
        </w:numPr>
        <w:ind w:hanging="360" w:start="720" w:end="340"/>
        <w:rPr>
          <w:rFonts w:ascii="Cambria" w:hAnsi="Cambria"/>
        </w:rPr>
      </w:pPr>
      <w:r>
        <w:rPr>
          <w:rFonts w:eastAsia="Overlock" w:cs="Overlock" w:ascii="Cambria" w:hAnsi="Cambria"/>
          <w:sz w:val="24"/>
          <w:szCs w:val="24"/>
        </w:rPr>
        <w:t>Forest accounting provides a systematic way to measure and report on the extent, condition, and use of forest resources — capturing both physical and monetary aspects. It supports a broad set of policy, management, and planning goals, including:</w:t>
      </w:r>
    </w:p>
    <w:p>
      <w:pPr>
        <w:pStyle w:val="Normal"/>
        <w:numPr>
          <w:ilvl w:val="0"/>
          <w:numId w:val="8"/>
        </w:numPr>
        <w:ind w:hanging="360" w:start="720" w:end="340"/>
        <w:rPr>
          <w:rFonts w:ascii="Cambria" w:hAnsi="Cambria"/>
        </w:rPr>
      </w:pPr>
      <w:r>
        <w:rPr>
          <w:rFonts w:eastAsia="Overlock" w:cs="Overlock" w:ascii="Cambria" w:hAnsi="Cambria"/>
          <w:sz w:val="24"/>
          <w:szCs w:val="24"/>
        </w:rPr>
        <w:t>Monitoring and managing natural capital: Forest accounts should provide a clear picture of how forest assets contribute to national wealth and how these assets change over time.</w:t>
      </w:r>
    </w:p>
    <w:p>
      <w:pPr>
        <w:pStyle w:val="Normal"/>
        <w:numPr>
          <w:ilvl w:val="0"/>
          <w:numId w:val="8"/>
        </w:numPr>
        <w:ind w:hanging="360" w:start="720" w:end="340"/>
        <w:rPr>
          <w:rFonts w:ascii="Cambria" w:hAnsi="Cambria"/>
        </w:rPr>
      </w:pPr>
      <w:r>
        <w:rPr>
          <w:rFonts w:eastAsia="Overlock" w:cs="Overlock" w:ascii="Cambria" w:hAnsi="Cambria"/>
          <w:sz w:val="24"/>
          <w:szCs w:val="24"/>
        </w:rPr>
        <w:t>Integrating environmental and economic data: Accounts should align biophysical data (e.g., forest area, harvested timber) with economic measures (e.g., value of timber output), enabling better-informed decisions.</w:t>
      </w:r>
    </w:p>
    <w:p>
      <w:pPr>
        <w:pStyle w:val="Normal"/>
        <w:numPr>
          <w:ilvl w:val="0"/>
          <w:numId w:val="8"/>
        </w:numPr>
        <w:ind w:hanging="360" w:start="720" w:end="340"/>
        <w:rPr>
          <w:rFonts w:ascii="Cambria" w:hAnsi="Cambria"/>
        </w:rPr>
      </w:pPr>
      <w:r>
        <w:rPr>
          <w:rFonts w:eastAsia="Overlock" w:cs="Overlock" w:ascii="Cambria" w:hAnsi="Cambria"/>
          <w:sz w:val="24"/>
          <w:szCs w:val="24"/>
        </w:rPr>
        <w:t>Improving data coherence: By using common classifications and accounting principles, forest accounts should overcome the fragmentation typical of standalone environmental datasets.</w:t>
      </w:r>
    </w:p>
    <w:p>
      <w:pPr>
        <w:pStyle w:val="Normal"/>
        <w:numPr>
          <w:ilvl w:val="0"/>
          <w:numId w:val="8"/>
        </w:numPr>
        <w:ind w:hanging="360" w:start="720" w:end="340"/>
        <w:rPr>
          <w:rFonts w:ascii="Cambria" w:hAnsi="Cambria"/>
        </w:rPr>
      </w:pPr>
      <w:r>
        <w:rPr>
          <w:rFonts w:eastAsia="Overlock" w:cs="Overlock" w:ascii="Cambria" w:hAnsi="Cambria"/>
          <w:sz w:val="24"/>
          <w:szCs w:val="24"/>
        </w:rPr>
        <w:t>Correcting the limitations of GDP: Traditional accounts often omit forest degradation and the value of non-market services such as carbon storage or erosion control.</w:t>
      </w:r>
    </w:p>
    <w:p>
      <w:pPr>
        <w:pStyle w:val="Normal"/>
        <w:numPr>
          <w:ilvl w:val="0"/>
          <w:numId w:val="8"/>
        </w:numPr>
        <w:ind w:hanging="360" w:start="720" w:end="340"/>
        <w:rPr>
          <w:rFonts w:ascii="Cambria" w:hAnsi="Cambria"/>
        </w:rPr>
      </w:pPr>
      <w:r>
        <w:rPr>
          <w:rFonts w:eastAsia="Overlock" w:cs="Overlock" w:ascii="Cambria" w:hAnsi="Cambria"/>
          <w:sz w:val="24"/>
          <w:szCs w:val="24"/>
        </w:rPr>
        <w:t>Supporting SDG and climate targets: Forest accounts contribute to monitoring SDG 15.2 (sustainable forest management) and global frameworks like REDD+ and the Global Biodiversity Framework.</w:t>
      </w:r>
    </w:p>
    <w:p>
      <w:pPr>
        <w:pStyle w:val="Normal"/>
        <w:numPr>
          <w:ilvl w:val="0"/>
          <w:numId w:val="8"/>
        </w:numPr>
        <w:ind w:hanging="360" w:start="720" w:end="340"/>
        <w:rPr>
          <w:rFonts w:ascii="Cambria" w:hAnsi="Cambria"/>
        </w:rPr>
      </w:pPr>
      <w:r>
        <w:rPr>
          <w:rFonts w:eastAsia="Overlock" w:cs="Overlock" w:ascii="Cambria" w:hAnsi="Cambria"/>
          <w:sz w:val="24"/>
          <w:szCs w:val="24"/>
        </w:rPr>
        <w:t>Identifying opportunities for job creation in sustainable forestry, restoration, and eco-tourism.</w:t>
      </w:r>
    </w:p>
    <w:p>
      <w:pPr>
        <w:pStyle w:val="Normal"/>
        <w:rPr>
          <w:rFonts w:ascii="Cambria" w:hAnsi="Cambria"/>
        </w:rPr>
      </w:pPr>
      <w:r>
        <w:rPr>
          <w:rFonts w:ascii="Cambria" w:hAnsi="Cambria"/>
        </w:rPr>
      </w:r>
    </w:p>
    <w:p>
      <w:pPr>
        <w:pStyle w:val="Heading2"/>
        <w:rPr>
          <w:rFonts w:ascii="Cambria" w:hAnsi="Cambria"/>
        </w:rPr>
      </w:pPr>
      <w:bookmarkStart w:id="9" w:name="_heading=h.rb81qzvv4qvo"/>
      <w:bookmarkEnd w:id="9"/>
      <w:r>
        <w:rPr>
          <w:rFonts w:ascii="Cambria" w:hAnsi="Cambria"/>
        </w:rPr>
        <w:t>1.4</w:t>
        <w:tab/>
        <w:t>The institutional and policy context for forest accounts</w:t>
      </w:r>
    </w:p>
    <w:p>
      <w:pPr>
        <w:pStyle w:val="Normal"/>
        <w:rPr>
          <w:rFonts w:ascii="Cambria" w:hAnsi="Cambria"/>
        </w:rPr>
      </w:pPr>
      <w:bookmarkStart w:id="10" w:name="_heading=h.2ijdv6wgtf18"/>
      <w:bookmarkEnd w:id="10"/>
      <w:r>
        <w:rPr>
          <w:rFonts w:eastAsia="Overlock" w:cs="Overlock" w:ascii="Cambria" w:hAnsi="Cambria"/>
          <w:sz w:val="24"/>
          <w:szCs w:val="24"/>
        </w:rPr>
        <w:t>The Forest accounts is anchored in the Constitution, sector laws, policy and guidelines as well as International Multilateral agreements. Key relevant policy, legislative and regulatory framework for NCA in Kenya is reviewed below.</w:t>
      </w:r>
    </w:p>
    <w:p>
      <w:pPr>
        <w:pStyle w:val="Heading3"/>
        <w:rPr>
          <w:rFonts w:eastAsia="Overlock" w:cs="Overlock"/>
          <w:color w:val="000000"/>
        </w:rPr>
      </w:pPr>
      <w:bookmarkStart w:id="11" w:name="_heading=h.sjyi1uibyywr"/>
      <w:bookmarkEnd w:id="11"/>
      <w:r>
        <w:rPr>
          <w:rFonts w:eastAsia="Overlock" w:cs="Overlock" w:ascii="Cambria" w:hAnsi="Cambria"/>
          <w:color w:val="000000"/>
        </w:rPr>
        <w:t>1.4.1. Constitution of Kenya 2010</w:t>
      </w:r>
    </w:p>
    <w:p>
      <w:pPr>
        <w:pStyle w:val="Normal"/>
        <w:spacing w:before="240" w:after="240"/>
        <w:rPr>
          <w:rFonts w:ascii="Cambria" w:hAnsi="Cambria"/>
        </w:rPr>
      </w:pPr>
      <w:r>
        <w:rPr>
          <w:rFonts w:eastAsia="Overlock" w:cs="Overlock" w:ascii="Cambria" w:hAnsi="Cambria"/>
          <w:sz w:val="24"/>
          <w:szCs w:val="24"/>
        </w:rPr>
        <w:t>The Preamble of the Constitution provides that the people of Kenya shall be RESPECTFUL of the environment, which is our heritage, and determined to sustain it for the benefit of future generations. Chapter 5 on land and environment article 60 outlines principles of land policy upon which natural capital stocks are entrenched while article 69 places obligation on the state to ensure sustainable exploitation, utilization, management, and conservation of the environmental and natural resources with equitable sharing of the accruing benefits. Further the Land Act 2012 provides the guiding values and principles of land management and administration where principle (c) is on sustainable and productive</w:t>
      </w:r>
      <w:r>
        <w:rPr>
          <w:rFonts w:ascii="Cambria" w:hAnsi="Cambria"/>
          <w:sz w:val="24"/>
          <w:szCs w:val="24"/>
        </w:rPr>
        <w:t xml:space="preserve"> </w:t>
      </w:r>
      <w:r>
        <w:rPr>
          <w:rFonts w:eastAsia="Overlock" w:cs="Overlock" w:ascii="Cambria" w:hAnsi="Cambria"/>
          <w:sz w:val="24"/>
          <w:szCs w:val="24"/>
        </w:rPr>
        <w:t>management of land resources, and (e) is on conservation and protection of ecologically sensitive areas.</w:t>
      </w:r>
    </w:p>
    <w:p>
      <w:pPr>
        <w:pStyle w:val="Normal"/>
        <w:spacing w:before="240" w:after="240"/>
        <w:rPr>
          <w:rFonts w:ascii="Cambria" w:hAnsi="Cambria"/>
        </w:rPr>
      </w:pPr>
      <w:r>
        <w:rPr>
          <w:rFonts w:eastAsia="Overlock" w:cs="Overlock" w:ascii="Cambria" w:hAnsi="Cambria"/>
          <w:sz w:val="24"/>
          <w:szCs w:val="24"/>
        </w:rPr>
        <w:t>In the advancement of the national effort in the achievement of SDGs, natural capital accounting plays a key role towards attainment of the targets set for Goal 15: Protect, restore, and promote sustainable use of terrestrial ecosystems, sustainably manage forests, combat desertification, and halt and reverse land degradation and halt biodiversity loss).  Some of the Goal 15 targets are:</w:t>
      </w:r>
    </w:p>
    <w:p>
      <w:pPr>
        <w:pStyle w:val="Normal"/>
        <w:spacing w:before="240" w:after="240"/>
        <w:ind w:start="360"/>
        <w:rPr>
          <w:rFonts w:ascii="Cambria" w:hAnsi="Cambria"/>
        </w:rPr>
      </w:pPr>
      <w:r>
        <w:rPr>
          <w:rFonts w:eastAsia="Overlock" w:cs="Overlock" w:ascii="Cambria" w:hAnsi="Cambria"/>
          <w:sz w:val="24"/>
          <w:szCs w:val="24"/>
        </w:rPr>
        <w:t xml:space="preserve">·   </w:t>
        <w:tab/>
        <w:t>ensure the conservation, restoration and sustainable use of terrestrial and inland freshwater ecosystems and their services, in particular forests, wetlands, mountains, and drylands, in line with obligations under international agreements promote the implementation of sustainable management of all types of forests, halt deforestation, restore degraded forests and substantially increase afforestation and reforestation globally combat desertification, restore degraded land and soil, including land affected by desertification, drought and floods, and strive to achieve a land degradation-neutral world.</w:t>
      </w:r>
    </w:p>
    <w:p>
      <w:pPr>
        <w:pStyle w:val="Normal"/>
        <w:spacing w:before="240" w:after="240"/>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   </w:t>
        <w:tab/>
        <w:t>take urgent and significant action to reduce the degradation of natural habitats, halt the loss of biodiversity and protect and prevent the extinction of threatened species</w:t>
      </w:r>
    </w:p>
    <w:p>
      <w:pPr>
        <w:pStyle w:val="Normal"/>
        <w:spacing w:before="240" w:after="240"/>
        <w:ind w:start="360"/>
        <w:rPr>
          <w:rFonts w:ascii="Cambria" w:hAnsi="Cambria"/>
        </w:rPr>
      </w:pPr>
      <w:r>
        <w:rPr>
          <w:rFonts w:eastAsia="Overlock" w:cs="Overlock" w:ascii="Cambria" w:hAnsi="Cambria"/>
          <w:sz w:val="24"/>
          <w:szCs w:val="24"/>
        </w:rPr>
        <w:t xml:space="preserve">·   </w:t>
        <w:tab/>
        <w:t>promote fair and equitable sharing of the benefits arising from the utilization of genetic resources and promote appropriate access to such resources, as internationally agreed</w:t>
      </w:r>
    </w:p>
    <w:p>
      <w:pPr>
        <w:pStyle w:val="Normal"/>
        <w:spacing w:before="240" w:after="240"/>
        <w:ind w:start="360"/>
        <w:rPr>
          <w:rFonts w:ascii="Cambria" w:hAnsi="Cambria"/>
        </w:rPr>
      </w:pPr>
      <w:r>
        <w:rPr>
          <w:rFonts w:eastAsia="Overlock" w:cs="Overlock" w:ascii="Cambria" w:hAnsi="Cambria"/>
          <w:sz w:val="24"/>
          <w:szCs w:val="24"/>
        </w:rPr>
        <w:t xml:space="preserve">·   </w:t>
        <w:tab/>
        <w:t>integrate ecosystem and biodiversity values into national and local planning, development processes, poverty reduction strategies and accounts</w:t>
      </w:r>
    </w:p>
    <w:p>
      <w:pPr>
        <w:pStyle w:val="Normal"/>
        <w:spacing w:before="240" w:after="240"/>
        <w:ind w:start="360"/>
        <w:rPr>
          <w:rFonts w:ascii="Cambria" w:hAnsi="Cambria"/>
        </w:rPr>
      </w:pPr>
      <w:r>
        <w:rPr>
          <w:rFonts w:eastAsia="Overlock" w:cs="Overlock" w:ascii="Cambria" w:hAnsi="Cambria"/>
          <w:sz w:val="24"/>
          <w:szCs w:val="24"/>
        </w:rPr>
        <w:t xml:space="preserve">·   </w:t>
        <w:tab/>
        <w:t>mobilize and significantly increase financial resources from all sources to conserve and sustainably use biodiversity and ecosystems</w:t>
      </w:r>
    </w:p>
    <w:p>
      <w:pPr>
        <w:pStyle w:val="Normal"/>
        <w:spacing w:before="240" w:after="240"/>
        <w:ind w:start="360"/>
        <w:rPr>
          <w:rFonts w:ascii="Cambria" w:hAnsi="Cambria"/>
        </w:rPr>
      </w:pPr>
      <w:r>
        <w:rPr>
          <w:rFonts w:eastAsia="Overlock" w:cs="Overlock" w:ascii="Cambria" w:hAnsi="Cambria"/>
          <w:sz w:val="24"/>
          <w:szCs w:val="24"/>
        </w:rPr>
        <w:t xml:space="preserve">·   </w:t>
        <w:tab/>
        <w:t>mobilize significant resources from all sources and at all levels to finance sustainable forest management and provide adequate incentives to developing countries to advance such management, including for conservation and reforestation</w:t>
      </w:r>
    </w:p>
    <w:p>
      <w:pPr>
        <w:pStyle w:val="Normal"/>
        <w:spacing w:before="240" w:after="240"/>
        <w:ind w:start="360"/>
        <w:rPr>
          <w:rFonts w:ascii="Cambria" w:hAnsi="Cambria"/>
        </w:rPr>
      </w:pPr>
      <w:r>
        <w:rPr>
          <w:rFonts w:eastAsia="Overlock" w:cs="Overlock" w:ascii="Cambria" w:hAnsi="Cambria"/>
          <w:sz w:val="24"/>
          <w:szCs w:val="24"/>
        </w:rPr>
        <w:t xml:space="preserve">·   </w:t>
        <w:tab/>
        <w:t>enhance global support for efforts to combat poaching and trafficking of protected species, including by increasing the capacity of local communities to pursue sustainable livelihood opportunities.</w:t>
      </w:r>
    </w:p>
    <w:p>
      <w:pPr>
        <w:pStyle w:val="Heading3"/>
        <w:rPr>
          <w:b w:val="false"/>
          <w:bCs w:val="false"/>
          <w:color w:val="000000"/>
          <w:sz w:val="26"/>
          <w:szCs w:val="26"/>
        </w:rPr>
      </w:pPr>
      <w:bookmarkStart w:id="12" w:name="_heading=h.jcgy36lz8xiw"/>
      <w:bookmarkEnd w:id="12"/>
      <w:r>
        <w:rPr>
          <w:rFonts w:ascii="Cambria" w:hAnsi="Cambria"/>
          <w:color w:val="000000"/>
          <w:sz w:val="26"/>
          <w:szCs w:val="26"/>
        </w:rPr>
        <w:t xml:space="preserve"> </w:t>
      </w:r>
    </w:p>
    <w:p>
      <w:pPr>
        <w:pStyle w:val="Heading5"/>
        <w:keepNext w:val="false"/>
        <w:keepLines w:val="false"/>
        <w:spacing w:before="220" w:after="40"/>
        <w:rPr>
          <w:rFonts w:ascii="Cambria" w:hAnsi="Cambria"/>
        </w:rPr>
      </w:pPr>
      <w:bookmarkStart w:id="13" w:name="_heading=h.utq84bxggyhk"/>
      <w:bookmarkEnd w:id="13"/>
      <w:r>
        <w:rPr>
          <w:rFonts w:eastAsia="Overlock" w:cs="Overlock" w:ascii="Cambria" w:hAnsi="Cambria"/>
          <w:b/>
          <w:bCs/>
          <w:color w:val="000000"/>
          <w:sz w:val="24"/>
          <w:szCs w:val="24"/>
        </w:rPr>
        <w:t>The Forest Act (Cap 385)</w:t>
      </w:r>
    </w:p>
    <w:p>
      <w:pPr>
        <w:pStyle w:val="Normal"/>
        <w:spacing w:before="240" w:after="240"/>
        <w:rPr/>
      </w:pPr>
      <w:r>
        <w:rPr>
          <w:rFonts w:eastAsia="Overlock" w:cs="Overlock" w:ascii="Cambria" w:hAnsi="Cambria"/>
          <w:sz w:val="24"/>
          <w:szCs w:val="24"/>
        </w:rPr>
        <w:t>The Forest Conservation and Management Act, enacted in 2016, is designed to give effect to Article 69 of the Kenyan Constitution regarding the sustainable management of forest resources. It aims to ensure the conservation and rational utilization of forests for socio-economic development while protecting the environment and biodiversity.</w:t>
      </w:r>
      <w:hyperlink r:id="rId5">
        <w:r>
          <w:rPr>
            <w:rStyle w:val="Style3"/>
            <w:rFonts w:eastAsia="Overlock" w:cs="Overlock" w:ascii="Cambria" w:hAnsi="Cambria"/>
            <w:sz w:val="24"/>
            <w:szCs w:val="24"/>
          </w:rPr>
          <w:t xml:space="preserve">The Act applies to all forests on public, community, and private lands, ensuring comprehensive coverage of forest management practices.  The Act emphasizes good governance, public participation, community involvement, and adherence to international best practices in forest management. </w:t>
        </w:r>
      </w:hyperlink>
      <w:hyperlink r:id="rId6">
        <w:r>
          <w:rPr>
            <w:rStyle w:val="Style3"/>
            <w:rFonts w:eastAsia="Overlock" w:cs="Overlock" w:ascii="Cambria" w:hAnsi="Cambria"/>
            <w:sz w:val="24"/>
            <w:szCs w:val="24"/>
          </w:rPr>
          <w:t xml:space="preserve"> The Act mandates the preparation of management plans for all public forests, which outline the goals and practices necessary for sustainable forest management. </w:t>
        </w:r>
      </w:hyperlink>
    </w:p>
    <w:p>
      <w:pPr>
        <w:pStyle w:val="Normal"/>
        <w:spacing w:before="240" w:after="240"/>
        <w:rPr>
          <w:rFonts w:ascii="Cambria" w:hAnsi="Cambria" w:eastAsia="Overlock" w:cs="Overlock"/>
          <w:sz w:val="24"/>
          <w:szCs w:val="24"/>
        </w:rPr>
      </w:pPr>
      <w:r>
        <w:rPr>
          <w:rFonts w:eastAsia="Overlock" w:cs="Overlock" w:ascii="Cambria" w:hAnsi="Cambria"/>
          <w:sz w:val="24"/>
          <w:szCs w:val="24"/>
        </w:rPr>
      </w:r>
    </w:p>
    <w:p>
      <w:pPr>
        <w:pStyle w:val="Normal"/>
        <w:spacing w:before="240" w:after="240"/>
        <w:rPr/>
      </w:pPr>
      <w:hyperlink r:id="rId7">
        <w:r>
          <w:rPr>
            <w:rStyle w:val="Style3"/>
            <w:rFonts w:eastAsia="Overlock" w:cs="Overlock" w:ascii="Cambria" w:hAnsi="Cambria"/>
            <w:sz w:val="24"/>
            <w:szCs w:val="24"/>
          </w:rPr>
          <w:t xml:space="preserve">Community participation is entrenched within the Act encouraging community involvement in forest management through community forest associations, allowing local communities to participate in decision-making processes related to forest resources. </w:t>
        </w:r>
      </w:hyperlink>
      <w:r>
        <w:rPr>
          <w:rFonts w:eastAsia="Overlock" w:cs="Overlock" w:ascii="Cambria" w:hAnsi="Cambria"/>
          <w:sz w:val="24"/>
          <w:szCs w:val="24"/>
        </w:rPr>
        <w:t xml:space="preserve"> It provides for</w:t>
      </w:r>
      <w:hyperlink r:id="rId8">
        <w:r>
          <w:rPr>
            <w:rStyle w:val="Style3"/>
            <w:rFonts w:eastAsia="Overlock" w:cs="Overlock" w:ascii="Cambria" w:hAnsi="Cambria"/>
            <w:sz w:val="24"/>
            <w:szCs w:val="24"/>
          </w:rPr>
          <w:t xml:space="preserve"> protection of indigenous forests and the sustainable use of forest resources, ensuring that local ecosystems are preserved. </w:t>
        </w:r>
      </w:hyperlink>
      <w:hyperlink r:id="rId9">
        <w:r>
          <w:rPr>
            <w:rStyle w:val="Style3"/>
            <w:rFonts w:eastAsia="Overlock" w:cs="Overlock" w:ascii="Cambria" w:hAnsi="Cambria"/>
            <w:sz w:val="24"/>
            <w:szCs w:val="24"/>
          </w:rPr>
          <w:t xml:space="preserve"> The Act regulates the trade of forest products, ensuring that such activities are conducted sustainably and legally. </w:t>
        </w:r>
      </w:hyperlink>
    </w:p>
    <w:p>
      <w:pPr>
        <w:pStyle w:val="Normal"/>
        <w:spacing w:before="240" w:after="240"/>
        <w:rPr/>
      </w:pPr>
      <w:hyperlink r:id="rId10">
        <w:r>
          <w:rPr>
            <w:rStyle w:val="Style3"/>
            <w:rFonts w:eastAsia="Overlock" w:cs="Overlock" w:ascii="Cambria" w:hAnsi="Cambria"/>
            <w:sz w:val="24"/>
            <w:szCs w:val="24"/>
          </w:rPr>
          <w:t xml:space="preserve">The Forest Conservation and Management Act 2016 is a significant legislative framework aimed at promoting sustainable forest management in Kenya. By establishing clear guidelines and encouraging community participation, the Act seeks to balance ecological integrity with socio-economic development, ensuring that forest resources are preserved for future generations. </w:t>
        </w:r>
      </w:hyperlink>
    </w:p>
    <w:p>
      <w:pPr>
        <w:pStyle w:val="Normal"/>
        <w:spacing w:before="240" w:after="240"/>
        <w:rPr>
          <w:rFonts w:ascii="Cambria" w:hAnsi="Cambria"/>
          <w:b/>
          <w:bCs/>
          <w:sz w:val="26"/>
          <w:szCs w:val="26"/>
        </w:rPr>
      </w:pPr>
      <w:r>
        <w:rPr>
          <w:rFonts w:ascii="Cambria" w:hAnsi="Cambria"/>
          <w:b/>
          <w:bCs/>
          <w:sz w:val="26"/>
          <w:szCs w:val="26"/>
        </w:rPr>
      </w:r>
    </w:p>
    <w:p>
      <w:pPr>
        <w:pStyle w:val="Heading4"/>
        <w:rPr>
          <w:rFonts w:ascii="Cambria" w:hAnsi="Cambria"/>
        </w:rPr>
      </w:pPr>
      <w:bookmarkStart w:id="14" w:name="_heading=h.hdz0yi4xrfly"/>
      <w:bookmarkEnd w:id="14"/>
      <w:r>
        <w:rPr>
          <w:rFonts w:ascii="Cambria" w:hAnsi="Cambria"/>
        </w:rPr>
        <w:t>Relevant Multilateral Environmental Agreements (MEAs)</w:t>
      </w:r>
    </w:p>
    <w:p>
      <w:pPr>
        <w:pStyle w:val="Normal"/>
        <w:spacing w:before="240" w:after="240"/>
        <w:rPr>
          <w:rFonts w:ascii="Cambria" w:hAnsi="Cambria"/>
        </w:rPr>
      </w:pPr>
      <w:r>
        <w:rPr>
          <w:rFonts w:eastAsia="Overlock" w:cs="Overlock" w:ascii="Cambria" w:hAnsi="Cambria"/>
          <w:sz w:val="24"/>
          <w:szCs w:val="24"/>
        </w:rPr>
        <w:t>Kenya is signatory to several international conventions and treaties that would need to be adhered to in implementing this project and are geared towards environmental protection and conservation. Biodiversity-related conventions form an important cluster, including most of the key global conventions including but not limited to the outlined below:</w:t>
      </w:r>
    </w:p>
    <w:p>
      <w:pPr>
        <w:pStyle w:val="Normal"/>
        <w:spacing w:before="240" w:after="240"/>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The Convention on Biological Diversity (CBD-1992)</w:t>
      </w:r>
    </w:p>
    <w:p>
      <w:pPr>
        <w:pStyle w:val="Normal"/>
        <w:spacing w:before="240" w:after="240"/>
        <w:rPr>
          <w:rFonts w:ascii="Cambria" w:hAnsi="Cambria"/>
        </w:rPr>
      </w:pPr>
      <w:r>
        <w:rPr>
          <w:rFonts w:eastAsia="Overlock" w:cs="Overlock" w:ascii="Cambria" w:hAnsi="Cambria"/>
          <w:sz w:val="24"/>
          <w:szCs w:val="24"/>
        </w:rPr>
        <w:t>Kenya signed the CBD in 1992 and ratified it on 26th July 1994. Article 14 of the CBD (Impact Assessment and Minimizing Adverse Impacts) calls on signatory states to take measures to prevent the degradation of systems that support biodiversity. Specifically, it calls upon party states to act as follows as far as possible and as appropriate:</w:t>
      </w:r>
    </w:p>
    <w:p>
      <w:pPr>
        <w:pStyle w:val="Normal"/>
        <w:spacing w:before="240" w:after="240"/>
        <w:rPr>
          <w:rFonts w:ascii="Cambria" w:hAnsi="Cambria"/>
        </w:rPr>
      </w:pPr>
      <w:r>
        <w:rPr>
          <w:rFonts w:eastAsia="Overlock" w:cs="Overlock" w:ascii="Cambria" w:hAnsi="Cambria"/>
          <w:sz w:val="24"/>
          <w:szCs w:val="24"/>
        </w:rPr>
        <w:t>·       introduce appropriate procedures requiring environmental impact assessment and audits of its proposed or ongoing projects that are likely to have significant adverse effects on bio-logical diversity with a view to avoiding or minimizing such effects and, where appropriate, allow for public participation in such procedures.</w:t>
      </w:r>
    </w:p>
    <w:p>
      <w:pPr>
        <w:pStyle w:val="Normal"/>
        <w:spacing w:before="240" w:after="240"/>
        <w:rPr>
          <w:rFonts w:ascii="Cambria" w:hAnsi="Cambria"/>
        </w:rPr>
      </w:pPr>
      <w:r>
        <w:rPr>
          <w:rFonts w:eastAsia="Overlock" w:cs="Overlock" w:ascii="Cambria" w:hAnsi="Cambria"/>
          <w:sz w:val="24"/>
          <w:szCs w:val="24"/>
        </w:rPr>
        <w:t>·       introduce appropriate arrangements to ensure that the environmental consequences of its programs and policies that are likely to have significant adverse impacts on biological diversity are duly considered.</w:t>
      </w:r>
    </w:p>
    <w:p>
      <w:pPr>
        <w:pStyle w:val="Normal"/>
        <w:spacing w:before="240" w:after="240"/>
        <w:rPr>
          <w:rFonts w:ascii="Cambria" w:hAnsi="Cambria"/>
        </w:rPr>
      </w:pPr>
      <w:r>
        <w:rPr>
          <w:rFonts w:eastAsia="Overlock" w:cs="Overlock" w:ascii="Cambria" w:hAnsi="Cambria"/>
          <w:sz w:val="24"/>
          <w:szCs w:val="24"/>
        </w:rPr>
        <w:t>·       promote, on the basis of reciprocity, notification, exchange of information and consultation on activities under their jurisdiction or control which are likely to significantly affect adversely the biological diversity of other States or areas beyond the limits of national jurisdiction, by encouraging the conclusion of bilateral, regional or multilateral arrangements, as appropriate.</w:t>
      </w:r>
    </w:p>
    <w:p>
      <w:pPr>
        <w:pStyle w:val="Normal"/>
        <w:spacing w:before="240" w:after="240"/>
        <w:rPr>
          <w:rFonts w:ascii="Cambria" w:hAnsi="Cambria"/>
        </w:rPr>
      </w:pPr>
      <w:r>
        <w:rPr>
          <w:rFonts w:ascii="Cambria" w:hAnsi="Cambria"/>
          <w:sz w:val="24"/>
          <w:szCs w:val="24"/>
        </w:rPr>
        <w:t xml:space="preserve"> </w:t>
      </w:r>
    </w:p>
    <w:p>
      <w:pPr>
        <w:pStyle w:val="Normal"/>
        <w:spacing w:before="240" w:after="240"/>
        <w:rPr>
          <w:rFonts w:ascii="Cambria" w:hAnsi="Cambria"/>
        </w:rPr>
      </w:pPr>
      <w:r>
        <w:rPr>
          <w:rFonts w:ascii="Cambria" w:hAnsi="Cambria"/>
          <w:sz w:val="24"/>
          <w:szCs w:val="24"/>
        </w:rPr>
        <w:t>Convention Biological Diversity (CBD): Aichi Target 5</w:t>
      </w:r>
    </w:p>
    <w:p>
      <w:pPr>
        <w:pStyle w:val="Normal"/>
        <w:spacing w:before="240" w:after="240"/>
        <w:rPr>
          <w:rFonts w:ascii="Cambria" w:hAnsi="Cambria"/>
        </w:rPr>
      </w:pPr>
      <w:r>
        <w:rPr>
          <w:rFonts w:eastAsia="Overlock" w:cs="Overlock" w:ascii="Cambria" w:hAnsi="Cambria"/>
          <w:sz w:val="24"/>
          <w:szCs w:val="24"/>
        </w:rPr>
        <w:t>By 2020, the rate of loss of all natural habitats, including forests, is at least halved and where feasible brought close to zero, and degradation and fragmentation is significantly reduced. This proposed framework takes into consideration the CBD objectives of conservation of biodiversity, sustainable use of its components the fair and equitable sharing of the benefits arising out of utilization of the genetic resources. Keeping in mind that habitat loss is the most important factor driving biodiversity loss especially degradation and fragmentation due to land use change. Thus, the rate of change needs to be substantially reduced in Kenya.</w:t>
      </w:r>
    </w:p>
    <w:p>
      <w:pPr>
        <w:pStyle w:val="Normal"/>
        <w:spacing w:before="240" w:after="240"/>
        <w:rPr>
          <w:rFonts w:ascii="Cambria" w:hAnsi="Cambria"/>
        </w:rPr>
      </w:pPr>
      <w:r>
        <w:rPr>
          <w:rFonts w:ascii="Cambria" w:hAnsi="Cambria"/>
          <w:sz w:val="24"/>
          <w:szCs w:val="24"/>
        </w:rPr>
        <w:t xml:space="preserve"> </w:t>
      </w:r>
    </w:p>
    <w:p>
      <w:pPr>
        <w:pStyle w:val="Normal"/>
        <w:spacing w:before="240" w:after="240"/>
        <w:rPr>
          <w:rFonts w:ascii="Cambria" w:hAnsi="Cambria"/>
        </w:rPr>
      </w:pPr>
      <w:r>
        <w:rPr>
          <w:rFonts w:ascii="Cambria" w:hAnsi="Cambria"/>
          <w:sz w:val="24"/>
          <w:szCs w:val="24"/>
        </w:rPr>
        <w:t>The Convention concerning the Protection of the World Cultural and Natural Heritage (1972)</w:t>
      </w:r>
    </w:p>
    <w:p>
      <w:pPr>
        <w:pStyle w:val="Normal"/>
        <w:spacing w:before="240" w:after="240"/>
        <w:rPr>
          <w:rFonts w:ascii="Cambria" w:hAnsi="Cambria"/>
        </w:rPr>
      </w:pPr>
      <w:r>
        <w:rPr>
          <w:rFonts w:eastAsia="Overlock" w:cs="Overlock" w:ascii="Cambria" w:hAnsi="Cambria"/>
          <w:sz w:val="24"/>
          <w:szCs w:val="24"/>
        </w:rPr>
        <w:t>This Convention focuses on the concepts of nature conservation and the preservation of cultural properties. The Convention recognizes the way in which people interact with nature, and the fundamental need to preserve the balance between the two. By signing the Convention, each country pledges to conserve not only the World Heritage sites situated on its territory, but also to protect its national heritage. The proposed framework seeks to enhance the protection of our natural heritage.</w:t>
      </w:r>
    </w:p>
    <w:p>
      <w:pPr>
        <w:pStyle w:val="Normal"/>
        <w:spacing w:before="240" w:after="240"/>
        <w:rPr>
          <w:rFonts w:ascii="Cambria" w:hAnsi="Cambria"/>
        </w:rPr>
      </w:pPr>
      <w:r>
        <w:rPr>
          <w:rFonts w:ascii="Cambria" w:hAnsi="Cambria"/>
          <w:sz w:val="24"/>
          <w:szCs w:val="24"/>
        </w:rPr>
        <w:t xml:space="preserve"> </w:t>
      </w:r>
    </w:p>
    <w:p>
      <w:pPr>
        <w:pStyle w:val="Normal"/>
        <w:spacing w:before="240" w:after="240"/>
        <w:rPr>
          <w:rFonts w:ascii="Cambria" w:hAnsi="Cambria"/>
        </w:rPr>
      </w:pPr>
      <w:r>
        <w:rPr>
          <w:rFonts w:ascii="Cambria" w:hAnsi="Cambria"/>
          <w:sz w:val="24"/>
          <w:szCs w:val="24"/>
        </w:rPr>
        <w:t>The United Nations Convention to Combat Desertification (UNCCD)</w:t>
      </w:r>
    </w:p>
    <w:p>
      <w:pPr>
        <w:pStyle w:val="Normal"/>
        <w:spacing w:before="240" w:after="240"/>
        <w:rPr>
          <w:rFonts w:ascii="Cambria" w:hAnsi="Cambria"/>
        </w:rPr>
      </w:pPr>
      <w:r>
        <w:rPr>
          <w:rFonts w:eastAsia="Overlock" w:cs="Overlock" w:ascii="Cambria" w:hAnsi="Cambria"/>
          <w:sz w:val="24"/>
          <w:szCs w:val="24"/>
        </w:rPr>
        <w:t>The above UN Convention was signed at Paris on 17th June 1994and entered into force in December 1996. Its key objective is to combat desertification and mitigate the effect of serious drought, particularly in Africa, through international support. It obligates developed countries who are members to fully consider the special needs of affected developing countries. The Convention goes further to enlist action programmes, scientific and technical co-operation and supporting measures to be put in place. It contributes to distinguishing causal factors, both natural and human, with a view to combating desertification and achieving improved productivity as well as the sustainable use and management of resources. The proposed framework will ensure that there are components focusing on mitigating the effect of the negative effects that may enhance desertification in the ecologically sensitive ecosystem in the vast dryland area.</w:t>
      </w:r>
    </w:p>
    <w:p>
      <w:pPr>
        <w:pStyle w:val="Normal"/>
        <w:spacing w:before="240" w:after="240"/>
        <w:rPr>
          <w:rFonts w:ascii="Cambria" w:hAnsi="Cambria"/>
        </w:rPr>
      </w:pPr>
      <w:r>
        <w:rPr>
          <w:rFonts w:ascii="Cambria" w:hAnsi="Cambria"/>
          <w:sz w:val="24"/>
          <w:szCs w:val="24"/>
        </w:rPr>
        <w:t xml:space="preserve"> </w:t>
      </w:r>
    </w:p>
    <w:p>
      <w:pPr>
        <w:pStyle w:val="Normal"/>
        <w:spacing w:before="240" w:after="240"/>
        <w:rPr>
          <w:rFonts w:ascii="Cambria" w:hAnsi="Cambria"/>
        </w:rPr>
      </w:pPr>
      <w:r>
        <w:rPr>
          <w:rFonts w:ascii="Cambria" w:hAnsi="Cambria"/>
          <w:sz w:val="24"/>
          <w:szCs w:val="24"/>
        </w:rPr>
        <w:t>The Global Strategy for Plant Conservation (GSPC)</w:t>
      </w:r>
    </w:p>
    <w:p>
      <w:pPr>
        <w:pStyle w:val="Normal"/>
        <w:spacing w:before="240" w:after="240"/>
        <w:rPr>
          <w:rFonts w:ascii="Cambria" w:hAnsi="Cambria"/>
        </w:rPr>
      </w:pPr>
      <w:r>
        <w:rPr>
          <w:rFonts w:eastAsia="Overlock" w:cs="Overlock" w:ascii="Cambria" w:hAnsi="Cambria"/>
          <w:sz w:val="24"/>
          <w:szCs w:val="24"/>
        </w:rPr>
        <w:t>The Global Strategy for Plant Conservation began as a grass-roots movement in 1999. The ultimate and long-term objective of the GSPC is to halt within targeted timelines the current and continuing loss of plant diversity. Importantly, this strategy attempts to understand, document, and recognize plant diversity, urgently and effectively conserve it in a sustainable and equitable manner. It also creates awareness about plant diversity role in sustainable livelihoods promoting its importance, developing capacities and public engagement.</w:t>
      </w:r>
    </w:p>
    <w:p>
      <w:pPr>
        <w:pStyle w:val="Normal"/>
        <w:spacing w:before="240" w:after="240"/>
        <w:rPr>
          <w:rFonts w:ascii="Cambria" w:hAnsi="Cambria"/>
        </w:rPr>
      </w:pPr>
      <w:r>
        <w:rPr>
          <w:rFonts w:eastAsia="Overlock" w:cs="Overlock" w:ascii="Cambria" w:hAnsi="Cambria"/>
          <w:sz w:val="24"/>
          <w:szCs w:val="24"/>
        </w:rPr>
        <w:t xml:space="preserve"> </w:t>
      </w:r>
    </w:p>
    <w:p>
      <w:pPr>
        <w:pStyle w:val="Normal"/>
        <w:spacing w:before="240" w:after="240"/>
        <w:rPr>
          <w:rFonts w:ascii="Cambria" w:hAnsi="Cambria"/>
        </w:rPr>
      </w:pPr>
      <w:r>
        <w:rPr>
          <w:rFonts w:eastAsia="Overlock" w:cs="Overlock" w:ascii="Cambria" w:hAnsi="Cambria"/>
          <w:sz w:val="24"/>
          <w:szCs w:val="24"/>
        </w:rPr>
        <w:t>The Global Strategy for Plant Conservation is a catalyst for working together at all levels - local, national, regional, and global to understand, conserve and use sustainably the world's immense wealth of plant diversity whilst promoting awareness and building the necessary capacities for its implementation. The proposed framework seeks to ensure that ecologically sensitive areas are not negatively affected but are conserved with enhanced sustainable use of their immense wealth of biodiversity.</w:t>
      </w:r>
    </w:p>
    <w:p>
      <w:pPr>
        <w:pStyle w:val="Heading3"/>
        <w:rPr>
          <w:b w:val="false"/>
          <w:bCs w:val="false"/>
          <w:color w:val="000000"/>
          <w:sz w:val="26"/>
          <w:szCs w:val="26"/>
        </w:rPr>
      </w:pPr>
      <w:bookmarkStart w:id="15" w:name="_heading=h.cwcqc2vqzfzu"/>
      <w:bookmarkEnd w:id="15"/>
      <w:r>
        <w:rPr>
          <w:rFonts w:ascii="Cambria" w:hAnsi="Cambria"/>
          <w:color w:val="000000"/>
          <w:sz w:val="26"/>
          <w:szCs w:val="26"/>
        </w:rPr>
        <w:t xml:space="preserve"> </w:t>
      </w:r>
    </w:p>
    <w:p>
      <w:pPr>
        <w:pStyle w:val="Heading5"/>
        <w:keepNext w:val="false"/>
        <w:keepLines w:val="false"/>
        <w:spacing w:before="220" w:after="40"/>
        <w:rPr>
          <w:rFonts w:ascii="Cambria" w:hAnsi="Cambria"/>
        </w:rPr>
      </w:pPr>
      <w:bookmarkStart w:id="16" w:name="_heading=h.noio1u2df69q"/>
      <w:bookmarkEnd w:id="16"/>
      <w:r>
        <w:rPr>
          <w:rFonts w:eastAsia="Overlock" w:cs="Overlock" w:ascii="Cambria" w:hAnsi="Cambria"/>
          <w:b/>
          <w:bCs/>
          <w:color w:val="000000"/>
          <w:sz w:val="24"/>
          <w:szCs w:val="24"/>
        </w:rPr>
        <w:t>National Land Use Policy 2014</w:t>
      </w:r>
    </w:p>
    <w:p>
      <w:pPr>
        <w:pStyle w:val="Normal"/>
        <w:spacing w:before="240" w:after="240"/>
        <w:rPr>
          <w:rFonts w:ascii="Cambria" w:hAnsi="Cambria"/>
        </w:rPr>
      </w:pPr>
      <w:r>
        <w:rPr>
          <w:rFonts w:eastAsia="Overlock" w:cs="Overlock" w:ascii="Cambria" w:hAnsi="Cambria"/>
          <w:sz w:val="24"/>
          <w:szCs w:val="24"/>
        </w:rPr>
        <w:t>The policy provides a framework for optimal utilization and productivity of land related resources in a sustainable and desirable manner at National, County and Community level:</w:t>
      </w:r>
    </w:p>
    <w:p>
      <w:pPr>
        <w:pStyle w:val="Normal"/>
        <w:spacing w:before="240" w:after="240"/>
        <w:rPr>
          <w:rFonts w:ascii="Cambria" w:hAnsi="Cambria"/>
        </w:rPr>
      </w:pPr>
      <w:r>
        <w:rPr>
          <w:rFonts w:eastAsia="Overlock" w:cs="Overlock" w:ascii="Cambria" w:hAnsi="Cambria"/>
          <w:sz w:val="24"/>
          <w:szCs w:val="24"/>
        </w:rPr>
        <w:t>·       Section 2.5.7 recognizes nature reserves and human settlement as among the various land uses in Kenya hence need for planned use of land and its resources, measures for equitable and sustainable utilization for optimal production.</w:t>
      </w:r>
    </w:p>
    <w:p>
      <w:pPr>
        <w:pStyle w:val="Normal"/>
        <w:spacing w:before="240" w:after="240"/>
        <w:rPr>
          <w:rFonts w:ascii="Cambria" w:hAnsi="Cambria"/>
        </w:rPr>
      </w:pPr>
      <w:r>
        <w:rPr>
          <w:rFonts w:eastAsia="Overlock" w:cs="Overlock" w:ascii="Cambria" w:hAnsi="Cambria"/>
          <w:sz w:val="24"/>
          <w:szCs w:val="24"/>
        </w:rPr>
        <w:t>·       Section 2.5.8 emphasizes on the rationalization of human settlement development plan to cater for optimal utilization of land and other natural resources within and around settlements both in rural and urban areas.</w:t>
      </w:r>
    </w:p>
    <w:p>
      <w:pPr>
        <w:pStyle w:val="Normal"/>
        <w:spacing w:before="240" w:after="240"/>
        <w:rPr>
          <w:rFonts w:ascii="Cambria" w:hAnsi="Cambria"/>
        </w:rPr>
      </w:pPr>
      <w:r>
        <w:rPr>
          <w:rFonts w:eastAsia="Overlock" w:cs="Overlock" w:ascii="Cambria" w:hAnsi="Cambria"/>
          <w:sz w:val="24"/>
          <w:szCs w:val="24"/>
        </w:rPr>
        <w:t>·       Section 2.6.10 on sectoral land use conflicts provides the following measures</w:t>
      </w:r>
    </w:p>
    <w:p>
      <w:pPr>
        <w:pStyle w:val="Normal"/>
        <w:spacing w:before="240" w:after="240"/>
        <w:rPr>
          <w:rFonts w:ascii="Cambria" w:hAnsi="Cambria"/>
        </w:rPr>
      </w:pPr>
      <w:r>
        <w:rPr>
          <w:rFonts w:eastAsia="Overlock" w:cs="Overlock" w:ascii="Cambria" w:hAnsi="Cambria"/>
          <w:sz w:val="24"/>
          <w:szCs w:val="24"/>
        </w:rPr>
        <w:t>o   identification, mapping and gazetting of critical wildlife migration and dispersal corridors in consultation with the local communities and individual landowners</w:t>
      </w:r>
    </w:p>
    <w:p>
      <w:pPr>
        <w:pStyle w:val="Normal"/>
        <w:spacing w:before="240" w:after="240"/>
        <w:rPr>
          <w:rFonts w:ascii="Cambria" w:hAnsi="Cambria"/>
        </w:rPr>
      </w:pPr>
      <w:r>
        <w:rPr>
          <w:rFonts w:eastAsia="Overlock" w:cs="Overlock" w:ascii="Cambria" w:hAnsi="Cambria"/>
          <w:sz w:val="24"/>
          <w:szCs w:val="24"/>
        </w:rPr>
        <w:t>o   encouraging development of wildlife sanctuaries and conservancies and involving local communities living in contiguous to the parks and protected and protected areas in the co-management of such areas.</w:t>
      </w:r>
    </w:p>
    <w:p>
      <w:pPr>
        <w:pStyle w:val="Normal"/>
        <w:spacing w:before="240" w:after="240"/>
        <w:rPr>
          <w:rFonts w:ascii="Cambria" w:hAnsi="Cambria"/>
        </w:rPr>
      </w:pPr>
      <w:r>
        <w:rPr>
          <w:rFonts w:eastAsia="Overlock" w:cs="Overlock" w:ascii="Cambria" w:hAnsi="Cambria"/>
          <w:sz w:val="24"/>
          <w:szCs w:val="24"/>
        </w:rPr>
        <w:t>o   providing mechanism for resolving grievances arising from human/wildlife conflict</w:t>
      </w:r>
    </w:p>
    <w:p>
      <w:pPr>
        <w:pStyle w:val="Normal"/>
        <w:spacing w:before="240" w:after="240"/>
        <w:rPr>
          <w:rFonts w:ascii="Cambria" w:hAnsi="Cambria"/>
        </w:rPr>
      </w:pPr>
      <w:r>
        <w:rPr>
          <w:rFonts w:eastAsia="Overlock" w:cs="Overlock" w:ascii="Cambria" w:hAnsi="Cambria"/>
          <w:sz w:val="24"/>
          <w:szCs w:val="24"/>
        </w:rPr>
        <w:t>o   reviewing the gazettement of forests and protected areas to foster the realization of their multiple value and ensuring that they are protected for their ecosystem value and not merely to physically exclude human activities</w:t>
      </w:r>
    </w:p>
    <w:p>
      <w:pPr>
        <w:pStyle w:val="Normal"/>
        <w:spacing w:before="240" w:after="240"/>
        <w:rPr>
          <w:rFonts w:ascii="Cambria" w:hAnsi="Cambria"/>
        </w:rPr>
      </w:pPr>
      <w:r>
        <w:rPr>
          <w:rFonts w:eastAsia="Overlock" w:cs="Overlock" w:ascii="Cambria" w:hAnsi="Cambria"/>
          <w:sz w:val="24"/>
          <w:szCs w:val="24"/>
        </w:rPr>
        <w:t xml:space="preserve"> </w:t>
      </w:r>
    </w:p>
    <w:p>
      <w:pPr>
        <w:pStyle w:val="Normal"/>
        <w:spacing w:before="240" w:after="240"/>
        <w:rPr>
          <w:rFonts w:ascii="Cambria" w:hAnsi="Cambria"/>
        </w:rPr>
      </w:pPr>
      <w:r>
        <w:rPr>
          <w:rFonts w:eastAsia="Overlock" w:cs="Overlock" w:ascii="Cambria" w:hAnsi="Cambria"/>
          <w:sz w:val="24"/>
          <w:szCs w:val="24"/>
        </w:rPr>
        <w:t>·       Section 3.1 gives highlights on the procedure for the allocation of land and issuance of title which should be done based on approved Physical Development Plan and approved Survey plans, approved local areas zoning regulations and policy guidelines. It also recognizes that allocation of public land identified to have high public value like wildlife habitat will not be allocated except under leases with conditions that reflect the high value or period by which the land may be required for a reserved use.</w:t>
      </w:r>
    </w:p>
    <w:p>
      <w:pPr>
        <w:pStyle w:val="Normal"/>
        <w:spacing w:before="240" w:after="240"/>
        <w:rPr>
          <w:rFonts w:ascii="Cambria" w:hAnsi="Cambria"/>
        </w:rPr>
      </w:pPr>
      <w:r>
        <w:rPr>
          <w:rFonts w:eastAsia="Overlock" w:cs="Overlock" w:ascii="Cambria" w:hAnsi="Cambria"/>
          <w:sz w:val="24"/>
          <w:szCs w:val="24"/>
        </w:rPr>
        <w:t xml:space="preserve"> </w:t>
      </w:r>
    </w:p>
    <w:p>
      <w:pPr>
        <w:pStyle w:val="Normal"/>
        <w:spacing w:before="240" w:after="240"/>
        <w:rPr>
          <w:rFonts w:ascii="Cambria" w:hAnsi="Cambria"/>
        </w:rPr>
      </w:pPr>
      <w:r>
        <w:rPr>
          <w:rFonts w:eastAsia="Overlock" w:cs="Overlock" w:ascii="Cambria" w:hAnsi="Cambria"/>
          <w:sz w:val="24"/>
          <w:szCs w:val="24"/>
        </w:rPr>
        <w:t>·       Section 3.1. (ix) shows that areas protected for specific use by any law shall not be de-gazettement except in circumstances prescribed in the laws governing such areas. It further says that the protection of land rights of illegally occupied lands shall be pursued through litigation by the owners.</w:t>
      </w:r>
    </w:p>
    <w:p>
      <w:pPr>
        <w:pStyle w:val="Normal"/>
        <w:spacing w:before="240" w:after="240"/>
        <w:rPr>
          <w:rFonts w:ascii="Cambria" w:hAnsi="Cambria"/>
        </w:rPr>
      </w:pPr>
      <w:r>
        <w:rPr>
          <w:rFonts w:eastAsia="Overlock" w:cs="Overlock" w:ascii="Cambria" w:hAnsi="Cambria"/>
          <w:sz w:val="24"/>
          <w:szCs w:val="24"/>
        </w:rPr>
        <w:t>·       Section 3.8 and 3.14 discusses more on the orderly management of land such as Biodiversity conservation which include mapping of wildlife corridor, planning, securing wildlife dispersal and migratory corridors through provision of easement and fiscal incentives programs to the affected communities or individuals.</w:t>
      </w:r>
    </w:p>
    <w:p>
      <w:pPr>
        <w:pStyle w:val="Heading3"/>
        <w:rPr>
          <w:b w:val="false"/>
          <w:bCs w:val="false"/>
          <w:color w:val="000000"/>
          <w:sz w:val="26"/>
          <w:szCs w:val="26"/>
        </w:rPr>
      </w:pPr>
      <w:bookmarkStart w:id="17" w:name="_heading=h.v765pn7skhc"/>
      <w:bookmarkEnd w:id="17"/>
      <w:r>
        <w:rPr>
          <w:rFonts w:ascii="Cambria" w:hAnsi="Cambria"/>
          <w:color w:val="000000"/>
          <w:sz w:val="26"/>
          <w:szCs w:val="26"/>
        </w:rPr>
        <w:t xml:space="preserve"> </w:t>
      </w:r>
    </w:p>
    <w:p>
      <w:pPr>
        <w:pStyle w:val="Heading5"/>
        <w:keepNext w:val="false"/>
        <w:keepLines w:val="false"/>
        <w:spacing w:before="220" w:after="40"/>
        <w:rPr>
          <w:rFonts w:ascii="Cambria" w:hAnsi="Cambria"/>
        </w:rPr>
      </w:pPr>
      <w:bookmarkStart w:id="18" w:name="_heading=h.ilmkjbph5thm"/>
      <w:bookmarkEnd w:id="18"/>
      <w:r>
        <w:rPr>
          <w:rFonts w:eastAsia="Overlock" w:cs="Overlock" w:ascii="Cambria" w:hAnsi="Cambria"/>
          <w:b/>
          <w:bCs/>
          <w:color w:val="000000"/>
          <w:sz w:val="20"/>
          <w:szCs w:val="20"/>
        </w:rPr>
        <w:t>National Spatial Plan (NSP) (2015-2045)</w:t>
      </w:r>
    </w:p>
    <w:p>
      <w:pPr>
        <w:pStyle w:val="Normal"/>
        <w:spacing w:before="240" w:after="240"/>
        <w:rPr>
          <w:rFonts w:ascii="Cambria" w:hAnsi="Cambria"/>
        </w:rPr>
      </w:pPr>
      <w:r>
        <w:rPr>
          <w:rFonts w:eastAsia="Overlock" w:cs="Overlock" w:ascii="Cambria" w:hAnsi="Cambria"/>
          <w:sz w:val="24"/>
          <w:szCs w:val="24"/>
        </w:rPr>
        <w:t>The policy document defines the general trend and direction of spatial development of the country. The Plan provides national physical planning policies aimed at guiding micro level physical development plans. Section 2.8.1 categorizes land use into three parts: agricultural, built-up areas (human settlement) and conservation including wildlife.</w:t>
      </w:r>
    </w:p>
    <w:p>
      <w:pPr>
        <w:pStyle w:val="Normal"/>
        <w:spacing w:before="240" w:after="240"/>
        <w:rPr>
          <w:rFonts w:ascii="Cambria" w:hAnsi="Cambria"/>
        </w:rPr>
      </w:pPr>
      <w:r>
        <w:rPr>
          <w:rFonts w:eastAsia="Overlock" w:cs="Overlock" w:ascii="Cambria" w:hAnsi="Cambria"/>
          <w:sz w:val="24"/>
          <w:szCs w:val="24"/>
        </w:rPr>
        <w:t xml:space="preserve"> </w:t>
      </w:r>
    </w:p>
    <w:p>
      <w:pPr>
        <w:pStyle w:val="Normal"/>
        <w:spacing w:before="240" w:after="240"/>
        <w:rPr>
          <w:rFonts w:ascii="Cambria" w:hAnsi="Cambria"/>
        </w:rPr>
      </w:pPr>
      <w:r>
        <w:rPr>
          <w:rFonts w:eastAsia="Overlock" w:cs="Overlock" w:ascii="Cambria" w:hAnsi="Cambria"/>
          <w:sz w:val="24"/>
          <w:szCs w:val="24"/>
        </w:rPr>
        <w:t>·       Section 3.3.2 on Environmental conservation emphasizes that environmentally sensitive areas such as parks or reserves should be prioritized and highly protected from threats which are because of human activities in the form of land use practices. The NSP strategy in ranking of the environmentally sensitive areas in terms of impacts placed parks and conservancies under rank 2 and proposed only permission to controlled development of hotels and no change of user to any other use is not permitted except for conservation purposes.</w:t>
      </w:r>
    </w:p>
    <w:p>
      <w:pPr>
        <w:pStyle w:val="Normal"/>
        <w:spacing w:before="240" w:after="240"/>
        <w:rPr>
          <w:rFonts w:ascii="Cambria" w:hAnsi="Cambria"/>
        </w:rPr>
      </w:pPr>
      <w:r>
        <w:rPr>
          <w:rFonts w:eastAsia="Overlock" w:cs="Overlock" w:ascii="Cambria" w:hAnsi="Cambria"/>
          <w:sz w:val="24"/>
          <w:szCs w:val="24"/>
        </w:rPr>
        <w:t xml:space="preserve"> </w:t>
      </w:r>
    </w:p>
    <w:p>
      <w:pPr>
        <w:pStyle w:val="Normal"/>
        <w:spacing w:before="240" w:after="240"/>
        <w:rPr>
          <w:rFonts w:ascii="Cambria" w:hAnsi="Cambria"/>
        </w:rPr>
      </w:pPr>
      <w:r>
        <w:rPr>
          <w:rFonts w:eastAsia="Overlock" w:cs="Overlock" w:ascii="Cambria" w:hAnsi="Cambria"/>
          <w:sz w:val="24"/>
          <w:szCs w:val="24"/>
        </w:rPr>
        <w:t>·       NSP Policies and measures on tourism diversification (Section 4.6) proposes the following:</w:t>
      </w:r>
    </w:p>
    <w:p>
      <w:pPr>
        <w:pStyle w:val="Normal"/>
        <w:spacing w:before="240" w:after="240"/>
        <w:rPr>
          <w:rFonts w:ascii="Cambria" w:hAnsi="Cambria"/>
        </w:rPr>
      </w:pPr>
      <w:r>
        <w:rPr>
          <w:rFonts w:ascii="Cambria" w:hAnsi="Cambria"/>
          <w:sz w:val="24"/>
          <w:szCs w:val="24"/>
        </w:rPr>
        <w:t xml:space="preserve"> </w:t>
      </w:r>
    </w:p>
    <w:p>
      <w:pPr>
        <w:pStyle w:val="Normal"/>
        <w:spacing w:before="240" w:after="240"/>
        <w:ind w:hanging="360" w:start="1800"/>
        <w:rPr>
          <w:rFonts w:ascii="Cambria" w:hAnsi="Cambria"/>
        </w:rPr>
      </w:pPr>
      <w:r>
        <w:rPr>
          <w:rFonts w:eastAsia="Courier New" w:cs="Courier New" w:ascii="Cambria" w:hAnsi="Cambria"/>
          <w:sz w:val="24"/>
          <w:szCs w:val="24"/>
        </w:rPr>
        <w:t>o</w:t>
      </w:r>
      <w:r>
        <w:rPr>
          <w:rFonts w:eastAsia="Times New Roman" w:cs="Times New Roman" w:ascii="Cambria" w:hAnsi="Cambria"/>
          <w:sz w:val="14"/>
          <w:szCs w:val="14"/>
        </w:rPr>
        <w:t xml:space="preserve">   </w:t>
      </w:r>
      <w:r>
        <w:rPr>
          <w:rFonts w:ascii="Cambria" w:hAnsi="Cambria"/>
          <w:sz w:val="24"/>
          <w:szCs w:val="24"/>
        </w:rPr>
        <w:t>wildlife migratory corridors to be protected,</w:t>
      </w:r>
    </w:p>
    <w:p>
      <w:pPr>
        <w:pStyle w:val="Normal"/>
        <w:spacing w:before="240" w:after="240"/>
        <w:ind w:hanging="360" w:start="1800"/>
        <w:rPr>
          <w:rFonts w:ascii="Cambria" w:hAnsi="Cambria"/>
        </w:rPr>
      </w:pPr>
      <w:r>
        <w:rPr>
          <w:rFonts w:eastAsia="Courier New" w:cs="Courier New" w:ascii="Cambria" w:hAnsi="Cambria"/>
          <w:sz w:val="24"/>
          <w:szCs w:val="24"/>
        </w:rPr>
        <w:t>o</w:t>
      </w:r>
      <w:r>
        <w:rPr>
          <w:rFonts w:eastAsia="Times New Roman" w:cs="Times New Roman" w:ascii="Cambria" w:hAnsi="Cambria"/>
          <w:sz w:val="14"/>
          <w:szCs w:val="14"/>
        </w:rPr>
        <w:t xml:space="preserve">   </w:t>
      </w:r>
      <w:r>
        <w:rPr>
          <w:rFonts w:ascii="Cambria" w:hAnsi="Cambria"/>
          <w:sz w:val="24"/>
          <w:szCs w:val="24"/>
        </w:rPr>
        <w:t>location of incompatible land use activities to be prohibited</w:t>
      </w:r>
    </w:p>
    <w:p>
      <w:pPr>
        <w:pStyle w:val="Normal"/>
        <w:spacing w:before="240" w:after="240"/>
        <w:ind w:hanging="360" w:start="1800"/>
        <w:rPr>
          <w:rFonts w:ascii="Cambria" w:hAnsi="Cambria"/>
        </w:rPr>
      </w:pPr>
      <w:r>
        <w:rPr>
          <w:rFonts w:eastAsia="Courier New" w:cs="Courier New" w:ascii="Cambria" w:hAnsi="Cambria"/>
          <w:sz w:val="24"/>
          <w:szCs w:val="24"/>
        </w:rPr>
        <w:t>o</w:t>
      </w:r>
      <w:r>
        <w:rPr>
          <w:rFonts w:eastAsia="Times New Roman" w:cs="Times New Roman" w:ascii="Cambria" w:hAnsi="Cambria"/>
          <w:sz w:val="14"/>
          <w:szCs w:val="14"/>
        </w:rPr>
        <w:t xml:space="preserve">   </w:t>
      </w:r>
      <w:r>
        <w:rPr>
          <w:rFonts w:ascii="Cambria" w:hAnsi="Cambria"/>
          <w:sz w:val="24"/>
          <w:szCs w:val="24"/>
        </w:rPr>
        <w:t>developments within the tourist attraction sites to be strictly regulated and Protection of wildlife watering points.</w:t>
      </w:r>
    </w:p>
    <w:p>
      <w:pPr>
        <w:pStyle w:val="Normal"/>
        <w:spacing w:before="240" w:after="240"/>
        <w:rPr>
          <w:rFonts w:ascii="Cambria" w:hAnsi="Cambria"/>
        </w:rPr>
      </w:pPr>
      <w:r>
        <w:rPr>
          <w:rFonts w:ascii="Cambria" w:hAnsi="Cambria"/>
          <w:sz w:val="24"/>
          <w:szCs w:val="24"/>
        </w:rPr>
        <w:t xml:space="preserve"> </w:t>
      </w:r>
    </w:p>
    <w:p>
      <w:pPr>
        <w:pStyle w:val="Normal"/>
        <w:spacing w:before="240" w:after="240"/>
        <w:rPr>
          <w:rFonts w:ascii="Cambria" w:hAnsi="Cambria"/>
        </w:rPr>
      </w:pPr>
      <w:r>
        <w:rPr>
          <w:rFonts w:eastAsia="Overlock" w:cs="Overlock" w:ascii="Cambria" w:hAnsi="Cambria"/>
          <w:sz w:val="24"/>
          <w:szCs w:val="24"/>
        </w:rPr>
        <w:t xml:space="preserve">The reason why policies on land and natural resources places emphasis on wise use is to preserve the biodiversity and ecosystem services that support other economic sectors that are easily determined fiscally. Langat et al (2017) made a comprehensive review on policies and legal framework from the Constitution 2010, Policies, Acts of parliament, regulations and guidelines and county ordinances. </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eastAsia="Overlock" w:cs="Overlock"/>
          <w:sz w:val="24"/>
          <w:szCs w:val="24"/>
        </w:rPr>
      </w:pPr>
      <w:r>
        <w:rPr>
          <w:rFonts w:eastAsia="Overlock" w:cs="Overlock" w:ascii="Cambria" w:hAnsi="Cambria"/>
          <w:sz w:val="24"/>
          <w:szCs w:val="24"/>
        </w:rPr>
      </w:r>
    </w:p>
    <w:p>
      <w:pPr>
        <w:pStyle w:val="Heading2"/>
        <w:rPr>
          <w:b w:val="false"/>
          <w:bCs w:val="false"/>
        </w:rPr>
      </w:pPr>
      <w:bookmarkStart w:id="19" w:name="_heading=h.1ei3z1mnvrqh"/>
      <w:bookmarkEnd w:id="19"/>
      <w:r>
        <w:rPr>
          <w:rFonts w:ascii="Cambria" w:hAnsi="Cambria"/>
        </w:rPr>
        <w:t>1.5. Forest in Kenya</w:t>
      </w:r>
    </w:p>
    <w:p>
      <w:pPr>
        <w:pStyle w:val="Heading3"/>
        <w:rPr>
          <w:rFonts w:eastAsia="Overlock" w:cs="Overlock"/>
          <w:color w:val="000000"/>
        </w:rPr>
      </w:pPr>
      <w:bookmarkStart w:id="20" w:name="_heading=h.7hueumt76eb6"/>
      <w:bookmarkEnd w:id="20"/>
      <w:r>
        <w:rPr>
          <w:rFonts w:eastAsia="Overlock" w:cs="Overlock" w:ascii="Cambria" w:hAnsi="Cambria"/>
          <w:color w:val="000000"/>
        </w:rPr>
        <w:t>1.5.1</w:t>
        <w:tab/>
        <w:t xml:space="preserve">Kenya’s Geographical and Forest Ecological Context </w:t>
      </w:r>
    </w:p>
    <w:p>
      <w:pPr>
        <w:pStyle w:val="Normal"/>
        <w:spacing w:before="240" w:after="240"/>
        <w:rPr>
          <w:rFonts w:ascii="Cambria" w:hAnsi="Cambria"/>
        </w:rPr>
      </w:pPr>
      <w:r>
        <w:rPr>
          <w:rFonts w:eastAsia="Overlock" w:cs="Overlock" w:ascii="Cambria" w:hAnsi="Cambria"/>
          <w:sz w:val="24"/>
          <w:szCs w:val="24"/>
        </w:rPr>
        <w:t>Kenya is an equatorial country in East Africa covering approximately 59 million hectares, with a highly diverse physical environment that strongly influences the distribution and characteristics of its forest ecosystems. Forests occur along a broad altitudinal and ecological gradient, from coastal mangroves at sea level to montane forests in the highlands, including Mount Kenya at 5,199 metres above sea level. The Great Rift Valley plays a central role in shaping forest patterns by influencing rainfall, drainage, and ecological transitions across the country.</w:t>
      </w:r>
    </w:p>
    <w:p>
      <w:pPr>
        <w:pStyle w:val="Normal"/>
        <w:spacing w:before="240" w:after="240"/>
        <w:rPr>
          <w:rFonts w:ascii="Cambria" w:hAnsi="Cambria"/>
        </w:rPr>
      </w:pPr>
      <w:r>
        <w:rPr>
          <w:rFonts w:eastAsia="Overlock" w:cs="Overlock" w:ascii="Cambria" w:hAnsi="Cambria"/>
          <w:sz w:val="24"/>
          <w:szCs w:val="24"/>
        </w:rPr>
        <w:t>Kenya’s forested highlands form the core of its hydrological system, with most of the country’s six major drainage basins originating in these areas. Key forested catchments, often referred to as water towers, including the Mau Forest Complex, Mount Kenya, the Aberdares, Mount Elgon, and the Cherangany Hills, are essential for regulating water flows and sustaining hydropower generation, irrigation, urban water supply, and downstream ecosystem services.</w:t>
      </w:r>
    </w:p>
    <w:p>
      <w:pPr>
        <w:pStyle w:val="Normal"/>
        <w:spacing w:before="240" w:after="240"/>
        <w:rPr>
          <w:rFonts w:ascii="Cambria" w:hAnsi="Cambria"/>
        </w:rPr>
      </w:pPr>
      <w:r>
        <w:rPr>
          <w:rFonts w:eastAsia="Overlock" w:cs="Overlock" w:ascii="Cambria" w:hAnsi="Cambria"/>
          <w:sz w:val="24"/>
          <w:szCs w:val="24"/>
        </w:rPr>
        <w:t xml:space="preserve"> </w:t>
      </w:r>
    </w:p>
    <w:p>
      <w:pPr>
        <w:pStyle w:val="Normal"/>
        <w:rPr>
          <w:rFonts w:ascii="Cambria" w:hAnsi="Cambria"/>
        </w:rPr>
      </w:pPr>
      <w:r>
        <w:rPr>
          <w:rFonts w:ascii="Cambria" w:hAnsi="Cambria"/>
        </w:rPr>
        <w:drawing>
          <wp:inline distT="0" distB="0" distL="0" distR="0">
            <wp:extent cx="6167755" cy="4360545"/>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11"/>
                    <a:stretch>
                      <a:fillRect/>
                    </a:stretch>
                  </pic:blipFill>
                  <pic:spPr bwMode="auto">
                    <a:xfrm>
                      <a:off x="0" y="0"/>
                      <a:ext cx="6167755" cy="4360545"/>
                    </a:xfrm>
                    <a:prstGeom prst="rect">
                      <a:avLst/>
                    </a:prstGeom>
                    <a:noFill/>
                  </pic:spPr>
                </pic:pic>
              </a:graphicData>
            </a:graphic>
          </wp:inline>
        </w:drawing>
      </w:r>
    </w:p>
    <w:p>
      <w:pPr>
        <w:pStyle w:val="Normal"/>
        <w:pBdr/>
        <w:spacing w:before="0" w:after="200"/>
        <w:rPr>
          <w:rFonts w:ascii="Cambria" w:hAnsi="Cambria"/>
        </w:rPr>
      </w:pPr>
      <w:r>
        <w:rPr>
          <w:rFonts w:ascii="Cambria" w:hAnsi="Cambria"/>
          <w:i/>
          <w:iCs/>
          <w:color w:val="1F497D"/>
          <w:sz w:val="24"/>
          <w:szCs w:val="24"/>
        </w:rPr>
        <w:t>Figure 1: Geographical Location of Kenya</w:t>
      </w:r>
    </w:p>
    <w:p>
      <w:pPr>
        <w:pStyle w:val="Normal"/>
        <w:rPr>
          <w:rFonts w:ascii="Cambria" w:hAnsi="Cambria"/>
        </w:rPr>
      </w:pPr>
      <w:r>
        <w:rPr>
          <w:rFonts w:eastAsia="Overlock" w:cs="Overlock" w:ascii="Cambria" w:hAnsi="Cambria"/>
          <w:b/>
          <w:bCs/>
          <w:sz w:val="24"/>
          <w:szCs w:val="24"/>
        </w:rPr>
        <w:t>1.5.2</w:t>
        <w:tab/>
        <w:t>National Forest and Tree Definitions</w:t>
      </w:r>
    </w:p>
    <w:p>
      <w:pPr>
        <w:pStyle w:val="Normal"/>
        <w:rPr>
          <w:rFonts w:ascii="Cambria" w:hAnsi="Cambria"/>
        </w:rPr>
      </w:pPr>
      <w:r>
        <w:rPr>
          <w:rFonts w:eastAsia="Overlock" w:cs="Overlock" w:ascii="Cambria" w:hAnsi="Cambria"/>
          <w:sz w:val="24"/>
          <w:szCs w:val="24"/>
        </w:rPr>
        <w:t xml:space="preserve">The national definition of forests in Kenya adopted from the FAO guidelines and includes a land unit exceeding 0.5 hectares, with a minimum canopy cover of 15% and trees capable of reaching at least 2 meters in height </w:t>
      </w:r>
      <w:r>
        <w:rPr>
          <w:rFonts w:eastAsia="Overlock" w:cs="Overlock" w:ascii="Cambria" w:hAnsi="Cambria"/>
          <w:sz w:val="24"/>
          <w:szCs w:val="24"/>
          <w:highlight w:val="yellow"/>
        </w:rPr>
        <w:t>in situ.</w:t>
      </w:r>
      <w:r>
        <w:rPr>
          <w:rFonts w:eastAsia="Overlock" w:cs="Overlock" w:ascii="Cambria" w:hAnsi="Cambria"/>
          <w:sz w:val="24"/>
          <w:szCs w:val="24"/>
        </w:rPr>
        <w:t xml:space="preserve"> This definition includes trees, bamboos, mangroves, palms, and fruit trees but excluded non-woody species such as bananas, shrubs, and shrubby crops like coffee and tea.</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b/>
          <w:bCs/>
          <w:sz w:val="24"/>
          <w:szCs w:val="24"/>
        </w:rPr>
        <w:t>1.5.3</w:t>
        <w:tab/>
        <w:t>Forest Stratification Types</w:t>
      </w:r>
    </w:p>
    <w:p>
      <w:pPr>
        <w:pStyle w:val="Normal"/>
        <w:rPr>
          <w:rFonts w:ascii="Cambria" w:hAnsi="Cambria"/>
        </w:rPr>
      </w:pPr>
      <w:r>
        <w:rPr>
          <w:rFonts w:eastAsia="Overlock" w:cs="Overlock" w:ascii="Cambria" w:hAnsi="Cambria"/>
          <w:sz w:val="24"/>
          <w:szCs w:val="24"/>
        </w:rPr>
        <w:t>Kenya’s forest estate is categorized into six distinct strata, reflecting both ecological characteristics and management objectives. Five strata are derived from broad ecological zones, aligned with the Intergovernmental Panel on Climate Change (IPCC) classification, while the sixth is defined by commercial management. The Forest Strata:</w:t>
      </w:r>
    </w:p>
    <w:p>
      <w:pPr>
        <w:pStyle w:val="Normal"/>
        <w:numPr>
          <w:ilvl w:val="0"/>
          <w:numId w:val="4"/>
        </w:numPr>
        <w:rPr>
          <w:rFonts w:ascii="Cambria" w:hAnsi="Cambria"/>
        </w:rPr>
      </w:pPr>
      <w:r>
        <w:rPr>
          <w:rFonts w:eastAsia="Overlock" w:cs="Overlock" w:ascii="Cambria" w:hAnsi="Cambria"/>
          <w:b/>
          <w:bCs/>
          <w:sz w:val="24"/>
          <w:szCs w:val="24"/>
        </w:rPr>
        <w:t>Montane Forests:</w:t>
      </w:r>
      <w:r>
        <w:rPr>
          <w:rFonts w:eastAsia="Overlock" w:cs="Overlock" w:ascii="Cambria" w:hAnsi="Cambria"/>
          <w:sz w:val="24"/>
          <w:szCs w:val="24"/>
        </w:rPr>
        <w:t xml:space="preserve"> Situated above 1,500 meters, these "Water Towers" (e.g., Mau, Mt. Kenya, Aberdares) are critical for catchment protection. Species vary by microclimate, ranging from windward moist broad-leafed forests to leeward dry coniferous forests and high-altitude bamboo (Oldeania alpina).</w:t>
      </w:r>
    </w:p>
    <w:p>
      <w:pPr>
        <w:pStyle w:val="Normal"/>
        <w:numPr>
          <w:ilvl w:val="0"/>
          <w:numId w:val="4"/>
        </w:numPr>
        <w:rPr>
          <w:rFonts w:ascii="Cambria" w:hAnsi="Cambria"/>
        </w:rPr>
      </w:pPr>
      <w:r>
        <w:rPr>
          <w:rFonts w:eastAsia="Overlock" w:cs="Overlock" w:ascii="Cambria" w:hAnsi="Cambria"/>
          <w:b/>
          <w:bCs/>
          <w:sz w:val="24"/>
          <w:szCs w:val="24"/>
        </w:rPr>
        <w:t>Western Rain Forests:</w:t>
      </w:r>
      <w:r>
        <w:rPr>
          <w:rFonts w:eastAsia="Overlock" w:cs="Overlock" w:ascii="Cambria" w:hAnsi="Cambria"/>
          <w:sz w:val="24"/>
          <w:szCs w:val="24"/>
        </w:rPr>
        <w:t xml:space="preserve"> Characterized by Guineo-Congolean traits, these forests (e.g., Kakamega and Nandi) feature significantly larger and taller trees than other Kenyan strata.</w:t>
      </w:r>
    </w:p>
    <w:p>
      <w:pPr>
        <w:pStyle w:val="Normal"/>
        <w:numPr>
          <w:ilvl w:val="0"/>
          <w:numId w:val="4"/>
        </w:numPr>
        <w:rPr>
          <w:rFonts w:ascii="Cambria" w:hAnsi="Cambria"/>
        </w:rPr>
      </w:pPr>
      <w:r>
        <w:rPr>
          <w:rFonts w:eastAsia="Overlock" w:cs="Overlock" w:ascii="Cambria" w:hAnsi="Cambria"/>
          <w:sz w:val="24"/>
          <w:szCs w:val="24"/>
        </w:rPr>
        <w:t>Coastal Forests: Located within 30 km of the shoreline, these biodiversity hotspots include the Arabuko-Sokoke and Tana River complexes, dominated by Combretum and Brachystegia woodlands.</w:t>
      </w:r>
    </w:p>
    <w:p>
      <w:pPr>
        <w:pStyle w:val="Normal"/>
        <w:numPr>
          <w:ilvl w:val="0"/>
          <w:numId w:val="4"/>
        </w:numPr>
        <w:rPr>
          <w:rFonts w:ascii="Cambria" w:hAnsi="Cambria"/>
        </w:rPr>
      </w:pPr>
      <w:r>
        <w:rPr>
          <w:rFonts w:eastAsia="Overlock" w:cs="Overlock" w:ascii="Cambria" w:hAnsi="Cambria"/>
          <w:b/>
          <w:bCs/>
          <w:sz w:val="24"/>
          <w:szCs w:val="24"/>
        </w:rPr>
        <w:t>Mangrove Forests:</w:t>
      </w:r>
      <w:r>
        <w:rPr>
          <w:rFonts w:eastAsia="Overlock" w:cs="Overlock" w:ascii="Cambria" w:hAnsi="Cambria"/>
          <w:sz w:val="24"/>
          <w:szCs w:val="24"/>
        </w:rPr>
        <w:t xml:space="preserve"> Saline-adapted ecosystems featuring several species (e.g., Rhizophora mucronata, Avicennia marina). They follow distinct zonation patterns and are vital for protection of costal shorelines and their ecosystems.</w:t>
      </w:r>
    </w:p>
    <w:p>
      <w:pPr>
        <w:pStyle w:val="Normal"/>
        <w:numPr>
          <w:ilvl w:val="0"/>
          <w:numId w:val="4"/>
        </w:numPr>
        <w:rPr>
          <w:rFonts w:ascii="Cambria" w:hAnsi="Cambria"/>
        </w:rPr>
      </w:pPr>
      <w:r>
        <w:rPr>
          <w:rFonts w:eastAsia="Overlock" w:cs="Overlock" w:ascii="Cambria" w:hAnsi="Cambria"/>
          <w:b/>
          <w:bCs/>
          <w:sz w:val="24"/>
          <w:szCs w:val="24"/>
        </w:rPr>
        <w:t>Dryland Forests:</w:t>
      </w:r>
      <w:r>
        <w:rPr>
          <w:rFonts w:eastAsia="Overlock" w:cs="Overlock" w:ascii="Cambria" w:hAnsi="Cambria"/>
          <w:sz w:val="24"/>
          <w:szCs w:val="24"/>
        </w:rPr>
        <w:t xml:space="preserve"> Found in Arid and Semi-Arid Lands (ASALs), these are dominated by Acacia-Commiphora species. Their unique deciduous nature and rooting systems differentiate their biomass dynamics from those of moist forests.</w:t>
      </w:r>
    </w:p>
    <w:p>
      <w:pPr>
        <w:pStyle w:val="Normal"/>
        <w:numPr>
          <w:ilvl w:val="0"/>
          <w:numId w:val="4"/>
        </w:numPr>
        <w:rPr>
          <w:rFonts w:ascii="Cambria" w:hAnsi="Cambria"/>
        </w:rPr>
      </w:pPr>
      <w:r>
        <w:rPr>
          <w:rFonts w:eastAsia="Overlock" w:cs="Overlock" w:ascii="Cambria" w:hAnsi="Cambria"/>
          <w:b/>
          <w:bCs/>
          <w:sz w:val="24"/>
          <w:szCs w:val="24"/>
        </w:rPr>
        <w:t xml:space="preserve">Public Plantation Forests: </w:t>
      </w:r>
      <w:r>
        <w:rPr>
          <w:rFonts w:eastAsia="Overlock" w:cs="Overlock" w:ascii="Cambria" w:hAnsi="Cambria"/>
          <w:sz w:val="24"/>
          <w:szCs w:val="24"/>
        </w:rPr>
        <w:t>Established for commercial production across various ecological zones.</w:t>
      </w:r>
    </w:p>
    <w:p>
      <w:pPr>
        <w:pStyle w:val="Normal"/>
        <w:numPr>
          <w:ilvl w:val="1"/>
          <w:numId w:val="4"/>
        </w:numPr>
        <w:rPr>
          <w:rFonts w:ascii="Cambria" w:hAnsi="Cambria"/>
        </w:rPr>
      </w:pPr>
      <w:r>
        <w:rPr>
          <w:rFonts w:eastAsia="Overlock" w:cs="Overlock" w:ascii="Cambria" w:hAnsi="Cambria"/>
          <w:sz w:val="24"/>
          <w:szCs w:val="24"/>
        </w:rPr>
        <w:t>Public Plantations: Managed by the Kenya Forest Service (KFS) across 152,790 hectares, primarily consisting of even-aged monocultures (Cupressus lusitanica, Eucalyptus, and Pinus species).</w:t>
      </w:r>
    </w:p>
    <w:p>
      <w:pPr>
        <w:pStyle w:val="Normal"/>
        <w:rPr>
          <w:rFonts w:ascii="Cambria" w:hAnsi="Cambria" w:eastAsia="Overlock" w:cs="Overlock"/>
          <w:sz w:val="24"/>
          <w:szCs w:val="24"/>
        </w:rPr>
      </w:pPr>
      <w:r>
        <w:rPr>
          <w:rFonts w:eastAsia="Overlock" w:cs="Overlock" w:ascii="Cambria" w:hAnsi="Cambria"/>
          <w:sz w:val="24"/>
          <w:szCs w:val="24"/>
        </w:rPr>
      </w:r>
    </w:p>
    <w:p>
      <w:pPr>
        <w:pStyle w:val="Normal"/>
        <w:pBdr/>
        <w:spacing w:before="0" w:after="200"/>
        <w:rPr>
          <w:rFonts w:ascii="Cambria" w:hAnsi="Cambria"/>
        </w:rPr>
      </w:pPr>
      <w:r>
        <w:rPr>
          <w:rFonts w:ascii="Cambria" w:hAnsi="Cambria"/>
          <w:i/>
          <w:iCs/>
          <w:color w:val="1F497D"/>
          <w:sz w:val="24"/>
          <w:szCs w:val="24"/>
        </w:rPr>
        <w:t>Table 1: Kenya’s classification of forest by strata</w:t>
      </w:r>
    </w:p>
    <w:tbl>
      <w:tblPr>
        <w:tblStyle w:val="a9"/>
        <w:tblW w:w="9440"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2339"/>
        <w:gridCol w:w="7101"/>
      </w:tblGrid>
      <w:tr>
        <w:trPr>
          <w:trHeight w:val="330" w:hRule="atLeast"/>
        </w:trPr>
        <w:tc>
          <w:tcPr>
            <w:tcW w:w="2339" w:type="dxa"/>
            <w:tcBorders>
              <w:top w:val="single" w:sz="4" w:space="0" w:color="000000"/>
              <w:start w:val="single" w:sz="4" w:space="0" w:color="000000"/>
              <w:bottom w:val="single" w:sz="4" w:space="0" w:color="000000"/>
              <w:end w:val="single" w:sz="4" w:space="0" w:color="000000"/>
            </w:tcBorders>
            <w:shd w:color="auto" w:fill="C1FFDD" w:val="clear"/>
          </w:tcPr>
          <w:p>
            <w:pPr>
              <w:pStyle w:val="Normal"/>
              <w:rPr>
                <w:rFonts w:ascii="Cambria" w:hAnsi="Cambria"/>
              </w:rPr>
            </w:pPr>
            <w:r>
              <w:rPr>
                <w:rFonts w:eastAsia="Overlock" w:cs="Overlock" w:ascii="Cambria" w:hAnsi="Cambria"/>
                <w:b/>
                <w:bCs/>
                <w:sz w:val="24"/>
                <w:szCs w:val="24"/>
              </w:rPr>
              <w:t>Forest strata</w:t>
            </w:r>
          </w:p>
        </w:tc>
        <w:tc>
          <w:tcPr>
            <w:tcW w:w="7101" w:type="dxa"/>
            <w:tcBorders>
              <w:top w:val="single" w:sz="4" w:space="0" w:color="000000"/>
              <w:start w:val="single" w:sz="4" w:space="0" w:color="000000"/>
              <w:bottom w:val="single" w:sz="4" w:space="0" w:color="000000"/>
              <w:end w:val="single" w:sz="4" w:space="0" w:color="000000"/>
            </w:tcBorders>
            <w:shd w:color="auto" w:fill="C1FFDD" w:val="clear"/>
          </w:tcPr>
          <w:p>
            <w:pPr>
              <w:pStyle w:val="Normal"/>
              <w:rPr>
                <w:rFonts w:ascii="Cambria" w:hAnsi="Cambria"/>
              </w:rPr>
            </w:pPr>
            <w:r>
              <w:rPr>
                <w:rFonts w:eastAsia="Overlock" w:cs="Overlock" w:ascii="Cambria" w:hAnsi="Cambria"/>
                <w:b/>
                <w:bCs/>
                <w:sz w:val="24"/>
                <w:szCs w:val="24"/>
              </w:rPr>
              <w:t>Canopy Cover Definitions</w:t>
            </w:r>
          </w:p>
        </w:tc>
      </w:tr>
      <w:tr>
        <w:trPr>
          <w:trHeight w:val="315" w:hRule="atLeast"/>
        </w:trPr>
        <w:tc>
          <w:tcPr>
            <w:tcW w:w="2339" w:type="dxa"/>
            <w:vMerge w:val="restart"/>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Montane Forests</w:t>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Dense (Canopy cover % ≥65%)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Moderate (≥40 Canopy cover % &lt;65)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Open (≥15 Canopy cover % &lt;40)</w:t>
            </w:r>
          </w:p>
        </w:tc>
      </w:tr>
      <w:tr>
        <w:trPr>
          <w:trHeight w:val="315" w:hRule="atLeast"/>
        </w:trPr>
        <w:tc>
          <w:tcPr>
            <w:tcW w:w="2339" w:type="dxa"/>
            <w:vMerge w:val="restart"/>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Western-Rain Forests</w:t>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Dense (Canopy cover % ≥65%)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Moderate (≥40 Canopy cover % &lt;65)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Open (≥15 Canopy cover % &lt;40)</w:t>
            </w:r>
          </w:p>
        </w:tc>
      </w:tr>
      <w:tr>
        <w:trPr>
          <w:trHeight w:val="315" w:hRule="atLeast"/>
        </w:trPr>
        <w:tc>
          <w:tcPr>
            <w:tcW w:w="2339" w:type="dxa"/>
            <w:vMerge w:val="restart"/>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Coastal Forests</w:t>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Dense (Canopy cover % ≥65%)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Moderate (≥40 Canopy cover % &lt;65)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Open (≥15 Canopy cover % &lt;40)</w:t>
            </w:r>
          </w:p>
        </w:tc>
      </w:tr>
      <w:tr>
        <w:trPr>
          <w:trHeight w:val="315" w:hRule="atLeast"/>
        </w:trPr>
        <w:tc>
          <w:tcPr>
            <w:tcW w:w="2339" w:type="dxa"/>
            <w:vMerge w:val="restart"/>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Mangrove Forests</w:t>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Dense (Canopy cover % ≥65%)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Moderate (≥40 Canopy cover % &lt;65)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Open (≥15 Canopy cover % &lt;40)</w:t>
            </w:r>
          </w:p>
        </w:tc>
      </w:tr>
      <w:tr>
        <w:trPr>
          <w:trHeight w:val="315" w:hRule="atLeast"/>
        </w:trPr>
        <w:tc>
          <w:tcPr>
            <w:tcW w:w="2339" w:type="dxa"/>
            <w:vMerge w:val="restart"/>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Dryland Forests</w:t>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Dense (Canopy cover % ≥65%)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Moderate (≥40 Canopy cover % &lt;65)</w:t>
            </w:r>
          </w:p>
        </w:tc>
      </w:tr>
      <w:tr>
        <w:trPr>
          <w:trHeight w:val="315" w:hRule="atLeast"/>
        </w:trPr>
        <w:tc>
          <w:tcPr>
            <w:tcW w:w="233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Open (≥15 Canopy cover % &lt;40)</w:t>
            </w:r>
          </w:p>
        </w:tc>
      </w:tr>
      <w:tr>
        <w:trPr>
          <w:trHeight w:val="330" w:hRule="atLeast"/>
        </w:trPr>
        <w:tc>
          <w:tcPr>
            <w:tcW w:w="2339"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Plantation</w:t>
            </w:r>
          </w:p>
        </w:tc>
        <w:tc>
          <w:tcPr>
            <w:tcW w:w="7101"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sz w:val="24"/>
                <w:szCs w:val="24"/>
              </w:rPr>
              <w:t>Public Plantations</w:t>
            </w:r>
          </w:p>
        </w:tc>
      </w:tr>
    </w:tbl>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ab/>
        <w:tab/>
      </w:r>
    </w:p>
    <w:p>
      <w:pPr>
        <w:pStyle w:val="Normal"/>
        <w:rPr>
          <w:rFonts w:ascii="Cambria" w:hAnsi="Cambria"/>
        </w:rPr>
      </w:pPr>
      <w:r>
        <w:rPr>
          <w:rFonts w:ascii="Cambria" w:hAnsi="Cambria"/>
        </w:rPr>
        <w:drawing>
          <wp:inline distT="0" distB="0" distL="0" distR="0">
            <wp:extent cx="5657850" cy="7785100"/>
            <wp:effectExtent l="0" t="0" r="0" b="0"/>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png"/>
                    <pic:cNvPicPr>
                      <a:picLocks noChangeAspect="1" noChangeArrowheads="1"/>
                    </pic:cNvPicPr>
                  </pic:nvPicPr>
                  <pic:blipFill>
                    <a:blip r:embed="rId12"/>
                    <a:stretch>
                      <a:fillRect/>
                    </a:stretch>
                  </pic:blipFill>
                  <pic:spPr bwMode="auto">
                    <a:xfrm>
                      <a:off x="0" y="0"/>
                      <a:ext cx="5657850" cy="7785100"/>
                    </a:xfrm>
                    <a:prstGeom prst="rect">
                      <a:avLst/>
                    </a:prstGeom>
                    <a:noFill/>
                  </pic:spPr>
                </pic:pic>
              </a:graphicData>
            </a:graphic>
          </wp:inline>
        </w:drawing>
      </w:r>
      <w:r>
        <w:rPr>
          <w:rFonts w:eastAsia="Overlock" w:cs="Overlock" w:ascii="Cambria" w:hAnsi="Cambria"/>
          <w:sz w:val="24"/>
          <w:szCs w:val="24"/>
        </w:rPr>
        <w:t xml:space="preserve"> </w:t>
      </w:r>
    </w:p>
    <w:p>
      <w:pPr>
        <w:pStyle w:val="Normal"/>
        <w:pBdr/>
        <w:spacing w:before="0" w:after="200"/>
        <w:rPr>
          <w:rFonts w:ascii="Cambria" w:hAnsi="Cambria"/>
        </w:rPr>
      </w:pPr>
      <w:r>
        <w:rPr>
          <w:rFonts w:ascii="Cambria" w:hAnsi="Cambria"/>
          <w:i/>
          <w:iCs/>
          <w:color w:val="1F497D"/>
          <w:sz w:val="24"/>
          <w:szCs w:val="24"/>
        </w:rPr>
        <w:t xml:space="preserve">Figure 2: Spatial distribution of the forest strata </w:t>
      </w:r>
    </w:p>
    <w:p>
      <w:pPr>
        <w:pStyle w:val="Normal"/>
        <w:rPr>
          <w:rFonts w:ascii="Cambria" w:hAnsi="Cambria"/>
        </w:rPr>
      </w:pPr>
      <w:r>
        <w:rPr>
          <w:rFonts w:eastAsia="Overlock" w:cs="Overlock" w:ascii="Cambria" w:hAnsi="Cambria"/>
          <w:b/>
          <w:bCs/>
          <w:sz w:val="24"/>
          <w:szCs w:val="24"/>
        </w:rPr>
        <w:t>1.5.4</w:t>
        <w:tab/>
        <w:t>Forest Tenure and Governance Framework</w:t>
      </w:r>
    </w:p>
    <w:p>
      <w:pPr>
        <w:pStyle w:val="Normal"/>
        <w:rPr>
          <w:rFonts w:ascii="Cambria" w:hAnsi="Cambria"/>
        </w:rPr>
      </w:pPr>
      <w:r>
        <w:rPr>
          <w:rFonts w:eastAsia="Overlock" w:cs="Overlock" w:ascii="Cambria" w:hAnsi="Cambria"/>
          <w:sz w:val="24"/>
          <w:szCs w:val="24"/>
        </w:rPr>
        <w:t xml:space="preserve">Forest stewardship in Kenya is established under the Constitution of Kenya (2010) and the Forest Conservation and Management Act (2016). The public forest areas are mainly under the management of the Kenya Forest service and the Kenya Wildlife service and are managed with the objective of Biodiversity conservation, water catchment protection, and sustainable commercial production. Community forests are found in community lands while private forests are found in lands that re privately owned. Forests in private lands have varied roles based on the objectives of the owner and are largely the source of wood products such as poles, timber and charcoal. </w:t>
      </w:r>
    </w:p>
    <w:p>
      <w:pPr>
        <w:pStyle w:val="Normal"/>
        <w:rPr>
          <w:rFonts w:ascii="Cambria" w:hAnsi="Cambria" w:eastAsia="Overlock" w:cs="Overlock"/>
          <w:sz w:val="24"/>
          <w:szCs w:val="24"/>
        </w:rPr>
      </w:pPr>
      <w:r>
        <w:rPr>
          <w:rFonts w:eastAsia="Overlock" w:cs="Overlock" w:ascii="Cambria" w:hAnsi="Cambria"/>
          <w:sz w:val="24"/>
          <w:szCs w:val="24"/>
        </w:rPr>
      </w:r>
    </w:p>
    <w:p>
      <w:pPr>
        <w:pStyle w:val="Normal"/>
        <w:spacing w:lineRule="auto" w:line="276"/>
        <w:jc w:val="start"/>
        <w:rPr>
          <w:rFonts w:ascii="Cambria" w:hAnsi="Cambria" w:eastAsia="Overlock" w:cs="Overlock"/>
          <w:sz w:val="20"/>
          <w:szCs w:val="20"/>
        </w:rPr>
      </w:pPr>
      <w:r>
        <w:rPr>
          <w:rFonts w:eastAsia="Overlock" w:cs="Overlock" w:ascii="Cambria" w:hAnsi="Cambria"/>
          <w:sz w:val="20"/>
          <w:szCs w:val="20"/>
        </w:rPr>
      </w:r>
      <w:r>
        <w:br w:type="page"/>
      </w:r>
    </w:p>
    <w:p>
      <w:pPr>
        <w:pStyle w:val="Heading1"/>
        <w:numPr>
          <w:ilvl w:val="0"/>
          <w:numId w:val="10"/>
        </w:numPr>
        <w:rPr>
          <w:rFonts w:eastAsia="Overlock" w:cs="Overlock"/>
          <w:b/>
          <w:bCs/>
          <w:sz w:val="36"/>
          <w:szCs w:val="36"/>
        </w:rPr>
      </w:pPr>
      <w:bookmarkStart w:id="21" w:name="_heading=h.9teqw1o6k778"/>
      <w:bookmarkEnd w:id="21"/>
      <w:r>
        <w:rPr>
          <w:rFonts w:eastAsia="Overlock" w:cs="Overlock" w:ascii="Cambria" w:hAnsi="Cambria"/>
          <w:b/>
          <w:bCs/>
          <w:sz w:val="36"/>
          <w:szCs w:val="36"/>
        </w:rPr>
        <w:t>Methodology</w:t>
      </w:r>
    </w:p>
    <w:p>
      <w:pPr>
        <w:pStyle w:val="Heading2"/>
        <w:numPr>
          <w:ilvl w:val="0"/>
          <w:numId w:val="11"/>
        </w:numPr>
        <w:rPr>
          <w:rFonts w:ascii="Cambria" w:hAnsi="Cambria"/>
        </w:rPr>
      </w:pPr>
      <w:bookmarkStart w:id="22" w:name="_heading=h.iuxqy8jcfcmf"/>
      <w:bookmarkEnd w:id="22"/>
      <w:r>
        <w:rPr>
          <w:rFonts w:ascii="Cambria" w:hAnsi="Cambria"/>
        </w:rPr>
        <w:t>Introduction</w:t>
      </w:r>
    </w:p>
    <w:p>
      <w:pPr>
        <w:pStyle w:val="Normal"/>
        <w:rPr>
          <w:rFonts w:ascii="Cambria" w:hAnsi="Cambria"/>
        </w:rPr>
      </w:pPr>
      <w:r>
        <w:rPr>
          <w:rFonts w:eastAsia="Overlock" w:cs="Overlock" w:ascii="Cambria" w:hAnsi="Cambria"/>
          <w:sz w:val="24"/>
          <w:szCs w:val="24"/>
        </w:rPr>
        <w:t>As a primary component of the System of Environmental-Economic Accounting (SEEA) Central Framework, physical forest accounts are designed to monitor longitudinal changes in forest extent and biomass. The compilation of these physical accounts involves the integration of geospatial land-cover data and national forest inventory statistics, to ensure a precise and verifiable representation of the natural capital. By documenting opening and closing stocks alongside the flows that alter these resources within an accounting period, these accounts establish the quantitative baseline necessary for monetary valuation and the assessment of ecosystem service flows. Similarly, providing supply and use tables helps to track sources and uses of natural capital to advise policy.</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The sections below explain how the specific data sets used in developing the forest accounts were obtained and integrated to generate an account. Due to limitations of data, some of the necessary calculations could not be done, specifically assigning a monetary value to some of the forest resources.</w:t>
      </w:r>
    </w:p>
    <w:p>
      <w:pPr>
        <w:pStyle w:val="Normal"/>
        <w:rPr>
          <w:rFonts w:ascii="Cambria" w:hAnsi="Cambria" w:eastAsia="Overlock" w:cs="Overlock"/>
          <w:sz w:val="24"/>
          <w:szCs w:val="24"/>
        </w:rPr>
      </w:pPr>
      <w:r>
        <w:rPr>
          <w:rFonts w:eastAsia="Overlock" w:cs="Overlock" w:ascii="Cambria" w:hAnsi="Cambria"/>
          <w:sz w:val="24"/>
          <w:szCs w:val="24"/>
        </w:rPr>
      </w:r>
    </w:p>
    <w:p>
      <w:pPr>
        <w:pStyle w:val="Heading2"/>
        <w:numPr>
          <w:ilvl w:val="0"/>
          <w:numId w:val="11"/>
        </w:numPr>
        <w:rPr>
          <w:b w:val="false"/>
          <w:bCs w:val="false"/>
        </w:rPr>
      </w:pPr>
      <w:bookmarkStart w:id="23" w:name="_heading=h.fos3t47ybgpr"/>
      <w:bookmarkEnd w:id="23"/>
      <w:r>
        <w:rPr>
          <w:rFonts w:ascii="Cambria" w:hAnsi="Cambria"/>
        </w:rPr>
        <w:t>Land cover data and their sources</w:t>
      </w:r>
    </w:p>
    <w:p>
      <w:pPr>
        <w:pStyle w:val="Normal"/>
        <w:rPr>
          <w:rFonts w:ascii="Cambria" w:hAnsi="Cambria"/>
        </w:rPr>
      </w:pPr>
      <w:r>
        <w:rPr>
          <w:rFonts w:eastAsia="Overlock" w:cs="Overlock" w:ascii="Cambria" w:hAnsi="Cambria"/>
          <w:sz w:val="24"/>
          <w:szCs w:val="24"/>
        </w:rPr>
        <w:t>The forest ecosystem accounts were compiled using spatially explicit land cover datasets derived primarily from two nationally coordinated initiatives: the System for Land-based Emissions Estimation in Kenya (SLEEK) and the Improving Measurement for Payments to Reduce Emissions and Strengthen Sinks (IMPRESS) project. These initiatives provide the core geospatial inputs required for the construction of forest ecosystem extent and condition accounts, in line with the System of Environmental-Economic Accounting – Central Framework (SEEA CF) framework.</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The SLEEK programme was funded by the Australian Government</w:t>
      </w:r>
      <w:r>
        <w:rPr>
          <w:rStyle w:val="FootnoteReference"/>
          <w:rFonts w:eastAsia="Overlock" w:cs="Overlock" w:ascii="Cambria" w:hAnsi="Cambria"/>
          <w:sz w:val="24"/>
          <w:szCs w:val="24"/>
          <w:vertAlign w:val="superscript"/>
        </w:rPr>
        <w:footnoteReference w:id="2"/>
      </w:r>
      <w:r>
        <w:rPr>
          <w:rFonts w:eastAsia="Overlock" w:cs="Overlock" w:ascii="Cambria" w:hAnsi="Cambria"/>
          <w:sz w:val="24"/>
          <w:szCs w:val="24"/>
        </w:rPr>
        <w:t xml:space="preserve"> with the objective of establishing a comprehensive National Carbon Accounting System (NCAS) that integrates data from the forestry and agricultural sectors to enable consistent measurement, reporting, and verification (MRV) of greenhouse gas emissions and removals. The SLEEK provides a countrywide gridded dataset of satellite-based time series of LCLU data at 30m resolution for 18 years (1995, 2000, 2002, 2003, 2004, 2005, 2006, 2007, 2008, 2009, 2010, 2011, 2012, 2013, 2014, 2015 and 2018) generated by supervised classification using a random forests algorithm.</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The IMPRESS on the other hand is one of the ongoing multi-partner initiatives led by the Food and Agriculture Organization of the United Nations (FAO) to strengthen Kenya’s National Forest Monitoring System (NFMS) by improving the accuracy, consistency, and timeliness of forest-related data using recent technology in forest monitoring. This FAO supported methodology relies on sample-based area estimation methodologies for monitoring forest cover and uses statistically generated points to record land cover change over time. The IMPRESS generated national land cover maps for the period 2015-2023, using a combination of satellite imagery and field data on a collect earth online platform. The IMPRESS project generated land cover statistics for years 2015 - 2023.</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The two datasets were integrated to allow a complete time series dataset for the period 1990 – 2023 while data for 2024 was either projected or calculated as a final stock using mapped levels of afforestation and deforestation specifically using the latest 5-year dataset.</w:t>
      </w:r>
    </w:p>
    <w:p>
      <w:pPr>
        <w:pStyle w:val="Normal"/>
        <w:rPr>
          <w:rFonts w:ascii="Cambria" w:hAnsi="Cambria" w:eastAsia="Overlock" w:cs="Overlock"/>
          <w:sz w:val="24"/>
          <w:szCs w:val="24"/>
        </w:rPr>
      </w:pPr>
      <w:r>
        <w:rPr>
          <w:rFonts w:eastAsia="Overlock" w:cs="Overlock" w:ascii="Cambria" w:hAnsi="Cambria"/>
          <w:sz w:val="24"/>
          <w:szCs w:val="24"/>
        </w:rPr>
      </w:r>
    </w:p>
    <w:p>
      <w:pPr>
        <w:pStyle w:val="Heading2"/>
        <w:numPr>
          <w:ilvl w:val="0"/>
          <w:numId w:val="11"/>
        </w:numPr>
        <w:rPr>
          <w:b w:val="false"/>
          <w:bCs w:val="false"/>
        </w:rPr>
      </w:pPr>
      <w:bookmarkStart w:id="24" w:name="_heading=h.tdikosn9anhd"/>
      <w:bookmarkEnd w:id="24"/>
      <w:r>
        <w:rPr>
          <w:rFonts w:ascii="Cambria" w:hAnsi="Cambria"/>
        </w:rPr>
        <w:t>Emission factors for biomass assessment</w:t>
      </w:r>
    </w:p>
    <w:p>
      <w:pPr>
        <w:pStyle w:val="Normal"/>
        <w:rPr>
          <w:rFonts w:ascii="Cambria" w:hAnsi="Cambria"/>
        </w:rPr>
      </w:pPr>
      <w:r>
        <w:rPr>
          <w:rFonts w:eastAsia="Overlock" w:cs="Overlock" w:ascii="Cambria" w:hAnsi="Cambria"/>
          <w:sz w:val="24"/>
          <w:szCs w:val="24"/>
        </w:rPr>
        <w:t>To estimate biomass content in forests and associated losses and gains from deforestation and afforestation, data sets were obtained from the National Green House Gas inventory. The Data comprises Emission factors collected from field inventories that provide stocks for each of the forest strata described above and their specific canopy categories. This data has been used in developing submissions to the United Nations Framework Convention on Climate Change (UNFCCC) namely; Kenya’s Forest Reference Level</w:t>
      </w:r>
      <w:r>
        <w:rPr>
          <w:rStyle w:val="FootnoteReference"/>
          <w:rFonts w:eastAsia="Overlock" w:cs="Overlock" w:ascii="Cambria" w:hAnsi="Cambria"/>
          <w:sz w:val="24"/>
          <w:szCs w:val="24"/>
          <w:vertAlign w:val="superscript"/>
        </w:rPr>
        <w:footnoteReference w:id="3"/>
      </w:r>
      <w:r>
        <w:rPr>
          <w:rFonts w:eastAsia="Overlock" w:cs="Overlock" w:ascii="Cambria" w:hAnsi="Cambria"/>
          <w:sz w:val="24"/>
          <w:szCs w:val="24"/>
        </w:rPr>
        <w:t xml:space="preserve"> and also the Biennial Transparency Report</w:t>
      </w:r>
      <w:r>
        <w:rPr>
          <w:rStyle w:val="FootnoteReference"/>
          <w:rFonts w:eastAsia="Overlock" w:cs="Overlock" w:ascii="Cambria" w:hAnsi="Cambria"/>
          <w:sz w:val="24"/>
          <w:szCs w:val="24"/>
          <w:vertAlign w:val="superscript"/>
        </w:rPr>
        <w:footnoteReference w:id="4"/>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Biomass stock changes in deforestation, forest degradation and from other sources (sustainable management, wooded grasslands. trees outside forests etc.) were used to estimate the role of tree resources for biomass supply as a source of energy.</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Calculation of emissions associated with deforestation and afforestation activities was done using the stated Emission factors following IPCC guidelines</w:t>
      </w:r>
      <w:r>
        <w:rPr>
          <w:rStyle w:val="FootnoteReference"/>
          <w:rFonts w:eastAsia="Overlock" w:cs="Overlock" w:ascii="Cambria" w:hAnsi="Cambria"/>
          <w:sz w:val="24"/>
          <w:szCs w:val="24"/>
          <w:vertAlign w:val="superscript"/>
        </w:rPr>
        <w:footnoteReference w:id="5"/>
      </w:r>
      <w:r>
        <w:rPr>
          <w:rFonts w:eastAsia="Overlock" w:cs="Overlock" w:ascii="Cambria" w:hAnsi="Cambria"/>
          <w:sz w:val="24"/>
          <w:szCs w:val="24"/>
        </w:rPr>
        <w:t>.</w:t>
      </w:r>
    </w:p>
    <w:p>
      <w:pPr>
        <w:pStyle w:val="Normal"/>
        <w:rPr>
          <w:rFonts w:ascii="Cambria" w:hAnsi="Cambria" w:eastAsia="Overlock" w:cs="Overlock"/>
          <w:sz w:val="24"/>
          <w:szCs w:val="24"/>
        </w:rPr>
      </w:pPr>
      <w:r>
        <w:rPr>
          <w:rFonts w:eastAsia="Overlock" w:cs="Overlock" w:ascii="Cambria" w:hAnsi="Cambria"/>
          <w:sz w:val="24"/>
          <w:szCs w:val="24"/>
        </w:rPr>
      </w:r>
    </w:p>
    <w:p>
      <w:pPr>
        <w:pStyle w:val="Heading2"/>
        <w:numPr>
          <w:ilvl w:val="0"/>
          <w:numId w:val="11"/>
        </w:numPr>
        <w:rPr>
          <w:b w:val="false"/>
          <w:bCs w:val="false"/>
        </w:rPr>
      </w:pPr>
      <w:bookmarkStart w:id="25" w:name="_heading=h.5fyyojhjyat6"/>
      <w:bookmarkEnd w:id="25"/>
      <w:r>
        <w:rPr>
          <w:rFonts w:ascii="Cambria" w:hAnsi="Cambria"/>
        </w:rPr>
        <w:t>Forest volumes in public plantations</w:t>
      </w:r>
    </w:p>
    <w:p>
      <w:pPr>
        <w:pStyle w:val="Normal"/>
        <w:rPr>
          <w:rFonts w:ascii="Cambria" w:hAnsi="Cambria"/>
        </w:rPr>
      </w:pPr>
      <w:r>
        <w:rPr>
          <w:rFonts w:eastAsia="Overlock" w:cs="Overlock" w:ascii="Cambria" w:hAnsi="Cambria"/>
          <w:sz w:val="24"/>
          <w:szCs w:val="24"/>
        </w:rPr>
        <w:t xml:space="preserve">Data on the volumes of wood for different species was obtained form the KFS. It indicates estimated volumes of wood in the forest over the recent years. This volume provides an estimate of available wood for harvesting to allow a sustainable harvesting programme. It was not possible to get wood volumes from private forests. In developing the Supply and Use tables for furniture and construction material, it was estimated that the balance of wood supply from the public plantation forests is provided by the private forests. </w:t>
      </w:r>
    </w:p>
    <w:p>
      <w:pPr>
        <w:pStyle w:val="Normal"/>
        <w:rPr>
          <w:rFonts w:ascii="Cambria" w:hAnsi="Cambria" w:eastAsia="Overlock" w:cs="Overlock"/>
          <w:sz w:val="24"/>
          <w:szCs w:val="24"/>
        </w:rPr>
      </w:pPr>
      <w:r>
        <w:rPr>
          <w:rFonts w:eastAsia="Overlock" w:cs="Overlock" w:ascii="Cambria" w:hAnsi="Cambria"/>
          <w:sz w:val="24"/>
          <w:szCs w:val="24"/>
        </w:rPr>
      </w:r>
    </w:p>
    <w:p>
      <w:pPr>
        <w:pStyle w:val="Heading2"/>
        <w:numPr>
          <w:ilvl w:val="0"/>
          <w:numId w:val="11"/>
        </w:numPr>
        <w:rPr>
          <w:rFonts w:ascii="Cambria" w:hAnsi="Cambria"/>
        </w:rPr>
      </w:pPr>
      <w:bookmarkStart w:id="26" w:name="_heading=h.anvjobkl6ml"/>
      <w:bookmarkEnd w:id="26"/>
      <w:r>
        <w:rPr>
          <w:rFonts w:ascii="Cambria" w:hAnsi="Cambria"/>
        </w:rPr>
        <w:t>Food resources from the forest</w:t>
      </w:r>
    </w:p>
    <w:p>
      <w:pPr>
        <w:pStyle w:val="Normal"/>
        <w:rPr>
          <w:rFonts w:ascii="Cambria" w:hAnsi="Cambria"/>
        </w:rPr>
      </w:pPr>
      <w:r>
        <w:rPr>
          <w:rFonts w:eastAsia="Overlock" w:cs="Overlock" w:ascii="Cambria" w:hAnsi="Cambria"/>
          <w:sz w:val="24"/>
          <w:szCs w:val="24"/>
        </w:rPr>
        <w:t>Food resources form the forest were estimated based on the area of Plantation Establishment and livelihood Establishment Scheme (PELIS)</w:t>
      </w:r>
      <w:r>
        <w:rPr>
          <w:rStyle w:val="FootnoteReference"/>
          <w:rFonts w:eastAsia="Overlock" w:cs="Overlock" w:ascii="Cambria" w:hAnsi="Cambria"/>
          <w:sz w:val="24"/>
          <w:szCs w:val="24"/>
          <w:vertAlign w:val="superscript"/>
        </w:rPr>
        <w:footnoteReference w:id="6"/>
      </w:r>
      <w:r>
        <w:rPr>
          <w:rFonts w:eastAsia="Overlock" w:cs="Overlock" w:ascii="Cambria" w:hAnsi="Cambria"/>
          <w:sz w:val="24"/>
          <w:szCs w:val="24"/>
        </w:rPr>
        <w:t xml:space="preserve"> for the recent years. The PELIS programme operated by the KFS allocates land to forest adjacent communities to till and plant annual crops. In these lands the communities work with KFS to plant commercial tree species (mainly </w:t>
      </w:r>
      <w:r>
        <w:rPr>
          <w:rFonts w:eastAsia="Overlock" w:cs="Overlock" w:ascii="Cambria" w:hAnsi="Cambria"/>
          <w:i/>
          <w:iCs/>
          <w:sz w:val="24"/>
          <w:szCs w:val="24"/>
        </w:rPr>
        <w:t>Cuppresssus lusitanica</w:t>
      </w:r>
      <w:r>
        <w:rPr>
          <w:rFonts w:eastAsia="Overlock" w:cs="Overlock" w:ascii="Cambria" w:hAnsi="Cambria"/>
          <w:sz w:val="24"/>
          <w:szCs w:val="24"/>
        </w:rPr>
        <w:t xml:space="preserve"> and </w:t>
      </w:r>
      <w:r>
        <w:rPr>
          <w:rFonts w:eastAsia="Overlock" w:cs="Overlock" w:ascii="Cambria" w:hAnsi="Cambria"/>
          <w:i/>
          <w:iCs/>
          <w:sz w:val="24"/>
          <w:szCs w:val="24"/>
        </w:rPr>
        <w:t>Pinus spp</w:t>
      </w:r>
      <w:r>
        <w:rPr>
          <w:rFonts w:eastAsia="Overlock" w:cs="Overlock" w:ascii="Cambria" w:hAnsi="Cambria"/>
          <w:sz w:val="24"/>
          <w:szCs w:val="24"/>
        </w:rPr>
        <w:t xml:space="preserve">) and the farmers continue tending the trees as their cultivate for their crops. Commonly cultivated crops are maize, legumes, potatoes and kales. </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 xml:space="preserve">Estimated profitability of the PELIS obtained from literature and expert judgement was K.Sh 50,000 per hectare per year and this was used to estimate the estimated income arising from crops that are grown in forests. It is noted that this estimate is lower than the realistic estimate because some indigenous vegetables growing in natural forests such as stinging nettle, amaranthus, solanum nigrum, mushrooms and a variety of insects were not estimated.  </w:t>
      </w:r>
    </w:p>
    <w:p>
      <w:pPr>
        <w:pStyle w:val="Normal"/>
        <w:rPr>
          <w:rFonts w:ascii="Cambria" w:hAnsi="Cambria" w:eastAsia="Overlock" w:cs="Overlock"/>
          <w:sz w:val="24"/>
          <w:szCs w:val="24"/>
        </w:rPr>
      </w:pPr>
      <w:r>
        <w:rPr>
          <w:rFonts w:eastAsia="Overlock" w:cs="Overlock" w:ascii="Cambria" w:hAnsi="Cambria"/>
          <w:sz w:val="24"/>
          <w:szCs w:val="24"/>
        </w:rPr>
      </w:r>
    </w:p>
    <w:p>
      <w:pPr>
        <w:pStyle w:val="Heading2"/>
        <w:numPr>
          <w:ilvl w:val="0"/>
          <w:numId w:val="11"/>
        </w:numPr>
        <w:rPr>
          <w:b w:val="false"/>
          <w:bCs w:val="false"/>
        </w:rPr>
      </w:pPr>
      <w:bookmarkStart w:id="27" w:name="_heading=h.q2iza1fjr8vr"/>
      <w:bookmarkEnd w:id="27"/>
      <w:r>
        <w:rPr>
          <w:rFonts w:ascii="Cambria" w:hAnsi="Cambria"/>
        </w:rPr>
        <w:t>Developing Supply and Use tables for wood products</w:t>
      </w:r>
    </w:p>
    <w:p>
      <w:pPr>
        <w:pStyle w:val="Normal"/>
        <w:rPr>
          <w:rFonts w:ascii="Cambria" w:hAnsi="Cambria"/>
        </w:rPr>
      </w:pPr>
      <w:r>
        <w:rPr>
          <w:rFonts w:eastAsia="Overlock" w:cs="Overlock" w:ascii="Cambria" w:hAnsi="Cambria"/>
        </w:rPr>
        <w:t>XXXXXXX</w:t>
      </w:r>
    </w:p>
    <w:p>
      <w:pPr>
        <w:pStyle w:val="Normal"/>
        <w:rPr>
          <w:rFonts w:ascii="Cambria" w:hAnsi="Cambria" w:eastAsia="Overlock" w:cs="Overlock"/>
        </w:rPr>
      </w:pPr>
      <w:r>
        <w:rPr>
          <w:rFonts w:eastAsia="Overlock" w:cs="Overlock" w:ascii="Cambria" w:hAnsi="Cambria"/>
        </w:rPr>
      </w:r>
    </w:p>
    <w:p>
      <w:pPr>
        <w:pStyle w:val="Normal"/>
        <w:spacing w:lineRule="auto" w:line="276"/>
        <w:jc w:val="start"/>
        <w:rPr>
          <w:rFonts w:ascii="Cambria" w:hAnsi="Cambria" w:eastAsia="Overlock" w:cs="Overlock"/>
          <w:b/>
          <w:bCs/>
        </w:rPr>
      </w:pPr>
      <w:r>
        <w:rPr>
          <w:rFonts w:eastAsia="Overlock" w:cs="Overlock" w:ascii="Cambria" w:hAnsi="Cambria"/>
          <w:b/>
          <w:bCs/>
        </w:rPr>
      </w:r>
      <w:r>
        <w:br w:type="page"/>
      </w:r>
    </w:p>
    <w:p>
      <w:pPr>
        <w:pStyle w:val="Normal"/>
        <w:spacing w:before="0" w:after="0"/>
        <w:rPr>
          <w:rFonts w:ascii="Cambria" w:hAnsi="Cambria" w:eastAsia="Overlock" w:cs="Overlock"/>
          <w:b/>
          <w:bCs/>
        </w:rPr>
      </w:pPr>
      <w:r>
        <w:rPr>
          <w:rFonts w:eastAsia="Overlock" w:cs="Overlock" w:ascii="Cambria" w:hAnsi="Cambria"/>
          <w:b/>
          <w:bCs/>
        </w:rPr>
      </w:r>
    </w:p>
    <w:p>
      <w:pPr>
        <w:pStyle w:val="Heading1"/>
        <w:numPr>
          <w:ilvl w:val="0"/>
          <w:numId w:val="10"/>
        </w:numPr>
        <w:rPr>
          <w:rFonts w:eastAsia="Overlock" w:cs="Overlock"/>
          <w:b/>
          <w:bCs/>
          <w:sz w:val="36"/>
          <w:szCs w:val="36"/>
        </w:rPr>
      </w:pPr>
      <w:bookmarkStart w:id="28" w:name="_heading=h.ru8lulv7xh07"/>
      <w:bookmarkEnd w:id="28"/>
      <w:r>
        <w:rPr>
          <w:rFonts w:eastAsia="Overlock" w:cs="Overlock" w:ascii="Cambria" w:hAnsi="Cambria"/>
          <w:b/>
          <w:bCs/>
          <w:sz w:val="36"/>
          <w:szCs w:val="36"/>
        </w:rPr>
        <w:t>Asset Accounts for Forests</w:t>
      </w:r>
    </w:p>
    <w:p>
      <w:pPr>
        <w:pStyle w:val="Heading2"/>
        <w:rPr>
          <w:rFonts w:ascii="Cambria" w:hAnsi="Cambria"/>
        </w:rPr>
      </w:pPr>
      <w:bookmarkStart w:id="29" w:name="_heading=h.cdz47j5qxdav"/>
      <w:bookmarkEnd w:id="29"/>
      <w:r>
        <w:rPr>
          <w:rFonts w:ascii="Cambria" w:hAnsi="Cambria"/>
        </w:rPr>
        <w:t>3.1</w:t>
        <w:tab/>
        <w:t>Forest Assets in Kenya</w:t>
      </w:r>
    </w:p>
    <w:p>
      <w:pPr>
        <w:pStyle w:val="Heading3"/>
        <w:rPr>
          <w:rFonts w:eastAsia="Overlock" w:cs="Overlock"/>
          <w:color w:val="000000"/>
        </w:rPr>
      </w:pPr>
      <w:bookmarkStart w:id="30" w:name="_heading=h.a0fq4l4owpru"/>
      <w:bookmarkEnd w:id="30"/>
      <w:r>
        <w:rPr>
          <w:rFonts w:ascii="Cambria" w:hAnsi="Cambria"/>
        </w:rPr>
        <w:t>3.1.1</w:t>
        <w:tab/>
      </w:r>
      <w:r>
        <w:rPr>
          <w:rFonts w:eastAsia="Overlock" w:cs="Overlock" w:ascii="Cambria" w:hAnsi="Cambria"/>
          <w:color w:val="000000"/>
        </w:rPr>
        <w:t>Forest Cover Trends and Status (1990–2024)</w:t>
      </w:r>
    </w:p>
    <w:p>
      <w:pPr>
        <w:pStyle w:val="Normal"/>
        <w:rPr>
          <w:rFonts w:ascii="Cambria" w:hAnsi="Cambria"/>
        </w:rPr>
      </w:pPr>
      <w:r>
        <w:rPr>
          <w:rFonts w:eastAsia="Overlock" w:cs="Overlock" w:ascii="Cambria" w:hAnsi="Cambria"/>
          <w:sz w:val="24"/>
          <w:szCs w:val="24"/>
        </w:rPr>
        <w:t>Overall, the forest area decreased by 342.793 ha in the period 1990 – 2024, reducing from 3,934,279 ha (6.65% of the national area) to 3,591,486ha (6.07% of the national area). Using the FAO-Forest Resource Assessment methodology</w:t>
      </w:r>
      <w:r>
        <w:rPr>
          <w:rStyle w:val="FootnoteReference"/>
          <w:rFonts w:eastAsia="Overlock" w:cs="Overlock" w:ascii="Cambria" w:hAnsi="Cambria"/>
          <w:sz w:val="24"/>
          <w:szCs w:val="24"/>
          <w:vertAlign w:val="superscript"/>
        </w:rPr>
        <w:footnoteReference w:id="7"/>
      </w:r>
      <w:r>
        <w:rPr>
          <w:rFonts w:eastAsia="Overlock" w:cs="Overlock" w:ascii="Cambria" w:hAnsi="Cambria"/>
          <w:sz w:val="24"/>
          <w:szCs w:val="24"/>
        </w:rPr>
        <w:t xml:space="preserve"> that accounts for forest areas based on the land area only (without water bodies), Kenya’s forest cover decreased from 6.78% to 6.19% in the period 1990 -2024. This reduction partially reflects the manifestation of historical drivers of land cover change described in the REDD+ strategy for the period prior to 2010</w:t>
      </w:r>
      <w:r>
        <w:rPr>
          <w:rStyle w:val="FootnoteReference"/>
          <w:rFonts w:eastAsia="Overlock" w:cs="Overlock" w:ascii="Cambria" w:hAnsi="Cambria"/>
          <w:sz w:val="24"/>
          <w:szCs w:val="24"/>
          <w:vertAlign w:val="superscript"/>
        </w:rPr>
        <w:footnoteReference w:id="8"/>
      </w:r>
      <w:r>
        <w:rPr>
          <w:rFonts w:eastAsia="Overlock" w:cs="Overlock" w:ascii="Cambria" w:hAnsi="Cambria"/>
          <w:sz w:val="24"/>
          <w:szCs w:val="24"/>
        </w:rPr>
        <w:t>. However, the data indicate a gradual recovery, in the period 2016- 2024 (</w:t>
      </w:r>
      <w:r>
        <w:rPr>
          <w:rFonts w:ascii="Cambria" w:hAnsi="Cambria"/>
        </w:rPr>
        <w:t>Figure 3</w:t>
      </w:r>
      <w:r>
        <w:rPr>
          <w:rFonts w:eastAsia="Overlock" w:cs="Overlock" w:ascii="Cambria" w:hAnsi="Cambria"/>
          <w:sz w:val="24"/>
          <w:szCs w:val="24"/>
        </w:rPr>
        <w:t xml:space="preserve">), raising forest cover to 6.07%. While this suggests a positive recent trend, forest cover in 2024 remains below the levels recorded in the early 1990s </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ascii="Cambria" w:hAnsi="Cambria"/>
        </w:rPr>
      </w:r>
    </w:p>
    <w:p>
      <w:pPr>
        <w:pStyle w:val="Normal"/>
        <w:rPr>
          <w:rFonts w:ascii="Cambria" w:hAnsi="Cambria"/>
        </w:rPr>
      </w:pPr>
      <w:r>
        <w:rPr>
          <w:rFonts w:ascii="Cambria" w:hAnsi="Cambria"/>
        </w:rPr>
        <w:drawing>
          <wp:inline distT="0" distB="0" distL="0" distR="0">
            <wp:extent cx="5943600" cy="3086100"/>
            <wp:effectExtent l="0" t="0" r="0" b="0"/>
            <wp:docPr id="6" name="Chart 19663022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Normal"/>
        <w:pBdr/>
        <w:spacing w:before="0" w:after="200"/>
        <w:rPr>
          <w:rFonts w:ascii="Cambria" w:hAnsi="Cambria"/>
        </w:rPr>
      </w:pPr>
      <w:bookmarkStart w:id="31" w:name="_heading=h.g22ak08n8xg5"/>
      <w:bookmarkEnd w:id="31"/>
      <w:r>
        <w:rPr>
          <w:rFonts w:ascii="Cambria" w:hAnsi="Cambria"/>
          <w:i/>
          <w:iCs/>
          <w:color w:val="1F497D"/>
          <w:sz w:val="24"/>
          <w:szCs w:val="24"/>
        </w:rPr>
        <w:t>Figure 3: Gradual recovery of forest area in the period 2016-2024</w:t>
      </w:r>
    </w:p>
    <w:p>
      <w:pPr>
        <w:pStyle w:val="Normal"/>
        <w:spacing w:before="240" w:after="240"/>
        <w:rPr>
          <w:rFonts w:ascii="Cambria" w:hAnsi="Cambria"/>
        </w:rPr>
      </w:pPr>
      <w:r>
        <w:rPr>
          <w:rFonts w:eastAsia="Overlock" w:cs="Overlock" w:ascii="Cambria" w:hAnsi="Cambria"/>
          <w:sz w:val="24"/>
          <w:szCs w:val="24"/>
        </w:rPr>
        <w:t>In terms of canopy density, dense forest shows notable fluctuations. After declining between 1990 and 2000, dense forest area increased in 2010 but dropped again by 2019. Since 2020, dense forest has exhibited a steady increase, rising from about 2.26 million ha in 2020 to 2.29 million ha in 2024. This recent growth suggests improvements in forest protection, regeneration, or reclassification toward higher canopy density in some areas.</w:t>
      </w:r>
    </w:p>
    <w:p>
      <w:pPr>
        <w:pStyle w:val="Normal"/>
        <w:spacing w:before="240" w:after="240"/>
        <w:rPr>
          <w:rFonts w:ascii="Cambria" w:hAnsi="Cambria"/>
        </w:rPr>
      </w:pPr>
      <w:r>
        <w:rPr>
          <w:rFonts w:eastAsia="Overlock" w:cs="Overlock" w:ascii="Cambria" w:hAnsi="Cambria"/>
          <w:sz w:val="24"/>
          <w:szCs w:val="24"/>
        </w:rPr>
        <w:t>Moderately dense forest experienced an overall downward trend, decreasing from 0.96 million ha in 1990 to around 0.81 million ha in 2019. Although there has been some recovery after 2019, moderate forest area in 2024 (0.89 million ha) remains below its 1990 extent, indicating partial but incomplete restoration of medium-density forest classes.</w:t>
      </w:r>
    </w:p>
    <w:p>
      <w:pPr>
        <w:pStyle w:val="Normal"/>
        <w:spacing w:before="240" w:after="240"/>
        <w:rPr>
          <w:rFonts w:ascii="Cambria" w:hAnsi="Cambria"/>
        </w:rPr>
      </w:pPr>
      <w:r>
        <w:rPr>
          <w:rFonts w:eastAsia="Overlock" w:cs="Overlock" w:ascii="Cambria" w:hAnsi="Cambria"/>
          <w:sz w:val="24"/>
          <w:szCs w:val="24"/>
        </w:rPr>
        <w:t>Open forest has consistently declined over the entire period, falling from 0.58 million ha in 1990 to approximately 0.41 million ha in 2024. This persistent reduction suggests either conversion to non-forest land uses or transitions into higher-density forest classes, though the magnitude of dense forest gains does not fully offset the long-term losses observed in open forest.</w:t>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rPr>
      </w:pPr>
      <w:r>
        <w:rPr>
          <w:rFonts w:ascii="Cambria" w:hAnsi="Cambria"/>
        </w:rPr>
        <w:drawing>
          <wp:inline distT="0" distB="0" distL="0" distR="0">
            <wp:extent cx="6530340" cy="3026410"/>
            <wp:effectExtent l="0" t="0" r="0" b="0"/>
            <wp:docPr id="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png"/>
                    <pic:cNvPicPr>
                      <a:picLocks noChangeAspect="1" noChangeArrowheads="1"/>
                    </pic:cNvPicPr>
                  </pic:nvPicPr>
                  <pic:blipFill>
                    <a:blip r:embed="rId14"/>
                    <a:stretch>
                      <a:fillRect/>
                    </a:stretch>
                  </pic:blipFill>
                  <pic:spPr bwMode="auto">
                    <a:xfrm>
                      <a:off x="0" y="0"/>
                      <a:ext cx="6530340" cy="3026410"/>
                    </a:xfrm>
                    <a:prstGeom prst="rect">
                      <a:avLst/>
                    </a:prstGeom>
                    <a:noFill/>
                  </pic:spPr>
                </pic:pic>
              </a:graphicData>
            </a:graphic>
          </wp:inline>
        </w:drawing>
      </w:r>
    </w:p>
    <w:p>
      <w:pPr>
        <w:pStyle w:val="Normal"/>
        <w:pBdr/>
        <w:spacing w:before="0" w:after="200"/>
        <w:rPr>
          <w:rFonts w:ascii="Cambria" w:hAnsi="Cambria"/>
        </w:rPr>
      </w:pPr>
      <w:r>
        <w:rPr>
          <w:rFonts w:ascii="Cambria" w:hAnsi="Cambria"/>
          <w:i/>
          <w:iCs/>
          <w:color w:val="1F497D"/>
          <w:sz w:val="24"/>
          <w:szCs w:val="24"/>
        </w:rPr>
        <w:t>Figure 4: Forestland area trends 1990-2024</w:t>
      </w:r>
    </w:p>
    <w:p>
      <w:pPr>
        <w:pStyle w:val="Normal"/>
        <w:spacing w:before="240" w:after="240"/>
        <w:rPr>
          <w:rFonts w:ascii="Cambria" w:hAnsi="Cambria"/>
        </w:rPr>
      </w:pPr>
      <w:r>
        <w:rPr>
          <w:rFonts w:eastAsia="Overlock" w:cs="Overlock" w:ascii="Cambria" w:hAnsi="Cambria"/>
          <w:sz w:val="24"/>
          <w:szCs w:val="24"/>
        </w:rPr>
        <w:t>Outside the forest estate, wooded grasslands dominate the land cover but show a marked long-term decline, from 34.3 million ha in 1990 to 29.4 million ha in 2024. In contrast, other non-forest areas have expanded steadily over the same period, indicating continued pressure on forests from agriculture, settlements, and other land uses. As a result, total non-forest area has remained relatively stable in recent years but with shifting internal composition.</w:t>
      </w:r>
    </w:p>
    <w:p>
      <w:pPr>
        <w:pStyle w:val="Normal"/>
        <w:spacing w:before="240" w:after="240"/>
        <w:rPr>
          <w:rFonts w:ascii="Cambria" w:hAnsi="Cambria"/>
        </w:rPr>
      </w:pPr>
      <w:r>
        <w:rPr>
          <w:rFonts w:eastAsia="Overlock" w:cs="Overlock" w:ascii="Cambria" w:hAnsi="Cambria"/>
          <w:sz w:val="24"/>
          <w:szCs w:val="24"/>
        </w:rPr>
        <w:t>In summary, the data depict a long period of forest contraction in Kenya up to 2019, followed by modest recovery from 2020 to 2024. Recent gains are mainly driven by increases in dense forest, while open and moderate forests remain under pressure. Although the upward trend in forest cover is encouraging, sustained effort will be required to restore forest extent and improve canopy quality to levels observed in earlier decades.</w:t>
      </w:r>
    </w:p>
    <w:p>
      <w:pPr>
        <w:pStyle w:val="Normal"/>
        <w:spacing w:before="240" w:after="240"/>
        <w:rPr>
          <w:rFonts w:ascii="Cambria" w:hAnsi="Cambria" w:eastAsia="Overlock" w:cs="Overlock"/>
          <w:sz w:val="24"/>
          <w:szCs w:val="24"/>
        </w:rPr>
      </w:pPr>
      <w:r>
        <w:rPr>
          <w:rFonts w:eastAsia="Overlock" w:cs="Overlock" w:ascii="Cambria" w:hAnsi="Cambria"/>
          <w:sz w:val="24"/>
          <w:szCs w:val="24"/>
        </w:rPr>
      </w:r>
    </w:p>
    <w:p>
      <w:pPr>
        <w:pStyle w:val="Normal"/>
        <w:pBdr/>
        <w:spacing w:before="0" w:after="200"/>
        <w:rPr>
          <w:rFonts w:ascii="Cambria" w:hAnsi="Cambria"/>
        </w:rPr>
      </w:pPr>
      <w:r>
        <w:rPr>
          <w:rFonts w:ascii="Cambria" w:hAnsi="Cambria"/>
          <w:i/>
          <w:iCs/>
          <w:color w:val="1F497D"/>
          <w:sz w:val="24"/>
          <w:szCs w:val="24"/>
        </w:rPr>
        <w:t xml:space="preserve">Table 2: </w:t>
      </w:r>
      <w:r>
        <w:rPr>
          <w:rFonts w:eastAsia="Overlock" w:cs="Overlock" w:ascii="Cambria" w:hAnsi="Cambria"/>
          <w:b/>
          <w:bCs/>
          <w:i/>
          <w:iCs/>
          <w:color w:val="1F497D"/>
          <w:sz w:val="24"/>
          <w:szCs w:val="24"/>
        </w:rPr>
        <w:t>Status of Forest; 1990-2024</w:t>
      </w:r>
    </w:p>
    <w:tbl>
      <w:tblPr>
        <w:tblStyle w:val="aa"/>
        <w:tblW w:w="9449" w:type="dxa"/>
        <w:jc w:val="start"/>
        <w:tblInd w:w="0" w:type="dxa"/>
        <w:tblLayout w:type="fixed"/>
        <w:tblCellMar>
          <w:top w:w="0" w:type="dxa"/>
          <w:start w:w="100" w:type="dxa"/>
          <w:bottom w:w="0" w:type="dxa"/>
          <w:end w:w="100" w:type="dxa"/>
        </w:tblCellMar>
        <w:tblLook w:val="0600" w:noHBand="1" w:noVBand="1" w:firstColumn="0" w:lastRow="0" w:lastColumn="0" w:firstRow="0"/>
      </w:tblPr>
      <w:tblGrid>
        <w:gridCol w:w="2136"/>
        <w:gridCol w:w="812"/>
        <w:gridCol w:w="811"/>
        <w:gridCol w:w="814"/>
        <w:gridCol w:w="812"/>
        <w:gridCol w:w="813"/>
        <w:gridCol w:w="814"/>
        <w:gridCol w:w="812"/>
        <w:gridCol w:w="814"/>
        <w:gridCol w:w="811"/>
      </w:tblGrid>
      <w:tr>
        <w:trPr>
          <w:trHeight w:val="300" w:hRule="atLeast"/>
        </w:trPr>
        <w:tc>
          <w:tcPr>
            <w:tcW w:w="2136" w:type="dxa"/>
            <w:vMerge w:val="restart"/>
            <w:tcBorders/>
            <w:shd w:color="auto" w:fill="FFE1E5" w:val="clear"/>
            <w:vAlign w:val="bottom"/>
          </w:tcPr>
          <w:p>
            <w:pPr>
              <w:pStyle w:val="Normal"/>
              <w:pBdr/>
              <w:rPr>
                <w:rFonts w:ascii="Cambria" w:hAnsi="Cambria"/>
              </w:rPr>
            </w:pPr>
            <w:r>
              <w:rPr>
                <w:rFonts w:ascii="Cambria" w:hAnsi="Cambria"/>
                <w:color w:val="9C0006"/>
                <w:sz w:val="20"/>
                <w:szCs w:val="20"/>
              </w:rPr>
              <w:t xml:space="preserve"> </w:t>
            </w:r>
          </w:p>
        </w:tc>
        <w:tc>
          <w:tcPr>
            <w:tcW w:w="7313" w:type="dxa"/>
            <w:gridSpan w:val="9"/>
            <w:tcBorders>
              <w:bottom w:val="single" w:sz="4" w:space="0" w:color="000000"/>
            </w:tcBorders>
            <w:shd w:color="auto" w:fill="FFE1E5" w:val="clear"/>
            <w:vAlign w:val="bottom"/>
          </w:tcPr>
          <w:p>
            <w:pPr>
              <w:pStyle w:val="Normal"/>
              <w:pBdr/>
              <w:jc w:val="center"/>
              <w:rPr>
                <w:rFonts w:ascii="Cambria" w:hAnsi="Cambria"/>
              </w:rPr>
            </w:pPr>
            <w:r>
              <w:rPr>
                <w:rFonts w:ascii="Cambria" w:hAnsi="Cambria"/>
                <w:color w:val="000000"/>
                <w:sz w:val="20"/>
                <w:szCs w:val="20"/>
              </w:rPr>
              <w:t>Area in '000 Ha</w:t>
            </w:r>
          </w:p>
        </w:tc>
      </w:tr>
      <w:tr>
        <w:trPr>
          <w:trHeight w:val="300" w:hRule="atLeast"/>
        </w:trPr>
        <w:tc>
          <w:tcPr>
            <w:tcW w:w="2136" w:type="dxa"/>
            <w:vMerge w:val="continue"/>
            <w:tcBorders/>
            <w:shd w:color="auto" w:fill="FFE1E5" w:val="clear"/>
            <w:vAlign w:val="bottom"/>
          </w:tcPr>
          <w:p>
            <w:pPr>
              <w:pStyle w:val="Normal"/>
              <w:widowControl w:val="false"/>
              <w:pBdr/>
              <w:spacing w:lineRule="auto" w:line="276"/>
              <w:jc w:val="start"/>
              <w:rPr>
                <w:rFonts w:ascii="Cambria" w:hAnsi="Cambria"/>
                <w:color w:val="9C0006"/>
                <w:sz w:val="20"/>
                <w:szCs w:val="20"/>
              </w:rPr>
            </w:pPr>
            <w:r>
              <w:rPr>
                <w:rFonts w:ascii="Cambria" w:hAnsi="Cambria"/>
                <w:color w:val="9C0006"/>
                <w:sz w:val="20"/>
                <w:szCs w:val="20"/>
              </w:rPr>
            </w:r>
          </w:p>
        </w:tc>
        <w:tc>
          <w:tcPr>
            <w:tcW w:w="812"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1990</w:t>
            </w:r>
          </w:p>
        </w:tc>
        <w:tc>
          <w:tcPr>
            <w:tcW w:w="811"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2000</w:t>
            </w:r>
          </w:p>
        </w:tc>
        <w:tc>
          <w:tcPr>
            <w:tcW w:w="814"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2010</w:t>
            </w:r>
          </w:p>
        </w:tc>
        <w:tc>
          <w:tcPr>
            <w:tcW w:w="812"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2019</w:t>
            </w:r>
          </w:p>
        </w:tc>
        <w:tc>
          <w:tcPr>
            <w:tcW w:w="813"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2020</w:t>
            </w:r>
          </w:p>
        </w:tc>
        <w:tc>
          <w:tcPr>
            <w:tcW w:w="814"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2021</w:t>
            </w:r>
          </w:p>
        </w:tc>
        <w:tc>
          <w:tcPr>
            <w:tcW w:w="812"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2022</w:t>
            </w:r>
          </w:p>
        </w:tc>
        <w:tc>
          <w:tcPr>
            <w:tcW w:w="814"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2023</w:t>
            </w:r>
          </w:p>
        </w:tc>
        <w:tc>
          <w:tcPr>
            <w:tcW w:w="811" w:type="dxa"/>
            <w:tcBorders>
              <w:bottom w:val="single" w:sz="4" w:space="0" w:color="000000"/>
            </w:tcBorders>
            <w:shd w:color="auto" w:fill="FFE1E5" w:val="clear"/>
            <w:vAlign w:val="bottom"/>
          </w:tcPr>
          <w:p>
            <w:pPr>
              <w:pStyle w:val="Normal"/>
              <w:pBdr/>
              <w:rPr>
                <w:rFonts w:ascii="Cambria" w:hAnsi="Cambria"/>
              </w:rPr>
            </w:pPr>
            <w:r>
              <w:rPr>
                <w:rFonts w:eastAsia="Overlock" w:cs="Overlock" w:ascii="Cambria" w:hAnsi="Cambria"/>
                <w:color w:val="000000"/>
                <w:sz w:val="20"/>
                <w:szCs w:val="20"/>
              </w:rPr>
              <w:t>2024</w:t>
            </w:r>
          </w:p>
        </w:tc>
      </w:tr>
      <w:tr>
        <w:trPr>
          <w:trHeight w:val="300" w:hRule="atLeast"/>
        </w:trPr>
        <w:tc>
          <w:tcPr>
            <w:tcW w:w="2136"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Canopy Density</w:t>
            </w:r>
          </w:p>
        </w:tc>
        <w:tc>
          <w:tcPr>
            <w:tcW w:w="812"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1"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4"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2"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3"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4"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2"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4"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c>
          <w:tcPr>
            <w:tcW w:w="811"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 </w:t>
            </w:r>
          </w:p>
        </w:tc>
      </w:tr>
      <w:tr>
        <w:trPr>
          <w:trHeight w:val="354" w:hRule="atLeast"/>
        </w:trPr>
        <w:tc>
          <w:tcPr>
            <w:tcW w:w="2136" w:type="dxa"/>
            <w:tcBorders/>
            <w:vAlign w:val="bottom"/>
          </w:tcPr>
          <w:p>
            <w:pPr>
              <w:pStyle w:val="Normal"/>
              <w:pBdr/>
              <w:rPr>
                <w:rFonts w:ascii="Cambria" w:hAnsi="Cambria"/>
              </w:rPr>
            </w:pPr>
            <w:r>
              <w:rPr>
                <w:rFonts w:eastAsia="Overlock" w:cs="Overlock" w:ascii="Cambria" w:hAnsi="Cambria"/>
                <w:color w:val="000000"/>
                <w:sz w:val="20"/>
                <w:szCs w:val="20"/>
              </w:rPr>
              <w:t>Dense Forest</w:t>
            </w:r>
          </w:p>
        </w:tc>
        <w:tc>
          <w:tcPr>
            <w:tcW w:w="812" w:type="dxa"/>
            <w:tcBorders/>
          </w:tcPr>
          <w:p>
            <w:pPr>
              <w:pStyle w:val="Normal"/>
              <w:pBdr/>
              <w:rPr>
                <w:rFonts w:ascii="Cambria" w:hAnsi="Cambria"/>
              </w:rPr>
            </w:pPr>
            <w:r>
              <w:rPr>
                <w:rFonts w:eastAsia="Overlock" w:cs="Overlock" w:ascii="Cambria" w:hAnsi="Cambria"/>
                <w:color w:val="000000"/>
                <w:sz w:val="20"/>
                <w:szCs w:val="20"/>
              </w:rPr>
              <w:t>2,394</w:t>
            </w:r>
          </w:p>
        </w:tc>
        <w:tc>
          <w:tcPr>
            <w:tcW w:w="811" w:type="dxa"/>
            <w:tcBorders/>
          </w:tcPr>
          <w:p>
            <w:pPr>
              <w:pStyle w:val="Normal"/>
              <w:pBdr/>
              <w:rPr>
                <w:rFonts w:ascii="Cambria" w:hAnsi="Cambria"/>
              </w:rPr>
            </w:pPr>
            <w:r>
              <w:rPr>
                <w:rFonts w:eastAsia="Overlock" w:cs="Overlock" w:ascii="Cambria" w:hAnsi="Cambria"/>
                <w:color w:val="000000"/>
                <w:sz w:val="20"/>
                <w:szCs w:val="20"/>
              </w:rPr>
              <w:t>2,221</w:t>
            </w:r>
          </w:p>
        </w:tc>
        <w:tc>
          <w:tcPr>
            <w:tcW w:w="814" w:type="dxa"/>
            <w:tcBorders/>
          </w:tcPr>
          <w:p>
            <w:pPr>
              <w:pStyle w:val="Normal"/>
              <w:pBdr/>
              <w:rPr>
                <w:rFonts w:ascii="Cambria" w:hAnsi="Cambria"/>
              </w:rPr>
            </w:pPr>
            <w:r>
              <w:rPr>
                <w:rFonts w:eastAsia="Overlock" w:cs="Overlock" w:ascii="Cambria" w:hAnsi="Cambria"/>
                <w:color w:val="000000"/>
                <w:sz w:val="20"/>
                <w:szCs w:val="20"/>
              </w:rPr>
              <w:t>2,464</w:t>
            </w:r>
          </w:p>
        </w:tc>
        <w:tc>
          <w:tcPr>
            <w:tcW w:w="812" w:type="dxa"/>
            <w:tcBorders/>
          </w:tcPr>
          <w:p>
            <w:pPr>
              <w:pStyle w:val="Normal"/>
              <w:pBdr/>
              <w:rPr>
                <w:rFonts w:ascii="Cambria" w:hAnsi="Cambria"/>
              </w:rPr>
            </w:pPr>
            <w:r>
              <w:rPr>
                <w:rFonts w:eastAsia="Overlock" w:cs="Overlock" w:ascii="Cambria" w:hAnsi="Cambria"/>
                <w:color w:val="000000"/>
                <w:sz w:val="20"/>
                <w:szCs w:val="20"/>
              </w:rPr>
              <w:t>2,222</w:t>
            </w:r>
          </w:p>
        </w:tc>
        <w:tc>
          <w:tcPr>
            <w:tcW w:w="813" w:type="dxa"/>
            <w:tcBorders/>
          </w:tcPr>
          <w:p>
            <w:pPr>
              <w:pStyle w:val="Normal"/>
              <w:pBdr/>
              <w:rPr>
                <w:rFonts w:ascii="Cambria" w:hAnsi="Cambria"/>
              </w:rPr>
            </w:pPr>
            <w:r>
              <w:rPr>
                <w:rFonts w:eastAsia="Overlock" w:cs="Overlock" w:ascii="Cambria" w:hAnsi="Cambria"/>
                <w:color w:val="000000"/>
                <w:sz w:val="20"/>
                <w:szCs w:val="20"/>
              </w:rPr>
              <w:t>2,256</w:t>
            </w:r>
          </w:p>
        </w:tc>
        <w:tc>
          <w:tcPr>
            <w:tcW w:w="814" w:type="dxa"/>
            <w:tcBorders/>
          </w:tcPr>
          <w:p>
            <w:pPr>
              <w:pStyle w:val="Normal"/>
              <w:pBdr/>
              <w:rPr>
                <w:rFonts w:ascii="Cambria" w:hAnsi="Cambria"/>
              </w:rPr>
            </w:pPr>
            <w:r>
              <w:rPr>
                <w:rFonts w:eastAsia="Overlock" w:cs="Overlock" w:ascii="Cambria" w:hAnsi="Cambria"/>
                <w:color w:val="000000"/>
                <w:sz w:val="20"/>
                <w:szCs w:val="20"/>
              </w:rPr>
              <w:t>2,269</w:t>
            </w:r>
          </w:p>
        </w:tc>
        <w:tc>
          <w:tcPr>
            <w:tcW w:w="812" w:type="dxa"/>
            <w:tcBorders/>
          </w:tcPr>
          <w:p>
            <w:pPr>
              <w:pStyle w:val="Normal"/>
              <w:pBdr/>
              <w:rPr>
                <w:rFonts w:ascii="Cambria" w:hAnsi="Cambria"/>
              </w:rPr>
            </w:pPr>
            <w:r>
              <w:rPr>
                <w:rFonts w:eastAsia="Overlock" w:cs="Overlock" w:ascii="Cambria" w:hAnsi="Cambria"/>
                <w:color w:val="000000"/>
                <w:sz w:val="20"/>
                <w:szCs w:val="20"/>
              </w:rPr>
              <w:t>2,269</w:t>
            </w:r>
          </w:p>
        </w:tc>
        <w:tc>
          <w:tcPr>
            <w:tcW w:w="814" w:type="dxa"/>
            <w:tcBorders/>
          </w:tcPr>
          <w:p>
            <w:pPr>
              <w:pStyle w:val="Normal"/>
              <w:pBdr/>
              <w:rPr>
                <w:rFonts w:ascii="Cambria" w:hAnsi="Cambria"/>
              </w:rPr>
            </w:pPr>
            <w:r>
              <w:rPr>
                <w:rFonts w:eastAsia="Overlock" w:cs="Overlock" w:ascii="Cambria" w:hAnsi="Cambria"/>
                <w:color w:val="000000"/>
                <w:sz w:val="20"/>
                <w:szCs w:val="20"/>
              </w:rPr>
              <w:t>2,275</w:t>
            </w:r>
          </w:p>
        </w:tc>
        <w:tc>
          <w:tcPr>
            <w:tcW w:w="811" w:type="dxa"/>
            <w:tcBorders/>
          </w:tcPr>
          <w:p>
            <w:pPr>
              <w:pStyle w:val="Normal"/>
              <w:pBdr/>
              <w:rPr>
                <w:rFonts w:ascii="Cambria" w:hAnsi="Cambria"/>
              </w:rPr>
            </w:pPr>
            <w:r>
              <w:rPr>
                <w:rFonts w:eastAsia="Overlock" w:cs="Overlock" w:ascii="Cambria" w:hAnsi="Cambria"/>
                <w:color w:val="000000"/>
                <w:sz w:val="20"/>
                <w:szCs w:val="20"/>
              </w:rPr>
              <w:t>2,289</w:t>
            </w:r>
          </w:p>
        </w:tc>
      </w:tr>
      <w:tr>
        <w:trPr>
          <w:trHeight w:val="294" w:hRule="atLeast"/>
        </w:trPr>
        <w:tc>
          <w:tcPr>
            <w:tcW w:w="2136" w:type="dxa"/>
            <w:tcBorders/>
            <w:vAlign w:val="bottom"/>
          </w:tcPr>
          <w:p>
            <w:pPr>
              <w:pStyle w:val="Normal"/>
              <w:pBdr/>
              <w:rPr>
                <w:rFonts w:ascii="Cambria" w:hAnsi="Cambria"/>
              </w:rPr>
            </w:pPr>
            <w:r>
              <w:rPr>
                <w:rFonts w:eastAsia="Overlock" w:cs="Overlock" w:ascii="Cambria" w:hAnsi="Cambria"/>
                <w:color w:val="000000"/>
                <w:sz w:val="20"/>
                <w:szCs w:val="20"/>
              </w:rPr>
              <w:t>Moderate Forest</w:t>
            </w:r>
          </w:p>
        </w:tc>
        <w:tc>
          <w:tcPr>
            <w:tcW w:w="812" w:type="dxa"/>
            <w:tcBorders/>
          </w:tcPr>
          <w:p>
            <w:pPr>
              <w:pStyle w:val="Normal"/>
              <w:pBdr/>
              <w:rPr>
                <w:rFonts w:ascii="Cambria" w:hAnsi="Cambria"/>
              </w:rPr>
            </w:pPr>
            <w:r>
              <w:rPr>
                <w:rFonts w:eastAsia="Overlock" w:cs="Overlock" w:ascii="Cambria" w:hAnsi="Cambria"/>
                <w:color w:val="000000"/>
                <w:sz w:val="20"/>
                <w:szCs w:val="20"/>
              </w:rPr>
              <w:t>964</w:t>
            </w:r>
          </w:p>
        </w:tc>
        <w:tc>
          <w:tcPr>
            <w:tcW w:w="811" w:type="dxa"/>
            <w:tcBorders/>
          </w:tcPr>
          <w:p>
            <w:pPr>
              <w:pStyle w:val="Normal"/>
              <w:pBdr/>
              <w:rPr>
                <w:rFonts w:ascii="Cambria" w:hAnsi="Cambria"/>
              </w:rPr>
            </w:pPr>
            <w:r>
              <w:rPr>
                <w:rFonts w:eastAsia="Overlock" w:cs="Overlock" w:ascii="Cambria" w:hAnsi="Cambria"/>
                <w:color w:val="000000"/>
                <w:sz w:val="20"/>
                <w:szCs w:val="20"/>
              </w:rPr>
              <w:t>1,170</w:t>
            </w:r>
          </w:p>
        </w:tc>
        <w:tc>
          <w:tcPr>
            <w:tcW w:w="814" w:type="dxa"/>
            <w:tcBorders/>
          </w:tcPr>
          <w:p>
            <w:pPr>
              <w:pStyle w:val="Normal"/>
              <w:pBdr/>
              <w:rPr>
                <w:rFonts w:ascii="Cambria" w:hAnsi="Cambria"/>
              </w:rPr>
            </w:pPr>
            <w:r>
              <w:rPr>
                <w:rFonts w:eastAsia="Overlock" w:cs="Overlock" w:ascii="Cambria" w:hAnsi="Cambria"/>
                <w:color w:val="000000"/>
                <w:sz w:val="20"/>
                <w:szCs w:val="20"/>
              </w:rPr>
              <w:t>889</w:t>
            </w:r>
          </w:p>
        </w:tc>
        <w:tc>
          <w:tcPr>
            <w:tcW w:w="812" w:type="dxa"/>
            <w:tcBorders/>
          </w:tcPr>
          <w:p>
            <w:pPr>
              <w:pStyle w:val="Normal"/>
              <w:pBdr/>
              <w:rPr>
                <w:rFonts w:ascii="Cambria" w:hAnsi="Cambria"/>
              </w:rPr>
            </w:pPr>
            <w:r>
              <w:rPr>
                <w:rFonts w:eastAsia="Overlock" w:cs="Overlock" w:ascii="Cambria" w:hAnsi="Cambria"/>
                <w:color w:val="000000"/>
                <w:sz w:val="20"/>
                <w:szCs w:val="20"/>
              </w:rPr>
              <w:t>811</w:t>
            </w:r>
          </w:p>
        </w:tc>
        <w:tc>
          <w:tcPr>
            <w:tcW w:w="813" w:type="dxa"/>
            <w:tcBorders/>
          </w:tcPr>
          <w:p>
            <w:pPr>
              <w:pStyle w:val="Normal"/>
              <w:pBdr/>
              <w:rPr>
                <w:rFonts w:ascii="Cambria" w:hAnsi="Cambria"/>
              </w:rPr>
            </w:pPr>
            <w:r>
              <w:rPr>
                <w:rFonts w:eastAsia="Overlock" w:cs="Overlock" w:ascii="Cambria" w:hAnsi="Cambria"/>
                <w:color w:val="000000"/>
                <w:sz w:val="20"/>
                <w:szCs w:val="20"/>
              </w:rPr>
              <w:t>814</w:t>
            </w:r>
          </w:p>
        </w:tc>
        <w:tc>
          <w:tcPr>
            <w:tcW w:w="814" w:type="dxa"/>
            <w:tcBorders/>
          </w:tcPr>
          <w:p>
            <w:pPr>
              <w:pStyle w:val="Normal"/>
              <w:pBdr/>
              <w:rPr>
                <w:rFonts w:ascii="Cambria" w:hAnsi="Cambria"/>
              </w:rPr>
            </w:pPr>
            <w:r>
              <w:rPr>
                <w:rFonts w:eastAsia="Overlock" w:cs="Overlock" w:ascii="Cambria" w:hAnsi="Cambria"/>
                <w:color w:val="000000"/>
                <w:sz w:val="20"/>
                <w:szCs w:val="20"/>
              </w:rPr>
              <w:t>824</w:t>
            </w:r>
          </w:p>
        </w:tc>
        <w:tc>
          <w:tcPr>
            <w:tcW w:w="812" w:type="dxa"/>
            <w:tcBorders/>
          </w:tcPr>
          <w:p>
            <w:pPr>
              <w:pStyle w:val="Normal"/>
              <w:pBdr/>
              <w:rPr>
                <w:rFonts w:ascii="Cambria" w:hAnsi="Cambria"/>
              </w:rPr>
            </w:pPr>
            <w:r>
              <w:rPr>
                <w:rFonts w:eastAsia="Overlock" w:cs="Overlock" w:ascii="Cambria" w:hAnsi="Cambria"/>
                <w:color w:val="000000"/>
                <w:sz w:val="20"/>
                <w:szCs w:val="20"/>
              </w:rPr>
              <w:t>859</w:t>
            </w:r>
          </w:p>
        </w:tc>
        <w:tc>
          <w:tcPr>
            <w:tcW w:w="814" w:type="dxa"/>
            <w:tcBorders/>
          </w:tcPr>
          <w:p>
            <w:pPr>
              <w:pStyle w:val="Normal"/>
              <w:pBdr/>
              <w:rPr>
                <w:rFonts w:ascii="Cambria" w:hAnsi="Cambria"/>
              </w:rPr>
            </w:pPr>
            <w:r>
              <w:rPr>
                <w:rFonts w:eastAsia="Overlock" w:cs="Overlock" w:ascii="Cambria" w:hAnsi="Cambria"/>
                <w:color w:val="000000"/>
                <w:sz w:val="20"/>
                <w:szCs w:val="20"/>
              </w:rPr>
              <w:t>894</w:t>
            </w:r>
          </w:p>
        </w:tc>
        <w:tc>
          <w:tcPr>
            <w:tcW w:w="811" w:type="dxa"/>
            <w:tcBorders/>
          </w:tcPr>
          <w:p>
            <w:pPr>
              <w:pStyle w:val="Normal"/>
              <w:pBdr/>
              <w:rPr>
                <w:rFonts w:ascii="Cambria" w:hAnsi="Cambria"/>
              </w:rPr>
            </w:pPr>
            <w:r>
              <w:rPr>
                <w:rFonts w:eastAsia="Overlock" w:cs="Overlock" w:ascii="Cambria" w:hAnsi="Cambria"/>
                <w:color w:val="000000"/>
                <w:sz w:val="20"/>
                <w:szCs w:val="20"/>
              </w:rPr>
              <w:t>890</w:t>
            </w:r>
          </w:p>
        </w:tc>
      </w:tr>
      <w:tr>
        <w:trPr>
          <w:trHeight w:val="252" w:hRule="atLeast"/>
        </w:trPr>
        <w:tc>
          <w:tcPr>
            <w:tcW w:w="2136" w:type="dxa"/>
            <w:tcBorders>
              <w:bottom w:val="single" w:sz="4" w:space="0" w:color="000000"/>
            </w:tcBorders>
            <w:vAlign w:val="bottom"/>
          </w:tcPr>
          <w:p>
            <w:pPr>
              <w:pStyle w:val="Normal"/>
              <w:pBdr/>
              <w:rPr>
                <w:rFonts w:ascii="Cambria" w:hAnsi="Cambria"/>
              </w:rPr>
            </w:pPr>
            <w:r>
              <w:rPr>
                <w:rFonts w:eastAsia="Overlock" w:cs="Overlock" w:ascii="Cambria" w:hAnsi="Cambria"/>
                <w:color w:val="000000"/>
                <w:sz w:val="20"/>
                <w:szCs w:val="20"/>
              </w:rPr>
              <w:t>Open Forest</w:t>
            </w:r>
          </w:p>
        </w:tc>
        <w:tc>
          <w:tcPr>
            <w:tcW w:w="812" w:type="dxa"/>
            <w:tcBorders/>
          </w:tcPr>
          <w:p>
            <w:pPr>
              <w:pStyle w:val="Normal"/>
              <w:pBdr/>
              <w:rPr>
                <w:rFonts w:ascii="Cambria" w:hAnsi="Cambria"/>
              </w:rPr>
            </w:pPr>
            <w:r>
              <w:rPr>
                <w:rFonts w:eastAsia="Overlock" w:cs="Overlock" w:ascii="Cambria" w:hAnsi="Cambria"/>
                <w:color w:val="000000"/>
                <w:sz w:val="20"/>
                <w:szCs w:val="20"/>
              </w:rPr>
              <w:t>577</w:t>
            </w:r>
          </w:p>
        </w:tc>
        <w:tc>
          <w:tcPr>
            <w:tcW w:w="811" w:type="dxa"/>
            <w:tcBorders/>
          </w:tcPr>
          <w:p>
            <w:pPr>
              <w:pStyle w:val="Normal"/>
              <w:pBdr/>
              <w:rPr>
                <w:rFonts w:ascii="Cambria" w:hAnsi="Cambria"/>
              </w:rPr>
            </w:pPr>
            <w:r>
              <w:rPr>
                <w:rFonts w:eastAsia="Overlock" w:cs="Overlock" w:ascii="Cambria" w:hAnsi="Cambria"/>
                <w:color w:val="000000"/>
                <w:sz w:val="20"/>
                <w:szCs w:val="20"/>
              </w:rPr>
              <w:t>620</w:t>
            </w:r>
          </w:p>
        </w:tc>
        <w:tc>
          <w:tcPr>
            <w:tcW w:w="814" w:type="dxa"/>
            <w:tcBorders/>
          </w:tcPr>
          <w:p>
            <w:pPr>
              <w:pStyle w:val="Normal"/>
              <w:pBdr/>
              <w:rPr>
                <w:rFonts w:ascii="Cambria" w:hAnsi="Cambria"/>
              </w:rPr>
            </w:pPr>
            <w:r>
              <w:rPr>
                <w:rFonts w:eastAsia="Overlock" w:cs="Overlock" w:ascii="Cambria" w:hAnsi="Cambria"/>
                <w:color w:val="000000"/>
                <w:sz w:val="20"/>
                <w:szCs w:val="20"/>
              </w:rPr>
              <w:t>525</w:t>
            </w:r>
          </w:p>
        </w:tc>
        <w:tc>
          <w:tcPr>
            <w:tcW w:w="812" w:type="dxa"/>
            <w:tcBorders/>
          </w:tcPr>
          <w:p>
            <w:pPr>
              <w:pStyle w:val="Normal"/>
              <w:pBdr/>
              <w:rPr>
                <w:rFonts w:ascii="Cambria" w:hAnsi="Cambria"/>
              </w:rPr>
            </w:pPr>
            <w:r>
              <w:rPr>
                <w:rFonts w:eastAsia="Overlock" w:cs="Overlock" w:ascii="Cambria" w:hAnsi="Cambria"/>
                <w:color w:val="000000"/>
                <w:sz w:val="20"/>
                <w:szCs w:val="20"/>
              </w:rPr>
              <w:t>434</w:t>
            </w:r>
          </w:p>
        </w:tc>
        <w:tc>
          <w:tcPr>
            <w:tcW w:w="813" w:type="dxa"/>
            <w:tcBorders/>
          </w:tcPr>
          <w:p>
            <w:pPr>
              <w:pStyle w:val="Normal"/>
              <w:pBdr/>
              <w:rPr>
                <w:rFonts w:ascii="Cambria" w:hAnsi="Cambria"/>
              </w:rPr>
            </w:pPr>
            <w:r>
              <w:rPr>
                <w:rFonts w:eastAsia="Overlock" w:cs="Overlock" w:ascii="Cambria" w:hAnsi="Cambria"/>
                <w:color w:val="000000"/>
                <w:sz w:val="20"/>
                <w:szCs w:val="20"/>
              </w:rPr>
              <w:t>426</w:t>
            </w:r>
          </w:p>
        </w:tc>
        <w:tc>
          <w:tcPr>
            <w:tcW w:w="814" w:type="dxa"/>
            <w:tcBorders/>
          </w:tcPr>
          <w:p>
            <w:pPr>
              <w:pStyle w:val="Normal"/>
              <w:pBdr/>
              <w:rPr>
                <w:rFonts w:ascii="Cambria" w:hAnsi="Cambria"/>
              </w:rPr>
            </w:pPr>
            <w:r>
              <w:rPr>
                <w:rFonts w:eastAsia="Overlock" w:cs="Overlock" w:ascii="Cambria" w:hAnsi="Cambria"/>
                <w:color w:val="000000"/>
                <w:sz w:val="20"/>
                <w:szCs w:val="20"/>
              </w:rPr>
              <w:t>424</w:t>
            </w:r>
          </w:p>
        </w:tc>
        <w:tc>
          <w:tcPr>
            <w:tcW w:w="812" w:type="dxa"/>
            <w:tcBorders/>
          </w:tcPr>
          <w:p>
            <w:pPr>
              <w:pStyle w:val="Normal"/>
              <w:pBdr/>
              <w:rPr>
                <w:rFonts w:ascii="Cambria" w:hAnsi="Cambria"/>
              </w:rPr>
            </w:pPr>
            <w:r>
              <w:rPr>
                <w:rFonts w:eastAsia="Overlock" w:cs="Overlock" w:ascii="Cambria" w:hAnsi="Cambria"/>
                <w:color w:val="000000"/>
                <w:sz w:val="20"/>
                <w:szCs w:val="20"/>
              </w:rPr>
              <w:t>422</w:t>
            </w:r>
          </w:p>
        </w:tc>
        <w:tc>
          <w:tcPr>
            <w:tcW w:w="814" w:type="dxa"/>
            <w:tcBorders/>
          </w:tcPr>
          <w:p>
            <w:pPr>
              <w:pStyle w:val="Normal"/>
              <w:pBdr/>
              <w:rPr>
                <w:rFonts w:ascii="Cambria" w:hAnsi="Cambria"/>
              </w:rPr>
            </w:pPr>
            <w:r>
              <w:rPr>
                <w:rFonts w:eastAsia="Overlock" w:cs="Overlock" w:ascii="Cambria" w:hAnsi="Cambria"/>
                <w:color w:val="000000"/>
                <w:sz w:val="20"/>
                <w:szCs w:val="20"/>
              </w:rPr>
              <w:t>410</w:t>
            </w:r>
          </w:p>
        </w:tc>
        <w:tc>
          <w:tcPr>
            <w:tcW w:w="811" w:type="dxa"/>
            <w:tcBorders/>
          </w:tcPr>
          <w:p>
            <w:pPr>
              <w:pStyle w:val="Normal"/>
              <w:pBdr/>
              <w:rPr>
                <w:rFonts w:ascii="Cambria" w:hAnsi="Cambria"/>
              </w:rPr>
            </w:pPr>
            <w:r>
              <w:rPr>
                <w:rFonts w:eastAsia="Overlock" w:cs="Overlock" w:ascii="Cambria" w:hAnsi="Cambria"/>
                <w:color w:val="000000"/>
                <w:sz w:val="20"/>
                <w:szCs w:val="20"/>
              </w:rPr>
              <w:t>412</w:t>
            </w:r>
          </w:p>
        </w:tc>
      </w:tr>
      <w:tr>
        <w:trPr>
          <w:trHeight w:val="294" w:hRule="atLeast"/>
        </w:trPr>
        <w:tc>
          <w:tcPr>
            <w:tcW w:w="2136"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Total Forest Area </w:t>
            </w:r>
          </w:p>
        </w:tc>
        <w:tc>
          <w:tcPr>
            <w:tcW w:w="812"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3,934</w:t>
            </w:r>
          </w:p>
        </w:tc>
        <w:tc>
          <w:tcPr>
            <w:tcW w:w="811"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4,011</w:t>
            </w:r>
          </w:p>
        </w:tc>
        <w:tc>
          <w:tcPr>
            <w:tcW w:w="814"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3,878</w:t>
            </w:r>
          </w:p>
        </w:tc>
        <w:tc>
          <w:tcPr>
            <w:tcW w:w="812"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3,467</w:t>
            </w:r>
          </w:p>
        </w:tc>
        <w:tc>
          <w:tcPr>
            <w:tcW w:w="813"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3,496</w:t>
            </w:r>
          </w:p>
        </w:tc>
        <w:tc>
          <w:tcPr>
            <w:tcW w:w="814"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3,517</w:t>
            </w:r>
          </w:p>
        </w:tc>
        <w:tc>
          <w:tcPr>
            <w:tcW w:w="812"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3,550</w:t>
            </w:r>
          </w:p>
        </w:tc>
        <w:tc>
          <w:tcPr>
            <w:tcW w:w="814"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3,580</w:t>
            </w:r>
          </w:p>
        </w:tc>
        <w:tc>
          <w:tcPr>
            <w:tcW w:w="811"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3,591</w:t>
            </w:r>
          </w:p>
        </w:tc>
      </w:tr>
      <w:tr>
        <w:trPr>
          <w:trHeight w:val="267" w:hRule="atLeast"/>
        </w:trPr>
        <w:tc>
          <w:tcPr>
            <w:tcW w:w="2136" w:type="dxa"/>
            <w:tcBorders/>
            <w:vAlign w:val="bottom"/>
          </w:tcPr>
          <w:p>
            <w:pPr>
              <w:pStyle w:val="Normal"/>
              <w:pBdr/>
              <w:rPr>
                <w:rFonts w:ascii="Cambria" w:hAnsi="Cambria"/>
              </w:rPr>
            </w:pPr>
            <w:r>
              <w:rPr>
                <w:rFonts w:eastAsia="Overlock" w:cs="Overlock" w:ascii="Cambria" w:hAnsi="Cambria"/>
                <w:color w:val="000000"/>
                <w:sz w:val="20"/>
                <w:szCs w:val="20"/>
              </w:rPr>
              <w:t>Wooded Grassland</w:t>
            </w:r>
          </w:p>
        </w:tc>
        <w:tc>
          <w:tcPr>
            <w:tcW w:w="812" w:type="dxa"/>
            <w:tcBorders/>
          </w:tcPr>
          <w:p>
            <w:pPr>
              <w:pStyle w:val="Normal"/>
              <w:pBdr/>
              <w:rPr>
                <w:rFonts w:ascii="Cambria" w:hAnsi="Cambria"/>
              </w:rPr>
            </w:pPr>
            <w:r>
              <w:rPr>
                <w:rFonts w:eastAsia="Overlock" w:cs="Overlock" w:ascii="Cambria" w:hAnsi="Cambria"/>
                <w:color w:val="000000"/>
                <w:sz w:val="20"/>
                <w:szCs w:val="20"/>
              </w:rPr>
              <w:t>34,278</w:t>
            </w:r>
          </w:p>
        </w:tc>
        <w:tc>
          <w:tcPr>
            <w:tcW w:w="811" w:type="dxa"/>
            <w:tcBorders/>
          </w:tcPr>
          <w:p>
            <w:pPr>
              <w:pStyle w:val="Normal"/>
              <w:pBdr/>
              <w:rPr>
                <w:rFonts w:ascii="Cambria" w:hAnsi="Cambria"/>
              </w:rPr>
            </w:pPr>
            <w:r>
              <w:rPr>
                <w:rFonts w:eastAsia="Overlock" w:cs="Overlock" w:ascii="Cambria" w:hAnsi="Cambria"/>
                <w:color w:val="000000"/>
                <w:sz w:val="20"/>
                <w:szCs w:val="20"/>
              </w:rPr>
              <w:t>32,730</w:t>
            </w:r>
          </w:p>
        </w:tc>
        <w:tc>
          <w:tcPr>
            <w:tcW w:w="814" w:type="dxa"/>
            <w:tcBorders/>
          </w:tcPr>
          <w:p>
            <w:pPr>
              <w:pStyle w:val="Normal"/>
              <w:pBdr/>
              <w:rPr>
                <w:rFonts w:ascii="Cambria" w:hAnsi="Cambria"/>
              </w:rPr>
            </w:pPr>
            <w:r>
              <w:rPr>
                <w:rFonts w:eastAsia="Overlock" w:cs="Overlock" w:ascii="Cambria" w:hAnsi="Cambria"/>
                <w:color w:val="000000"/>
                <w:sz w:val="20"/>
                <w:szCs w:val="20"/>
              </w:rPr>
              <w:t>31,742</w:t>
            </w:r>
          </w:p>
        </w:tc>
        <w:tc>
          <w:tcPr>
            <w:tcW w:w="812" w:type="dxa"/>
            <w:tcBorders/>
          </w:tcPr>
          <w:p>
            <w:pPr>
              <w:pStyle w:val="Normal"/>
              <w:pBdr/>
              <w:rPr>
                <w:rFonts w:ascii="Cambria" w:hAnsi="Cambria"/>
              </w:rPr>
            </w:pPr>
            <w:r>
              <w:rPr>
                <w:rFonts w:eastAsia="Overlock" w:cs="Overlock" w:ascii="Cambria" w:hAnsi="Cambria"/>
                <w:color w:val="000000"/>
                <w:sz w:val="20"/>
                <w:szCs w:val="20"/>
              </w:rPr>
              <w:t>29,811</w:t>
            </w:r>
          </w:p>
        </w:tc>
        <w:tc>
          <w:tcPr>
            <w:tcW w:w="813" w:type="dxa"/>
            <w:tcBorders/>
          </w:tcPr>
          <w:p>
            <w:pPr>
              <w:pStyle w:val="Normal"/>
              <w:pBdr/>
              <w:rPr>
                <w:rFonts w:ascii="Cambria" w:hAnsi="Cambria"/>
              </w:rPr>
            </w:pPr>
            <w:r>
              <w:rPr>
                <w:rFonts w:eastAsia="Overlock" w:cs="Overlock" w:ascii="Cambria" w:hAnsi="Cambria"/>
                <w:color w:val="000000"/>
                <w:sz w:val="20"/>
                <w:szCs w:val="20"/>
              </w:rPr>
              <w:t>30,224</w:t>
            </w:r>
          </w:p>
        </w:tc>
        <w:tc>
          <w:tcPr>
            <w:tcW w:w="814" w:type="dxa"/>
            <w:tcBorders/>
          </w:tcPr>
          <w:p>
            <w:pPr>
              <w:pStyle w:val="Normal"/>
              <w:pBdr/>
              <w:rPr>
                <w:rFonts w:ascii="Cambria" w:hAnsi="Cambria"/>
              </w:rPr>
            </w:pPr>
            <w:r>
              <w:rPr>
                <w:rFonts w:eastAsia="Overlock" w:cs="Overlock" w:ascii="Cambria" w:hAnsi="Cambria"/>
                <w:color w:val="000000"/>
                <w:sz w:val="20"/>
                <w:szCs w:val="20"/>
              </w:rPr>
              <w:t>29,949</w:t>
            </w:r>
          </w:p>
        </w:tc>
        <w:tc>
          <w:tcPr>
            <w:tcW w:w="812" w:type="dxa"/>
            <w:tcBorders/>
          </w:tcPr>
          <w:p>
            <w:pPr>
              <w:pStyle w:val="Normal"/>
              <w:pBdr/>
              <w:rPr>
                <w:rFonts w:ascii="Cambria" w:hAnsi="Cambria"/>
              </w:rPr>
            </w:pPr>
            <w:r>
              <w:rPr>
                <w:rFonts w:eastAsia="Overlock" w:cs="Overlock" w:ascii="Cambria" w:hAnsi="Cambria"/>
                <w:color w:val="000000"/>
                <w:sz w:val="20"/>
                <w:szCs w:val="20"/>
              </w:rPr>
              <w:t>30,236</w:t>
            </w:r>
          </w:p>
        </w:tc>
        <w:tc>
          <w:tcPr>
            <w:tcW w:w="814" w:type="dxa"/>
            <w:tcBorders/>
          </w:tcPr>
          <w:p>
            <w:pPr>
              <w:pStyle w:val="Normal"/>
              <w:pBdr/>
              <w:rPr>
                <w:rFonts w:ascii="Cambria" w:hAnsi="Cambria"/>
              </w:rPr>
            </w:pPr>
            <w:r>
              <w:rPr>
                <w:rFonts w:eastAsia="Overlock" w:cs="Overlock" w:ascii="Cambria" w:hAnsi="Cambria"/>
                <w:color w:val="000000"/>
                <w:sz w:val="20"/>
                <w:szCs w:val="20"/>
              </w:rPr>
              <w:t>28,998</w:t>
            </w:r>
          </w:p>
        </w:tc>
        <w:tc>
          <w:tcPr>
            <w:tcW w:w="811" w:type="dxa"/>
            <w:tcBorders/>
          </w:tcPr>
          <w:p>
            <w:pPr>
              <w:pStyle w:val="Normal"/>
              <w:pBdr/>
              <w:rPr>
                <w:rFonts w:ascii="Cambria" w:hAnsi="Cambria"/>
              </w:rPr>
            </w:pPr>
            <w:r>
              <w:rPr>
                <w:rFonts w:eastAsia="Overlock" w:cs="Overlock" w:ascii="Cambria" w:hAnsi="Cambria"/>
                <w:color w:val="000000"/>
                <w:sz w:val="20"/>
                <w:szCs w:val="20"/>
              </w:rPr>
              <w:t>29,403</w:t>
            </w:r>
          </w:p>
        </w:tc>
      </w:tr>
      <w:tr>
        <w:trPr>
          <w:trHeight w:val="288" w:hRule="atLeast"/>
        </w:trPr>
        <w:tc>
          <w:tcPr>
            <w:tcW w:w="2136" w:type="dxa"/>
            <w:tcBorders/>
            <w:vAlign w:val="bottom"/>
          </w:tcPr>
          <w:p>
            <w:pPr>
              <w:pStyle w:val="Normal"/>
              <w:pBdr/>
              <w:rPr>
                <w:rFonts w:ascii="Cambria" w:hAnsi="Cambria"/>
              </w:rPr>
            </w:pPr>
            <w:r>
              <w:rPr>
                <w:rFonts w:eastAsia="Overlock" w:cs="Overlock" w:ascii="Cambria" w:hAnsi="Cambria"/>
                <w:color w:val="000000"/>
                <w:sz w:val="20"/>
                <w:szCs w:val="20"/>
              </w:rPr>
              <w:t>Other Non-Forest</w:t>
            </w:r>
          </w:p>
        </w:tc>
        <w:tc>
          <w:tcPr>
            <w:tcW w:w="812" w:type="dxa"/>
            <w:tcBorders/>
          </w:tcPr>
          <w:p>
            <w:pPr>
              <w:pStyle w:val="Normal"/>
              <w:pBdr/>
              <w:rPr>
                <w:rFonts w:ascii="Cambria" w:hAnsi="Cambria"/>
              </w:rPr>
            </w:pPr>
            <w:r>
              <w:rPr>
                <w:rFonts w:eastAsia="Overlock" w:cs="Overlock" w:ascii="Cambria" w:hAnsi="Cambria"/>
                <w:color w:val="000000"/>
                <w:sz w:val="20"/>
                <w:szCs w:val="20"/>
              </w:rPr>
              <w:t>20,992</w:t>
            </w:r>
          </w:p>
        </w:tc>
        <w:tc>
          <w:tcPr>
            <w:tcW w:w="811" w:type="dxa"/>
            <w:tcBorders/>
          </w:tcPr>
          <w:p>
            <w:pPr>
              <w:pStyle w:val="Normal"/>
              <w:pBdr/>
              <w:rPr>
                <w:rFonts w:ascii="Cambria" w:hAnsi="Cambria"/>
              </w:rPr>
            </w:pPr>
            <w:r>
              <w:rPr>
                <w:rFonts w:eastAsia="Overlock" w:cs="Overlock" w:ascii="Cambria" w:hAnsi="Cambria"/>
                <w:color w:val="000000"/>
                <w:sz w:val="20"/>
                <w:szCs w:val="20"/>
              </w:rPr>
              <w:t>22,463</w:t>
            </w:r>
          </w:p>
        </w:tc>
        <w:tc>
          <w:tcPr>
            <w:tcW w:w="814" w:type="dxa"/>
            <w:tcBorders/>
          </w:tcPr>
          <w:p>
            <w:pPr>
              <w:pStyle w:val="Normal"/>
              <w:pBdr/>
              <w:rPr>
                <w:rFonts w:ascii="Cambria" w:hAnsi="Cambria"/>
              </w:rPr>
            </w:pPr>
            <w:r>
              <w:rPr>
                <w:rFonts w:eastAsia="Overlock" w:cs="Overlock" w:ascii="Cambria" w:hAnsi="Cambria"/>
                <w:color w:val="000000"/>
                <w:sz w:val="20"/>
                <w:szCs w:val="20"/>
              </w:rPr>
              <w:t>23,583</w:t>
            </w:r>
          </w:p>
        </w:tc>
        <w:tc>
          <w:tcPr>
            <w:tcW w:w="812" w:type="dxa"/>
            <w:tcBorders/>
          </w:tcPr>
          <w:p>
            <w:pPr>
              <w:pStyle w:val="Normal"/>
              <w:pBdr/>
              <w:rPr>
                <w:rFonts w:ascii="Cambria" w:hAnsi="Cambria"/>
              </w:rPr>
            </w:pPr>
            <w:r>
              <w:rPr>
                <w:rFonts w:eastAsia="Overlock" w:cs="Overlock" w:ascii="Cambria" w:hAnsi="Cambria"/>
                <w:color w:val="000000"/>
                <w:sz w:val="20"/>
                <w:szCs w:val="20"/>
              </w:rPr>
              <w:t>25,926</w:t>
            </w:r>
          </w:p>
        </w:tc>
        <w:tc>
          <w:tcPr>
            <w:tcW w:w="813" w:type="dxa"/>
            <w:tcBorders/>
          </w:tcPr>
          <w:p>
            <w:pPr>
              <w:pStyle w:val="Normal"/>
              <w:pBdr/>
              <w:rPr>
                <w:rFonts w:ascii="Cambria" w:hAnsi="Cambria"/>
              </w:rPr>
            </w:pPr>
            <w:r>
              <w:rPr>
                <w:rFonts w:eastAsia="Overlock" w:cs="Overlock" w:ascii="Cambria" w:hAnsi="Cambria"/>
                <w:color w:val="000000"/>
                <w:sz w:val="20"/>
                <w:szCs w:val="20"/>
              </w:rPr>
              <w:t>25,484</w:t>
            </w:r>
          </w:p>
        </w:tc>
        <w:tc>
          <w:tcPr>
            <w:tcW w:w="814" w:type="dxa"/>
            <w:tcBorders/>
          </w:tcPr>
          <w:p>
            <w:pPr>
              <w:pStyle w:val="Normal"/>
              <w:pBdr/>
              <w:rPr>
                <w:rFonts w:ascii="Cambria" w:hAnsi="Cambria"/>
              </w:rPr>
            </w:pPr>
            <w:r>
              <w:rPr>
                <w:rFonts w:eastAsia="Overlock" w:cs="Overlock" w:ascii="Cambria" w:hAnsi="Cambria"/>
                <w:color w:val="000000"/>
                <w:sz w:val="20"/>
                <w:szCs w:val="20"/>
              </w:rPr>
              <w:t>25,738</w:t>
            </w:r>
          </w:p>
        </w:tc>
        <w:tc>
          <w:tcPr>
            <w:tcW w:w="812" w:type="dxa"/>
            <w:tcBorders/>
          </w:tcPr>
          <w:p>
            <w:pPr>
              <w:pStyle w:val="Normal"/>
              <w:pBdr/>
              <w:rPr>
                <w:rFonts w:ascii="Cambria" w:hAnsi="Cambria"/>
              </w:rPr>
            </w:pPr>
            <w:r>
              <w:rPr>
                <w:rFonts w:eastAsia="Overlock" w:cs="Overlock" w:ascii="Cambria" w:hAnsi="Cambria"/>
                <w:color w:val="000000"/>
                <w:sz w:val="20"/>
                <w:szCs w:val="20"/>
              </w:rPr>
              <w:t>25,418</w:t>
            </w:r>
          </w:p>
        </w:tc>
        <w:tc>
          <w:tcPr>
            <w:tcW w:w="814" w:type="dxa"/>
            <w:tcBorders/>
          </w:tcPr>
          <w:p>
            <w:pPr>
              <w:pStyle w:val="Normal"/>
              <w:pBdr/>
              <w:rPr>
                <w:rFonts w:ascii="Cambria" w:hAnsi="Cambria"/>
              </w:rPr>
            </w:pPr>
            <w:r>
              <w:rPr>
                <w:rFonts w:eastAsia="Overlock" w:cs="Overlock" w:ascii="Cambria" w:hAnsi="Cambria"/>
                <w:color w:val="000000"/>
                <w:sz w:val="20"/>
                <w:szCs w:val="20"/>
              </w:rPr>
              <w:t>26,627</w:t>
            </w:r>
          </w:p>
        </w:tc>
        <w:tc>
          <w:tcPr>
            <w:tcW w:w="811" w:type="dxa"/>
            <w:tcBorders/>
          </w:tcPr>
          <w:p>
            <w:pPr>
              <w:pStyle w:val="Normal"/>
              <w:pBdr/>
              <w:rPr>
                <w:rFonts w:ascii="Cambria" w:hAnsi="Cambria"/>
              </w:rPr>
            </w:pPr>
            <w:r>
              <w:rPr>
                <w:rFonts w:eastAsia="Overlock" w:cs="Overlock" w:ascii="Cambria" w:hAnsi="Cambria"/>
                <w:color w:val="000000"/>
                <w:sz w:val="20"/>
                <w:szCs w:val="20"/>
              </w:rPr>
              <w:t>26,209</w:t>
            </w:r>
          </w:p>
        </w:tc>
      </w:tr>
      <w:tr>
        <w:trPr>
          <w:trHeight w:val="300" w:hRule="atLeast"/>
        </w:trPr>
        <w:tc>
          <w:tcPr>
            <w:tcW w:w="2136" w:type="dxa"/>
            <w:tcBorders>
              <w:top w:val="single" w:sz="4" w:space="0" w:color="000000"/>
              <w:bottom w:val="single" w:sz="4" w:space="0" w:color="000000"/>
            </w:tcBorders>
            <w:shd w:color="auto" w:fill="F2F2F2" w:val="clear"/>
            <w:vAlign w:val="bottom"/>
          </w:tcPr>
          <w:p>
            <w:pPr>
              <w:pStyle w:val="Normal"/>
              <w:pBdr/>
              <w:rPr>
                <w:rFonts w:ascii="Cambria" w:hAnsi="Cambria"/>
              </w:rPr>
            </w:pPr>
            <w:r>
              <w:rPr>
                <w:rFonts w:eastAsia="Overlock" w:cs="Overlock" w:ascii="Cambria" w:hAnsi="Cambria"/>
                <w:color w:val="000000"/>
                <w:sz w:val="20"/>
                <w:szCs w:val="20"/>
              </w:rPr>
              <w:t xml:space="preserve">Non-Forest Area </w:t>
            </w:r>
          </w:p>
        </w:tc>
        <w:tc>
          <w:tcPr>
            <w:tcW w:w="812"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55,270</w:t>
            </w:r>
          </w:p>
        </w:tc>
        <w:tc>
          <w:tcPr>
            <w:tcW w:w="811"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55,193</w:t>
            </w:r>
          </w:p>
        </w:tc>
        <w:tc>
          <w:tcPr>
            <w:tcW w:w="814"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55,325</w:t>
            </w:r>
          </w:p>
        </w:tc>
        <w:tc>
          <w:tcPr>
            <w:tcW w:w="812"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55,736</w:t>
            </w:r>
          </w:p>
        </w:tc>
        <w:tc>
          <w:tcPr>
            <w:tcW w:w="813"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55,708</w:t>
            </w:r>
          </w:p>
        </w:tc>
        <w:tc>
          <w:tcPr>
            <w:tcW w:w="814"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55,687</w:t>
            </w:r>
          </w:p>
        </w:tc>
        <w:tc>
          <w:tcPr>
            <w:tcW w:w="812"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55,653</w:t>
            </w:r>
          </w:p>
        </w:tc>
        <w:tc>
          <w:tcPr>
            <w:tcW w:w="814"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55,624</w:t>
            </w:r>
          </w:p>
        </w:tc>
        <w:tc>
          <w:tcPr>
            <w:tcW w:w="811" w:type="dxa"/>
            <w:tcBorders>
              <w:top w:val="single" w:sz="4" w:space="0" w:color="000000"/>
              <w:bottom w:val="single" w:sz="4" w:space="0" w:color="000000"/>
            </w:tcBorders>
            <w:shd w:color="auto" w:fill="F2F2F2" w:val="clear"/>
          </w:tcPr>
          <w:p>
            <w:pPr>
              <w:pStyle w:val="Normal"/>
              <w:pBdr/>
              <w:rPr>
                <w:rFonts w:ascii="Cambria" w:hAnsi="Cambria"/>
              </w:rPr>
            </w:pPr>
            <w:r>
              <w:rPr>
                <w:rFonts w:eastAsia="Overlock" w:cs="Overlock" w:ascii="Cambria" w:hAnsi="Cambria"/>
                <w:color w:val="000000"/>
                <w:sz w:val="20"/>
                <w:szCs w:val="20"/>
              </w:rPr>
              <w:t>55,612</w:t>
            </w:r>
          </w:p>
        </w:tc>
      </w:tr>
      <w:tr>
        <w:trPr>
          <w:trHeight w:val="300" w:hRule="atLeast"/>
        </w:trPr>
        <w:tc>
          <w:tcPr>
            <w:tcW w:w="2136" w:type="dxa"/>
            <w:tcBorders>
              <w:bottom w:val="single" w:sz="4" w:space="0" w:color="000000"/>
            </w:tcBorders>
            <w:shd w:color="auto" w:fill="FBE2D5" w:val="clear"/>
            <w:vAlign w:val="bottom"/>
          </w:tcPr>
          <w:p>
            <w:pPr>
              <w:pStyle w:val="Normal"/>
              <w:pBdr/>
              <w:rPr>
                <w:rFonts w:ascii="Cambria" w:hAnsi="Cambria"/>
              </w:rPr>
            </w:pPr>
            <w:r>
              <w:rPr>
                <w:rFonts w:eastAsia="Overlock" w:cs="Overlock" w:ascii="Cambria" w:hAnsi="Cambria"/>
                <w:color w:val="000000"/>
                <w:sz w:val="20"/>
                <w:szCs w:val="20"/>
              </w:rPr>
              <w:t>% Forest Cover</w:t>
            </w:r>
          </w:p>
        </w:tc>
        <w:tc>
          <w:tcPr>
            <w:tcW w:w="812"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6.65%</w:t>
            </w:r>
          </w:p>
        </w:tc>
        <w:tc>
          <w:tcPr>
            <w:tcW w:w="811"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6.77%</w:t>
            </w:r>
          </w:p>
        </w:tc>
        <w:tc>
          <w:tcPr>
            <w:tcW w:w="814"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6.55%</w:t>
            </w:r>
          </w:p>
        </w:tc>
        <w:tc>
          <w:tcPr>
            <w:tcW w:w="812"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5.86%</w:t>
            </w:r>
          </w:p>
        </w:tc>
        <w:tc>
          <w:tcPr>
            <w:tcW w:w="813"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5.90%</w:t>
            </w:r>
          </w:p>
        </w:tc>
        <w:tc>
          <w:tcPr>
            <w:tcW w:w="814"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5.94%</w:t>
            </w:r>
          </w:p>
        </w:tc>
        <w:tc>
          <w:tcPr>
            <w:tcW w:w="812"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6.00%</w:t>
            </w:r>
          </w:p>
        </w:tc>
        <w:tc>
          <w:tcPr>
            <w:tcW w:w="814"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6.05%</w:t>
            </w:r>
          </w:p>
        </w:tc>
        <w:tc>
          <w:tcPr>
            <w:tcW w:w="811" w:type="dxa"/>
            <w:tcBorders>
              <w:bottom w:val="single" w:sz="4" w:space="0" w:color="000000"/>
            </w:tcBorders>
            <w:shd w:color="auto" w:fill="FBE2D5" w:val="clear"/>
          </w:tcPr>
          <w:p>
            <w:pPr>
              <w:pStyle w:val="Normal"/>
              <w:pBdr/>
              <w:rPr>
                <w:rFonts w:ascii="Cambria" w:hAnsi="Cambria"/>
              </w:rPr>
            </w:pPr>
            <w:r>
              <w:rPr>
                <w:rFonts w:eastAsia="Overlock" w:cs="Overlock" w:ascii="Cambria" w:hAnsi="Cambria"/>
                <w:color w:val="000000"/>
                <w:sz w:val="20"/>
                <w:szCs w:val="20"/>
              </w:rPr>
              <w:t>6.07%</w:t>
            </w:r>
          </w:p>
        </w:tc>
      </w:tr>
      <w:tr>
        <w:trPr>
          <w:trHeight w:val="78" w:hRule="atLeast"/>
        </w:trPr>
        <w:tc>
          <w:tcPr>
            <w:tcW w:w="2136" w:type="dxa"/>
            <w:tcBorders>
              <w:bottom w:val="single" w:sz="4" w:space="0" w:color="000000"/>
            </w:tcBorders>
            <w:shd w:color="auto" w:fill="F2F2F2" w:val="clear"/>
            <w:vAlign w:val="bottom"/>
          </w:tcPr>
          <w:p>
            <w:pPr>
              <w:pStyle w:val="Normal"/>
              <w:pBdr/>
              <w:rPr>
                <w:rFonts w:ascii="Cambria" w:hAnsi="Cambria"/>
              </w:rPr>
            </w:pPr>
            <w:r>
              <w:rPr>
                <w:rFonts w:eastAsia="Overlock" w:cs="Overlock" w:ascii="Cambria" w:hAnsi="Cambria"/>
                <w:b/>
                <w:bCs/>
                <w:color w:val="000000"/>
                <w:sz w:val="20"/>
                <w:szCs w:val="20"/>
              </w:rPr>
              <w:t>Total</w:t>
            </w:r>
          </w:p>
        </w:tc>
        <w:tc>
          <w:tcPr>
            <w:tcW w:w="812"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1"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4"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2"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3"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4"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2"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4"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c>
          <w:tcPr>
            <w:tcW w:w="811" w:type="dxa"/>
            <w:tcBorders>
              <w:bottom w:val="single" w:sz="4" w:space="0" w:color="000000"/>
            </w:tcBorders>
            <w:shd w:color="auto" w:fill="F2F2F2" w:val="clear"/>
          </w:tcPr>
          <w:p>
            <w:pPr>
              <w:pStyle w:val="Normal"/>
              <w:pBdr/>
              <w:rPr>
                <w:rFonts w:ascii="Cambria" w:hAnsi="Cambria"/>
              </w:rPr>
            </w:pPr>
            <w:r>
              <w:rPr>
                <w:rFonts w:eastAsia="Overlock" w:cs="Overlock" w:ascii="Cambria" w:hAnsi="Cambria"/>
                <w:b/>
                <w:bCs/>
                <w:color w:val="000000"/>
                <w:sz w:val="20"/>
                <w:szCs w:val="20"/>
              </w:rPr>
              <w:t>59,204</w:t>
            </w:r>
          </w:p>
        </w:tc>
      </w:tr>
    </w:tbl>
    <w:p>
      <w:pPr>
        <w:pStyle w:val="Heading3"/>
        <w:rPr>
          <w:rFonts w:eastAsia="Overlock" w:cs="Overlock"/>
          <w:color w:val="000000"/>
        </w:rPr>
      </w:pPr>
      <w:bookmarkStart w:id="32" w:name="_heading=h.nfulaa11yqda"/>
      <w:bookmarkEnd w:id="32"/>
      <w:r>
        <w:rPr>
          <w:rFonts w:eastAsia="Overlock" w:cs="Overlock" w:ascii="Cambria" w:hAnsi="Cambria"/>
          <w:color w:val="000000"/>
        </w:rPr>
        <w:t xml:space="preserve">3.1.2. Forest Assets by strata </w:t>
      </w:r>
    </w:p>
    <w:p>
      <w:pPr>
        <w:pStyle w:val="Normal"/>
        <w:pBdr/>
        <w:rPr>
          <w:rFonts w:ascii="Cambria" w:hAnsi="Cambria"/>
        </w:rPr>
      </w:pPr>
      <w:r>
        <w:rPr>
          <w:rFonts w:eastAsia="Overlock" w:cs="Overlock" w:ascii="Cambria" w:hAnsi="Cambria"/>
          <w:color w:val="000000"/>
          <w:sz w:val="24"/>
          <w:szCs w:val="24"/>
        </w:rPr>
        <w:t>The forests of Kenya are distributed into the specific strata described in the methodology section are shown in Table 3 for the period 2016- 2024. The table shows that most of the forests of Kenya are found in the drylands (approximately 46%) followed by the montane areas (approximately 32%) and about 17% are found in the coastal and mangrove areas. The specific strata have undergone gradual changes in the area of forests and these statistics contribute to the overall change in forest area at the national level.</w:t>
      </w:r>
    </w:p>
    <w:p>
      <w:pPr>
        <w:pStyle w:val="Normal"/>
        <w:pBdr/>
        <w:rPr>
          <w:rFonts w:ascii="Cambria" w:hAnsi="Cambria" w:eastAsia="Overlock" w:cs="Overlock"/>
          <w:color w:val="000000"/>
          <w:sz w:val="24"/>
          <w:szCs w:val="24"/>
        </w:rPr>
      </w:pPr>
      <w:r>
        <w:rPr>
          <w:rFonts w:eastAsia="Overlock" w:cs="Overlock" w:ascii="Cambria" w:hAnsi="Cambria"/>
          <w:color w:val="000000"/>
          <w:sz w:val="24"/>
          <w:szCs w:val="24"/>
        </w:rPr>
      </w:r>
    </w:p>
    <w:p>
      <w:pPr>
        <w:pStyle w:val="Normal"/>
        <w:pBdr/>
        <w:spacing w:before="0" w:after="200"/>
        <w:rPr>
          <w:rFonts w:ascii="Cambria" w:hAnsi="Cambria"/>
        </w:rPr>
      </w:pPr>
      <w:bookmarkStart w:id="33" w:name="_heading=h.vzm6vep3zo4l"/>
      <w:bookmarkEnd w:id="33"/>
      <w:r>
        <w:rPr>
          <w:rFonts w:ascii="Cambria" w:hAnsi="Cambria"/>
          <w:i/>
          <w:iCs/>
          <w:color w:val="1F497D"/>
          <w:sz w:val="24"/>
          <w:szCs w:val="24"/>
        </w:rPr>
        <w:t>Table 3: Forest area by forest strata (2016-2024)</w:t>
      </w:r>
    </w:p>
    <w:tbl>
      <w:tblPr>
        <w:tblStyle w:val="ab"/>
        <w:tblW w:w="9449"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2119"/>
        <w:gridCol w:w="813"/>
        <w:gridCol w:w="814"/>
        <w:gridCol w:w="815"/>
        <w:gridCol w:w="814"/>
        <w:gridCol w:w="815"/>
        <w:gridCol w:w="816"/>
        <w:gridCol w:w="814"/>
        <w:gridCol w:w="816"/>
        <w:gridCol w:w="813"/>
      </w:tblGrid>
      <w:tr>
        <w:trPr>
          <w:trHeight w:val="300" w:hRule="atLeast"/>
        </w:trPr>
        <w:tc>
          <w:tcPr>
            <w:tcW w:w="2119" w:type="dxa"/>
            <w:vMerge w:val="restart"/>
            <w:tcBorders/>
            <w:shd w:color="auto" w:fill="FBD5B5" w:val="clear"/>
            <w:vAlign w:val="bottom"/>
          </w:tcPr>
          <w:p>
            <w:pPr>
              <w:pStyle w:val="Normal"/>
              <w:rPr>
                <w:rFonts w:ascii="Cambria" w:hAnsi="Cambria"/>
              </w:rPr>
            </w:pPr>
            <w:r>
              <w:rPr>
                <w:rFonts w:eastAsia="Overlock" w:cs="Overlock" w:ascii="Cambria" w:hAnsi="Cambria"/>
                <w:sz w:val="20"/>
                <w:szCs w:val="20"/>
              </w:rPr>
              <w:t>Strata</w:t>
            </w:r>
          </w:p>
        </w:tc>
        <w:tc>
          <w:tcPr>
            <w:tcW w:w="7330" w:type="dxa"/>
            <w:gridSpan w:val="9"/>
            <w:tcBorders/>
            <w:shd w:color="auto" w:fill="FBD5B5" w:val="clear"/>
            <w:vAlign w:val="bottom"/>
          </w:tcPr>
          <w:p>
            <w:pPr>
              <w:pStyle w:val="Normal"/>
              <w:rPr>
                <w:rFonts w:ascii="Cambria" w:hAnsi="Cambria"/>
              </w:rPr>
            </w:pPr>
            <w:r>
              <w:rPr>
                <w:rFonts w:eastAsia="Overlock" w:cs="Overlock" w:ascii="Cambria" w:hAnsi="Cambria"/>
                <w:sz w:val="20"/>
                <w:szCs w:val="20"/>
              </w:rPr>
              <w:t>Area of forestland (‘1000 ha) in the period 2016 -2024</w:t>
            </w:r>
          </w:p>
        </w:tc>
      </w:tr>
      <w:tr>
        <w:trPr>
          <w:trHeight w:val="300" w:hRule="atLeast"/>
        </w:trPr>
        <w:tc>
          <w:tcPr>
            <w:tcW w:w="2119" w:type="dxa"/>
            <w:vMerge w:val="continue"/>
            <w:tcBorders/>
            <w:shd w:color="auto" w:fill="FBD5B5" w:val="clear"/>
            <w:vAlign w:val="bottom"/>
          </w:tcPr>
          <w:p>
            <w:pPr>
              <w:pStyle w:val="Normal"/>
              <w:widowControl w:val="false"/>
              <w:pBdr/>
              <w:spacing w:lineRule="auto" w:line="276"/>
              <w:jc w:val="start"/>
              <w:rPr>
                <w:rFonts w:ascii="Cambria" w:hAnsi="Cambria" w:eastAsia="Overlock" w:cs="Overlock"/>
                <w:sz w:val="20"/>
                <w:szCs w:val="20"/>
              </w:rPr>
            </w:pPr>
            <w:r>
              <w:rPr>
                <w:rFonts w:eastAsia="Overlock" w:cs="Overlock" w:ascii="Cambria" w:hAnsi="Cambria"/>
                <w:sz w:val="20"/>
                <w:szCs w:val="20"/>
              </w:rPr>
            </w:r>
          </w:p>
        </w:tc>
        <w:tc>
          <w:tcPr>
            <w:tcW w:w="813" w:type="dxa"/>
            <w:tcBorders/>
            <w:shd w:color="auto" w:fill="FBD5B5" w:val="clear"/>
            <w:vAlign w:val="bottom"/>
          </w:tcPr>
          <w:p>
            <w:pPr>
              <w:pStyle w:val="Normal"/>
              <w:rPr>
                <w:rFonts w:ascii="Cambria" w:hAnsi="Cambria"/>
              </w:rPr>
            </w:pPr>
            <w:r>
              <w:rPr>
                <w:rFonts w:eastAsia="Overlock" w:cs="Overlock" w:ascii="Cambria" w:hAnsi="Cambria"/>
                <w:sz w:val="20"/>
                <w:szCs w:val="20"/>
              </w:rPr>
              <w:t>2016</w:t>
            </w:r>
          </w:p>
        </w:tc>
        <w:tc>
          <w:tcPr>
            <w:tcW w:w="814" w:type="dxa"/>
            <w:tcBorders/>
            <w:shd w:color="auto" w:fill="FBD5B5" w:val="clear"/>
            <w:vAlign w:val="bottom"/>
          </w:tcPr>
          <w:p>
            <w:pPr>
              <w:pStyle w:val="Normal"/>
              <w:rPr>
                <w:rFonts w:ascii="Cambria" w:hAnsi="Cambria"/>
              </w:rPr>
            </w:pPr>
            <w:r>
              <w:rPr>
                <w:rFonts w:eastAsia="Overlock" w:cs="Overlock" w:ascii="Cambria" w:hAnsi="Cambria"/>
                <w:sz w:val="20"/>
                <w:szCs w:val="20"/>
              </w:rPr>
              <w:t>2017</w:t>
            </w:r>
          </w:p>
        </w:tc>
        <w:tc>
          <w:tcPr>
            <w:tcW w:w="815" w:type="dxa"/>
            <w:tcBorders/>
            <w:shd w:color="auto" w:fill="FBD5B5" w:val="clear"/>
            <w:vAlign w:val="bottom"/>
          </w:tcPr>
          <w:p>
            <w:pPr>
              <w:pStyle w:val="Normal"/>
              <w:rPr>
                <w:rFonts w:ascii="Cambria" w:hAnsi="Cambria"/>
              </w:rPr>
            </w:pPr>
            <w:r>
              <w:rPr>
                <w:rFonts w:eastAsia="Overlock" w:cs="Overlock" w:ascii="Cambria" w:hAnsi="Cambria"/>
                <w:sz w:val="20"/>
                <w:szCs w:val="20"/>
              </w:rPr>
              <w:t>2018</w:t>
            </w:r>
          </w:p>
        </w:tc>
        <w:tc>
          <w:tcPr>
            <w:tcW w:w="814" w:type="dxa"/>
            <w:tcBorders/>
            <w:shd w:color="auto" w:fill="FBD5B5" w:val="clear"/>
            <w:vAlign w:val="bottom"/>
          </w:tcPr>
          <w:p>
            <w:pPr>
              <w:pStyle w:val="Normal"/>
              <w:rPr>
                <w:rFonts w:ascii="Cambria" w:hAnsi="Cambria"/>
              </w:rPr>
            </w:pPr>
            <w:r>
              <w:rPr>
                <w:rFonts w:eastAsia="Overlock" w:cs="Overlock" w:ascii="Cambria" w:hAnsi="Cambria"/>
                <w:sz w:val="20"/>
                <w:szCs w:val="20"/>
              </w:rPr>
              <w:t>2019</w:t>
            </w:r>
          </w:p>
        </w:tc>
        <w:tc>
          <w:tcPr>
            <w:tcW w:w="815" w:type="dxa"/>
            <w:tcBorders/>
            <w:shd w:color="auto" w:fill="FBD5B5" w:val="clear"/>
            <w:vAlign w:val="bottom"/>
          </w:tcPr>
          <w:p>
            <w:pPr>
              <w:pStyle w:val="Normal"/>
              <w:rPr>
                <w:rFonts w:ascii="Cambria" w:hAnsi="Cambria"/>
              </w:rPr>
            </w:pPr>
            <w:r>
              <w:rPr>
                <w:rFonts w:eastAsia="Overlock" w:cs="Overlock" w:ascii="Cambria" w:hAnsi="Cambria"/>
                <w:sz w:val="20"/>
                <w:szCs w:val="20"/>
              </w:rPr>
              <w:t>2020</w:t>
            </w:r>
          </w:p>
        </w:tc>
        <w:tc>
          <w:tcPr>
            <w:tcW w:w="816" w:type="dxa"/>
            <w:tcBorders/>
            <w:shd w:color="auto" w:fill="FBD5B5" w:val="clear"/>
            <w:vAlign w:val="bottom"/>
          </w:tcPr>
          <w:p>
            <w:pPr>
              <w:pStyle w:val="Normal"/>
              <w:rPr>
                <w:rFonts w:ascii="Cambria" w:hAnsi="Cambria"/>
              </w:rPr>
            </w:pPr>
            <w:r>
              <w:rPr>
                <w:rFonts w:eastAsia="Overlock" w:cs="Overlock" w:ascii="Cambria" w:hAnsi="Cambria"/>
                <w:sz w:val="20"/>
                <w:szCs w:val="20"/>
              </w:rPr>
              <w:t>2021</w:t>
            </w:r>
          </w:p>
        </w:tc>
        <w:tc>
          <w:tcPr>
            <w:tcW w:w="814" w:type="dxa"/>
            <w:tcBorders/>
            <w:shd w:color="auto" w:fill="FBD5B5" w:val="clear"/>
          </w:tcPr>
          <w:p>
            <w:pPr>
              <w:pStyle w:val="Normal"/>
              <w:rPr>
                <w:rFonts w:ascii="Cambria" w:hAnsi="Cambria"/>
              </w:rPr>
            </w:pPr>
            <w:r>
              <w:rPr>
                <w:rFonts w:eastAsia="Overlock" w:cs="Overlock" w:ascii="Cambria" w:hAnsi="Cambria"/>
                <w:sz w:val="20"/>
                <w:szCs w:val="20"/>
              </w:rPr>
              <w:t>2022</w:t>
            </w:r>
          </w:p>
        </w:tc>
        <w:tc>
          <w:tcPr>
            <w:tcW w:w="816" w:type="dxa"/>
            <w:tcBorders/>
            <w:shd w:color="auto" w:fill="FBD5B5" w:val="clear"/>
          </w:tcPr>
          <w:p>
            <w:pPr>
              <w:pStyle w:val="Normal"/>
              <w:rPr>
                <w:rFonts w:ascii="Cambria" w:hAnsi="Cambria"/>
              </w:rPr>
            </w:pPr>
            <w:r>
              <w:rPr>
                <w:rFonts w:eastAsia="Overlock" w:cs="Overlock" w:ascii="Cambria" w:hAnsi="Cambria"/>
                <w:sz w:val="20"/>
                <w:szCs w:val="20"/>
              </w:rPr>
              <w:t>2023</w:t>
            </w:r>
          </w:p>
        </w:tc>
        <w:tc>
          <w:tcPr>
            <w:tcW w:w="813" w:type="dxa"/>
            <w:tcBorders/>
            <w:shd w:color="auto" w:fill="FBD5B5" w:val="clear"/>
          </w:tcPr>
          <w:p>
            <w:pPr>
              <w:pStyle w:val="Normal"/>
              <w:rPr>
                <w:rFonts w:ascii="Cambria" w:hAnsi="Cambria"/>
              </w:rPr>
            </w:pPr>
            <w:r>
              <w:rPr>
                <w:rFonts w:eastAsia="Overlock" w:cs="Overlock" w:ascii="Cambria" w:hAnsi="Cambria"/>
                <w:sz w:val="20"/>
                <w:szCs w:val="20"/>
              </w:rPr>
              <w:t>2024</w:t>
            </w:r>
          </w:p>
        </w:tc>
      </w:tr>
      <w:tr>
        <w:trPr>
          <w:trHeight w:val="300" w:hRule="atLeast"/>
        </w:trPr>
        <w:tc>
          <w:tcPr>
            <w:tcW w:w="2119" w:type="dxa"/>
            <w:tcBorders/>
            <w:vAlign w:val="bottom"/>
          </w:tcPr>
          <w:p>
            <w:pPr>
              <w:pStyle w:val="Normal"/>
              <w:rPr>
                <w:rFonts w:ascii="Cambria" w:hAnsi="Cambria"/>
              </w:rPr>
            </w:pPr>
            <w:r>
              <w:rPr>
                <w:rFonts w:eastAsia="Overlock" w:cs="Overlock" w:ascii="Cambria" w:hAnsi="Cambria"/>
                <w:sz w:val="20"/>
                <w:szCs w:val="20"/>
              </w:rPr>
              <w:t>Coastal Forest</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477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475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488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538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537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536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538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542 </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539 </w:t>
            </w:r>
          </w:p>
        </w:tc>
      </w:tr>
      <w:tr>
        <w:trPr>
          <w:trHeight w:val="300" w:hRule="atLeast"/>
        </w:trPr>
        <w:tc>
          <w:tcPr>
            <w:tcW w:w="2119" w:type="dxa"/>
            <w:tcBorders/>
            <w:vAlign w:val="bottom"/>
          </w:tcPr>
          <w:p>
            <w:pPr>
              <w:pStyle w:val="Normal"/>
              <w:rPr>
                <w:rFonts w:ascii="Cambria" w:hAnsi="Cambria"/>
              </w:rPr>
            </w:pPr>
            <w:r>
              <w:rPr>
                <w:rFonts w:eastAsia="Overlock" w:cs="Overlock" w:ascii="Cambria" w:hAnsi="Cambria"/>
                <w:sz w:val="20"/>
                <w:szCs w:val="20"/>
              </w:rPr>
              <w:t>Dryland Forest</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1,080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1,079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1,108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1,112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1,081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1,093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1,108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1,119 </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1,130 </w:t>
            </w:r>
          </w:p>
        </w:tc>
      </w:tr>
      <w:tr>
        <w:trPr>
          <w:trHeight w:val="300" w:hRule="atLeast"/>
        </w:trPr>
        <w:tc>
          <w:tcPr>
            <w:tcW w:w="2119" w:type="dxa"/>
            <w:tcBorders/>
            <w:vAlign w:val="bottom"/>
          </w:tcPr>
          <w:p>
            <w:pPr>
              <w:pStyle w:val="Normal"/>
              <w:rPr>
                <w:rFonts w:ascii="Cambria" w:hAnsi="Cambria"/>
              </w:rPr>
            </w:pPr>
            <w:r>
              <w:rPr>
                <w:rFonts w:eastAsia="Overlock" w:cs="Overlock" w:ascii="Cambria" w:hAnsi="Cambria"/>
                <w:sz w:val="20"/>
                <w:szCs w:val="20"/>
              </w:rPr>
              <w:t>Mangrove</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65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65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67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67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67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66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67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67 </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67 </w:t>
            </w:r>
          </w:p>
        </w:tc>
      </w:tr>
      <w:tr>
        <w:trPr>
          <w:trHeight w:val="300" w:hRule="atLeast"/>
        </w:trPr>
        <w:tc>
          <w:tcPr>
            <w:tcW w:w="2119" w:type="dxa"/>
            <w:tcBorders/>
            <w:vAlign w:val="bottom"/>
          </w:tcPr>
          <w:p>
            <w:pPr>
              <w:pStyle w:val="Normal"/>
              <w:rPr>
                <w:rFonts w:ascii="Cambria" w:hAnsi="Cambria"/>
              </w:rPr>
            </w:pPr>
            <w:r>
              <w:rPr>
                <w:rFonts w:eastAsia="Overlock" w:cs="Overlock" w:ascii="Cambria" w:hAnsi="Cambria"/>
                <w:sz w:val="20"/>
                <w:szCs w:val="20"/>
              </w:rPr>
              <w:t>Montane Forest</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1,569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1,572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1,620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1,615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1,625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1,633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1,644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1,657 </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1,659 </w:t>
            </w:r>
          </w:p>
        </w:tc>
      </w:tr>
      <w:tr>
        <w:trPr>
          <w:trHeight w:val="300" w:hRule="atLeast"/>
        </w:trPr>
        <w:tc>
          <w:tcPr>
            <w:tcW w:w="2119" w:type="dxa"/>
            <w:tcBorders/>
            <w:vAlign w:val="bottom"/>
          </w:tcPr>
          <w:p>
            <w:pPr>
              <w:pStyle w:val="Normal"/>
              <w:rPr>
                <w:rFonts w:ascii="Cambria" w:hAnsi="Cambria"/>
              </w:rPr>
            </w:pPr>
            <w:r>
              <w:rPr>
                <w:rFonts w:eastAsia="Overlock" w:cs="Overlock" w:ascii="Cambria" w:hAnsi="Cambria"/>
                <w:sz w:val="20"/>
                <w:szCs w:val="20"/>
              </w:rPr>
              <w:t>Plantation Forest</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130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127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130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133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136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138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143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144 </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147 </w:t>
            </w:r>
          </w:p>
        </w:tc>
      </w:tr>
      <w:tr>
        <w:trPr>
          <w:trHeight w:val="300" w:hRule="atLeast"/>
        </w:trPr>
        <w:tc>
          <w:tcPr>
            <w:tcW w:w="2119" w:type="dxa"/>
            <w:tcBorders/>
            <w:vAlign w:val="bottom"/>
          </w:tcPr>
          <w:p>
            <w:pPr>
              <w:pStyle w:val="Normal"/>
              <w:rPr>
                <w:rFonts w:ascii="Cambria" w:hAnsi="Cambria"/>
              </w:rPr>
            </w:pPr>
            <w:r>
              <w:rPr>
                <w:rFonts w:eastAsia="Overlock" w:cs="Overlock" w:ascii="Cambria" w:hAnsi="Cambria"/>
                <w:sz w:val="20"/>
                <w:szCs w:val="20"/>
              </w:rPr>
              <w:t>Western Rain Forest</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50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49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50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51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50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49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50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51 </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51 </w:t>
            </w:r>
          </w:p>
        </w:tc>
      </w:tr>
      <w:tr>
        <w:trPr>
          <w:trHeight w:val="300" w:hRule="atLeast"/>
        </w:trPr>
        <w:tc>
          <w:tcPr>
            <w:tcW w:w="2119" w:type="dxa"/>
            <w:tcBorders/>
            <w:vAlign w:val="bottom"/>
          </w:tcPr>
          <w:p>
            <w:pPr>
              <w:pStyle w:val="Normal"/>
              <w:rPr>
                <w:rFonts w:ascii="Cambria" w:hAnsi="Cambria"/>
              </w:rPr>
            </w:pPr>
            <w:r>
              <w:rPr>
                <w:rFonts w:eastAsia="Overlock" w:cs="Overlock" w:ascii="Cambria" w:hAnsi="Cambria"/>
                <w:sz w:val="20"/>
                <w:szCs w:val="20"/>
              </w:rPr>
              <w:t>Grand Total</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3,372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3,367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3,463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3,467 </w:t>
            </w:r>
          </w:p>
        </w:tc>
        <w:tc>
          <w:tcPr>
            <w:tcW w:w="815"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3,496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3,517 </w:t>
            </w:r>
          </w:p>
        </w:tc>
        <w:tc>
          <w:tcPr>
            <w:tcW w:w="81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3,550 </w:t>
            </w:r>
          </w:p>
        </w:tc>
        <w:tc>
          <w:tcPr>
            <w:tcW w:w="816"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3,580 </w:t>
            </w:r>
          </w:p>
        </w:tc>
        <w:tc>
          <w:tcPr>
            <w:tcW w:w="81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3,591 </w:t>
            </w:r>
          </w:p>
        </w:tc>
      </w:tr>
    </w:tbl>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drawing>
          <wp:inline distT="0" distB="0" distL="0" distR="0">
            <wp:extent cx="4134485" cy="2457450"/>
            <wp:effectExtent l="0" t="0" r="0" b="0"/>
            <wp:docPr id="8" name="Chart 19663022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pStyle w:val="Normal"/>
        <w:pBdr/>
        <w:spacing w:before="0" w:after="200"/>
        <w:rPr>
          <w:rFonts w:ascii="Cambria" w:hAnsi="Cambria"/>
        </w:rPr>
      </w:pPr>
      <w:bookmarkStart w:id="34" w:name="_heading=h.i7g9qalhzox5"/>
      <w:bookmarkEnd w:id="34"/>
      <w:r>
        <w:rPr>
          <w:rFonts w:ascii="Cambria" w:hAnsi="Cambria"/>
          <w:i/>
          <w:iCs/>
          <w:color w:val="1F497D"/>
          <w:sz w:val="24"/>
          <w:szCs w:val="24"/>
        </w:rPr>
        <w:t>Figure 5: An illustration of the proportions of forests found in different strata of Kenya</w:t>
      </w:r>
    </w:p>
    <w:p>
      <w:pPr>
        <w:pStyle w:val="Normal"/>
        <w:rPr>
          <w:rFonts w:ascii="Cambria" w:hAnsi="Cambria"/>
        </w:rPr>
      </w:pPr>
      <w:r>
        <w:rPr>
          <w:rFonts w:ascii="Cambria" w:hAnsi="Cambria"/>
        </w:rPr>
      </w:r>
    </w:p>
    <w:p>
      <w:pPr>
        <w:pStyle w:val="Heading3"/>
        <w:rPr>
          <w:rFonts w:ascii="Cambria" w:hAnsi="Cambria"/>
        </w:rPr>
      </w:pPr>
      <w:bookmarkStart w:id="35" w:name="_heading=h.8gbtwhy2d6a"/>
      <w:bookmarkEnd w:id="35"/>
      <w:r>
        <w:rPr>
          <w:rFonts w:ascii="Cambria" w:hAnsi="Cambria"/>
        </w:rPr>
        <w:t>3.1.3. Spatial Distribution of Forest Assets by County</w:t>
      </w:r>
    </w:p>
    <w:p>
      <w:pPr>
        <w:pStyle w:val="Normal"/>
        <w:rPr>
          <w:rFonts w:ascii="Cambria" w:hAnsi="Cambria"/>
        </w:rPr>
      </w:pPr>
      <w:r>
        <w:rPr>
          <w:rFonts w:eastAsia="Overlock" w:cs="Overlock" w:ascii="Cambria" w:hAnsi="Cambria"/>
          <w:sz w:val="24"/>
          <w:szCs w:val="24"/>
        </w:rPr>
        <w:t>The physical asset accounts for Kenya’s forests reveal a diverse landscape of forest cover, significantly influenced by regional topography and climatic zones. An analysis of the county-level data from 2019 to 2024 demonstrates that forest cover is not uniformly distributed, with a high concentration of forest assets in the "Water Tower" regions and significant expanses of dryland forestry in the Arid and Semi-Arid Lands (ASALs).</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A calculation of opening and closing stocks in forest area by counties in the last 5 years (Table 5) provides information to support policy action at the county level and his is illustrated in Figure 6. Turkana, Nandi and Makueni Counties achieved the highest levels of afforestation at 45,280ha, 33,496ha and 26,434ha respectively. The counties with the highest levels of deforestation were Narok and Turkana with 28,240ha and 21,302ha respectively. Lamu and Nyeri with large forest areas experienced no significant change in the forest areas implying the forests are stable. Lamu with a forest area of 267,054ha in 2019 had only 1,079ha in afforestation and 2,537ha in deforestation. Similarly, Nyeri with a forest area of 146,694ha in 2019 gained 8,137ha in afforestation and lost 2,377ha from deforestation. Nairobi and Mombasa counties with urban forests of 7,076ha and 1,891ha respectively did not indicate and noticeable afforestation or deforestation activities in the 5-year period.</w:t>
      </w:r>
    </w:p>
    <w:p>
      <w:pPr>
        <w:pStyle w:val="Normal"/>
        <w:rPr>
          <w:rFonts w:ascii="Cambria" w:hAnsi="Cambria" w:eastAsia="Overlock" w:cs="Overlock"/>
          <w:sz w:val="24"/>
          <w:szCs w:val="24"/>
        </w:rPr>
      </w:pPr>
      <w:r>
        <w:rPr>
          <w:rFonts w:eastAsia="Overlock" w:cs="Overlock" w:ascii="Cambria" w:hAnsi="Cambria"/>
          <w:sz w:val="24"/>
          <w:szCs w:val="24"/>
        </w:rPr>
      </w:r>
    </w:p>
    <w:p>
      <w:pPr>
        <w:pStyle w:val="Heading4"/>
        <w:rPr>
          <w:rFonts w:ascii="Cambria" w:hAnsi="Cambria"/>
        </w:rPr>
      </w:pPr>
      <w:r>
        <w:rPr>
          <w:rFonts w:ascii="Cambria" w:hAnsi="Cambria"/>
        </w:rPr>
        <w:t>3.1.2.2</w:t>
        <w:tab/>
        <w:t>Regional Analysis of Forest Holdings</w:t>
      </w:r>
    </w:p>
    <w:p>
      <w:pPr>
        <w:pStyle w:val="Normal"/>
        <w:rPr>
          <w:rFonts w:ascii="Cambria" w:hAnsi="Cambria"/>
        </w:rPr>
      </w:pPr>
      <w:r>
        <w:rPr>
          <w:rFonts w:eastAsia="Overlock" w:cs="Overlock" w:ascii="Cambria" w:hAnsi="Cambria"/>
          <w:sz w:val="24"/>
          <w:szCs w:val="24"/>
        </w:rPr>
        <w:t>A significant portion of the country's forest wealth is concentrated in five key counties, which have maintained their status as the primary custodians of forest land:</w:t>
      </w:r>
    </w:p>
    <w:p>
      <w:pPr>
        <w:pStyle w:val="Normal"/>
        <w:rPr>
          <w:rFonts w:ascii="Cambria" w:hAnsi="Cambria"/>
        </w:rPr>
      </w:pPr>
      <w:r>
        <w:rPr>
          <w:rFonts w:eastAsia="Overlock" w:cs="Overlock" w:ascii="Cambria" w:hAnsi="Cambria"/>
          <w:sz w:val="24"/>
          <w:szCs w:val="24"/>
        </w:rPr>
        <w:t>Samburu: Remains the leader in forest coverage, ending 2024 with 319,666 ha. It has shown remarkable stability with a slight overall increase since 2019.</w:t>
      </w:r>
    </w:p>
    <w:p>
      <w:pPr>
        <w:pStyle w:val="Normal"/>
        <w:numPr>
          <w:ilvl w:val="0"/>
          <w:numId w:val="6"/>
        </w:numPr>
        <w:rPr>
          <w:rFonts w:ascii="Cambria" w:hAnsi="Cambria"/>
        </w:rPr>
      </w:pPr>
      <w:r>
        <w:rPr>
          <w:rFonts w:eastAsia="Overlock" w:cs="Overlock" w:ascii="Cambria" w:hAnsi="Cambria"/>
          <w:sz w:val="24"/>
          <w:szCs w:val="24"/>
        </w:rPr>
        <w:t>Garissa: Holds the second-largest forest area at 310,823 ha, experiencing a steady climb from 306,380 ha in 2019.</w:t>
      </w:r>
    </w:p>
    <w:p>
      <w:pPr>
        <w:pStyle w:val="Normal"/>
        <w:numPr>
          <w:ilvl w:val="0"/>
          <w:numId w:val="6"/>
        </w:numPr>
        <w:rPr>
          <w:rFonts w:ascii="Cambria" w:hAnsi="Cambria"/>
        </w:rPr>
      </w:pPr>
      <w:r>
        <w:rPr>
          <w:rFonts w:eastAsia="Overlock" w:cs="Overlock" w:ascii="Cambria" w:hAnsi="Cambria"/>
          <w:sz w:val="24"/>
          <w:szCs w:val="24"/>
        </w:rPr>
        <w:t>Narok: While still a top-tier forest county (278,547 ha), Narok is notable for being one of the few large-scale forest areas to show a decline (dropping from 285,122 ha in 2019).</w:t>
      </w:r>
    </w:p>
    <w:p>
      <w:pPr>
        <w:pStyle w:val="Normal"/>
        <w:numPr>
          <w:ilvl w:val="0"/>
          <w:numId w:val="6"/>
        </w:numPr>
        <w:rPr>
          <w:rFonts w:ascii="Cambria" w:hAnsi="Cambria"/>
        </w:rPr>
      </w:pPr>
      <w:r>
        <w:rPr>
          <w:rFonts w:eastAsia="Overlock" w:cs="Overlock" w:ascii="Cambria" w:hAnsi="Cambria"/>
          <w:sz w:val="24"/>
          <w:szCs w:val="24"/>
        </w:rPr>
        <w:t>Turkana: This county recorded the most significant expansion in terms of raw acreage, growing from 245,235 ha to 270,588 ha—an increase of over 25,000 ha.</w:t>
      </w:r>
    </w:p>
    <w:p>
      <w:pPr>
        <w:pStyle w:val="Normal"/>
        <w:numPr>
          <w:ilvl w:val="0"/>
          <w:numId w:val="6"/>
        </w:numPr>
        <w:rPr>
          <w:rFonts w:ascii="Cambria" w:hAnsi="Cambria"/>
        </w:rPr>
      </w:pPr>
      <w:r>
        <w:rPr>
          <w:rFonts w:eastAsia="Overlock" w:cs="Overlock" w:ascii="Cambria" w:hAnsi="Cambria"/>
          <w:sz w:val="24"/>
          <w:szCs w:val="24"/>
        </w:rPr>
        <w:t>Lamu: Maintains a robust forest estate of 265,504 ha, showing consistent stability with minor fluctuations.</w:t>
      </w:r>
    </w:p>
    <w:p>
      <w:pPr>
        <w:pStyle w:val="Normal"/>
        <w:rPr>
          <w:rFonts w:ascii="Cambria" w:hAnsi="Cambria" w:eastAsia="Overlock" w:cs="Overlock"/>
          <w:sz w:val="24"/>
          <w:szCs w:val="24"/>
        </w:rPr>
      </w:pPr>
      <w:r>
        <w:rPr>
          <w:rFonts w:eastAsia="Overlock" w:cs="Overlock" w:ascii="Cambria" w:hAnsi="Cambria"/>
          <w:sz w:val="24"/>
          <w:szCs w:val="24"/>
        </w:rPr>
      </w:r>
    </w:p>
    <w:p>
      <w:pPr>
        <w:pStyle w:val="Heading4"/>
        <w:rPr>
          <w:rFonts w:ascii="Cambria" w:hAnsi="Cambria"/>
        </w:rPr>
      </w:pPr>
      <w:r>
        <w:rPr>
          <w:rFonts w:ascii="Cambria" w:hAnsi="Cambria"/>
        </w:rPr>
        <w:t>3.1.2.3</w:t>
        <w:tab/>
        <w:t>Emerging Growth Leaders</w:t>
      </w:r>
    </w:p>
    <w:p>
      <w:pPr>
        <w:pStyle w:val="Normal"/>
        <w:rPr>
          <w:rFonts w:ascii="Cambria" w:hAnsi="Cambria"/>
        </w:rPr>
      </w:pPr>
      <w:r>
        <w:rPr>
          <w:rFonts w:eastAsia="Overlock" w:cs="Overlock" w:ascii="Cambria" w:hAnsi="Cambria"/>
          <w:sz w:val="24"/>
          <w:szCs w:val="24"/>
        </w:rPr>
        <w:t>Several counties have demonstrated high-intensity growth, likely reflecting successful community-based or county-led greening programs:</w:t>
      </w:r>
    </w:p>
    <w:p>
      <w:pPr>
        <w:pStyle w:val="Normal"/>
        <w:numPr>
          <w:ilvl w:val="0"/>
          <w:numId w:val="9"/>
        </w:numPr>
        <w:rPr>
          <w:rFonts w:ascii="Cambria" w:hAnsi="Cambria"/>
        </w:rPr>
      </w:pPr>
      <w:r>
        <w:rPr>
          <w:rFonts w:eastAsia="Overlock" w:cs="Overlock" w:ascii="Cambria" w:hAnsi="Cambria"/>
          <w:sz w:val="24"/>
          <w:szCs w:val="24"/>
        </w:rPr>
        <w:t>Kisii: Grew from 28,052 ha to 35,592 ha, a significant percentage increase for its land size.</w:t>
      </w:r>
    </w:p>
    <w:p>
      <w:pPr>
        <w:pStyle w:val="Normal"/>
        <w:numPr>
          <w:ilvl w:val="0"/>
          <w:numId w:val="9"/>
        </w:numPr>
        <w:rPr>
          <w:rFonts w:ascii="Cambria" w:hAnsi="Cambria"/>
        </w:rPr>
      </w:pPr>
      <w:r>
        <w:rPr>
          <w:rFonts w:eastAsia="Overlock" w:cs="Overlock" w:ascii="Cambria" w:hAnsi="Cambria"/>
          <w:sz w:val="24"/>
          <w:szCs w:val="24"/>
        </w:rPr>
        <w:t>Kakamega: Increased its coverage from 49,310 ha to 55,930 ha, highlighting the protection of its unique tropical rainforest ecosystems.</w:t>
      </w:r>
    </w:p>
    <w:p>
      <w:pPr>
        <w:pStyle w:val="Normal"/>
        <w:numPr>
          <w:ilvl w:val="0"/>
          <w:numId w:val="9"/>
        </w:numPr>
        <w:rPr>
          <w:rFonts w:ascii="Cambria" w:hAnsi="Cambria"/>
        </w:rPr>
      </w:pPr>
      <w:r>
        <w:rPr>
          <w:rFonts w:eastAsia="Overlock" w:cs="Overlock" w:ascii="Cambria" w:hAnsi="Cambria"/>
          <w:sz w:val="24"/>
          <w:szCs w:val="24"/>
        </w:rPr>
        <w:t>Migori: Showed strong gains, moving from 16,218 ha in 2019 to 21,886 ha in 2024.</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 xml:space="preserve">It is noted that in the drier counties such as Turkana, the extensive expansion of the invasive </w:t>
      </w:r>
      <w:r>
        <w:rPr>
          <w:rFonts w:eastAsia="Overlock" w:cs="Overlock" w:ascii="Cambria" w:hAnsi="Cambria"/>
          <w:i/>
          <w:iCs/>
          <w:sz w:val="24"/>
          <w:szCs w:val="24"/>
        </w:rPr>
        <w:t>Prosopis juliflora</w:t>
      </w:r>
      <w:r>
        <w:rPr>
          <w:rFonts w:eastAsia="Overlock" w:cs="Overlock" w:ascii="Cambria" w:hAnsi="Cambria"/>
          <w:sz w:val="24"/>
          <w:szCs w:val="24"/>
        </w:rPr>
        <w:t xml:space="preserve"> contributes to a rapid increase in forests but such forests are also cleared within short periods. The results also illustrate that dryland counties like Turkana, Garissa, Samburu and Makueni have a big potential for afforestation and this is compliant with the 15 billion tree strategy.</w:t>
      </w:r>
    </w:p>
    <w:p>
      <w:pPr>
        <w:pStyle w:val="Normal"/>
        <w:rPr>
          <w:rFonts w:ascii="Cambria" w:hAnsi="Cambria"/>
        </w:rPr>
      </w:pPr>
      <w:r>
        <w:rPr>
          <w:rFonts w:ascii="Cambria" w:hAnsi="Cambria"/>
        </w:rPr>
      </w:r>
    </w:p>
    <w:p>
      <w:pPr>
        <w:pStyle w:val="Normal"/>
        <w:pBdr/>
        <w:spacing w:before="0" w:after="200"/>
        <w:rPr>
          <w:rFonts w:ascii="Cambria" w:hAnsi="Cambria"/>
        </w:rPr>
      </w:pPr>
      <w:r>
        <w:rPr>
          <w:rFonts w:ascii="Cambria" w:hAnsi="Cambria"/>
          <w:i/>
          <w:iCs/>
          <w:color w:val="1F497D"/>
          <w:sz w:val="24"/>
          <w:szCs w:val="24"/>
        </w:rPr>
        <w:t>Table 4: County statistics of opening and closing stocks of forest area (2019-2024)</w:t>
      </w:r>
    </w:p>
    <w:tbl>
      <w:tblPr>
        <w:tblStyle w:val="ac"/>
        <w:tblW w:w="9450"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1804"/>
        <w:gridCol w:w="1966"/>
        <w:gridCol w:w="1900"/>
        <w:gridCol w:w="1952"/>
        <w:gridCol w:w="1828"/>
      </w:tblGrid>
      <w:tr>
        <w:trPr>
          <w:tblHeader w:val="true"/>
          <w:trHeight w:val="300" w:hRule="atLeast"/>
        </w:trPr>
        <w:tc>
          <w:tcPr>
            <w:tcW w:w="1804" w:type="dxa"/>
            <w:vMerge w:val="restart"/>
            <w:tcBorders/>
            <w:shd w:color="auto" w:fill="FBD5B5" w:val="clear"/>
            <w:vAlign w:val="bottom"/>
          </w:tcPr>
          <w:p>
            <w:pPr>
              <w:pStyle w:val="Normal"/>
              <w:rPr>
                <w:rFonts w:ascii="Cambria" w:hAnsi="Cambria"/>
              </w:rPr>
            </w:pPr>
            <w:r>
              <w:rPr>
                <w:rFonts w:eastAsia="Overlock" w:cs="Overlock" w:ascii="Cambria" w:hAnsi="Cambria"/>
              </w:rPr>
              <w:t>County</w:t>
            </w:r>
          </w:p>
        </w:tc>
        <w:tc>
          <w:tcPr>
            <w:tcW w:w="7646" w:type="dxa"/>
            <w:gridSpan w:val="4"/>
            <w:tcBorders/>
            <w:shd w:color="auto" w:fill="FBD5B5" w:val="clear"/>
            <w:vAlign w:val="bottom"/>
          </w:tcPr>
          <w:p>
            <w:pPr>
              <w:pStyle w:val="Normal"/>
              <w:jc w:val="center"/>
              <w:rPr>
                <w:rFonts w:ascii="Cambria" w:hAnsi="Cambria"/>
              </w:rPr>
            </w:pPr>
            <w:r>
              <w:rPr>
                <w:rFonts w:eastAsia="Overlock" w:cs="Overlock" w:ascii="Cambria" w:hAnsi="Cambria"/>
              </w:rPr>
              <w:t>Areas of Forest in ha (2019 -2024)</w:t>
            </w:r>
          </w:p>
        </w:tc>
      </w:tr>
      <w:tr>
        <w:trPr>
          <w:tblHeader w:val="true"/>
          <w:trHeight w:val="300" w:hRule="atLeast"/>
        </w:trPr>
        <w:tc>
          <w:tcPr>
            <w:tcW w:w="1804" w:type="dxa"/>
            <w:vMerge w:val="continue"/>
            <w:tcBorders/>
            <w:shd w:color="auto" w:fill="FBD5B5" w:val="clear"/>
            <w:vAlign w:val="bottom"/>
          </w:tcPr>
          <w:p>
            <w:pPr>
              <w:pStyle w:val="Normal"/>
              <w:widowControl w:val="false"/>
              <w:pBdr/>
              <w:spacing w:lineRule="auto" w:line="276"/>
              <w:jc w:val="start"/>
              <w:rPr>
                <w:rFonts w:ascii="Cambria" w:hAnsi="Cambria" w:eastAsia="Overlock" w:cs="Overlock"/>
              </w:rPr>
            </w:pPr>
            <w:r>
              <w:rPr>
                <w:rFonts w:eastAsia="Overlock" w:cs="Overlock" w:ascii="Cambria" w:hAnsi="Cambria"/>
              </w:rPr>
            </w:r>
          </w:p>
        </w:tc>
        <w:tc>
          <w:tcPr>
            <w:tcW w:w="1966" w:type="dxa"/>
            <w:tcBorders/>
            <w:shd w:color="auto" w:fill="FBD5B5" w:val="clear"/>
            <w:vAlign w:val="bottom"/>
          </w:tcPr>
          <w:p>
            <w:pPr>
              <w:pStyle w:val="Normal"/>
              <w:rPr>
                <w:rFonts w:ascii="Cambria" w:hAnsi="Cambria"/>
              </w:rPr>
            </w:pPr>
            <w:r>
              <w:rPr>
                <w:rFonts w:eastAsia="Overlock" w:cs="Overlock" w:ascii="Cambria" w:hAnsi="Cambria"/>
              </w:rPr>
              <w:t xml:space="preserve"> </w:t>
            </w:r>
            <w:r>
              <w:rPr>
                <w:rFonts w:eastAsia="Overlock" w:cs="Overlock" w:ascii="Cambria" w:hAnsi="Cambria"/>
              </w:rPr>
              <w:t>Initial Area in 2019</w:t>
            </w:r>
          </w:p>
        </w:tc>
        <w:tc>
          <w:tcPr>
            <w:tcW w:w="1900" w:type="dxa"/>
            <w:tcBorders/>
            <w:shd w:color="auto" w:fill="FBD5B5" w:val="clear"/>
            <w:vAlign w:val="bottom"/>
          </w:tcPr>
          <w:p>
            <w:pPr>
              <w:pStyle w:val="Normal"/>
              <w:rPr>
                <w:rFonts w:ascii="Cambria" w:hAnsi="Cambria"/>
              </w:rPr>
            </w:pPr>
            <w:r>
              <w:rPr>
                <w:rFonts w:eastAsia="Overlock" w:cs="Overlock" w:ascii="Cambria" w:hAnsi="Cambria"/>
              </w:rPr>
              <w:t xml:space="preserve">Total afforestation </w:t>
            </w:r>
          </w:p>
        </w:tc>
        <w:tc>
          <w:tcPr>
            <w:tcW w:w="1952" w:type="dxa"/>
            <w:tcBorders/>
            <w:shd w:color="auto" w:fill="FBD5B5" w:val="clear"/>
            <w:vAlign w:val="bottom"/>
          </w:tcPr>
          <w:p>
            <w:pPr>
              <w:pStyle w:val="Normal"/>
              <w:rPr>
                <w:rFonts w:ascii="Cambria" w:hAnsi="Cambria"/>
              </w:rPr>
            </w:pPr>
            <w:r>
              <w:rPr>
                <w:rFonts w:eastAsia="Overlock" w:cs="Overlock" w:ascii="Cambria" w:hAnsi="Cambria"/>
              </w:rPr>
              <w:t xml:space="preserve">Total deforestation </w:t>
            </w:r>
          </w:p>
        </w:tc>
        <w:tc>
          <w:tcPr>
            <w:tcW w:w="1828" w:type="dxa"/>
            <w:tcBorders/>
            <w:shd w:color="auto" w:fill="FBD5B5" w:val="clear"/>
            <w:vAlign w:val="bottom"/>
          </w:tcPr>
          <w:p>
            <w:pPr>
              <w:pStyle w:val="Normal"/>
              <w:rPr>
                <w:rFonts w:ascii="Cambria" w:hAnsi="Cambria"/>
              </w:rPr>
            </w:pPr>
            <w:r>
              <w:rPr>
                <w:rFonts w:eastAsia="Overlock" w:cs="Overlock" w:ascii="Cambria" w:hAnsi="Cambria"/>
              </w:rPr>
              <w:t>Closing area 2024</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Baringo</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119,659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5,588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3,697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121,550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Bomet</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82,625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7,736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6,533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83,828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Bungoma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45,961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6,952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4,745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48,169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Busia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9,668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3,486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2,058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11,097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Elgeyo-Marakwet</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102,623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4,775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5,664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101,734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Embu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42,999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4,045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2,538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44,506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Garissa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312,605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4,345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3,057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313,894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Homa Bay</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9,298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4,315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999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12,613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Isiolo</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26,704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3,186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29,890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Kajiado</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37,073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429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37,503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Kakamega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49,294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16,258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5,074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60,478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Kericho</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60,775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9,450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8,276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61,948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Kiambu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48,554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929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3,057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46,426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Kilifi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82,255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3,057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2,292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83,019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Kirinyaga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41,147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1,499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644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42,002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Kisii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28,555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6,861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4,655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30,762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Kisumu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3,743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6,348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2,917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7,174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Kitui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113,733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3,856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3,596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113,993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Kwale</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54,850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1,269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929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55,189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Laikipia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58,923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3,586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3,486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59,023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Lamu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267,054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1,079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2,537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265,595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Machakos</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14,853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5,464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1,998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18,319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Makueni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68,182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26,434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11,777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82,839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Mandera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4,483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539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2,487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2,535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Marsabit</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35,222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9,650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1,538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43,333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Meru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99,290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5,354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1,358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103,286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Migori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14,483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9,774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1,538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22,718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Mombasa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1,891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1,891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Murang'a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61,145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11,009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11,129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61,025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Nairobi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7,076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7,076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Nakuru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103,734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6,828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6,818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103,744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Nandi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70,774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33,496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16,362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87,908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Narok</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285,200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14,440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28,240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271,400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Nyamira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21,889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8,026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7,563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22,353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Nyandarua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88,550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12,401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7,452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93,499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Nyeri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146,694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8,137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2,377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152,453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Samburu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304,088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6,973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6,643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304,418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Siaya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7,076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2,567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9,643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Taita Taveta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29,667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29,667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Tana River</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58,553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14,215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9,875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62,893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Tharaka-Nithi</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47,072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429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47,502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Trans Nzoia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43,369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9,599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6,188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46,780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Turkana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227,798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45,280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21,302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251,776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Uasin Gishu</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44,850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9,255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2,998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51,108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Vihiga</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14,853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539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15,392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Wajir</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8,928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999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2,058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7,869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West Pokot</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59,664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1,968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1,968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59,664 </w:t>
            </w:r>
          </w:p>
        </w:tc>
      </w:tr>
      <w:tr>
        <w:trPr>
          <w:trHeight w:val="300" w:hRule="atLeast"/>
        </w:trPr>
        <w:tc>
          <w:tcPr>
            <w:tcW w:w="1804" w:type="dxa"/>
            <w:tcBorders/>
            <w:vAlign w:val="bottom"/>
          </w:tcPr>
          <w:p>
            <w:pPr>
              <w:pStyle w:val="Normal"/>
              <w:rPr>
                <w:rFonts w:ascii="Cambria" w:hAnsi="Cambria"/>
              </w:rPr>
            </w:pPr>
            <w:r>
              <w:rPr>
                <w:rFonts w:eastAsia="Overlock" w:cs="Overlock" w:ascii="Cambria" w:hAnsi="Cambria"/>
              </w:rPr>
              <w:t>Total</w:t>
            </w:r>
          </w:p>
        </w:tc>
        <w:tc>
          <w:tcPr>
            <w:tcW w:w="1966"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3,467,483 </w:t>
            </w:r>
          </w:p>
        </w:tc>
        <w:tc>
          <w:tcPr>
            <w:tcW w:w="1900"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342,427 </w:t>
            </w:r>
          </w:p>
        </w:tc>
        <w:tc>
          <w:tcPr>
            <w:tcW w:w="1952"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218,424 </w:t>
            </w:r>
          </w:p>
        </w:tc>
        <w:tc>
          <w:tcPr>
            <w:tcW w:w="1828" w:type="dxa"/>
            <w:tcBorders/>
          </w:tcPr>
          <w:p>
            <w:pPr>
              <w:pStyle w:val="Normal"/>
              <w:rPr>
                <w:rFonts w:ascii="Cambria" w:hAnsi="Cambria"/>
              </w:rPr>
            </w:pPr>
            <w:r>
              <w:rPr>
                <w:rFonts w:eastAsia="Overlock" w:cs="Overlock" w:ascii="Cambria" w:hAnsi="Cambria"/>
              </w:rPr>
              <w:t xml:space="preserve"> </w:t>
            </w:r>
            <w:r>
              <w:rPr>
                <w:rFonts w:eastAsia="Overlock" w:cs="Overlock" w:ascii="Cambria" w:hAnsi="Cambria"/>
              </w:rPr>
              <w:t xml:space="preserve">3,591,486 </w:t>
            </w:r>
          </w:p>
        </w:tc>
      </w:tr>
    </w:tbl>
    <w:p>
      <w:pPr>
        <w:pStyle w:val="Normal"/>
        <w:rPr>
          <w:rFonts w:ascii="Cambria" w:hAnsi="Cambria"/>
        </w:rPr>
      </w:pPr>
      <w:r>
        <w:rPr>
          <w:rFonts w:ascii="Cambria" w:hAnsi="Cambria"/>
        </w:rPr>
      </w:r>
    </w:p>
    <w:tbl>
      <w:tblPr>
        <w:tblStyle w:val="ad"/>
        <w:tblW w:w="9350"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4675"/>
        <w:gridCol w:w="4675"/>
      </w:tblGrid>
      <w:tr>
        <w:trPr/>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ascii="Cambria" w:hAnsi="Cambria"/>
              </w:rPr>
              <w:drawing>
                <wp:inline distT="0" distB="0" distL="0" distR="0">
                  <wp:extent cx="2593340" cy="3229610"/>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noChangeArrowheads="1"/>
                          </pic:cNvPicPr>
                        </pic:nvPicPr>
                        <pic:blipFill>
                          <a:blip r:embed="rId16"/>
                          <a:stretch>
                            <a:fillRect/>
                          </a:stretch>
                        </pic:blipFill>
                        <pic:spPr bwMode="auto">
                          <a:xfrm>
                            <a:off x="0" y="0"/>
                            <a:ext cx="2593340" cy="3229610"/>
                          </a:xfrm>
                          <a:prstGeom prst="rect">
                            <a:avLst/>
                          </a:prstGeom>
                          <a:noFill/>
                        </pic:spPr>
                      </pic:pic>
                    </a:graphicData>
                  </a:graphic>
                </wp:inline>
              </w:drawing>
            </w:r>
          </w:p>
        </w:tc>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ascii="Cambria" w:hAnsi="Cambria"/>
              </w:rPr>
              <w:drawing>
                <wp:inline distT="0" distB="0" distL="0" distR="0">
                  <wp:extent cx="2562860" cy="3251200"/>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7"/>
                          <a:stretch>
                            <a:fillRect/>
                          </a:stretch>
                        </pic:blipFill>
                        <pic:spPr bwMode="auto">
                          <a:xfrm>
                            <a:off x="0" y="0"/>
                            <a:ext cx="2562860" cy="3251200"/>
                          </a:xfrm>
                          <a:prstGeom prst="rect">
                            <a:avLst/>
                          </a:prstGeom>
                          <a:noFill/>
                        </pic:spPr>
                      </pic:pic>
                    </a:graphicData>
                  </a:graphic>
                </wp:inline>
              </w:drawing>
            </w:r>
            <w:r>
              <w:rPr>
                <w:rFonts w:ascii="Cambria" w:hAnsi="Cambria"/>
              </w:rPr>
              <w:t xml:space="preserve"> </w:t>
            </w:r>
          </w:p>
        </w:tc>
      </w:tr>
      <w:tr>
        <w:trPr/>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ascii="Cambria" w:hAnsi="Cambria"/>
              </w:rPr>
            </w:r>
          </w:p>
        </w:tc>
        <w:tc>
          <w:tcPr>
            <w:tcW w:w="4675" w:type="dxa"/>
            <w:tcBorders>
              <w:top w:val="single" w:sz="4" w:space="0" w:color="000000"/>
              <w:start w:val="single" w:sz="4" w:space="0" w:color="000000"/>
              <w:bottom w:val="single" w:sz="4" w:space="0" w:color="000000"/>
              <w:end w:val="single" w:sz="4" w:space="0" w:color="000000"/>
            </w:tcBorders>
          </w:tcPr>
          <w:p>
            <w:pPr>
              <w:pStyle w:val="Normal"/>
              <w:rPr>
                <w:rFonts w:ascii="Cambria" w:hAnsi="Cambria"/>
              </w:rPr>
            </w:pPr>
            <w:r>
              <w:rPr>
                <w:rFonts w:ascii="Cambria" w:hAnsi="Cambria"/>
              </w:rPr>
            </w:r>
          </w:p>
        </w:tc>
      </w:tr>
    </w:tbl>
    <w:p>
      <w:pPr>
        <w:pStyle w:val="Normal"/>
        <w:pBdr/>
        <w:spacing w:before="0" w:after="200"/>
        <w:rPr>
          <w:rFonts w:ascii="Cambria" w:hAnsi="Cambria"/>
        </w:rPr>
      </w:pPr>
      <w:bookmarkStart w:id="36" w:name="_heading=h.q6ytrnbdvp0b"/>
      <w:bookmarkEnd w:id="36"/>
      <w:r>
        <w:rPr>
          <w:rFonts w:ascii="Cambria" w:hAnsi="Cambria"/>
          <w:i/>
          <w:iCs/>
          <w:color w:val="1F497D"/>
          <w:sz w:val="24"/>
          <w:szCs w:val="24"/>
        </w:rPr>
        <w:t>Figure 6: An illustration of the area of afforestation and deforestation by counties in the 5-year period (2019-2024)</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eastAsia="Overlock" w:cs="Overlock"/>
          <w:sz w:val="24"/>
          <w:szCs w:val="24"/>
        </w:rPr>
      </w:pPr>
      <w:r>
        <w:rPr>
          <w:rFonts w:eastAsia="Overlock" w:cs="Overlock" w:ascii="Cambria" w:hAnsi="Cambria"/>
          <w:sz w:val="24"/>
          <w:szCs w:val="24"/>
        </w:rPr>
      </w:r>
    </w:p>
    <w:p>
      <w:pPr>
        <w:pStyle w:val="Normal"/>
        <w:pBdr/>
        <w:spacing w:before="0" w:after="200"/>
        <w:rPr>
          <w:rFonts w:ascii="Cambria" w:hAnsi="Cambria"/>
        </w:rPr>
      </w:pPr>
      <w:r>
        <w:rPr>
          <w:rFonts w:ascii="Cambria" w:hAnsi="Cambria"/>
          <w:i/>
          <w:iCs/>
          <w:color w:val="1F497D"/>
          <w:sz w:val="24"/>
          <w:szCs w:val="24"/>
        </w:rPr>
        <w:t>Table 5</w:t>
      </w:r>
      <w:r>
        <w:rPr>
          <w:rFonts w:eastAsia="Overlock" w:cs="Overlock" w:ascii="Cambria" w:hAnsi="Cambria"/>
          <w:b/>
          <w:bCs/>
          <w:i/>
          <w:iCs/>
          <w:color w:val="1F497D"/>
          <w:sz w:val="24"/>
          <w:szCs w:val="24"/>
        </w:rPr>
        <w:t xml:space="preserve"> Top 10 High-Growth Counties by % of county area (2019–2024)</w:t>
      </w:r>
    </w:p>
    <w:tbl>
      <w:tblPr>
        <w:tblStyle w:val="ae"/>
        <w:tblW w:w="9795" w:type="dxa"/>
        <w:jc w:val="start"/>
        <w:tblInd w:w="0" w:type="dxa"/>
        <w:tblLayout w:type="fixed"/>
        <w:tblCellMar>
          <w:top w:w="0" w:type="dxa"/>
          <w:start w:w="100" w:type="dxa"/>
          <w:bottom w:w="0" w:type="dxa"/>
          <w:end w:w="100" w:type="dxa"/>
        </w:tblCellMar>
        <w:tblLook w:val="0600" w:noHBand="1" w:noVBand="1" w:firstColumn="0" w:lastRow="0" w:lastColumn="0" w:firstRow="0"/>
      </w:tblPr>
      <w:tblGrid>
        <w:gridCol w:w="1080"/>
        <w:gridCol w:w="1485"/>
        <w:gridCol w:w="1784"/>
        <w:gridCol w:w="2101"/>
        <w:gridCol w:w="3345"/>
      </w:tblGrid>
      <w:tr>
        <w:trPr>
          <w:trHeight w:val="411" w:hRule="atLeast"/>
        </w:trPr>
        <w:tc>
          <w:tcPr>
            <w:tcW w:w="1080" w:type="dxa"/>
            <w:tcBorders>
              <w:top w:val="single" w:sz="4" w:space="0" w:color="000000"/>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Rank</w:t>
            </w:r>
          </w:p>
        </w:tc>
        <w:tc>
          <w:tcPr>
            <w:tcW w:w="1485" w:type="dxa"/>
            <w:tcBorders>
              <w:top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County</w:t>
            </w:r>
          </w:p>
        </w:tc>
        <w:tc>
          <w:tcPr>
            <w:tcW w:w="1784" w:type="dxa"/>
            <w:tcBorders>
              <w:top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2019 Forest (ha)</w:t>
            </w:r>
          </w:p>
        </w:tc>
        <w:tc>
          <w:tcPr>
            <w:tcW w:w="2101" w:type="dxa"/>
            <w:tcBorders>
              <w:top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2024 Forest (ha)</w:t>
            </w:r>
          </w:p>
        </w:tc>
        <w:tc>
          <w:tcPr>
            <w:tcW w:w="3345" w:type="dxa"/>
            <w:tcBorders>
              <w:top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Percentage Growth (%)</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1</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Kisumu</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4,164</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6,411</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53.96%</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2</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Migori</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16,218</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21,886</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34.95%</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3</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Homa Bay</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8,547</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11,496</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34.50%</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4</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Kisii</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28,052</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35,592</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26.88%</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5</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Siaya</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7,232</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8,843</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22.28%</w:t>
            </w:r>
          </w:p>
        </w:tc>
      </w:tr>
      <w:tr>
        <w:trPr>
          <w:trHeight w:val="33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6</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Uasin Gishu</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38,133</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44,435</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16.53%</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7</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Busia</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9,862</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11,275</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14.33%</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8</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Kakamega</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49,310</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55,930</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13.43%</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9</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Nandi</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69,692</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77,595</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11.34%</w:t>
            </w:r>
          </w:p>
        </w:tc>
      </w:tr>
      <w:tr>
        <w:trPr>
          <w:trHeight w:val="270" w:hRule="atLeast"/>
        </w:trPr>
        <w:tc>
          <w:tcPr>
            <w:tcW w:w="1080" w:type="dxa"/>
            <w:tcBorders>
              <w:start w:val="single" w:sz="4" w:space="0" w:color="000000"/>
              <w:bottom w:val="single" w:sz="4" w:space="0" w:color="000000"/>
              <w:end w:val="single" w:sz="4" w:space="0" w:color="000000"/>
            </w:tcBorders>
            <w:shd w:color="auto" w:fill="DAEEF3" w:val="clear"/>
          </w:tcPr>
          <w:p>
            <w:pPr>
              <w:pStyle w:val="Normal"/>
              <w:rPr>
                <w:rFonts w:ascii="Cambria" w:hAnsi="Cambria"/>
              </w:rPr>
            </w:pPr>
            <w:r>
              <w:rPr>
                <w:rFonts w:eastAsia="Overlock" w:cs="Overlock" w:ascii="Cambria" w:hAnsi="Cambria"/>
              </w:rPr>
              <w:t>10</w:t>
            </w:r>
          </w:p>
        </w:tc>
        <w:tc>
          <w:tcPr>
            <w:tcW w:w="148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Marsabit</w:t>
            </w:r>
          </w:p>
        </w:tc>
        <w:tc>
          <w:tcPr>
            <w:tcW w:w="1784"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36,818</w:t>
            </w:r>
          </w:p>
        </w:tc>
        <w:tc>
          <w:tcPr>
            <w:tcW w:w="2101"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40,677</w:t>
            </w:r>
          </w:p>
        </w:tc>
        <w:tc>
          <w:tcPr>
            <w:tcW w:w="3345" w:type="dxa"/>
            <w:tcBorders>
              <w:bottom w:val="single" w:sz="4" w:space="0" w:color="000000"/>
              <w:end w:val="single" w:sz="4" w:space="0" w:color="000000"/>
            </w:tcBorders>
          </w:tcPr>
          <w:p>
            <w:pPr>
              <w:pStyle w:val="Normal"/>
              <w:rPr>
                <w:rFonts w:ascii="Cambria" w:hAnsi="Cambria"/>
              </w:rPr>
            </w:pPr>
            <w:r>
              <w:rPr>
                <w:rFonts w:eastAsia="Overlock" w:cs="Overlock" w:ascii="Cambria" w:hAnsi="Cambria"/>
              </w:rPr>
              <w:t>10.48%</w:t>
            </w:r>
          </w:p>
        </w:tc>
      </w:tr>
    </w:tbl>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ascii="Cambria" w:hAnsi="Cambria"/>
        </w:rPr>
        <w:drawing>
          <wp:inline distT="0" distB="0" distL="0" distR="0">
            <wp:extent cx="6492875" cy="4358005"/>
            <wp:effectExtent l="0" t="0" r="0" b="0"/>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png"/>
                    <pic:cNvPicPr>
                      <a:picLocks noChangeAspect="1" noChangeArrowheads="1"/>
                    </pic:cNvPicPr>
                  </pic:nvPicPr>
                  <pic:blipFill>
                    <a:blip r:embed="rId18"/>
                    <a:stretch>
                      <a:fillRect/>
                    </a:stretch>
                  </pic:blipFill>
                  <pic:spPr bwMode="auto">
                    <a:xfrm>
                      <a:off x="0" y="0"/>
                      <a:ext cx="6492875" cy="4358005"/>
                    </a:xfrm>
                    <a:prstGeom prst="rect">
                      <a:avLst/>
                    </a:prstGeom>
                    <a:noFill/>
                  </pic:spPr>
                </pic:pic>
              </a:graphicData>
            </a:graphic>
          </wp:inline>
        </w:drawing>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Heading2"/>
        <w:rPr>
          <w:rFonts w:ascii="Cambria" w:hAnsi="Cambria"/>
        </w:rPr>
      </w:pPr>
      <w:bookmarkStart w:id="37" w:name="_heading=h.45py3ns2mxeb"/>
      <w:bookmarkEnd w:id="37"/>
      <w:r>
        <w:rPr>
          <w:rFonts w:ascii="Cambria" w:hAnsi="Cambria"/>
        </w:rPr>
        <w:t>3.2. Forest Opening and Closing Stocks</w:t>
      </w:r>
    </w:p>
    <w:p>
      <w:pPr>
        <w:pStyle w:val="Normal"/>
        <w:rPr>
          <w:rFonts w:ascii="Cambria" w:hAnsi="Cambria" w:eastAsia="Overlock" w:cs="Overlock"/>
          <w:b/>
          <w:bCs/>
          <w:sz w:val="24"/>
          <w:szCs w:val="24"/>
        </w:rPr>
      </w:pPr>
      <w:r>
        <w:rPr>
          <w:rFonts w:eastAsia="Overlock" w:cs="Overlock" w:ascii="Cambria" w:hAnsi="Cambria"/>
          <w:b/>
          <w:bCs/>
          <w:sz w:val="24"/>
          <w:szCs w:val="24"/>
        </w:rPr>
      </w:r>
    </w:p>
    <w:tbl>
      <w:tblPr>
        <w:tblStyle w:val="af"/>
        <w:tblW w:w="9450" w:type="dxa"/>
        <w:jc w:val="start"/>
        <w:tblInd w:w="0" w:type="dxa"/>
        <w:tblLayout w:type="fixed"/>
        <w:tblCellMar>
          <w:top w:w="20" w:type="dxa"/>
          <w:start w:w="20" w:type="dxa"/>
          <w:bottom w:w="0" w:type="dxa"/>
          <w:end w:w="20" w:type="dxa"/>
        </w:tblCellMar>
        <w:tblLook w:val="0600" w:noHBand="1" w:noVBand="1" w:firstColumn="0" w:lastRow="0" w:lastColumn="0" w:firstRow="0"/>
      </w:tblPr>
      <w:tblGrid>
        <w:gridCol w:w="2090"/>
        <w:gridCol w:w="1226"/>
        <w:gridCol w:w="1225"/>
        <w:gridCol w:w="1228"/>
        <w:gridCol w:w="1226"/>
        <w:gridCol w:w="1228"/>
        <w:gridCol w:w="1227"/>
      </w:tblGrid>
      <w:tr>
        <w:trPr>
          <w:trHeight w:val="337" w:hRule="atLeast"/>
        </w:trPr>
        <w:tc>
          <w:tcPr>
            <w:tcW w:w="2090" w:type="dxa"/>
            <w:tcBorders>
              <w:top w:val="single" w:sz="4" w:space="0" w:color="000000"/>
              <w:start w:val="single" w:sz="4" w:space="0" w:color="000000"/>
              <w:bottom w:val="single" w:sz="4" w:space="0" w:color="000000"/>
              <w:end w:val="single" w:sz="4" w:space="0" w:color="000000"/>
            </w:tcBorders>
            <w:shd w:color="auto" w:fill="DAF2D0" w:val="clear"/>
          </w:tcPr>
          <w:p>
            <w:pPr>
              <w:pStyle w:val="Normal"/>
              <w:rPr>
                <w:rFonts w:ascii="Cambria" w:hAnsi="Cambria" w:eastAsia="Overlock" w:cs="Overlock"/>
              </w:rPr>
            </w:pPr>
            <w:r>
              <w:rPr>
                <w:rFonts w:eastAsia="Overlock" w:cs="Overlock" w:ascii="Cambria" w:hAnsi="Cambria"/>
              </w:rPr>
            </w:r>
          </w:p>
        </w:tc>
        <w:tc>
          <w:tcPr>
            <w:tcW w:w="1226" w:type="dxa"/>
            <w:tcBorders>
              <w:top w:val="single" w:sz="4" w:space="0" w:color="000000"/>
              <w:bottom w:val="single" w:sz="4" w:space="0" w:color="000000"/>
              <w:end w:val="single" w:sz="4" w:space="0" w:color="000000"/>
            </w:tcBorders>
            <w:shd w:color="auto" w:fill="DAF2D0" w:val="clear"/>
          </w:tcPr>
          <w:p>
            <w:pPr>
              <w:pStyle w:val="Normal"/>
              <w:rPr>
                <w:rFonts w:ascii="Cambria" w:hAnsi="Cambria"/>
              </w:rPr>
            </w:pPr>
            <w:r>
              <w:rPr>
                <w:rFonts w:eastAsia="Overlock" w:cs="Overlock" w:ascii="Cambria" w:hAnsi="Cambria"/>
              </w:rPr>
              <w:t>2019</w:t>
            </w:r>
          </w:p>
        </w:tc>
        <w:tc>
          <w:tcPr>
            <w:tcW w:w="1225" w:type="dxa"/>
            <w:tcBorders>
              <w:top w:val="single" w:sz="4" w:space="0" w:color="000000"/>
              <w:bottom w:val="single" w:sz="4" w:space="0" w:color="000000"/>
              <w:end w:val="single" w:sz="4" w:space="0" w:color="000000"/>
            </w:tcBorders>
            <w:shd w:color="auto" w:fill="DAF2D0" w:val="clear"/>
          </w:tcPr>
          <w:p>
            <w:pPr>
              <w:pStyle w:val="Normal"/>
              <w:rPr>
                <w:rFonts w:ascii="Cambria" w:hAnsi="Cambria"/>
              </w:rPr>
            </w:pPr>
            <w:r>
              <w:rPr>
                <w:rFonts w:eastAsia="Overlock" w:cs="Overlock" w:ascii="Cambria" w:hAnsi="Cambria"/>
              </w:rPr>
              <w:t>2020</w:t>
            </w:r>
          </w:p>
        </w:tc>
        <w:tc>
          <w:tcPr>
            <w:tcW w:w="1228" w:type="dxa"/>
            <w:tcBorders>
              <w:top w:val="single" w:sz="4" w:space="0" w:color="000000"/>
              <w:bottom w:val="single" w:sz="4" w:space="0" w:color="000000"/>
              <w:end w:val="single" w:sz="4" w:space="0" w:color="000000"/>
            </w:tcBorders>
            <w:shd w:color="auto" w:fill="DAF2D0" w:val="clear"/>
          </w:tcPr>
          <w:p>
            <w:pPr>
              <w:pStyle w:val="Normal"/>
              <w:rPr>
                <w:rFonts w:ascii="Cambria" w:hAnsi="Cambria"/>
              </w:rPr>
            </w:pPr>
            <w:r>
              <w:rPr>
                <w:rFonts w:eastAsia="Overlock" w:cs="Overlock" w:ascii="Cambria" w:hAnsi="Cambria"/>
              </w:rPr>
              <w:t>2021</w:t>
            </w:r>
          </w:p>
        </w:tc>
        <w:tc>
          <w:tcPr>
            <w:tcW w:w="1226" w:type="dxa"/>
            <w:tcBorders>
              <w:top w:val="single" w:sz="4" w:space="0" w:color="000000"/>
              <w:bottom w:val="single" w:sz="4" w:space="0" w:color="000000"/>
              <w:end w:val="single" w:sz="4" w:space="0" w:color="000000"/>
            </w:tcBorders>
            <w:shd w:color="auto" w:fill="DAF2D0" w:val="clear"/>
          </w:tcPr>
          <w:p>
            <w:pPr>
              <w:pStyle w:val="Normal"/>
              <w:rPr>
                <w:rFonts w:ascii="Cambria" w:hAnsi="Cambria"/>
              </w:rPr>
            </w:pPr>
            <w:r>
              <w:rPr>
                <w:rFonts w:eastAsia="Overlock" w:cs="Overlock" w:ascii="Cambria" w:hAnsi="Cambria"/>
              </w:rPr>
              <w:t>2022</w:t>
            </w:r>
          </w:p>
        </w:tc>
        <w:tc>
          <w:tcPr>
            <w:tcW w:w="1228" w:type="dxa"/>
            <w:tcBorders>
              <w:top w:val="single" w:sz="4" w:space="0" w:color="000000"/>
              <w:bottom w:val="single" w:sz="4" w:space="0" w:color="000000"/>
              <w:end w:val="single" w:sz="4" w:space="0" w:color="000000"/>
            </w:tcBorders>
            <w:shd w:color="auto" w:fill="DAF2D0" w:val="clear"/>
          </w:tcPr>
          <w:p>
            <w:pPr>
              <w:pStyle w:val="Normal"/>
              <w:rPr>
                <w:rFonts w:ascii="Cambria" w:hAnsi="Cambria"/>
              </w:rPr>
            </w:pPr>
            <w:r>
              <w:rPr>
                <w:rFonts w:eastAsia="Overlock" w:cs="Overlock" w:ascii="Cambria" w:hAnsi="Cambria"/>
              </w:rPr>
              <w:t>2023</w:t>
            </w:r>
          </w:p>
        </w:tc>
        <w:tc>
          <w:tcPr>
            <w:tcW w:w="1227" w:type="dxa"/>
            <w:tcBorders/>
          </w:tcPr>
          <w:p>
            <w:pPr>
              <w:pStyle w:val="Normal"/>
              <w:rPr>
                <w:rFonts w:ascii="Cambria" w:hAnsi="Cambria" w:eastAsia="Overlock" w:cs="Overlock"/>
              </w:rPr>
            </w:pPr>
            <w:r>
              <w:rPr>
                <w:rFonts w:eastAsia="Overlock" w:cs="Overlock" w:ascii="Cambria" w:hAnsi="Cambria"/>
              </w:rPr>
            </w:r>
          </w:p>
        </w:tc>
      </w:tr>
      <w:tr>
        <w:trPr>
          <w:trHeight w:val="430" w:hRule="atLeast"/>
        </w:trPr>
        <w:tc>
          <w:tcPr>
            <w:tcW w:w="2090" w:type="dxa"/>
            <w:tcBorders>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rPr>
              <w:t>Afforestation</w:t>
            </w:r>
          </w:p>
        </w:tc>
        <w:tc>
          <w:tcPr>
            <w:tcW w:w="1226"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56,035</w:t>
            </w:r>
          </w:p>
        </w:tc>
        <w:tc>
          <w:tcPr>
            <w:tcW w:w="1225"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56,087</w:t>
            </w:r>
          </w:p>
        </w:tc>
        <w:tc>
          <w:tcPr>
            <w:tcW w:w="1228"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92,426</w:t>
            </w:r>
          </w:p>
        </w:tc>
        <w:tc>
          <w:tcPr>
            <w:tcW w:w="1226"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98,275</w:t>
            </w:r>
          </w:p>
        </w:tc>
        <w:tc>
          <w:tcPr>
            <w:tcW w:w="1228"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39,604</w:t>
            </w:r>
          </w:p>
        </w:tc>
        <w:tc>
          <w:tcPr>
            <w:tcW w:w="1227" w:type="dxa"/>
            <w:tcBorders/>
          </w:tcPr>
          <w:p>
            <w:pPr>
              <w:pStyle w:val="Normal"/>
              <w:rPr>
                <w:rFonts w:ascii="Cambria" w:hAnsi="Cambria" w:eastAsia="Overlock" w:cs="Overlock"/>
              </w:rPr>
            </w:pPr>
            <w:r>
              <w:rPr>
                <w:rFonts w:eastAsia="Overlock" w:cs="Overlock" w:ascii="Cambria" w:hAnsi="Cambria"/>
              </w:rPr>
            </w:r>
          </w:p>
        </w:tc>
      </w:tr>
      <w:tr>
        <w:trPr>
          <w:trHeight w:val="375" w:hRule="atLeast"/>
        </w:trPr>
        <w:tc>
          <w:tcPr>
            <w:tcW w:w="2090" w:type="dxa"/>
            <w:tcBorders>
              <w:start w:val="single" w:sz="4" w:space="0" w:color="000000"/>
              <w:bottom w:val="single" w:sz="4" w:space="0" w:color="000000"/>
              <w:end w:val="single" w:sz="4" w:space="0" w:color="000000"/>
            </w:tcBorders>
          </w:tcPr>
          <w:p>
            <w:pPr>
              <w:pStyle w:val="Normal"/>
              <w:rPr>
                <w:rFonts w:ascii="Cambria" w:hAnsi="Cambria"/>
              </w:rPr>
            </w:pPr>
            <w:r>
              <w:rPr>
                <w:rFonts w:eastAsia="Overlock" w:cs="Overlock" w:ascii="Cambria" w:hAnsi="Cambria"/>
              </w:rPr>
              <w:t>Deforestation</w:t>
            </w:r>
          </w:p>
        </w:tc>
        <w:tc>
          <w:tcPr>
            <w:tcW w:w="1226"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27,696</w:t>
            </w:r>
          </w:p>
        </w:tc>
        <w:tc>
          <w:tcPr>
            <w:tcW w:w="1225"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35,054</w:t>
            </w:r>
          </w:p>
        </w:tc>
        <w:tc>
          <w:tcPr>
            <w:tcW w:w="1228"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58,953</w:t>
            </w:r>
          </w:p>
        </w:tc>
        <w:tc>
          <w:tcPr>
            <w:tcW w:w="1226"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68,939</w:t>
            </w:r>
          </w:p>
        </w:tc>
        <w:tc>
          <w:tcPr>
            <w:tcW w:w="1228" w:type="dxa"/>
            <w:tcBorders>
              <w:bottom w:val="single" w:sz="4" w:space="0" w:color="000000"/>
              <w:end w:val="single" w:sz="4" w:space="0" w:color="000000"/>
            </w:tcBorders>
            <w:shd w:color="auto" w:fill="F2F2F2" w:val="clear"/>
          </w:tcPr>
          <w:p>
            <w:pPr>
              <w:pStyle w:val="Normal"/>
              <w:rPr>
                <w:rFonts w:ascii="Cambria" w:hAnsi="Cambria"/>
              </w:rPr>
            </w:pPr>
            <w:r>
              <w:rPr>
                <w:rFonts w:eastAsia="Overlock" w:cs="Overlock" w:ascii="Cambria" w:hAnsi="Cambria"/>
              </w:rPr>
              <w:t>27,782</w:t>
            </w:r>
          </w:p>
        </w:tc>
        <w:tc>
          <w:tcPr>
            <w:tcW w:w="1227" w:type="dxa"/>
            <w:tcBorders/>
          </w:tcPr>
          <w:p>
            <w:pPr>
              <w:pStyle w:val="Normal"/>
              <w:rPr>
                <w:rFonts w:ascii="Cambria" w:hAnsi="Cambria" w:eastAsia="Overlock" w:cs="Overlock"/>
              </w:rPr>
            </w:pPr>
            <w:r>
              <w:rPr>
                <w:rFonts w:eastAsia="Overlock" w:cs="Overlock" w:ascii="Cambria" w:hAnsi="Cambria"/>
              </w:rPr>
            </w:r>
          </w:p>
        </w:tc>
      </w:tr>
      <w:tr>
        <w:trPr>
          <w:trHeight w:val="268" w:hRule="atLeast"/>
        </w:trPr>
        <w:tc>
          <w:tcPr>
            <w:tcW w:w="2090" w:type="dxa"/>
            <w:tcBorders/>
          </w:tcPr>
          <w:p>
            <w:pPr>
              <w:pStyle w:val="Normal"/>
              <w:rPr>
                <w:rFonts w:ascii="Cambria" w:hAnsi="Cambria" w:eastAsia="Overlock" w:cs="Overlock"/>
              </w:rPr>
            </w:pPr>
            <w:r>
              <w:rPr>
                <w:rFonts w:eastAsia="Overlock" w:cs="Overlock" w:ascii="Cambria" w:hAnsi="Cambria"/>
              </w:rPr>
            </w:r>
          </w:p>
        </w:tc>
        <w:tc>
          <w:tcPr>
            <w:tcW w:w="1226" w:type="dxa"/>
            <w:tcBorders/>
          </w:tcPr>
          <w:p>
            <w:pPr>
              <w:pStyle w:val="Normal"/>
              <w:rPr>
                <w:rFonts w:ascii="Cambria" w:hAnsi="Cambria" w:eastAsia="Overlock" w:cs="Overlock"/>
              </w:rPr>
            </w:pPr>
            <w:r>
              <w:rPr>
                <w:rFonts w:eastAsia="Overlock" w:cs="Overlock" w:ascii="Cambria" w:hAnsi="Cambria"/>
              </w:rPr>
            </w:r>
          </w:p>
        </w:tc>
        <w:tc>
          <w:tcPr>
            <w:tcW w:w="1225" w:type="dxa"/>
            <w:tcBorders/>
          </w:tcPr>
          <w:p>
            <w:pPr>
              <w:pStyle w:val="Normal"/>
              <w:rPr>
                <w:rFonts w:ascii="Cambria" w:hAnsi="Cambria" w:eastAsia="Overlock" w:cs="Overlock"/>
              </w:rPr>
            </w:pPr>
            <w:r>
              <w:rPr>
                <w:rFonts w:eastAsia="Overlock" w:cs="Overlock" w:ascii="Cambria" w:hAnsi="Cambria"/>
              </w:rPr>
            </w:r>
          </w:p>
        </w:tc>
        <w:tc>
          <w:tcPr>
            <w:tcW w:w="1228" w:type="dxa"/>
            <w:tcBorders/>
          </w:tcPr>
          <w:p>
            <w:pPr>
              <w:pStyle w:val="Normal"/>
              <w:rPr>
                <w:rFonts w:ascii="Cambria" w:hAnsi="Cambria" w:eastAsia="Overlock" w:cs="Overlock"/>
              </w:rPr>
            </w:pPr>
            <w:r>
              <w:rPr>
                <w:rFonts w:eastAsia="Overlock" w:cs="Overlock" w:ascii="Cambria" w:hAnsi="Cambria"/>
              </w:rPr>
            </w:r>
          </w:p>
        </w:tc>
        <w:tc>
          <w:tcPr>
            <w:tcW w:w="1226" w:type="dxa"/>
            <w:tcBorders/>
          </w:tcPr>
          <w:p>
            <w:pPr>
              <w:pStyle w:val="Normal"/>
              <w:rPr>
                <w:rFonts w:ascii="Cambria" w:hAnsi="Cambria" w:eastAsia="Overlock" w:cs="Overlock"/>
              </w:rPr>
            </w:pPr>
            <w:r>
              <w:rPr>
                <w:rFonts w:eastAsia="Overlock" w:cs="Overlock" w:ascii="Cambria" w:hAnsi="Cambria"/>
              </w:rPr>
            </w:r>
          </w:p>
        </w:tc>
        <w:tc>
          <w:tcPr>
            <w:tcW w:w="1228" w:type="dxa"/>
            <w:tcBorders/>
          </w:tcPr>
          <w:p>
            <w:pPr>
              <w:pStyle w:val="Normal"/>
              <w:rPr>
                <w:rFonts w:ascii="Cambria" w:hAnsi="Cambria" w:eastAsia="Overlock" w:cs="Overlock"/>
              </w:rPr>
            </w:pPr>
            <w:r>
              <w:rPr>
                <w:rFonts w:eastAsia="Overlock" w:cs="Overlock" w:ascii="Cambria" w:hAnsi="Cambria"/>
              </w:rPr>
            </w:r>
          </w:p>
        </w:tc>
        <w:tc>
          <w:tcPr>
            <w:tcW w:w="1227" w:type="dxa"/>
            <w:tcBorders/>
          </w:tcPr>
          <w:p>
            <w:pPr>
              <w:pStyle w:val="Normal"/>
              <w:rPr>
                <w:rFonts w:ascii="Cambria" w:hAnsi="Cambria" w:eastAsia="Overlock" w:cs="Overlock"/>
              </w:rPr>
            </w:pPr>
            <w:r>
              <w:rPr>
                <w:rFonts w:eastAsia="Overlock" w:cs="Overlock" w:ascii="Cambria" w:hAnsi="Cambria"/>
              </w:rPr>
            </w:r>
          </w:p>
        </w:tc>
      </w:tr>
      <w:tr>
        <w:trPr>
          <w:trHeight w:val="375" w:hRule="atLeast"/>
        </w:trPr>
        <w:tc>
          <w:tcPr>
            <w:tcW w:w="2090" w:type="dxa"/>
            <w:tcBorders>
              <w:top w:val="single" w:sz="4" w:space="0" w:color="000000"/>
              <w:bottom w:val="single" w:sz="4" w:space="0" w:color="000000"/>
            </w:tcBorders>
            <w:shd w:color="auto" w:fill="FBE2D5" w:val="clear"/>
          </w:tcPr>
          <w:p>
            <w:pPr>
              <w:pStyle w:val="Normal"/>
              <w:rPr>
                <w:rFonts w:ascii="Cambria" w:hAnsi="Cambria"/>
              </w:rPr>
            </w:pPr>
            <w:r>
              <w:rPr>
                <w:rFonts w:eastAsia="Overlock" w:cs="Overlock" w:ascii="Cambria" w:hAnsi="Cambria"/>
              </w:rPr>
              <w:t>Land Category</w:t>
            </w:r>
          </w:p>
        </w:tc>
        <w:tc>
          <w:tcPr>
            <w:tcW w:w="1226" w:type="dxa"/>
            <w:tcBorders>
              <w:top w:val="single" w:sz="4" w:space="0" w:color="000000"/>
              <w:bottom w:val="single" w:sz="4" w:space="0" w:color="000000"/>
            </w:tcBorders>
            <w:shd w:color="auto" w:fill="FBE2D5" w:val="clear"/>
          </w:tcPr>
          <w:p>
            <w:pPr>
              <w:pStyle w:val="Normal"/>
              <w:rPr>
                <w:rFonts w:ascii="Cambria" w:hAnsi="Cambria"/>
              </w:rPr>
            </w:pPr>
            <w:r>
              <w:rPr>
                <w:rFonts w:eastAsia="Overlock" w:cs="Overlock" w:ascii="Cambria" w:hAnsi="Cambria"/>
              </w:rPr>
              <w:t>2019</w:t>
            </w:r>
          </w:p>
        </w:tc>
        <w:tc>
          <w:tcPr>
            <w:tcW w:w="1225" w:type="dxa"/>
            <w:tcBorders>
              <w:top w:val="single" w:sz="4" w:space="0" w:color="000000"/>
              <w:bottom w:val="single" w:sz="4" w:space="0" w:color="000000"/>
            </w:tcBorders>
            <w:shd w:color="auto" w:fill="FBE2D5" w:val="clear"/>
          </w:tcPr>
          <w:p>
            <w:pPr>
              <w:pStyle w:val="Normal"/>
              <w:rPr>
                <w:rFonts w:ascii="Cambria" w:hAnsi="Cambria"/>
              </w:rPr>
            </w:pPr>
            <w:r>
              <w:rPr>
                <w:rFonts w:eastAsia="Overlock" w:cs="Overlock" w:ascii="Cambria" w:hAnsi="Cambria"/>
              </w:rPr>
              <w:t>2020</w:t>
            </w:r>
          </w:p>
        </w:tc>
        <w:tc>
          <w:tcPr>
            <w:tcW w:w="1228" w:type="dxa"/>
            <w:tcBorders>
              <w:top w:val="single" w:sz="4" w:space="0" w:color="000000"/>
              <w:bottom w:val="single" w:sz="4" w:space="0" w:color="000000"/>
            </w:tcBorders>
            <w:shd w:color="auto" w:fill="FBE2D5" w:val="clear"/>
          </w:tcPr>
          <w:p>
            <w:pPr>
              <w:pStyle w:val="Normal"/>
              <w:rPr>
                <w:rFonts w:ascii="Cambria" w:hAnsi="Cambria"/>
              </w:rPr>
            </w:pPr>
            <w:r>
              <w:rPr>
                <w:rFonts w:eastAsia="Overlock" w:cs="Overlock" w:ascii="Cambria" w:hAnsi="Cambria"/>
              </w:rPr>
              <w:t>2021</w:t>
            </w:r>
          </w:p>
        </w:tc>
        <w:tc>
          <w:tcPr>
            <w:tcW w:w="1226" w:type="dxa"/>
            <w:tcBorders>
              <w:top w:val="single" w:sz="4" w:space="0" w:color="000000"/>
              <w:bottom w:val="single" w:sz="4" w:space="0" w:color="000000"/>
            </w:tcBorders>
            <w:shd w:color="auto" w:fill="FBE2D5" w:val="clear"/>
          </w:tcPr>
          <w:p>
            <w:pPr>
              <w:pStyle w:val="Normal"/>
              <w:rPr>
                <w:rFonts w:ascii="Cambria" w:hAnsi="Cambria"/>
              </w:rPr>
            </w:pPr>
            <w:r>
              <w:rPr>
                <w:rFonts w:eastAsia="Overlock" w:cs="Overlock" w:ascii="Cambria" w:hAnsi="Cambria"/>
              </w:rPr>
              <w:t>2022</w:t>
            </w:r>
          </w:p>
        </w:tc>
        <w:tc>
          <w:tcPr>
            <w:tcW w:w="1228" w:type="dxa"/>
            <w:tcBorders>
              <w:top w:val="single" w:sz="4" w:space="0" w:color="000000"/>
              <w:bottom w:val="single" w:sz="4" w:space="0" w:color="000000"/>
            </w:tcBorders>
            <w:shd w:color="auto" w:fill="FBE2D5" w:val="clear"/>
          </w:tcPr>
          <w:p>
            <w:pPr>
              <w:pStyle w:val="Normal"/>
              <w:rPr>
                <w:rFonts w:ascii="Cambria" w:hAnsi="Cambria"/>
              </w:rPr>
            </w:pPr>
            <w:r>
              <w:rPr>
                <w:rFonts w:eastAsia="Overlock" w:cs="Overlock" w:ascii="Cambria" w:hAnsi="Cambria"/>
              </w:rPr>
              <w:t>2023</w:t>
            </w:r>
          </w:p>
        </w:tc>
        <w:tc>
          <w:tcPr>
            <w:tcW w:w="1227" w:type="dxa"/>
            <w:tcBorders>
              <w:top w:val="single" w:sz="4" w:space="0" w:color="000000"/>
              <w:bottom w:val="single" w:sz="4" w:space="0" w:color="000000"/>
            </w:tcBorders>
            <w:shd w:color="auto" w:fill="FBE2D5" w:val="clear"/>
          </w:tcPr>
          <w:p>
            <w:pPr>
              <w:pStyle w:val="Normal"/>
              <w:rPr>
                <w:rFonts w:ascii="Cambria" w:hAnsi="Cambria"/>
              </w:rPr>
            </w:pPr>
            <w:r>
              <w:rPr>
                <w:rFonts w:eastAsia="Overlock" w:cs="Overlock" w:ascii="Cambria" w:hAnsi="Cambria"/>
              </w:rPr>
              <w:t>2024</w:t>
            </w:r>
          </w:p>
        </w:tc>
      </w:tr>
      <w:tr>
        <w:trPr>
          <w:trHeight w:val="375" w:hRule="atLeast"/>
        </w:trPr>
        <w:tc>
          <w:tcPr>
            <w:tcW w:w="2090"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Opening Stock (ha)</w:t>
            </w:r>
          </w:p>
        </w:tc>
        <w:tc>
          <w:tcPr>
            <w:tcW w:w="1226"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3,467,483</w:t>
            </w:r>
          </w:p>
        </w:tc>
        <w:tc>
          <w:tcPr>
            <w:tcW w:w="1225"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3,495,823</w:t>
            </w:r>
          </w:p>
        </w:tc>
        <w:tc>
          <w:tcPr>
            <w:tcW w:w="1228"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3,516,855</w:t>
            </w:r>
          </w:p>
        </w:tc>
        <w:tc>
          <w:tcPr>
            <w:tcW w:w="1226"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3,550,328</w:t>
            </w:r>
          </w:p>
        </w:tc>
        <w:tc>
          <w:tcPr>
            <w:tcW w:w="1228"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3,579,664</w:t>
            </w:r>
          </w:p>
        </w:tc>
        <w:tc>
          <w:tcPr>
            <w:tcW w:w="1227"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3,591,486</w:t>
            </w:r>
          </w:p>
        </w:tc>
      </w:tr>
      <w:tr>
        <w:trPr>
          <w:trHeight w:val="375" w:hRule="atLeast"/>
        </w:trPr>
        <w:tc>
          <w:tcPr>
            <w:tcW w:w="2090" w:type="dxa"/>
            <w:tcBorders>
              <w:bottom w:val="single" w:sz="4" w:space="0" w:color="000000"/>
            </w:tcBorders>
          </w:tcPr>
          <w:p>
            <w:pPr>
              <w:pStyle w:val="Normal"/>
              <w:rPr>
                <w:rFonts w:ascii="Cambria" w:hAnsi="Cambria"/>
              </w:rPr>
            </w:pPr>
            <w:r>
              <w:rPr>
                <w:rFonts w:eastAsia="Overlock" w:cs="Overlock" w:ascii="Cambria" w:hAnsi="Cambria"/>
              </w:rPr>
              <w:t>Additions</w:t>
            </w:r>
          </w:p>
        </w:tc>
        <w:tc>
          <w:tcPr>
            <w:tcW w:w="1226" w:type="dxa"/>
            <w:tcBorders>
              <w:bottom w:val="single" w:sz="4" w:space="0" w:color="000000"/>
            </w:tcBorders>
          </w:tcPr>
          <w:p>
            <w:pPr>
              <w:pStyle w:val="Normal"/>
              <w:rPr>
                <w:rFonts w:ascii="Cambria" w:hAnsi="Cambria"/>
              </w:rPr>
            </w:pPr>
            <w:r>
              <w:rPr>
                <w:rFonts w:eastAsia="Overlock" w:cs="Overlock" w:ascii="Cambria" w:hAnsi="Cambria"/>
              </w:rPr>
              <w:t>56,035</w:t>
            </w:r>
          </w:p>
        </w:tc>
        <w:tc>
          <w:tcPr>
            <w:tcW w:w="1225" w:type="dxa"/>
            <w:tcBorders>
              <w:bottom w:val="single" w:sz="4" w:space="0" w:color="000000"/>
            </w:tcBorders>
          </w:tcPr>
          <w:p>
            <w:pPr>
              <w:pStyle w:val="Normal"/>
              <w:rPr>
                <w:rFonts w:ascii="Cambria" w:hAnsi="Cambria"/>
              </w:rPr>
            </w:pPr>
            <w:r>
              <w:rPr>
                <w:rFonts w:eastAsia="Overlock" w:cs="Overlock" w:ascii="Cambria" w:hAnsi="Cambria"/>
              </w:rPr>
              <w:t>56,087</w:t>
            </w:r>
          </w:p>
        </w:tc>
        <w:tc>
          <w:tcPr>
            <w:tcW w:w="1228" w:type="dxa"/>
            <w:tcBorders>
              <w:bottom w:val="single" w:sz="4" w:space="0" w:color="000000"/>
            </w:tcBorders>
          </w:tcPr>
          <w:p>
            <w:pPr>
              <w:pStyle w:val="Normal"/>
              <w:rPr>
                <w:rFonts w:ascii="Cambria" w:hAnsi="Cambria"/>
              </w:rPr>
            </w:pPr>
            <w:r>
              <w:rPr>
                <w:rFonts w:eastAsia="Overlock" w:cs="Overlock" w:ascii="Cambria" w:hAnsi="Cambria"/>
              </w:rPr>
              <w:t>92,426</w:t>
            </w:r>
          </w:p>
        </w:tc>
        <w:tc>
          <w:tcPr>
            <w:tcW w:w="1226" w:type="dxa"/>
            <w:tcBorders>
              <w:bottom w:val="single" w:sz="4" w:space="0" w:color="000000"/>
            </w:tcBorders>
          </w:tcPr>
          <w:p>
            <w:pPr>
              <w:pStyle w:val="Normal"/>
              <w:rPr>
                <w:rFonts w:ascii="Cambria" w:hAnsi="Cambria"/>
              </w:rPr>
            </w:pPr>
            <w:r>
              <w:rPr>
                <w:rFonts w:eastAsia="Overlock" w:cs="Overlock" w:ascii="Cambria" w:hAnsi="Cambria"/>
              </w:rPr>
              <w:t>98,275</w:t>
            </w:r>
          </w:p>
        </w:tc>
        <w:tc>
          <w:tcPr>
            <w:tcW w:w="1228" w:type="dxa"/>
            <w:tcBorders>
              <w:bottom w:val="single" w:sz="4" w:space="0" w:color="000000"/>
            </w:tcBorders>
          </w:tcPr>
          <w:p>
            <w:pPr>
              <w:pStyle w:val="Normal"/>
              <w:rPr>
                <w:rFonts w:ascii="Cambria" w:hAnsi="Cambria"/>
              </w:rPr>
            </w:pPr>
            <w:r>
              <w:rPr>
                <w:rFonts w:eastAsia="Overlock" w:cs="Overlock" w:ascii="Cambria" w:hAnsi="Cambria"/>
              </w:rPr>
              <w:t>39,604</w:t>
            </w:r>
          </w:p>
        </w:tc>
        <w:tc>
          <w:tcPr>
            <w:tcW w:w="1227" w:type="dxa"/>
            <w:tcBorders>
              <w:bottom w:val="single" w:sz="4" w:space="0" w:color="000000"/>
            </w:tcBorders>
          </w:tcPr>
          <w:p>
            <w:pPr>
              <w:pStyle w:val="Normal"/>
              <w:rPr>
                <w:rFonts w:ascii="Cambria" w:hAnsi="Cambria" w:eastAsia="Overlock" w:cs="Overlock"/>
              </w:rPr>
            </w:pPr>
            <w:r>
              <w:rPr>
                <w:rFonts w:eastAsia="Overlock" w:cs="Overlock" w:ascii="Cambria" w:hAnsi="Cambria"/>
              </w:rPr>
            </w:r>
          </w:p>
        </w:tc>
      </w:tr>
      <w:tr>
        <w:trPr>
          <w:trHeight w:val="375" w:hRule="atLeast"/>
        </w:trPr>
        <w:tc>
          <w:tcPr>
            <w:tcW w:w="2090" w:type="dxa"/>
            <w:tcBorders>
              <w:bottom w:val="single" w:sz="4" w:space="0" w:color="000000"/>
            </w:tcBorders>
          </w:tcPr>
          <w:p>
            <w:pPr>
              <w:pStyle w:val="Normal"/>
              <w:rPr>
                <w:rFonts w:ascii="Cambria" w:hAnsi="Cambria"/>
              </w:rPr>
            </w:pPr>
            <w:r>
              <w:rPr>
                <w:rFonts w:eastAsia="Overlock" w:cs="Overlock" w:ascii="Cambria" w:hAnsi="Cambria"/>
              </w:rPr>
              <w:t>Reductions</w:t>
            </w:r>
          </w:p>
        </w:tc>
        <w:tc>
          <w:tcPr>
            <w:tcW w:w="1226" w:type="dxa"/>
            <w:tcBorders>
              <w:bottom w:val="single" w:sz="4" w:space="0" w:color="000000"/>
            </w:tcBorders>
          </w:tcPr>
          <w:p>
            <w:pPr>
              <w:pStyle w:val="Normal"/>
              <w:rPr>
                <w:rFonts w:ascii="Cambria" w:hAnsi="Cambria"/>
              </w:rPr>
            </w:pPr>
            <w:r>
              <w:rPr>
                <w:rFonts w:eastAsia="Overlock" w:cs="Overlock" w:ascii="Cambria" w:hAnsi="Cambria"/>
              </w:rPr>
              <w:t>27,696</w:t>
            </w:r>
          </w:p>
        </w:tc>
        <w:tc>
          <w:tcPr>
            <w:tcW w:w="1225" w:type="dxa"/>
            <w:tcBorders>
              <w:bottom w:val="single" w:sz="4" w:space="0" w:color="000000"/>
            </w:tcBorders>
          </w:tcPr>
          <w:p>
            <w:pPr>
              <w:pStyle w:val="Normal"/>
              <w:rPr>
                <w:rFonts w:ascii="Cambria" w:hAnsi="Cambria"/>
              </w:rPr>
            </w:pPr>
            <w:r>
              <w:rPr>
                <w:rFonts w:eastAsia="Overlock" w:cs="Overlock" w:ascii="Cambria" w:hAnsi="Cambria"/>
              </w:rPr>
              <w:t>35,054</w:t>
            </w:r>
          </w:p>
        </w:tc>
        <w:tc>
          <w:tcPr>
            <w:tcW w:w="1228" w:type="dxa"/>
            <w:tcBorders>
              <w:bottom w:val="single" w:sz="4" w:space="0" w:color="000000"/>
            </w:tcBorders>
          </w:tcPr>
          <w:p>
            <w:pPr>
              <w:pStyle w:val="Normal"/>
              <w:rPr>
                <w:rFonts w:ascii="Cambria" w:hAnsi="Cambria"/>
              </w:rPr>
            </w:pPr>
            <w:r>
              <w:rPr>
                <w:rFonts w:eastAsia="Overlock" w:cs="Overlock" w:ascii="Cambria" w:hAnsi="Cambria"/>
              </w:rPr>
              <w:t>58,953</w:t>
            </w:r>
          </w:p>
        </w:tc>
        <w:tc>
          <w:tcPr>
            <w:tcW w:w="1226" w:type="dxa"/>
            <w:tcBorders>
              <w:bottom w:val="single" w:sz="4" w:space="0" w:color="000000"/>
            </w:tcBorders>
          </w:tcPr>
          <w:p>
            <w:pPr>
              <w:pStyle w:val="Normal"/>
              <w:rPr>
                <w:rFonts w:ascii="Cambria" w:hAnsi="Cambria"/>
              </w:rPr>
            </w:pPr>
            <w:r>
              <w:rPr>
                <w:rFonts w:eastAsia="Overlock" w:cs="Overlock" w:ascii="Cambria" w:hAnsi="Cambria"/>
              </w:rPr>
              <w:t>68,939</w:t>
            </w:r>
          </w:p>
        </w:tc>
        <w:tc>
          <w:tcPr>
            <w:tcW w:w="1228" w:type="dxa"/>
            <w:tcBorders>
              <w:bottom w:val="single" w:sz="4" w:space="0" w:color="000000"/>
            </w:tcBorders>
          </w:tcPr>
          <w:p>
            <w:pPr>
              <w:pStyle w:val="Normal"/>
              <w:rPr>
                <w:rFonts w:ascii="Cambria" w:hAnsi="Cambria"/>
              </w:rPr>
            </w:pPr>
            <w:r>
              <w:rPr>
                <w:rFonts w:eastAsia="Overlock" w:cs="Overlock" w:ascii="Cambria" w:hAnsi="Cambria"/>
              </w:rPr>
              <w:t>27,782</w:t>
            </w:r>
          </w:p>
        </w:tc>
        <w:tc>
          <w:tcPr>
            <w:tcW w:w="1227" w:type="dxa"/>
            <w:tcBorders>
              <w:bottom w:val="single" w:sz="4" w:space="0" w:color="000000"/>
            </w:tcBorders>
          </w:tcPr>
          <w:p>
            <w:pPr>
              <w:pStyle w:val="Normal"/>
              <w:rPr>
                <w:rFonts w:ascii="Cambria" w:hAnsi="Cambria" w:eastAsia="Overlock" w:cs="Overlock"/>
              </w:rPr>
            </w:pPr>
            <w:r>
              <w:rPr>
                <w:rFonts w:eastAsia="Overlock" w:cs="Overlock" w:ascii="Cambria" w:hAnsi="Cambria"/>
              </w:rPr>
            </w:r>
          </w:p>
        </w:tc>
      </w:tr>
      <w:tr>
        <w:trPr>
          <w:trHeight w:val="375" w:hRule="atLeast"/>
        </w:trPr>
        <w:tc>
          <w:tcPr>
            <w:tcW w:w="2090"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Closing Stock (ha)</w:t>
            </w:r>
          </w:p>
        </w:tc>
        <w:tc>
          <w:tcPr>
            <w:tcW w:w="1226"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3,495,823</w:t>
            </w:r>
          </w:p>
        </w:tc>
        <w:tc>
          <w:tcPr>
            <w:tcW w:w="1225"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3,516,855</w:t>
            </w:r>
          </w:p>
        </w:tc>
        <w:tc>
          <w:tcPr>
            <w:tcW w:w="1228"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3,550,328</w:t>
            </w:r>
          </w:p>
        </w:tc>
        <w:tc>
          <w:tcPr>
            <w:tcW w:w="1226"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3,579,664</w:t>
            </w:r>
          </w:p>
        </w:tc>
        <w:tc>
          <w:tcPr>
            <w:tcW w:w="1228" w:type="dxa"/>
            <w:tcBorders>
              <w:bottom w:val="single" w:sz="4" w:space="0" w:color="000000"/>
            </w:tcBorders>
            <w:shd w:color="auto" w:fill="F2F2F2" w:val="clear"/>
          </w:tcPr>
          <w:p>
            <w:pPr>
              <w:pStyle w:val="Normal"/>
              <w:rPr>
                <w:rFonts w:ascii="Cambria" w:hAnsi="Cambria"/>
              </w:rPr>
            </w:pPr>
            <w:r>
              <w:rPr>
                <w:rFonts w:eastAsia="Overlock" w:cs="Overlock" w:ascii="Cambria" w:hAnsi="Cambria"/>
              </w:rPr>
              <w:t>3,591,486</w:t>
            </w:r>
          </w:p>
        </w:tc>
        <w:tc>
          <w:tcPr>
            <w:tcW w:w="1227" w:type="dxa"/>
            <w:tcBorders>
              <w:bottom w:val="single" w:sz="4" w:space="0" w:color="000000"/>
            </w:tcBorders>
            <w:shd w:color="auto" w:fill="D9D9D9" w:val="clear"/>
          </w:tcPr>
          <w:p>
            <w:pPr>
              <w:pStyle w:val="Normal"/>
              <w:rPr>
                <w:rFonts w:ascii="Cambria" w:hAnsi="Cambria" w:eastAsia="Overlock" w:cs="Overlock"/>
              </w:rPr>
            </w:pPr>
            <w:r>
              <w:rPr>
                <w:rFonts w:eastAsia="Overlock" w:cs="Overlock" w:ascii="Cambria" w:hAnsi="Cambria"/>
              </w:rPr>
            </w:r>
          </w:p>
        </w:tc>
      </w:tr>
    </w:tbl>
    <w:p>
      <w:pPr>
        <w:pStyle w:val="Normal"/>
        <w:rPr>
          <w:rFonts w:ascii="Cambria" w:hAnsi="Cambria" w:eastAsia="Overlock" w:cs="Overlock"/>
          <w:b/>
          <w:bCs/>
          <w:sz w:val="24"/>
          <w:szCs w:val="24"/>
        </w:rPr>
      </w:pPr>
      <w:r>
        <w:rPr>
          <w:rFonts w:eastAsia="Overlock" w:cs="Overlock" w:ascii="Cambria" w:hAnsi="Cambria"/>
          <w:b/>
          <w:bCs/>
          <w:sz w:val="24"/>
          <w:szCs w:val="24"/>
        </w:rPr>
      </w:r>
    </w:p>
    <w:p>
      <w:pPr>
        <w:pStyle w:val="Heading2"/>
        <w:rPr>
          <w:color w:val="00B050"/>
        </w:rPr>
      </w:pPr>
      <w:bookmarkStart w:id="38" w:name="_heading=h.j02d82bskwn6"/>
      <w:bookmarkEnd w:id="38"/>
      <w:r>
        <w:rPr>
          <w:rFonts w:ascii="Cambria" w:hAnsi="Cambria"/>
        </w:rPr>
        <w:t>3.3</w:t>
        <w:tab/>
        <w:t xml:space="preserve">Forest Biomass and Volume Stocks </w:t>
      </w:r>
    </w:p>
    <w:p>
      <w:pPr>
        <w:pStyle w:val="Normal"/>
        <w:rPr>
          <w:rFonts w:ascii="Cambria" w:hAnsi="Cambria"/>
        </w:rPr>
      </w:pPr>
      <w:r>
        <w:rPr>
          <w:rFonts w:eastAsia="Overlock" w:cs="Overlock" w:ascii="Cambria" w:hAnsi="Cambria"/>
          <w:sz w:val="24"/>
          <w:szCs w:val="24"/>
        </w:rPr>
        <w:t xml:space="preserve">Forest stocks are presented here in two units; volume for public plantations and biomass for the natural forests. The volumes relate to exotic plantations that are planted under a commercial forestry programme comprising about 152,000 ha and is managed by the Kenya Forest Service. </w:t>
      </w:r>
    </w:p>
    <w:p>
      <w:pPr>
        <w:pStyle w:val="Heading3"/>
        <w:rPr>
          <w:rFonts w:ascii="Cambria" w:hAnsi="Cambria"/>
        </w:rPr>
      </w:pPr>
      <w:bookmarkStart w:id="39" w:name="_heading=h.9ppjydh92rtj"/>
      <w:bookmarkEnd w:id="39"/>
      <w:r>
        <w:rPr>
          <w:rFonts w:ascii="Cambria" w:hAnsi="Cambria"/>
        </w:rPr>
        <w:t>3</w:t>
      </w:r>
      <w:r>
        <w:rPr>
          <w:rFonts w:eastAsia="Overlock" w:cs="Overlock" w:ascii="Cambria" w:hAnsi="Cambria"/>
          <w:color w:val="000000"/>
        </w:rPr>
        <w:t>.3.1. Volumes of standing wood</w:t>
      </w:r>
    </w:p>
    <w:p>
      <w:pPr>
        <w:pStyle w:val="Normal"/>
        <w:rPr>
          <w:rFonts w:ascii="Cambria" w:hAnsi="Cambria"/>
        </w:rPr>
      </w:pPr>
      <w:r>
        <w:rPr>
          <w:rFonts w:eastAsia="Overlock" w:cs="Overlock" w:ascii="Cambria" w:hAnsi="Cambria"/>
          <w:sz w:val="24"/>
          <w:szCs w:val="24"/>
        </w:rPr>
        <w:t xml:space="preserve">Forest volumes were estimated based on wood stocks inventoried in the public plantations managed by the Kenya Forest Service. The service manages these plantations to meet the national demands for wood products and these plantations are expected to be harvested and replanted under a maximum 30-year rotation implying that about 5,000ha are planned for harvesting annually. Table 3  illustrates that there was about 26.333million m3 of wood stocks available in the public plantations of Kenya and this wood stock is in various stages of growth. The gradual increase in the stocks is associated with a reducing backlog in the plantation programme noting that the planting programme was enhanced in the last 10 years. The results imply that these forests can support a sustainable exploitation of 5000ha (with a stocking of about 200m3 at maturity) to annually supply 1,000,000m3 of wood/sawlog resources for Kenya’s domestic furniture and construction market and also for export. </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 xml:space="preserve">Cupressus lusitanica is the species with the largest stock of commercial wood products accounting for over 44% of the total stocks available in the forest and this is followed by Pinus patula at 22%. Eucalyptus species and other species (Vitex keniensis, Ocotea usambarensis, Juniperus procera and Grevillea robusta) are some of the other commercial forests found in the public plantation forests of Kenya. Figure 3 illustrates the commutative contribution of the specific species to the national wood stocks in public plantations of Kenya. </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sz w:val="24"/>
          <w:szCs w:val="24"/>
        </w:rPr>
        <w:t>Since data for wood stocks in private plantations was not available, we assumed that these plantations can supply half of these wood resources implying a capacity of the forests of Kenya to supply 1.5 million M</w:t>
      </w:r>
      <w:r>
        <w:rPr>
          <w:rFonts w:eastAsia="Overlock" w:cs="Overlock" w:ascii="Cambria" w:hAnsi="Cambria"/>
          <w:sz w:val="24"/>
          <w:szCs w:val="24"/>
          <w:vertAlign w:val="superscript"/>
        </w:rPr>
        <w:t>3</w:t>
      </w:r>
      <w:r>
        <w:rPr>
          <w:rFonts w:eastAsia="Overlock" w:cs="Overlock" w:ascii="Cambria" w:hAnsi="Cambria"/>
          <w:sz w:val="24"/>
          <w:szCs w:val="24"/>
        </w:rPr>
        <w:t xml:space="preserve"> of wood resources to support the furniture and construction industries annually. </w:t>
      </w:r>
    </w:p>
    <w:p>
      <w:pPr>
        <w:pStyle w:val="Normal"/>
        <w:pBdr/>
        <w:spacing w:before="0" w:after="200"/>
        <w:rPr>
          <w:rFonts w:ascii="Cambria" w:hAnsi="Cambria"/>
        </w:rPr>
      </w:pPr>
      <w:bookmarkStart w:id="40" w:name="_heading=h.dnmzh1iqg039"/>
      <w:bookmarkEnd w:id="40"/>
      <w:r>
        <w:rPr>
          <w:rFonts w:ascii="Cambria" w:hAnsi="Cambria"/>
          <w:i/>
          <w:iCs/>
          <w:color w:val="1F497D"/>
          <w:sz w:val="24"/>
          <w:szCs w:val="24"/>
        </w:rPr>
        <w:t>Table 6: Volume of wood stocks for different commercial forestry species (2016-2024)</w:t>
      </w:r>
    </w:p>
    <w:tbl>
      <w:tblPr>
        <w:tblStyle w:val="af0"/>
        <w:tblW w:w="9444"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1856"/>
        <w:gridCol w:w="844"/>
        <w:gridCol w:w="843"/>
        <w:gridCol w:w="842"/>
        <w:gridCol w:w="844"/>
        <w:gridCol w:w="842"/>
        <w:gridCol w:w="843"/>
        <w:gridCol w:w="844"/>
        <w:gridCol w:w="842"/>
        <w:gridCol w:w="844"/>
      </w:tblGrid>
      <w:tr>
        <w:trPr>
          <w:trHeight w:val="300" w:hRule="atLeast"/>
        </w:trPr>
        <w:tc>
          <w:tcPr>
            <w:tcW w:w="1856" w:type="dxa"/>
            <w:vMerge w:val="restart"/>
            <w:tcBorders/>
            <w:shd w:color="auto" w:fill="FBD5B5" w:val="clear"/>
            <w:vAlign w:val="bottom"/>
          </w:tcPr>
          <w:p>
            <w:pPr>
              <w:pStyle w:val="Normal"/>
              <w:rPr>
                <w:rFonts w:ascii="Cambria" w:hAnsi="Cambria"/>
              </w:rPr>
            </w:pPr>
            <w:r>
              <w:rPr>
                <w:rFonts w:eastAsia="Overlock" w:cs="Overlock" w:ascii="Cambria" w:hAnsi="Cambria"/>
                <w:sz w:val="20"/>
                <w:szCs w:val="20"/>
              </w:rPr>
              <w:t xml:space="preserve">Species </w:t>
            </w:r>
          </w:p>
        </w:tc>
        <w:tc>
          <w:tcPr>
            <w:tcW w:w="7588" w:type="dxa"/>
            <w:gridSpan w:val="9"/>
            <w:tcBorders/>
            <w:shd w:color="auto" w:fill="FBD5B5" w:val="clear"/>
            <w:vAlign w:val="bottom"/>
          </w:tcPr>
          <w:p>
            <w:pPr>
              <w:pStyle w:val="Normal"/>
              <w:rPr>
                <w:rFonts w:ascii="Cambria" w:hAnsi="Cambria"/>
              </w:rPr>
            </w:pPr>
            <w:r>
              <w:rPr>
                <w:rFonts w:eastAsia="Overlock" w:cs="Overlock" w:ascii="Cambria" w:hAnsi="Cambria"/>
                <w:sz w:val="20"/>
                <w:szCs w:val="20"/>
              </w:rPr>
              <w:t>Wood stocks in 1000, M3 for different species in the public forests under KFS</w:t>
            </w:r>
          </w:p>
        </w:tc>
      </w:tr>
      <w:tr>
        <w:trPr>
          <w:trHeight w:val="300" w:hRule="atLeast"/>
        </w:trPr>
        <w:tc>
          <w:tcPr>
            <w:tcW w:w="1856" w:type="dxa"/>
            <w:vMerge w:val="continue"/>
            <w:tcBorders/>
            <w:shd w:color="auto" w:fill="FBD5B5" w:val="clear"/>
            <w:vAlign w:val="bottom"/>
          </w:tcPr>
          <w:p>
            <w:pPr>
              <w:pStyle w:val="Normal"/>
              <w:widowControl w:val="false"/>
              <w:pBdr/>
              <w:spacing w:lineRule="auto" w:line="276"/>
              <w:jc w:val="start"/>
              <w:rPr>
                <w:rFonts w:ascii="Cambria" w:hAnsi="Cambria" w:eastAsia="Overlock" w:cs="Overlock"/>
                <w:sz w:val="20"/>
                <w:szCs w:val="20"/>
              </w:rPr>
            </w:pPr>
            <w:r>
              <w:rPr>
                <w:rFonts w:eastAsia="Overlock" w:cs="Overlock" w:ascii="Cambria" w:hAnsi="Cambria"/>
                <w:sz w:val="20"/>
                <w:szCs w:val="20"/>
              </w:rPr>
            </w:r>
          </w:p>
        </w:tc>
        <w:tc>
          <w:tcPr>
            <w:tcW w:w="844" w:type="dxa"/>
            <w:tcBorders/>
            <w:shd w:color="auto" w:fill="FBD5B5" w:val="clear"/>
            <w:vAlign w:val="bottom"/>
          </w:tcPr>
          <w:p>
            <w:pPr>
              <w:pStyle w:val="Normal"/>
              <w:rPr>
                <w:rFonts w:ascii="Cambria" w:hAnsi="Cambria"/>
              </w:rPr>
            </w:pPr>
            <w:r>
              <w:rPr>
                <w:rFonts w:eastAsia="Overlock" w:cs="Overlock" w:ascii="Cambria" w:hAnsi="Cambria"/>
                <w:sz w:val="20"/>
                <w:szCs w:val="20"/>
              </w:rPr>
              <w:t>2016</w:t>
            </w:r>
          </w:p>
        </w:tc>
        <w:tc>
          <w:tcPr>
            <w:tcW w:w="843" w:type="dxa"/>
            <w:tcBorders/>
            <w:shd w:color="auto" w:fill="FBD5B5" w:val="clear"/>
            <w:vAlign w:val="bottom"/>
          </w:tcPr>
          <w:p>
            <w:pPr>
              <w:pStyle w:val="Normal"/>
              <w:rPr>
                <w:rFonts w:ascii="Cambria" w:hAnsi="Cambria"/>
              </w:rPr>
            </w:pPr>
            <w:r>
              <w:rPr>
                <w:rFonts w:eastAsia="Overlock" w:cs="Overlock" w:ascii="Cambria" w:hAnsi="Cambria"/>
                <w:sz w:val="20"/>
                <w:szCs w:val="20"/>
              </w:rPr>
              <w:t>2017</w:t>
            </w:r>
          </w:p>
        </w:tc>
        <w:tc>
          <w:tcPr>
            <w:tcW w:w="842" w:type="dxa"/>
            <w:tcBorders/>
            <w:shd w:color="auto" w:fill="FBD5B5" w:val="clear"/>
            <w:vAlign w:val="bottom"/>
          </w:tcPr>
          <w:p>
            <w:pPr>
              <w:pStyle w:val="Normal"/>
              <w:rPr>
                <w:rFonts w:ascii="Cambria" w:hAnsi="Cambria"/>
              </w:rPr>
            </w:pPr>
            <w:r>
              <w:rPr>
                <w:rFonts w:eastAsia="Overlock" w:cs="Overlock" w:ascii="Cambria" w:hAnsi="Cambria"/>
                <w:sz w:val="20"/>
                <w:szCs w:val="20"/>
              </w:rPr>
              <w:t>2018</w:t>
            </w:r>
          </w:p>
        </w:tc>
        <w:tc>
          <w:tcPr>
            <w:tcW w:w="844" w:type="dxa"/>
            <w:tcBorders/>
            <w:shd w:color="auto" w:fill="FBD5B5" w:val="clear"/>
            <w:vAlign w:val="bottom"/>
          </w:tcPr>
          <w:p>
            <w:pPr>
              <w:pStyle w:val="Normal"/>
              <w:rPr>
                <w:rFonts w:ascii="Cambria" w:hAnsi="Cambria"/>
              </w:rPr>
            </w:pPr>
            <w:r>
              <w:rPr>
                <w:rFonts w:eastAsia="Overlock" w:cs="Overlock" w:ascii="Cambria" w:hAnsi="Cambria"/>
                <w:sz w:val="20"/>
                <w:szCs w:val="20"/>
              </w:rPr>
              <w:t>2019</w:t>
            </w:r>
          </w:p>
        </w:tc>
        <w:tc>
          <w:tcPr>
            <w:tcW w:w="842" w:type="dxa"/>
            <w:tcBorders/>
            <w:shd w:color="auto" w:fill="FBD5B5" w:val="clear"/>
            <w:vAlign w:val="bottom"/>
          </w:tcPr>
          <w:p>
            <w:pPr>
              <w:pStyle w:val="Normal"/>
              <w:rPr>
                <w:rFonts w:ascii="Cambria" w:hAnsi="Cambria"/>
              </w:rPr>
            </w:pPr>
            <w:r>
              <w:rPr>
                <w:rFonts w:eastAsia="Overlock" w:cs="Overlock" w:ascii="Cambria" w:hAnsi="Cambria"/>
                <w:sz w:val="20"/>
                <w:szCs w:val="20"/>
              </w:rPr>
              <w:t>2020</w:t>
            </w:r>
          </w:p>
        </w:tc>
        <w:tc>
          <w:tcPr>
            <w:tcW w:w="843" w:type="dxa"/>
            <w:tcBorders/>
            <w:shd w:color="auto" w:fill="FBD5B5" w:val="clear"/>
            <w:vAlign w:val="bottom"/>
          </w:tcPr>
          <w:p>
            <w:pPr>
              <w:pStyle w:val="Normal"/>
              <w:rPr>
                <w:rFonts w:ascii="Cambria" w:hAnsi="Cambria"/>
              </w:rPr>
            </w:pPr>
            <w:r>
              <w:rPr>
                <w:rFonts w:eastAsia="Overlock" w:cs="Overlock" w:ascii="Cambria" w:hAnsi="Cambria"/>
                <w:sz w:val="20"/>
                <w:szCs w:val="20"/>
              </w:rPr>
              <w:t>2021</w:t>
            </w:r>
          </w:p>
        </w:tc>
        <w:tc>
          <w:tcPr>
            <w:tcW w:w="844" w:type="dxa"/>
            <w:tcBorders/>
            <w:shd w:color="auto" w:fill="FBD5B5" w:val="clear"/>
            <w:vAlign w:val="bottom"/>
          </w:tcPr>
          <w:p>
            <w:pPr>
              <w:pStyle w:val="Normal"/>
              <w:rPr>
                <w:rFonts w:ascii="Cambria" w:hAnsi="Cambria"/>
              </w:rPr>
            </w:pPr>
            <w:r>
              <w:rPr>
                <w:rFonts w:eastAsia="Overlock" w:cs="Overlock" w:ascii="Cambria" w:hAnsi="Cambria"/>
                <w:sz w:val="20"/>
                <w:szCs w:val="20"/>
              </w:rPr>
              <w:t>2022</w:t>
            </w:r>
          </w:p>
        </w:tc>
        <w:tc>
          <w:tcPr>
            <w:tcW w:w="842" w:type="dxa"/>
            <w:tcBorders/>
            <w:shd w:color="auto" w:fill="FBD5B5" w:val="clear"/>
            <w:vAlign w:val="bottom"/>
          </w:tcPr>
          <w:p>
            <w:pPr>
              <w:pStyle w:val="Normal"/>
              <w:rPr>
                <w:rFonts w:ascii="Cambria" w:hAnsi="Cambria"/>
              </w:rPr>
            </w:pPr>
            <w:r>
              <w:rPr>
                <w:rFonts w:eastAsia="Overlock" w:cs="Overlock" w:ascii="Cambria" w:hAnsi="Cambria"/>
                <w:sz w:val="20"/>
                <w:szCs w:val="20"/>
              </w:rPr>
              <w:t>2023</w:t>
            </w:r>
          </w:p>
        </w:tc>
        <w:tc>
          <w:tcPr>
            <w:tcW w:w="844" w:type="dxa"/>
            <w:tcBorders/>
            <w:shd w:color="auto" w:fill="FBD5B5" w:val="clear"/>
            <w:vAlign w:val="bottom"/>
          </w:tcPr>
          <w:p>
            <w:pPr>
              <w:pStyle w:val="Normal"/>
              <w:rPr>
                <w:rFonts w:ascii="Cambria" w:hAnsi="Cambria"/>
              </w:rPr>
            </w:pPr>
            <w:r>
              <w:rPr>
                <w:rFonts w:eastAsia="Overlock" w:cs="Overlock" w:ascii="Cambria" w:hAnsi="Cambria"/>
                <w:sz w:val="20"/>
                <w:szCs w:val="20"/>
              </w:rPr>
              <w:t>2024</w:t>
            </w:r>
          </w:p>
        </w:tc>
      </w:tr>
      <w:tr>
        <w:trPr>
          <w:trHeight w:val="300" w:hRule="atLeast"/>
        </w:trPr>
        <w:tc>
          <w:tcPr>
            <w:tcW w:w="1856" w:type="dxa"/>
            <w:tcBorders/>
            <w:vAlign w:val="bottom"/>
          </w:tcPr>
          <w:p>
            <w:pPr>
              <w:pStyle w:val="Normal"/>
              <w:rPr>
                <w:rFonts w:ascii="Cambria" w:hAnsi="Cambria"/>
              </w:rPr>
            </w:pPr>
            <w:r>
              <w:rPr>
                <w:rFonts w:eastAsia="Overlock" w:cs="Overlock" w:ascii="Cambria" w:hAnsi="Cambria"/>
                <w:sz w:val="20"/>
                <w:szCs w:val="20"/>
              </w:rPr>
              <w:t>Cupressus lusitanica</w:t>
            </w:r>
          </w:p>
        </w:tc>
        <w:tc>
          <w:tcPr>
            <w:tcW w:w="844" w:type="dxa"/>
            <w:tcBorders/>
          </w:tcPr>
          <w:p>
            <w:pPr>
              <w:pStyle w:val="Normal"/>
              <w:rPr>
                <w:rFonts w:ascii="Cambria" w:hAnsi="Cambria"/>
              </w:rPr>
            </w:pPr>
            <w:r>
              <w:rPr>
                <w:rFonts w:eastAsia="Overlock" w:cs="Overlock" w:ascii="Cambria" w:hAnsi="Cambria"/>
                <w:sz w:val="20"/>
                <w:szCs w:val="20"/>
              </w:rPr>
              <w:t xml:space="preserve">10,980 </w:t>
            </w:r>
          </w:p>
        </w:tc>
        <w:tc>
          <w:tcPr>
            <w:tcW w:w="843" w:type="dxa"/>
            <w:tcBorders/>
          </w:tcPr>
          <w:p>
            <w:pPr>
              <w:pStyle w:val="Normal"/>
              <w:rPr>
                <w:rFonts w:ascii="Cambria" w:hAnsi="Cambria"/>
              </w:rPr>
            </w:pPr>
            <w:r>
              <w:rPr>
                <w:rFonts w:eastAsia="Overlock" w:cs="Overlock" w:ascii="Cambria" w:hAnsi="Cambria"/>
                <w:sz w:val="20"/>
                <w:szCs w:val="20"/>
              </w:rPr>
              <w:t xml:space="preserve">10,765 </w:t>
            </w:r>
          </w:p>
        </w:tc>
        <w:tc>
          <w:tcPr>
            <w:tcW w:w="842" w:type="dxa"/>
            <w:tcBorders/>
          </w:tcPr>
          <w:p>
            <w:pPr>
              <w:pStyle w:val="Normal"/>
              <w:rPr>
                <w:rFonts w:ascii="Cambria" w:hAnsi="Cambria"/>
              </w:rPr>
            </w:pPr>
            <w:r>
              <w:rPr>
                <w:rFonts w:eastAsia="Overlock" w:cs="Overlock" w:ascii="Cambria" w:hAnsi="Cambria"/>
                <w:sz w:val="20"/>
                <w:szCs w:val="20"/>
              </w:rPr>
              <w:t xml:space="preserve">10,765 </w:t>
            </w:r>
          </w:p>
        </w:tc>
        <w:tc>
          <w:tcPr>
            <w:tcW w:w="844" w:type="dxa"/>
            <w:tcBorders/>
          </w:tcPr>
          <w:p>
            <w:pPr>
              <w:pStyle w:val="Normal"/>
              <w:rPr>
                <w:rFonts w:ascii="Cambria" w:hAnsi="Cambria"/>
              </w:rPr>
            </w:pPr>
            <w:r>
              <w:rPr>
                <w:rFonts w:eastAsia="Overlock" w:cs="Overlock" w:ascii="Cambria" w:hAnsi="Cambria"/>
                <w:sz w:val="20"/>
                <w:szCs w:val="20"/>
              </w:rPr>
              <w:t xml:space="preserve">10,980 </w:t>
            </w:r>
          </w:p>
        </w:tc>
        <w:tc>
          <w:tcPr>
            <w:tcW w:w="842" w:type="dxa"/>
            <w:tcBorders/>
          </w:tcPr>
          <w:p>
            <w:pPr>
              <w:pStyle w:val="Normal"/>
              <w:rPr>
                <w:rFonts w:ascii="Cambria" w:hAnsi="Cambria"/>
              </w:rPr>
            </w:pPr>
            <w:r>
              <w:rPr>
                <w:rFonts w:eastAsia="Overlock" w:cs="Overlock" w:ascii="Cambria" w:hAnsi="Cambria"/>
                <w:sz w:val="20"/>
                <w:szCs w:val="20"/>
              </w:rPr>
              <w:t xml:space="preserve">11,286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11,440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11,746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11,746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11,746 </w:t>
            </w:r>
          </w:p>
        </w:tc>
      </w:tr>
      <w:tr>
        <w:trPr>
          <w:trHeight w:val="300" w:hRule="atLeast"/>
        </w:trPr>
        <w:tc>
          <w:tcPr>
            <w:tcW w:w="1856" w:type="dxa"/>
            <w:tcBorders/>
            <w:vAlign w:val="bottom"/>
          </w:tcPr>
          <w:p>
            <w:pPr>
              <w:pStyle w:val="Normal"/>
              <w:rPr>
                <w:rFonts w:ascii="Cambria" w:hAnsi="Cambria"/>
              </w:rPr>
            </w:pPr>
            <w:r>
              <w:rPr>
                <w:rFonts w:eastAsia="Overlock" w:cs="Overlock" w:ascii="Cambria" w:hAnsi="Cambria"/>
                <w:sz w:val="20"/>
                <w:szCs w:val="20"/>
              </w:rPr>
              <w:t>Eucalyptus spp</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1,718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1,684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1,684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1,718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1,766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1,790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1,838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1,838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1,838 </w:t>
            </w:r>
          </w:p>
        </w:tc>
      </w:tr>
      <w:tr>
        <w:trPr>
          <w:trHeight w:val="300" w:hRule="atLeast"/>
        </w:trPr>
        <w:tc>
          <w:tcPr>
            <w:tcW w:w="1856" w:type="dxa"/>
            <w:tcBorders/>
            <w:vAlign w:val="bottom"/>
          </w:tcPr>
          <w:p>
            <w:pPr>
              <w:pStyle w:val="Normal"/>
              <w:rPr>
                <w:rFonts w:ascii="Cambria" w:hAnsi="Cambria"/>
              </w:rPr>
            </w:pPr>
            <w:r>
              <w:rPr>
                <w:rFonts w:eastAsia="Overlock" w:cs="Overlock" w:ascii="Cambria" w:hAnsi="Cambria"/>
                <w:sz w:val="20"/>
                <w:szCs w:val="20"/>
              </w:rPr>
              <w:t>Pinus patula</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5,468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5,361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5,361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5,468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5,621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5,697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5,850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5,850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5,850 </w:t>
            </w:r>
          </w:p>
        </w:tc>
      </w:tr>
      <w:tr>
        <w:trPr>
          <w:trHeight w:val="300" w:hRule="atLeast"/>
        </w:trPr>
        <w:tc>
          <w:tcPr>
            <w:tcW w:w="1856" w:type="dxa"/>
            <w:tcBorders/>
            <w:vAlign w:val="bottom"/>
          </w:tcPr>
          <w:p>
            <w:pPr>
              <w:pStyle w:val="Normal"/>
              <w:rPr>
                <w:rFonts w:ascii="Cambria" w:hAnsi="Cambria"/>
              </w:rPr>
            </w:pPr>
            <w:r>
              <w:rPr>
                <w:rFonts w:eastAsia="Overlock" w:cs="Overlock" w:ascii="Cambria" w:hAnsi="Cambria"/>
                <w:sz w:val="20"/>
                <w:szCs w:val="20"/>
              </w:rPr>
              <w:t>Others</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6,448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6,322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6,322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6,448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6,628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6,718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6,899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6,899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6,899 </w:t>
            </w:r>
          </w:p>
        </w:tc>
      </w:tr>
      <w:tr>
        <w:trPr>
          <w:trHeight w:val="300" w:hRule="atLeast"/>
        </w:trPr>
        <w:tc>
          <w:tcPr>
            <w:tcW w:w="1856" w:type="dxa"/>
            <w:tcBorders/>
            <w:vAlign w:val="bottom"/>
          </w:tcPr>
          <w:p>
            <w:pPr>
              <w:pStyle w:val="Normal"/>
              <w:rPr>
                <w:rFonts w:ascii="Cambria" w:hAnsi="Cambria"/>
              </w:rPr>
            </w:pPr>
            <w:r>
              <w:rPr>
                <w:rFonts w:eastAsia="Overlock" w:cs="Overlock" w:ascii="Cambria" w:hAnsi="Cambria"/>
                <w:sz w:val="20"/>
                <w:szCs w:val="20"/>
              </w:rPr>
              <w:t>Total stocks</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24,614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24,133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24,133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24,614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25,301 </w:t>
            </w:r>
          </w:p>
        </w:tc>
        <w:tc>
          <w:tcPr>
            <w:tcW w:w="84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25,645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26,333 </w:t>
            </w:r>
          </w:p>
        </w:tc>
        <w:tc>
          <w:tcPr>
            <w:tcW w:w="842"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26,333 </w:t>
            </w:r>
          </w:p>
        </w:tc>
        <w:tc>
          <w:tcPr>
            <w:tcW w:w="844"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26,333 </w:t>
            </w:r>
          </w:p>
        </w:tc>
      </w:tr>
    </w:tbl>
    <w:p>
      <w:pPr>
        <w:pStyle w:val="Normal"/>
        <w:rPr>
          <w:rFonts w:ascii="Cambria" w:hAnsi="Cambria"/>
        </w:rPr>
      </w:pPr>
      <w:r>
        <w:rPr>
          <w:rFonts w:ascii="Cambria" w:hAnsi="Cambria"/>
        </w:rPr>
      </w:r>
    </w:p>
    <w:p>
      <w:pPr>
        <w:pStyle w:val="Normal"/>
        <w:rPr>
          <w:rFonts w:ascii="Cambria" w:hAnsi="Cambria"/>
        </w:rPr>
      </w:pPr>
      <w:r>
        <w:rPr>
          <w:rFonts w:ascii="Cambria" w:hAnsi="Cambria"/>
        </w:rPr>
        <w:drawing>
          <wp:inline distT="0" distB="0" distL="0" distR="0">
            <wp:extent cx="5943600" cy="2838450"/>
            <wp:effectExtent l="0" t="0" r="0" b="0"/>
            <wp:docPr id="12" name="Chart 196630229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pStyle w:val="Normal"/>
        <w:pBdr/>
        <w:spacing w:before="0" w:after="200"/>
        <w:rPr>
          <w:rFonts w:ascii="Cambria" w:hAnsi="Cambria"/>
        </w:rPr>
      </w:pPr>
      <w:bookmarkStart w:id="41" w:name="_heading=h.4cyrodu5mzts"/>
      <w:bookmarkEnd w:id="41"/>
      <w:r>
        <w:rPr>
          <w:rFonts w:ascii="Cambria" w:hAnsi="Cambria"/>
          <w:i/>
          <w:iCs/>
          <w:color w:val="1F497D"/>
          <w:sz w:val="24"/>
          <w:szCs w:val="24"/>
        </w:rPr>
        <w:t xml:space="preserve">Figure 4: A cumulative bar graph showing the contribution of different commercial tree species in the wood stocks of public plantations </w:t>
      </w:r>
    </w:p>
    <w:p>
      <w:pPr>
        <w:pStyle w:val="Heading4"/>
        <w:rPr>
          <w:rFonts w:ascii="Cambria" w:hAnsi="Cambria"/>
        </w:rPr>
      </w:pPr>
      <w:r>
        <w:rPr>
          <w:rFonts w:eastAsia="Overlock" w:cs="Overlock" w:ascii="Cambria" w:hAnsi="Cambria"/>
          <w:b/>
          <w:bCs/>
          <w:color w:val="000000"/>
        </w:rPr>
        <w:t>3.3.2. Above ground biomass stocks</w:t>
      </w:r>
    </w:p>
    <w:p>
      <w:pPr>
        <w:pStyle w:val="Normal"/>
        <w:rPr>
          <w:rFonts w:ascii="Cambria" w:hAnsi="Cambria"/>
        </w:rPr>
      </w:pPr>
      <w:r>
        <w:rPr>
          <w:rFonts w:eastAsia="Overlock" w:cs="Overlock" w:ascii="Cambria" w:hAnsi="Cambria"/>
          <w:sz w:val="24"/>
          <w:szCs w:val="24"/>
        </w:rPr>
        <w:t>The biomass stocks in forests were estimated from the specific emission factors that have been used for the specific strata in developing the Kenya Forest reference Level for REDD+</w:t>
      </w:r>
      <w:r>
        <w:rPr>
          <w:rStyle w:val="FootnoteReference"/>
          <w:rFonts w:eastAsia="Overlock" w:cs="Overlock" w:ascii="Cambria" w:hAnsi="Cambria"/>
          <w:sz w:val="24"/>
          <w:szCs w:val="24"/>
          <w:vertAlign w:val="superscript"/>
        </w:rPr>
        <w:footnoteReference w:id="9"/>
      </w:r>
      <w:r>
        <w:rPr>
          <w:rFonts w:eastAsia="Overlock" w:cs="Overlock" w:ascii="Cambria" w:hAnsi="Cambria"/>
          <w:sz w:val="24"/>
          <w:szCs w:val="24"/>
        </w:rPr>
        <w:t xml:space="preserve"> and the Biennial Transparency Report</w:t>
      </w:r>
      <w:r>
        <w:rPr>
          <w:rStyle w:val="FootnoteReference"/>
          <w:rFonts w:eastAsia="Overlock" w:cs="Overlock" w:ascii="Cambria" w:hAnsi="Cambria"/>
          <w:sz w:val="24"/>
          <w:szCs w:val="24"/>
          <w:vertAlign w:val="superscript"/>
        </w:rPr>
        <w:footnoteReference w:id="10"/>
      </w:r>
      <w:r>
        <w:rPr>
          <w:rFonts w:eastAsia="Overlock" w:cs="Overlock" w:ascii="Cambria" w:hAnsi="Cambria"/>
          <w:sz w:val="24"/>
          <w:szCs w:val="24"/>
        </w:rPr>
        <w:t xml:space="preserve"> for stock at a time, deforestation and afforestation. It is noted that montane forests with an average stock of 132.79 T/ha compared to dryland forests with and average stock of 52.66 T/ha have a higher closing stock of AGB (201,687,323 Tonnes) despite their relatively smaller areas compared to dryland forests (55,600,040 Tonnes). This implies that a deforestation of a montane forest and Western rain forests which have bigger stocks per hectare results to more biomass losses compared with forests that have lesser biomass stocks.</w:t>
      </w:r>
    </w:p>
    <w:p>
      <w:pPr>
        <w:pStyle w:val="Normal"/>
        <w:rPr>
          <w:rFonts w:ascii="Cambria" w:hAnsi="Cambria" w:eastAsia="Overlock" w:cs="Overlock"/>
          <w:sz w:val="24"/>
          <w:szCs w:val="24"/>
        </w:rPr>
      </w:pPr>
      <w:r>
        <w:rPr>
          <w:rFonts w:eastAsia="Overlock" w:cs="Overlock" w:ascii="Cambria" w:hAnsi="Cambria"/>
          <w:sz w:val="24"/>
          <w:szCs w:val="24"/>
        </w:rPr>
      </w:r>
    </w:p>
    <w:p>
      <w:pPr>
        <w:pStyle w:val="Normal"/>
        <w:tabs>
          <w:tab w:val="clear" w:pos="720"/>
          <w:tab w:val="left" w:pos="1077" w:leader="none"/>
        </w:tabs>
        <w:rPr>
          <w:rFonts w:ascii="Cambria" w:hAnsi="Cambria"/>
        </w:rPr>
      </w:pPr>
      <w:r>
        <w:rPr>
          <w:rFonts w:eastAsia="Overlock" w:cs="Overlock" w:ascii="Cambria" w:hAnsi="Cambria"/>
          <w:sz w:val="24"/>
          <w:szCs w:val="24"/>
        </w:rPr>
        <w:t xml:space="preserve">A total of 20,191,868 Tonnes of above ground biomass were lost from deforestation activities in the forests of Kenya implying an annual loss of 4,038,374 Tonnes. Most of this biomass loss is attributed to charcoal and fuelwood.  </w:t>
      </w:r>
    </w:p>
    <w:p>
      <w:pPr>
        <w:pStyle w:val="Normal"/>
        <w:tabs>
          <w:tab w:val="clear" w:pos="720"/>
          <w:tab w:val="left" w:pos="1077" w:leader="none"/>
        </w:tabs>
        <w:rPr>
          <w:rFonts w:ascii="Cambria" w:hAnsi="Cambria" w:eastAsia="Overlock" w:cs="Overlock"/>
          <w:sz w:val="24"/>
          <w:szCs w:val="24"/>
        </w:rPr>
      </w:pPr>
      <w:r>
        <w:rPr>
          <w:rFonts w:eastAsia="Overlock" w:cs="Overlock" w:ascii="Cambria" w:hAnsi="Cambria"/>
          <w:sz w:val="24"/>
          <w:szCs w:val="24"/>
        </w:rPr>
      </w:r>
    </w:p>
    <w:p>
      <w:pPr>
        <w:pStyle w:val="Normal"/>
        <w:pBdr/>
        <w:spacing w:before="0" w:after="200"/>
        <w:rPr>
          <w:rFonts w:ascii="Cambria" w:hAnsi="Cambria"/>
        </w:rPr>
      </w:pPr>
      <w:r>
        <w:rPr>
          <w:rFonts w:ascii="Cambria" w:hAnsi="Cambria"/>
          <w:i/>
          <w:iCs/>
          <w:color w:val="1F497D"/>
          <w:sz w:val="24"/>
          <w:szCs w:val="24"/>
        </w:rPr>
        <w:t>Table 7: Opening and closing stocks of Above ground biomass in the recent years (2019-2024)</w:t>
      </w:r>
    </w:p>
    <w:tbl>
      <w:tblPr>
        <w:tblStyle w:val="af1"/>
        <w:tblW w:w="9360"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2700"/>
        <w:gridCol w:w="1890"/>
        <w:gridCol w:w="1529"/>
        <w:gridCol w:w="1603"/>
        <w:gridCol w:w="1638"/>
      </w:tblGrid>
      <w:tr>
        <w:trPr>
          <w:trHeight w:val="300" w:hRule="atLeast"/>
        </w:trPr>
        <w:tc>
          <w:tcPr>
            <w:tcW w:w="2700" w:type="dxa"/>
            <w:vMerge w:val="restart"/>
            <w:tcBorders/>
            <w:shd w:color="auto" w:fill="FBD5B5" w:val="clear"/>
            <w:vAlign w:val="bottom"/>
          </w:tcPr>
          <w:p>
            <w:pPr>
              <w:pStyle w:val="Normal"/>
              <w:rPr>
                <w:rFonts w:ascii="Cambria" w:hAnsi="Cambria"/>
              </w:rPr>
            </w:pPr>
            <w:r>
              <w:rPr>
                <w:rFonts w:eastAsia="Overlock" w:cs="Overlock" w:ascii="Cambria" w:hAnsi="Cambria"/>
                <w:sz w:val="20"/>
                <w:szCs w:val="20"/>
              </w:rPr>
              <w:t>Strata</w:t>
            </w:r>
          </w:p>
        </w:tc>
        <w:tc>
          <w:tcPr>
            <w:tcW w:w="6660" w:type="dxa"/>
            <w:gridSpan w:val="4"/>
            <w:tcBorders/>
            <w:shd w:color="auto" w:fill="FBD5B5" w:val="clear"/>
            <w:vAlign w:val="bottom"/>
          </w:tcPr>
          <w:p>
            <w:pPr>
              <w:pStyle w:val="Normal"/>
              <w:rPr>
                <w:rFonts w:ascii="Cambria" w:hAnsi="Cambria"/>
              </w:rPr>
            </w:pPr>
            <w:r>
              <w:rPr>
                <w:rFonts w:eastAsia="Overlock" w:cs="Overlock" w:ascii="Cambria" w:hAnsi="Cambria"/>
                <w:sz w:val="20"/>
                <w:szCs w:val="20"/>
              </w:rPr>
              <w:t>Above ground Biomass (Tonnes) in the period 2019 - 2024</w:t>
            </w:r>
          </w:p>
        </w:tc>
      </w:tr>
      <w:tr>
        <w:trPr>
          <w:trHeight w:val="300" w:hRule="atLeast"/>
        </w:trPr>
        <w:tc>
          <w:tcPr>
            <w:tcW w:w="2700" w:type="dxa"/>
            <w:vMerge w:val="continue"/>
            <w:tcBorders/>
            <w:shd w:color="auto" w:fill="FBD5B5" w:val="clear"/>
            <w:vAlign w:val="bottom"/>
          </w:tcPr>
          <w:p>
            <w:pPr>
              <w:pStyle w:val="Normal"/>
              <w:widowControl w:val="false"/>
              <w:pBdr/>
              <w:spacing w:lineRule="auto" w:line="276"/>
              <w:jc w:val="start"/>
              <w:rPr>
                <w:rFonts w:ascii="Cambria" w:hAnsi="Cambria" w:eastAsia="Overlock" w:cs="Overlock"/>
                <w:sz w:val="20"/>
                <w:szCs w:val="20"/>
              </w:rPr>
            </w:pPr>
            <w:r>
              <w:rPr>
                <w:rFonts w:eastAsia="Overlock" w:cs="Overlock" w:ascii="Cambria" w:hAnsi="Cambria"/>
                <w:sz w:val="20"/>
                <w:szCs w:val="20"/>
              </w:rPr>
            </w:r>
          </w:p>
        </w:tc>
        <w:tc>
          <w:tcPr>
            <w:tcW w:w="1890" w:type="dxa"/>
            <w:tcBorders/>
            <w:shd w:color="auto" w:fill="FBD5B5" w:val="clear"/>
            <w:vAlign w:val="bottom"/>
          </w:tcPr>
          <w:p>
            <w:pPr>
              <w:pStyle w:val="Normal"/>
              <w:rPr>
                <w:rFonts w:ascii="Cambria" w:hAnsi="Cambria"/>
              </w:rPr>
            </w:pPr>
            <w:r>
              <w:rPr>
                <w:rFonts w:eastAsia="Overlock" w:cs="Overlock" w:ascii="Cambria" w:hAnsi="Cambria"/>
                <w:sz w:val="20"/>
                <w:szCs w:val="20"/>
              </w:rPr>
              <w:t>Opening stock in 2019</w:t>
            </w:r>
          </w:p>
        </w:tc>
        <w:tc>
          <w:tcPr>
            <w:tcW w:w="1529" w:type="dxa"/>
            <w:tcBorders/>
            <w:shd w:color="auto" w:fill="FBD5B5" w:val="clear"/>
            <w:vAlign w:val="bottom"/>
          </w:tcPr>
          <w:p>
            <w:pPr>
              <w:pStyle w:val="Normal"/>
              <w:rPr>
                <w:rFonts w:ascii="Cambria" w:hAnsi="Cambria"/>
              </w:rPr>
            </w:pPr>
            <w:r>
              <w:rPr>
                <w:rFonts w:eastAsia="Overlock" w:cs="Overlock" w:ascii="Cambria" w:hAnsi="Cambria"/>
                <w:sz w:val="20"/>
                <w:szCs w:val="20"/>
              </w:rPr>
              <w:t>Increase from Afforestation</w:t>
            </w:r>
          </w:p>
        </w:tc>
        <w:tc>
          <w:tcPr>
            <w:tcW w:w="1603" w:type="dxa"/>
            <w:tcBorders/>
            <w:shd w:color="auto" w:fill="FBD5B5" w:val="clear"/>
            <w:vAlign w:val="bottom"/>
          </w:tcPr>
          <w:p>
            <w:pPr>
              <w:pStyle w:val="Normal"/>
              <w:rPr>
                <w:rFonts w:ascii="Cambria" w:hAnsi="Cambria"/>
              </w:rPr>
            </w:pPr>
            <w:r>
              <w:rPr>
                <w:rFonts w:eastAsia="Overlock" w:cs="Overlock" w:ascii="Cambria" w:hAnsi="Cambria"/>
                <w:sz w:val="20"/>
                <w:szCs w:val="20"/>
              </w:rPr>
              <w:t>Decrease from Deforestation</w:t>
            </w:r>
          </w:p>
        </w:tc>
        <w:tc>
          <w:tcPr>
            <w:tcW w:w="1638" w:type="dxa"/>
            <w:tcBorders/>
            <w:shd w:color="auto" w:fill="FBD5B5" w:val="clear"/>
            <w:vAlign w:val="bottom"/>
          </w:tcPr>
          <w:p>
            <w:pPr>
              <w:pStyle w:val="Normal"/>
              <w:rPr>
                <w:rFonts w:ascii="Cambria" w:hAnsi="Cambria"/>
              </w:rPr>
            </w:pPr>
            <w:r>
              <w:rPr>
                <w:rFonts w:eastAsia="Overlock" w:cs="Overlock" w:ascii="Cambria" w:hAnsi="Cambria"/>
                <w:sz w:val="20"/>
                <w:szCs w:val="20"/>
              </w:rPr>
              <w:t>Closing stock in 2024</w:t>
            </w:r>
          </w:p>
        </w:tc>
      </w:tr>
      <w:tr>
        <w:trPr>
          <w:trHeight w:val="300" w:hRule="atLeast"/>
        </w:trPr>
        <w:tc>
          <w:tcPr>
            <w:tcW w:w="2700" w:type="dxa"/>
            <w:tcBorders/>
          </w:tcPr>
          <w:p>
            <w:pPr>
              <w:pStyle w:val="Normal"/>
              <w:rPr>
                <w:rFonts w:ascii="Cambria" w:hAnsi="Cambria"/>
              </w:rPr>
            </w:pPr>
            <w:r>
              <w:rPr>
                <w:rFonts w:eastAsia="Overlock" w:cs="Overlock" w:ascii="Cambria" w:hAnsi="Cambria"/>
                <w:sz w:val="20"/>
                <w:szCs w:val="20"/>
              </w:rPr>
              <w:t>Coastal Forest</w:t>
            </w:r>
          </w:p>
        </w:tc>
        <w:tc>
          <w:tcPr>
            <w:tcW w:w="1890"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57,331,754 </w:t>
            </w:r>
          </w:p>
        </w:tc>
        <w:tc>
          <w:tcPr>
            <w:tcW w:w="1529"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36,689 </w:t>
            </w:r>
          </w:p>
        </w:tc>
        <w:tc>
          <w:tcPr>
            <w:tcW w:w="160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1,089,860 </w:t>
            </w:r>
          </w:p>
        </w:tc>
        <w:tc>
          <w:tcPr>
            <w:tcW w:w="1638"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56,278,582 </w:t>
            </w:r>
          </w:p>
        </w:tc>
      </w:tr>
      <w:tr>
        <w:trPr>
          <w:trHeight w:val="300" w:hRule="atLeast"/>
        </w:trPr>
        <w:tc>
          <w:tcPr>
            <w:tcW w:w="2700" w:type="dxa"/>
            <w:tcBorders/>
          </w:tcPr>
          <w:p>
            <w:pPr>
              <w:pStyle w:val="Normal"/>
              <w:rPr>
                <w:rFonts w:ascii="Cambria" w:hAnsi="Cambria"/>
              </w:rPr>
            </w:pPr>
            <w:r>
              <w:rPr>
                <w:rFonts w:eastAsia="Overlock" w:cs="Overlock" w:ascii="Cambria" w:hAnsi="Cambria"/>
                <w:sz w:val="20"/>
                <w:szCs w:val="20"/>
              </w:rPr>
              <w:t>Dryland Forest</w:t>
            </w:r>
          </w:p>
        </w:tc>
        <w:tc>
          <w:tcPr>
            <w:tcW w:w="1890"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59,345,568 </w:t>
            </w:r>
          </w:p>
        </w:tc>
        <w:tc>
          <w:tcPr>
            <w:tcW w:w="1529"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368,647 </w:t>
            </w:r>
          </w:p>
        </w:tc>
        <w:tc>
          <w:tcPr>
            <w:tcW w:w="160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4,114,174 </w:t>
            </w:r>
          </w:p>
        </w:tc>
        <w:tc>
          <w:tcPr>
            <w:tcW w:w="1638" w:type="dxa"/>
            <w:tcBorders/>
          </w:tcPr>
          <w:p>
            <w:pPr>
              <w:pStyle w:val="Normal"/>
              <w:rPr>
                <w:rFonts w:ascii="Cambria" w:hAnsi="Cambria"/>
              </w:rPr>
            </w:pPr>
            <w:bookmarkStart w:id="42" w:name="_heading=h.5w21iqi5dcmp"/>
            <w:bookmarkEnd w:id="42"/>
            <w:r>
              <w:rPr>
                <w:rFonts w:eastAsia="Overlock" w:cs="Overlock" w:ascii="Cambria" w:hAnsi="Cambria"/>
                <w:sz w:val="20"/>
                <w:szCs w:val="20"/>
              </w:rPr>
              <w:t xml:space="preserve"> </w:t>
            </w:r>
            <w:r>
              <w:rPr>
                <w:rFonts w:eastAsia="Overlock" w:cs="Overlock" w:ascii="Cambria" w:hAnsi="Cambria"/>
                <w:sz w:val="20"/>
                <w:szCs w:val="20"/>
              </w:rPr>
              <w:t xml:space="preserve">55,600,040 </w:t>
            </w:r>
          </w:p>
        </w:tc>
      </w:tr>
      <w:tr>
        <w:trPr>
          <w:trHeight w:val="300" w:hRule="atLeast"/>
        </w:trPr>
        <w:tc>
          <w:tcPr>
            <w:tcW w:w="2700" w:type="dxa"/>
            <w:tcBorders/>
          </w:tcPr>
          <w:p>
            <w:pPr>
              <w:pStyle w:val="Normal"/>
              <w:rPr>
                <w:rFonts w:ascii="Cambria" w:hAnsi="Cambria"/>
              </w:rPr>
            </w:pPr>
            <w:r>
              <w:rPr>
                <w:rFonts w:eastAsia="Overlock" w:cs="Overlock" w:ascii="Cambria" w:hAnsi="Cambria"/>
                <w:sz w:val="20"/>
                <w:szCs w:val="20"/>
              </w:rPr>
              <w:t>Mangrove</w:t>
            </w:r>
          </w:p>
        </w:tc>
        <w:tc>
          <w:tcPr>
            <w:tcW w:w="1890"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1,092,136 </w:t>
            </w:r>
          </w:p>
        </w:tc>
        <w:tc>
          <w:tcPr>
            <w:tcW w:w="1529"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   </w:t>
            </w:r>
          </w:p>
        </w:tc>
        <w:tc>
          <w:tcPr>
            <w:tcW w:w="160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39,088 </w:t>
            </w:r>
          </w:p>
        </w:tc>
        <w:tc>
          <w:tcPr>
            <w:tcW w:w="1638"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1,053,049 </w:t>
            </w:r>
          </w:p>
        </w:tc>
      </w:tr>
      <w:tr>
        <w:trPr>
          <w:trHeight w:val="300" w:hRule="atLeast"/>
        </w:trPr>
        <w:tc>
          <w:tcPr>
            <w:tcW w:w="2700" w:type="dxa"/>
            <w:tcBorders/>
          </w:tcPr>
          <w:p>
            <w:pPr>
              <w:pStyle w:val="Normal"/>
              <w:rPr>
                <w:rFonts w:ascii="Cambria" w:hAnsi="Cambria"/>
              </w:rPr>
            </w:pPr>
            <w:r>
              <w:rPr>
                <w:rFonts w:eastAsia="Overlock" w:cs="Overlock" w:ascii="Cambria" w:hAnsi="Cambria"/>
                <w:sz w:val="20"/>
                <w:szCs w:val="20"/>
              </w:rPr>
              <w:t>Montane Forest</w:t>
            </w:r>
          </w:p>
        </w:tc>
        <w:tc>
          <w:tcPr>
            <w:tcW w:w="1890"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216,266,758 </w:t>
            </w:r>
          </w:p>
        </w:tc>
        <w:tc>
          <w:tcPr>
            <w:tcW w:w="1529" w:type="dxa"/>
            <w:tcBorders/>
          </w:tcPr>
          <w:p>
            <w:pPr>
              <w:pStyle w:val="Normal"/>
              <w:rPr>
                <w:rFonts w:ascii="Cambria" w:hAnsi="Cambria"/>
              </w:rPr>
            </w:pPr>
            <w:r>
              <w:rPr>
                <w:rFonts w:eastAsia="Overlock" w:cs="Overlock" w:ascii="Cambria" w:hAnsi="Cambria"/>
                <w:sz w:val="20"/>
                <w:szCs w:val="20"/>
              </w:rPr>
              <w:t xml:space="preserve">1,527,875.27 </w:t>
            </w:r>
          </w:p>
        </w:tc>
        <w:tc>
          <w:tcPr>
            <w:tcW w:w="160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16,107,311 </w:t>
            </w:r>
          </w:p>
        </w:tc>
        <w:tc>
          <w:tcPr>
            <w:tcW w:w="1638"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201,687,323 </w:t>
            </w:r>
          </w:p>
        </w:tc>
      </w:tr>
      <w:tr>
        <w:trPr>
          <w:trHeight w:val="300" w:hRule="atLeast"/>
        </w:trPr>
        <w:tc>
          <w:tcPr>
            <w:tcW w:w="2700" w:type="dxa"/>
            <w:tcBorders/>
          </w:tcPr>
          <w:p>
            <w:pPr>
              <w:pStyle w:val="Normal"/>
              <w:rPr>
                <w:rFonts w:ascii="Cambria" w:hAnsi="Cambria"/>
              </w:rPr>
            </w:pPr>
            <w:r>
              <w:rPr>
                <w:rFonts w:eastAsia="Overlock" w:cs="Overlock" w:ascii="Cambria" w:hAnsi="Cambria"/>
                <w:sz w:val="20"/>
                <w:szCs w:val="20"/>
              </w:rPr>
              <w:t>Western Rain Forest</w:t>
            </w:r>
          </w:p>
        </w:tc>
        <w:tc>
          <w:tcPr>
            <w:tcW w:w="1890"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11,116,445 </w:t>
            </w:r>
          </w:p>
        </w:tc>
        <w:tc>
          <w:tcPr>
            <w:tcW w:w="1529"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55,441 </w:t>
            </w:r>
          </w:p>
        </w:tc>
        <w:tc>
          <w:tcPr>
            <w:tcW w:w="160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830,086 </w:t>
            </w:r>
          </w:p>
        </w:tc>
        <w:tc>
          <w:tcPr>
            <w:tcW w:w="1638"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10,341,800 </w:t>
            </w:r>
          </w:p>
        </w:tc>
      </w:tr>
      <w:tr>
        <w:trPr>
          <w:trHeight w:val="300" w:hRule="atLeast"/>
        </w:trPr>
        <w:tc>
          <w:tcPr>
            <w:tcW w:w="2700" w:type="dxa"/>
            <w:tcBorders/>
          </w:tcPr>
          <w:p>
            <w:pPr>
              <w:pStyle w:val="Normal"/>
              <w:rPr>
                <w:rFonts w:ascii="Cambria" w:hAnsi="Cambria"/>
              </w:rPr>
            </w:pPr>
            <w:r>
              <w:rPr>
                <w:rFonts w:eastAsia="Overlock" w:cs="Overlock" w:ascii="Cambria" w:hAnsi="Cambria"/>
                <w:sz w:val="20"/>
                <w:szCs w:val="20"/>
              </w:rPr>
              <w:t>Grand Total</w:t>
            </w:r>
          </w:p>
        </w:tc>
        <w:tc>
          <w:tcPr>
            <w:tcW w:w="1890"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345,152,661 </w:t>
            </w:r>
          </w:p>
        </w:tc>
        <w:tc>
          <w:tcPr>
            <w:tcW w:w="1529"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1,988,651 </w:t>
            </w:r>
          </w:p>
        </w:tc>
        <w:tc>
          <w:tcPr>
            <w:tcW w:w="1603"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22,180,519 </w:t>
            </w:r>
          </w:p>
        </w:tc>
        <w:tc>
          <w:tcPr>
            <w:tcW w:w="1638" w:type="dxa"/>
            <w:tcBorders/>
          </w:tcPr>
          <w:p>
            <w:pPr>
              <w:pStyle w:val="Normal"/>
              <w:rPr>
                <w:rFonts w:ascii="Cambria" w:hAnsi="Cambria"/>
              </w:rPr>
            </w:pPr>
            <w:r>
              <w:rPr>
                <w:rFonts w:eastAsia="Overlock" w:cs="Overlock" w:ascii="Cambria" w:hAnsi="Cambria"/>
                <w:sz w:val="20"/>
                <w:szCs w:val="20"/>
              </w:rPr>
              <w:t xml:space="preserve"> </w:t>
            </w:r>
            <w:r>
              <w:rPr>
                <w:rFonts w:eastAsia="Overlock" w:cs="Overlock" w:ascii="Cambria" w:hAnsi="Cambria"/>
                <w:sz w:val="20"/>
                <w:szCs w:val="20"/>
              </w:rPr>
              <w:t xml:space="preserve">324,960,794 </w:t>
            </w:r>
          </w:p>
        </w:tc>
      </w:tr>
    </w:tbl>
    <w:p>
      <w:pPr>
        <w:pStyle w:val="Normal"/>
        <w:rPr>
          <w:rFonts w:ascii="Cambria" w:hAnsi="Cambria"/>
        </w:rPr>
      </w:pPr>
      <w:r>
        <w:rPr>
          <w:rFonts w:ascii="Cambria" w:hAnsi="Cambria"/>
        </w:rPr>
      </w:r>
    </w:p>
    <w:p>
      <w:pPr>
        <w:pStyle w:val="Normal"/>
        <w:rPr>
          <w:rFonts w:ascii="Cambria" w:hAnsi="Cambria"/>
        </w:rPr>
      </w:pPr>
      <w:r>
        <w:rPr>
          <w:rFonts w:eastAsia="Overlock" w:cs="Overlock" w:ascii="Cambria" w:hAnsi="Cambria"/>
          <w:sz w:val="24"/>
          <w:szCs w:val="24"/>
        </w:rPr>
        <w:t>The loss in forest biomass was converted to CO2eq using IPCC guidelines</w:t>
      </w:r>
      <w:r>
        <w:rPr>
          <w:rStyle w:val="FootnoteReference"/>
          <w:rFonts w:eastAsia="Overlock" w:cs="Overlock" w:ascii="Cambria" w:hAnsi="Cambria"/>
          <w:sz w:val="24"/>
          <w:szCs w:val="24"/>
          <w:vertAlign w:val="superscript"/>
        </w:rPr>
        <w:footnoteReference w:id="11"/>
      </w:r>
      <w:r>
        <w:rPr>
          <w:rFonts w:eastAsia="Overlock" w:cs="Overlock" w:ascii="Cambria" w:hAnsi="Cambria"/>
          <w:sz w:val="24"/>
          <w:szCs w:val="24"/>
        </w:rPr>
        <w:t xml:space="preserve"> and the resultant emissions estimated at a price of 5USD. The annual loss in economic value from deforestation was estimated at 36,963,723 (Table 6) and the total loss in the 2019 – 2024 period was estimated at 184,818,614. Just like explained in the biomass section, the greatest economic loss is felt when forests with higher stocks (Montane and western rain) are deforested</w:t>
      </w:r>
      <w:r>
        <w:rPr>
          <w:rFonts w:ascii="Cambria" w:hAnsi="Cambria"/>
        </w:rPr>
        <w:t>.</w:t>
      </w:r>
    </w:p>
    <w:p>
      <w:pPr>
        <w:pStyle w:val="Normal"/>
        <w:rPr>
          <w:rFonts w:ascii="Cambria" w:hAnsi="Cambria"/>
        </w:rPr>
      </w:pPr>
      <w:r>
        <w:rPr>
          <w:rFonts w:ascii="Cambria" w:hAnsi="Cambria"/>
        </w:rPr>
      </w:r>
    </w:p>
    <w:p>
      <w:pPr>
        <w:pStyle w:val="Normal"/>
        <w:pBdr/>
        <w:spacing w:before="0" w:after="200"/>
        <w:rPr>
          <w:rFonts w:ascii="Cambria" w:hAnsi="Cambria"/>
        </w:rPr>
      </w:pPr>
      <w:bookmarkStart w:id="43" w:name="_heading=h.iymkj9570dns"/>
      <w:bookmarkEnd w:id="43"/>
      <w:r>
        <w:rPr>
          <w:rFonts w:ascii="Cambria" w:hAnsi="Cambria"/>
          <w:i/>
          <w:iCs/>
          <w:color w:val="1F497D"/>
          <w:sz w:val="24"/>
          <w:szCs w:val="24"/>
        </w:rPr>
        <w:t>Table 8: Economic loss in USD due to deforestation in the period (2019-2024)</w:t>
      </w:r>
    </w:p>
    <w:tbl>
      <w:tblPr>
        <w:tblStyle w:val="af2"/>
        <w:tblW w:w="9450"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3436"/>
        <w:gridCol w:w="2302"/>
        <w:gridCol w:w="3712"/>
      </w:tblGrid>
      <w:tr>
        <w:trPr>
          <w:trHeight w:val="300" w:hRule="atLeast"/>
        </w:trPr>
        <w:tc>
          <w:tcPr>
            <w:tcW w:w="3436" w:type="dxa"/>
            <w:vMerge w:val="restart"/>
            <w:tcBorders/>
            <w:shd w:color="auto" w:fill="FBD5B5" w:val="clear"/>
            <w:vAlign w:val="bottom"/>
          </w:tcPr>
          <w:p>
            <w:pPr>
              <w:pStyle w:val="Normal"/>
              <w:rPr>
                <w:rFonts w:ascii="Cambria" w:hAnsi="Cambria"/>
              </w:rPr>
            </w:pPr>
            <w:r>
              <w:rPr>
                <w:rFonts w:eastAsia="Overlock" w:cs="Overlock" w:ascii="Cambria" w:hAnsi="Cambria"/>
                <w:sz w:val="24"/>
                <w:szCs w:val="24"/>
              </w:rPr>
              <w:t>Strata</w:t>
            </w:r>
          </w:p>
        </w:tc>
        <w:tc>
          <w:tcPr>
            <w:tcW w:w="6014" w:type="dxa"/>
            <w:gridSpan w:val="2"/>
            <w:tcBorders/>
            <w:shd w:color="auto" w:fill="FBD5B5" w:val="clear"/>
          </w:tcPr>
          <w:p>
            <w:pPr>
              <w:pStyle w:val="Normal"/>
              <w:jc w:val="center"/>
              <w:rPr>
                <w:rFonts w:ascii="Cambria" w:hAnsi="Cambria"/>
              </w:rPr>
            </w:pPr>
            <w:r>
              <w:rPr>
                <w:rFonts w:eastAsia="Overlock" w:cs="Overlock" w:ascii="Cambria" w:hAnsi="Cambria"/>
                <w:sz w:val="24"/>
                <w:szCs w:val="24"/>
              </w:rPr>
              <w:t>Economic loss (USD) due to deforestation</w:t>
            </w:r>
          </w:p>
        </w:tc>
      </w:tr>
      <w:tr>
        <w:trPr>
          <w:trHeight w:val="300" w:hRule="atLeast"/>
        </w:trPr>
        <w:tc>
          <w:tcPr>
            <w:tcW w:w="3436" w:type="dxa"/>
            <w:vMerge w:val="continue"/>
            <w:tcBorders/>
            <w:shd w:color="auto" w:fill="FBD5B5" w:val="clear"/>
            <w:vAlign w:val="bottom"/>
          </w:tcPr>
          <w:p>
            <w:pPr>
              <w:pStyle w:val="Normal"/>
              <w:widowControl w:val="false"/>
              <w:pBdr/>
              <w:spacing w:lineRule="auto" w:line="276"/>
              <w:jc w:val="start"/>
              <w:rPr>
                <w:rFonts w:ascii="Cambria" w:hAnsi="Cambria" w:eastAsia="Overlock" w:cs="Overlock"/>
                <w:sz w:val="24"/>
                <w:szCs w:val="24"/>
              </w:rPr>
            </w:pPr>
            <w:r>
              <w:rPr>
                <w:rFonts w:eastAsia="Overlock" w:cs="Overlock" w:ascii="Cambria" w:hAnsi="Cambria"/>
                <w:sz w:val="24"/>
                <w:szCs w:val="24"/>
              </w:rPr>
            </w:r>
          </w:p>
        </w:tc>
        <w:tc>
          <w:tcPr>
            <w:tcW w:w="2302" w:type="dxa"/>
            <w:tcBorders/>
            <w:shd w:color="auto" w:fill="FBD5B5" w:val="clear"/>
          </w:tcPr>
          <w:p>
            <w:pPr>
              <w:pStyle w:val="Normal"/>
              <w:rPr>
                <w:rFonts w:ascii="Cambria" w:hAnsi="Cambria"/>
              </w:rPr>
            </w:pPr>
            <w:r>
              <w:rPr>
                <w:rFonts w:eastAsia="Overlock" w:cs="Overlock" w:ascii="Cambria" w:hAnsi="Cambria"/>
                <w:sz w:val="24"/>
                <w:szCs w:val="24"/>
              </w:rPr>
              <w:t>Annual Loss</w:t>
            </w:r>
          </w:p>
        </w:tc>
        <w:tc>
          <w:tcPr>
            <w:tcW w:w="3712" w:type="dxa"/>
            <w:tcBorders/>
            <w:shd w:color="auto" w:fill="FBD5B5" w:val="clear"/>
            <w:vAlign w:val="bottom"/>
          </w:tcPr>
          <w:p>
            <w:pPr>
              <w:pStyle w:val="Normal"/>
              <w:rPr>
                <w:rFonts w:ascii="Cambria" w:hAnsi="Cambria"/>
              </w:rPr>
            </w:pPr>
            <w:r>
              <w:rPr>
                <w:rFonts w:eastAsia="Overlock" w:cs="Overlock" w:ascii="Cambria" w:hAnsi="Cambria"/>
                <w:sz w:val="24"/>
                <w:szCs w:val="24"/>
              </w:rPr>
              <w:t>Total loss (2019-2024)</w:t>
            </w:r>
          </w:p>
        </w:tc>
      </w:tr>
      <w:tr>
        <w:trPr>
          <w:trHeight w:val="300" w:hRule="atLeast"/>
        </w:trPr>
        <w:tc>
          <w:tcPr>
            <w:tcW w:w="3436" w:type="dxa"/>
            <w:tcBorders/>
            <w:vAlign w:val="bottom"/>
          </w:tcPr>
          <w:p>
            <w:pPr>
              <w:pStyle w:val="Normal"/>
              <w:rPr>
                <w:rFonts w:ascii="Cambria" w:hAnsi="Cambria"/>
              </w:rPr>
            </w:pPr>
            <w:r>
              <w:rPr>
                <w:rFonts w:eastAsia="Overlock" w:cs="Overlock" w:ascii="Cambria" w:hAnsi="Cambria"/>
                <w:sz w:val="24"/>
                <w:szCs w:val="24"/>
              </w:rPr>
              <w:t>Coastal Forest</w:t>
            </w:r>
          </w:p>
        </w:tc>
        <w:tc>
          <w:tcPr>
            <w:tcW w:w="230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1,814,966 </w:t>
            </w:r>
          </w:p>
        </w:tc>
        <w:tc>
          <w:tcPr>
            <w:tcW w:w="371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9,074,831 </w:t>
            </w:r>
          </w:p>
        </w:tc>
      </w:tr>
      <w:tr>
        <w:trPr>
          <w:trHeight w:val="300" w:hRule="atLeast"/>
        </w:trPr>
        <w:tc>
          <w:tcPr>
            <w:tcW w:w="3436" w:type="dxa"/>
            <w:tcBorders/>
            <w:vAlign w:val="bottom"/>
          </w:tcPr>
          <w:p>
            <w:pPr>
              <w:pStyle w:val="Normal"/>
              <w:rPr>
                <w:rFonts w:ascii="Cambria" w:hAnsi="Cambria"/>
              </w:rPr>
            </w:pPr>
            <w:r>
              <w:rPr>
                <w:rFonts w:eastAsia="Overlock" w:cs="Overlock" w:ascii="Cambria" w:hAnsi="Cambria"/>
                <w:sz w:val="24"/>
                <w:szCs w:val="24"/>
              </w:rPr>
              <w:t>Dryland Forest</w:t>
            </w:r>
          </w:p>
        </w:tc>
        <w:tc>
          <w:tcPr>
            <w:tcW w:w="230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6,454,792 </w:t>
            </w:r>
          </w:p>
        </w:tc>
        <w:tc>
          <w:tcPr>
            <w:tcW w:w="371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32,273,962 </w:t>
            </w:r>
          </w:p>
        </w:tc>
      </w:tr>
      <w:tr>
        <w:trPr>
          <w:trHeight w:val="300" w:hRule="atLeast"/>
        </w:trPr>
        <w:tc>
          <w:tcPr>
            <w:tcW w:w="3436" w:type="dxa"/>
            <w:tcBorders/>
            <w:vAlign w:val="bottom"/>
          </w:tcPr>
          <w:p>
            <w:pPr>
              <w:pStyle w:val="Normal"/>
              <w:rPr>
                <w:rFonts w:ascii="Cambria" w:hAnsi="Cambria"/>
              </w:rPr>
            </w:pPr>
            <w:r>
              <w:rPr>
                <w:rFonts w:eastAsia="Overlock" w:cs="Overlock" w:ascii="Cambria" w:hAnsi="Cambria"/>
                <w:sz w:val="24"/>
                <w:szCs w:val="24"/>
              </w:rPr>
              <w:t>Mangrove</w:t>
            </w:r>
          </w:p>
        </w:tc>
        <w:tc>
          <w:tcPr>
            <w:tcW w:w="230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67,361 </w:t>
            </w:r>
          </w:p>
        </w:tc>
        <w:tc>
          <w:tcPr>
            <w:tcW w:w="371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336,807 </w:t>
            </w:r>
          </w:p>
        </w:tc>
      </w:tr>
      <w:tr>
        <w:trPr>
          <w:trHeight w:val="300" w:hRule="atLeast"/>
        </w:trPr>
        <w:tc>
          <w:tcPr>
            <w:tcW w:w="3436" w:type="dxa"/>
            <w:tcBorders/>
            <w:vAlign w:val="bottom"/>
          </w:tcPr>
          <w:p>
            <w:pPr>
              <w:pStyle w:val="Normal"/>
              <w:rPr>
                <w:rFonts w:ascii="Cambria" w:hAnsi="Cambria"/>
              </w:rPr>
            </w:pPr>
            <w:r>
              <w:rPr>
                <w:rFonts w:eastAsia="Overlock" w:cs="Overlock" w:ascii="Cambria" w:hAnsi="Cambria"/>
                <w:sz w:val="24"/>
                <w:szCs w:val="24"/>
              </w:rPr>
              <w:t>Montane Forest</w:t>
            </w:r>
          </w:p>
        </w:tc>
        <w:tc>
          <w:tcPr>
            <w:tcW w:w="2302" w:type="dxa"/>
            <w:tcBorders/>
          </w:tcPr>
          <w:p>
            <w:pPr>
              <w:pStyle w:val="Normal"/>
              <w:rPr>
                <w:rFonts w:ascii="Cambria" w:hAnsi="Cambria"/>
              </w:rPr>
            </w:pPr>
            <w:r>
              <w:rPr>
                <w:rFonts w:eastAsia="Overlock" w:cs="Overlock" w:ascii="Cambria" w:hAnsi="Cambria"/>
                <w:sz w:val="24"/>
                <w:szCs w:val="24"/>
              </w:rPr>
              <w:t xml:space="preserve">25,125,227 </w:t>
            </w:r>
          </w:p>
        </w:tc>
        <w:tc>
          <w:tcPr>
            <w:tcW w:w="371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125,626,135 </w:t>
            </w:r>
          </w:p>
        </w:tc>
      </w:tr>
      <w:tr>
        <w:trPr>
          <w:trHeight w:val="300" w:hRule="atLeast"/>
        </w:trPr>
        <w:tc>
          <w:tcPr>
            <w:tcW w:w="3436" w:type="dxa"/>
            <w:tcBorders/>
            <w:vAlign w:val="bottom"/>
          </w:tcPr>
          <w:p>
            <w:pPr>
              <w:pStyle w:val="Normal"/>
              <w:rPr>
                <w:rFonts w:ascii="Cambria" w:hAnsi="Cambria"/>
              </w:rPr>
            </w:pPr>
            <w:r>
              <w:rPr>
                <w:rFonts w:eastAsia="Overlock" w:cs="Overlock" w:ascii="Cambria" w:hAnsi="Cambria"/>
                <w:sz w:val="24"/>
                <w:szCs w:val="24"/>
              </w:rPr>
              <w:t>Plantation Forest</w:t>
            </w:r>
          </w:p>
        </w:tc>
        <w:tc>
          <w:tcPr>
            <w:tcW w:w="230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2,166,404 </w:t>
            </w:r>
          </w:p>
        </w:tc>
        <w:tc>
          <w:tcPr>
            <w:tcW w:w="371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10,832,022 </w:t>
            </w:r>
          </w:p>
        </w:tc>
      </w:tr>
      <w:tr>
        <w:trPr>
          <w:trHeight w:val="300" w:hRule="atLeast"/>
        </w:trPr>
        <w:tc>
          <w:tcPr>
            <w:tcW w:w="3436" w:type="dxa"/>
            <w:tcBorders/>
            <w:vAlign w:val="bottom"/>
          </w:tcPr>
          <w:p>
            <w:pPr>
              <w:pStyle w:val="Normal"/>
              <w:rPr>
                <w:rFonts w:ascii="Cambria" w:hAnsi="Cambria"/>
              </w:rPr>
            </w:pPr>
            <w:r>
              <w:rPr>
                <w:rFonts w:eastAsia="Overlock" w:cs="Overlock" w:ascii="Cambria" w:hAnsi="Cambria"/>
                <w:sz w:val="24"/>
                <w:szCs w:val="24"/>
              </w:rPr>
              <w:t>Western Rain Forest</w:t>
            </w:r>
          </w:p>
        </w:tc>
        <w:tc>
          <w:tcPr>
            <w:tcW w:w="230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1,334,972 </w:t>
            </w:r>
          </w:p>
        </w:tc>
        <w:tc>
          <w:tcPr>
            <w:tcW w:w="371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6,674,858 </w:t>
            </w:r>
          </w:p>
        </w:tc>
      </w:tr>
      <w:tr>
        <w:trPr>
          <w:trHeight w:val="300" w:hRule="atLeast"/>
        </w:trPr>
        <w:tc>
          <w:tcPr>
            <w:tcW w:w="3436" w:type="dxa"/>
            <w:tcBorders/>
            <w:vAlign w:val="bottom"/>
          </w:tcPr>
          <w:p>
            <w:pPr>
              <w:pStyle w:val="Normal"/>
              <w:rPr>
                <w:rFonts w:ascii="Cambria" w:hAnsi="Cambria"/>
              </w:rPr>
            </w:pPr>
            <w:r>
              <w:rPr>
                <w:rFonts w:eastAsia="Overlock" w:cs="Overlock" w:ascii="Cambria" w:hAnsi="Cambria"/>
                <w:sz w:val="24"/>
                <w:szCs w:val="24"/>
              </w:rPr>
              <w:t>Grand Total</w:t>
            </w:r>
          </w:p>
        </w:tc>
        <w:tc>
          <w:tcPr>
            <w:tcW w:w="230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36,963,723 </w:t>
            </w:r>
          </w:p>
        </w:tc>
        <w:tc>
          <w:tcPr>
            <w:tcW w:w="3712"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184,818,614 </w:t>
            </w:r>
          </w:p>
        </w:tc>
      </w:tr>
    </w:tbl>
    <w:p>
      <w:pPr>
        <w:pStyle w:val="Normal"/>
        <w:rPr>
          <w:rFonts w:ascii="Cambria" w:hAnsi="Cambria"/>
        </w:rPr>
      </w:pPr>
      <w:r>
        <w:rPr>
          <w:rFonts w:ascii="Cambria" w:hAnsi="Cambria"/>
        </w:rPr>
      </w:r>
    </w:p>
    <w:p>
      <w:pPr>
        <w:pStyle w:val="Heading4"/>
        <w:rPr>
          <w:rFonts w:ascii="Cambria" w:hAnsi="Cambria"/>
        </w:rPr>
      </w:pPr>
      <w:r>
        <w:rPr>
          <w:rFonts w:eastAsia="Overlock" w:cs="Overlock" w:ascii="Cambria" w:hAnsi="Cambria"/>
          <w:b/>
          <w:bCs/>
          <w:color w:val="000000"/>
        </w:rPr>
        <w:t>3.3.3. Biomass supply by tree resources</w:t>
      </w:r>
    </w:p>
    <w:p>
      <w:pPr>
        <w:pStyle w:val="Normal"/>
        <w:rPr>
          <w:rFonts w:ascii="Cambria" w:hAnsi="Cambria"/>
        </w:rPr>
      </w:pPr>
      <w:r>
        <w:rPr>
          <w:rFonts w:eastAsia="Overlock" w:cs="Overlock" w:ascii="Cambria" w:hAnsi="Cambria"/>
          <w:sz w:val="24"/>
          <w:szCs w:val="24"/>
        </w:rPr>
        <w:t>Based on estimated rates of deforestation and forest degradation in the period 2019-2024, calculation of estimated supply of biomass resources mainly used to support charcoal and firewood in Kenya. The Table 9 shows that a total of 34,060,905Tonnes is supplied by tree resources annually supporting energy requirements for industrial (e.g. tea factories) and domestic requirements. The woodlands of Kenya estimated at over 40% of the national land area are the main sources of biomass and this result agrees well with the results of land cover analysis provided in the land accounts that show that these areas are rapidly converting into open grasslands and annual croplands.</w:t>
      </w:r>
    </w:p>
    <w:p>
      <w:pPr>
        <w:pStyle w:val="Normal"/>
        <w:rPr>
          <w:rFonts w:ascii="Cambria" w:hAnsi="Cambria" w:eastAsia="Overlock" w:cs="Overlock"/>
          <w:sz w:val="24"/>
          <w:szCs w:val="24"/>
        </w:rPr>
      </w:pPr>
      <w:r>
        <w:rPr>
          <w:rFonts w:eastAsia="Overlock" w:cs="Overlock" w:ascii="Cambria" w:hAnsi="Cambria"/>
          <w:sz w:val="24"/>
          <w:szCs w:val="24"/>
        </w:rPr>
      </w:r>
    </w:p>
    <w:p>
      <w:pPr>
        <w:pStyle w:val="Normal"/>
        <w:pBdr/>
        <w:spacing w:before="0" w:after="200"/>
        <w:rPr>
          <w:rFonts w:ascii="Cambria" w:hAnsi="Cambria"/>
        </w:rPr>
      </w:pPr>
      <w:bookmarkStart w:id="44" w:name="_heading=h.2pfpvl2fav34"/>
      <w:bookmarkEnd w:id="44"/>
      <w:r>
        <w:rPr>
          <w:rFonts w:ascii="Cambria" w:hAnsi="Cambria"/>
          <w:i/>
          <w:iCs/>
          <w:color w:val="1F497D"/>
          <w:sz w:val="24"/>
          <w:szCs w:val="24"/>
        </w:rPr>
        <w:t>Table 9: Average annual biomass supply from tree resources in the period 2019-2024)</w:t>
      </w:r>
    </w:p>
    <w:tbl>
      <w:tblPr>
        <w:tblStyle w:val="af3"/>
        <w:tblW w:w="9450"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2783"/>
        <w:gridCol w:w="6667"/>
      </w:tblGrid>
      <w:tr>
        <w:trPr>
          <w:trHeight w:val="414" w:hRule="atLeast"/>
        </w:trPr>
        <w:tc>
          <w:tcPr>
            <w:tcW w:w="2783" w:type="dxa"/>
            <w:tcBorders/>
            <w:vAlign w:val="bottom"/>
          </w:tcPr>
          <w:p>
            <w:pPr>
              <w:pStyle w:val="Normal"/>
              <w:rPr>
                <w:rFonts w:ascii="Cambria" w:hAnsi="Cambria"/>
              </w:rPr>
            </w:pPr>
            <w:r>
              <w:rPr>
                <w:rFonts w:eastAsia="Overlock" w:cs="Overlock" w:ascii="Cambria" w:hAnsi="Cambria"/>
                <w:sz w:val="24"/>
                <w:szCs w:val="24"/>
              </w:rPr>
              <w:t xml:space="preserve">Sources of Biomass </w:t>
            </w:r>
          </w:p>
        </w:tc>
        <w:tc>
          <w:tcPr>
            <w:tcW w:w="6667" w:type="dxa"/>
            <w:tcBorders/>
            <w:vAlign w:val="bottom"/>
          </w:tcPr>
          <w:p>
            <w:pPr>
              <w:pStyle w:val="Normal"/>
              <w:rPr>
                <w:rFonts w:ascii="Cambria" w:hAnsi="Cambria"/>
              </w:rPr>
            </w:pPr>
            <w:r>
              <w:rPr>
                <w:rFonts w:eastAsia="Overlock" w:cs="Overlock" w:ascii="Cambria" w:hAnsi="Cambria"/>
                <w:sz w:val="24"/>
                <w:szCs w:val="24"/>
              </w:rPr>
              <w:t>Average annual Biomass supply (Tonnes) in the period 2019 - 2024</w:t>
            </w:r>
          </w:p>
        </w:tc>
      </w:tr>
      <w:tr>
        <w:trPr>
          <w:trHeight w:val="300" w:hRule="atLeast"/>
        </w:trPr>
        <w:tc>
          <w:tcPr>
            <w:tcW w:w="2783" w:type="dxa"/>
            <w:tcBorders/>
            <w:vAlign w:val="bottom"/>
          </w:tcPr>
          <w:p>
            <w:pPr>
              <w:pStyle w:val="Normal"/>
              <w:rPr>
                <w:rFonts w:ascii="Cambria" w:hAnsi="Cambria"/>
              </w:rPr>
            </w:pPr>
            <w:r>
              <w:rPr>
                <w:rFonts w:eastAsia="Overlock" w:cs="Overlock" w:ascii="Cambria" w:hAnsi="Cambria"/>
                <w:sz w:val="24"/>
                <w:szCs w:val="24"/>
              </w:rPr>
              <w:t>Deforestation</w:t>
            </w:r>
          </w:p>
        </w:tc>
        <w:tc>
          <w:tcPr>
            <w:tcW w:w="6667"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4,038,374 </w:t>
            </w:r>
          </w:p>
        </w:tc>
      </w:tr>
      <w:tr>
        <w:trPr>
          <w:trHeight w:val="300" w:hRule="atLeast"/>
        </w:trPr>
        <w:tc>
          <w:tcPr>
            <w:tcW w:w="2783" w:type="dxa"/>
            <w:tcBorders/>
            <w:vAlign w:val="bottom"/>
          </w:tcPr>
          <w:p>
            <w:pPr>
              <w:pStyle w:val="Normal"/>
              <w:rPr>
                <w:rFonts w:ascii="Cambria" w:hAnsi="Cambria"/>
              </w:rPr>
            </w:pPr>
            <w:r>
              <w:rPr>
                <w:rFonts w:eastAsia="Overlock" w:cs="Overlock" w:ascii="Cambria" w:hAnsi="Cambria"/>
                <w:sz w:val="24"/>
                <w:szCs w:val="24"/>
              </w:rPr>
              <w:t>Forest degradation</w:t>
            </w:r>
          </w:p>
        </w:tc>
        <w:tc>
          <w:tcPr>
            <w:tcW w:w="6667"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3,028,780 </w:t>
            </w:r>
          </w:p>
        </w:tc>
      </w:tr>
      <w:tr>
        <w:trPr>
          <w:trHeight w:val="300" w:hRule="atLeast"/>
        </w:trPr>
        <w:tc>
          <w:tcPr>
            <w:tcW w:w="2783" w:type="dxa"/>
            <w:tcBorders/>
            <w:vAlign w:val="bottom"/>
          </w:tcPr>
          <w:p>
            <w:pPr>
              <w:pStyle w:val="Normal"/>
              <w:rPr>
                <w:rFonts w:ascii="Cambria" w:hAnsi="Cambria"/>
              </w:rPr>
            </w:pPr>
            <w:r>
              <w:rPr>
                <w:rFonts w:eastAsia="Overlock" w:cs="Overlock" w:ascii="Cambria" w:hAnsi="Cambria"/>
                <w:sz w:val="24"/>
                <w:szCs w:val="24"/>
              </w:rPr>
              <w:t>From agroforestry</w:t>
            </w:r>
          </w:p>
        </w:tc>
        <w:tc>
          <w:tcPr>
            <w:tcW w:w="6667"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6,057,560 </w:t>
            </w:r>
          </w:p>
        </w:tc>
      </w:tr>
      <w:tr>
        <w:trPr>
          <w:trHeight w:val="315" w:hRule="atLeast"/>
        </w:trPr>
        <w:tc>
          <w:tcPr>
            <w:tcW w:w="2783" w:type="dxa"/>
            <w:tcBorders/>
            <w:vAlign w:val="bottom"/>
          </w:tcPr>
          <w:p>
            <w:pPr>
              <w:pStyle w:val="Normal"/>
              <w:rPr>
                <w:rFonts w:ascii="Cambria" w:hAnsi="Cambria"/>
              </w:rPr>
            </w:pPr>
            <w:r>
              <w:rPr>
                <w:rFonts w:eastAsia="Overlock" w:cs="Overlock" w:ascii="Cambria" w:hAnsi="Cambria"/>
                <w:sz w:val="24"/>
                <w:szCs w:val="24"/>
              </w:rPr>
              <w:t xml:space="preserve">From woodlands </w:t>
            </w:r>
          </w:p>
        </w:tc>
        <w:tc>
          <w:tcPr>
            <w:tcW w:w="6667"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10,095,934 </w:t>
            </w:r>
          </w:p>
        </w:tc>
      </w:tr>
      <w:tr>
        <w:trPr>
          <w:trHeight w:val="315" w:hRule="atLeast"/>
        </w:trPr>
        <w:tc>
          <w:tcPr>
            <w:tcW w:w="2783" w:type="dxa"/>
            <w:tcBorders/>
            <w:vAlign w:val="bottom"/>
          </w:tcPr>
          <w:p>
            <w:pPr>
              <w:pStyle w:val="Normal"/>
              <w:rPr>
                <w:rFonts w:ascii="Cambria" w:hAnsi="Cambria"/>
              </w:rPr>
            </w:pPr>
            <w:r>
              <w:rPr>
                <w:rFonts w:eastAsia="Overlock" w:cs="Overlock" w:ascii="Cambria" w:hAnsi="Cambria"/>
                <w:sz w:val="24"/>
                <w:szCs w:val="24"/>
              </w:rPr>
              <w:t xml:space="preserve">From plantation forests </w:t>
            </w:r>
          </w:p>
        </w:tc>
        <w:tc>
          <w:tcPr>
            <w:tcW w:w="6667"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744,323 </w:t>
            </w:r>
          </w:p>
        </w:tc>
      </w:tr>
      <w:tr>
        <w:trPr>
          <w:trHeight w:val="315" w:hRule="atLeast"/>
        </w:trPr>
        <w:tc>
          <w:tcPr>
            <w:tcW w:w="2783" w:type="dxa"/>
            <w:tcBorders/>
            <w:vAlign w:val="bottom"/>
          </w:tcPr>
          <w:p>
            <w:pPr>
              <w:pStyle w:val="Normal"/>
              <w:rPr>
                <w:rFonts w:ascii="Cambria" w:hAnsi="Cambria"/>
              </w:rPr>
            </w:pPr>
            <w:r>
              <w:rPr>
                <w:rFonts w:eastAsia="Overlock" w:cs="Overlock" w:ascii="Cambria" w:hAnsi="Cambria"/>
                <w:sz w:val="24"/>
                <w:szCs w:val="24"/>
              </w:rPr>
              <w:t xml:space="preserve">From private forests </w:t>
            </w:r>
          </w:p>
        </w:tc>
        <w:tc>
          <w:tcPr>
            <w:tcW w:w="6667" w:type="dxa"/>
            <w:tcBorders/>
          </w:tcPr>
          <w:p>
            <w:pPr>
              <w:pStyle w:val="Normal"/>
              <w:rPr>
                <w:rFonts w:ascii="Cambria" w:hAnsi="Cambria"/>
              </w:rPr>
            </w:pPr>
            <w:r>
              <w:rPr>
                <w:rFonts w:eastAsia="Overlock" w:cs="Overlock" w:ascii="Cambria" w:hAnsi="Cambria"/>
                <w:sz w:val="24"/>
                <w:szCs w:val="24"/>
              </w:rPr>
              <w:t xml:space="preserve"> </w:t>
            </w:r>
            <w:r>
              <w:rPr>
                <w:rFonts w:eastAsia="Overlock" w:cs="Overlock" w:ascii="Cambria" w:hAnsi="Cambria"/>
                <w:sz w:val="24"/>
                <w:szCs w:val="24"/>
              </w:rPr>
              <w:t xml:space="preserve">10,095,934 </w:t>
            </w:r>
          </w:p>
        </w:tc>
      </w:tr>
      <w:tr>
        <w:trPr>
          <w:trHeight w:val="324" w:hRule="atLeast"/>
        </w:trPr>
        <w:tc>
          <w:tcPr>
            <w:tcW w:w="2783" w:type="dxa"/>
            <w:tcBorders/>
            <w:vAlign w:val="bottom"/>
          </w:tcPr>
          <w:p>
            <w:pPr>
              <w:pStyle w:val="Normal"/>
              <w:rPr>
                <w:rFonts w:ascii="Cambria" w:hAnsi="Cambria"/>
              </w:rPr>
            </w:pPr>
            <w:r>
              <w:rPr>
                <w:rFonts w:eastAsia="Overlock" w:cs="Overlock" w:ascii="Cambria" w:hAnsi="Cambria"/>
                <w:b/>
                <w:bCs/>
                <w:sz w:val="24"/>
                <w:szCs w:val="24"/>
              </w:rPr>
              <w:t xml:space="preserve">Total </w:t>
            </w:r>
          </w:p>
        </w:tc>
        <w:tc>
          <w:tcPr>
            <w:tcW w:w="6667" w:type="dxa"/>
            <w:tcBorders/>
          </w:tcPr>
          <w:p>
            <w:pPr>
              <w:pStyle w:val="Normal"/>
              <w:rPr>
                <w:rFonts w:ascii="Cambria" w:hAnsi="Cambria"/>
              </w:rPr>
            </w:pPr>
            <w:r>
              <w:rPr>
                <w:rFonts w:eastAsia="Overlock" w:cs="Overlock" w:ascii="Cambria" w:hAnsi="Cambria"/>
                <w:b/>
                <w:bCs/>
                <w:sz w:val="24"/>
                <w:szCs w:val="24"/>
              </w:rPr>
              <w:t xml:space="preserve"> </w:t>
            </w:r>
            <w:r>
              <w:rPr>
                <w:rFonts w:eastAsia="Overlock" w:cs="Overlock" w:ascii="Cambria" w:hAnsi="Cambria"/>
                <w:b/>
                <w:bCs/>
                <w:sz w:val="24"/>
                <w:szCs w:val="24"/>
              </w:rPr>
              <w:t xml:space="preserve">34,060,905 </w:t>
            </w:r>
          </w:p>
        </w:tc>
      </w:tr>
    </w:tbl>
    <w:p>
      <w:pPr>
        <w:pStyle w:val="Normal"/>
        <w:rPr>
          <w:rFonts w:ascii="Cambria" w:hAnsi="Cambria"/>
        </w:rPr>
      </w:pPr>
      <w:r>
        <w:rPr>
          <w:rFonts w:ascii="Cambria" w:hAnsi="Cambria"/>
        </w:rPr>
      </w:r>
    </w:p>
    <w:p>
      <w:pPr>
        <w:pStyle w:val="Heading3"/>
        <w:rPr>
          <w:rFonts w:eastAsia="Overlock" w:cs="Overlock"/>
          <w:color w:val="000000"/>
        </w:rPr>
      </w:pPr>
      <w:bookmarkStart w:id="45" w:name="_heading=h.aw2v7zaay6se"/>
      <w:bookmarkEnd w:id="45"/>
      <w:r>
        <w:rPr>
          <w:rFonts w:eastAsia="Overlock" w:cs="Overlock" w:ascii="Cambria" w:hAnsi="Cambria"/>
          <w:color w:val="000000"/>
        </w:rPr>
        <w:t xml:space="preserve">3.3.4. Forests as Food sources </w:t>
      </w:r>
    </w:p>
    <w:p>
      <w:pPr>
        <w:pStyle w:val="Normal"/>
        <w:rPr>
          <w:rFonts w:ascii="Cambria" w:hAnsi="Cambria"/>
        </w:rPr>
      </w:pPr>
      <w:r>
        <w:rPr>
          <w:rFonts w:eastAsia="Overlock" w:cs="Overlock" w:ascii="Cambria" w:hAnsi="Cambria"/>
          <w:sz w:val="24"/>
          <w:szCs w:val="24"/>
        </w:rPr>
        <w:t>The forests of Kenya are a source of food resources. Under the Plantation and Livelihood Improvement scheme</w:t>
      </w:r>
      <w:r>
        <w:rPr>
          <w:rStyle w:val="FootnoteReference"/>
          <w:rFonts w:eastAsia="Overlock" w:cs="Overlock" w:ascii="Cambria" w:hAnsi="Cambria"/>
          <w:sz w:val="24"/>
          <w:szCs w:val="24"/>
          <w:vertAlign w:val="superscript"/>
        </w:rPr>
        <w:footnoteReference w:id="12"/>
      </w:r>
      <w:r>
        <w:rPr>
          <w:rFonts w:eastAsia="Overlock" w:cs="Overlock" w:ascii="Cambria" w:hAnsi="Cambria"/>
          <w:sz w:val="24"/>
          <w:szCs w:val="24"/>
        </w:rPr>
        <w:t>, farmers are allowed to farm in the forests and produce food while tending for the young seedlings that are established in commercial plantation areas</w:t>
      </w:r>
      <w:r>
        <w:rPr>
          <w:rFonts w:ascii="Cambria" w:hAnsi="Cambria"/>
        </w:rPr>
        <w:t xml:space="preserve">. </w:t>
      </w:r>
      <w:r>
        <w:rPr>
          <w:rFonts w:eastAsia="Overlock" w:cs="Overlock" w:ascii="Cambria" w:hAnsi="Cambria"/>
          <w:sz w:val="24"/>
          <w:szCs w:val="24"/>
        </w:rPr>
        <w:t xml:space="preserve">Table 10 shows that the forest estate accounts for domestic incomes of Kenya Shillings 182 – 430 million through farming of crops in forests. It is noted that this acounting is not exhaustive because a number of traditional vegetables, insects and other food products were not included in this analysis </w:t>
      </w:r>
    </w:p>
    <w:p>
      <w:pPr>
        <w:pStyle w:val="Normal"/>
        <w:rPr>
          <w:rFonts w:ascii="Cambria" w:hAnsi="Cambria" w:eastAsia="Overlock" w:cs="Overlock"/>
          <w:sz w:val="24"/>
          <w:szCs w:val="24"/>
        </w:rPr>
      </w:pPr>
      <w:r>
        <w:rPr>
          <w:rFonts w:eastAsia="Overlock" w:cs="Overlock" w:ascii="Cambria" w:hAnsi="Cambria"/>
          <w:sz w:val="24"/>
          <w:szCs w:val="24"/>
        </w:rPr>
      </w:r>
    </w:p>
    <w:p>
      <w:pPr>
        <w:pStyle w:val="Normal"/>
        <w:pBdr/>
        <w:spacing w:before="0" w:after="200"/>
        <w:rPr>
          <w:rFonts w:ascii="Cambria" w:hAnsi="Cambria"/>
        </w:rPr>
      </w:pPr>
      <w:bookmarkStart w:id="46" w:name="_heading=h.mdlba6z6oljc"/>
      <w:bookmarkEnd w:id="46"/>
      <w:r>
        <w:rPr>
          <w:rFonts w:ascii="Cambria" w:hAnsi="Cambria"/>
          <w:i/>
          <w:iCs/>
          <w:color w:val="1F497D"/>
          <w:sz w:val="24"/>
          <w:szCs w:val="24"/>
        </w:rPr>
        <w:t>Table 10: Estimated area and income related to food resources obtained from forests (2016-2024)</w:t>
      </w:r>
    </w:p>
    <w:tbl>
      <w:tblPr>
        <w:tblStyle w:val="af4"/>
        <w:tblW w:w="9449"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1775"/>
        <w:gridCol w:w="773"/>
        <w:gridCol w:w="773"/>
        <w:gridCol w:w="773"/>
        <w:gridCol w:w="773"/>
        <w:gridCol w:w="773"/>
        <w:gridCol w:w="773"/>
        <w:gridCol w:w="772"/>
        <w:gridCol w:w="773"/>
        <w:gridCol w:w="773"/>
        <w:gridCol w:w="718"/>
      </w:tblGrid>
      <w:tr>
        <w:trPr>
          <w:trHeight w:val="300" w:hRule="atLeast"/>
        </w:trPr>
        <w:tc>
          <w:tcPr>
            <w:tcW w:w="1775" w:type="dxa"/>
            <w:vMerge w:val="restart"/>
            <w:tcBorders/>
          </w:tcPr>
          <w:p>
            <w:pPr>
              <w:pStyle w:val="Normal"/>
              <w:rPr>
                <w:rFonts w:ascii="Cambria" w:hAnsi="Cambria"/>
              </w:rPr>
            </w:pPr>
            <w:r>
              <w:rPr>
                <w:rFonts w:eastAsia="Times New Roman" w:cs="Times New Roman" w:ascii="Cambria" w:hAnsi="Cambria"/>
                <w:sz w:val="20"/>
                <w:szCs w:val="20"/>
              </w:rPr>
              <w:t>Types of food</w:t>
            </w:r>
          </w:p>
        </w:tc>
        <w:tc>
          <w:tcPr>
            <w:tcW w:w="7674" w:type="dxa"/>
            <w:gridSpan w:val="10"/>
            <w:tcBorders/>
          </w:tcPr>
          <w:p>
            <w:pPr>
              <w:pStyle w:val="Normal"/>
              <w:jc w:val="center"/>
              <w:rPr>
                <w:rFonts w:ascii="Cambria" w:hAnsi="Cambria"/>
              </w:rPr>
            </w:pPr>
            <w:r>
              <w:rPr>
                <w:rFonts w:eastAsia="Calibri" w:cs="Calibri" w:ascii="Cambria" w:hAnsi="Cambria"/>
                <w:color w:val="000000"/>
                <w:sz w:val="20"/>
                <w:szCs w:val="20"/>
              </w:rPr>
              <w:t>Area (ha) supporting production of different types of foods in forests</w:t>
            </w:r>
          </w:p>
        </w:tc>
      </w:tr>
      <w:tr>
        <w:trPr>
          <w:trHeight w:val="300" w:hRule="atLeast"/>
        </w:trPr>
        <w:tc>
          <w:tcPr>
            <w:tcW w:w="1775" w:type="dxa"/>
            <w:vMerge w:val="continue"/>
            <w:tcBorders/>
          </w:tcPr>
          <w:p>
            <w:pPr>
              <w:pStyle w:val="Normal"/>
              <w:widowControl w:val="false"/>
              <w:pBdr/>
              <w:spacing w:lineRule="auto" w:line="276"/>
              <w:jc w:val="start"/>
              <w:rPr>
                <w:rFonts w:ascii="Cambria" w:hAnsi="Cambria" w:eastAsia="Calibri" w:cs="Calibri"/>
                <w:color w:val="000000"/>
                <w:sz w:val="20"/>
                <w:szCs w:val="20"/>
              </w:rPr>
            </w:pPr>
            <w:r>
              <w:rPr>
                <w:rFonts w:eastAsia="Calibri" w:cs="Calibri" w:ascii="Cambria" w:hAnsi="Cambria"/>
                <w:color w:val="000000"/>
                <w:sz w:val="20"/>
                <w:szCs w:val="20"/>
              </w:rPr>
            </w:r>
          </w:p>
        </w:tc>
        <w:tc>
          <w:tcPr>
            <w:tcW w:w="773" w:type="dxa"/>
            <w:tcBorders/>
          </w:tcPr>
          <w:p>
            <w:pPr>
              <w:pStyle w:val="Normal"/>
              <w:rPr>
                <w:rFonts w:ascii="Cambria" w:hAnsi="Cambria"/>
              </w:rPr>
            </w:pPr>
            <w:r>
              <w:rPr>
                <w:rFonts w:eastAsia="Calibri" w:cs="Calibri" w:ascii="Cambria" w:hAnsi="Cambria"/>
                <w:color w:val="000000"/>
                <w:sz w:val="20"/>
                <w:szCs w:val="20"/>
              </w:rPr>
              <w:t>2015</w:t>
            </w:r>
          </w:p>
        </w:tc>
        <w:tc>
          <w:tcPr>
            <w:tcW w:w="773" w:type="dxa"/>
            <w:tcBorders/>
          </w:tcPr>
          <w:p>
            <w:pPr>
              <w:pStyle w:val="Normal"/>
              <w:rPr>
                <w:rFonts w:ascii="Cambria" w:hAnsi="Cambria"/>
              </w:rPr>
            </w:pPr>
            <w:r>
              <w:rPr>
                <w:rFonts w:eastAsia="Calibri" w:cs="Calibri" w:ascii="Cambria" w:hAnsi="Cambria"/>
                <w:color w:val="000000"/>
                <w:sz w:val="20"/>
                <w:szCs w:val="20"/>
              </w:rPr>
              <w:t>2016</w:t>
            </w:r>
          </w:p>
        </w:tc>
        <w:tc>
          <w:tcPr>
            <w:tcW w:w="773" w:type="dxa"/>
            <w:tcBorders/>
          </w:tcPr>
          <w:p>
            <w:pPr>
              <w:pStyle w:val="Normal"/>
              <w:rPr>
                <w:rFonts w:ascii="Cambria" w:hAnsi="Cambria"/>
              </w:rPr>
            </w:pPr>
            <w:r>
              <w:rPr>
                <w:rFonts w:eastAsia="Calibri" w:cs="Calibri" w:ascii="Cambria" w:hAnsi="Cambria"/>
                <w:color w:val="000000"/>
                <w:sz w:val="20"/>
                <w:szCs w:val="20"/>
              </w:rPr>
              <w:t>2017</w:t>
            </w:r>
          </w:p>
        </w:tc>
        <w:tc>
          <w:tcPr>
            <w:tcW w:w="773" w:type="dxa"/>
            <w:tcBorders/>
          </w:tcPr>
          <w:p>
            <w:pPr>
              <w:pStyle w:val="Normal"/>
              <w:rPr>
                <w:rFonts w:ascii="Cambria" w:hAnsi="Cambria"/>
              </w:rPr>
            </w:pPr>
            <w:r>
              <w:rPr>
                <w:rFonts w:eastAsia="Calibri" w:cs="Calibri" w:ascii="Cambria" w:hAnsi="Cambria"/>
                <w:color w:val="000000"/>
                <w:sz w:val="20"/>
                <w:szCs w:val="20"/>
              </w:rPr>
              <w:t>2018</w:t>
            </w:r>
          </w:p>
        </w:tc>
        <w:tc>
          <w:tcPr>
            <w:tcW w:w="773" w:type="dxa"/>
            <w:tcBorders/>
          </w:tcPr>
          <w:p>
            <w:pPr>
              <w:pStyle w:val="Normal"/>
              <w:rPr>
                <w:rFonts w:ascii="Cambria" w:hAnsi="Cambria"/>
              </w:rPr>
            </w:pPr>
            <w:r>
              <w:rPr>
                <w:rFonts w:eastAsia="Calibri" w:cs="Calibri" w:ascii="Cambria" w:hAnsi="Cambria"/>
                <w:color w:val="000000"/>
                <w:sz w:val="20"/>
                <w:szCs w:val="20"/>
              </w:rPr>
              <w:t>2019</w:t>
            </w:r>
          </w:p>
        </w:tc>
        <w:tc>
          <w:tcPr>
            <w:tcW w:w="773" w:type="dxa"/>
            <w:tcBorders/>
          </w:tcPr>
          <w:p>
            <w:pPr>
              <w:pStyle w:val="Normal"/>
              <w:rPr>
                <w:rFonts w:ascii="Cambria" w:hAnsi="Cambria"/>
              </w:rPr>
            </w:pPr>
            <w:r>
              <w:rPr>
                <w:rFonts w:eastAsia="Calibri" w:cs="Calibri" w:ascii="Cambria" w:hAnsi="Cambria"/>
                <w:color w:val="000000"/>
                <w:sz w:val="20"/>
                <w:szCs w:val="20"/>
              </w:rPr>
              <w:t>2020</w:t>
            </w:r>
          </w:p>
        </w:tc>
        <w:tc>
          <w:tcPr>
            <w:tcW w:w="772" w:type="dxa"/>
            <w:tcBorders/>
          </w:tcPr>
          <w:p>
            <w:pPr>
              <w:pStyle w:val="Normal"/>
              <w:rPr>
                <w:rFonts w:ascii="Cambria" w:hAnsi="Cambria"/>
              </w:rPr>
            </w:pPr>
            <w:r>
              <w:rPr>
                <w:rFonts w:eastAsia="Calibri" w:cs="Calibri" w:ascii="Cambria" w:hAnsi="Cambria"/>
                <w:color w:val="000000"/>
                <w:sz w:val="20"/>
                <w:szCs w:val="20"/>
              </w:rPr>
              <w:t>2021</w:t>
            </w:r>
          </w:p>
        </w:tc>
        <w:tc>
          <w:tcPr>
            <w:tcW w:w="773" w:type="dxa"/>
            <w:tcBorders/>
          </w:tcPr>
          <w:p>
            <w:pPr>
              <w:pStyle w:val="Normal"/>
              <w:rPr>
                <w:rFonts w:ascii="Cambria" w:hAnsi="Cambria"/>
              </w:rPr>
            </w:pPr>
            <w:r>
              <w:rPr>
                <w:rFonts w:eastAsia="Calibri" w:cs="Calibri" w:ascii="Cambria" w:hAnsi="Cambria"/>
                <w:color w:val="000000"/>
                <w:sz w:val="20"/>
                <w:szCs w:val="20"/>
              </w:rPr>
              <w:t>2022</w:t>
            </w:r>
          </w:p>
        </w:tc>
        <w:tc>
          <w:tcPr>
            <w:tcW w:w="773" w:type="dxa"/>
            <w:tcBorders/>
          </w:tcPr>
          <w:p>
            <w:pPr>
              <w:pStyle w:val="Normal"/>
              <w:rPr>
                <w:rFonts w:ascii="Cambria" w:hAnsi="Cambria"/>
              </w:rPr>
            </w:pPr>
            <w:r>
              <w:rPr>
                <w:rFonts w:eastAsia="Calibri" w:cs="Calibri" w:ascii="Cambria" w:hAnsi="Cambria"/>
                <w:color w:val="000000"/>
                <w:sz w:val="20"/>
                <w:szCs w:val="20"/>
              </w:rPr>
              <w:t>2023</w:t>
            </w:r>
          </w:p>
        </w:tc>
        <w:tc>
          <w:tcPr>
            <w:tcW w:w="718" w:type="dxa"/>
            <w:tcBorders/>
          </w:tcPr>
          <w:p>
            <w:pPr>
              <w:pStyle w:val="Normal"/>
              <w:rPr>
                <w:rFonts w:ascii="Cambria" w:hAnsi="Cambria"/>
              </w:rPr>
            </w:pPr>
            <w:r>
              <w:rPr>
                <w:rFonts w:eastAsia="Calibri" w:cs="Calibri" w:ascii="Cambria" w:hAnsi="Cambria"/>
                <w:color w:val="000000"/>
                <w:sz w:val="20"/>
                <w:szCs w:val="20"/>
              </w:rPr>
              <w:t>2024</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Maize</w:t>
            </w:r>
          </w:p>
        </w:tc>
        <w:tc>
          <w:tcPr>
            <w:tcW w:w="773" w:type="dxa"/>
            <w:tcBorders/>
          </w:tcPr>
          <w:p>
            <w:pPr>
              <w:pStyle w:val="Normal"/>
              <w:rPr>
                <w:rFonts w:ascii="Cambria" w:hAnsi="Cambria"/>
              </w:rPr>
            </w:pPr>
            <w:r>
              <w:rPr>
                <w:rFonts w:ascii="Cambria" w:hAnsi="Cambria"/>
                <w:sz w:val="20"/>
                <w:szCs w:val="20"/>
              </w:rPr>
              <w:t xml:space="preserve">3,910 </w:t>
            </w:r>
          </w:p>
        </w:tc>
        <w:tc>
          <w:tcPr>
            <w:tcW w:w="773" w:type="dxa"/>
            <w:tcBorders/>
          </w:tcPr>
          <w:p>
            <w:pPr>
              <w:pStyle w:val="Normal"/>
              <w:rPr>
                <w:rFonts w:ascii="Cambria" w:hAnsi="Cambria"/>
              </w:rPr>
            </w:pPr>
            <w:r>
              <w:rPr>
                <w:rFonts w:ascii="Cambria" w:hAnsi="Cambria"/>
                <w:sz w:val="20"/>
                <w:szCs w:val="20"/>
              </w:rPr>
              <w:t xml:space="preserve">3,814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4,483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4,483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3,814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2,859 </w:t>
            </w:r>
          </w:p>
        </w:tc>
        <w:tc>
          <w:tcPr>
            <w:tcW w:w="772"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2,382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1,427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1,427 </w:t>
            </w:r>
          </w:p>
        </w:tc>
        <w:tc>
          <w:tcPr>
            <w:tcW w:w="718" w:type="dxa"/>
            <w:tcBorders/>
          </w:tcPr>
          <w:p>
            <w:pPr>
              <w:pStyle w:val="Normal"/>
              <w:rPr>
                <w:rFonts w:ascii="Cambria" w:hAnsi="Cambria"/>
              </w:rPr>
            </w:pPr>
            <w:r>
              <w:rPr>
                <w:rFonts w:ascii="Cambria" w:hAnsi="Cambria"/>
                <w:sz w:val="20"/>
                <w:szCs w:val="20"/>
              </w:rPr>
              <w:t xml:space="preserve">1,427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potatoes</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1,564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1,526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1,793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1,793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1,526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1,144 </w:t>
            </w:r>
          </w:p>
        </w:tc>
        <w:tc>
          <w:tcPr>
            <w:tcW w:w="772"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953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571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571 </w:t>
            </w:r>
          </w:p>
        </w:tc>
        <w:tc>
          <w:tcPr>
            <w:tcW w:w="718"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571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Cabagae and Kales</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1,564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1,526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1,793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1,793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1,526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1,144 </w:t>
            </w:r>
          </w:p>
        </w:tc>
        <w:tc>
          <w:tcPr>
            <w:tcW w:w="772"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953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571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571 </w:t>
            </w:r>
          </w:p>
        </w:tc>
        <w:tc>
          <w:tcPr>
            <w:tcW w:w="718"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571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Peas</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763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897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897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763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572 </w:t>
            </w:r>
          </w:p>
        </w:tc>
        <w:tc>
          <w:tcPr>
            <w:tcW w:w="772"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476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285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285 </w:t>
            </w:r>
          </w:p>
        </w:tc>
        <w:tc>
          <w:tcPr>
            <w:tcW w:w="718"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285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 xml:space="preserve">others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2"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73"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c>
          <w:tcPr>
            <w:tcW w:w="718" w:type="dxa"/>
            <w:tcBorders/>
          </w:tcPr>
          <w:p>
            <w:pPr>
              <w:pStyle w:val="Normal"/>
              <w:rPr>
                <w:rFonts w:ascii="Cambria" w:hAnsi="Cambria"/>
              </w:rPr>
            </w:pPr>
            <w:r>
              <w:rPr>
                <w:rFonts w:ascii="Cambria" w:hAnsi="Cambria"/>
                <w:sz w:val="20"/>
                <w:szCs w:val="20"/>
              </w:rPr>
              <w:t xml:space="preserve"> </w:t>
            </w:r>
            <w:r>
              <w:rPr>
                <w:rFonts w:ascii="Cambria" w:hAnsi="Cambria"/>
                <w:sz w:val="20"/>
                <w:szCs w:val="20"/>
              </w:rPr>
              <w:t xml:space="preserve">782 </w:t>
            </w:r>
          </w:p>
        </w:tc>
      </w:tr>
      <w:tr>
        <w:trPr>
          <w:trHeight w:val="300" w:hRule="atLeast"/>
        </w:trPr>
        <w:tc>
          <w:tcPr>
            <w:tcW w:w="1775" w:type="dxa"/>
            <w:tcBorders/>
          </w:tcPr>
          <w:p>
            <w:pPr>
              <w:pStyle w:val="Normal"/>
              <w:rPr>
                <w:rFonts w:ascii="Cambria" w:hAnsi="Cambria"/>
              </w:rPr>
            </w:pPr>
            <w:r>
              <w:rPr>
                <w:rFonts w:eastAsia="Calibri" w:cs="Calibri" w:ascii="Cambria" w:hAnsi="Cambria"/>
                <w:b/>
                <w:bCs/>
                <w:color w:val="000000"/>
                <w:sz w:val="18"/>
                <w:szCs w:val="18"/>
              </w:rPr>
              <w:t>Total</w:t>
            </w:r>
          </w:p>
        </w:tc>
        <w:tc>
          <w:tcPr>
            <w:tcW w:w="773" w:type="dxa"/>
            <w:tcBorders/>
          </w:tcPr>
          <w:p>
            <w:pPr>
              <w:pStyle w:val="Normal"/>
              <w:rPr>
                <w:rFonts w:ascii="Cambria" w:hAnsi="Cambria"/>
              </w:rPr>
            </w:pPr>
            <w:r>
              <w:rPr>
                <w:rFonts w:ascii="Cambria" w:hAnsi="Cambria"/>
                <w:b/>
                <w:bCs/>
                <w:sz w:val="18"/>
                <w:szCs w:val="18"/>
              </w:rPr>
              <w:t xml:space="preserve">8,601 </w:t>
            </w:r>
          </w:p>
        </w:tc>
        <w:tc>
          <w:tcPr>
            <w:tcW w:w="773" w:type="dxa"/>
            <w:tcBorders/>
          </w:tcPr>
          <w:p>
            <w:pPr>
              <w:pStyle w:val="Normal"/>
              <w:rPr>
                <w:rFonts w:ascii="Cambria" w:hAnsi="Cambria"/>
              </w:rPr>
            </w:pPr>
            <w:r>
              <w:rPr>
                <w:rFonts w:ascii="Cambria" w:hAnsi="Cambria"/>
                <w:b/>
                <w:bCs/>
                <w:sz w:val="18"/>
                <w:szCs w:val="18"/>
              </w:rPr>
              <w:t xml:space="preserve">8,410 </w:t>
            </w:r>
          </w:p>
        </w:tc>
        <w:tc>
          <w:tcPr>
            <w:tcW w:w="773" w:type="dxa"/>
            <w:tcBorders/>
          </w:tcPr>
          <w:p>
            <w:pPr>
              <w:pStyle w:val="Normal"/>
              <w:rPr>
                <w:rFonts w:ascii="Cambria" w:hAnsi="Cambria"/>
              </w:rPr>
            </w:pPr>
            <w:r>
              <w:rPr>
                <w:rFonts w:ascii="Cambria" w:hAnsi="Cambria"/>
                <w:b/>
                <w:bCs/>
                <w:sz w:val="18"/>
                <w:szCs w:val="18"/>
              </w:rPr>
              <w:t xml:space="preserve">9,747 </w:t>
            </w:r>
          </w:p>
        </w:tc>
        <w:tc>
          <w:tcPr>
            <w:tcW w:w="773" w:type="dxa"/>
            <w:tcBorders/>
          </w:tcPr>
          <w:p>
            <w:pPr>
              <w:pStyle w:val="Normal"/>
              <w:rPr>
                <w:rFonts w:ascii="Cambria" w:hAnsi="Cambria"/>
              </w:rPr>
            </w:pPr>
            <w:r>
              <w:rPr>
                <w:rFonts w:ascii="Cambria" w:hAnsi="Cambria"/>
                <w:b/>
                <w:bCs/>
                <w:sz w:val="18"/>
                <w:szCs w:val="18"/>
              </w:rPr>
              <w:t xml:space="preserve">9,747 </w:t>
            </w:r>
          </w:p>
        </w:tc>
        <w:tc>
          <w:tcPr>
            <w:tcW w:w="773" w:type="dxa"/>
            <w:tcBorders/>
          </w:tcPr>
          <w:p>
            <w:pPr>
              <w:pStyle w:val="Normal"/>
              <w:rPr>
                <w:rFonts w:ascii="Cambria" w:hAnsi="Cambria"/>
              </w:rPr>
            </w:pPr>
            <w:r>
              <w:rPr>
                <w:rFonts w:ascii="Cambria" w:hAnsi="Cambria"/>
                <w:b/>
                <w:bCs/>
                <w:sz w:val="18"/>
                <w:szCs w:val="18"/>
              </w:rPr>
              <w:t xml:space="preserve">8,410 </w:t>
            </w:r>
          </w:p>
        </w:tc>
        <w:tc>
          <w:tcPr>
            <w:tcW w:w="773" w:type="dxa"/>
            <w:tcBorders/>
          </w:tcPr>
          <w:p>
            <w:pPr>
              <w:pStyle w:val="Normal"/>
              <w:rPr>
                <w:rFonts w:ascii="Cambria" w:hAnsi="Cambria"/>
              </w:rPr>
            </w:pPr>
            <w:r>
              <w:rPr>
                <w:rFonts w:ascii="Cambria" w:hAnsi="Cambria"/>
                <w:b/>
                <w:bCs/>
                <w:sz w:val="18"/>
                <w:szCs w:val="18"/>
              </w:rPr>
              <w:t xml:space="preserve">6,500 </w:t>
            </w:r>
          </w:p>
        </w:tc>
        <w:tc>
          <w:tcPr>
            <w:tcW w:w="772" w:type="dxa"/>
            <w:tcBorders/>
          </w:tcPr>
          <w:p>
            <w:pPr>
              <w:pStyle w:val="Normal"/>
              <w:rPr>
                <w:rFonts w:ascii="Cambria" w:hAnsi="Cambria"/>
              </w:rPr>
            </w:pPr>
            <w:r>
              <w:rPr>
                <w:rFonts w:ascii="Cambria" w:hAnsi="Cambria"/>
                <w:b/>
                <w:bCs/>
                <w:sz w:val="18"/>
                <w:szCs w:val="18"/>
              </w:rPr>
              <w:t xml:space="preserve">5,545 </w:t>
            </w:r>
          </w:p>
        </w:tc>
        <w:tc>
          <w:tcPr>
            <w:tcW w:w="773" w:type="dxa"/>
            <w:tcBorders/>
          </w:tcPr>
          <w:p>
            <w:pPr>
              <w:pStyle w:val="Normal"/>
              <w:rPr>
                <w:rFonts w:ascii="Cambria" w:hAnsi="Cambria"/>
              </w:rPr>
            </w:pPr>
            <w:r>
              <w:rPr>
                <w:rFonts w:ascii="Cambria" w:hAnsi="Cambria"/>
                <w:b/>
                <w:bCs/>
                <w:sz w:val="18"/>
                <w:szCs w:val="18"/>
              </w:rPr>
              <w:t xml:space="preserve">3,636 </w:t>
            </w:r>
          </w:p>
        </w:tc>
        <w:tc>
          <w:tcPr>
            <w:tcW w:w="773" w:type="dxa"/>
            <w:tcBorders/>
          </w:tcPr>
          <w:p>
            <w:pPr>
              <w:pStyle w:val="Normal"/>
              <w:rPr>
                <w:rFonts w:ascii="Cambria" w:hAnsi="Cambria"/>
              </w:rPr>
            </w:pPr>
            <w:r>
              <w:rPr>
                <w:rFonts w:ascii="Cambria" w:hAnsi="Cambria"/>
                <w:b/>
                <w:bCs/>
                <w:sz w:val="18"/>
                <w:szCs w:val="18"/>
              </w:rPr>
              <w:t xml:space="preserve">3,636 </w:t>
            </w:r>
          </w:p>
        </w:tc>
        <w:tc>
          <w:tcPr>
            <w:tcW w:w="718" w:type="dxa"/>
            <w:tcBorders/>
          </w:tcPr>
          <w:p>
            <w:pPr>
              <w:pStyle w:val="Normal"/>
              <w:rPr>
                <w:rFonts w:ascii="Cambria" w:hAnsi="Cambria"/>
              </w:rPr>
            </w:pPr>
            <w:r>
              <w:rPr>
                <w:rFonts w:ascii="Cambria" w:hAnsi="Cambria"/>
                <w:b/>
                <w:bCs/>
                <w:sz w:val="18"/>
                <w:szCs w:val="18"/>
              </w:rPr>
              <w:t>3,636</w:t>
            </w:r>
          </w:p>
        </w:tc>
      </w:tr>
      <w:tr>
        <w:trPr>
          <w:trHeight w:val="300" w:hRule="atLeast"/>
        </w:trPr>
        <w:tc>
          <w:tcPr>
            <w:tcW w:w="1775" w:type="dxa"/>
            <w:tcBorders/>
          </w:tcPr>
          <w:p>
            <w:pPr>
              <w:pStyle w:val="Normal"/>
              <w:rPr>
                <w:rFonts w:ascii="Cambria" w:hAnsi="Cambria" w:eastAsia="Calibri" w:cs="Calibri"/>
                <w:color w:val="000000"/>
                <w:sz w:val="20"/>
                <w:szCs w:val="20"/>
              </w:rPr>
            </w:pPr>
            <w:r>
              <w:rPr>
                <w:rFonts w:eastAsia="Calibri" w:cs="Calibri" w:ascii="Cambria" w:hAnsi="Cambria"/>
                <w:color w:val="000000"/>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72" w:type="dxa"/>
            <w:tcBorders/>
          </w:tcPr>
          <w:p>
            <w:pPr>
              <w:pStyle w:val="Normal"/>
              <w:rPr>
                <w:rFonts w:ascii="Cambria" w:hAnsi="Cambria"/>
                <w:sz w:val="20"/>
                <w:szCs w:val="20"/>
              </w:rPr>
            </w:pPr>
            <w:r>
              <w:rPr>
                <w:rFonts w:ascii="Cambria" w:hAnsi="Cambria"/>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73" w:type="dxa"/>
            <w:tcBorders/>
          </w:tcPr>
          <w:p>
            <w:pPr>
              <w:pStyle w:val="Normal"/>
              <w:rPr>
                <w:rFonts w:ascii="Cambria" w:hAnsi="Cambria"/>
                <w:sz w:val="20"/>
                <w:szCs w:val="20"/>
              </w:rPr>
            </w:pPr>
            <w:r>
              <w:rPr>
                <w:rFonts w:ascii="Cambria" w:hAnsi="Cambria"/>
                <w:sz w:val="20"/>
                <w:szCs w:val="20"/>
              </w:rPr>
            </w:r>
          </w:p>
        </w:tc>
        <w:tc>
          <w:tcPr>
            <w:tcW w:w="718" w:type="dxa"/>
            <w:tcBorders/>
          </w:tcPr>
          <w:p>
            <w:pPr>
              <w:pStyle w:val="Normal"/>
              <w:rPr>
                <w:rFonts w:ascii="Cambria" w:hAnsi="Cambria"/>
                <w:sz w:val="20"/>
                <w:szCs w:val="20"/>
              </w:rPr>
            </w:pPr>
            <w:r>
              <w:rPr>
                <w:rFonts w:ascii="Cambria" w:hAnsi="Cambria"/>
                <w:sz w:val="20"/>
                <w:szCs w:val="20"/>
              </w:rPr>
            </w:r>
          </w:p>
        </w:tc>
      </w:tr>
      <w:tr>
        <w:trPr>
          <w:trHeight w:val="300" w:hRule="atLeast"/>
        </w:trPr>
        <w:tc>
          <w:tcPr>
            <w:tcW w:w="1775" w:type="dxa"/>
            <w:tcBorders/>
          </w:tcPr>
          <w:p>
            <w:pPr>
              <w:pStyle w:val="Normal"/>
              <w:rPr>
                <w:rFonts w:ascii="Cambria" w:hAnsi="Cambria" w:eastAsia="Calibri" w:cs="Calibri"/>
                <w:color w:val="000000"/>
                <w:sz w:val="20"/>
                <w:szCs w:val="20"/>
              </w:rPr>
            </w:pPr>
            <w:r>
              <w:rPr>
                <w:rFonts w:eastAsia="Calibri" w:cs="Calibri" w:ascii="Cambria" w:hAnsi="Cambria"/>
                <w:color w:val="000000"/>
                <w:sz w:val="20"/>
                <w:szCs w:val="20"/>
              </w:rPr>
            </w:r>
          </w:p>
        </w:tc>
        <w:tc>
          <w:tcPr>
            <w:tcW w:w="7674" w:type="dxa"/>
            <w:gridSpan w:val="10"/>
            <w:tcBorders/>
          </w:tcPr>
          <w:p>
            <w:pPr>
              <w:pStyle w:val="Normal"/>
              <w:rPr>
                <w:rFonts w:ascii="Cambria" w:hAnsi="Cambria"/>
              </w:rPr>
            </w:pPr>
            <w:r>
              <w:rPr>
                <w:rFonts w:ascii="Cambria" w:hAnsi="Cambria"/>
                <w:sz w:val="20"/>
                <w:szCs w:val="20"/>
              </w:rPr>
              <w:t>Income (K.sh in millions) from food resources obtained in forests</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Maize</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195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191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224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224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191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143 </w:t>
            </w:r>
          </w:p>
        </w:tc>
        <w:tc>
          <w:tcPr>
            <w:tcW w:w="772" w:type="dxa"/>
            <w:tcBorders/>
          </w:tcPr>
          <w:p>
            <w:pPr>
              <w:pStyle w:val="Normal"/>
              <w:rPr>
                <w:rFonts w:ascii="Cambria" w:hAnsi="Cambria"/>
              </w:rPr>
            </w:pPr>
            <w:r>
              <w:rPr>
                <w:rFonts w:ascii="Cambria" w:hAnsi="Cambria"/>
              </w:rPr>
              <w:t xml:space="preserve"> </w:t>
            </w:r>
            <w:r>
              <w:rPr>
                <w:rFonts w:ascii="Cambria" w:hAnsi="Cambria"/>
              </w:rPr>
              <w:t xml:space="preserve">119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71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71 </w:t>
            </w:r>
          </w:p>
        </w:tc>
        <w:tc>
          <w:tcPr>
            <w:tcW w:w="718" w:type="dxa"/>
            <w:tcBorders/>
          </w:tcPr>
          <w:p>
            <w:pPr>
              <w:pStyle w:val="Normal"/>
              <w:rPr>
                <w:rFonts w:ascii="Cambria" w:hAnsi="Cambria"/>
              </w:rPr>
            </w:pPr>
            <w:r>
              <w:rPr>
                <w:rFonts w:ascii="Cambria" w:hAnsi="Cambria"/>
              </w:rPr>
              <w:t xml:space="preserve"> </w:t>
            </w:r>
            <w:r>
              <w:rPr>
                <w:rFonts w:ascii="Cambria" w:hAnsi="Cambria"/>
              </w:rPr>
              <w:t xml:space="preserve">71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potatoes</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78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76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90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90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76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57 </w:t>
            </w:r>
          </w:p>
        </w:tc>
        <w:tc>
          <w:tcPr>
            <w:tcW w:w="772" w:type="dxa"/>
            <w:tcBorders/>
          </w:tcPr>
          <w:p>
            <w:pPr>
              <w:pStyle w:val="Normal"/>
              <w:rPr>
                <w:rFonts w:ascii="Cambria" w:hAnsi="Cambria"/>
              </w:rPr>
            </w:pPr>
            <w:r>
              <w:rPr>
                <w:rFonts w:ascii="Cambria" w:hAnsi="Cambria"/>
              </w:rPr>
              <w:t xml:space="preserve"> </w:t>
            </w:r>
            <w:r>
              <w:rPr>
                <w:rFonts w:ascii="Cambria" w:hAnsi="Cambria"/>
              </w:rPr>
              <w:t xml:space="preserve">48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29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29 </w:t>
            </w:r>
          </w:p>
        </w:tc>
        <w:tc>
          <w:tcPr>
            <w:tcW w:w="718" w:type="dxa"/>
            <w:tcBorders/>
          </w:tcPr>
          <w:p>
            <w:pPr>
              <w:pStyle w:val="Normal"/>
              <w:rPr>
                <w:rFonts w:ascii="Cambria" w:hAnsi="Cambria"/>
              </w:rPr>
            </w:pPr>
            <w:r>
              <w:rPr>
                <w:rFonts w:ascii="Cambria" w:hAnsi="Cambria"/>
              </w:rPr>
              <w:t xml:space="preserve"> </w:t>
            </w:r>
            <w:r>
              <w:rPr>
                <w:rFonts w:ascii="Cambria" w:hAnsi="Cambria"/>
              </w:rPr>
              <w:t xml:space="preserve">29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Cabagae and Kales</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78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76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90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90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76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57 </w:t>
            </w:r>
          </w:p>
        </w:tc>
        <w:tc>
          <w:tcPr>
            <w:tcW w:w="772" w:type="dxa"/>
            <w:tcBorders/>
          </w:tcPr>
          <w:p>
            <w:pPr>
              <w:pStyle w:val="Normal"/>
              <w:rPr>
                <w:rFonts w:ascii="Cambria" w:hAnsi="Cambria"/>
              </w:rPr>
            </w:pPr>
            <w:r>
              <w:rPr>
                <w:rFonts w:ascii="Cambria" w:hAnsi="Cambria"/>
              </w:rPr>
              <w:t xml:space="preserve"> </w:t>
            </w:r>
            <w:r>
              <w:rPr>
                <w:rFonts w:ascii="Cambria" w:hAnsi="Cambria"/>
              </w:rPr>
              <w:t xml:space="preserve">48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29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29 </w:t>
            </w:r>
          </w:p>
        </w:tc>
        <w:tc>
          <w:tcPr>
            <w:tcW w:w="718" w:type="dxa"/>
            <w:tcBorders/>
          </w:tcPr>
          <w:p>
            <w:pPr>
              <w:pStyle w:val="Normal"/>
              <w:rPr>
                <w:rFonts w:ascii="Cambria" w:hAnsi="Cambria"/>
              </w:rPr>
            </w:pPr>
            <w:r>
              <w:rPr>
                <w:rFonts w:ascii="Cambria" w:hAnsi="Cambria"/>
              </w:rPr>
              <w:t xml:space="preserve"> </w:t>
            </w:r>
            <w:r>
              <w:rPr>
                <w:rFonts w:ascii="Cambria" w:hAnsi="Cambria"/>
              </w:rPr>
              <w:t xml:space="preserve">29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Peas</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38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45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45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38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29 </w:t>
            </w:r>
          </w:p>
        </w:tc>
        <w:tc>
          <w:tcPr>
            <w:tcW w:w="772" w:type="dxa"/>
            <w:tcBorders/>
          </w:tcPr>
          <w:p>
            <w:pPr>
              <w:pStyle w:val="Normal"/>
              <w:rPr>
                <w:rFonts w:ascii="Cambria" w:hAnsi="Cambria"/>
              </w:rPr>
            </w:pPr>
            <w:r>
              <w:rPr>
                <w:rFonts w:ascii="Cambria" w:hAnsi="Cambria"/>
              </w:rPr>
              <w:t xml:space="preserve"> </w:t>
            </w:r>
            <w:r>
              <w:rPr>
                <w:rFonts w:ascii="Cambria" w:hAnsi="Cambria"/>
              </w:rPr>
              <w:t xml:space="preserve">24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14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14 </w:t>
            </w:r>
          </w:p>
        </w:tc>
        <w:tc>
          <w:tcPr>
            <w:tcW w:w="718" w:type="dxa"/>
            <w:tcBorders/>
          </w:tcPr>
          <w:p>
            <w:pPr>
              <w:pStyle w:val="Normal"/>
              <w:rPr>
                <w:rFonts w:ascii="Cambria" w:hAnsi="Cambria"/>
              </w:rPr>
            </w:pPr>
            <w:r>
              <w:rPr>
                <w:rFonts w:ascii="Cambria" w:hAnsi="Cambria"/>
              </w:rPr>
              <w:t xml:space="preserve"> </w:t>
            </w:r>
            <w:r>
              <w:rPr>
                <w:rFonts w:ascii="Cambria" w:hAnsi="Cambria"/>
              </w:rPr>
              <w:t xml:space="preserve">14 </w:t>
            </w:r>
          </w:p>
        </w:tc>
      </w:tr>
      <w:tr>
        <w:trPr>
          <w:trHeight w:val="300" w:hRule="atLeast"/>
        </w:trPr>
        <w:tc>
          <w:tcPr>
            <w:tcW w:w="1775" w:type="dxa"/>
            <w:tcBorders/>
          </w:tcPr>
          <w:p>
            <w:pPr>
              <w:pStyle w:val="Normal"/>
              <w:rPr>
                <w:rFonts w:ascii="Cambria" w:hAnsi="Cambria"/>
              </w:rPr>
            </w:pPr>
            <w:r>
              <w:rPr>
                <w:rFonts w:eastAsia="Calibri" w:cs="Calibri" w:ascii="Cambria" w:hAnsi="Cambria"/>
                <w:color w:val="000000"/>
                <w:sz w:val="20"/>
                <w:szCs w:val="20"/>
              </w:rPr>
              <w:t xml:space="preserve">others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2"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73" w:type="dxa"/>
            <w:tcBorders/>
          </w:tcPr>
          <w:p>
            <w:pPr>
              <w:pStyle w:val="Normal"/>
              <w:rPr>
                <w:rFonts w:ascii="Cambria" w:hAnsi="Cambria"/>
              </w:rPr>
            </w:pPr>
            <w:r>
              <w:rPr>
                <w:rFonts w:ascii="Cambria" w:hAnsi="Cambria"/>
              </w:rPr>
              <w:t xml:space="preserve"> </w:t>
            </w:r>
            <w:r>
              <w:rPr>
                <w:rFonts w:ascii="Cambria" w:hAnsi="Cambria"/>
              </w:rPr>
              <w:t xml:space="preserve">39 </w:t>
            </w:r>
          </w:p>
        </w:tc>
        <w:tc>
          <w:tcPr>
            <w:tcW w:w="718" w:type="dxa"/>
            <w:tcBorders/>
          </w:tcPr>
          <w:p>
            <w:pPr>
              <w:pStyle w:val="Normal"/>
              <w:rPr>
                <w:rFonts w:ascii="Cambria" w:hAnsi="Cambria"/>
              </w:rPr>
            </w:pPr>
            <w:r>
              <w:rPr>
                <w:rFonts w:ascii="Cambria" w:hAnsi="Cambria"/>
              </w:rPr>
              <w:t xml:space="preserve"> </w:t>
            </w:r>
            <w:r>
              <w:rPr>
                <w:rFonts w:ascii="Cambria" w:hAnsi="Cambria"/>
              </w:rPr>
              <w:t xml:space="preserve">39 </w:t>
            </w:r>
          </w:p>
        </w:tc>
      </w:tr>
      <w:tr>
        <w:trPr>
          <w:trHeight w:val="300" w:hRule="atLeast"/>
        </w:trPr>
        <w:tc>
          <w:tcPr>
            <w:tcW w:w="1775" w:type="dxa"/>
            <w:tcBorders/>
          </w:tcPr>
          <w:p>
            <w:pPr>
              <w:pStyle w:val="Normal"/>
              <w:rPr>
                <w:rFonts w:ascii="Cambria" w:hAnsi="Cambria"/>
              </w:rPr>
            </w:pPr>
            <w:r>
              <w:rPr>
                <w:rFonts w:eastAsia="Calibri" w:cs="Calibri" w:ascii="Cambria" w:hAnsi="Cambria"/>
                <w:b/>
                <w:bCs/>
                <w:color w:val="000000"/>
                <w:sz w:val="18"/>
                <w:szCs w:val="18"/>
              </w:rPr>
              <w:t>Total</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430 </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421 </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487 </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487 </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421 </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325 </w:t>
            </w:r>
          </w:p>
        </w:tc>
        <w:tc>
          <w:tcPr>
            <w:tcW w:w="772"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277 </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182 </w:t>
            </w:r>
          </w:p>
        </w:tc>
        <w:tc>
          <w:tcPr>
            <w:tcW w:w="773" w:type="dxa"/>
            <w:tcBorders/>
          </w:tcPr>
          <w:p>
            <w:pPr>
              <w:pStyle w:val="Normal"/>
              <w:rPr>
                <w:rFonts w:ascii="Cambria" w:hAnsi="Cambria"/>
              </w:rPr>
            </w:pPr>
            <w:r>
              <w:rPr>
                <w:rFonts w:ascii="Cambria" w:hAnsi="Cambria"/>
                <w:b/>
                <w:bCs/>
                <w:sz w:val="18"/>
                <w:szCs w:val="18"/>
              </w:rPr>
              <w:t xml:space="preserve"> </w:t>
            </w:r>
            <w:r>
              <w:rPr>
                <w:rFonts w:ascii="Cambria" w:hAnsi="Cambria"/>
                <w:b/>
                <w:bCs/>
                <w:sz w:val="18"/>
                <w:szCs w:val="18"/>
              </w:rPr>
              <w:t xml:space="preserve">182 </w:t>
            </w:r>
          </w:p>
        </w:tc>
        <w:tc>
          <w:tcPr>
            <w:tcW w:w="718" w:type="dxa"/>
            <w:tcBorders/>
          </w:tcPr>
          <w:p>
            <w:pPr>
              <w:pStyle w:val="Normal"/>
              <w:rPr>
                <w:rFonts w:ascii="Cambria" w:hAnsi="Cambria"/>
              </w:rPr>
            </w:pPr>
            <w:r>
              <w:rPr>
                <w:rFonts w:ascii="Cambria" w:hAnsi="Cambria"/>
                <w:b/>
                <w:bCs/>
                <w:sz w:val="18"/>
                <w:szCs w:val="18"/>
              </w:rPr>
              <w:t>182</w:t>
            </w:r>
          </w:p>
        </w:tc>
      </w:tr>
    </w:tbl>
    <w:p>
      <w:pPr>
        <w:pStyle w:val="Normal"/>
        <w:rPr>
          <w:rFonts w:ascii="Cambria" w:hAnsi="Cambria"/>
        </w:rPr>
      </w:pPr>
      <w:r>
        <w:rPr>
          <w:rFonts w:ascii="Cambria" w:hAnsi="Cambria"/>
        </w:rPr>
      </w:r>
    </w:p>
    <w:p>
      <w:pPr>
        <w:pStyle w:val="Normal"/>
        <w:rPr>
          <w:rFonts w:ascii="Cambria" w:hAnsi="Cambria" w:eastAsia="Overlock" w:cs="Overlock"/>
          <w:color w:val="00B050"/>
        </w:rPr>
      </w:pPr>
      <w:r>
        <w:rPr>
          <w:rFonts w:eastAsia="Overlock" w:cs="Overlock" w:ascii="Cambria" w:hAnsi="Cambria"/>
          <w:color w:val="00B050"/>
        </w:rPr>
      </w:r>
      <w:r>
        <w:br w:type="page"/>
      </w:r>
    </w:p>
    <w:p>
      <w:pPr>
        <w:pStyle w:val="Heading1"/>
        <w:numPr>
          <w:ilvl w:val="0"/>
          <w:numId w:val="10"/>
        </w:numPr>
        <w:rPr>
          <w:rFonts w:eastAsia="Overlock" w:cs="Overlock"/>
          <w:b/>
          <w:bCs/>
          <w:sz w:val="36"/>
          <w:szCs w:val="36"/>
        </w:rPr>
      </w:pPr>
      <w:bookmarkStart w:id="47" w:name="_heading=h.xq2vsrr1yxpx"/>
      <w:bookmarkEnd w:id="47"/>
      <w:r>
        <w:rPr>
          <w:rFonts w:eastAsia="Overlock" w:cs="Overlock" w:ascii="Cambria" w:hAnsi="Cambria"/>
          <w:b/>
          <w:bCs/>
          <w:sz w:val="36"/>
          <w:szCs w:val="36"/>
        </w:rPr>
        <w:t>Supply and Use Tables</w:t>
      </w:r>
    </w:p>
    <w:p>
      <w:pPr>
        <w:pStyle w:val="Normal"/>
        <w:rPr>
          <w:rFonts w:ascii="Cambria" w:hAnsi="Cambria"/>
        </w:rPr>
      </w:pPr>
      <w:r>
        <w:rPr>
          <w:rFonts w:ascii="Cambria" w:hAnsi="Cambria"/>
        </w:rPr>
      </w:r>
    </w:p>
    <w:p>
      <w:pPr>
        <w:pStyle w:val="Heading2"/>
        <w:numPr>
          <w:ilvl w:val="0"/>
          <w:numId w:val="2"/>
        </w:numPr>
        <w:rPr>
          <w:b w:val="false"/>
          <w:bCs w:val="false"/>
        </w:rPr>
      </w:pPr>
      <w:bookmarkStart w:id="48" w:name="_heading=h.t9kj2wrf0zhn"/>
      <w:bookmarkEnd w:id="48"/>
      <w:r>
        <w:rPr>
          <w:rFonts w:ascii="Cambria" w:hAnsi="Cambria"/>
        </w:rPr>
        <w:t>Physical Supply and Use Table</w:t>
      </w:r>
    </w:p>
    <w:p>
      <w:pPr>
        <w:pStyle w:val="Normal"/>
        <w:spacing w:before="240" w:after="240"/>
        <w:rPr>
          <w:rFonts w:ascii="Cambria" w:hAnsi="Cambria"/>
        </w:rPr>
      </w:pPr>
      <w:r>
        <w:rPr>
          <w:rFonts w:eastAsia="Overlock" w:cs="Overlock" w:ascii="Cambria" w:hAnsi="Cambria"/>
          <w:b/>
          <w:bCs/>
          <w:sz w:val="24"/>
          <w:szCs w:val="24"/>
        </w:rPr>
        <w:t>Table 6: Physical Supply Tables (2021-2024)</w:t>
      </w:r>
    </w:p>
    <w:p>
      <w:pPr>
        <w:pStyle w:val="Normal"/>
        <w:spacing w:before="240" w:after="240"/>
        <w:rPr>
          <w:rFonts w:ascii="Cambria" w:hAnsi="Cambria" w:eastAsia="Overlock" w:cs="Overlock"/>
          <w:b/>
          <w:bCs/>
          <w:sz w:val="24"/>
          <w:szCs w:val="24"/>
        </w:rPr>
      </w:pPr>
      <w:r>
        <w:rPr>
          <w:rFonts w:eastAsia="Overlock" w:cs="Overlock" w:ascii="Cambria" w:hAnsi="Cambria"/>
          <w:b/>
          <w:bCs/>
          <w:sz w:val="24"/>
          <w:szCs w:val="24"/>
        </w:rPr>
      </w:r>
    </w:p>
    <w:tbl>
      <w:tblPr>
        <w:tblStyle w:val="af5"/>
        <w:tblW w:w="9450" w:type="dxa"/>
        <w:jc w:val="start"/>
        <w:tblInd w:w="0" w:type="dxa"/>
        <w:tblLayout w:type="fixed"/>
        <w:tblCellMar>
          <w:top w:w="20" w:type="dxa"/>
          <w:start w:w="20" w:type="dxa"/>
          <w:bottom w:w="0" w:type="dxa"/>
          <w:end w:w="20" w:type="dxa"/>
        </w:tblCellMar>
        <w:tblLook w:val="0600" w:noHBand="1" w:noVBand="1" w:firstColumn="0" w:lastRow="0" w:lastColumn="0" w:firstRow="0"/>
      </w:tblPr>
      <w:tblGrid>
        <w:gridCol w:w="3384"/>
        <w:gridCol w:w="1479"/>
        <w:gridCol w:w="1525"/>
        <w:gridCol w:w="1523"/>
        <w:gridCol w:w="1539"/>
      </w:tblGrid>
      <w:tr>
        <w:trPr>
          <w:trHeight w:val="270" w:hRule="atLeast"/>
        </w:trPr>
        <w:tc>
          <w:tcPr>
            <w:tcW w:w="3384" w:type="dxa"/>
            <w:tcBorders>
              <w:top w:val="single" w:sz="4" w:space="0" w:color="000000"/>
              <w:start w:val="single" w:sz="4" w:space="0" w:color="000000"/>
              <w:bottom w:val="single" w:sz="4" w:space="0" w:color="000000"/>
              <w:end w:val="single" w:sz="4" w:space="0" w:color="000000"/>
            </w:tcBorders>
            <w:shd w:color="auto" w:fill="83CCEB" w:val="clear"/>
          </w:tcPr>
          <w:p>
            <w:pPr>
              <w:pStyle w:val="Normal"/>
              <w:spacing w:before="240" w:after="240"/>
              <w:rPr>
                <w:rFonts w:ascii="Cambria" w:hAnsi="Cambria"/>
              </w:rPr>
            </w:pPr>
            <w:r>
              <w:rPr>
                <w:rFonts w:eastAsia="Overlock" w:cs="Overlock" w:ascii="Cambria" w:hAnsi="Cambria"/>
                <w:b/>
                <w:bCs/>
                <w:sz w:val="20"/>
                <w:szCs w:val="20"/>
              </w:rPr>
              <w:t>Domestic Production</w:t>
            </w:r>
          </w:p>
        </w:tc>
        <w:tc>
          <w:tcPr>
            <w:tcW w:w="6066" w:type="dxa"/>
            <w:gridSpan w:val="4"/>
            <w:tcBorders>
              <w:top w:val="single" w:sz="4" w:space="0" w:color="000000"/>
              <w:bottom w:val="single" w:sz="4" w:space="0" w:color="000000"/>
              <w:end w:val="single" w:sz="4" w:space="0" w:color="000000"/>
            </w:tcBorders>
            <w:shd w:color="auto" w:fill="83CCEB" w:val="clear"/>
          </w:tcPr>
          <w:p>
            <w:pPr>
              <w:pStyle w:val="Normal"/>
              <w:spacing w:before="240" w:after="240"/>
              <w:rPr>
                <w:rFonts w:ascii="Cambria" w:hAnsi="Cambria"/>
              </w:rPr>
            </w:pPr>
            <w:r>
              <w:rPr>
                <w:rFonts w:eastAsia="Overlock" w:cs="Overlock" w:ascii="Cambria" w:hAnsi="Cambria"/>
                <w:b/>
                <w:bCs/>
                <w:sz w:val="20"/>
                <w:szCs w:val="20"/>
              </w:rPr>
              <w:t>Kgs</w:t>
            </w:r>
          </w:p>
        </w:tc>
      </w:tr>
      <w:tr>
        <w:trPr>
          <w:trHeight w:val="270" w:hRule="atLeast"/>
        </w:trPr>
        <w:tc>
          <w:tcPr>
            <w:tcW w:w="3384" w:type="dxa"/>
            <w:tcBorders>
              <w:start w:val="single" w:sz="4" w:space="0" w:color="000000"/>
              <w:bottom w:val="single" w:sz="4" w:space="0" w:color="000000"/>
              <w:end w:val="single" w:sz="4" w:space="0" w:color="000000"/>
            </w:tcBorders>
            <w:shd w:color="auto" w:fill="83CCEB" w:val="clear"/>
          </w:tcPr>
          <w:p>
            <w:pPr>
              <w:pStyle w:val="Normal"/>
              <w:spacing w:before="240" w:after="240"/>
              <w:rPr>
                <w:rFonts w:ascii="Cambria" w:hAnsi="Cambria"/>
              </w:rPr>
            </w:pPr>
            <w:r>
              <w:rPr>
                <w:rFonts w:eastAsia="Overlock" w:cs="Overlock" w:ascii="Cambria" w:hAnsi="Cambria"/>
                <w:b/>
                <w:bCs/>
                <w:sz w:val="20"/>
                <w:szCs w:val="20"/>
              </w:rPr>
              <w:t>Product</w:t>
            </w:r>
          </w:p>
        </w:tc>
        <w:tc>
          <w:tcPr>
            <w:tcW w:w="1479"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2021</w:t>
            </w:r>
          </w:p>
        </w:tc>
        <w:tc>
          <w:tcPr>
            <w:tcW w:w="1525"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2022</w:t>
            </w:r>
          </w:p>
        </w:tc>
        <w:tc>
          <w:tcPr>
            <w:tcW w:w="1523"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2023</w:t>
            </w:r>
          </w:p>
        </w:tc>
        <w:tc>
          <w:tcPr>
            <w:tcW w:w="1539"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2024</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Edible Forest Products</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17,265,068</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19,777,223</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17,151,119</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19,462,900</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Non-wood forest products</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5,783,292</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3,212,223</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3,212,223</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4,041,000</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Hardwood and soft wood</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38,146,154</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42,161,538</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177,792,308</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690,200,000</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Wood and products of wood</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4,844,890,550</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5,587,364,222</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5,587,364,222</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4,904,405,200</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Firewood and Charcoal</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24,611,772,667</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36,331,664,000</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84,148,824,000</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86,578,645,333</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Furniture</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584,133,059</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571,912,514</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751,027,995</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1,414,281,399</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Total</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30,101,990,790</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42,556,091,720</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90,685,371,867</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93,611,035,832</w:t>
            </w:r>
          </w:p>
        </w:tc>
      </w:tr>
      <w:tr>
        <w:trPr>
          <w:trHeight w:val="15" w:hRule="atLeast"/>
        </w:trPr>
        <w:tc>
          <w:tcPr>
            <w:tcW w:w="3384" w:type="dxa"/>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479" w:type="dxa"/>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525" w:type="dxa"/>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523" w:type="dxa"/>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539" w:type="dxa"/>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r>
      <w:tr>
        <w:trPr>
          <w:trHeight w:val="15" w:hRule="atLeast"/>
        </w:trPr>
        <w:tc>
          <w:tcPr>
            <w:tcW w:w="3384" w:type="dxa"/>
            <w:tcBorders>
              <w:bottom w:val="single" w:sz="4" w:space="0" w:color="000000"/>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p>
            <w:pPr>
              <w:pStyle w:val="Normal"/>
              <w:spacing w:before="240" w:after="240"/>
              <w:rPr>
                <w:rFonts w:ascii="Cambria" w:hAnsi="Cambria" w:eastAsia="Overlock" w:cs="Overlock"/>
                <w:sz w:val="24"/>
                <w:szCs w:val="24"/>
              </w:rPr>
            </w:pPr>
            <w:r>
              <w:rPr>
                <w:rFonts w:eastAsia="Overlock" w:cs="Overlock" w:ascii="Cambria" w:hAnsi="Cambria"/>
                <w:sz w:val="24"/>
                <w:szCs w:val="24"/>
              </w:rPr>
            </w:r>
          </w:p>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479" w:type="dxa"/>
            <w:tcBorders>
              <w:bottom w:val="single" w:sz="4" w:space="0" w:color="000000"/>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525" w:type="dxa"/>
            <w:tcBorders>
              <w:bottom w:val="single" w:sz="4" w:space="0" w:color="000000"/>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523" w:type="dxa"/>
            <w:tcBorders>
              <w:bottom w:val="single" w:sz="4" w:space="0" w:color="000000"/>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c>
          <w:tcPr>
            <w:tcW w:w="1539" w:type="dxa"/>
            <w:tcBorders>
              <w:bottom w:val="single" w:sz="4" w:space="0" w:color="000000"/>
            </w:tcBorders>
          </w:tcPr>
          <w:p>
            <w:pPr>
              <w:pStyle w:val="Normal"/>
              <w:spacing w:before="240" w:after="240"/>
              <w:rPr>
                <w:rFonts w:ascii="Cambria" w:hAnsi="Cambria" w:eastAsia="Overlock" w:cs="Overlock"/>
                <w:sz w:val="24"/>
                <w:szCs w:val="24"/>
              </w:rPr>
            </w:pPr>
            <w:r>
              <w:rPr>
                <w:rFonts w:eastAsia="Overlock" w:cs="Overlock" w:ascii="Cambria" w:hAnsi="Cambria"/>
                <w:sz w:val="24"/>
                <w:szCs w:val="24"/>
              </w:rPr>
            </w:r>
          </w:p>
        </w:tc>
      </w:tr>
      <w:tr>
        <w:trPr>
          <w:trHeight w:val="270" w:hRule="atLeast"/>
        </w:trPr>
        <w:tc>
          <w:tcPr>
            <w:tcW w:w="3384" w:type="dxa"/>
            <w:tcBorders>
              <w:start w:val="single" w:sz="4" w:space="0" w:color="000000"/>
              <w:bottom w:val="single" w:sz="4" w:space="0" w:color="000000"/>
              <w:end w:val="single" w:sz="4" w:space="0" w:color="000000"/>
            </w:tcBorders>
            <w:shd w:color="auto" w:fill="83CCEB" w:val="clear"/>
          </w:tcPr>
          <w:p>
            <w:pPr>
              <w:pStyle w:val="Normal"/>
              <w:spacing w:before="240" w:after="240"/>
              <w:rPr>
                <w:rFonts w:ascii="Cambria" w:hAnsi="Cambria"/>
              </w:rPr>
            </w:pPr>
            <w:r>
              <w:rPr>
                <w:rFonts w:eastAsia="Overlock" w:cs="Overlock" w:ascii="Cambria" w:hAnsi="Cambria"/>
                <w:b/>
                <w:bCs/>
                <w:sz w:val="20"/>
                <w:szCs w:val="20"/>
              </w:rPr>
              <w:t>Imports</w:t>
            </w:r>
          </w:p>
        </w:tc>
        <w:tc>
          <w:tcPr>
            <w:tcW w:w="6066" w:type="dxa"/>
            <w:gridSpan w:val="4"/>
            <w:tcBorders>
              <w:bottom w:val="single" w:sz="4" w:space="0" w:color="000000"/>
              <w:end w:val="single" w:sz="4" w:space="0" w:color="000000"/>
            </w:tcBorders>
            <w:shd w:color="auto" w:fill="83CCEB" w:val="clear"/>
          </w:tcPr>
          <w:p>
            <w:pPr>
              <w:pStyle w:val="Normal"/>
              <w:spacing w:before="240" w:after="240"/>
              <w:rPr>
                <w:rFonts w:ascii="Cambria" w:hAnsi="Cambria"/>
              </w:rPr>
            </w:pPr>
            <w:r>
              <w:rPr>
                <w:rFonts w:eastAsia="Overlock" w:cs="Overlock" w:ascii="Cambria" w:hAnsi="Cambria"/>
                <w:b/>
                <w:bCs/>
                <w:sz w:val="20"/>
                <w:szCs w:val="20"/>
              </w:rPr>
              <w:t>Kgs</w:t>
            </w:r>
          </w:p>
        </w:tc>
      </w:tr>
      <w:tr>
        <w:trPr>
          <w:trHeight w:val="270" w:hRule="atLeast"/>
        </w:trPr>
        <w:tc>
          <w:tcPr>
            <w:tcW w:w="3384" w:type="dxa"/>
            <w:tcBorders>
              <w:start w:val="single" w:sz="4" w:space="0" w:color="000000"/>
              <w:bottom w:val="single" w:sz="4" w:space="0" w:color="000000"/>
              <w:end w:val="single" w:sz="4" w:space="0" w:color="000000"/>
            </w:tcBorders>
            <w:shd w:color="auto" w:fill="83CCEB" w:val="clear"/>
          </w:tcPr>
          <w:p>
            <w:pPr>
              <w:pStyle w:val="Normal"/>
              <w:spacing w:before="240" w:after="240"/>
              <w:rPr>
                <w:rFonts w:ascii="Cambria" w:hAnsi="Cambria"/>
              </w:rPr>
            </w:pPr>
            <w:r>
              <w:rPr>
                <w:rFonts w:eastAsia="Overlock" w:cs="Overlock" w:ascii="Cambria" w:hAnsi="Cambria"/>
                <w:b/>
                <w:bCs/>
                <w:sz w:val="20"/>
                <w:szCs w:val="20"/>
              </w:rPr>
              <w:t>Product</w:t>
            </w:r>
          </w:p>
        </w:tc>
        <w:tc>
          <w:tcPr>
            <w:tcW w:w="1479"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2021</w:t>
            </w:r>
          </w:p>
        </w:tc>
        <w:tc>
          <w:tcPr>
            <w:tcW w:w="1525"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2022</w:t>
            </w:r>
          </w:p>
        </w:tc>
        <w:tc>
          <w:tcPr>
            <w:tcW w:w="1523"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2023</w:t>
            </w:r>
          </w:p>
        </w:tc>
        <w:tc>
          <w:tcPr>
            <w:tcW w:w="1539"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eastAsia="Overlock" w:cs="Overlock" w:ascii="Cambria" w:hAnsi="Cambria"/>
                <w:b/>
                <w:bCs/>
                <w:sz w:val="20"/>
                <w:szCs w:val="20"/>
              </w:rPr>
              <w:t>2024</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Edible Forest Products</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533,501</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327,796</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308,847</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298,116</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Non-wood forest products</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243,983</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271,137</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435,905</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608,804</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Hardwood and soft wood</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384,617</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376,571</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494,508</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931,222</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Wood and products of wood</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129,384,896</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123,861,600</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134,694,523</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181,498,667</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Firewood and Charcoal</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1,189,819</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1,551,412</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2,074,470</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221,407</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sz w:val="20"/>
                <w:szCs w:val="20"/>
              </w:rPr>
              <w:t>Furniture</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53,690,919</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37,532,095</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25,291,410</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sz w:val="20"/>
                <w:szCs w:val="20"/>
              </w:rPr>
              <w:t>27,290,005</w:t>
            </w:r>
          </w:p>
        </w:tc>
      </w:tr>
      <w:tr>
        <w:trPr>
          <w:trHeight w:val="270" w:hRule="atLeast"/>
        </w:trPr>
        <w:tc>
          <w:tcPr>
            <w:tcW w:w="3384"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eastAsia="Overlock" w:cs="Overlock" w:ascii="Cambria" w:hAnsi="Cambria"/>
                <w:b/>
                <w:bCs/>
                <w:sz w:val="20"/>
                <w:szCs w:val="20"/>
              </w:rPr>
              <w:t>Total</w:t>
            </w:r>
          </w:p>
        </w:tc>
        <w:tc>
          <w:tcPr>
            <w:tcW w:w="147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b/>
                <w:bCs/>
                <w:sz w:val="20"/>
                <w:szCs w:val="20"/>
              </w:rPr>
              <w:t>185,427,734</w:t>
            </w:r>
          </w:p>
        </w:tc>
        <w:tc>
          <w:tcPr>
            <w:tcW w:w="1525"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b/>
                <w:bCs/>
                <w:sz w:val="20"/>
                <w:szCs w:val="20"/>
              </w:rPr>
              <w:t>163,920,611</w:t>
            </w:r>
          </w:p>
        </w:tc>
        <w:tc>
          <w:tcPr>
            <w:tcW w:w="1523"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b/>
                <w:bCs/>
                <w:sz w:val="20"/>
                <w:szCs w:val="20"/>
              </w:rPr>
              <w:t>163,299,663</w:t>
            </w:r>
          </w:p>
        </w:tc>
        <w:tc>
          <w:tcPr>
            <w:tcW w:w="1539" w:type="dxa"/>
            <w:tcBorders>
              <w:bottom w:val="single" w:sz="4" w:space="0" w:color="000000"/>
              <w:end w:val="single" w:sz="4" w:space="0" w:color="000000"/>
            </w:tcBorders>
          </w:tcPr>
          <w:p>
            <w:pPr>
              <w:pStyle w:val="Normal"/>
              <w:spacing w:before="240" w:after="240"/>
              <w:jc w:val="end"/>
              <w:rPr>
                <w:rFonts w:ascii="Cambria" w:hAnsi="Cambria"/>
              </w:rPr>
            </w:pPr>
            <w:r>
              <w:rPr>
                <w:rFonts w:eastAsia="Overlock" w:cs="Overlock" w:ascii="Cambria" w:hAnsi="Cambria"/>
                <w:b/>
                <w:bCs/>
                <w:sz w:val="20"/>
                <w:szCs w:val="20"/>
              </w:rPr>
              <w:t>210,848,221</w:t>
            </w:r>
          </w:p>
        </w:tc>
      </w:tr>
    </w:tbl>
    <w:p>
      <w:pPr>
        <w:pStyle w:val="Normal"/>
        <w:spacing w:before="240" w:after="240"/>
        <w:rPr>
          <w:rFonts w:ascii="Cambria" w:hAnsi="Cambria" w:eastAsia="Overlock" w:cs="Overlock"/>
          <w:b/>
          <w:bCs/>
          <w:sz w:val="24"/>
          <w:szCs w:val="24"/>
        </w:rPr>
      </w:pPr>
      <w:r>
        <w:rPr>
          <w:rFonts w:eastAsia="Overlock" w:cs="Overlock" w:ascii="Cambria" w:hAnsi="Cambria"/>
          <w:b/>
          <w:bCs/>
          <w:sz w:val="24"/>
          <w:szCs w:val="24"/>
        </w:rPr>
      </w:r>
    </w:p>
    <w:p>
      <w:pPr>
        <w:pStyle w:val="Normal"/>
        <w:spacing w:before="240" w:after="240"/>
        <w:rPr>
          <w:rFonts w:ascii="Cambria" w:hAnsi="Cambria"/>
        </w:rPr>
      </w:pPr>
      <w:r>
        <w:rPr>
          <w:rFonts w:eastAsia="Overlock" w:cs="Overlock" w:ascii="Cambria" w:hAnsi="Cambria"/>
          <w:b/>
          <w:bCs/>
          <w:sz w:val="24"/>
          <w:szCs w:val="24"/>
        </w:rPr>
        <w:t>Table 7: Physical Use Tables (2021 - 2024)</w:t>
      </w:r>
    </w:p>
    <w:p>
      <w:pPr>
        <w:pStyle w:val="Normal"/>
        <w:spacing w:before="240" w:after="240"/>
        <w:rPr>
          <w:rFonts w:ascii="Cambria" w:hAnsi="Cambria" w:eastAsia="Overlock" w:cs="Overlock"/>
          <w:b/>
          <w:bCs/>
          <w:sz w:val="24"/>
          <w:szCs w:val="24"/>
        </w:rPr>
      </w:pPr>
      <w:r>
        <w:rPr>
          <w:rFonts w:eastAsia="Overlock" w:cs="Overlock" w:ascii="Cambria" w:hAnsi="Cambria"/>
          <w:b/>
          <w:bCs/>
          <w:sz w:val="24"/>
          <w:szCs w:val="24"/>
        </w:rPr>
      </w:r>
    </w:p>
    <w:tbl>
      <w:tblPr>
        <w:tblStyle w:val="af6"/>
        <w:tblW w:w="9449" w:type="dxa"/>
        <w:jc w:val="start"/>
        <w:tblInd w:w="0" w:type="dxa"/>
        <w:tblLayout w:type="fixed"/>
        <w:tblCellMar>
          <w:top w:w="0" w:type="dxa"/>
          <w:start w:w="100" w:type="dxa"/>
          <w:bottom w:w="0" w:type="dxa"/>
          <w:end w:w="100" w:type="dxa"/>
        </w:tblCellMar>
        <w:tblLook w:val="0600" w:noHBand="1" w:noVBand="1" w:firstColumn="0" w:lastRow="0" w:lastColumn="0" w:firstRow="0"/>
      </w:tblPr>
      <w:tblGrid>
        <w:gridCol w:w="2566"/>
        <w:gridCol w:w="1620"/>
        <w:gridCol w:w="1754"/>
        <w:gridCol w:w="1755"/>
        <w:gridCol w:w="1754"/>
      </w:tblGrid>
      <w:tr>
        <w:trPr>
          <w:trHeight w:val="285" w:hRule="atLeast"/>
        </w:trPr>
        <w:tc>
          <w:tcPr>
            <w:tcW w:w="2566" w:type="dxa"/>
            <w:tcBorders>
              <w:top w:val="single" w:sz="4" w:space="0" w:color="000000"/>
              <w:start w:val="single" w:sz="4" w:space="0" w:color="000000"/>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Industrial</w:t>
            </w:r>
          </w:p>
        </w:tc>
        <w:tc>
          <w:tcPr>
            <w:tcW w:w="6883" w:type="dxa"/>
            <w:gridSpan w:val="4"/>
            <w:tcBorders>
              <w:top w:val="single" w:sz="4" w:space="0" w:color="000000"/>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Kgs</w:t>
            </w:r>
          </w:p>
        </w:tc>
      </w:tr>
      <w:tr>
        <w:trPr>
          <w:trHeight w:val="285" w:hRule="atLeast"/>
        </w:trPr>
        <w:tc>
          <w:tcPr>
            <w:tcW w:w="2566" w:type="dxa"/>
            <w:tcBorders>
              <w:start w:val="single" w:sz="4" w:space="0" w:color="000000"/>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Product</w:t>
            </w:r>
          </w:p>
        </w:tc>
        <w:tc>
          <w:tcPr>
            <w:tcW w:w="1620"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2021</w:t>
            </w:r>
          </w:p>
        </w:tc>
        <w:tc>
          <w:tcPr>
            <w:tcW w:w="1754"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2022</w:t>
            </w:r>
          </w:p>
        </w:tc>
        <w:tc>
          <w:tcPr>
            <w:tcW w:w="1755"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2023</w:t>
            </w:r>
          </w:p>
        </w:tc>
        <w:tc>
          <w:tcPr>
            <w:tcW w:w="1754"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2024</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Edible Forest Products</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Non-wood forest products</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Hardwood and soft wood</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Wood and products of wood</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Firewood and Charcoal</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562,796,367</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830,793,499</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1,924,228,011</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1,979,789,675</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Furniture</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b/>
                <w:bCs/>
                <w:sz w:val="20"/>
                <w:szCs w:val="20"/>
              </w:rPr>
              <w:t>Total</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562,796,367</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830,793,499</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1,924,228,011</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1,979,789,675</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620"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4"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5"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4"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620"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4"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5"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4"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r>
      <w:tr>
        <w:trPr>
          <w:trHeight w:val="285" w:hRule="atLeast"/>
        </w:trPr>
        <w:tc>
          <w:tcPr>
            <w:tcW w:w="2566" w:type="dxa"/>
            <w:tcBorders>
              <w:start w:val="single" w:sz="4" w:space="0" w:color="000000"/>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Households</w:t>
            </w:r>
          </w:p>
        </w:tc>
        <w:tc>
          <w:tcPr>
            <w:tcW w:w="6883" w:type="dxa"/>
            <w:gridSpan w:val="4"/>
            <w:tcBorders>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Kgs</w:t>
            </w:r>
          </w:p>
        </w:tc>
      </w:tr>
      <w:tr>
        <w:trPr>
          <w:trHeight w:val="285" w:hRule="atLeast"/>
        </w:trPr>
        <w:tc>
          <w:tcPr>
            <w:tcW w:w="2566" w:type="dxa"/>
            <w:tcBorders>
              <w:start w:val="single" w:sz="4" w:space="0" w:color="000000"/>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Product</w:t>
            </w:r>
          </w:p>
        </w:tc>
        <w:tc>
          <w:tcPr>
            <w:tcW w:w="1620"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2021</w:t>
            </w:r>
          </w:p>
        </w:tc>
        <w:tc>
          <w:tcPr>
            <w:tcW w:w="1754"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2022</w:t>
            </w:r>
          </w:p>
        </w:tc>
        <w:tc>
          <w:tcPr>
            <w:tcW w:w="1755"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2023</w:t>
            </w:r>
          </w:p>
        </w:tc>
        <w:tc>
          <w:tcPr>
            <w:tcW w:w="1754"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2024</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Edible Forest Products</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Non-wood forest products</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Hardwood and soft wood</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Wood and products of wood</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Firewood and Charcoal</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87,672,526,291</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129,421,347,992</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299,756,546,367</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308,412,103,250</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Furniture</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sz w:val="20"/>
                <w:szCs w:val="20"/>
              </w:rPr>
              <w:t>-</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b/>
                <w:bCs/>
                <w:sz w:val="20"/>
                <w:szCs w:val="20"/>
              </w:rPr>
              <w:t>Total</w:t>
            </w:r>
          </w:p>
        </w:tc>
        <w:tc>
          <w:tcPr>
            <w:tcW w:w="1620"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87,672,526,291</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129,421,347,992</w:t>
            </w:r>
          </w:p>
        </w:tc>
        <w:tc>
          <w:tcPr>
            <w:tcW w:w="1755"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299,756,546,367</w:t>
            </w:r>
          </w:p>
        </w:tc>
        <w:tc>
          <w:tcPr>
            <w:tcW w:w="1754" w:type="dxa"/>
            <w:tcBorders>
              <w:bottom w:val="single" w:sz="4" w:space="0" w:color="000000"/>
              <w:end w:val="single" w:sz="4" w:space="0" w:color="000000"/>
            </w:tcBorders>
          </w:tcPr>
          <w:p>
            <w:pPr>
              <w:pStyle w:val="Normal"/>
              <w:spacing w:before="240" w:after="240"/>
              <w:jc w:val="end"/>
              <w:rPr>
                <w:rFonts w:ascii="Cambria" w:hAnsi="Cambria"/>
              </w:rPr>
            </w:pPr>
            <w:r>
              <w:rPr>
                <w:rFonts w:ascii="Cambria" w:hAnsi="Cambria"/>
                <w:b/>
                <w:bCs/>
                <w:sz w:val="20"/>
                <w:szCs w:val="20"/>
              </w:rPr>
              <w:t>308,412,103,250</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620"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4"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5"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c>
          <w:tcPr>
            <w:tcW w:w="1754" w:type="dxa"/>
            <w:tcBorders>
              <w:bottom w:val="single" w:sz="4" w:space="0" w:color="000000"/>
              <w:end w:val="single" w:sz="4" w:space="0" w:color="000000"/>
            </w:tcBorders>
          </w:tcPr>
          <w:p>
            <w:pPr>
              <w:pStyle w:val="Normal"/>
              <w:spacing w:before="240" w:after="240"/>
              <w:rPr>
                <w:rFonts w:ascii="Cambria" w:hAnsi="Cambria" w:eastAsia="Overlock" w:cs="Overlock"/>
                <w:sz w:val="20"/>
                <w:szCs w:val="20"/>
              </w:rPr>
            </w:pPr>
            <w:r>
              <w:rPr>
                <w:rFonts w:eastAsia="Overlock" w:cs="Overlock" w:ascii="Cambria" w:hAnsi="Cambria"/>
                <w:sz w:val="20"/>
                <w:szCs w:val="20"/>
              </w:rPr>
            </w:r>
          </w:p>
        </w:tc>
      </w:tr>
      <w:tr>
        <w:trPr>
          <w:trHeight w:val="285" w:hRule="atLeast"/>
        </w:trPr>
        <w:tc>
          <w:tcPr>
            <w:tcW w:w="2566" w:type="dxa"/>
            <w:tcBorders>
              <w:start w:val="single" w:sz="4" w:space="0" w:color="000000"/>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Exports</w:t>
            </w:r>
          </w:p>
        </w:tc>
        <w:tc>
          <w:tcPr>
            <w:tcW w:w="6883" w:type="dxa"/>
            <w:gridSpan w:val="4"/>
            <w:tcBorders>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Kgs</w:t>
            </w:r>
          </w:p>
        </w:tc>
      </w:tr>
      <w:tr>
        <w:trPr>
          <w:trHeight w:val="285" w:hRule="atLeast"/>
        </w:trPr>
        <w:tc>
          <w:tcPr>
            <w:tcW w:w="2566" w:type="dxa"/>
            <w:tcBorders>
              <w:start w:val="single" w:sz="4" w:space="0" w:color="000000"/>
              <w:bottom w:val="single" w:sz="4" w:space="0" w:color="000000"/>
              <w:end w:val="single" w:sz="4" w:space="0" w:color="000000"/>
            </w:tcBorders>
            <w:shd w:color="auto" w:fill="F1A983" w:val="clear"/>
          </w:tcPr>
          <w:p>
            <w:pPr>
              <w:pStyle w:val="Normal"/>
              <w:spacing w:before="240" w:after="240"/>
              <w:rPr>
                <w:rFonts w:ascii="Cambria" w:hAnsi="Cambria"/>
              </w:rPr>
            </w:pPr>
            <w:r>
              <w:rPr>
                <w:rFonts w:ascii="Cambria" w:hAnsi="Cambria"/>
                <w:b/>
                <w:bCs/>
                <w:sz w:val="20"/>
                <w:szCs w:val="20"/>
              </w:rPr>
              <w:t>Product</w:t>
            </w:r>
          </w:p>
        </w:tc>
        <w:tc>
          <w:tcPr>
            <w:tcW w:w="1620"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2021</w:t>
            </w:r>
          </w:p>
        </w:tc>
        <w:tc>
          <w:tcPr>
            <w:tcW w:w="1754"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2022</w:t>
            </w:r>
          </w:p>
        </w:tc>
        <w:tc>
          <w:tcPr>
            <w:tcW w:w="1755"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2023</w:t>
            </w:r>
          </w:p>
        </w:tc>
        <w:tc>
          <w:tcPr>
            <w:tcW w:w="1754" w:type="dxa"/>
            <w:tcBorders>
              <w:bottom w:val="single" w:sz="4" w:space="0" w:color="000000"/>
              <w:end w:val="single" w:sz="4" w:space="0" w:color="000000"/>
            </w:tcBorders>
            <w:shd w:color="auto" w:fill="DAF2D0" w:val="clear"/>
          </w:tcPr>
          <w:p>
            <w:pPr>
              <w:pStyle w:val="Normal"/>
              <w:spacing w:before="240" w:after="240"/>
              <w:rPr>
                <w:rFonts w:ascii="Cambria" w:hAnsi="Cambria"/>
              </w:rPr>
            </w:pPr>
            <w:r>
              <w:rPr>
                <w:rFonts w:ascii="Cambria" w:hAnsi="Cambria"/>
                <w:b/>
                <w:bCs/>
                <w:sz w:val="20"/>
                <w:szCs w:val="20"/>
              </w:rPr>
              <w:t>2024</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Edible Forest Products</w:t>
            </w:r>
          </w:p>
        </w:tc>
        <w:tc>
          <w:tcPr>
            <w:tcW w:w="1620"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69,759</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80,060</w:t>
            </w:r>
          </w:p>
        </w:tc>
        <w:tc>
          <w:tcPr>
            <w:tcW w:w="1755"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73,405</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45,067</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Non-wood forest products</w:t>
            </w:r>
          </w:p>
        </w:tc>
        <w:tc>
          <w:tcPr>
            <w:tcW w:w="1620"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6,810,287</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5,860,162</w:t>
            </w:r>
          </w:p>
        </w:tc>
        <w:tc>
          <w:tcPr>
            <w:tcW w:w="1755"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6,088,069</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8,056,175</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Hardwood and soft wood</w:t>
            </w:r>
          </w:p>
        </w:tc>
        <w:tc>
          <w:tcPr>
            <w:tcW w:w="1620"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352,974</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360,703</w:t>
            </w:r>
          </w:p>
        </w:tc>
        <w:tc>
          <w:tcPr>
            <w:tcW w:w="1755"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991,671</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4,388,527</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Wood and products of wood</w:t>
            </w:r>
          </w:p>
        </w:tc>
        <w:tc>
          <w:tcPr>
            <w:tcW w:w="1620"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8,354,522</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18,627,561</w:t>
            </w:r>
          </w:p>
        </w:tc>
        <w:tc>
          <w:tcPr>
            <w:tcW w:w="1755"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23,315,840</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48,910,195</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Firewood and Charcoal</w:t>
            </w:r>
          </w:p>
        </w:tc>
        <w:tc>
          <w:tcPr>
            <w:tcW w:w="1620"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285,590</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344,022</w:t>
            </w:r>
          </w:p>
        </w:tc>
        <w:tc>
          <w:tcPr>
            <w:tcW w:w="1755"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506,843</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179,433</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Furniture</w:t>
            </w:r>
          </w:p>
        </w:tc>
        <w:tc>
          <w:tcPr>
            <w:tcW w:w="1620"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266,222</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107,865</w:t>
            </w:r>
          </w:p>
        </w:tc>
        <w:tc>
          <w:tcPr>
            <w:tcW w:w="1755"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127,648</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sz w:val="20"/>
                <w:szCs w:val="20"/>
              </w:rPr>
              <w:t>115,530</w:t>
            </w:r>
          </w:p>
        </w:tc>
      </w:tr>
      <w:tr>
        <w:trPr>
          <w:trHeight w:val="285" w:hRule="atLeast"/>
        </w:trPr>
        <w:tc>
          <w:tcPr>
            <w:tcW w:w="2566" w:type="dxa"/>
            <w:tcBorders>
              <w:start w:val="single" w:sz="4" w:space="0" w:color="000000"/>
              <w:bottom w:val="single" w:sz="4" w:space="0" w:color="000000"/>
              <w:end w:val="single" w:sz="4" w:space="0" w:color="000000"/>
            </w:tcBorders>
          </w:tcPr>
          <w:p>
            <w:pPr>
              <w:pStyle w:val="Normal"/>
              <w:spacing w:before="240" w:after="240"/>
              <w:rPr>
                <w:rFonts w:ascii="Cambria" w:hAnsi="Cambria"/>
              </w:rPr>
            </w:pPr>
            <w:r>
              <w:rPr>
                <w:rFonts w:ascii="Cambria" w:hAnsi="Cambria"/>
                <w:b/>
                <w:bCs/>
                <w:sz w:val="20"/>
                <w:szCs w:val="20"/>
              </w:rPr>
              <w:t>Total</w:t>
            </w:r>
          </w:p>
        </w:tc>
        <w:tc>
          <w:tcPr>
            <w:tcW w:w="1620" w:type="dxa"/>
            <w:tcBorders>
              <w:bottom w:val="single" w:sz="4" w:space="0" w:color="000000"/>
              <w:end w:val="single" w:sz="4" w:space="0" w:color="000000"/>
            </w:tcBorders>
          </w:tcPr>
          <w:p>
            <w:pPr>
              <w:pStyle w:val="Normal"/>
              <w:spacing w:before="240" w:after="240"/>
              <w:rPr>
                <w:rFonts w:ascii="Cambria" w:hAnsi="Cambria"/>
              </w:rPr>
            </w:pPr>
            <w:r>
              <w:rPr>
                <w:rFonts w:ascii="Cambria" w:hAnsi="Cambria"/>
                <w:b/>
                <w:bCs/>
                <w:sz w:val="20"/>
                <w:szCs w:val="20"/>
              </w:rPr>
              <w:t>16,139,354</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b/>
                <w:bCs/>
                <w:sz w:val="20"/>
                <w:szCs w:val="20"/>
              </w:rPr>
              <w:t>25,380,373</w:t>
            </w:r>
          </w:p>
        </w:tc>
        <w:tc>
          <w:tcPr>
            <w:tcW w:w="1755" w:type="dxa"/>
            <w:tcBorders>
              <w:bottom w:val="single" w:sz="4" w:space="0" w:color="000000"/>
              <w:end w:val="single" w:sz="4" w:space="0" w:color="000000"/>
            </w:tcBorders>
          </w:tcPr>
          <w:p>
            <w:pPr>
              <w:pStyle w:val="Normal"/>
              <w:spacing w:before="240" w:after="240"/>
              <w:rPr>
                <w:rFonts w:ascii="Cambria" w:hAnsi="Cambria"/>
              </w:rPr>
            </w:pPr>
            <w:r>
              <w:rPr>
                <w:rFonts w:ascii="Cambria" w:hAnsi="Cambria"/>
                <w:b/>
                <w:bCs/>
                <w:sz w:val="20"/>
                <w:szCs w:val="20"/>
              </w:rPr>
              <w:t>31,103,476</w:t>
            </w:r>
          </w:p>
        </w:tc>
        <w:tc>
          <w:tcPr>
            <w:tcW w:w="1754" w:type="dxa"/>
            <w:tcBorders>
              <w:bottom w:val="single" w:sz="4" w:space="0" w:color="000000"/>
              <w:end w:val="single" w:sz="4" w:space="0" w:color="000000"/>
            </w:tcBorders>
          </w:tcPr>
          <w:p>
            <w:pPr>
              <w:pStyle w:val="Normal"/>
              <w:spacing w:before="240" w:after="240"/>
              <w:rPr>
                <w:rFonts w:ascii="Cambria" w:hAnsi="Cambria"/>
              </w:rPr>
            </w:pPr>
            <w:r>
              <w:rPr>
                <w:rFonts w:ascii="Cambria" w:hAnsi="Cambria"/>
                <w:b/>
                <w:bCs/>
                <w:sz w:val="20"/>
                <w:szCs w:val="20"/>
              </w:rPr>
              <w:t>61,694,927</w:t>
            </w:r>
          </w:p>
        </w:tc>
      </w:tr>
    </w:tbl>
    <w:p>
      <w:pPr>
        <w:pStyle w:val="Normal"/>
        <w:spacing w:before="240" w:after="240"/>
        <w:rPr>
          <w:rFonts w:ascii="Cambria" w:hAnsi="Cambria" w:eastAsia="Overlock" w:cs="Overlock"/>
          <w:b/>
          <w:bCs/>
          <w:sz w:val="24"/>
          <w:szCs w:val="24"/>
        </w:rPr>
      </w:pPr>
      <w:r>
        <w:rPr>
          <w:rFonts w:eastAsia="Overlock" w:cs="Overlock" w:ascii="Cambria" w:hAnsi="Cambria"/>
          <w:b/>
          <w:bCs/>
          <w:sz w:val="24"/>
          <w:szCs w:val="24"/>
        </w:rPr>
      </w:r>
    </w:p>
    <w:p>
      <w:pPr>
        <w:pStyle w:val="Normal"/>
        <w:spacing w:before="240" w:after="240"/>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eastAsia="Overlock" w:cs="Overlock"/>
        </w:rPr>
      </w:pPr>
      <w:r>
        <w:rPr>
          <w:rFonts w:eastAsia="Overlock" w:cs="Overlock" w:ascii="Cambria" w:hAnsi="Cambria"/>
        </w:rPr>
      </w:r>
    </w:p>
    <w:p>
      <w:pPr>
        <w:pStyle w:val="Heading2"/>
        <w:numPr>
          <w:ilvl w:val="0"/>
          <w:numId w:val="2"/>
        </w:numPr>
        <w:rPr>
          <w:b w:val="false"/>
          <w:bCs w:val="false"/>
          <w:sz w:val="28"/>
          <w:szCs w:val="28"/>
        </w:rPr>
      </w:pPr>
      <w:bookmarkStart w:id="49" w:name="_heading=h.qq57f6s5816h"/>
      <w:bookmarkEnd w:id="49"/>
      <w:r>
        <w:rPr>
          <w:rFonts w:ascii="Cambria" w:hAnsi="Cambria"/>
        </w:rPr>
        <w:t xml:space="preserve">Monetary Supply and Use Tables </w:t>
      </w:r>
    </w:p>
    <w:p>
      <w:pPr>
        <w:pStyle w:val="Normal"/>
        <w:rPr>
          <w:rFonts w:ascii="Cambria" w:hAnsi="Cambria"/>
        </w:rPr>
      </w:pPr>
      <w:r>
        <w:rPr>
          <w:rFonts w:ascii="Cambria" w:hAnsi="Cambria"/>
        </w:rPr>
        <w:t>XXXXXX</w:t>
      </w:r>
    </w:p>
    <w:p>
      <w:pPr>
        <w:pStyle w:val="Heading2"/>
        <w:numPr>
          <w:ilvl w:val="0"/>
          <w:numId w:val="2"/>
        </w:numPr>
        <w:rPr>
          <w:b w:val="false"/>
          <w:bCs w:val="false"/>
          <w:sz w:val="28"/>
          <w:szCs w:val="28"/>
        </w:rPr>
      </w:pPr>
      <w:bookmarkStart w:id="50" w:name="_heading=h.uma932kc7c2r"/>
      <w:bookmarkEnd w:id="50"/>
      <w:r>
        <w:rPr>
          <w:rFonts w:ascii="Cambria" w:hAnsi="Cambria"/>
        </w:rPr>
        <w:t>Timber and Non-timber Forest Products Physical and Monetary Flow Account (PFA)</w:t>
      </w:r>
    </w:p>
    <w:p>
      <w:pPr>
        <w:pStyle w:val="Normal"/>
        <w:rPr>
          <w:rFonts w:ascii="Cambria" w:hAnsi="Cambria"/>
        </w:rPr>
      </w:pPr>
      <w:r>
        <w:rPr>
          <w:rFonts w:eastAsia="Overlock" w:cs="Overlock" w:ascii="Cambria" w:hAnsi="Cambria"/>
        </w:rPr>
        <w:t>XXXXXX</w:t>
      </w:r>
    </w:p>
    <w:p>
      <w:pPr>
        <w:pStyle w:val="Normal"/>
        <w:rPr>
          <w:rFonts w:ascii="Cambria" w:hAnsi="Cambria"/>
        </w:rPr>
      </w:pPr>
      <w:r>
        <w:rPr>
          <w:rFonts w:ascii="Cambria" w:hAnsi="Cambria"/>
        </w:rPr>
      </w:r>
    </w:p>
    <w:p>
      <w:pPr>
        <w:pStyle w:val="Heading2"/>
        <w:numPr>
          <w:ilvl w:val="0"/>
          <w:numId w:val="2"/>
        </w:numPr>
        <w:rPr>
          <w:b w:val="false"/>
          <w:bCs w:val="false"/>
        </w:rPr>
      </w:pPr>
      <w:bookmarkStart w:id="51" w:name="_heading=h.hovtfihpwcwo"/>
      <w:bookmarkEnd w:id="51"/>
      <w:r>
        <w:rPr>
          <w:rFonts w:ascii="Cambria" w:hAnsi="Cambria"/>
        </w:rPr>
        <w:t>Scenario Analysis</w:t>
      </w:r>
    </w:p>
    <w:p>
      <w:pPr>
        <w:pStyle w:val="Normal"/>
        <w:rPr>
          <w:rFonts w:ascii="Cambria" w:hAnsi="Cambria"/>
        </w:rPr>
      </w:pPr>
      <w:r>
        <w:rPr>
          <w:rFonts w:eastAsia="Overlock" w:cs="Overlock" w:ascii="Cambria" w:hAnsi="Cambria"/>
        </w:rPr>
        <w:t>XXXXXX</w:t>
      </w:r>
    </w:p>
    <w:p>
      <w:pPr>
        <w:pStyle w:val="Normal"/>
        <w:rPr>
          <w:rFonts w:ascii="Cambria" w:hAnsi="Cambria" w:eastAsia="Overlock" w:cs="Overlock"/>
        </w:rPr>
      </w:pPr>
      <w:r>
        <w:rPr>
          <w:rFonts w:eastAsia="Overlock" w:cs="Overlock" w:ascii="Cambria" w:hAnsi="Cambria"/>
        </w:rPr>
      </w:r>
      <w:r>
        <w:br w:type="page"/>
      </w:r>
    </w:p>
    <w:p>
      <w:pPr>
        <w:pStyle w:val="Heading1"/>
        <w:numPr>
          <w:ilvl w:val="0"/>
          <w:numId w:val="10"/>
        </w:numPr>
        <w:rPr>
          <w:rFonts w:eastAsia="Overlock" w:cs="Overlock"/>
          <w:b/>
          <w:bCs/>
          <w:sz w:val="36"/>
          <w:szCs w:val="36"/>
        </w:rPr>
      </w:pPr>
      <w:bookmarkStart w:id="52" w:name="_heading=h.a07h2ij8kl1r"/>
      <w:bookmarkEnd w:id="52"/>
      <w:r>
        <w:rPr>
          <w:rFonts w:eastAsia="Overlock" w:cs="Overlock" w:ascii="Cambria" w:hAnsi="Cambria"/>
          <w:b/>
          <w:bCs/>
          <w:sz w:val="36"/>
          <w:szCs w:val="36"/>
        </w:rPr>
        <w:t>Conclusions &amp; Emerging Issues</w:t>
      </w:r>
    </w:p>
    <w:p>
      <w:pPr>
        <w:pStyle w:val="Normal"/>
        <w:rPr>
          <w:rFonts w:ascii="Cambria" w:hAnsi="Cambria"/>
        </w:rPr>
      </w:pPr>
      <w:r>
        <w:rPr>
          <w:rFonts w:eastAsia="Overlock" w:cs="Overlock" w:ascii="Cambria" w:hAnsi="Cambria"/>
          <w:sz w:val="24"/>
          <w:szCs w:val="24"/>
        </w:rPr>
        <w:t xml:space="preserve">Kenya has taken significant strategic steps towards institutionalizing environmental-economic accounting. </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b/>
          <w:bCs/>
          <w:sz w:val="24"/>
          <w:szCs w:val="24"/>
        </w:rPr>
        <w:t>5.1</w:t>
        <w:tab/>
        <w:t>Emerging Issues</w:t>
      </w:r>
    </w:p>
    <w:p>
      <w:pPr>
        <w:pStyle w:val="Normal"/>
        <w:rPr>
          <w:rFonts w:ascii="Cambria" w:hAnsi="Cambria"/>
        </w:rPr>
      </w:pPr>
      <w:r>
        <w:rPr>
          <w:rFonts w:eastAsia="Overlock" w:cs="Overlock" w:ascii="Cambria" w:hAnsi="Cambria"/>
          <w:b/>
          <w:bCs/>
          <w:sz w:val="24"/>
          <w:szCs w:val="24"/>
        </w:rPr>
        <w:t>5.1.1</w:t>
        <w:tab/>
        <w:t>Challenges in Compiling Forest Asset Accounts in Kenya</w:t>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rPr>
      </w:pPr>
      <w:r>
        <w:rPr>
          <w:rFonts w:eastAsia="Overlock" w:cs="Overlock" w:ascii="Cambria" w:hAnsi="Cambria"/>
          <w:sz w:val="24"/>
          <w:szCs w:val="24"/>
        </w:rPr>
        <w:t>The integration of the System of Environmental-Economic Accounting (SEEA) into Kenya’s national statistical framework is a cornerstone of the National Plan for Advancing Environmental-Economic Accounting (NP-AEEA) 2025–2028. However, several persistent challenges continue to constrain the accurate and consistent compilation of forest asset accounts.</w:t>
      </w:r>
    </w:p>
    <w:p>
      <w:pPr>
        <w:pStyle w:val="Normal"/>
        <w:numPr>
          <w:ilvl w:val="0"/>
          <w:numId w:val="7"/>
        </w:numPr>
        <w:rPr>
          <w:rFonts w:ascii="Cambria" w:hAnsi="Cambria"/>
        </w:rPr>
      </w:pPr>
      <w:r>
        <w:rPr>
          <w:rFonts w:eastAsia="Overlock" w:cs="Overlock" w:ascii="Cambria" w:hAnsi="Cambria"/>
          <w:sz w:val="24"/>
          <w:szCs w:val="24"/>
        </w:rPr>
        <w:t>Data Scarcity and Methodological Constraints: A major challenge is the limited availability of high-resolution, long-term data required to measure forest degradation as distinct from deforestation. While satellite imagery is effective for tracking land-cover change, detecting gradual reductions in forest biomass and structural quality remains technically demanding. In addition, significant data gaps persist for private and community forests, which constitute a substantial share of Kenya’s tree cover but are not monitored as systematically as public gazetted forests.</w:t>
      </w:r>
    </w:p>
    <w:p>
      <w:pPr>
        <w:pStyle w:val="Normal"/>
        <w:numPr>
          <w:ilvl w:val="0"/>
          <w:numId w:val="7"/>
        </w:numPr>
        <w:rPr>
          <w:rFonts w:ascii="Cambria" w:hAnsi="Cambria"/>
        </w:rPr>
      </w:pPr>
      <w:r>
        <w:rPr>
          <w:rFonts w:eastAsia="Overlock" w:cs="Overlock" w:ascii="Cambria" w:hAnsi="Cambria"/>
          <w:sz w:val="24"/>
          <w:szCs w:val="24"/>
        </w:rPr>
        <w:t>Limited Visibility of Non-Market Values: Conventional economic accounting frameworks tend to underrepresent the full contribution of forests by excluding non-market and subsistence uses. Forest products such as fuelwood, medicinal plants, and charcoal produced and consumed within informal markets are often omitted from official statistics. As a result, the recorded economic contribution of the forestry sector understates its true role in livelihoods, energy supply, and rural economies.</w:t>
      </w:r>
    </w:p>
    <w:p>
      <w:pPr>
        <w:pStyle w:val="Normal"/>
        <w:numPr>
          <w:ilvl w:val="0"/>
          <w:numId w:val="7"/>
        </w:numPr>
        <w:rPr>
          <w:rFonts w:ascii="Cambria" w:hAnsi="Cambria"/>
        </w:rPr>
      </w:pPr>
      <w:r>
        <w:rPr>
          <w:rFonts w:eastAsia="Overlock" w:cs="Overlock" w:ascii="Cambria" w:hAnsi="Cambria"/>
          <w:sz w:val="24"/>
          <w:szCs w:val="24"/>
        </w:rPr>
        <w:t>Complexity in Ecosystem Service Valuation: Valuing regulating ecosystem services, including water regulation, flood control, and climate moderation, presents both scientific and economic challenges. The benefits derived from these services vary across locations and socio-economic groups, making it difficult to establish standardized valuation parameters that are applicable across Kenya’s diverse forest ecosystems.</w:t>
      </w:r>
    </w:p>
    <w:p>
      <w:pPr>
        <w:pStyle w:val="Normal"/>
        <w:numPr>
          <w:ilvl w:val="0"/>
          <w:numId w:val="7"/>
        </w:numPr>
        <w:rPr>
          <w:rFonts w:ascii="Cambria" w:hAnsi="Cambria"/>
        </w:rPr>
      </w:pPr>
      <w:r>
        <w:rPr>
          <w:rFonts w:eastAsia="Overlock" w:cs="Overlock" w:ascii="Cambria" w:hAnsi="Cambria"/>
          <w:sz w:val="24"/>
          <w:szCs w:val="24"/>
        </w:rPr>
        <w:t>Institutional and Governance Constraints: The development of comprehensive forest asset accounts requires coordinated data sharing and collaboration among multiple institutions. In practice, fragmented data systems, overlapping mandates, and inconsistent methodologies hinder the integration of environmental information into national economic accounts. In addition, illegal logging and other unrecorded extractions reduce forest assets without being captured in formal statistical systems.</w:t>
      </w:r>
    </w:p>
    <w:p>
      <w:pPr>
        <w:pStyle w:val="Normal"/>
        <w:numPr>
          <w:ilvl w:val="0"/>
          <w:numId w:val="7"/>
        </w:numPr>
        <w:rPr>
          <w:rFonts w:ascii="Cambria" w:hAnsi="Cambria"/>
        </w:rPr>
      </w:pPr>
      <w:r>
        <w:rPr>
          <w:rFonts w:eastAsia="Overlock" w:cs="Overlock" w:ascii="Cambria" w:hAnsi="Cambria"/>
          <w:sz w:val="24"/>
          <w:szCs w:val="24"/>
        </w:rPr>
        <w:t>Technical and Financial Capacity Limitations: Producing SEEA-compliant forest accounts demands specialized expertise spanning environmental science, remote sensing, and macroeconomic accounting. Capacity constraints within public institutions, coupled with the high cost of conducting regular forest inventories needed to validate remote-sensing outputs, remain significant barriers to sustained and high-quality forest accounting.</w:t>
      </w:r>
    </w:p>
    <w:p>
      <w:pPr>
        <w:pStyle w:val="Normal"/>
        <w:rPr>
          <w:rFonts w:ascii="Cambria" w:hAnsi="Cambria" w:eastAsia="Overlock" w:cs="Overlock"/>
          <w:b/>
          <w:bCs/>
          <w:sz w:val="24"/>
          <w:szCs w:val="24"/>
        </w:rPr>
      </w:pPr>
      <w:r>
        <w:rPr>
          <w:rFonts w:eastAsia="Overlock" w:cs="Overlock" w:ascii="Cambria" w:hAnsi="Cambria"/>
          <w:b/>
          <w:bCs/>
          <w:sz w:val="24"/>
          <w:szCs w:val="24"/>
        </w:rPr>
      </w:r>
    </w:p>
    <w:p>
      <w:pPr>
        <w:pStyle w:val="Normal"/>
        <w:rPr>
          <w:rFonts w:ascii="Cambria" w:hAnsi="Cambria"/>
        </w:rPr>
      </w:pPr>
      <w:r>
        <w:rPr>
          <w:rFonts w:eastAsia="Overlock" w:cs="Overlock" w:ascii="Cambria" w:hAnsi="Cambria"/>
          <w:b/>
          <w:bCs/>
          <w:sz w:val="24"/>
          <w:szCs w:val="24"/>
        </w:rPr>
        <w:t>5.2</w:t>
        <w:tab/>
        <w:t>Recommendations</w:t>
      </w:r>
    </w:p>
    <w:p>
      <w:pPr>
        <w:pStyle w:val="Normal"/>
        <w:numPr>
          <w:ilvl w:val="0"/>
          <w:numId w:val="3"/>
        </w:numPr>
        <w:rPr>
          <w:rFonts w:ascii="Cambria" w:hAnsi="Cambria"/>
        </w:rPr>
      </w:pPr>
      <w:r>
        <w:rPr>
          <w:rFonts w:eastAsia="Overlock" w:cs="Overlock" w:ascii="Cambria" w:hAnsi="Cambria"/>
          <w:sz w:val="24"/>
          <w:szCs w:val="24"/>
        </w:rPr>
        <w:t>Implement NP-AEEA (2025-2028): Operationalize the National Plan to ensure forest accounts are produced regularly, enabling progress tracking and accountability.</w:t>
      </w:r>
    </w:p>
    <w:p>
      <w:pPr>
        <w:pStyle w:val="Normal"/>
        <w:numPr>
          <w:ilvl w:val="0"/>
          <w:numId w:val="3"/>
        </w:numPr>
        <w:rPr>
          <w:rFonts w:ascii="Cambria" w:hAnsi="Cambria"/>
        </w:rPr>
      </w:pPr>
      <w:r>
        <w:rPr>
          <w:rFonts w:eastAsia="Overlock" w:cs="Overlock" w:ascii="Cambria" w:hAnsi="Cambria"/>
          <w:sz w:val="24"/>
          <w:szCs w:val="24"/>
        </w:rPr>
        <w:t>Strengthen Coordination (TWG): Empower the Technical Working Group to harmonize methodologies and facilitate data sharing across agencies (KFS, KNBS, MoECCF).</w:t>
      </w:r>
    </w:p>
    <w:p>
      <w:pPr>
        <w:pStyle w:val="Normal"/>
        <w:numPr>
          <w:ilvl w:val="0"/>
          <w:numId w:val="3"/>
        </w:numPr>
        <w:rPr>
          <w:rFonts w:ascii="Cambria" w:hAnsi="Cambria"/>
        </w:rPr>
      </w:pPr>
      <w:r>
        <w:rPr>
          <w:rFonts w:eastAsia="Overlock" w:cs="Overlock" w:ascii="Cambria" w:hAnsi="Cambria"/>
          <w:sz w:val="24"/>
          <w:szCs w:val="24"/>
        </w:rPr>
        <w:t>Build Technical Capacity: Develop specialized expertise in SEEA-compliant accounting across environmental science and economics</w:t>
      </w:r>
    </w:p>
    <w:p>
      <w:pPr>
        <w:pStyle w:val="Normal"/>
        <w:numPr>
          <w:ilvl w:val="0"/>
          <w:numId w:val="3"/>
        </w:numPr>
        <w:rPr>
          <w:rFonts w:ascii="Cambria" w:hAnsi="Cambria"/>
        </w:rPr>
      </w:pPr>
      <w:r>
        <w:rPr>
          <w:rFonts w:eastAsia="Overlock" w:cs="Overlock" w:ascii="Cambria" w:hAnsi="Cambria"/>
          <w:sz w:val="24"/>
          <w:szCs w:val="24"/>
        </w:rPr>
        <w:t>Enhance Data Quality: Invest in remote sensing validation and better monitoring of private/community forests to capture the full scope of assets and invest in regular forest inventories to validate remote-sensing outputs.</w:t>
      </w:r>
    </w:p>
    <w:p>
      <w:pPr>
        <w:pStyle w:val="Normal"/>
        <w:numPr>
          <w:ilvl w:val="0"/>
          <w:numId w:val="3"/>
        </w:numPr>
        <w:rPr>
          <w:rFonts w:ascii="Cambria" w:hAnsi="Cambria"/>
        </w:rPr>
      </w:pPr>
      <w:r>
        <w:rPr>
          <w:rFonts w:eastAsia="Overlock" w:cs="Overlock" w:ascii="Cambria" w:hAnsi="Cambria"/>
          <w:sz w:val="24"/>
          <w:szCs w:val="24"/>
        </w:rPr>
        <w:t>Integrate into Policy: Link findings to macro-fiscal models (KENMOD) to assess climate shocks and support green fiscal measures.</w:t>
      </w:r>
    </w:p>
    <w:p>
      <w:pPr>
        <w:pStyle w:val="Normal"/>
        <w:numPr>
          <w:ilvl w:val="0"/>
          <w:numId w:val="3"/>
        </w:numPr>
        <w:rPr>
          <w:rFonts w:ascii="Cambria" w:hAnsi="Cambria"/>
        </w:rPr>
      </w:pPr>
      <w:r>
        <w:rPr>
          <w:rFonts w:eastAsia="Overlock" w:cs="Overlock" w:ascii="Cambria" w:hAnsi="Cambria"/>
          <w:sz w:val="24"/>
          <w:szCs w:val="24"/>
        </w:rPr>
        <w:t>Regular Reporting Cycle: Forest accounts will be produced regularly, enabling progress tracking and accountability in natural resource governance</w:t>
      </w:r>
    </w:p>
    <w:p>
      <w:pPr>
        <w:pStyle w:val="Normal"/>
        <w:numPr>
          <w:ilvl w:val="0"/>
          <w:numId w:val="3"/>
        </w:numPr>
        <w:spacing w:before="0" w:after="160"/>
        <w:rPr>
          <w:rFonts w:ascii="Cambria" w:hAnsi="Cambria"/>
        </w:rPr>
      </w:pPr>
      <w:r>
        <w:rPr>
          <w:rFonts w:eastAsia="Overlock" w:cs="Overlock" w:ascii="Cambria" w:hAnsi="Cambria"/>
          <w:sz w:val="24"/>
          <w:szCs w:val="24"/>
        </w:rPr>
        <w:t>Continuous Refinement: Opportunities for methodology enhancement, data quality improvement, and institutional capacity strengthening</w:t>
      </w:r>
    </w:p>
    <w:p>
      <w:pPr>
        <w:pStyle w:val="Normal"/>
        <w:rPr>
          <w:rFonts w:ascii="Cambria" w:hAnsi="Cambria" w:eastAsia="Overlock" w:cs="Overlock"/>
          <w:b/>
          <w:bCs/>
          <w:color w:val="C00000"/>
          <w:sz w:val="32"/>
          <w:szCs w:val="32"/>
        </w:rPr>
      </w:pPr>
      <w:r>
        <w:rPr>
          <w:rFonts w:eastAsia="Overlock" w:cs="Overlock" w:ascii="Cambria" w:hAnsi="Cambria"/>
          <w:b/>
          <w:bCs/>
          <w:color w:val="C00000"/>
          <w:sz w:val="32"/>
          <w:szCs w:val="32"/>
        </w:rPr>
      </w:r>
    </w:p>
    <w:p>
      <w:pPr>
        <w:pStyle w:val="Normal"/>
        <w:rPr>
          <w:rFonts w:ascii="Cambria" w:hAnsi="Cambria"/>
        </w:rPr>
      </w:pPr>
      <w:r>
        <w:rPr>
          <w:rFonts w:eastAsia="Overlock" w:cs="Overlock" w:ascii="Cambria" w:hAnsi="Cambria"/>
          <w:b/>
          <w:bCs/>
          <w:sz w:val="24"/>
          <w:szCs w:val="24"/>
        </w:rPr>
        <w:t>5.3</w:t>
        <w:tab/>
        <w:t>Conclusions</w:t>
      </w:r>
    </w:p>
    <w:p>
      <w:pPr>
        <w:pStyle w:val="Normal"/>
        <w:rPr>
          <w:rFonts w:ascii="Cambria" w:hAnsi="Cambria"/>
        </w:rPr>
      </w:pPr>
      <w:r>
        <w:rPr>
          <w:rFonts w:eastAsia="Overlock" w:cs="Overlock" w:ascii="Cambria" w:hAnsi="Cambria"/>
          <w:b/>
          <w:bCs/>
          <w:sz w:val="24"/>
          <w:szCs w:val="24"/>
        </w:rPr>
        <w:t>XXXXXXX.</w:t>
      </w:r>
    </w:p>
    <w:p>
      <w:pPr>
        <w:pStyle w:val="Normal"/>
        <w:rPr>
          <w:rFonts w:ascii="Cambria" w:hAnsi="Cambria" w:eastAsia="Overlock" w:cs="Overlock"/>
          <w:b/>
          <w:bCs/>
          <w:color w:val="C00000"/>
          <w:sz w:val="32"/>
          <w:szCs w:val="32"/>
        </w:rPr>
      </w:pPr>
      <w:r>
        <w:rPr>
          <w:rFonts w:eastAsia="Overlock" w:cs="Overlock" w:ascii="Cambria" w:hAnsi="Cambria"/>
          <w:b/>
          <w:bCs/>
          <w:color w:val="C00000"/>
          <w:sz w:val="32"/>
          <w:szCs w:val="32"/>
        </w:rPr>
      </w:r>
      <w:r>
        <w:br w:type="page"/>
      </w:r>
    </w:p>
    <w:p>
      <w:pPr>
        <w:pStyle w:val="Heading1"/>
        <w:numPr>
          <w:ilvl w:val="0"/>
          <w:numId w:val="10"/>
        </w:numPr>
        <w:rPr>
          <w:rFonts w:eastAsia="Overlock" w:cs="Overlock"/>
          <w:sz w:val="36"/>
          <w:szCs w:val="36"/>
        </w:rPr>
      </w:pPr>
      <w:bookmarkStart w:id="53" w:name="_heading=h.15evlesxwj1y"/>
      <w:bookmarkEnd w:id="53"/>
      <w:r>
        <w:rPr>
          <w:rFonts w:eastAsia="Overlock" w:cs="Overlock" w:ascii="Cambria" w:hAnsi="Cambria"/>
          <w:sz w:val="36"/>
          <w:szCs w:val="36"/>
        </w:rPr>
        <w:t xml:space="preserve">     </w:t>
      </w:r>
      <w:r>
        <w:rPr>
          <w:rFonts w:eastAsia="Overlock" w:cs="Overlock" w:ascii="Cambria" w:hAnsi="Cambria"/>
          <w:b/>
          <w:bCs/>
          <w:sz w:val="36"/>
          <w:szCs w:val="36"/>
        </w:rPr>
        <w:t>Annexes</w:t>
      </w:r>
    </w:p>
    <w:p>
      <w:pPr>
        <w:pStyle w:val="Normal"/>
        <w:ind w:start="720"/>
        <w:rPr>
          <w:rFonts w:ascii="Cambria" w:hAnsi="Cambria"/>
          <w:b/>
          <w:bCs/>
          <w:sz w:val="26"/>
          <w:szCs w:val="26"/>
          <w:u w:val="single"/>
        </w:rPr>
      </w:pPr>
      <w:r>
        <w:rPr>
          <w:rFonts w:ascii="Cambria" w:hAnsi="Cambria"/>
          <w:b/>
          <w:bCs/>
          <w:sz w:val="26"/>
          <w:szCs w:val="26"/>
          <w:u w:val="single"/>
        </w:rPr>
      </w:r>
    </w:p>
    <w:p>
      <w:pPr>
        <w:pStyle w:val="Normal"/>
        <w:rPr>
          <w:rFonts w:ascii="Cambria" w:hAnsi="Cambria"/>
        </w:rPr>
      </w:pPr>
      <w:r>
        <w:rPr>
          <w:rFonts w:eastAsia="Overlock" w:cs="Overlock" w:ascii="Cambria" w:hAnsi="Cambria"/>
          <w:b/>
          <w:bCs/>
          <w:sz w:val="28"/>
          <w:szCs w:val="28"/>
          <w:u w:val="single"/>
        </w:rPr>
        <w:t>Assumptions</w:t>
      </w:r>
    </w:p>
    <w:p>
      <w:pPr>
        <w:pStyle w:val="Normal"/>
        <w:numPr>
          <w:ilvl w:val="0"/>
          <w:numId w:val="5"/>
        </w:numPr>
        <w:rPr>
          <w:rFonts w:ascii="Cambria" w:hAnsi="Cambria"/>
        </w:rPr>
      </w:pPr>
      <w:r>
        <w:rPr>
          <w:rFonts w:eastAsia="Overlock" w:cs="Overlock" w:ascii="Cambria" w:hAnsi="Cambria"/>
          <w:sz w:val="24"/>
          <w:szCs w:val="24"/>
        </w:rPr>
        <w:t>Sofasets are worth around KSh 55,000 weight assumed to be 55kgs</w:t>
      </w:r>
    </w:p>
    <w:p>
      <w:pPr>
        <w:pStyle w:val="Normal"/>
        <w:numPr>
          <w:ilvl w:val="0"/>
          <w:numId w:val="5"/>
        </w:numPr>
        <w:rPr>
          <w:rFonts w:ascii="Cambria" w:hAnsi="Cambria"/>
        </w:rPr>
      </w:pPr>
      <w:r>
        <w:rPr>
          <w:rFonts w:eastAsia="Overlock" w:cs="Overlock" w:ascii="Cambria" w:hAnsi="Cambria"/>
          <w:sz w:val="24"/>
          <w:szCs w:val="24"/>
        </w:rPr>
        <w:t>The bamboo coffee table is 7kg per table</w:t>
      </w:r>
    </w:p>
    <w:p>
      <w:pPr>
        <w:pStyle w:val="Normal"/>
        <w:numPr>
          <w:ilvl w:val="0"/>
          <w:numId w:val="5"/>
        </w:numPr>
        <w:rPr>
          <w:rFonts w:ascii="Cambria" w:hAnsi="Cambria"/>
        </w:rPr>
      </w:pPr>
      <w:r>
        <w:rPr>
          <w:rFonts w:eastAsia="Overlock" w:cs="Overlock" w:ascii="Cambria" w:hAnsi="Cambria"/>
          <w:sz w:val="24"/>
          <w:szCs w:val="24"/>
        </w:rPr>
        <w:t>Black bed worth 12k assumed to be 25kgs</w:t>
      </w:r>
    </w:p>
    <w:p>
      <w:pPr>
        <w:pStyle w:val="Normal"/>
        <w:numPr>
          <w:ilvl w:val="0"/>
          <w:numId w:val="5"/>
        </w:numPr>
        <w:rPr>
          <w:rFonts w:ascii="Cambria" w:hAnsi="Cambria"/>
        </w:rPr>
      </w:pPr>
      <w:r>
        <w:rPr>
          <w:rFonts w:eastAsia="Overlock" w:cs="Overlock" w:ascii="Cambria" w:hAnsi="Cambria"/>
          <w:sz w:val="24"/>
          <w:szCs w:val="24"/>
        </w:rPr>
        <w:t>Flash door assumed to be 10kgs</w:t>
      </w:r>
    </w:p>
    <w:p>
      <w:pPr>
        <w:pStyle w:val="Normal"/>
        <w:numPr>
          <w:ilvl w:val="0"/>
          <w:numId w:val="5"/>
        </w:numPr>
        <w:rPr>
          <w:rFonts w:ascii="Cambria" w:hAnsi="Cambria"/>
        </w:rPr>
      </w:pPr>
      <w:r>
        <w:rPr>
          <w:rFonts w:eastAsia="Overlock" w:cs="Overlock" w:ascii="Cambria" w:hAnsi="Cambria"/>
          <w:sz w:val="24"/>
          <w:szCs w:val="24"/>
        </w:rPr>
        <w:t>Normal stool is assumed to be 5kg</w:t>
      </w:r>
    </w:p>
    <w:p>
      <w:pPr>
        <w:pStyle w:val="Normal"/>
        <w:numPr>
          <w:ilvl w:val="0"/>
          <w:numId w:val="5"/>
        </w:numPr>
        <w:rPr>
          <w:rFonts w:ascii="Cambria" w:hAnsi="Cambria"/>
        </w:rPr>
      </w:pPr>
      <w:r>
        <w:rPr>
          <w:rFonts w:eastAsia="Overlock" w:cs="Overlock" w:ascii="Cambria" w:hAnsi="Cambria"/>
          <w:sz w:val="24"/>
          <w:szCs w:val="24"/>
        </w:rPr>
        <w:t>Table stool with bamboo sticks and glass top assumed to be 8kgs</w:t>
      </w:r>
    </w:p>
    <w:p>
      <w:pPr>
        <w:pStyle w:val="Normal"/>
        <w:numPr>
          <w:ilvl w:val="0"/>
          <w:numId w:val="5"/>
        </w:numPr>
        <w:rPr>
          <w:rFonts w:ascii="Cambria" w:hAnsi="Cambria"/>
        </w:rPr>
      </w:pPr>
      <w:r>
        <w:rPr>
          <w:rFonts w:eastAsia="Overlock" w:cs="Overlock" w:ascii="Cambria" w:hAnsi="Cambria"/>
          <w:sz w:val="24"/>
          <w:szCs w:val="24"/>
        </w:rPr>
        <w:t>Shoe rack worth around KSh 300 assumed to be 3kgs</w:t>
      </w:r>
    </w:p>
    <w:p>
      <w:pPr>
        <w:pStyle w:val="Normal"/>
        <w:numPr>
          <w:ilvl w:val="0"/>
          <w:numId w:val="5"/>
        </w:numPr>
        <w:rPr>
          <w:rFonts w:ascii="Cambria" w:hAnsi="Cambria"/>
        </w:rPr>
      </w:pPr>
      <w:r>
        <w:rPr>
          <w:rFonts w:eastAsia="Overlock" w:cs="Overlock" w:ascii="Cambria" w:hAnsi="Cambria"/>
          <w:sz w:val="24"/>
          <w:szCs w:val="24"/>
        </w:rPr>
        <w:t>Hard wood stool worth KSh 1,000 assumed to be 5kg</w:t>
      </w:r>
    </w:p>
    <w:p>
      <w:pPr>
        <w:pStyle w:val="Normal"/>
        <w:numPr>
          <w:ilvl w:val="0"/>
          <w:numId w:val="5"/>
        </w:numPr>
        <w:rPr>
          <w:rFonts w:ascii="Cambria" w:hAnsi="Cambria"/>
        </w:rPr>
      </w:pPr>
      <w:r>
        <w:rPr>
          <w:rFonts w:eastAsia="Overlock" w:cs="Overlock" w:ascii="Cambria" w:hAnsi="Cambria"/>
          <w:sz w:val="24"/>
          <w:szCs w:val="24"/>
        </w:rPr>
        <w:t>Walking stick assumed to be 0.5 kg each</w:t>
      </w:r>
    </w:p>
    <w:p>
      <w:pPr>
        <w:pStyle w:val="Normal"/>
        <w:numPr>
          <w:ilvl w:val="0"/>
          <w:numId w:val="5"/>
        </w:numPr>
        <w:rPr>
          <w:rFonts w:ascii="Cambria" w:hAnsi="Cambria"/>
        </w:rPr>
      </w:pPr>
      <w:r>
        <w:rPr>
          <w:rFonts w:eastAsia="Overlock" w:cs="Overlock" w:ascii="Cambria" w:hAnsi="Cambria"/>
          <w:sz w:val="24"/>
          <w:szCs w:val="24"/>
        </w:rPr>
        <w:t>Timber assumption is that the dimension is 6*1*12 ft assumed to be 12kg each.</w:t>
      </w:r>
    </w:p>
    <w:p>
      <w:pPr>
        <w:pStyle w:val="Normal"/>
        <w:numPr>
          <w:ilvl w:val="0"/>
          <w:numId w:val="5"/>
        </w:numPr>
        <w:rPr>
          <w:rFonts w:ascii="Cambria" w:hAnsi="Cambria"/>
        </w:rPr>
      </w:pPr>
      <w:r>
        <w:rPr>
          <w:rFonts w:eastAsia="Overlock" w:cs="Overlock" w:ascii="Cambria" w:hAnsi="Cambria"/>
          <w:sz w:val="24"/>
          <w:szCs w:val="24"/>
        </w:rPr>
        <w:t>Kenya exports most of softwoods, and as such the density of softwoods was assumed to be 650 kg/m3  and that of Hardwoods which are mostly imported to be 800 kg/m3</w:t>
      </w:r>
    </w:p>
    <w:p>
      <w:pPr>
        <w:pStyle w:val="Normal"/>
        <w:numPr>
          <w:ilvl w:val="0"/>
          <w:numId w:val="5"/>
        </w:numPr>
        <w:rPr>
          <w:rFonts w:ascii="Cambria" w:hAnsi="Cambria"/>
        </w:rPr>
      </w:pPr>
      <w:r>
        <w:rPr>
          <w:rFonts w:eastAsia="Overlock" w:cs="Overlock" w:ascii="Cambria" w:hAnsi="Cambria"/>
          <w:sz w:val="24"/>
          <w:szCs w:val="24"/>
        </w:rPr>
        <w:t xml:space="preserve">For a bed costing KES 3,000 to 7,000 the weight was assumed to be 12 kgs </w:t>
      </w:r>
    </w:p>
    <w:p>
      <w:pPr>
        <w:pStyle w:val="Normal"/>
        <w:numPr>
          <w:ilvl w:val="0"/>
          <w:numId w:val="5"/>
        </w:numPr>
        <w:rPr>
          <w:rFonts w:ascii="Cambria" w:hAnsi="Cambria"/>
        </w:rPr>
      </w:pPr>
      <w:r>
        <w:rPr>
          <w:rFonts w:eastAsia="Overlock" w:cs="Overlock" w:ascii="Cambria" w:hAnsi="Cambria"/>
          <w:sz w:val="24"/>
          <w:szCs w:val="24"/>
        </w:rPr>
        <w:t>For a bed costing KES 20,000-30,000   the weight was assumed to be 30 kgs</w:t>
      </w:r>
    </w:p>
    <w:p>
      <w:pPr>
        <w:pStyle w:val="Normal"/>
        <w:numPr>
          <w:ilvl w:val="0"/>
          <w:numId w:val="5"/>
        </w:numPr>
        <w:rPr>
          <w:rFonts w:ascii="Cambria" w:hAnsi="Cambria"/>
        </w:rPr>
      </w:pPr>
      <w:r>
        <w:rPr>
          <w:rFonts w:eastAsia="Overlock" w:cs="Overlock" w:ascii="Cambria" w:hAnsi="Cambria"/>
          <w:sz w:val="24"/>
          <w:szCs w:val="24"/>
        </w:rPr>
        <w:t xml:space="preserve">In Physical-supply, to estimate the Domestic production of furniture; 2018 CIP data was used, where the value of furniture(Formal) from 2018 CIP report was estimated as 11,865,900,000. Assuming 1 M3 of furniture has a market value of Ksh 30,000, then you can get the volume. The formal sector accounts for about 30%, then estimate 100% and convert the amount into KGs, where 1 m³ = 1000 Kg. </w:t>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eastAsia="Overlock" w:cs="Overlock"/>
          <w:sz w:val="24"/>
          <w:szCs w:val="24"/>
        </w:rPr>
      </w:pPr>
      <w:r>
        <w:rPr>
          <w:rFonts w:eastAsia="Overlock" w:cs="Overlock" w:ascii="Cambria" w:hAnsi="Cambria"/>
          <w:sz w:val="24"/>
          <w:szCs w:val="24"/>
        </w:rPr>
      </w:r>
    </w:p>
    <w:p>
      <w:pPr>
        <w:pStyle w:val="Normal"/>
        <w:rPr>
          <w:rFonts w:ascii="Cambria" w:hAnsi="Cambria"/>
        </w:rPr>
      </w:pPr>
      <w:r>
        <w:rPr>
          <w:rFonts w:eastAsia="Overlock" w:cs="Overlock" w:ascii="Cambria" w:hAnsi="Cambria"/>
          <w:b/>
          <w:bCs/>
          <w:sz w:val="24"/>
          <w:szCs w:val="24"/>
        </w:rPr>
        <w:t>Notes:</w:t>
      </w:r>
    </w:p>
    <w:p>
      <w:pPr>
        <w:pStyle w:val="Normal"/>
        <w:numPr>
          <w:ilvl w:val="0"/>
          <w:numId w:val="1"/>
        </w:numPr>
        <w:rPr>
          <w:rFonts w:ascii="Cambria" w:hAnsi="Cambria"/>
        </w:rPr>
      </w:pPr>
      <w:r>
        <w:rPr>
          <w:rFonts w:eastAsia="Overlock" w:cs="Overlock" w:ascii="Cambria" w:hAnsi="Cambria"/>
          <w:sz w:val="24"/>
          <w:szCs w:val="24"/>
        </w:rPr>
        <w:t>For model food crop coverage out of the PELIS areas, maize is apportioned 10%, potatoes 20%, cabbage 20%</w:t>
      </w:r>
    </w:p>
    <w:p>
      <w:pPr>
        <w:pStyle w:val="Normal"/>
        <w:numPr>
          <w:ilvl w:val="0"/>
          <w:numId w:val="1"/>
        </w:numPr>
        <w:rPr>
          <w:rFonts w:ascii="Cambria" w:hAnsi="Cambria"/>
        </w:rPr>
      </w:pPr>
      <w:r>
        <w:rPr>
          <w:rFonts w:eastAsia="Overlock" w:cs="Overlock" w:ascii="Cambria" w:hAnsi="Cambria"/>
          <w:sz w:val="24"/>
          <w:szCs w:val="24"/>
        </w:rPr>
        <w:t xml:space="preserve">There is a need to adjust the informal figures upwards to ensure it is a true representation of the population. </w:t>
      </w:r>
    </w:p>
    <w:p>
      <w:pPr>
        <w:pStyle w:val="Normal"/>
        <w:numPr>
          <w:ilvl w:val="0"/>
          <w:numId w:val="1"/>
        </w:numPr>
        <w:rPr>
          <w:rFonts w:ascii="Cambria" w:hAnsi="Cambria"/>
        </w:rPr>
      </w:pPr>
      <w:r>
        <w:rPr>
          <w:rFonts w:eastAsia="Overlock" w:cs="Overlock" w:ascii="Cambria" w:hAnsi="Cambria"/>
          <w:sz w:val="24"/>
          <w:szCs w:val="24"/>
        </w:rPr>
        <w:t xml:space="preserve">For Items with a unit measure of pieces, mass was calculated by computing the unit price per kg of a known item that had mass recorded. Once done, the unit price per kg is used to calculate the mass of the unknown item by working backwards from its value. </w:t>
      </w:r>
    </w:p>
    <w:p>
      <w:pPr>
        <w:pStyle w:val="Normal"/>
        <w:numPr>
          <w:ilvl w:val="0"/>
          <w:numId w:val="1"/>
        </w:numPr>
        <w:rPr>
          <w:rFonts w:ascii="Cambria" w:hAnsi="Cambria"/>
        </w:rPr>
      </w:pPr>
      <w:r>
        <w:rPr>
          <w:rFonts w:eastAsia="Overlock" w:cs="Overlock" w:ascii="Cambria" w:hAnsi="Cambria"/>
          <w:sz w:val="24"/>
          <w:szCs w:val="24"/>
        </w:rPr>
        <w:t xml:space="preserve">Area under plantation data is only available for 2021. Stock for the other years was extrapolated. </w:t>
      </w:r>
    </w:p>
    <w:p>
      <w:pPr>
        <w:pStyle w:val="Normal"/>
        <w:numPr>
          <w:ilvl w:val="0"/>
          <w:numId w:val="1"/>
        </w:numPr>
        <w:rPr>
          <w:rFonts w:ascii="Cambria" w:hAnsi="Cambria"/>
        </w:rPr>
      </w:pPr>
      <w:r>
        <w:rPr>
          <w:rFonts w:eastAsia="Overlock" w:cs="Overlock" w:ascii="Cambria" w:hAnsi="Cambria"/>
          <w:sz w:val="24"/>
          <w:szCs w:val="24"/>
        </w:rPr>
        <w:t xml:space="preserve">There are currently 326 licenses given for grazing, with charges being KSh 100 per head of livestock. Total income was calculated by estimating daily livestock in the forests multiplied by a factor of 3 to account for those who may bring in more than what was agreed. </w:t>
      </w:r>
    </w:p>
    <w:p>
      <w:pPr>
        <w:pStyle w:val="Normal"/>
        <w:numPr>
          <w:ilvl w:val="0"/>
          <w:numId w:val="1"/>
        </w:numPr>
        <w:rPr>
          <w:rFonts w:ascii="Cambria" w:hAnsi="Cambria"/>
        </w:rPr>
      </w:pPr>
      <w:r>
        <w:rPr>
          <w:rFonts w:eastAsia="Overlock" w:cs="Overlock" w:ascii="Cambria" w:hAnsi="Cambria"/>
          <w:sz w:val="24"/>
          <w:szCs w:val="24"/>
        </w:rPr>
        <w:t xml:space="preserve">The category of “Other products” is to be included in the table. </w:t>
      </w:r>
    </w:p>
    <w:p>
      <w:pPr>
        <w:pStyle w:val="Normal"/>
        <w:rPr>
          <w:rFonts w:ascii="Cambria" w:hAnsi="Cambria" w:eastAsia="Overlock" w:cs="Overlock"/>
          <w:sz w:val="24"/>
          <w:szCs w:val="24"/>
        </w:rPr>
      </w:pPr>
      <w:r>
        <w:rPr>
          <w:rFonts w:eastAsia="Overlock" w:cs="Overlock" w:ascii="Cambria" w:hAnsi="Cambria"/>
          <w:sz w:val="24"/>
          <w:szCs w:val="24"/>
        </w:rPr>
      </w:r>
    </w:p>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w="12240" w:h="15840"/>
      <w:pgMar w:left="1440" w:right="135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verlock">
    <w:charset w:val="01" w:characterSet="utf-8"/>
    <w:family w:val="swiss"/>
    <w:pitch w:val="variable"/>
  </w:font>
  <w:font w:name="Liberation Sans">
    <w:altName w:val="Arial"/>
    <w:charset w:val="01" w:characterSet="utf-8"/>
    <w:family w:val="swiss"/>
    <w:pitch w:val="variable"/>
  </w:font>
  <w:font w:name="Cambria">
    <w:charset w:val="01"/>
    <w:family w:val="roman"/>
    <w:pitch w:val="variable"/>
  </w:font>
  <w:font w:name="Calibri">
    <w:charset w:val="01" w:characterSet="utf-8"/>
    <w:family w:val="swiss"/>
    <w:pitch w:val="variable"/>
  </w:font>
  <w:font w:name="Wingdings">
    <w:charset w:val="02"/>
    <w:family w:val="auto"/>
    <w:pitch w:val="default"/>
    <w:embedRegular r:id="rId1" w:fontKey="{01014A78-CABC-4EF0-12AC-5CD89AEFDE01}"/>
    <w:embedBold r:id="rId2" w:fontKey="{02014A78-CABC-4EF0-12AC-5CD89AEFDE02}"/>
  </w:font>
  <w:font w:name="Wingdings 2">
    <w:charset w:val="02"/>
    <w:family w:val="auto"/>
    <w:pitch w:val="default"/>
    <w:embedRegular r:id="rId3" w:fontKey="{03014A78-CABC-4EF0-12AC-5CD89AEFDE03}"/>
    <w:embedBold r:id="rId4" w:fontKey="{04014A78-CABC-4EF0-12AC-5CD89AEFDE04}"/>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680" w:leader="none"/>
        <w:tab w:val="right" w:pos="9360" w:leader="none"/>
      </w:tabs>
      <w:ind w:end="360"/>
      <w:rPr>
        <w:color w:val="000000"/>
      </w:rPr>
    </w:pPr>
    <w:r>
      <w:rPr>
        <w:color w:val="000000"/>
      </w:rPr>
      <mc:AlternateContent>
        <mc:Choice Requires="wps">
          <w:drawing>
            <wp:anchor distT="0" distB="0" distL="0" distR="0" simplePos="0" relativeHeight="104" behindDoc="1" locked="0" layoutInCell="1" allowOverlap="1" wp14:anchorId="6238F801">
              <wp:simplePos x="0" y="0"/>
              <wp:positionH relativeFrom="column">
                <wp:posOffset>0</wp:posOffset>
              </wp:positionH>
              <wp:positionV relativeFrom="paragraph">
                <wp:posOffset>635</wp:posOffset>
              </wp:positionV>
              <wp:extent cx="1141095" cy="408305"/>
              <wp:effectExtent l="0" t="0" r="0" b="0"/>
              <wp:wrapNone/>
              <wp:docPr id="13" name="Rectangle 1966302296" descr="Official Use Only"/>
              <a:graphic xmlns:a="http://schemas.openxmlformats.org/drawingml/2006/main">
                <a:graphicData uri="http://schemas.microsoft.com/office/word/2010/wordprocessingShape">
                  <wps:wsp>
                    <wps:cNvSpPr/>
                    <wps:spPr>
                      <a:xfrm>
                        <a:off x="0" y="0"/>
                        <a:ext cx="1141200" cy="408240"/>
                      </a:xfrm>
                      <a:prstGeom prst="rect">
                        <a:avLst/>
                      </a:prstGeom>
                      <a:noFill/>
                      <a:ln w="0">
                        <a:noFill/>
                      </a:ln>
                    </wps:spPr>
                    <wps:style>
                      <a:lnRef idx="0"/>
                      <a:fillRef idx="0"/>
                      <a:effectRef idx="0"/>
                      <a:fontRef idx="minor"/>
                    </wps:style>
                    <wps:txbx>
                      <w:txbxContent>
                        <w:p>
                          <w:pPr>
                            <w:pStyle w:val="FrameContents"/>
                            <w:spacing w:lineRule="auto" w:line="278"/>
                            <w:rPr/>
                          </w:pPr>
                          <w:r>
                            <w:rPr>
                              <w:rFonts w:eastAsia="Calibri" w:cs="Calibri" w:ascii="Calibri" w:hAnsi="Calibri"/>
                              <w:color w:val="000000"/>
                              <w:sz w:val="20"/>
                            </w:rPr>
                            <w:t>Official Use Only</w:t>
                          </w:r>
                        </w:p>
                      </w:txbxContent>
                    </wps:txbx>
                    <wps:bodyPr lIns="0" tIns="0" rIns="254160" bIns="190440" anchor="b">
                      <a:noAutofit/>
                    </wps:bodyPr>
                  </wps:wsp>
                </a:graphicData>
              </a:graphic>
            </wp:anchor>
          </w:drawing>
        </mc:Choice>
        <mc:Fallback>
          <w:pict>
            <v:rect id="shape_0" stroked="f" o:allowincell="f" style="position:absolute;margin-left:307.65pt;margin-top:-1.5pt;width:89.8pt;height:32.1pt;mso-wrap-style:square;v-text-anchor:bottom" wp14:anchorId="6238F801">
              <v:fill o:detectmouseclick="t" on="false"/>
              <v:stroke color="#3465a4" joinstyle="round" endcap="flat"/>
              <v:textbox>
                <w:txbxContent>
                  <w:p>
                    <w:pPr>
                      <w:pStyle w:val="FrameContents"/>
                      <w:spacing w:lineRule="auto" w:line="278"/>
                      <w:rPr/>
                    </w:pPr>
                    <w:r>
                      <w:rPr>
                        <w:rFonts w:eastAsia="Calibri" w:cs="Calibri" w:ascii="Calibri" w:hAnsi="Calibri"/>
                        <w:color w:val="000000"/>
                        <w:sz w:val="20"/>
                      </w:rPr>
                      <w:t>Official Use Only</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44</w:t>
    </w:r>
    <w:r>
      <w:rPr>
        <w:color w:val="000000"/>
      </w:rPr>
      <w:fldChar w:fldCharType="end"/>
    </w:r>
  </w:p>
  <w:p>
    <w:pPr>
      <w:pStyle w:val="Normal"/>
      <w:pBdr/>
      <w:tabs>
        <w:tab w:val="clear" w:pos="720"/>
        <w:tab w:val="center" w:pos="4680" w:leader="none"/>
        <w:tab w:val="right" w:pos="9360" w:leader="none"/>
      </w:tabs>
      <w:ind w:end="360"/>
      <w:rPr>
        <w:color w:val="000000"/>
      </w:rPr>
    </w:pPr>
    <w:r>
      <w:rPr>
        <w:color w:val="000000"/>
      </w:rPr>
      <mc:AlternateContent>
        <mc:Choice Requires="wps">
          <w:drawing>
            <wp:anchor distT="0" distB="0" distL="0" distR="0" simplePos="0" relativeHeight="101" behindDoc="1" locked="0" layoutInCell="1" allowOverlap="1" wp14:anchorId="6238F803">
              <wp:simplePos x="0" y="0"/>
              <wp:positionH relativeFrom="column">
                <wp:posOffset>3907155</wp:posOffset>
              </wp:positionH>
              <wp:positionV relativeFrom="paragraph">
                <wp:posOffset>-19050</wp:posOffset>
              </wp:positionV>
              <wp:extent cx="1141095" cy="408305"/>
              <wp:effectExtent l="0" t="0" r="0" b="0"/>
              <wp:wrapNone/>
              <wp:docPr id="14" name="Rectangle 1966302295" descr="Official Use Only"/>
              <a:graphic xmlns:a="http://schemas.openxmlformats.org/drawingml/2006/main">
                <a:graphicData uri="http://schemas.microsoft.com/office/word/2010/wordprocessingShape">
                  <wps:wsp>
                    <wps:cNvSpPr/>
                    <wps:spPr>
                      <a:xfrm>
                        <a:off x="0" y="0"/>
                        <a:ext cx="1141200" cy="408240"/>
                      </a:xfrm>
                      <a:prstGeom prst="rect">
                        <a:avLst/>
                      </a:prstGeom>
                      <a:noFill/>
                      <a:ln w="0">
                        <a:noFill/>
                      </a:ln>
                    </wps:spPr>
                    <wps:style>
                      <a:lnRef idx="0"/>
                      <a:fillRef idx="0"/>
                      <a:effectRef idx="0"/>
                      <a:fontRef idx="minor"/>
                    </wps:style>
                    <wps:txbx>
                      <w:txbxContent>
                        <w:p>
                          <w:pPr>
                            <w:pStyle w:val="FrameContents"/>
                            <w:spacing w:lineRule="auto" w:line="278"/>
                            <w:rPr/>
                          </w:pPr>
                          <w:r>
                            <w:rPr>
                              <w:rFonts w:eastAsia="Calibri" w:cs="Calibri" w:ascii="Calibri" w:hAnsi="Calibri"/>
                              <w:color w:val="000000"/>
                              <w:sz w:val="20"/>
                            </w:rPr>
                            <w:t>Official Use Only</w:t>
                          </w:r>
                        </w:p>
                      </w:txbxContent>
                    </wps:txbx>
                    <wps:bodyPr lIns="0" tIns="0" rIns="254160" bIns="190440" anchor="b">
                      <a:noAutofit/>
                    </wps:bodyPr>
                  </wps:wsp>
                </a:graphicData>
              </a:graphic>
            </wp:anchor>
          </w:drawing>
        </mc:Choice>
        <mc:Fallback>
          <w:pict>
            <v:rect id="shape_0" stroked="f" o:allowincell="f" style="position:absolute;margin-left:307.65pt;margin-top:-1.5pt;width:89.8pt;height:32.1pt;mso-wrap-style:square;v-text-anchor:bottom" wp14:anchorId="6238F803">
              <v:fill o:detectmouseclick="t" on="false"/>
              <v:stroke color="#3465a4" joinstyle="round" endcap="flat"/>
              <v:textbox>
                <w:txbxContent>
                  <w:p>
                    <w:pPr>
                      <w:pStyle w:val="FrameContents"/>
                      <w:spacing w:lineRule="auto" w:line="278"/>
                      <w:rPr/>
                    </w:pPr>
                    <w:r>
                      <w:rPr>
                        <w:rFonts w:eastAsia="Calibri" w:cs="Calibri" w:ascii="Calibri" w:hAnsi="Calibri"/>
                        <w:color w:val="000000"/>
                        <w:sz w:val="20"/>
                      </w:rPr>
                      <w:t>Official Use Only</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44</w:t>
    </w:r>
    <w:r>
      <w:rPr>
        <w:color w:val="000000"/>
      </w:rPr>
      <w:fldChar w:fldCharType="end"/>
    </w:r>
  </w:p>
  <w:p>
    <w:pPr>
      <w:pStyle w:val="Normal"/>
      <w:pBdr/>
      <w:tabs>
        <w:tab w:val="clear" w:pos="720"/>
        <w:tab w:val="center" w:pos="4680" w:leader="none"/>
        <w:tab w:val="right" w:pos="9360" w:leader="none"/>
      </w:tabs>
      <w:ind w:end="360"/>
      <w:rPr>
        <w:color w:val="000000"/>
      </w:rPr>
    </w:pPr>
    <w:r>
      <w:rPr>
        <w:color w:val="000000"/>
      </w:rPr>
      <mc:AlternateContent>
        <mc:Choice Requires="wps">
          <w:drawing>
            <wp:anchor distT="0" distB="0" distL="0" distR="0" simplePos="0" relativeHeight="101" behindDoc="1" locked="0" layoutInCell="1" allowOverlap="1" wp14:anchorId="6238F803">
              <wp:simplePos x="0" y="0"/>
              <wp:positionH relativeFrom="column">
                <wp:posOffset>3907155</wp:posOffset>
              </wp:positionH>
              <wp:positionV relativeFrom="paragraph">
                <wp:posOffset>-19050</wp:posOffset>
              </wp:positionV>
              <wp:extent cx="1141095" cy="408305"/>
              <wp:effectExtent l="0" t="0" r="0" b="0"/>
              <wp:wrapNone/>
              <wp:docPr id="15" name="Rectangle 1966302295" descr="Official Use Only"/>
              <a:graphic xmlns:a="http://schemas.openxmlformats.org/drawingml/2006/main">
                <a:graphicData uri="http://schemas.microsoft.com/office/word/2010/wordprocessingShape">
                  <wps:wsp>
                    <wps:cNvSpPr/>
                    <wps:spPr>
                      <a:xfrm>
                        <a:off x="0" y="0"/>
                        <a:ext cx="1141200" cy="408240"/>
                      </a:xfrm>
                      <a:prstGeom prst="rect">
                        <a:avLst/>
                      </a:prstGeom>
                      <a:noFill/>
                      <a:ln w="0">
                        <a:noFill/>
                      </a:ln>
                    </wps:spPr>
                    <wps:style>
                      <a:lnRef idx="0"/>
                      <a:fillRef idx="0"/>
                      <a:effectRef idx="0"/>
                      <a:fontRef idx="minor"/>
                    </wps:style>
                    <wps:txbx>
                      <w:txbxContent>
                        <w:p>
                          <w:pPr>
                            <w:pStyle w:val="FrameContents"/>
                            <w:spacing w:lineRule="auto" w:line="278"/>
                            <w:rPr/>
                          </w:pPr>
                          <w:r>
                            <w:rPr>
                              <w:rFonts w:eastAsia="Calibri" w:cs="Calibri" w:ascii="Calibri" w:hAnsi="Calibri"/>
                              <w:color w:val="000000"/>
                              <w:sz w:val="20"/>
                            </w:rPr>
                            <w:t>Official Use Only</w:t>
                          </w:r>
                        </w:p>
                      </w:txbxContent>
                    </wps:txbx>
                    <wps:bodyPr lIns="0" tIns="0" rIns="254160" bIns="190440" anchor="b">
                      <a:noAutofit/>
                    </wps:bodyPr>
                  </wps:wsp>
                </a:graphicData>
              </a:graphic>
            </wp:anchor>
          </w:drawing>
        </mc:Choice>
        <mc:Fallback>
          <w:pict>
            <v:rect id="shape_0" stroked="f" o:allowincell="f" style="position:absolute;margin-left:307.65pt;margin-top:-1.5pt;width:89.8pt;height:32.1pt;mso-wrap-style:square;v-text-anchor:bottom" wp14:anchorId="6238F803">
              <v:fill o:detectmouseclick="t" on="false"/>
              <v:stroke color="#3465a4" joinstyle="round" endcap="flat"/>
              <v:textbox>
                <w:txbxContent>
                  <w:p>
                    <w:pPr>
                      <w:pStyle w:val="FrameContents"/>
                      <w:spacing w:lineRule="auto" w:line="278"/>
                      <w:rPr/>
                    </w:pPr>
                    <w:r>
                      <w:rPr>
                        <w:rFonts w:eastAsia="Calibri" w:cs="Calibri" w:ascii="Calibri" w:hAnsi="Calibri"/>
                        <w:color w:val="000000"/>
                        <w:sz w:val="20"/>
                      </w:rPr>
                      <w:t>Official Use Only</w:t>
                    </w:r>
                  </w:p>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https://www.dfat.gov.au/sites/default/files/kenya-system-land-based-emissions-estimation-mtr-man-resp.pdf</w:t>
      </w:r>
    </w:p>
  </w:footnote>
  <w:footnote w:id="3">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https://redd.unfccc.int/files/national_frl_report_for_redd__in_kenya.pdf</w:t>
      </w:r>
    </w:p>
  </w:footnote>
  <w:footnote w:id="4">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https://unfccc.int/documents/645092</w:t>
      </w:r>
    </w:p>
  </w:footnote>
  <w:footnote w:id="5">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https://www.ipcc-nggip.iges.or.jp/public/2019rf/pdf/4_Volume4/19R_V4_Ch02_Generic%20Methods.pdf</w:t>
      </w:r>
    </w:p>
  </w:footnote>
  <w:footnote w:id="6">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https://www.kefri.org/assets/publications/extension/Contribution%20of%20pelis%20in%20increasing%20tree%20cover%20and%20community%20livelihoods%20in%20Kenya.pdf</w:t>
      </w:r>
    </w:p>
  </w:footnote>
  <w:footnote w:id="7">
    <w:p>
      <w:pPr>
        <w:pStyle w:val="Normal"/>
        <w:pBdr/>
        <w:rPr>
          <w:color w:val="000000"/>
          <w:sz w:val="18"/>
          <w:szCs w:val="18"/>
        </w:rPr>
      </w:pPr>
      <w:r>
        <w:rPr>
          <w:rStyle w:val="FootnoteCharacters"/>
        </w:rPr>
        <w:footnoteRef/>
      </w:r>
      <w:r>
        <w:rPr>
          <w:color w:val="000000"/>
          <w:sz w:val="18"/>
          <w:szCs w:val="18"/>
        </w:rPr>
        <w:t>https://www.fao.org/gfoi/resources/videos/video-detail/insight-into-the-global-forest-resources-assessment-process/en</w:t>
      </w:r>
    </w:p>
  </w:footnote>
  <w:footnote w:id="8">
    <w:p>
      <w:pPr>
        <w:pStyle w:val="Normal"/>
        <w:pBdr/>
        <w:rPr>
          <w:color w:val="000000"/>
          <w:sz w:val="18"/>
          <w:szCs w:val="18"/>
        </w:rPr>
      </w:pPr>
      <w:r>
        <w:rPr>
          <w:rStyle w:val="FootnoteCharacters"/>
        </w:rPr>
        <w:footnoteRef/>
      </w:r>
      <w:r>
        <w:rPr>
          <w:color w:val="000000"/>
          <w:sz w:val="18"/>
          <w:szCs w:val="18"/>
        </w:rPr>
        <w:t>https://www.un-redd.org/sites/default/files/2022-05/NATIONAL%20REDD%2B%20STRATEGY%202022.pdf</w:t>
      </w:r>
    </w:p>
  </w:footnote>
  <w:footnote w:id="9">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https://redd.unfccc.int/media/kenya_national_frl_report-_august_2020.pdf</w:t>
      </w:r>
    </w:p>
  </w:footnote>
  <w:footnote w:id="10">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https://unfccc.int/documents/645091</w:t>
      </w:r>
    </w:p>
  </w:footnote>
  <w:footnote w:id="11">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Chapter 2: Generic Methodologies Applicable to Multiple Land-Use Categories. https://www.ipcc-nggip.iges.or.jp/public/2006gl/pdf/4_Volume4/V4_02_Ch2_Generic.pdf</w:t>
      </w:r>
    </w:p>
  </w:footnote>
  <w:footnote w:id="12">
    <w:p>
      <w:pPr>
        <w:pStyle w:val="Normal"/>
        <w:pBdr/>
        <w:rPr>
          <w:color w:val="000000"/>
          <w:sz w:val="18"/>
          <w:szCs w:val="18"/>
        </w:rPr>
      </w:pPr>
      <w:r>
        <w:rPr>
          <w:rStyle w:val="FootnoteCharacters"/>
        </w:rPr>
        <w:footnoteRef/>
      </w:r>
      <w:r>
        <w:rPr>
          <w:color w:val="000000"/>
          <w:sz w:val="18"/>
          <w:szCs w:val="18"/>
        </w:rPr>
        <w:t xml:space="preserve"> </w:t>
      </w:r>
      <w:r>
        <w:rPr>
          <w:color w:val="000000"/>
          <w:sz w:val="18"/>
          <w:szCs w:val="18"/>
        </w:rPr>
        <w:t>https://www.kefri.org/assets/publications/extension/Contribution%20of%20pelis%20in%20increasing%20tree%20cover%20and%20community%20livelihoods%20in%20Kenya.pdf</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927"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both"/>
    </w:pPr>
    <w:rPr>
      <w:rFonts w:ascii="Arial" w:hAnsi="Arial" w:eastAsia="Arial" w:cs="Arial"/>
      <w:color w:val="auto"/>
      <w:kern w:val="0"/>
      <w:sz w:val="22"/>
      <w:szCs w:val="22"/>
      <w:lang w:val="en-CA"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lineRule="auto" w:line="276"/>
      <w:ind w:hanging="360" w:start="720"/>
      <w:outlineLvl w:val="1"/>
    </w:pPr>
    <w:rPr>
      <w:rFonts w:ascii="Overlock" w:hAnsi="Overlock" w:eastAsia="Overlock" w:cs="Overlock"/>
      <w:b/>
      <w:bCs/>
      <w:sz w:val="24"/>
      <w:szCs w:val="24"/>
    </w:rPr>
  </w:style>
  <w:style w:type="paragraph" w:styleId="Heading3">
    <w:name w:val="heading 3"/>
    <w:basedOn w:val="Normal"/>
    <w:next w:val="Normal"/>
    <w:uiPriority w:val="9"/>
    <w:unhideWhenUsed/>
    <w:qFormat/>
    <w:pPr>
      <w:keepNext w:val="true"/>
      <w:keepLines/>
      <w:spacing w:before="320" w:after="80"/>
      <w:ind w:start="720"/>
      <w:outlineLvl w:val="2"/>
    </w:pPr>
    <w:rPr>
      <w:b/>
      <w:bCs/>
      <w:color w:val="434343"/>
      <w:sz w:val="24"/>
      <w:szCs w:val="24"/>
    </w:rPr>
  </w:style>
  <w:style w:type="paragraph" w:styleId="Heading4">
    <w:name w:val="heading 4"/>
    <w:basedOn w:val="Normal"/>
    <w:next w:val="Normal"/>
    <w:uiPriority w:val="9"/>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basedOn w:val="DefaultParagraphFont"/>
    <w:uiPriority w:val="99"/>
    <w:unhideWhenUsed/>
    <w:rsid w:val="003b2604"/>
    <w:rPr>
      <w:color w:themeColor="hyperlink" w:val="0000FF"/>
      <w:u w:val="single"/>
    </w:rPr>
  </w:style>
  <w:style w:type="character" w:styleId="FootnoteTextChar" w:customStyle="1">
    <w:name w:val="Footnote Text Char"/>
    <w:basedOn w:val="DefaultParagraphFont"/>
    <w:link w:val="FootnoteText"/>
    <w:uiPriority w:val="99"/>
    <w:semiHidden/>
    <w:qFormat/>
    <w:rsid w:val="00120e4a"/>
    <w:rPr>
      <w:sz w:val="18"/>
      <w:szCs w:val="20"/>
    </w:rPr>
  </w:style>
  <w:style w:type="character" w:styleId="FootnoteCharacters">
    <w:name w:val="Footnote Characters"/>
    <w:basedOn w:val="DefaultParagraphFont"/>
    <w:uiPriority w:val="99"/>
    <w:semiHidden/>
    <w:unhideWhenUsed/>
    <w:qFormat/>
    <w:rsid w:val="00f44dd7"/>
    <w:rPr>
      <w:vertAlign w:val="superscript"/>
    </w:rPr>
  </w:style>
  <w:style w:type="character" w:styleId="FootnoteReference">
    <w:name w:val="footnote reference"/>
    <w:rPr>
      <w:vertAlign w:val="superscrip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853949"/>
    <w:pPr>
      <w:spacing w:before="0" w:after="200"/>
    </w:pPr>
    <w:rPr>
      <w:i/>
      <w:iCs/>
      <w:color w:themeColor="text2" w:val="1F497D"/>
      <w:sz w:val="24"/>
      <w:szCs w:val="18"/>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CommentText">
    <w:name w:val="annotation text"/>
    <w:basedOn w:val="Normal"/>
    <w:link w:val="CommentTextChar"/>
    <w:uiPriority w:val="99"/>
    <w:semiHidden/>
    <w:unhideWhenUsed/>
    <w:pPr/>
    <w:rPr>
      <w:sz w:val="20"/>
      <w:szCs w:val="20"/>
    </w:rPr>
  </w:style>
  <w:style w:type="paragraph" w:styleId="TOC2">
    <w:name w:val="toc 2"/>
    <w:basedOn w:val="Normal"/>
    <w:next w:val="Normal"/>
    <w:autoRedefine/>
    <w:uiPriority w:val="39"/>
    <w:unhideWhenUsed/>
    <w:rsid w:val="003b2604"/>
    <w:pPr>
      <w:spacing w:before="0" w:after="100"/>
      <w:ind w:start="240"/>
    </w:pPr>
    <w:rPr/>
  </w:style>
  <w:style w:type="paragraph" w:styleId="TOC1">
    <w:name w:val="toc 1"/>
    <w:basedOn w:val="Normal"/>
    <w:next w:val="Normal"/>
    <w:autoRedefine/>
    <w:uiPriority w:val="39"/>
    <w:unhideWhenUsed/>
    <w:rsid w:val="003b2604"/>
    <w:pPr>
      <w:spacing w:before="0" w:after="100"/>
    </w:pPr>
    <w:rPr/>
  </w:style>
  <w:style w:type="paragraph" w:styleId="TOC3">
    <w:name w:val="toc 3"/>
    <w:basedOn w:val="Normal"/>
    <w:next w:val="Normal"/>
    <w:autoRedefine/>
    <w:uiPriority w:val="39"/>
    <w:unhideWhenUsed/>
    <w:rsid w:val="003b2604"/>
    <w:pPr>
      <w:spacing w:before="0" w:after="100"/>
      <w:ind w:start="480"/>
    </w:pPr>
    <w:rPr/>
  </w:style>
  <w:style w:type="paragraph" w:styleId="ListParagraph">
    <w:name w:val="List Paragraph"/>
    <w:basedOn w:val="Normal"/>
    <w:uiPriority w:val="34"/>
    <w:qFormat/>
    <w:rsid w:val="00b04de2"/>
    <w:pPr>
      <w:spacing w:before="0" w:after="0"/>
      <w:ind w:start="720"/>
      <w:contextualSpacing/>
    </w:pPr>
    <w:rPr/>
  </w:style>
  <w:style w:type="paragraph" w:styleId="FootnoteText">
    <w:name w:val="footnote text"/>
    <w:basedOn w:val="Normal"/>
    <w:link w:val="FootnoteTextChar"/>
    <w:autoRedefine/>
    <w:uiPriority w:val="99"/>
    <w:semiHidden/>
    <w:unhideWhenUsed/>
    <w:qFormat/>
    <w:rsid w:val="00120e4a"/>
    <w:pPr/>
    <w:rPr>
      <w:sz w:val="18"/>
      <w:szCs w:val="20"/>
    </w:rPr>
  </w:style>
  <w:style w:type="paragraph" w:styleId="NoSpacing">
    <w:name w:val="No Spacing"/>
    <w:uiPriority w:val="1"/>
    <w:qFormat/>
    <w:rsid w:val="00120e4a"/>
    <w:pPr>
      <w:widowControl/>
      <w:bidi w:val="0"/>
      <w:spacing w:before="0" w:after="0"/>
      <w:jc w:val="both"/>
    </w:pPr>
    <w:rPr>
      <w:rFonts w:ascii="Arial" w:hAnsi="Arial" w:eastAsia="Arial" w:cs="Arial"/>
      <w:color w:val="auto"/>
      <w:kern w:val="0"/>
      <w:sz w:val="22"/>
      <w:szCs w:val="22"/>
      <w:lang w:val="en-CA" w:eastAsia="en-US" w:bidi="ar-SA"/>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styleId="TableGrid">
    <w:name w:val="Table Grid"/>
    <w:basedOn w:val="TableNormal"/>
    <w:uiPriority w:val="39"/>
    <w:rsid w:val="002a6a0d"/>
    <w:rPr>
      <w:rFonts w:asciiTheme="minorHAnsi" w:hAnsiTheme="minorHAnsi" w:eastAsiaTheme="minorHAnsi" w:cstheme="minorBidi"/>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bing.com/ck/a?!&amp;&amp;p=75f326324e2404ae3c25a29b54b97a50f15c243d7900af6332a403a360c42c38JmltdHM9MTc2ODc4MDgwMA&amp;ptn=3&amp;ver=2&amp;hsh=4&amp;fclid=3d2b5984-68e9-66b6-1812-48166ce9600b&amp;psq=forest+conservation+and+management+act+2016&amp;u=a1aHR0cHM6Ly9uZXcua2VueWFsYXcub3JnL2Frbi9rZS9hY3QvMjAxNi8zNA&amp;ntb=1" TargetMode="External"/><Relationship Id="rId6" Type="http://schemas.openxmlformats.org/officeDocument/2006/relationships/hyperlink" Target="https://www.bing.com/ck/a?!&amp;&amp;p=878169d582b1da6b72295c7ed2b4b235c15602a8e13b1a61ba78ff3f09fea24aJmltdHM9MTc2ODc4MDgwMA&amp;ptn=3&amp;ver=2&amp;hsh=4&amp;fclid=3d2b5984-68e9-66b6-1812-48166ce9600b&amp;psq=forest+conservation+and+management+act+2016&amp;u=a1aHR0cHM6Ly93d3cua2VueWFmb3Jlc3RzLm9yZy9rbC9maWxlYWRtaW4vcGRmZG93bmxvYWRzL0FjdHMvRm9yZXN0Q29uc2VydmF0aW9uYW5kTWFuYWdlbWVudEFjdE5vMzRvZjIwMTYucGRm&amp;ntb=1" TargetMode="External"/><Relationship Id="rId7" Type="http://schemas.openxmlformats.org/officeDocument/2006/relationships/hyperlink" Target="https://www.bing.com/ck/a?!&amp;&amp;p=832865f6acc9a72f702426e6e54f46c32608e920c065775ec644a6d83efede8dJmltdHM9MTc2ODc4MDgwMA&amp;ptn=3&amp;ver=2&amp;hsh=4&amp;fclid=3d2b5984-68e9-66b6-1812-48166ce9600b&amp;psq=forest+conservation+and+management+act+2016&amp;u=a1aHR0cHM6Ly9sZWFwLnVuZXAub3JnL2VuL2NvdW50cmllcy9rZS9uYXRpb25hbC1sZWdpc2xhdGlvbi9mb3Jlc3QtY29uc2VydmF0aW9uLWFuZC1tYW5hZ2VtZW50LWFjdC0yMDE2LW5vLTM0LTIwMTY&amp;ntb=1" TargetMode="External"/><Relationship Id="rId8" Type="http://schemas.openxmlformats.org/officeDocument/2006/relationships/hyperlink" Target="https://www.bing.com/ck/a?!&amp;&amp;p=81e46c400208fb1a42da61e077e674a33dc34f2d11596e7f80b0acb0b3b61356JmltdHM9MTc2ODc4MDgwMA&amp;ptn=3&amp;ver=2&amp;hsh=4&amp;fclid=3d2b5984-68e9-66b6-1812-48166ce9600b&amp;psq=forest+conservation+and+management+act+2016&amp;u=a1aHR0cHM6Ly9pbmZvdHJhZGVrZW55YS5nby5rZS9tZWRpYS9Gb3Jlc3QlMjBDb25zZXJ2YXRpb24lMjBhbmQlMjBNYW5hZ2VtZW50JTIwQWN0JTIwKE5vLiUyMDM0JTIwb2YlMjAyMDE2KS5wZGY&amp;ntb=1" TargetMode="External"/><Relationship Id="rId9" Type="http://schemas.openxmlformats.org/officeDocument/2006/relationships/hyperlink" Target="https://www.bing.com/ck/a?!&amp;&amp;p=832865f6acc9a72f702426e6e54f46c32608e920c065775ec644a6d83efede8dJmltdHM9MTc2ODc4MDgwMA&amp;ptn=3&amp;ver=2&amp;hsh=4&amp;fclid=3d2b5984-68e9-66b6-1812-48166ce9600b&amp;psq=forest+conservation+and+management+act+2016&amp;u=a1aHR0cHM6Ly9sZWFwLnVuZXAub3JnL2VuL2NvdW50cmllcy9rZS9uYXRpb25hbC1sZWdpc2xhdGlvbi9mb3Jlc3QtY29uc2VydmF0aW9uLWFuZC1tYW5hZ2VtZW50LWFjdC0yMDE2LW5vLTM0LTIwMTY&amp;ntb=1" TargetMode="External"/><Relationship Id="rId10" Type="http://schemas.openxmlformats.org/officeDocument/2006/relationships/hyperlink" Target="https://www.bing.com/ck/a?!&amp;&amp;p=75f326324e2404ae3c25a29b54b97a50f15c243d7900af6332a403a360c42c38JmltdHM9MTc2ODc4MDgwMA&amp;ptn=3&amp;ver=2&amp;hsh=4&amp;fclid=3d2b5984-68e9-66b6-1812-48166ce9600b&amp;psq=forest+conservation+and+management+act+2016&amp;u=a1aHR0cHM6Ly9uZXcua2VueWFsYXcub3JnL2Frbi9rZS9hY3QvMjAxNi8zNA"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chart" Target="charts/chart1.xml"/><Relationship Id="rId14" Type="http://schemas.openxmlformats.org/officeDocument/2006/relationships/image" Target="media/image6.png"/><Relationship Id="rId15" Type="http://schemas.openxmlformats.org/officeDocument/2006/relationships/chart" Target="charts/chart2.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chart" Target="charts/chart3.xm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otnotes" Target="footnotes.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ineChart>
        <c:grouping val="standard"/>
        <c:varyColors val="0"/>
        <c:ser>
          <c:idx val="0"/>
          <c:order val="0"/>
          <c:tx>
            <c:strRef>
              <c:f>label 0</c:f>
              <c:strCache>
                <c:ptCount val="1"/>
                <c:pt idx="0">
                  <c:v>Forest area</c:v>
                </c:pt>
              </c:strCache>
            </c:strRef>
          </c:tx>
          <c:spPr>
            <a:solidFill>
              <a:srgbClr val="4F81BD"/>
            </a:solidFill>
            <a:ln cap="rnd" w="28440">
              <a:solidFill>
                <a:srgbClr val="4F81BD"/>
              </a:solidFill>
              <a:round/>
            </a:ln>
          </c:spPr>
          <c:marker>
            <c:symbol val="none"/>
          </c:marker>
          <c:dLbls>
            <c:txPr>
              <a:bodyPr wrap="square"/>
              <a:lstStyle/>
              <a:p>
                <a:pPr>
                  <a:defRPr sz="1200" b="0" u="none" strike="noStrike">
                    <a:solidFill>
                      <a:srgbClr val="000000"/>
                    </a:solidFill>
                    <a:uFillTx/>
                    <a:latin typeface="Cambria"/>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9"/>
                <c:pt idx="0">
                  <c:v>2016</c:v>
                </c:pt>
                <c:pt idx="1">
                  <c:v>2017</c:v>
                </c:pt>
                <c:pt idx="2">
                  <c:v>2018</c:v>
                </c:pt>
                <c:pt idx="3">
                  <c:v>2019</c:v>
                </c:pt>
                <c:pt idx="4">
                  <c:v>2020</c:v>
                </c:pt>
                <c:pt idx="5">
                  <c:v>2021</c:v>
                </c:pt>
                <c:pt idx="6">
                  <c:v>2022</c:v>
                </c:pt>
                <c:pt idx="7">
                  <c:v>2023</c:v>
                </c:pt>
                <c:pt idx="8">
                  <c:v>2024</c:v>
                </c:pt>
              </c:strCache>
            </c:strRef>
          </c:cat>
          <c:val>
            <c:numRef>
              <c:f>0</c:f>
              <c:numCache>
                <c:formatCode>General</c:formatCode>
                <c:ptCount val="9"/>
                <c:pt idx="0">
                  <c:v>3371.505</c:v>
                </c:pt>
                <c:pt idx="1">
                  <c:v>3366.9058</c:v>
                </c:pt>
                <c:pt idx="2">
                  <c:v>3462.536</c:v>
                </c:pt>
                <c:pt idx="3">
                  <c:v>3467.48311015672</c:v>
                </c:pt>
                <c:pt idx="4">
                  <c:v>3495.8227254587</c:v>
                </c:pt>
                <c:pt idx="5">
                  <c:v>3516.85519331879</c:v>
                </c:pt>
                <c:pt idx="6">
                  <c:v>3550.32823663443</c:v>
                </c:pt>
                <c:pt idx="7">
                  <c:v>3579.66417743406</c:v>
                </c:pt>
                <c:pt idx="8">
                  <c:v>3591.48626378406</c:v>
                </c:pt>
              </c:numCache>
            </c:numRef>
          </c:val>
          <c:smooth val="0"/>
        </c:ser>
        <c:hiLowLines>
          <c:spPr>
            <a:ln w="0">
              <a:noFill/>
            </a:ln>
          </c:spPr>
        </c:hiLowLines>
        <c:marker val="0"/>
        <c:axId val="26986731"/>
        <c:axId val="56863358"/>
      </c:lineChart>
      <c:catAx>
        <c:axId val="26986731"/>
        <c:scaling>
          <c:orientation val="minMax"/>
        </c:scaling>
        <c:delete val="0"/>
        <c:axPos val="b"/>
        <c:title>
          <c:tx>
            <c:rich>
              <a:bodyPr rot="0"/>
              <a:lstStyle/>
              <a:p>
                <a:pPr>
                  <a:defRPr sz="1300" b="0" u="none" strike="noStrike">
                    <a:uFillTx/>
                    <a:latin typeface="Arial"/>
                  </a:defRPr>
                </a:pPr>
                <a:r>
                  <a:rPr lang="en-US" sz="1200" b="0" u="none" strike="noStrike">
                    <a:solidFill>
                      <a:srgbClr val="000000"/>
                    </a:solidFill>
                    <a:uFillTx/>
                    <a:latin typeface="Cambria"/>
                  </a:rPr>
                  <a:t>Years of forest Monitoring</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sz="1200" b="0" u="none" strike="noStrike">
                <a:solidFill>
                  <a:srgbClr val="000000"/>
                </a:solidFill>
                <a:uFillTx/>
                <a:latin typeface="Cambria"/>
              </a:defRPr>
            </a:pPr>
          </a:p>
        </c:txPr>
        <c:crossAx val="56863358"/>
        <c:crosses val="autoZero"/>
        <c:auto val="1"/>
        <c:lblAlgn val="ctr"/>
        <c:lblOffset val="100"/>
        <c:noMultiLvlLbl val="0"/>
      </c:catAx>
      <c:valAx>
        <c:axId val="56863358"/>
        <c:scaling>
          <c:orientation val="minMax"/>
        </c:scaling>
        <c:delete val="0"/>
        <c:axPos val="l"/>
        <c:majorGridlines>
          <c:spPr>
            <a:ln w="9360">
              <a:solidFill>
                <a:srgbClr val="D9D9D9"/>
              </a:solidFill>
              <a:round/>
            </a:ln>
          </c:spPr>
        </c:majorGridlines>
        <c:title>
          <c:tx>
            <c:rich>
              <a:bodyPr rot="-5400000"/>
              <a:lstStyle/>
              <a:p>
                <a:pPr>
                  <a:defRPr sz="1300" b="0" u="none" strike="noStrike">
                    <a:uFillTx/>
                    <a:latin typeface="Arial"/>
                  </a:defRPr>
                </a:pPr>
                <a:r>
                  <a:rPr lang="en-US" sz="1200" b="0" u="none" strike="noStrike">
                    <a:solidFill>
                      <a:srgbClr val="000000"/>
                    </a:solidFill>
                    <a:uFillTx/>
                    <a:latin typeface="Cambria"/>
                  </a:rPr>
                  <a:t>Forest area (1000 ha)</a:t>
                </a:r>
              </a:p>
            </c:rich>
          </c:tx>
          <c:overlay val="0"/>
          <c:spPr>
            <a:noFill/>
            <a:ln w="0">
              <a:noFill/>
            </a:ln>
          </c:spPr>
        </c:title>
        <c:numFmt formatCode="_(* #,##0_);_(* \(#,##0\);_(* \-??_);_(@_)" sourceLinked="0"/>
        <c:majorTickMark val="none"/>
        <c:minorTickMark val="none"/>
        <c:tickLblPos val="nextTo"/>
        <c:spPr>
          <a:ln w="9360">
            <a:noFill/>
          </a:ln>
        </c:spPr>
        <c:txPr>
          <a:bodyPr/>
          <a:lstStyle/>
          <a:p>
            <a:pPr>
              <a:defRPr sz="1200" b="0" u="none" strike="noStrike">
                <a:solidFill>
                  <a:srgbClr val="000000"/>
                </a:solidFill>
                <a:uFillTx/>
                <a:latin typeface="Cambria"/>
              </a:defRPr>
            </a:pPr>
          </a:p>
        </c:txPr>
        <c:crossAx val="26986731"/>
        <c:crosses val="autoZero"/>
        <c:crossBetween val="between"/>
      </c:valAx>
      <c:spPr>
        <a:noFill/>
        <a:ln w="0">
          <a:noFill/>
        </a:ln>
      </c:spPr>
    </c:plotArea>
    <c:plotVisOnly val="1"/>
    <c:dispBlanksAs val="gap"/>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pieChart>
        <c:varyColors val="1"/>
        <c:ser>
          <c:idx val="0"/>
          <c:order val="0"/>
          <c:tx>
            <c:strRef>
              <c:f>label 0</c:f>
              <c:strCache>
                <c:ptCount val="1"/>
                <c:pt idx="0">
                  <c:v>Percent</c:v>
                </c:pt>
              </c:strCache>
            </c:strRef>
          </c:tx>
          <c:spPr>
            <a:solidFill>
              <a:srgbClr val="4F81BD"/>
            </a:solidFill>
            <a:ln w="0">
              <a:noFill/>
            </a:ln>
          </c:spPr>
          <c:explosion val="0"/>
          <c:dPt>
            <c:idx val="0"/>
            <c:explosion val="5"/>
            <c:spPr>
              <a:solidFill>
                <a:srgbClr val="4F81BD"/>
              </a:solidFill>
              <a:ln w="19080">
                <a:solidFill>
                  <a:srgbClr val="FFFFFF"/>
                </a:solidFill>
                <a:round/>
              </a:ln>
            </c:spPr>
          </c:dPt>
          <c:dPt>
            <c:idx val="1"/>
            <c:explosion val="13"/>
            <c:spPr>
              <a:solidFill>
                <a:srgbClr val="C0504D"/>
              </a:solidFill>
              <a:ln w="19080">
                <a:solidFill>
                  <a:srgbClr val="92D050"/>
                </a:solidFill>
                <a:round/>
              </a:ln>
            </c:spPr>
          </c:dPt>
          <c:dPt>
            <c:idx val="2"/>
            <c:explosion val="6"/>
            <c:spPr>
              <a:solidFill>
                <a:srgbClr val="9BBB59"/>
              </a:solidFill>
              <a:ln w="19080">
                <a:solidFill>
                  <a:srgbClr val="FFFFFF"/>
                </a:solidFill>
                <a:round/>
              </a:ln>
            </c:spPr>
          </c:dPt>
          <c:dPt>
            <c:idx val="3"/>
            <c:explosion val="16"/>
            <c:spPr>
              <a:solidFill>
                <a:srgbClr val="8064A2"/>
              </a:solidFill>
              <a:ln w="19080">
                <a:solidFill>
                  <a:srgbClr val="FFFFFF"/>
                </a:solidFill>
                <a:round/>
              </a:ln>
            </c:spPr>
          </c:dPt>
          <c:dPt>
            <c:idx val="4"/>
            <c:explosion val="4"/>
            <c:spPr>
              <a:solidFill>
                <a:srgbClr val="4BACC6"/>
              </a:solidFill>
              <a:ln w="19080">
                <a:solidFill>
                  <a:srgbClr val="FFFFFF"/>
                </a:solidFill>
                <a:round/>
              </a:ln>
            </c:spPr>
          </c:dPt>
          <c:dPt>
            <c:idx val="5"/>
            <c:explosion val="7"/>
            <c:spPr>
              <a:solidFill>
                <a:srgbClr val="F79646"/>
              </a:solidFill>
              <a:ln w="19080">
                <a:solidFill>
                  <a:srgbClr val="FFFFFF"/>
                </a:solidFill>
                <a:round/>
              </a:ln>
            </c:spPr>
          </c:dPt>
          <c:dLbls>
            <c:dLbl>
              <c:idx val="0"/>
              <c:numFmt formatCode="0.00%" sourceLinked="0"/>
              <c:txPr>
                <a:bodyPr wrap="square"/>
                <a:lstStyle/>
                <a:p>
                  <a:pPr>
                    <a:defRPr sz="900" b="0" u="none" strike="noStrike">
                      <a:solidFill>
                        <a:srgbClr val="404040"/>
                      </a:solidFill>
                      <a:uFillTx/>
                      <a:latin typeface="Cambria"/>
                    </a:defRPr>
                  </a:pPr>
                </a:p>
              </c:txPr>
              <c:dLblPos val="bestFit"/>
              <c:showLegendKey val="0"/>
              <c:showVal val="1"/>
              <c:showCatName val="0"/>
              <c:showSerName val="0"/>
              <c:showPercent val="0"/>
              <c:separator>; </c:separator>
            </c:dLbl>
            <c:dLbl>
              <c:idx val="1"/>
              <c:numFmt formatCode="0.00%" sourceLinked="0"/>
              <c:txPr>
                <a:bodyPr wrap="square"/>
                <a:lstStyle/>
                <a:p>
                  <a:pPr>
                    <a:defRPr sz="900" b="0" u="none" strike="noStrike">
                      <a:solidFill>
                        <a:srgbClr val="404040"/>
                      </a:solidFill>
                      <a:uFillTx/>
                      <a:latin typeface="Cambria"/>
                    </a:defRPr>
                  </a:pPr>
                </a:p>
              </c:txPr>
              <c:dLblPos val="bestFit"/>
              <c:showLegendKey val="0"/>
              <c:showVal val="1"/>
              <c:showCatName val="0"/>
              <c:showSerName val="0"/>
              <c:showPercent val="0"/>
              <c:separator>; </c:separator>
            </c:dLbl>
            <c:dLbl>
              <c:idx val="2"/>
              <c:numFmt formatCode="0.00%" sourceLinked="0"/>
              <c:txPr>
                <a:bodyPr wrap="square"/>
                <a:lstStyle/>
                <a:p>
                  <a:pPr>
                    <a:defRPr sz="900" b="0" u="none" strike="noStrike">
                      <a:solidFill>
                        <a:srgbClr val="404040"/>
                      </a:solidFill>
                      <a:uFillTx/>
                      <a:latin typeface="Cambria"/>
                    </a:defRPr>
                  </a:pPr>
                </a:p>
              </c:txPr>
              <c:dLblPos val="bestFit"/>
              <c:showLegendKey val="0"/>
              <c:showVal val="1"/>
              <c:showCatName val="0"/>
              <c:showSerName val="0"/>
              <c:showPercent val="0"/>
              <c:separator>; </c:separator>
            </c:dLbl>
            <c:dLbl>
              <c:idx val="3"/>
              <c:numFmt formatCode="0.00%" sourceLinked="0"/>
              <c:txPr>
                <a:bodyPr wrap="square"/>
                <a:lstStyle/>
                <a:p>
                  <a:pPr>
                    <a:defRPr sz="900" b="0" u="none" strike="noStrike">
                      <a:solidFill>
                        <a:srgbClr val="404040"/>
                      </a:solidFill>
                      <a:uFillTx/>
                      <a:latin typeface="Cambria"/>
                    </a:defRPr>
                  </a:pPr>
                </a:p>
              </c:txPr>
              <c:dLblPos val="bestFit"/>
              <c:showLegendKey val="0"/>
              <c:showVal val="1"/>
              <c:showCatName val="0"/>
              <c:showSerName val="0"/>
              <c:showPercent val="0"/>
              <c:separator>; </c:separator>
            </c:dLbl>
            <c:dLbl>
              <c:idx val="4"/>
              <c:numFmt formatCode="0.00%" sourceLinked="0"/>
              <c:txPr>
                <a:bodyPr wrap="square"/>
                <a:lstStyle/>
                <a:p>
                  <a:pPr>
                    <a:defRPr sz="900" b="0" u="none" strike="noStrike">
                      <a:solidFill>
                        <a:srgbClr val="404040"/>
                      </a:solidFill>
                      <a:uFillTx/>
                      <a:latin typeface="Cambria"/>
                    </a:defRPr>
                  </a:pPr>
                </a:p>
              </c:txPr>
              <c:dLblPos val="bestFit"/>
              <c:showLegendKey val="0"/>
              <c:showVal val="1"/>
              <c:showCatName val="0"/>
              <c:showSerName val="0"/>
              <c:showPercent val="0"/>
              <c:separator>; </c:separator>
            </c:dLbl>
            <c:dLbl>
              <c:idx val="5"/>
              <c:numFmt formatCode="0.00%" sourceLinked="0"/>
              <c:txPr>
                <a:bodyPr wrap="square"/>
                <a:lstStyle/>
                <a:p>
                  <a:pPr>
                    <a:defRPr sz="900" b="0" u="none" strike="noStrike">
                      <a:solidFill>
                        <a:srgbClr val="404040"/>
                      </a:solidFill>
                      <a:uFillTx/>
                      <a:latin typeface="Cambria"/>
                    </a:defRPr>
                  </a:pPr>
                </a:p>
              </c:txPr>
              <c:dLblPos val="bestFit"/>
              <c:showLegendKey val="0"/>
              <c:showVal val="1"/>
              <c:showCatName val="0"/>
              <c:showSerName val="0"/>
              <c:showPercent val="0"/>
              <c:separator>; </c:separator>
            </c:dLbl>
            <c:numFmt formatCode="0.00%" sourceLinked="0"/>
            <c:txPr>
              <a:bodyPr wrap="square"/>
              <a:lstStyle/>
              <a:p>
                <a:pPr>
                  <a:defRPr sz="900" b="0" u="none" strike="noStrike">
                    <a:solidFill>
                      <a:srgbClr val="404040"/>
                    </a:solidFill>
                    <a:uFillTx/>
                    <a:latin typeface="Cambria"/>
                  </a:defRPr>
                </a:pPr>
              </a:p>
            </c:txPr>
            <c:dLblPos val="bestFit"/>
            <c:showLegendKey val="0"/>
            <c:showVal val="1"/>
            <c:showCatName val="0"/>
            <c:showSerName val="0"/>
            <c:showPercent val="0"/>
            <c:separator>; </c:separator>
            <c:showLeaderLines val="1"/>
            <c:leaderLines>
              <c:spPr>
                <a:ln w="0">
                  <a:solidFill>
                    <a:srgbClr val="A6A6A6"/>
                  </a:solidFill>
                </a:ln>
              </c:spPr>
            </c:leaderLines>
          </c:dLbls>
          <c:cat>
            <c:strRef>
              <c:f>categories</c:f>
              <c:strCache>
                <c:ptCount val="6"/>
                <c:pt idx="0">
                  <c:v>Coastal Forest</c:v>
                </c:pt>
                <c:pt idx="1">
                  <c:v>Dryland Forest</c:v>
                </c:pt>
                <c:pt idx="2">
                  <c:v>Mangrove</c:v>
                </c:pt>
                <c:pt idx="3">
                  <c:v>Montane Forest</c:v>
                </c:pt>
                <c:pt idx="4">
                  <c:v>Plantation Forest</c:v>
                </c:pt>
                <c:pt idx="5">
                  <c:v>Western Rain Forest</c:v>
                </c:pt>
              </c:strCache>
            </c:strRef>
          </c:cat>
          <c:val>
            <c:numRef>
              <c:f>0</c:f>
              <c:numCache>
                <c:formatCode>General</c:formatCode>
                <c:ptCount val="6"/>
                <c:pt idx="0">
                  <c:v>0.148049320238779</c:v>
                </c:pt>
                <c:pt idx="1">
                  <c:v>0.316279789454899</c:v>
                </c:pt>
                <c:pt idx="2">
                  <c:v>0.019044170844676</c:v>
                </c:pt>
                <c:pt idx="3">
                  <c:v>0.46460464280163</c:v>
                </c:pt>
                <c:pt idx="4">
                  <c:v>0.0389875251329058</c:v>
                </c:pt>
                <c:pt idx="5">
                  <c:v>0.014431797763915</c:v>
                </c:pt>
              </c:numCache>
            </c:numRef>
          </c:val>
        </c:ser>
        <c:firstSliceAng val="0"/>
      </c:pieChart>
      <c:spPr>
        <a:noFill/>
        <a:ln w="0">
          <a:noFill/>
        </a:ln>
      </c:spPr>
    </c:plotArea>
    <c:legend>
      <c:legendPos val="r"/>
      <c:layout>
        <c:manualLayout>
          <c:xMode val="edge"/>
          <c:yMode val="edge"/>
          <c:x val="0.674"/>
          <c:y val="0.108111111111111"/>
          <c:w val="0.309269329333083"/>
          <c:h val="0.732636959662185"/>
        </c:manualLayout>
      </c:layout>
      <c:overlay val="0"/>
      <c:spPr>
        <a:noFill/>
        <a:ln w="0">
          <a:noFill/>
        </a:ln>
      </c:spPr>
      <c:txPr>
        <a:bodyPr/>
        <a:lstStyle/>
        <a:p>
          <a:pPr>
            <a:defRPr sz="900" b="0" u="none" strike="noStrike">
              <a:solidFill>
                <a:srgbClr val="595959"/>
              </a:solidFill>
              <a:uFillTx/>
              <a:latin typeface="Cambria"/>
            </a:defRPr>
          </a:pPr>
        </a:p>
      </c:txPr>
    </c:legend>
    <c:plotVisOnly val="1"/>
    <c:dispBlanksAs val="gap"/>
  </c:chart>
  <c:spPr>
    <a:solidFill>
      <a:srgbClr val="FFFFFF"/>
    </a:solidFill>
    <a:ln w="9360">
      <a:solidFill>
        <a:srgbClr val="D9D9D9"/>
      </a:solidFill>
      <a:round/>
    </a:ln>
  </c:sp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stacked"/>
        <c:varyColors val="0"/>
        <c:ser>
          <c:idx val="0"/>
          <c:order val="0"/>
          <c:tx>
            <c:strRef>
              <c:f>label 0</c:f>
              <c:strCache>
                <c:ptCount val="1"/>
                <c:pt idx="0">
                  <c:v>Cupressus lusitanica</c:v>
                </c:pt>
              </c:strCache>
            </c:strRef>
          </c:tx>
          <c:spPr>
            <a:solidFill>
              <a:srgbClr val="C0504D"/>
            </a:solidFill>
            <a:ln w="12600">
              <a:noFill/>
            </a:ln>
          </c:spPr>
          <c:invertIfNegative val="0"/>
          <c:dLbls>
            <c:txPr>
              <a:bodyPr wrap="square"/>
              <a:lstStyle/>
              <a:p>
                <a:pPr>
                  <a:defRPr sz="1000" b="0" u="none" strike="noStrike">
                    <a:solidFill>
                      <a:srgbClr val="000000"/>
                    </a:solidFill>
                    <a:uFillTx/>
                    <a:latin typeface="Cambria"/>
                  </a:defRPr>
                </a:pPr>
              </a:p>
            </c:txPr>
            <c:dLblPos val="ct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0</c:f>
              <c:numCache>
                <c:formatCode>General</c:formatCode>
                <c:ptCount val="10"/>
                <c:pt idx="0">
                  <c:v>10948852.3135319</c:v>
                </c:pt>
                <c:pt idx="1">
                  <c:v>10979521.3676315</c:v>
                </c:pt>
                <c:pt idx="2">
                  <c:v>10764837.9889348</c:v>
                </c:pt>
                <c:pt idx="3">
                  <c:v>10764837.9889348</c:v>
                </c:pt>
                <c:pt idx="4">
                  <c:v>10979521.3676315</c:v>
                </c:pt>
                <c:pt idx="5">
                  <c:v>11286211.9086268</c:v>
                </c:pt>
                <c:pt idx="6">
                  <c:v>11439557.1791244</c:v>
                </c:pt>
                <c:pt idx="7">
                  <c:v>11746247.7201197</c:v>
                </c:pt>
                <c:pt idx="8">
                  <c:v>11746247.7201197</c:v>
                </c:pt>
                <c:pt idx="9">
                  <c:v>11746247.7201197</c:v>
                </c:pt>
              </c:numCache>
            </c:numRef>
          </c:val>
        </c:ser>
        <c:ser>
          <c:idx val="1"/>
          <c:order val="1"/>
          <c:tx>
            <c:strRef>
              <c:f>label 1</c:f>
              <c:strCache>
                <c:ptCount val="1"/>
                <c:pt idx="0">
                  <c:v>Eucalyptus saligna</c:v>
                </c:pt>
              </c:strCache>
            </c:strRef>
          </c:tx>
          <c:spPr>
            <a:solidFill>
              <a:srgbClr val="9BBB59"/>
            </a:solidFill>
            <a:ln w="12600">
              <a:noFill/>
            </a:ln>
          </c:spPr>
          <c:invertIfNegative val="0"/>
          <c:dLbls>
            <c:txPr>
              <a:bodyPr wrap="square"/>
              <a:lstStyle/>
              <a:p>
                <a:pPr>
                  <a:defRPr sz="1000" b="0" u="none" strike="noStrike">
                    <a:solidFill>
                      <a:srgbClr val="000000"/>
                    </a:solidFill>
                    <a:uFillTx/>
                    <a:latin typeface="Cambria"/>
                  </a:defRPr>
                </a:pPr>
              </a:p>
            </c:txPr>
            <c:dLblPos val="ct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1</c:f>
              <c:numCache>
                <c:formatCode>General</c:formatCode>
                <c:ptCount val="10"/>
                <c:pt idx="0">
                  <c:v>1712993.89508738</c:v>
                </c:pt>
                <c:pt idx="1">
                  <c:v>1717792.19731452</c:v>
                </c:pt>
                <c:pt idx="2">
                  <c:v>1684204.08172457</c:v>
                </c:pt>
                <c:pt idx="3">
                  <c:v>1684204.08172457</c:v>
                </c:pt>
                <c:pt idx="4">
                  <c:v>1717792.19731452</c:v>
                </c:pt>
                <c:pt idx="5">
                  <c:v>1765775.21958587</c:v>
                </c:pt>
                <c:pt idx="6">
                  <c:v>1789766.73072155</c:v>
                </c:pt>
                <c:pt idx="7">
                  <c:v>1837749.7529929</c:v>
                </c:pt>
                <c:pt idx="8">
                  <c:v>1837749.7529929</c:v>
                </c:pt>
                <c:pt idx="9">
                  <c:v>1837749.7529929</c:v>
                </c:pt>
              </c:numCache>
            </c:numRef>
          </c:val>
        </c:ser>
        <c:ser>
          <c:idx val="2"/>
          <c:order val="2"/>
          <c:tx>
            <c:strRef>
              <c:f>label 2</c:f>
              <c:strCache>
                <c:ptCount val="1"/>
                <c:pt idx="0">
                  <c:v>Pinus patula</c:v>
                </c:pt>
              </c:strCache>
            </c:strRef>
          </c:tx>
          <c:spPr>
            <a:solidFill>
              <a:srgbClr val="8064A2"/>
            </a:solidFill>
            <a:ln w="12600">
              <a:noFill/>
            </a:ln>
          </c:spPr>
          <c:invertIfNegative val="0"/>
          <c:dLbls>
            <c:txPr>
              <a:bodyPr wrap="square"/>
              <a:lstStyle/>
              <a:p>
                <a:pPr>
                  <a:defRPr sz="1000" b="0" u="none" strike="noStrike">
                    <a:solidFill>
                      <a:srgbClr val="000000"/>
                    </a:solidFill>
                    <a:uFillTx/>
                    <a:latin typeface="Cambria"/>
                  </a:defRPr>
                </a:pPr>
              </a:p>
            </c:txPr>
            <c:dLblPos val="ct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2</c:f>
              <c:numCache>
                <c:formatCode>General</c:formatCode>
                <c:ptCount val="10"/>
                <c:pt idx="0">
                  <c:v>5452920.77691705</c:v>
                </c:pt>
                <c:pt idx="1">
                  <c:v>5468195.06480758</c:v>
                </c:pt>
                <c:pt idx="2">
                  <c:v>5361275.04957391</c:v>
                </c:pt>
                <c:pt idx="3">
                  <c:v>5361275.04957391</c:v>
                </c:pt>
                <c:pt idx="4">
                  <c:v>5468195.06480758</c:v>
                </c:pt>
                <c:pt idx="5">
                  <c:v>5620937.94371281</c:v>
                </c:pt>
                <c:pt idx="6">
                  <c:v>5697309.38316543</c:v>
                </c:pt>
                <c:pt idx="7">
                  <c:v>5850052.26207067</c:v>
                </c:pt>
                <c:pt idx="8">
                  <c:v>5850052.26207067</c:v>
                </c:pt>
                <c:pt idx="9">
                  <c:v>5850052.26207067</c:v>
                </c:pt>
              </c:numCache>
            </c:numRef>
          </c:val>
        </c:ser>
        <c:ser>
          <c:idx val="3"/>
          <c:order val="3"/>
          <c:tx>
            <c:strRef>
              <c:f>label 3</c:f>
              <c:strCache>
                <c:ptCount val="1"/>
                <c:pt idx="0">
                  <c:v>Others</c:v>
                </c:pt>
              </c:strCache>
            </c:strRef>
          </c:tx>
          <c:spPr>
            <a:solidFill>
              <a:srgbClr val="4BACC6"/>
            </a:solidFill>
            <a:ln w="12600">
              <a:noFill/>
            </a:ln>
          </c:spPr>
          <c:invertIfNegative val="0"/>
          <c:dLbls>
            <c:txPr>
              <a:bodyPr wrap="square"/>
              <a:lstStyle/>
              <a:p>
                <a:pPr>
                  <a:defRPr sz="1000" b="0" u="none" strike="noStrike">
                    <a:solidFill>
                      <a:srgbClr val="000000"/>
                    </a:solidFill>
                    <a:uFillTx/>
                    <a:latin typeface="Cambria"/>
                  </a:defRPr>
                </a:pPr>
              </a:p>
            </c:txPr>
            <c:dLblPos val="ct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3</c:f>
              <c:numCache>
                <c:formatCode>General</c:formatCode>
                <c:ptCount val="10"/>
                <c:pt idx="0">
                  <c:v>6430294.34996473</c:v>
                </c:pt>
                <c:pt idx="1">
                  <c:v>6448306.37895622</c:v>
                </c:pt>
                <c:pt idx="2">
                  <c:v>6322222.17601574</c:v>
                </c:pt>
                <c:pt idx="3">
                  <c:v>6322222.17601574</c:v>
                </c:pt>
                <c:pt idx="4">
                  <c:v>6448306.37895622</c:v>
                </c:pt>
                <c:pt idx="5">
                  <c:v>6628426.6688712</c:v>
                </c:pt>
                <c:pt idx="6">
                  <c:v>6718486.81382869</c:v>
                </c:pt>
                <c:pt idx="7">
                  <c:v>6898607.10374367</c:v>
                </c:pt>
                <c:pt idx="8">
                  <c:v>6898607.10374367</c:v>
                </c:pt>
                <c:pt idx="9">
                  <c:v>6898607.10374367</c:v>
                </c:pt>
              </c:numCache>
            </c:numRef>
          </c:val>
        </c:ser>
        <c:gapWidth val="219"/>
        <c:overlap val="100"/>
        <c:axId val="51732526"/>
        <c:axId val="35153159"/>
      </c:barChart>
      <c:catAx>
        <c:axId val="51732526"/>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u="none" strike="noStrike">
                <a:solidFill>
                  <a:srgbClr val="595959"/>
                </a:solidFill>
                <a:uFillTx/>
                <a:latin typeface="Cambria"/>
              </a:defRPr>
            </a:pPr>
          </a:p>
        </c:txPr>
        <c:crossAx val="35153159"/>
        <c:crosses val="autoZero"/>
        <c:auto val="1"/>
        <c:lblAlgn val="ctr"/>
        <c:lblOffset val="100"/>
        <c:noMultiLvlLbl val="0"/>
      </c:catAx>
      <c:valAx>
        <c:axId val="35153159"/>
        <c:scaling>
          <c:orientation val="minMax"/>
        </c:scaling>
        <c:delete val="0"/>
        <c:axPos val="l"/>
        <c:majorGridlines>
          <c:spPr>
            <a:ln w="9360">
              <a:solidFill>
                <a:srgbClr val="D9D9D9"/>
              </a:solidFill>
              <a:round/>
            </a:ln>
          </c:spPr>
        </c:majorGridlines>
        <c:title>
          <c:tx>
            <c:rich>
              <a:bodyPr rot="-5400000"/>
              <a:lstStyle/>
              <a:p>
                <a:pPr>
                  <a:defRPr sz="1300" b="0" u="none" strike="noStrike">
                    <a:uFillTx/>
                    <a:latin typeface="Arial"/>
                  </a:defRPr>
                </a:pPr>
                <a:r>
                  <a:rPr lang="en-US" sz="1000" b="0" u="none" strike="noStrike">
                    <a:solidFill>
                      <a:schemeClr val="tx1">
                        <a:lumMod val="65000"/>
                        <a:lumOff val="35000"/>
                      </a:schemeClr>
                    </a:solidFill>
                    <a:uFillTx/>
                    <a:latin typeface="Cambria"/>
                  </a:rPr>
                  <a:t>Wood volume (m3)</a:t>
                </a:r>
              </a:p>
            </c:rich>
          </c:tx>
          <c:overlay val="0"/>
          <c:spPr>
            <a:noFill/>
            <a:ln w="0">
              <a:noFill/>
            </a:ln>
          </c:spPr>
        </c:title>
        <c:numFmt formatCode="_(* #,##0_);_(* \(#,##0\);_(* \-??_);_(@_)" sourceLinked="0"/>
        <c:majorTickMark val="none"/>
        <c:minorTickMark val="none"/>
        <c:tickLblPos val="nextTo"/>
        <c:spPr>
          <a:ln w="9360">
            <a:noFill/>
          </a:ln>
        </c:spPr>
        <c:txPr>
          <a:bodyPr/>
          <a:lstStyle/>
          <a:p>
            <a:pPr>
              <a:defRPr sz="900" b="0" u="none" strike="noStrike">
                <a:solidFill>
                  <a:srgbClr val="595959"/>
                </a:solidFill>
                <a:uFillTx/>
                <a:latin typeface="Cambria"/>
              </a:defRPr>
            </a:pPr>
          </a:p>
        </c:txPr>
        <c:crossAx val="51732526"/>
        <c:crosses val="autoZero"/>
        <c:crossBetween val="between"/>
      </c:valAx>
      <c:spPr>
        <a:noFill/>
        <a:ln w="0">
          <a:noFill/>
        </a:ln>
      </c:spPr>
    </c:plotArea>
    <c:legend>
      <c:legendPos val="b"/>
      <c:overlay val="0"/>
      <c:spPr>
        <a:noFill/>
        <a:ln w="0">
          <a:noFill/>
        </a:ln>
      </c:spPr>
      <c:txPr>
        <a:bodyPr/>
        <a:lstStyle/>
        <a:p>
          <a:pPr>
            <a:defRPr sz="900" b="0" u="none" strike="noStrike">
              <a:solidFill>
                <a:srgbClr val="595959"/>
              </a:solidFill>
              <a:uFillTx/>
              <a:latin typeface="Cambria"/>
            </a:defRPr>
          </a:pPr>
        </a:p>
      </c:txPr>
    </c:legend>
    <c:plotVisOnly val="1"/>
    <c:dispBlanksAs val="gap"/>
  </c:chart>
  <c:spPr>
    <a:solidFill>
      <a:srgbClr val="FFFFFF"/>
    </a:solidFill>
    <a:ln w="9360">
      <a:solidFill>
        <a:srgbClr val="D9D9D9"/>
      </a:solidFill>
      <a:round/>
    </a:ln>
  </c:spPr>
</c:chartSpace>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ydtFSaYjFTMddCfQ5umZL9hxQUw==">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LibreOffice/26.2.1.2$Linux_X86_64 LibreOffice_project/8399f6259d8c87f40e7255cdb3c9b958f5e08948</Application>
  <AppVersion>15.0000</AppVersion>
  <Pages>46</Pages>
  <Words>10364</Words>
  <Characters>60968</Characters>
  <CharactersWithSpaces>71338</CharactersWithSpaces>
  <Paragraphs>1446</Paragraphs>
  <Company>WBG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2026-01-28T09:08:00Z</dcterms:created>
  <dc:creator>Caroline Muriithi</dc:creator>
  <dc:description/>
  <dc:language>en-US</dc:language>
  <cp:lastModifiedBy>Renato Vargas</cp:lastModifiedBy>
  <dcterms:modified xsi:type="dcterms:W3CDTF">2026-03-30T16:33:25Z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17a1345b,61c3c74e,26bafc25</vt:lpwstr>
  </property>
  <property fmtid="{D5CDD505-2E9C-101B-9397-08002B2CF9AE}" pid="4" name="ClassificationContentMarkingFooterText">
    <vt:lpwstr>Official Use Only</vt:lpwstr>
  </property>
  <property fmtid="{D5CDD505-2E9C-101B-9397-08002B2CF9AE}" pid="5" name="GrammarlyDocumentId">
    <vt:lpwstr>5ea0f3aa-e420-4574-b783-f9d6e5a5abc1</vt:lpwstr>
  </property>
  <property fmtid="{D5CDD505-2E9C-101B-9397-08002B2CF9AE}" pid="6" name="MSIP_Label_f1bf45b6-5649-4236-82a3-f45024cd282e_ActionId">
    <vt:lpwstr>8d169527-40e9-4d9b-a127-052641cd19b6</vt:lpwstr>
  </property>
  <property fmtid="{D5CDD505-2E9C-101B-9397-08002B2CF9AE}" pid="7" name="MSIP_Label_f1bf45b6-5649-4236-82a3-f45024cd282e_ContentBits">
    <vt:lpwstr>2</vt:lpwstr>
  </property>
  <property fmtid="{D5CDD505-2E9C-101B-9397-08002B2CF9AE}" pid="8" name="MSIP_Label_f1bf45b6-5649-4236-82a3-f45024cd282e_Enabled">
    <vt:lpwstr>true</vt:lpwstr>
  </property>
  <property fmtid="{D5CDD505-2E9C-101B-9397-08002B2CF9AE}" pid="9" name="MSIP_Label_f1bf45b6-5649-4236-82a3-f45024cd282e_Method">
    <vt:lpwstr>Standard</vt:lpwstr>
  </property>
  <property fmtid="{D5CDD505-2E9C-101B-9397-08002B2CF9AE}" pid="10" name="MSIP_Label_f1bf45b6-5649-4236-82a3-f45024cd282e_Name">
    <vt:lpwstr>Official Use Only</vt:lpwstr>
  </property>
  <property fmtid="{D5CDD505-2E9C-101B-9397-08002B2CF9AE}" pid="11" name="MSIP_Label_f1bf45b6-5649-4236-82a3-f45024cd282e_SetDate">
    <vt:lpwstr>2025-06-01T12:37:26Z</vt:lpwstr>
  </property>
  <property fmtid="{D5CDD505-2E9C-101B-9397-08002B2CF9AE}" pid="12" name="MSIP_Label_f1bf45b6-5649-4236-82a3-f45024cd282e_SiteId">
    <vt:lpwstr>31a2fec0-266b-4c67-b56e-2796d8f59c36</vt:lpwstr>
  </property>
  <property fmtid="{D5CDD505-2E9C-101B-9397-08002B2CF9AE}" pid="13" name="MSIP_Label_f1bf45b6-5649-4236-82a3-f45024cd282e_Tag">
    <vt:lpwstr>10, 3, 0, 1</vt:lpwstr>
  </property>
</Properties>
</file>