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w:t>
      </w:r>
      <w:r>
        <w:t xml:space="preserve"> </w:t>
      </w:r>
      <w:r>
        <w:t xml:space="preserve">Infrared</w:t>
      </w:r>
      <w:r>
        <w:t xml:space="preserve"> </w:t>
      </w:r>
      <w:r>
        <w:t xml:space="preserve">Spectroscopy</w:t>
      </w:r>
      <w:r>
        <w:t xml:space="preserve"> </w:t>
      </w:r>
      <w:r>
        <w:t xml:space="preserve">Predicts</w:t>
      </w:r>
      <w:r>
        <w:t xml:space="preserve"> </w:t>
      </w:r>
      <w:r>
        <w:t xml:space="preserve">Percentage</w:t>
      </w:r>
      <w:r>
        <w:t xml:space="preserve"> </w:t>
      </w:r>
      <w:r>
        <w:t xml:space="preserve">Crude</w:t>
      </w:r>
      <w:r>
        <w:t xml:space="preserve"> </w:t>
      </w:r>
      <w:r>
        <w:t xml:space="preserve">Protein</w:t>
      </w:r>
      <w:r>
        <w:t xml:space="preserve"> </w:t>
      </w:r>
      <w:r>
        <w:t xml:space="preserve">in</w:t>
      </w:r>
      <w:r>
        <w:t xml:space="preserve"> </w:t>
      </w:r>
      <w:r>
        <w:t xml:space="preserve">Hemp</w:t>
      </w:r>
      <w:r>
        <w:t xml:space="preserve"> </w:t>
      </w:r>
      <w:r>
        <w:t xml:space="preserve">Grain</w:t>
      </w:r>
    </w:p>
    <w:p>
      <w:pPr>
        <w:pStyle w:val="Author"/>
      </w:pPr>
      <w:r>
        <w:t xml:space="preserve">Ryan</w:t>
      </w:r>
      <w:r>
        <w:t xml:space="preserve"> </w:t>
      </w:r>
      <w:r>
        <w:t xml:space="preserve">V.</w:t>
      </w:r>
      <w:r>
        <w:t xml:space="preserve"> </w:t>
      </w:r>
      <w:r>
        <w:t xml:space="preserve">Crawford</w:t>
      </w:r>
    </w:p>
    <w:p>
      <w:pPr>
        <w:pStyle w:val="Author"/>
      </w:pPr>
      <w:r>
        <w:t xml:space="preserve">Jamie</w:t>
      </w:r>
      <w:r>
        <w:t xml:space="preserve"> </w:t>
      </w:r>
      <w:r>
        <w:t xml:space="preserve">Crawford</w:t>
      </w:r>
    </w:p>
    <w:p>
      <w:pPr>
        <w:pStyle w:val="Author"/>
      </w:pPr>
      <w:r>
        <w:t xml:space="preserve">Julie</w:t>
      </w:r>
      <w:r>
        <w:t xml:space="preserve"> </w:t>
      </w:r>
      <w:r>
        <w:t xml:space="preserve">L.</w:t>
      </w:r>
      <w:r>
        <w:t xml:space="preserve"> </w:t>
      </w:r>
      <w:r>
        <w:t xml:space="preserve">Hansen</w:t>
      </w:r>
    </w:p>
    <w:p>
      <w:pPr>
        <w:pStyle w:val="Author"/>
      </w:pPr>
      <w:r>
        <w:t xml:space="preserve">Lawrence</w:t>
      </w:r>
      <w:r>
        <w:t xml:space="preserve"> </w:t>
      </w:r>
      <w:r>
        <w:t xml:space="preserve">B.</w:t>
      </w:r>
      <w:r>
        <w:t xml:space="preserve"> </w:t>
      </w:r>
      <w:r>
        <w:t xml:space="preserve">Smart</w:t>
      </w:r>
    </w:p>
    <w:p>
      <w:pPr>
        <w:pStyle w:val="Author"/>
      </w:pPr>
      <w:r>
        <w:t xml:space="preserve">Virginia</w:t>
      </w:r>
      <w:r>
        <w:t xml:space="preserve"> </w:t>
      </w:r>
      <w:r>
        <w:t xml:space="preserve">Moore</w:t>
      </w:r>
    </w:p>
    <w:p>
      <w:pPr>
        <w:pStyle w:val="Date"/>
      </w:pPr>
      <w:r>
        <w:t xml:space="preserve">2024-04-03</w:t>
      </w:r>
    </w:p>
    <w:p>
      <w:pPr>
        <w:pStyle w:val="AbstractTitle"/>
      </w:pPr>
      <w:r>
        <w:t xml:space="preserve">Abstract</w:t>
      </w:r>
    </w:p>
    <w:p>
      <w:pPr>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sed</w:t>
      </w:r>
      <w:r>
        <w:t xml:space="preserve"> </w:t>
      </w:r>
      <w:r>
        <w:t xml:space="preserve">do</w:t>
      </w:r>
      <w:r>
        <w:t xml:space="preserve"> </w:t>
      </w:r>
      <w:r>
        <w:t xml:space="preserve">eiusmod</w:t>
      </w:r>
      <w:r>
        <w:t xml:space="preserve"> </w:t>
      </w:r>
      <w:r>
        <w:t xml:space="preserve">tempor</w:t>
      </w:r>
      <w:r>
        <w:t xml:space="preserve"> </w:t>
      </w:r>
      <w:r>
        <w:t xml:space="preserve">incididunt</w:t>
      </w:r>
      <w:r>
        <w:t xml:space="preserve"> </w:t>
      </w:r>
      <w:r>
        <w:t xml:space="preserve">ut</w:t>
      </w:r>
      <w:r>
        <w:t xml:space="preserve"> </w:t>
      </w:r>
      <w:r>
        <w:t xml:space="preserve">labore</w:t>
      </w:r>
      <w:r>
        <w:t xml:space="preserve"> </w:t>
      </w:r>
      <w:r>
        <w:t xml:space="preserve">et</w:t>
      </w:r>
      <w:r>
        <w:t xml:space="preserve"> </w:t>
      </w:r>
      <w:r>
        <w:t xml:space="preserve">dolore</w:t>
      </w:r>
      <w:r>
        <w:t xml:space="preserve"> </w:t>
      </w:r>
      <w:r>
        <w:t xml:space="preserve">magna</w:t>
      </w:r>
      <w:r>
        <w:t xml:space="preserve"> </w:t>
      </w:r>
      <w:r>
        <w:t xml:space="preserve">aliqua.</w:t>
      </w:r>
      <w:r>
        <w:t xml:space="preserve"> </w:t>
      </w:r>
      <w:r>
        <w:t xml:space="preserve">Ut</w:t>
      </w:r>
      <w:r>
        <w:t xml:space="preserve"> </w:t>
      </w:r>
      <w:r>
        <w:t xml:space="preserve">enim</w:t>
      </w:r>
      <w:r>
        <w:t xml:space="preserve"> </w:t>
      </w:r>
      <w:r>
        <w:t xml:space="preserve">ad</w:t>
      </w:r>
      <w:r>
        <w:t xml:space="preserve"> </w:t>
      </w:r>
      <w:r>
        <w:t xml:space="preserve">minim</w:t>
      </w:r>
      <w:r>
        <w:t xml:space="preserve"> </w:t>
      </w:r>
      <w:r>
        <w:t xml:space="preserve">veniam,</w:t>
      </w:r>
      <w:r>
        <w:t xml:space="preserve"> </w:t>
      </w:r>
      <w:r>
        <w:t xml:space="preserve">quis</w:t>
      </w:r>
      <w:r>
        <w:t xml:space="preserve"> </w:t>
      </w:r>
      <w:r>
        <w:t xml:space="preserve">nostrud</w:t>
      </w:r>
      <w:r>
        <w:t xml:space="preserve"> </w:t>
      </w:r>
      <w:r>
        <w:t xml:space="preserve">exercitation</w:t>
      </w:r>
      <w:r>
        <w:t xml:space="preserve"> </w:t>
      </w:r>
      <w:r>
        <w:t xml:space="preserve">ullamco</w:t>
      </w:r>
      <w:r>
        <w:t xml:space="preserve"> </w:t>
      </w:r>
      <w:r>
        <w:t xml:space="preserve">laboris</w:t>
      </w:r>
      <w:r>
        <w:t xml:space="preserve"> </w:t>
      </w:r>
      <w:r>
        <w:t xml:space="preserve">nisi</w:t>
      </w:r>
      <w:r>
        <w:t xml:space="preserve"> </w:t>
      </w:r>
      <w:r>
        <w:t xml:space="preserve">ut</w:t>
      </w:r>
      <w:r>
        <w:t xml:space="preserve"> </w:t>
      </w:r>
      <w:r>
        <w:t xml:space="preserve">aliquip</w:t>
      </w:r>
      <w:r>
        <w:t xml:space="preserve"> </w:t>
      </w:r>
      <w:r>
        <w:t xml:space="preserve">ex</w:t>
      </w:r>
      <w:r>
        <w:t xml:space="preserve"> </w:t>
      </w:r>
      <w:r>
        <w:t xml:space="preserve">ea</w:t>
      </w:r>
      <w:r>
        <w:t xml:space="preserve"> </w:t>
      </w:r>
      <w:r>
        <w:t xml:space="preserve">commodo</w:t>
      </w:r>
      <w:r>
        <w:t xml:space="preserve"> </w:t>
      </w:r>
      <w:r>
        <w:t xml:space="preserve">consequat.</w:t>
      </w:r>
      <w:r>
        <w:t xml:space="preserve"> </w:t>
      </w:r>
      <w:r>
        <w:t xml:space="preserve">Duis</w:t>
      </w:r>
      <w:r>
        <w:t xml:space="preserve"> </w:t>
      </w:r>
      <w:r>
        <w:t xml:space="preserve">aute</w:t>
      </w:r>
      <w:r>
        <w:t xml:space="preserve"> </w:t>
      </w:r>
      <w:r>
        <w:t xml:space="preserve">irure</w:t>
      </w:r>
      <w:r>
        <w:t xml:space="preserve"> </w:t>
      </w:r>
      <w:r>
        <w:t xml:space="preserve">dolor</w:t>
      </w:r>
      <w:r>
        <w:t xml:space="preserve"> </w:t>
      </w:r>
      <w:r>
        <w:t xml:space="preserve">in</w:t>
      </w:r>
      <w:r>
        <w:t xml:space="preserve"> </w:t>
      </w:r>
      <w:r>
        <w:t xml:space="preserve">reprehenderit</w:t>
      </w:r>
      <w:r>
        <w:t xml:space="preserve"> </w:t>
      </w:r>
      <w:r>
        <w:t xml:space="preserve">in</w:t>
      </w:r>
      <w:r>
        <w:t xml:space="preserve"> </w:t>
      </w:r>
      <w:r>
        <w:t xml:space="preserve">voluptate</w:t>
      </w:r>
      <w:r>
        <w:t xml:space="preserve"> </w:t>
      </w:r>
      <w:r>
        <w:t xml:space="preserve">velit</w:t>
      </w:r>
      <w:r>
        <w:t xml:space="preserve"> </w:t>
      </w:r>
      <w:r>
        <w:t xml:space="preserve">esse</w:t>
      </w:r>
      <w:r>
        <w:t xml:space="preserve"> </w:t>
      </w:r>
      <w:r>
        <w:t xml:space="preserve">cillum</w:t>
      </w:r>
      <w:r>
        <w:t xml:space="preserve"> </w:t>
      </w:r>
      <w:r>
        <w:t xml:space="preserve">dolore</w:t>
      </w:r>
      <w:r>
        <w:t xml:space="preserve"> </w:t>
      </w:r>
      <w:r>
        <w:t xml:space="preserve">eu</w:t>
      </w:r>
      <w:r>
        <w:t xml:space="preserve"> </w:t>
      </w:r>
      <w:r>
        <w:t xml:space="preserve">fugiat</w:t>
      </w:r>
      <w:r>
        <w:t xml:space="preserve"> </w:t>
      </w:r>
      <w:r>
        <w:t xml:space="preserve">nulla</w:t>
      </w:r>
      <w:r>
        <w:t xml:space="preserve"> </w:t>
      </w:r>
      <w:r>
        <w:t xml:space="preserve">pariatur.</w:t>
      </w:r>
      <w:r>
        <w:t xml:space="preserve"> </w:t>
      </w:r>
      <w:r>
        <w:t xml:space="preserve">Excepteur</w:t>
      </w:r>
      <w:r>
        <w:t xml:space="preserve"> </w:t>
      </w:r>
      <w:r>
        <w:t xml:space="preserve">sint</w:t>
      </w:r>
      <w:r>
        <w:t xml:space="preserve"> </w:t>
      </w:r>
      <w:r>
        <w:t xml:space="preserve">occaecat</w:t>
      </w:r>
      <w:r>
        <w:t xml:space="preserve"> </w:t>
      </w:r>
      <w:r>
        <w:t xml:space="preserve">cupidatat</w:t>
      </w:r>
      <w:r>
        <w:t xml:space="preserve"> </w:t>
      </w:r>
      <w:r>
        <w:t xml:space="preserve">non</w:t>
      </w:r>
      <w:r>
        <w:t xml:space="preserve"> </w:t>
      </w:r>
      <w:r>
        <w:t xml:space="preserve">proident,</w:t>
      </w:r>
      <w:r>
        <w:t xml:space="preserve"> </w:t>
      </w:r>
      <w:r>
        <w:t xml:space="preserve">sunt</w:t>
      </w:r>
      <w:r>
        <w:t xml:space="preserve"> </w:t>
      </w:r>
      <w:r>
        <w:t xml:space="preserve">in</w:t>
      </w:r>
      <w:r>
        <w:t xml:space="preserve"> </w:t>
      </w:r>
      <w:r>
        <w:t xml:space="preserve">culpa</w:t>
      </w:r>
      <w:r>
        <w:t xml:space="preserve"> </w:t>
      </w:r>
      <w:r>
        <w:t xml:space="preserve">qui</w:t>
      </w:r>
      <w:r>
        <w:t xml:space="preserve"> </w:t>
      </w:r>
      <w:r>
        <w:t xml:space="preserve">officia</w:t>
      </w:r>
      <w:r>
        <w:t xml:space="preserve"> </w:t>
      </w:r>
      <w:r>
        <w:t xml:space="preserve">deserunt</w:t>
      </w:r>
      <w:r>
        <w:t xml:space="preserve"> </w:t>
      </w:r>
      <w:r>
        <w:t xml:space="preserve">mollit</w:t>
      </w:r>
      <w:r>
        <w:t xml:space="preserve"> </w:t>
      </w:r>
      <w:r>
        <w:t xml:space="preserve">anim</w:t>
      </w:r>
      <w:r>
        <w:t xml:space="preserve"> </w:t>
      </w:r>
      <w:r>
        <w:t xml:space="preserve">id</w:t>
      </w:r>
      <w:r>
        <w:t xml:space="preserve"> </w:t>
      </w:r>
      <w:r>
        <w:t xml:space="preserve">est</w:t>
      </w:r>
      <w:r>
        <w:t xml:space="preserve"> </w:t>
      </w:r>
      <w:r>
        <w:t xml:space="preserve">laborum.</w:t>
      </w:r>
    </w:p>
    <w:p>
      <w:pPr>
        <w:pStyle w:val="FirstParagraph"/>
      </w:pPr>
      <w:r>
        <w:rPr>
          <w:b/>
          <w:bCs/>
        </w:rPr>
        <w:t xml:space="preserve">first draft</w:t>
      </w:r>
    </w:p>
    <w:bookmarkStart w:id="20" w:name="introduction"/>
    <w:p>
      <w:pPr>
        <w:pStyle w:val="Heading2"/>
      </w:pPr>
      <w:r>
        <w:t xml:space="preserve">1 INTRODUCTION</w:t>
      </w:r>
    </w:p>
    <w:p>
      <w:pPr>
        <w:pStyle w:val="FirstParagraph"/>
      </w:pPr>
      <w:r>
        <w:t xml:space="preserve">Hemp (Cannabis sativa L.) is an annual crop with potential uses as a source of food or feed from grain, and bast fiber or hurd from the stalk. Hemp cultivars are commonly grown for one or both purposes and a cultivar may be referred to as a grain, fiber, or dual-purpose type. Because of protein’s nutritional importance, the protein content of a grain crop is an prime consideration for researchers, producers, and consumers. Whole hemp grain typically contains approximately 20-30% protein</w:t>
      </w:r>
      <w:r>
        <w:t xml:space="preserve"> </w:t>
      </w:r>
      <w:r>
        <w:t xml:space="preserve">(Bárta et al., 2024; Callaway, 2004; Ely &amp; Fike, 2022)</w:t>
      </w:r>
      <w:r>
        <w:t xml:space="preserve">. Crude protein is often used as a proxy for the direct measurement of protein concentration and consists of the multiplication of nitrogen concentration by a conversion factor, often 6.25</w:t>
      </w:r>
      <w:r>
        <w:t xml:space="preserve"> </w:t>
      </w:r>
      <w:r>
        <w:t xml:space="preserve">(Hayes, 2020)</w:t>
      </w:r>
      <w:r>
        <w:t xml:space="preserve">. It may be expressed as a percentage (%CP).</w:t>
      </w:r>
    </w:p>
    <w:p>
      <w:pPr>
        <w:pStyle w:val="BodyText"/>
      </w:pPr>
      <w:r>
        <w:t xml:space="preserve">Near-infrared spectroscopy (NIRS) technology is rapid, non-destructive, and cheap. It consists of the measurement of NIR radiation reflected and absorbed from a sample (the spectra) and the relation of the spectra to laboratory values for components such as moisture, protein, fat, or fiber</w:t>
      </w:r>
      <w:r>
        <w:t xml:space="preserve"> </w:t>
      </w:r>
      <w:r>
        <w:t xml:space="preserve">(Roberts et al., 2004)</w:t>
      </w:r>
      <w:r>
        <w:t xml:space="preserve">. NIRS technology has been used since the 1970’s to assess forage %CP</w:t>
      </w:r>
      <w:r>
        <w:t xml:space="preserve"> </w:t>
      </w:r>
      <w:r>
        <w:t xml:space="preserve">(Reeves, 2012; Williams, 1975)</w:t>
      </w:r>
      <w:r>
        <w:t xml:space="preserve">. A NIRS calibration set often consists of samples from one species grown in many environments encompassing the range of expected values from the analyte or analytes</w:t>
      </w:r>
      <w:r>
        <w:t xml:space="preserve"> </w:t>
      </w:r>
      <w:r>
        <w:t xml:space="preserve">(Chadalavada et al., 2022)</w:t>
      </w:r>
      <w:r>
        <w:t xml:space="preserve">. Partial least squares regression (PLSR) is a typical method used in the agricultural and food sciences to relate spectra to analyte</w:t>
      </w:r>
      <w:r>
        <w:t xml:space="preserve"> </w:t>
      </w:r>
      <w:r>
        <w:t xml:space="preserve">(Roberts et al., 2004)</w:t>
      </w:r>
      <w:r>
        <w:t xml:space="preserve">. PLSR calculates components that maximize covariance between predictor and response variables. PLSR uses some number of components, often selected via cross-validation, in order to fit the regression model and is commonly used in spectroscopy because it tends to work well with highly-correlated, noisy spectral data</w:t>
      </w:r>
      <w:r>
        <w:t xml:space="preserve"> </w:t>
      </w:r>
      <w:r>
        <w:t xml:space="preserve">(Wold et al., 2001)</w:t>
      </w:r>
      <w:r>
        <w:t xml:space="preserve">.</w:t>
      </w:r>
    </w:p>
    <w:p>
      <w:pPr>
        <w:pStyle w:val="BodyText"/>
      </w:pPr>
      <w:r>
        <w:t xml:space="preserve">A NIRS-scanned sample of undamaged grain may used for other purposes besides its scan or it may planted as a seed. In wheat and corn, grain protein content has been shown to be heritable</w:t>
      </w:r>
      <w:r>
        <w:t xml:space="preserve"> </w:t>
      </w:r>
      <w:r>
        <w:t xml:space="preserve">(Geyer et al., 2022; Giancaspro et al., 2019)</w:t>
      </w:r>
      <w:r>
        <w:t xml:space="preserve">. This suggests (at least potentially) that NIRS technology could serve as resource to rapidly identify high %CP hemp germplasm, enabling the screening of more germplam as grain, before planting to the field, and thus enabling the efficient development of high %CP hemp grain populations.</w:t>
      </w:r>
    </w:p>
    <w:p>
      <w:pPr>
        <w:pStyle w:val="BodyText"/>
      </w:pPr>
      <w:r>
        <w:t xml:space="preserve">For this study, a benchtop NIR spectrometer was used to develop a model to predict %CP content based on a data set of hemp grain representing multiple years, locations, and cultivars from grain and dual-purpose hemp types using PLSR.</w:t>
      </w:r>
    </w:p>
    <w:bookmarkEnd w:id="20"/>
    <w:bookmarkStart w:id="27" w:name="materials-and-methods"/>
    <w:p>
      <w:pPr>
        <w:pStyle w:val="Heading2"/>
      </w:pPr>
      <w:r>
        <w:t xml:space="preserve">2 MATERIALS AND METHODS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22" w:name="hemp-grain-sample-background"/>
    <w:p>
      <w:pPr>
        <w:pStyle w:val="Heading3"/>
      </w:pPr>
      <w:r>
        <w:t xml:space="preserve">2.1 Hemp Grain Sample Background</w:t>
      </w:r>
    </w:p>
    <w:p>
      <w:pPr>
        <w:pStyle w:val="FirstParagraph"/>
      </w:pPr>
      <w:r>
        <w:t xml:space="preserve">Spectral data were obtained from whole (unground) hemp grain samples, harvested at maturity, collected from 2017 - 2021 from 18 cultivar trials in New York (NY) (149 samples). Grain samples were obtained by hand sampling or mechanical harvest and were cleaned of chaff and dried at 30 C for six days in a forced-air dryer. All %CP values are as percent dry matter. In total, 149 samples from 38 cultivars were represented in the data set. Cultivars were grain or dual-purpose types and included both commercially available and experimental material.</w:t>
      </w:r>
    </w:p>
    <w:p>
      <w:pPr>
        <w:pStyle w:val="BodyText"/>
      </w:pPr>
      <w:r>
        <w:t xml:space="preserve">All cultivar trials were planted in randomized complete block design with each cultivar replicated four times. The 2017 data were comprised of samples from the same thirteen cultivars sampled from six NY locations. For those trials, grain was harvested from each plot individually and aggregated by cultivar within each trial. Four subsamples were drawn from each aggregated sample and scanned separately. These spectra were averaged at each 2 nm increment. All remaining samples from 2018-2021 were collected on a per-plot basis. All possible cultivars and possible locations were represented in 2017, but only a selected subset of cultivars and locations were represented in 2018-2021.</w:t>
      </w:r>
    </w:p>
    <w:bookmarkEnd w:id="22"/>
    <w:bookmarkStart w:id="23" w:name="Xa777ddabebd8245949ded3f5f31d6f938d26601"/>
    <w:p>
      <w:pPr>
        <w:pStyle w:val="Heading3"/>
      </w:pPr>
      <w:r>
        <w:t xml:space="preserve">2.2 Spectral Data Collection and Preprocessing</w:t>
      </w:r>
    </w:p>
    <w:p>
      <w:pPr>
        <w:pStyle w:val="FirstParagraph"/>
      </w:pPr>
      <w:r>
        <w:t xml:space="preserve">A benchtop NIR spectrometer (FOSS/ NIR FOSS/ NIR Systems model 5000) was used to obtain the spectra (FOSS North America, Eden Prairie, MN, USA). Spectra were collected every 2 nm from 1100-2498 nm and the logarithm of reciprocal reflectance was recorded. A 1/4 rectangular sample cup (5.7 cm × 4.6 cm) was used to scan the samples.</w:t>
      </w:r>
    </w:p>
    <w:p>
      <w:pPr>
        <w:pStyle w:val="BodyText"/>
      </w:pPr>
      <w:r>
        <w:t xml:space="preserve">WINISI software version 1.02A (Infrasoft International, Port Matilda, PA, USA) was used to average the spectra in 2017, as well as to select samples for laboratory assay. Samples were selected according to their spectral distance from their nearest neighbor within the calibration data set with a cutoff of a distance of 0.6 H, where H is approximately equal to the squared Mahalanobis distance divided by the number of principal components used in the calculation</w:t>
      </w:r>
      <w:r>
        <w:t xml:space="preserve"> </w:t>
      </w:r>
      <w:r>
        <w:t xml:space="preserve">(Garrido-Varo et al., 2019)</w:t>
      </w:r>
      <w:r>
        <w:t xml:space="preserve">. Prior to selection selection, spectra were preprocessed using SNV-detrend with settings 1,4,4,1 for the derivative, gap, smooth, and smooth 2 settings respectively.</w:t>
      </w:r>
    </w:p>
    <w:bookmarkEnd w:id="23"/>
    <w:bookmarkStart w:id="24" w:name="laboratory-validation"/>
    <w:p>
      <w:pPr>
        <w:pStyle w:val="Heading3"/>
      </w:pPr>
      <w:r>
        <w:t xml:space="preserve">2.3 Laboratory Validation</w:t>
      </w:r>
    </w:p>
    <w:p>
      <w:pPr>
        <w:pStyle w:val="FirstParagraph"/>
      </w:pPr>
      <w:r>
        <w:t xml:space="preserve">Laboratory assays were performed by Dairy One Forage Laboratory (Ithaca, NY). For those assays, 1 mm ground samples were analyzed by combustion using a CN628 or CN928 Carbon/Nitrogen Determinator. Samples from 2017 were aggregated as described above, but the remaining samples were not aggregated.</w:t>
      </w:r>
    </w:p>
    <w:bookmarkEnd w:id="24"/>
    <w:bookmarkStart w:id="25" w:name="model-development"/>
    <w:p>
      <w:pPr>
        <w:pStyle w:val="Heading3"/>
      </w:pPr>
      <w:r>
        <w:t xml:space="preserve">2.4 Model Development</w:t>
      </w:r>
    </w:p>
    <w:p>
      <w:pPr>
        <w:pStyle w:val="FirstParagraph"/>
      </w:pPr>
      <w:r>
        <w:t xml:space="preserve">Training and testing sets were created by dividing the laboratory %CP values into tertiles according to their %CP in order to ensure that the range of %CP values was present in both calibration and testing sets. Within each tertile, 75% of the samples were randomly assigned to the training set and the remaining 25% were assigned to the testing set. For each training set, models were developed in the caret package using PLSR. In fitting the model, the number of components was optimized over a grid search from 1-20. Model performance was evaluated with 25 iterations of bootstrapping and minimized root mean squared error (RMSE) in selecting the number of components in the final model.</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Initially a number of common spectral preprocessing methods were tested by creating 100 training and testing sets, as described above. Spectral data were transformed by each of the following methods: 1) first derivative, 2) Savitzky-Golay (SG) using the first derivative, third order polynomial, and a window of size 5, 3) gap-segment derivative using the first derivative, a gap of 11, and a segment size of 5, 4) standard normal variate (SNV), 5) standard normal variate following Savitzky-Golay (SNV-SG) using the same SG parameters as above, 6) SNV-detrend with second order polynomial, and 7) multiplicative scatter correction. For comparison, models were also developed using untransformed spectra.</w:t>
      </w:r>
    </w:p>
    <w:p>
      <w:pPr>
        <w:pStyle w:val="BodyText"/>
      </w:pPr>
      <w:r>
        <w:t xml:space="preserve">For each of these preprocessing methods, models were fit and predictions were made on the corresponding testing set. Since there were 7 preprocessing methods as well as untransformed spectra, 8 separate models were fit for each of the 100 sets. The relationship between the predicted and actual values of the test set were calculated via RMSE, coefficient of determination (R</w:t>
      </w:r>
      <w:r>
        <w:rPr>
          <w:vertAlign w:val="superscript"/>
        </w:rPr>
        <w:t xml:space="preserve">2</w:t>
      </w:r>
      <w:r>
        <w:t xml:space="preserve">), relative predicted deviation (RPD), and Ratio of Performance to InterQuartile distance (RPIQ), four common model assessment metrics. Larger R</w:t>
      </w:r>
      <w:r>
        <w:rPr>
          <w:vertAlign w:val="superscript"/>
        </w:rPr>
        <w:t xml:space="preserve">2</w:t>
      </w:r>
      <w:r>
        <w:t xml:space="preserve">, RPD and RPIQ values and smaller RMSE values are best. The answer to the question of exactly which values constitute a</w:t>
      </w:r>
      <w:r>
        <w:t xml:space="preserve"> </w:t>
      </w:r>
      <w:r>
        <w:t xml:space="preserve">“</w:t>
      </w:r>
      <w:r>
        <w:t xml:space="preserve">good</w:t>
      </w:r>
      <w:r>
        <w:t xml:space="preserve">”</w:t>
      </w:r>
      <w:r>
        <w:t xml:space="preserve"> </w:t>
      </w:r>
      <w:r>
        <w:t xml:space="preserve">model varies depending upon the reference consulted, but for simplicity’s sake researchers desired a model with R</w:t>
      </w:r>
      <w:r>
        <w:rPr>
          <w:vertAlign w:val="superscript"/>
        </w:rPr>
        <w:t xml:space="preserve">2</w:t>
      </w:r>
      <w:r>
        <w:t xml:space="preserve"> </w:t>
      </w:r>
      <w:r>
        <w:t xml:space="preserve">&gt; 0.80, an RPD greater than 2.5 and ideally greater than 3 (</w:t>
      </w:r>
      <w:r>
        <w:t xml:space="preserve">“</w:t>
      </w:r>
      <w:r>
        <w:t xml:space="preserve">good</w:t>
      </w:r>
      <w:r>
        <w:t xml:space="preserve">”</w:t>
      </w:r>
      <w:r>
        <w:t xml:space="preserve"> </w:t>
      </w:r>
      <w:r>
        <w:t xml:space="preserve">to</w:t>
      </w:r>
      <w:r>
        <w:t xml:space="preserve"> </w:t>
      </w:r>
      <w:r>
        <w:t xml:space="preserve">“</w:t>
      </w:r>
      <w:r>
        <w:t xml:space="preserve">excellent</w:t>
      </w:r>
      <w:r>
        <w:t xml:space="preserve">”</w:t>
      </w:r>
      <w:r>
        <w:t xml:space="preserve"> </w:t>
      </w:r>
      <w:r>
        <w:t xml:space="preserve">quantitative prediction), and an RPIQ greater than 2.3 but ideally greater than 4.1 prediction on the testing set</w:t>
      </w:r>
      <w:r>
        <w:t xml:space="preserve"> </w:t>
      </w:r>
      <w:r>
        <w:t xml:space="preserve">(Chadalavada et al., 2022; Luce et al., 2017; Rawal et al., 2024)</w:t>
      </w:r>
      <w:r>
        <w:t xml:space="preserve">.</w:t>
      </w:r>
    </w:p>
    <w:p>
      <w:pPr>
        <w:pStyle w:val="BodyText"/>
      </w:pPr>
      <w:r>
        <w:t xml:space="preserve">Analyses of variance (ANOVA) were performed for each of these metrics in order to compare the preprocessing methods. For each ANOVA, each data set was considered as a subject and different variances were allowed for each preprocessing method. Once the most promising preprocessing method was identified, 1000 more training and testing sets were created and models were developed with that method. Performance on the testing sets was summarized with RMSE, R</w:t>
      </w:r>
      <w:r>
        <w:rPr>
          <w:vertAlign w:val="superscript"/>
        </w:rPr>
        <w:t xml:space="preserve">2</w:t>
      </w:r>
      <w:r>
        <w:t xml:space="preserve">, RPD, and RPIQ. The pattern of errors, expressed as the difference between the actual and predicted values for a given sample, was examined.</w:t>
      </w:r>
    </w:p>
    <w:bookmarkEnd w:id="25"/>
    <w:bookmarkStart w:id="26" w:name="additional-software-used"/>
    <w:p>
      <w:pPr>
        <w:pStyle w:val="Heading3"/>
      </w:pPr>
      <w:r>
        <w:t xml:space="preserve">2.5 Additional software used</w:t>
      </w:r>
    </w:p>
    <w:p>
      <w:pPr>
        <w:pStyle w:val="FirstParagraph"/>
      </w:pPr>
      <w:r>
        <w:t xml:space="preserve">We used R version 4.3.3</w:t>
      </w:r>
      <w:r>
        <w:t xml:space="preserve"> </w:t>
      </w:r>
      <w:r>
        <w:t xml:space="preserve">(R Core Team, 2024)</w:t>
      </w:r>
      <w:r>
        <w:t xml:space="preserve"> </w:t>
      </w:r>
      <w:r>
        <w:t xml:space="preserve">and the following R packages: caret v. 6.0.94</w:t>
      </w:r>
      <w:r>
        <w:t xml:space="preserve"> </w:t>
      </w:r>
      <w:r>
        <w:t xml:space="preserve">(Kuhn &amp; Max, 2008)</w:t>
      </w:r>
      <w:r>
        <w:t xml:space="preserve">, data.table v. 1.15.2</w:t>
      </w:r>
      <w:r>
        <w:t xml:space="preserve"> </w:t>
      </w:r>
      <w:r>
        <w:t xml:space="preserve">(Barrett et al., 2024)</w:t>
      </w:r>
      <w:r>
        <w:t xml:space="preserve">, emmeans v. 1.10.0</w:t>
      </w:r>
      <w:r>
        <w:t xml:space="preserve"> </w:t>
      </w:r>
      <w:r>
        <w:t xml:space="preserve">(Lenth, 2024)</w:t>
      </w:r>
      <w:r>
        <w:t xml:space="preserve">, nlme v. 3.1.163</w:t>
      </w:r>
      <w:r>
        <w:t xml:space="preserve"> </w:t>
      </w:r>
      <w:r>
        <w:t xml:space="preserve">(J. Pinheiro et al., 2023; J. C. Pinheiro &amp; Bates, 2000)</w:t>
      </w:r>
      <w:r>
        <w:t xml:space="preserve">, pls v. 2.8.3</w:t>
      </w:r>
      <w:r>
        <w:t xml:space="preserve"> </w:t>
      </w:r>
      <w:r>
        <w:t xml:space="preserve">(Liland et al., 2023)</w:t>
      </w:r>
      <w:r>
        <w:t xml:space="preserve">, prospectr v. 0.2.7</w:t>
      </w:r>
      <w:r>
        <w:t xml:space="preserve"> </w:t>
      </w:r>
      <w:r>
        <w:t xml:space="preserve">(Stevens &amp; Ramirez-Lopez, 2024)</w:t>
      </w:r>
      <w:r>
        <w:t xml:space="preserve">, skimr v. 2.1.5</w:t>
      </w:r>
      <w:r>
        <w:t xml:space="preserve"> </w:t>
      </w:r>
      <w:r>
        <w:t xml:space="preserve">(Waring et al., 2022)</w:t>
      </w:r>
      <w:r>
        <w:t xml:space="preserve">, tidymodels v. 1.1.1</w:t>
      </w:r>
      <w:r>
        <w:t xml:space="preserve"> </w:t>
      </w:r>
      <w:r>
        <w:t xml:space="preserve">(Kuhn &amp; Wickham, 2020)</w:t>
      </w:r>
      <w:r>
        <w:t xml:space="preserve">, tidyverse v. 2.0.0</w:t>
      </w:r>
      <w:r>
        <w:t xml:space="preserve"> </w:t>
      </w:r>
      <w:r>
        <w:t xml:space="preserve">(Wickham et al., 2019)</w:t>
      </w:r>
      <w:r>
        <w:t xml:space="preserve">.</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6"/>
    <w:bookmarkEnd w:id="27"/>
    <w:bookmarkStart w:id="48" w:name="results-and-discussion"/>
    <w:p>
      <w:pPr>
        <w:pStyle w:val="Heading2"/>
      </w:pPr>
      <w:r>
        <w:t xml:space="preserve">3 RESULTS AND DISCUSSION</w:t>
      </w:r>
    </w:p>
    <w:bookmarkStart w:id="29" w:name="laboratory-assay-cp-values"/>
    <w:p>
      <w:pPr>
        <w:pStyle w:val="Heading3"/>
      </w:pPr>
      <w:r>
        <w:t xml:space="preserve">3.1 Laboratory assay %CP values</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Laboratory assay %CP values are summarized in the following table. These are similar to the range of %CP values observed in the literature, indicating an reasonable basis for a chemometric model. The %CP values are left-skewed (skewness of -0.29) and two thirds of the samples contained more than 25% CP.</w:t>
      </w:r>
    </w:p>
    <w:tbl>
      <w:tblPr>
        <w:tblStyle w:val="Table"/>
        <w:tblW w:type="pct" w:w="5000"/>
        <w:jc w:val="left"/>
        <w:tblLayout w:type="fixed"/>
        <w:tblLook w:firstRow="0" w:lastRow="0" w:firstColumn="0" w:lastColumn="0" w:noHBand="0" w:noVBand="0" w:val="0000"/>
      </w:tblPr>
      <w:tblGrid>
        <w:gridCol w:w="7920"/>
      </w:tblGrid>
      <w:tr>
        <w:tc>
          <w:tcPr/>
          <w:bookmarkStart w:id="28" w:name="tbl-lab-protein-vals"/>
          <w:p>
            <w:pPr>
              <w:jc w:val="center"/>
            </w:pPr>
            <w:pPr>
              <w:jc w:val="start"/>
              <w:spacing w:before="200"/>
              <w:pStyle w:val="ImageCaption"/>
            </w:pPr>
            <w:r>
              <w:t xml:space="preserve">Table 1: Summary of Laboratory Assayed CP Values (Percent Dry Matter)</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right"/>
                    <w:jc w:val="center"/>
                  </w:pPr>
                  <w:r>
                    <w:t xml:space="preserve">Mean</w:t>
                  </w:r>
                </w:p>
              </w:tc>
              <w:tc>
                <w:tcPr/>
                <w:p>
                  <w:pPr>
                    <w:pStyle w:val="Compact"/>
                    <w:jc w:val="right"/>
                    <w:jc w:val="center"/>
                  </w:pPr>
                  <w:r>
                    <w:t xml:space="preserve">Sd</w:t>
                  </w:r>
                </w:p>
              </w:tc>
              <w:tc>
                <w:tcPr/>
                <w:p>
                  <w:pPr>
                    <w:pStyle w:val="Compact"/>
                    <w:jc w:val="right"/>
                    <w:jc w:val="center"/>
                  </w:pPr>
                  <w:r>
                    <w:t xml:space="preserve">Minimum</w:t>
                  </w:r>
                </w:p>
              </w:tc>
              <w:tc>
                <w:tcPr/>
                <w:p>
                  <w:pPr>
                    <w:pStyle w:val="Compact"/>
                    <w:jc w:val="right"/>
                    <w:jc w:val="center"/>
                  </w:pPr>
                  <w:r>
                    <w:t xml:space="preserve">First Quartile</w:t>
                  </w:r>
                </w:p>
              </w:tc>
              <w:tc>
                <w:tcPr/>
                <w:p>
                  <w:pPr>
                    <w:pStyle w:val="Compact"/>
                    <w:jc w:val="right"/>
                    <w:jc w:val="center"/>
                  </w:pPr>
                  <w:r>
                    <w:t xml:space="preserve">Median</w:t>
                  </w:r>
                </w:p>
              </w:tc>
              <w:tc>
                <w:tcPr/>
                <w:p>
                  <w:pPr>
                    <w:pStyle w:val="Compact"/>
                    <w:jc w:val="right"/>
                    <w:jc w:val="center"/>
                  </w:pPr>
                  <w:r>
                    <w:t xml:space="preserve">Third Quartile</w:t>
                  </w:r>
                </w:p>
              </w:tc>
              <w:tc>
                <w:tcPr/>
                <w:p>
                  <w:pPr>
                    <w:pStyle w:val="Compact"/>
                    <w:jc w:val="right"/>
                    <w:jc w:val="center"/>
                  </w:pPr>
                  <w:r>
                    <w:t xml:space="preserve">Maximum</w:t>
                  </w:r>
                </w:p>
              </w:tc>
            </w:tr>
            <w:tr>
              <w:tc>
                <w:tcPr/>
                <w:p>
                  <w:pPr>
                    <w:pStyle w:val="Compact"/>
                    <w:jc w:val="right"/>
                    <w:jc w:val="center"/>
                  </w:pPr>
                  <w:r>
                    <w:t xml:space="preserve">26.1</w:t>
                  </w:r>
                </w:p>
              </w:tc>
              <w:tc>
                <w:tcPr/>
                <w:p>
                  <w:pPr>
                    <w:pStyle w:val="Compact"/>
                    <w:jc w:val="right"/>
                    <w:jc w:val="center"/>
                  </w:pPr>
                  <w:r>
                    <w:t xml:space="preserve">2.5</w:t>
                  </w:r>
                </w:p>
              </w:tc>
              <w:tc>
                <w:tcPr/>
                <w:p>
                  <w:pPr>
                    <w:pStyle w:val="Compact"/>
                    <w:jc w:val="right"/>
                    <w:jc w:val="center"/>
                  </w:pPr>
                  <w:r>
                    <w:t xml:space="preserve">20.8</w:t>
                  </w:r>
                </w:p>
              </w:tc>
              <w:tc>
                <w:tcPr/>
                <w:p>
                  <w:pPr>
                    <w:pStyle w:val="Compact"/>
                    <w:jc w:val="right"/>
                    <w:jc w:val="center"/>
                  </w:pPr>
                  <w:r>
                    <w:t xml:space="preserve">23.9</w:t>
                  </w:r>
                </w:p>
              </w:tc>
              <w:tc>
                <w:tcPr/>
                <w:p>
                  <w:pPr>
                    <w:pStyle w:val="Compact"/>
                    <w:jc w:val="right"/>
                    <w:jc w:val="center"/>
                  </w:pPr>
                  <w:r>
                    <w:t xml:space="preserve">26.4</w:t>
                  </w:r>
                </w:p>
              </w:tc>
              <w:tc>
                <w:tcPr/>
                <w:p>
                  <w:pPr>
                    <w:pStyle w:val="Compact"/>
                    <w:jc w:val="right"/>
                    <w:jc w:val="center"/>
                  </w:pPr>
                  <w:r>
                    <w:t xml:space="preserve">28.2</w:t>
                  </w:r>
                </w:p>
              </w:tc>
              <w:tc>
                <w:tcPr/>
                <w:p>
                  <w:pPr>
                    <w:pStyle w:val="Compact"/>
                    <w:jc w:val="right"/>
                    <w:jc w:val="center"/>
                  </w:pPr>
                  <w:r>
                    <w:t xml:space="preserve">30.8</w:t>
                  </w:r>
                </w:p>
              </w:tc>
            </w:tr>
          </w:tbl>
          <w:bookmarkEnd w:id="28"/>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29"/>
    <w:bookmarkStart w:id="31" w:name="preprocessing-methods-comparison"/>
    <w:p>
      <w:pPr>
        <w:pStyle w:val="Heading3"/>
      </w:pPr>
      <w:r>
        <w:t xml:space="preserve">3.2 Preprocessing methods comparison</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All preprocessing methods outperformed untransformed spectral data</w:t>
      </w:r>
      <w:r>
        <w:t xml:space="preserve"> </w:t>
      </w:r>
      <w:hyperlink w:anchor="tbl-preproc">
        <w:r>
          <w:rPr>
            <w:rStyle w:val="Hyperlink"/>
          </w:rPr>
          <w:t xml:space="preserve">Table 2</w:t>
        </w:r>
      </w:hyperlink>
      <w:r>
        <w:t xml:space="preserve">. Averaged together, all preprocessed spectra were superior to untransformed spectra, with lower RMSE and higher R</w:t>
      </w:r>
      <w:r>
        <w:rPr>
          <w:vertAlign w:val="superscript"/>
        </w:rPr>
        <w:t xml:space="preserve">2</w:t>
      </w:r>
      <w:r>
        <w:t xml:space="preserve">, RPD and RPIQ values (significant at</w:t>
      </w:r>
      <w:r>
        <w:t xml:space="preserve"> </w:t>
      </w:r>
      <m:oMath>
        <m:r>
          <m:t>α</m:t>
        </m:r>
      </m:oMath>
      <w:r>
        <w:t xml:space="preserve"> </w:t>
      </w:r>
      <w:r>
        <w:t xml:space="preserve">level &lt;0.001). Preprocessing methods had 11.6 % lower RMSE, and had 3.1% higher R</w:t>
      </w:r>
      <w:r>
        <w:rPr>
          <w:vertAlign w:val="superscript"/>
        </w:rPr>
        <w:t xml:space="preserve">2</w:t>
      </w:r>
      <w:r>
        <w:t xml:space="preserve">, 6.3% higher RPD and7.4% higher RPIQ than unprocessed spectra. Preprocessed spectra also had lower standard errors than untransformed spectra.</w:t>
      </w:r>
    </w:p>
    <w:p>
      <w:pPr>
        <w:pStyle w:val="BodyText"/>
      </w:pPr>
      <w:r>
        <w:t xml:space="preserve">The SNV-SG method had the lowest RMSE and the highest R</w:t>
      </w:r>
      <w:r>
        <w:rPr>
          <w:vertAlign w:val="superscript"/>
        </w:rPr>
        <w:t xml:space="preserve">2</w:t>
      </w:r>
      <w:r>
        <w:t xml:space="preserve">, RPD and RPIQ averaging over all iterations. SNV-SG’s RMSE was 1.4% lower than the next best preprocessing method (SG), while SNV-SG’s R</w:t>
      </w:r>
      <w:r>
        <w:rPr>
          <w:vertAlign w:val="superscript"/>
        </w:rPr>
        <w:t xml:space="preserve">2</w:t>
      </w:r>
      <w:r>
        <w:t xml:space="preserve">, RPD, and RPIQ were 0.4%, 2.1%, and 2.4% higher than SG respectively. However, the differences between the best and second best methods by metric were only statistically significant at</w:t>
      </w:r>
      <w:r>
        <w:t xml:space="preserve"> </w:t>
      </w:r>
      <m:oMath>
        <m:r>
          <m:t>α</m:t>
        </m:r>
      </m:oMath>
      <w:r>
        <w:t xml:space="preserve"> </w:t>
      </w:r>
      <w:r>
        <w:t xml:space="preserve">&lt;0.05 for RPD and RPIQ. There is a long history of using RPD to evaluate chemometric models although the statistic has been criticized as inadequately reflecting the distribution of skewed populations, a situation which RPIQ was designed to address</w:t>
      </w:r>
      <w:r>
        <w:t xml:space="preserve"> </w:t>
      </w:r>
      <w:r>
        <w:t xml:space="preserve">(Bellon-Maurel et al., 2010)</w:t>
      </w:r>
      <w:r>
        <w:t xml:space="preserve">. Here the data were somewhat but not heavily skewed and RPD and RPIQ metrics were in agreement. The superiority of SNV-SG by these metrics made it the best choice for the final model.</w:t>
      </w:r>
    </w:p>
    <w:tbl>
      <w:tblPr>
        <w:tblStyle w:val="Table"/>
        <w:tblW w:type="pct" w:w="5000"/>
        <w:jc w:val="left"/>
        <w:tblLayout w:type="fixed"/>
        <w:tblLook w:firstRow="0" w:lastRow="0" w:firstColumn="0" w:lastColumn="0" w:noHBand="0" w:noVBand="0" w:val="0000"/>
      </w:tblPr>
      <w:tblGrid>
        <w:gridCol w:w="7920"/>
      </w:tblGrid>
      <w:tr>
        <w:tc>
          <w:tcPr/>
          <w:bookmarkStart w:id="30" w:name="tbl-preproc"/>
          <w:p>
            <w:pPr>
              <w:jc w:val="center"/>
            </w:pPr>
            <w:pPr>
              <w:jc w:val="start"/>
              <w:spacing w:before="200"/>
              <w:pStyle w:val="ImageCaption"/>
            </w:pPr>
            <w:r>
              <w:t xml:space="preserve">Table 2: Evaluation of Preprocessing Methods by Metric ± Standard Error</w:t>
            </w:r>
          </w:p>
          <w:tbl>
            <w:tblPr>
              <w:tblStyle w:val="Table"/>
              <w:tblW w:type="pct" w:w="5000"/>
              <w:jc w:val="left"/>
              <w:tblLayout w:type="fixed"/>
              <w:tblLook w:firstRow="1" w:lastRow="0" w:firstColumn="0" w:lastColumn="0" w:noHBand="0" w:noVBand="0" w:val="0020"/>
            </w:tblPr>
            <w:tblGrid>
              <w:gridCol w:w="3842"/>
              <w:gridCol w:w="1019"/>
              <w:gridCol w:w="1019"/>
              <w:gridCol w:w="1019"/>
              <w:gridCol w:w="1019"/>
            </w:tblGrid>
            <w:tr>
              <w:trPr>
                <w:tblHeader w:val="on"/>
              </w:trPr>
              <w:tc>
                <w:tcPr/>
                <w:p>
                  <w:pPr>
                    <w:pStyle w:val="Compact"/>
                    <w:jc w:val="left"/>
                    <w:jc w:val="center"/>
                  </w:pPr>
                  <w:r>
                    <w:t xml:space="preserve">Preprocessing Method</w:t>
                  </w:r>
                </w:p>
              </w:tc>
              <w:tc>
                <w:tcPr/>
                <w:p>
                  <w:pPr>
                    <w:pStyle w:val="Compact"/>
                    <w:jc w:val="left"/>
                    <w:jc w:val="center"/>
                  </w:pPr>
                  <w:r>
                    <w:t xml:space="preserve">RMSE</w:t>
                  </w:r>
                </w:p>
              </w:tc>
              <w:tc>
                <w:tcPr/>
                <w:p>
                  <w:pPr>
                    <w:pStyle w:val="Compact"/>
                    <w:jc w:val="left"/>
                    <w:jc w:val="center"/>
                  </w:pPr>
                  <m:oMath>
                    <m:sSup>
                      <m:e>
                        <m:r>
                          <m:t>R</m:t>
                        </m:r>
                      </m:e>
                      <m:sup>
                        <m:r>
                          <m:t>2</m:t>
                        </m:r>
                      </m:sup>
                    </m:sSup>
                  </m:oMath>
                </w:p>
              </w:tc>
              <w:tc>
                <w:tcPr/>
                <w:p>
                  <w:pPr>
                    <w:pStyle w:val="Compact"/>
                    <w:jc w:val="left"/>
                    <w:jc w:val="center"/>
                  </w:pPr>
                  <w:r>
                    <w:t xml:space="preserve">RPD</w:t>
                  </w:r>
                </w:p>
              </w:tc>
              <w:tc>
                <w:tcPr/>
                <w:p>
                  <w:pPr>
                    <w:pStyle w:val="Compact"/>
                    <w:jc w:val="left"/>
                    <w:jc w:val="center"/>
                  </w:pPr>
                  <w:r>
                    <w:t xml:space="preserve">RPIQ</w:t>
                  </w:r>
                </w:p>
              </w:tc>
            </w:tr>
            <w:tr>
              <w:tc>
                <w:tcPr/>
                <w:p>
                  <w:pPr>
                    <w:pStyle w:val="Compact"/>
                    <w:jc w:val="left"/>
                    <w:jc w:val="center"/>
                  </w:pPr>
                  <w:r>
                    <w:t xml:space="preserve">Standard Normal Variate following Savitzky-Golay</w:t>
                  </w:r>
                </w:p>
              </w:tc>
              <w:tc>
                <w:tcPr/>
                <w:p>
                  <w:pPr>
                    <w:pStyle w:val="Compact"/>
                    <w:jc w:val="left"/>
                    <w:jc w:val="center"/>
                  </w:pPr>
                  <w:r>
                    <w:t xml:space="preserve">1.02 ± 0.012</w:t>
                  </w:r>
                </w:p>
              </w:tc>
              <w:tc>
                <w:tcPr/>
                <w:p>
                  <w:pPr>
                    <w:pStyle w:val="Compact"/>
                    <w:jc w:val="left"/>
                    <w:jc w:val="center"/>
                  </w:pPr>
                  <w:r>
                    <w:t xml:space="preserve">0.84 ± 0.004</w:t>
                  </w:r>
                </w:p>
              </w:tc>
              <w:tc>
                <w:tcPr/>
                <w:p>
                  <w:pPr>
                    <w:pStyle w:val="Compact"/>
                    <w:jc w:val="left"/>
                    <w:jc w:val="center"/>
                  </w:pPr>
                  <w:r>
                    <w:t xml:space="preserve">2.49 ± 0.032</w:t>
                  </w:r>
                </w:p>
              </w:tc>
              <w:tc>
                <w:tcPr/>
                <w:p>
                  <w:pPr>
                    <w:pStyle w:val="Compact"/>
                    <w:jc w:val="left"/>
                    <w:jc w:val="center"/>
                  </w:pPr>
                  <w:r>
                    <w:t xml:space="preserve">3.97 ± 0.076</w:t>
                  </w:r>
                </w:p>
              </w:tc>
            </w:tr>
            <w:tr>
              <w:tc>
                <w:tcPr/>
                <w:p>
                  <w:pPr>
                    <w:pStyle w:val="Compact"/>
                    <w:jc w:val="left"/>
                    <w:jc w:val="center"/>
                  </w:pPr>
                  <w:r>
                    <w:t xml:space="preserve">Savitzky-Golay</w:t>
                  </w:r>
                </w:p>
              </w:tc>
              <w:tc>
                <w:tcPr/>
                <w:p>
                  <w:pPr>
                    <w:pStyle w:val="Compact"/>
                    <w:jc w:val="left"/>
                    <w:jc w:val="center"/>
                  </w:pPr>
                  <w:r>
                    <w:t xml:space="preserve">1.03 ± 0.012</w:t>
                  </w:r>
                </w:p>
              </w:tc>
              <w:tc>
                <w:tcPr/>
                <w:p>
                  <w:pPr>
                    <w:pStyle w:val="Compact"/>
                    <w:jc w:val="left"/>
                    <w:jc w:val="center"/>
                  </w:pPr>
                  <w:r>
                    <w:t xml:space="preserve">0.83 ± 0.004</w:t>
                  </w:r>
                </w:p>
              </w:tc>
              <w:tc>
                <w:tcPr/>
                <w:p>
                  <w:pPr>
                    <w:pStyle w:val="Compact"/>
                    <w:jc w:val="left"/>
                    <w:jc w:val="center"/>
                  </w:pPr>
                  <w:r>
                    <w:t xml:space="preserve">2.44 ± 0.029</w:t>
                  </w:r>
                </w:p>
              </w:tc>
              <w:tc>
                <w:tcPr/>
                <w:p>
                  <w:pPr>
                    <w:pStyle w:val="Compact"/>
                    <w:jc w:val="left"/>
                    <w:jc w:val="center"/>
                  </w:pPr>
                  <w:r>
                    <w:t xml:space="preserve">3.88 ± 0.072</w:t>
                  </w:r>
                </w:p>
              </w:tc>
            </w:tr>
            <w:tr>
              <w:tc>
                <w:tcPr/>
                <w:p>
                  <w:pPr>
                    <w:pStyle w:val="Compact"/>
                    <w:jc w:val="left"/>
                    <w:jc w:val="center"/>
                  </w:pPr>
                  <w:r>
                    <w:t xml:space="preserve">First Derivative</w:t>
                  </w:r>
                </w:p>
              </w:tc>
              <w:tc>
                <w:tcPr/>
                <w:p>
                  <w:pPr>
                    <w:pStyle w:val="Compact"/>
                    <w:jc w:val="left"/>
                    <w:jc w:val="center"/>
                  </w:pPr>
                  <w:r>
                    <w:t xml:space="preserve">1.07 ± 0.013</w:t>
                  </w:r>
                </w:p>
              </w:tc>
              <w:tc>
                <w:tcPr/>
                <w:p>
                  <w:pPr>
                    <w:pStyle w:val="Compact"/>
                    <w:jc w:val="left"/>
                    <w:jc w:val="center"/>
                  </w:pPr>
                  <w:r>
                    <w:t xml:space="preserve">0.82 ± 0.004</w:t>
                  </w:r>
                </w:p>
              </w:tc>
              <w:tc>
                <w:tcPr/>
                <w:p>
                  <w:pPr>
                    <w:pStyle w:val="Compact"/>
                    <w:jc w:val="left"/>
                    <w:jc w:val="center"/>
                  </w:pPr>
                  <w:r>
                    <w:t xml:space="preserve">2.36 ± 0.032</w:t>
                  </w:r>
                </w:p>
              </w:tc>
              <w:tc>
                <w:tcPr/>
                <w:p>
                  <w:pPr>
                    <w:pStyle w:val="Compact"/>
                    <w:jc w:val="left"/>
                    <w:jc w:val="center"/>
                  </w:pPr>
                  <w:r>
                    <w:t xml:space="preserve">3.77 ± 0.075</w:t>
                  </w:r>
                </w:p>
              </w:tc>
            </w:tr>
            <w:tr>
              <w:tc>
                <w:tcPr/>
                <w:p>
                  <w:pPr>
                    <w:pStyle w:val="Compact"/>
                    <w:jc w:val="left"/>
                    <w:jc w:val="center"/>
                  </w:pPr>
                  <w:r>
                    <w:t xml:space="preserve">Standard Normal Variate</w:t>
                  </w:r>
                </w:p>
              </w:tc>
              <w:tc>
                <w:tcPr/>
                <w:p>
                  <w:pPr>
                    <w:pStyle w:val="Compact"/>
                    <w:jc w:val="left"/>
                    <w:jc w:val="center"/>
                  </w:pPr>
                  <w:r>
                    <w:t xml:space="preserve">1.12 ± 0.016</w:t>
                  </w:r>
                </w:p>
              </w:tc>
              <w:tc>
                <w:tcPr/>
                <w:p>
                  <w:pPr>
                    <w:pStyle w:val="Compact"/>
                    <w:jc w:val="left"/>
                    <w:jc w:val="center"/>
                  </w:pPr>
                  <w:r>
                    <w:t xml:space="preserve">0.80 ± 0.005</w:t>
                  </w:r>
                </w:p>
              </w:tc>
              <w:tc>
                <w:tcPr/>
                <w:p>
                  <w:pPr>
                    <w:pStyle w:val="Compact"/>
                    <w:jc w:val="left"/>
                    <w:jc w:val="center"/>
                  </w:pPr>
                  <w:r>
                    <w:t xml:space="preserve">2.26 ± 0.036</w:t>
                  </w:r>
                </w:p>
              </w:tc>
              <w:tc>
                <w:tcPr/>
                <w:p>
                  <w:pPr>
                    <w:pStyle w:val="Compact"/>
                    <w:jc w:val="left"/>
                    <w:jc w:val="center"/>
                  </w:pPr>
                  <w:r>
                    <w:t xml:space="preserve">3.61 ± 0.081</w:t>
                  </w:r>
                </w:p>
              </w:tc>
            </w:tr>
            <w:tr>
              <w:tc>
                <w:tcPr/>
                <w:p>
                  <w:pPr>
                    <w:pStyle w:val="Compact"/>
                    <w:jc w:val="left"/>
                    <w:jc w:val="center"/>
                  </w:pPr>
                  <w:r>
                    <w:t xml:space="preserve">Gap-segment Derivative</w:t>
                  </w:r>
                </w:p>
              </w:tc>
              <w:tc>
                <w:tcPr/>
                <w:p>
                  <w:pPr>
                    <w:pStyle w:val="Compact"/>
                    <w:jc w:val="left"/>
                    <w:jc w:val="center"/>
                  </w:pPr>
                  <w:r>
                    <w:t xml:space="preserve">1.12 ± 0.018</w:t>
                  </w:r>
                </w:p>
              </w:tc>
              <w:tc>
                <w:tcPr/>
                <w:p>
                  <w:pPr>
                    <w:pStyle w:val="Compact"/>
                    <w:jc w:val="left"/>
                    <w:jc w:val="center"/>
                  </w:pPr>
                  <w:r>
                    <w:t xml:space="preserve">0.81 ± 0.006</w:t>
                  </w:r>
                </w:p>
              </w:tc>
              <w:tc>
                <w:tcPr/>
                <w:p>
                  <w:pPr>
                    <w:pStyle w:val="Compact"/>
                    <w:jc w:val="left"/>
                    <w:jc w:val="center"/>
                  </w:pPr>
                  <w:r>
                    <w:t xml:space="preserve">2.26 ± 0.040</w:t>
                  </w:r>
                </w:p>
              </w:tc>
              <w:tc>
                <w:tcPr/>
                <w:p>
                  <w:pPr>
                    <w:pStyle w:val="Compact"/>
                    <w:jc w:val="left"/>
                    <w:jc w:val="center"/>
                  </w:pPr>
                  <w:r>
                    <w:t xml:space="preserve">3.60 ± 0.086</w:t>
                  </w:r>
                </w:p>
              </w:tc>
            </w:tr>
            <w:tr>
              <w:tc>
                <w:tcPr/>
                <w:p>
                  <w:pPr>
                    <w:pStyle w:val="Compact"/>
                    <w:jc w:val="left"/>
                    <w:jc w:val="center"/>
                  </w:pPr>
                  <w:r>
                    <w:t xml:space="preserve">Standard Normal Variate-Detrend</w:t>
                  </w:r>
                </w:p>
              </w:tc>
              <w:tc>
                <w:tcPr/>
                <w:p>
                  <w:pPr>
                    <w:pStyle w:val="Compact"/>
                    <w:jc w:val="left"/>
                    <w:jc w:val="center"/>
                  </w:pPr>
                  <w:r>
                    <w:t xml:space="preserve">1.13 ± 0.015</w:t>
                  </w:r>
                </w:p>
              </w:tc>
              <w:tc>
                <w:tcPr/>
                <w:p>
                  <w:pPr>
                    <w:pStyle w:val="Compact"/>
                    <w:jc w:val="left"/>
                    <w:jc w:val="center"/>
                  </w:pPr>
                  <w:r>
                    <w:t xml:space="preserve">0.80 ± 0.005</w:t>
                  </w:r>
                </w:p>
              </w:tc>
              <w:tc>
                <w:tcPr/>
                <w:p>
                  <w:pPr>
                    <w:pStyle w:val="Compact"/>
                    <w:jc w:val="left"/>
                    <w:jc w:val="center"/>
                  </w:pPr>
                  <w:r>
                    <w:t xml:space="preserve">2.22 ± 0.035</w:t>
                  </w:r>
                </w:p>
              </w:tc>
              <w:tc>
                <w:tcPr/>
                <w:p>
                  <w:pPr>
                    <w:pStyle w:val="Compact"/>
                    <w:jc w:val="left"/>
                    <w:jc w:val="center"/>
                  </w:pPr>
                  <w:r>
                    <w:t xml:space="preserve">3.55 ± 0.079</w:t>
                  </w:r>
                </w:p>
              </w:tc>
            </w:tr>
            <w:tr>
              <w:tc>
                <w:tcPr/>
                <w:p>
                  <w:pPr>
                    <w:pStyle w:val="Compact"/>
                    <w:jc w:val="left"/>
                    <w:jc w:val="center"/>
                  </w:pPr>
                  <w:r>
                    <w:t xml:space="preserve">Multiplicative Scatter Correction</w:t>
                  </w:r>
                </w:p>
              </w:tc>
              <w:tc>
                <w:tcPr/>
                <w:p>
                  <w:pPr>
                    <w:pStyle w:val="Compact"/>
                    <w:jc w:val="left"/>
                    <w:jc w:val="center"/>
                  </w:pPr>
                  <w:r>
                    <w:t xml:space="preserve">1.17 ± 0.016</w:t>
                  </w:r>
                </w:p>
              </w:tc>
              <w:tc>
                <w:tcPr/>
                <w:p>
                  <w:pPr>
                    <w:pStyle w:val="Compact"/>
                    <w:jc w:val="left"/>
                    <w:jc w:val="center"/>
                  </w:pPr>
                  <w:r>
                    <w:t xml:space="preserve">0.79 ± 0.006</w:t>
                  </w:r>
                </w:p>
              </w:tc>
              <w:tc>
                <w:tcPr/>
                <w:p>
                  <w:pPr>
                    <w:pStyle w:val="Compact"/>
                    <w:jc w:val="left"/>
                    <w:jc w:val="center"/>
                  </w:pPr>
                  <w:r>
                    <w:t xml:space="preserve">2.17 ± 0.035</w:t>
                  </w:r>
                </w:p>
              </w:tc>
              <w:tc>
                <w:tcPr/>
                <w:p>
                  <w:pPr>
                    <w:pStyle w:val="Compact"/>
                    <w:jc w:val="left"/>
                    <w:jc w:val="center"/>
                  </w:pPr>
                  <w:r>
                    <w:t xml:space="preserve">3.47 ± 0.080</w:t>
                  </w:r>
                </w:p>
              </w:tc>
            </w:tr>
            <w:tr>
              <w:tc>
                <w:tcPr/>
                <w:p>
                  <w:pPr>
                    <w:pStyle w:val="Compact"/>
                    <w:jc w:val="left"/>
                    <w:jc w:val="center"/>
                  </w:pPr>
                  <w:r>
                    <w:t xml:space="preserve">Untransformed Spectra</w:t>
                  </w:r>
                </w:p>
              </w:tc>
              <w:tc>
                <w:tcPr/>
                <w:p>
                  <w:pPr>
                    <w:pStyle w:val="Compact"/>
                    <w:jc w:val="left"/>
                    <w:jc w:val="center"/>
                  </w:pPr>
                  <w:r>
                    <w:t xml:space="preserve">1.22 ± 0.044</w:t>
                  </w:r>
                </w:p>
              </w:tc>
              <w:tc>
                <w:tcPr/>
                <w:p>
                  <w:pPr>
                    <w:pStyle w:val="Compact"/>
                    <w:jc w:val="left"/>
                    <w:jc w:val="center"/>
                  </w:pPr>
                  <w:r>
                    <w:t xml:space="preserve">0.79 ± 0.009</w:t>
                  </w:r>
                </w:p>
              </w:tc>
              <w:tc>
                <w:tcPr/>
                <w:p>
                  <w:pPr>
                    <w:pStyle w:val="Compact"/>
                    <w:jc w:val="left"/>
                    <w:jc w:val="center"/>
                  </w:pPr>
                  <w:r>
                    <w:t xml:space="preserve">2.17 ± 0.052</w:t>
                  </w:r>
                </w:p>
              </w:tc>
              <w:tc>
                <w:tcPr/>
                <w:p>
                  <w:pPr>
                    <w:pStyle w:val="Compact"/>
                    <w:jc w:val="left"/>
                    <w:jc w:val="center"/>
                  </w:pPr>
                  <w:r>
                    <w:t xml:space="preserve">3.42 ± 0.105</w:t>
                  </w:r>
                </w:p>
              </w:tc>
            </w:tr>
          </w:tbl>
          <w:bookmarkEnd w:id="30"/>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These results are not surprising. SNV and SNV-detrend both correct light scatter, which is often a function of differences in particle size and sample packing density, although SNV-detrend is often used for densely-packed, powdered samples</w:t>
      </w:r>
      <w:r>
        <w:t xml:space="preserve"> </w:t>
      </w:r>
      <w:r>
        <w:t xml:space="preserve">(Barnes et al., 1989)</w:t>
      </w:r>
      <w:r>
        <w:t xml:space="preserve">. SG is a smoothing filter that regresses on the signal over a series of windows, removing noise while preserving the signal’s shape and features</w:t>
      </w:r>
      <w:r>
        <w:t xml:space="preserve"> </w:t>
      </w:r>
      <w:r>
        <w:t xml:space="preserve">(Li et al., 2020; Luo et al., 2005)</w:t>
      </w:r>
      <w:r>
        <w:t xml:space="preserve">. Derivatives, here including SG, gap-segment, and first derivatives pretreatments may remove additive and multiplicative effects, but not necessarily light scatter; as well, derivatives may increase spectral noise</w:t>
      </w:r>
      <w:r>
        <w:t xml:space="preserve"> </w:t>
      </w:r>
      <w:r>
        <w:t xml:space="preserve">(Rinnan et al., 2009)</w:t>
      </w:r>
      <w:r>
        <w:t xml:space="preserve">. Here, hemp grain was neither powdered nor densely packed but samples were subject to light scatter and noise due to differences in particle size in the hemp grain.</w:t>
      </w:r>
    </w:p>
    <w:p>
      <w:pPr>
        <w:pStyle w:val="BodyText"/>
      </w:pPr>
      <w:r>
        <w:t xml:space="preserve">The preprocessing methods examined represent a portion of those available. As well, these methods tend to have a number of user-adjustable parameters whose various permutations were not tested. This subset of preprocessing methods and parameters nonetheless contained substantial variations in model quality, demonstrating the importance of selecting an appropriate preprocessing method.</w:t>
      </w:r>
    </w:p>
    <w:bookmarkEnd w:id="31"/>
    <w:bookmarkStart w:id="47" w:name="final-model-development-and-summary"/>
    <w:p>
      <w:pPr>
        <w:pStyle w:val="Heading3"/>
      </w:pPr>
      <w:r>
        <w:t xml:space="preserve">3.3 Final model development and summary</w:t>
      </w:r>
    </w:p>
    <w:p>
      <w:pPr>
        <w:pStyle w:val="FirstParagraph"/>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model improved most rapidly as the number of components increased from 1 to 7, with the inclusion of each additional component being associated with a decrease in RMSE of 5-12% . From 8 to 12 components, model performance continued to improve, although gains were more modest (there was a decrease in RMSE of 0.7-3% with the inclusion of each additional component). With 13 or more components, performance gains were minimal and the relative ranks of the models tended to be stable</w:t>
      </w:r>
      <w:r>
        <w:t xml:space="preserve"> </w:t>
      </w:r>
      <w:hyperlink w:anchor="fig-model-calibration">
        <w:r>
          <w:rPr>
            <w:rStyle w:val="Hyperlink"/>
          </w:rPr>
          <w:t xml:space="preserve">Figure 1</w:t>
        </w:r>
      </w:hyperlink>
      <w:r>
        <w:t xml:space="preserve">.</w:t>
      </w:r>
    </w:p>
    <w:bookmarkStart w:id="36" w:name="cell-fig-model-calibration"/>
    <w:tbl>
      <w:tblPr>
        <w:tblStyle w:val="Table"/>
        <w:tblW w:type="pct" w:w="5000"/>
        <w:jc w:val="left"/>
        <w:tblLayout w:type="fixed"/>
        <w:tblLook w:firstRow="0" w:lastRow="0" w:firstColumn="0" w:lastColumn="0" w:noHBand="0" w:noVBand="0" w:val="0000"/>
      </w:tblPr>
      <w:tblGrid>
        <w:gridCol w:w="7920"/>
      </w:tblGrid>
      <w:tr>
        <w:tc>
          <w:tcPr/>
          <w:bookmarkStart w:id="35" w:name="fig-model-calibration"/>
          <w:p>
            <w:pPr>
              <w:pStyle w:val="Compact"/>
              <w:jc w:val="center"/>
            </w:pPr>
            <w:r>
              <w:drawing>
                <wp:inline>
                  <wp:extent cx="4620126" cy="3696101"/>
                  <wp:effectExtent b="0" l="0" r="0" t="0"/>
                  <wp:docPr descr="" title="" id="33" name="Picture"/>
                  <a:graphic>
                    <a:graphicData uri="http://schemas.openxmlformats.org/drawingml/2006/picture">
                      <pic:pic>
                        <pic:nvPicPr>
                          <pic:cNvPr descr="index_files/figure-docx/fig-model-calibration-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Decreasing RMSE with increasing number of PCs</w:t>
            </w:r>
          </w:p>
          <w:bookmarkEnd w:id="3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3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final models performances on the test sets were similar, but not identical to, those obtained during the initial comparison of preprocessing methods. The final models’ mean RMSE was 1.03, R</w:t>
      </w:r>
      <w:r>
        <w:rPr>
          <w:vertAlign w:val="superscript"/>
        </w:rPr>
        <w:t xml:space="preserve">2</w:t>
      </w:r>
      <w:r>
        <w:t xml:space="preserve"> </w:t>
      </w:r>
      <w:r>
        <w:t xml:space="preserve">was 0.83, RPD was 2.44, and RPIQ was 3.89. Five percent of the models were excellent by both metrics, with RPD &gt; 3 and RPIQ &gt; 4.1, while an additional 11% of the models were</w:t>
      </w:r>
      <w:r>
        <w:t xml:space="preserve"> </w:t>
      </w:r>
      <w:r>
        <w:t xml:space="preserve">“</w:t>
      </w:r>
      <w:r>
        <w:t xml:space="preserve">good</w:t>
      </w:r>
      <w:r>
        <w:t xml:space="preserve">”</w:t>
      </w:r>
      <w:r>
        <w:t xml:space="preserve"> </w:t>
      </w:r>
      <w:r>
        <w:t xml:space="preserve">by both metrics (RPD range from 2.5 - 3.0, RPIQ range from 2.3 - 4.1). Forty-nine percent of the models had the ability to approximate quantitative prediction (RPD range from 2.0 - 2.5), and 9% of the models were able to distinguish between higher and lower %CP values (RPD range from 1.5 - 2.0). Therefore, 74% of the models generated here had, at minimum, the ability to distinguish between high and low values with with two thirds of them having, at minimum, the ability to approximate quantitative prediction. Despite the generally good model performance, a subset of poor models can be seen. For example,</w:t>
      </w:r>
      <w:r>
        <w:t xml:space="preserve"> </w:t>
      </w:r>
      <w:hyperlink w:anchor="fig-final-metric-boxplot">
        <w:r>
          <w:rPr>
            <w:rStyle w:val="Hyperlink"/>
          </w:rPr>
          <w:t xml:space="preserve">Figure 2</w:t>
        </w:r>
      </w:hyperlink>
      <w:r>
        <w:t xml:space="preserve"> </w:t>
      </w:r>
      <w:r>
        <w:t xml:space="preserve">shows twenty-one models with R</w:t>
      </w:r>
      <w:r>
        <w:rPr>
          <w:vertAlign w:val="superscript"/>
        </w:rPr>
        <w:t xml:space="preserve">2</w:t>
      </w:r>
      <w:r>
        <w:t xml:space="preserve"> </w:t>
      </w:r>
      <w:r>
        <w:t xml:space="preserve">below 0.7.</w:t>
      </w:r>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Start w:id="41" w:name="cell-fig-final-metric-boxplot"/>
    <w:tbl>
      <w:tblPr>
        <w:tblStyle w:val="Table"/>
        <w:tblW w:type="pct" w:w="5000"/>
        <w:jc w:val="left"/>
        <w:tblLayout w:type="fixed"/>
        <w:tblLook w:firstRow="0" w:lastRow="0" w:firstColumn="0" w:lastColumn="0" w:noHBand="0" w:noVBand="0" w:val="0000"/>
      </w:tblPr>
      <w:tblGrid>
        <w:gridCol w:w="7920"/>
      </w:tblGrid>
      <w:tr>
        <w:tc>
          <w:tcPr/>
          <w:bookmarkStart w:id="40" w:name="fig-final-metric-boxplot"/>
          <w:p>
            <w:pPr>
              <w:pStyle w:val="Compact"/>
              <w:jc w:val="center"/>
            </w:pPr>
            <w:r>
              <w:drawing>
                <wp:inline>
                  <wp:extent cx="4620126" cy="3696101"/>
                  <wp:effectExtent b="0" l="0" r="0" t="0"/>
                  <wp:docPr descr="" title="" id="38" name="Picture"/>
                  <a:graphic>
                    <a:graphicData uri="http://schemas.openxmlformats.org/drawingml/2006/picture">
                      <pic:pic>
                        <pic:nvPicPr>
                          <pic:cNvPr descr="index_files/figure-docx/fig-final-metric-boxplot-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Final model test set performance (1000 iterations)</w:t>
            </w:r>
          </w:p>
          <w:bookmarkEnd w:id="40"/>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1"/>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Finally, the pattern of test set errors was examined on a per-sample basis by calculating the difference between the actual and predicted values for the samples in the test sets</w:t>
      </w:r>
      <w:r>
        <w:t xml:space="preserve"> </w:t>
      </w:r>
      <w:hyperlink w:anchor="fig-validation_set_performance">
        <w:r>
          <w:rPr>
            <w:rStyle w:val="Hyperlink"/>
          </w:rPr>
          <w:t xml:space="preserve">Figure 3</w:t>
        </w:r>
      </w:hyperlink>
      <w:r>
        <w:t xml:space="preserve"> </w:t>
      </w:r>
      <w:r>
        <w:t xml:space="preserve">. A linear model was fit considering the mean estimated error for each sample where that sample was in the test set as compared to the sample’s actual value. The models overestimated %CP by approximately 0.5 % in the lowest tertile and underestimated %CP by -0.01 % and -0.41 % in the middle and highest tertile, respectively. The variance of the errors did not increase appreciably as %CP increased.</w:t>
      </w:r>
    </w:p>
    <w:bookmarkStart w:id="46" w:name="cell-fig-validation_set_performance"/>
    <w:tbl>
      <w:tblPr>
        <w:tblStyle w:val="Table"/>
        <w:tblW w:type="pct" w:w="5000"/>
        <w:jc w:val="left"/>
        <w:tblLayout w:type="fixed"/>
        <w:tblLook w:firstRow="0" w:lastRow="0" w:firstColumn="0" w:lastColumn="0" w:noHBand="0" w:noVBand="0" w:val="0000"/>
      </w:tblPr>
      <w:tblGrid>
        <w:gridCol w:w="7920"/>
      </w:tblGrid>
      <w:tr>
        <w:tc>
          <w:tcPr/>
          <w:bookmarkStart w:id="45" w:name="fig-validation_set_performance"/>
          <w:p>
            <w:pPr>
              <w:pStyle w:val="Compact"/>
              <w:jc w:val="center"/>
            </w:pPr>
            <w:r>
              <w:drawing>
                <wp:inline>
                  <wp:extent cx="4620126" cy="3696101"/>
                  <wp:effectExtent b="0" l="0" r="0" t="0"/>
                  <wp:docPr descr="" title="" id="43" name="Picture"/>
                  <a:graphic>
                    <a:graphicData uri="http://schemas.openxmlformats.org/drawingml/2006/picture">
                      <pic:pic>
                        <pic:nvPicPr>
                          <pic:cNvPr descr="index_files/figure-docx/fig-validation_set_performance-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Test set prediction errors on a per-sample basis. Actual sample value set to 0, and samples ranked from least to greatest actual % CP value</w:t>
            </w:r>
          </w:p>
          <w:bookmarkEnd w:id="45"/>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46"/>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p>
      <w:pPr>
        <w:pStyle w:val="BodyText"/>
      </w:pPr>
      <w:r>
        <w:t xml:space="preserve">The 15 (10%) best and 15 worst predicted samples as measured by the mean absolute error of prediction were identified and their backgrounds examined. Overall, half of the samples in the data set came from Ithaca, NY (</w:t>
      </w:r>
      <w:r>
        <w:t xml:space="preserve">“</w:t>
      </w:r>
      <w:r>
        <w:t xml:space="preserve">Ithaca</w:t>
      </w:r>
      <w:r>
        <w:t xml:space="preserve">”</w:t>
      </w:r>
      <w:r>
        <w:t xml:space="preserve">), while 28% were collected from Geneva, NY (</w:t>
      </w:r>
      <w:r>
        <w:t xml:space="preserve">“</w:t>
      </w:r>
      <w:r>
        <w:t xml:space="preserve">Geneva</w:t>
      </w:r>
      <w:r>
        <w:t xml:space="preserve">”</w:t>
      </w:r>
      <w:r>
        <w:t xml:space="preserve">)</w:t>
      </w:r>
      <w:r>
        <w:t xml:space="preserve"> </w:t>
      </w:r>
      <w:hyperlink w:anchor="tbl-hemp_provenance">
        <w:r>
          <w:rPr>
            <w:rStyle w:val="Hyperlink"/>
          </w:rPr>
          <w:t xml:space="preserve">Table 3</w:t>
        </w:r>
      </w:hyperlink>
      <w:r>
        <w:t xml:space="preserve">. However, of the 15 worst-predicted samples, 9 were from Geneva, while 3 of the 15 best-predicted samples were from Geneva (by contrast, 7 of the best-predicted and 5 of the worst-predicted samples came from Ithaca). Overall, samples from Geneva had the highest mean absolute error of prediction among locations, 61% greater than samples from Ithaca and 155% greater than samples from Freeville, NY (the only locations with more than 20 samples).</w:t>
      </w:r>
    </w:p>
    <w:p>
      <w:pPr>
        <w:pStyle w:val="BodyText"/>
      </w:pPr>
      <w:r>
        <w:t xml:space="preserve">This study is limited in that it represents the creation of one model based upon spectra collected from one machine. NIRS calibrations can be unique to a particular machine, even if the machines compared are of the same model</w:t>
      </w:r>
      <w:r>
        <w:t xml:space="preserve"> </w:t>
      </w:r>
      <w:r>
        <w:t xml:space="preserve">(Reeves, 2012)</w:t>
      </w:r>
      <w:r>
        <w:t xml:space="preserve">. As well, the calibration and validation sets are relatively small.</w:t>
      </w:r>
    </w:p>
    <w:p>
      <w:pPr>
        <w:pStyle w:val="BodyText"/>
      </w:pPr>
      <w:r>
        <w:t xml:space="preserve">This research showed the promise of the use of NIRS in order to make predictions concerning %CP in hemp grain using PLS. Promising preprocessing methods were identified and a model was validated. Further research could refine a %CP model by including more samples, particularly by rectifying the class imbalance between Geneva and Ithaca, identifying promising spectral regions, or by examining other predictive methods.</w:t>
      </w:r>
    </w:p>
    <w:bookmarkEnd w:id="47"/>
    <w:bookmarkEnd w:id="48"/>
    <w:bookmarkStart w:id="49" w:name="acknowledgments"/>
    <w:p>
      <w:pPr>
        <w:pStyle w:val="Heading2"/>
      </w:pPr>
      <w:r>
        <w:t xml:space="preserve">4 ACKNOWLEDGMENTS</w:t>
      </w:r>
    </w:p>
    <w:p>
      <w:pPr>
        <w:pStyle w:val="FirstParagraph"/>
      </w:pPr>
      <w:r>
        <w:t xml:space="preserve">This work would not have been possible without the efforts of the field staff, undergraduate, and graduate students who planted, maintained, monitored and harvested these trials.</w:t>
      </w:r>
    </w:p>
    <w:bookmarkEnd w:id="49"/>
    <w:bookmarkStart w:id="50" w:name="conflict-of-interest"/>
    <w:p>
      <w:pPr>
        <w:pStyle w:val="Heading2"/>
      </w:pPr>
      <w:r>
        <w:t xml:space="preserve">5 CONFLICT OF INTEREST</w:t>
      </w:r>
    </w:p>
    <w:p>
      <w:pPr>
        <w:pStyle w:val="FirstParagraph"/>
      </w:pPr>
      <w:r>
        <w:t xml:space="preserve">The authors declare no conflict of interest.</w:t>
      </w:r>
    </w:p>
    <w:bookmarkEnd w:id="50"/>
    <w:bookmarkStart w:id="51" w:name="orcid"/>
    <w:p>
      <w:pPr>
        <w:pStyle w:val="Heading2"/>
      </w:pPr>
      <w:r>
        <w:t xml:space="preserve">6 ORCID</w:t>
      </w:r>
    </w:p>
    <w:bookmarkEnd w:id="51"/>
    <w:bookmarkStart w:id="53" w:name="supplemental-material"/>
    <w:p>
      <w:pPr>
        <w:pStyle w:val="Heading2"/>
      </w:pPr>
      <w:r>
        <w:t xml:space="preserve">7 SUPPLEMENTAL MATERIAL</w:t>
      </w:r>
    </w:p>
    <w:tbl>
      <w:tblPr>
        <w:tblStyle w:val="Table"/>
        <w:tblW w:type="pct" w:w="5000"/>
        <w:jc w:val="left"/>
        <w:tblLayout w:type="fixed"/>
        <w:tblLook w:firstRow="0" w:lastRow="0" w:firstColumn="0" w:lastColumn="0" w:noHBand="0" w:noVBand="0" w:val="0000"/>
      </w:tblPr>
      <w:tblGrid>
        <w:gridCol w:w="7920"/>
      </w:tblGrid>
      <w:tr>
        <w:tc>
          <w:tcPr/>
          <w:bookmarkStart w:id="52" w:name="tbl-hemp_provenance"/>
          <w:p>
            <w:pPr>
              <w:jc w:val="center"/>
            </w:pPr>
            <w:pPr>
              <w:jc w:val="start"/>
              <w:spacing w:before="200"/>
              <w:pStyle w:val="ImageCaption"/>
            </w:pPr>
            <w:r>
              <w:t xml:space="preserve">Table 3: Tally of hemp cultivars and locations. Private cultivars are labeled</w:t>
            </w:r>
            <w:r>
              <w:t xml:space="preserve"> </w:t>
            </w:r>
            <w:r>
              <w:t xml:space="preserve">“</w:t>
            </w:r>
            <w:r>
              <w:t xml:space="preserve">Cultivar1</w:t>
            </w:r>
            <w:r>
              <w:t xml:space="preserve">”</w:t>
            </w:r>
            <w:r>
              <w:t xml:space="preserve">,</w:t>
            </w:r>
            <w:r>
              <w:t xml:space="preserve"> </w:t>
            </w:r>
            <w:r>
              <w:t xml:space="preserve">“</w:t>
            </w:r>
            <w:r>
              <w:t xml:space="preserve">Cultivar2</w:t>
            </w:r>
            <w:r>
              <w:t xml:space="preserve">”</w:t>
            </w:r>
            <w:r>
              <w:t xml:space="preserve">, etc., while experimental cultivars are labeled</w:t>
            </w:r>
            <w:r>
              <w:t xml:space="preserve"> </w:t>
            </w:r>
            <w:r>
              <w:t xml:space="preserve">“</w:t>
            </w:r>
            <w:r>
              <w:t xml:space="preserve">Experimental1</w:t>
            </w:r>
            <w:r>
              <w:t xml:space="preserve">”</w:t>
            </w:r>
            <w:r>
              <w:t xml:space="preserve">,</w:t>
            </w:r>
            <w:r>
              <w:t xml:space="preserve"> </w:t>
            </w:r>
            <w:r>
              <w:t xml:space="preserve">“</w:t>
            </w:r>
            <w:r>
              <w:t xml:space="preserve">Experimental2</w:t>
            </w:r>
            <w:r>
              <w:t xml:space="preserve">”</w:t>
            </w:r>
            <w:r>
              <w:t xml:space="preserve">, etc.</w:t>
            </w:r>
          </w:p>
          <w:tbl>
            <w:tblPr>
              <w:tblStyle w:val="Table"/>
              <w:tblW w:type="auto" w:w="0"/>
              <w:jc w:val="left"/>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Cultivar</w:t>
                  </w:r>
                </w:p>
              </w:tc>
              <w:tc>
                <w:tcPr/>
                <w:p>
                  <w:pPr>
                    <w:pStyle w:val="Compact"/>
                    <w:jc w:val="right"/>
                    <w:jc w:val="center"/>
                  </w:pPr>
                  <w:r>
                    <w:t xml:space="preserve">Chazy</w:t>
                  </w:r>
                </w:p>
              </w:tc>
              <w:tc>
                <w:tcPr/>
                <w:p>
                  <w:pPr>
                    <w:pStyle w:val="Compact"/>
                    <w:jc w:val="right"/>
                    <w:jc w:val="center"/>
                  </w:pPr>
                  <w:r>
                    <w:t xml:space="preserve">Freeville</w:t>
                  </w:r>
                </w:p>
              </w:tc>
              <w:tc>
                <w:tcPr/>
                <w:p>
                  <w:pPr>
                    <w:pStyle w:val="Compact"/>
                    <w:jc w:val="right"/>
                    <w:jc w:val="center"/>
                  </w:pPr>
                  <w:r>
                    <w:t xml:space="preserve">Geneva</w:t>
                  </w:r>
                </w:p>
              </w:tc>
              <w:tc>
                <w:tcPr/>
                <w:p>
                  <w:pPr>
                    <w:pStyle w:val="Compact"/>
                    <w:jc w:val="right"/>
                    <w:jc w:val="center"/>
                  </w:pPr>
                  <w:r>
                    <w:t xml:space="preserve">Ithaca</w:t>
                  </w:r>
                </w:p>
              </w:tc>
              <w:tc>
                <w:tcPr/>
                <w:p>
                  <w:pPr>
                    <w:pStyle w:val="Compact"/>
                    <w:jc w:val="right"/>
                    <w:jc w:val="center"/>
                  </w:pPr>
                  <w:r>
                    <w:t xml:space="preserve">Willsboro</w:t>
                  </w:r>
                </w:p>
              </w:tc>
              <w:tc>
                <w:tcPr/>
                <w:p>
                  <w:pPr>
                    <w:pStyle w:val="Compact"/>
                    <w:jc w:val="right"/>
                    <w:jc w:val="center"/>
                  </w:pPr>
                  <w:r>
                    <w:t xml:space="preserve">Total</w:t>
                  </w:r>
                </w:p>
              </w:tc>
            </w:tr>
            <w:tr>
              <w:tc>
                <w:tcPr/>
                <w:p>
                  <w:pPr>
                    <w:pStyle w:val="Compact"/>
                    <w:jc w:val="left"/>
                    <w:jc w:val="center"/>
                  </w:pPr>
                  <w:r>
                    <w:t xml:space="preserve">ALTAIR</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ANKA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5</w:t>
                  </w:r>
                </w:p>
              </w:tc>
              <w:tc>
                <w:tcPr/>
                <w:p>
                  <w:pPr>
                    <w:pStyle w:val="Compact"/>
                    <w:jc w:val="right"/>
                    <w:jc w:val="center"/>
                  </w:pPr>
                  <w:r>
                    <w:t xml:space="preserve">2</w:t>
                  </w:r>
                </w:p>
              </w:tc>
              <w:tc>
                <w:tcPr/>
                <w:p>
                  <w:pPr>
                    <w:pStyle w:val="Compact"/>
                    <w:jc w:val="right"/>
                    <w:jc w:val="center"/>
                  </w:pPr>
                  <w:r>
                    <w:t xml:space="preserve">11</w:t>
                  </w:r>
                </w:p>
              </w:tc>
            </w:tr>
            <w:tr>
              <w:tc>
                <w:tcPr/>
                <w:p>
                  <w:pPr>
                    <w:pStyle w:val="Compact"/>
                    <w:jc w:val="left"/>
                    <w:jc w:val="center"/>
                  </w:pPr>
                  <w:r>
                    <w:t xml:space="preserve">BIALOBRZESKIE</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jc w:val="right"/>
                    <w:jc w:val="center"/>
                  </w:pPr>
                  <w:r>
                    <w:t xml:space="preserve">1</w:t>
                  </w:r>
                </w:p>
              </w:tc>
              <w:tc>
                <w:tcPr/>
                <w:p>
                  <w:pPr>
                    <w:pStyle w:val="Compact"/>
                    <w:jc w:val="right"/>
                    <w:jc w:val="center"/>
                  </w:pPr>
                  <w:r>
                    <w:t xml:space="preserve">9</w:t>
                  </w:r>
                </w:p>
              </w:tc>
            </w:tr>
            <w:tr>
              <w:tc>
                <w:tcPr/>
                <w:p>
                  <w:pPr>
                    <w:pStyle w:val="Compact"/>
                    <w:jc w:val="left"/>
                    <w:jc w:val="center"/>
                  </w:pPr>
                  <w:r>
                    <w:t xml:space="preserve">CANDA</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CFX-1</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CFX-2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7</w:t>
                  </w:r>
                </w:p>
              </w:tc>
            </w:tr>
            <w:tr>
              <w:tc>
                <w:tcPr/>
                <w:p>
                  <w:pPr>
                    <w:pStyle w:val="Compact"/>
                    <w:jc w:val="left"/>
                    <w:jc w:val="center"/>
                  </w:pPr>
                  <w:r>
                    <w:t xml:space="preserve">CRS-1</w:t>
                  </w: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9</w:t>
                  </w:r>
                </w:p>
              </w:tc>
            </w:tr>
            <w:tr>
              <w:tc>
                <w:tcPr/>
                <w:p>
                  <w:pPr>
                    <w:pStyle w:val="Compact"/>
                    <w:jc w:val="left"/>
                    <w:jc w:val="center"/>
                  </w:pPr>
                  <w:r>
                    <w:t xml:space="preserve">CULTIVAR1</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CULTIVAR2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CULTIVAR3</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CULTIVAR4</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EARLINA 8</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EXPERIMENTAL1</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EXPERIMENTAL2</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FELINA 32</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3</w:t>
                  </w:r>
                </w:p>
              </w:tc>
              <w:tc>
                <w:tcPr/>
                <w:p>
                  <w:pPr>
                    <w:pStyle w:val="Compact"/>
                  </w:pPr>
                </w:p>
              </w:tc>
              <w:tc>
                <w:tcPr/>
                <w:p>
                  <w:pPr>
                    <w:pStyle w:val="Compact"/>
                    <w:jc w:val="right"/>
                    <w:jc w:val="center"/>
                  </w:pPr>
                  <w:r>
                    <w:t xml:space="preserve">6</w:t>
                  </w:r>
                </w:p>
              </w:tc>
            </w:tr>
            <w:tr>
              <w:tc>
                <w:tcPr/>
                <w:p>
                  <w:pPr>
                    <w:pStyle w:val="Compact"/>
                    <w:jc w:val="left"/>
                    <w:jc w:val="center"/>
                  </w:pPr>
                  <w:r>
                    <w:t xml:space="preserve">FUTURA 75</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GRANDI</w:t>
                  </w:r>
                </w:p>
              </w:tc>
              <w:tc>
                <w:tcPr/>
                <w:p>
                  <w:pPr>
                    <w:pStyle w:val="Compact"/>
                  </w:pPr>
                </w:p>
              </w:tc>
              <w:tc>
                <w:tcPr/>
                <w:p>
                  <w:pPr>
                    <w:pStyle w:val="Compact"/>
                    <w:jc w:val="right"/>
                    <w:jc w:val="center"/>
                  </w:pPr>
                  <w:r>
                    <w:t xml:space="preserve">3</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10</w:t>
                  </w:r>
                </w:p>
              </w:tc>
            </w:tr>
            <w:tr>
              <w:tc>
                <w:tcPr/>
                <w:p>
                  <w:pPr>
                    <w:pStyle w:val="Compact"/>
                    <w:jc w:val="left"/>
                    <w:jc w:val="center"/>
                  </w:pPr>
                  <w:r>
                    <w:t xml:space="preserve">H-51</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pPr>
                </w:p>
              </w:tc>
              <w:tc>
                <w:tcPr/>
                <w:p>
                  <w:pPr>
                    <w:pStyle w:val="Compact"/>
                    <w:jc w:val="right"/>
                    <w:jc w:val="center"/>
                  </w:pPr>
                  <w:r>
                    <w:t xml:space="preserve">3</w:t>
                  </w:r>
                </w:p>
              </w:tc>
            </w:tr>
            <w:tr>
              <w:tc>
                <w:tcPr/>
                <w:p>
                  <w:pPr>
                    <w:pStyle w:val="Compact"/>
                    <w:jc w:val="left"/>
                    <w:jc w:val="center"/>
                  </w:pPr>
                  <w:r>
                    <w:t xml:space="preserve">HAN-FN-H</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HAN-NW</w:t>
                  </w:r>
                </w:p>
              </w:tc>
              <w:tc>
                <w:tcPr/>
                <w:p>
                  <w:pPr>
                    <w:pStyle w:val="Compact"/>
                  </w:pP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1</w:t>
                  </w:r>
                </w:p>
              </w:tc>
            </w:tr>
            <w:tr>
              <w:tc>
                <w:tcPr/>
                <w:p>
                  <w:pPr>
                    <w:pStyle w:val="Compact"/>
                    <w:jc w:val="left"/>
                    <w:jc w:val="center"/>
                  </w:pPr>
                  <w:r>
                    <w:t xml:space="preserve">HELENA</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HENOLA</w:t>
                  </w:r>
                </w:p>
              </w:tc>
              <w:tc>
                <w:tcPr/>
                <w:p>
                  <w:pPr>
                    <w:pStyle w:val="Compact"/>
                  </w:pPr>
                </w:p>
              </w:tc>
              <w:tc>
                <w:tcPr/>
                <w:p>
                  <w:pPr>
                    <w:pStyle w:val="Compact"/>
                  </w:pP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2</w:t>
                  </w:r>
                </w:p>
              </w:tc>
            </w:tr>
            <w:tr>
              <w:tc>
                <w:tcPr/>
                <w:p>
                  <w:pPr>
                    <w:pStyle w:val="Compact"/>
                    <w:jc w:val="left"/>
                    <w:jc w:val="center"/>
                  </w:pPr>
                  <w:r>
                    <w:t xml:space="preserve">HLESIA</w:t>
                  </w:r>
                </w:p>
              </w:tc>
              <w:tc>
                <w:tcPr/>
                <w:p>
                  <w:pPr>
                    <w:pStyle w:val="Compact"/>
                  </w:pPr>
                </w:p>
              </w:tc>
              <w:tc>
                <w:tcPr/>
                <w:p>
                  <w:pPr>
                    <w:pStyle w:val="Compact"/>
                  </w:pPr>
                </w:p>
              </w:tc>
              <w:tc>
                <w:tcPr/>
                <w:p>
                  <w:pPr>
                    <w:pStyle w:val="Compact"/>
                  </w:pPr>
                </w:p>
              </w:tc>
              <w:tc>
                <w:tcPr/>
                <w:p>
                  <w:pPr>
                    <w:pStyle w:val="Compact"/>
                    <w:jc w:val="right"/>
                    <w:jc w:val="center"/>
                  </w:pPr>
                  <w:r>
                    <w:t xml:space="preserve">3</w:t>
                  </w:r>
                </w:p>
              </w:tc>
              <w:tc>
                <w:tcPr/>
                <w:p>
                  <w:pPr>
                    <w:pStyle w:val="Compact"/>
                  </w:pPr>
                </w:p>
              </w:tc>
              <w:tc>
                <w:tcPr/>
                <w:p>
                  <w:pPr>
                    <w:pStyle w:val="Compact"/>
                    <w:jc w:val="right"/>
                    <w:jc w:val="center"/>
                  </w:pPr>
                  <w:r>
                    <w:t xml:space="preserve">3</w:t>
                  </w:r>
                </w:p>
              </w:tc>
            </w:tr>
            <w:tr>
              <w:tc>
                <w:tcPr/>
                <w:p>
                  <w:pPr>
                    <w:pStyle w:val="Compact"/>
                    <w:jc w:val="left"/>
                    <w:jc w:val="center"/>
                  </w:pPr>
                  <w:r>
                    <w:t xml:space="preserve">HLIANA</w:t>
                  </w:r>
                </w:p>
              </w:tc>
              <w:tc>
                <w:tcPr/>
                <w:p>
                  <w:pPr>
                    <w:pStyle w:val="Compact"/>
                  </w:pP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JOEY</w:t>
                  </w:r>
                </w:p>
              </w:tc>
              <w:tc>
                <w:tcPr/>
                <w:p>
                  <w:pPr>
                    <w:pStyle w:val="Compact"/>
                  </w:pPr>
                </w:p>
              </w:tc>
              <w:tc>
                <w:tcPr/>
                <w:p>
                  <w:pPr>
                    <w:pStyle w:val="Compact"/>
                    <w:jc w:val="right"/>
                    <w:jc w:val="center"/>
                  </w:pPr>
                  <w:r>
                    <w:t xml:space="preserve">1</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KATANI</w:t>
                  </w:r>
                </w:p>
              </w:tc>
              <w:tc>
                <w:tcPr/>
                <w:p>
                  <w:pPr>
                    <w:pStyle w:val="Compact"/>
                  </w:pPr>
                </w:p>
              </w:tc>
              <w:tc>
                <w:tcPr/>
                <w:p>
                  <w:pPr>
                    <w:pStyle w:val="Compact"/>
                    <w:jc w:val="right"/>
                    <w:jc w:val="center"/>
                  </w:pPr>
                  <w:r>
                    <w:t xml:space="preserve">2</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NEBRASKA (FERAL)</w:t>
                  </w: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2</w:t>
                  </w:r>
                </w:p>
              </w:tc>
            </w:tr>
            <w:tr>
              <w:tc>
                <w:tcPr/>
                <w:p>
                  <w:pPr>
                    <w:pStyle w:val="Compact"/>
                    <w:jc w:val="left"/>
                    <w:jc w:val="center"/>
                  </w:pPr>
                  <w:r>
                    <w:t xml:space="preserve">PEWTER RIVER</w:t>
                  </w: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PICOLO</w:t>
                  </w:r>
                </w:p>
              </w:tc>
              <w:tc>
                <w:tcPr/>
                <w:p>
                  <w:pPr>
                    <w:pStyle w:val="Compact"/>
                  </w:pP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5</w:t>
                  </w:r>
                </w:p>
              </w:tc>
              <w:tc>
                <w:tcPr/>
                <w:p>
                  <w:pPr>
                    <w:pStyle w:val="Compact"/>
                  </w:pPr>
                </w:p>
              </w:tc>
              <w:tc>
                <w:tcPr/>
                <w:p>
                  <w:pPr>
                    <w:pStyle w:val="Compact"/>
                    <w:jc w:val="right"/>
                    <w:jc w:val="center"/>
                  </w:pPr>
                  <w:r>
                    <w:t xml:space="preserve">8</w:t>
                  </w:r>
                </w:p>
              </w:tc>
            </w:tr>
            <w:tr>
              <w:tc>
                <w:tcPr/>
                <w:p>
                  <w:pPr>
                    <w:pStyle w:val="Compact"/>
                    <w:jc w:val="left"/>
                    <w:jc w:val="center"/>
                  </w:pPr>
                  <w:r>
                    <w:t xml:space="preserve">PORTUGAL</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ROCKY HEMP</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STERLING GOLD</w:t>
                  </w:r>
                </w:p>
              </w:tc>
              <w:tc>
                <w:tcPr/>
                <w:p>
                  <w:pPr>
                    <w:pStyle w:val="Compact"/>
                  </w:pPr>
                </w:p>
              </w:tc>
              <w:tc>
                <w:tcPr/>
                <w:p>
                  <w:pPr>
                    <w:pStyle w:val="Compact"/>
                  </w:pPr>
                </w:p>
              </w:tc>
              <w:tc>
                <w:tcPr/>
                <w:p>
                  <w:pPr>
                    <w:pStyle w:val="Compact"/>
                    <w:jc w:val="right"/>
                    <w:jc w:val="center"/>
                  </w:pPr>
                  <w:r>
                    <w:t xml:space="preserve">1</w:t>
                  </w:r>
                </w:p>
              </w:tc>
              <w:tc>
                <w:tcPr/>
                <w:p>
                  <w:pPr>
                    <w:pStyle w:val="Compact"/>
                  </w:pPr>
                </w:p>
              </w:tc>
              <w:tc>
                <w:tcPr/>
                <w:p>
                  <w:pPr>
                    <w:pStyle w:val="Compact"/>
                  </w:pPr>
                </w:p>
              </w:tc>
              <w:tc>
                <w:tcPr/>
                <w:p>
                  <w:pPr>
                    <w:pStyle w:val="Compact"/>
                    <w:jc w:val="right"/>
                    <w:jc w:val="center"/>
                  </w:pPr>
                  <w:r>
                    <w:t xml:space="preserve">1</w:t>
                  </w:r>
                </w:p>
              </w:tc>
            </w:tr>
            <w:tr>
              <w:tc>
                <w:tcPr/>
                <w:p>
                  <w:pPr>
                    <w:pStyle w:val="Compact"/>
                    <w:jc w:val="left"/>
                    <w:jc w:val="center"/>
                  </w:pPr>
                  <w:r>
                    <w:t xml:space="preserve">SWIFT</w:t>
                  </w:r>
                </w:p>
              </w:tc>
              <w:tc>
                <w:tcPr/>
                <w:p>
                  <w:pPr>
                    <w:pStyle w:val="Compact"/>
                    <w:jc w:val="right"/>
                    <w:jc w:val="center"/>
                  </w:pPr>
                  <w:r>
                    <w:t xml:space="preserve">1</w:t>
                  </w:r>
                </w:p>
              </w:tc>
              <w:tc>
                <w:tcPr/>
                <w:p>
                  <w:pPr>
                    <w:pStyle w:val="Compact"/>
                    <w:jc w:val="right"/>
                    <w:jc w:val="center"/>
                  </w:pPr>
                  <w:r>
                    <w:t xml:space="preserve">1</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TYGRA</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USO-31</w:t>
                  </w:r>
                </w:p>
              </w:tc>
              <w:tc>
                <w:tcPr/>
                <w:p>
                  <w:pPr>
                    <w:pStyle w:val="Compact"/>
                    <w:jc w:val="right"/>
                    <w:jc w:val="center"/>
                  </w:pPr>
                  <w:r>
                    <w:t xml:space="preserve">2</w:t>
                  </w:r>
                </w:p>
              </w:tc>
              <w:tc>
                <w:tcPr/>
                <w:p>
                  <w:pPr>
                    <w:pStyle w:val="Compact"/>
                    <w:jc w:val="right"/>
                    <w:jc w:val="center"/>
                  </w:pPr>
                  <w:r>
                    <w:t xml:space="preserve">1</w:t>
                  </w:r>
                </w:p>
              </w:tc>
              <w:tc>
                <w:tcPr/>
                <w:p>
                  <w:pPr>
                    <w:pStyle w:val="Compact"/>
                    <w:jc w:val="right"/>
                    <w:jc w:val="center"/>
                  </w:pPr>
                  <w:r>
                    <w:t xml:space="preserve">2</w:t>
                  </w:r>
                </w:p>
              </w:tc>
              <w:tc>
                <w:tcPr/>
                <w:p>
                  <w:pPr>
                    <w:pStyle w:val="Compact"/>
                    <w:jc w:val="right"/>
                    <w:jc w:val="center"/>
                  </w:pPr>
                  <w:r>
                    <w:t xml:space="preserve">4</w:t>
                  </w:r>
                </w:p>
              </w:tc>
              <w:tc>
                <w:tcPr/>
                <w:p>
                  <w:pPr>
                    <w:pStyle w:val="Compact"/>
                  </w:pPr>
                </w:p>
              </w:tc>
              <w:tc>
                <w:tcPr/>
                <w:p>
                  <w:pPr>
                    <w:pStyle w:val="Compact"/>
                    <w:jc w:val="right"/>
                    <w:jc w:val="center"/>
                  </w:pPr>
                  <w:r>
                    <w:t xml:space="preserve">9</w:t>
                  </w:r>
                </w:p>
              </w:tc>
            </w:tr>
            <w:tr>
              <w:tc>
                <w:tcPr/>
                <w:p>
                  <w:pPr>
                    <w:pStyle w:val="Compact"/>
                    <w:jc w:val="left"/>
                    <w:jc w:val="center"/>
                  </w:pPr>
                  <w:r>
                    <w:t xml:space="preserve">WOJKO</w:t>
                  </w:r>
                </w:p>
              </w:tc>
              <w:tc>
                <w:tcPr/>
                <w:p>
                  <w:pPr>
                    <w:pStyle w:val="Compact"/>
                  </w:pPr>
                </w:p>
              </w:tc>
              <w:tc>
                <w:tcPr/>
                <w:p>
                  <w:pPr>
                    <w:pStyle w:val="Compact"/>
                    <w:jc w:val="right"/>
                    <w:jc w:val="center"/>
                  </w:pPr>
                  <w:r>
                    <w:t xml:space="preserve">1</w:t>
                  </w:r>
                </w:p>
              </w:tc>
              <w:tc>
                <w:tcPr/>
                <w:p>
                  <w:pPr>
                    <w:pStyle w:val="Compact"/>
                    <w:jc w:val="right"/>
                    <w:jc w:val="center"/>
                  </w:pPr>
                  <w:r>
                    <w:t xml:space="preserve">3</w:t>
                  </w:r>
                </w:p>
              </w:tc>
              <w:tc>
                <w:tcPr/>
                <w:p>
                  <w:pPr>
                    <w:pStyle w:val="Compact"/>
                    <w:jc w:val="right"/>
                    <w:jc w:val="center"/>
                  </w:pPr>
                  <w:r>
                    <w:t xml:space="preserve">4</w:t>
                  </w:r>
                </w:p>
              </w:tc>
              <w:tc>
                <w:tcPr/>
                <w:p>
                  <w:pPr>
                    <w:pStyle w:val="Compact"/>
                  </w:pPr>
                </w:p>
              </w:tc>
              <w:tc>
                <w:tcPr/>
                <w:p>
                  <w:pPr>
                    <w:pStyle w:val="Compact"/>
                    <w:jc w:val="right"/>
                    <w:jc w:val="center"/>
                  </w:pPr>
                  <w:r>
                    <w:t xml:space="preserve">8</w:t>
                  </w:r>
                </w:p>
              </w:tc>
            </w:tr>
            <w:tr>
              <w:tc>
                <w:tcPr/>
                <w:p>
                  <w:pPr>
                    <w:pStyle w:val="Compact"/>
                    <w:jc w:val="left"/>
                    <w:jc w:val="center"/>
                  </w:pPr>
                  <w:r>
                    <w:t xml:space="preserve">X-59</w:t>
                  </w:r>
                </w:p>
              </w:tc>
              <w:tc>
                <w:tcPr/>
                <w:p>
                  <w:pPr>
                    <w:pStyle w:val="Compact"/>
                  </w:pPr>
                </w:p>
              </w:tc>
              <w:tc>
                <w:tcPr/>
                <w:p>
                  <w:pPr>
                    <w:pStyle w:val="Compact"/>
                    <w:jc w:val="right"/>
                    <w:jc w:val="center"/>
                  </w:pPr>
                  <w:r>
                    <w:t xml:space="preserve">2</w:t>
                  </w:r>
                </w:p>
              </w:tc>
              <w:tc>
                <w:tcPr/>
                <w:p>
                  <w:pPr>
                    <w:pStyle w:val="Compact"/>
                  </w:pPr>
                </w:p>
              </w:tc>
              <w:tc>
                <w:tcPr/>
                <w:p>
                  <w:pPr>
                    <w:pStyle w:val="Compact"/>
                    <w:jc w:val="right"/>
                    <w:jc w:val="center"/>
                  </w:pPr>
                  <w:r>
                    <w:t xml:space="preserve">1</w:t>
                  </w:r>
                </w:p>
              </w:tc>
              <w:tc>
                <w:tcPr/>
                <w:p>
                  <w:pPr>
                    <w:pStyle w:val="Compact"/>
                  </w:pPr>
                </w:p>
              </w:tc>
              <w:tc>
                <w:tcPr/>
                <w:p>
                  <w:pPr>
                    <w:pStyle w:val="Compact"/>
                    <w:jc w:val="right"/>
                    <w:jc w:val="center"/>
                  </w:pPr>
                  <w:r>
                    <w:t xml:space="preserve">3</w:t>
                  </w:r>
                </w:p>
              </w:tc>
            </w:tr>
            <w:tr>
              <w:tc>
                <w:tcPr/>
                <w:p>
                  <w:pPr>
                    <w:pStyle w:val="Compact"/>
                    <w:jc w:val="left"/>
                    <w:jc w:val="center"/>
                  </w:pPr>
                  <w:r>
                    <w:t xml:space="preserve">TOTAL</w:t>
                  </w:r>
                </w:p>
              </w:tc>
              <w:tc>
                <w:tcPr/>
                <w:p>
                  <w:pPr>
                    <w:pStyle w:val="Compact"/>
                    <w:jc w:val="right"/>
                    <w:jc w:val="center"/>
                  </w:pPr>
                  <w:r>
                    <w:t xml:space="preserve">5</w:t>
                  </w:r>
                </w:p>
              </w:tc>
              <w:tc>
                <w:tcPr/>
                <w:p>
                  <w:pPr>
                    <w:pStyle w:val="Compact"/>
                    <w:jc w:val="right"/>
                    <w:jc w:val="center"/>
                  </w:pPr>
                  <w:r>
                    <w:t xml:space="preserve">24</w:t>
                  </w:r>
                </w:p>
              </w:tc>
              <w:tc>
                <w:tcPr/>
                <w:p>
                  <w:pPr>
                    <w:pStyle w:val="Compact"/>
                    <w:jc w:val="right"/>
                    <w:jc w:val="center"/>
                  </w:pPr>
                  <w:r>
                    <w:t xml:space="preserve">41</w:t>
                  </w:r>
                </w:p>
              </w:tc>
              <w:tc>
                <w:tcPr/>
                <w:p>
                  <w:pPr>
                    <w:pStyle w:val="Compact"/>
                    <w:jc w:val="right"/>
                    <w:jc w:val="center"/>
                  </w:pPr>
                  <w:r>
                    <w:t xml:space="preserve">76</w:t>
                  </w:r>
                </w:p>
              </w:tc>
              <w:tc>
                <w:tcPr/>
                <w:p>
                  <w:pPr>
                    <w:pStyle w:val="Compact"/>
                    <w:jc w:val="right"/>
                    <w:jc w:val="center"/>
                  </w:pPr>
                  <w:r>
                    <w:t xml:space="preserve">3</w:t>
                  </w:r>
                </w:p>
              </w:tc>
              <w:tc>
                <w:tcPr/>
                <w:p>
                  <w:pPr>
                    <w:pStyle w:val="Compact"/>
                    <w:jc w:val="right"/>
                    <w:jc w:val="center"/>
                  </w:pPr>
                  <w:r>
                    <w:t xml:space="preserve">149</w:t>
                  </w:r>
                </w:p>
              </w:tc>
            </w:tr>
          </w:tbl>
          <w:bookmarkEnd w:id="52"/>
          <w:p/>
        </w:tc>
      </w:tr>
    </w:tbl>
    <w:p>
      <w:pPr>
        <w:pStyle w:val="BodyText"/>
      </w:pPr>
      <w:r>
        <w:rPr>
          <w:vertAlign w:val="subscript"/>
        </w:rPr>
        <w:t xml:space="preserve">Source:</w:t>
      </w:r>
      <w:r>
        <w:rPr>
          <w:vertAlign w:val="subscript"/>
        </w:rPr>
        <w:t xml:space="preserve"> </w:t>
      </w:r>
      <w:hyperlink r:id="rId21">
        <w:r>
          <w:rPr>
            <w:rStyle w:val="Hyperlink"/>
            <w:vertAlign w:val="subscript"/>
          </w:rPr>
          <w:t xml:space="preserve">Article Notebook</w:t>
        </w:r>
      </w:hyperlink>
    </w:p>
    <w:bookmarkEnd w:id="53"/>
    <w:bookmarkStart w:id="54" w:name="optional-sections"/>
    <w:p>
      <w:pPr>
        <w:pStyle w:val="Heading2"/>
      </w:pPr>
      <w:r>
        <w:t xml:space="preserve">8 OPTIONAL SECTIONS</w:t>
      </w:r>
    </w:p>
    <w:bookmarkEnd w:id="54"/>
    <w:bookmarkStart w:id="55" w:name="references"/>
    <w:p>
      <w:pPr>
        <w:pStyle w:val="Heading2"/>
      </w:pPr>
      <w:r>
        <w:t xml:space="preserve">9 REFERENCES</w:t>
      </w:r>
    </w:p>
    <w:bookmarkEnd w:id="55"/>
    <w:bookmarkStart w:id="114" w:name="figures-and-tables"/>
    <w:p>
      <w:pPr>
        <w:pStyle w:val="Heading2"/>
      </w:pPr>
      <w:r>
        <w:t xml:space="preserve">10 FIGURES AND TABLES</w:t>
      </w:r>
    </w:p>
    <w:bookmarkStart w:id="113" w:name="refs"/>
    <w:bookmarkStart w:id="57" w:name="ref-barnes_standard_1989"/>
    <w:p>
      <w:pPr>
        <w:pStyle w:val="Bibliography"/>
      </w:pPr>
      <w:r>
        <w:t xml:space="preserve">Barnes, R. J., Dhanoa, M. S., &amp; Lister, S. J. (1989). Standard</w:t>
      </w:r>
      <w:r>
        <w:t xml:space="preserve"> </w:t>
      </w:r>
      <w:r>
        <w:t xml:space="preserve">Normal</w:t>
      </w:r>
      <w:r>
        <w:t xml:space="preserve"> </w:t>
      </w:r>
      <w:r>
        <w:t xml:space="preserve">Variate</w:t>
      </w:r>
      <w:r>
        <w:t xml:space="preserve"> </w:t>
      </w:r>
      <w:r>
        <w:t xml:space="preserve">Transformation</w:t>
      </w:r>
      <w:r>
        <w:t xml:space="preserve"> </w:t>
      </w:r>
      <w:r>
        <w:t xml:space="preserve">and</w:t>
      </w:r>
      <w:r>
        <w:t xml:space="preserve"> </w:t>
      </w:r>
      <w:r>
        <w:t xml:space="preserve">De</w:t>
      </w:r>
      <w:r>
        <w:t xml:space="preserve">-</w:t>
      </w:r>
      <w:r>
        <w:t xml:space="preserve">Trending</w:t>
      </w:r>
      <w:r>
        <w:t xml:space="preserve"> </w:t>
      </w:r>
      <w:r>
        <w:t xml:space="preserve">of</w:t>
      </w:r>
      <w:r>
        <w:t xml:space="preserve"> </w:t>
      </w:r>
      <w:r>
        <w:t xml:space="preserve">Near</w:t>
      </w:r>
      <w:r>
        <w:t xml:space="preserve">-</w:t>
      </w:r>
      <w:r>
        <w:t xml:space="preserve">Infrared</w:t>
      </w:r>
      <w:r>
        <w:t xml:space="preserve"> </w:t>
      </w:r>
      <w:r>
        <w:t xml:space="preserve">Diffuse</w:t>
      </w:r>
      <w:r>
        <w:t xml:space="preserve"> </w:t>
      </w:r>
      <w:r>
        <w:t xml:space="preserve">Reflectance</w:t>
      </w:r>
      <w:r>
        <w:t xml:space="preserve"> </w:t>
      </w:r>
      <w:r>
        <w:t xml:space="preserve">Spectra</w:t>
      </w:r>
      <w:r>
        <w:t xml:space="preserve">.</w:t>
      </w:r>
      <w:r>
        <w:t xml:space="preserve"> </w:t>
      </w:r>
      <w:r>
        <w:rPr>
          <w:i/>
          <w:iCs/>
        </w:rPr>
        <w:t xml:space="preserve">Applied Spectroscopy</w:t>
      </w:r>
      <w:r>
        <w:t xml:space="preserve">,</w:t>
      </w:r>
      <w:r>
        <w:t xml:space="preserve"> </w:t>
      </w:r>
      <w:r>
        <w:rPr>
          <w:i/>
          <w:iCs/>
        </w:rPr>
        <w:t xml:space="preserve">43</w:t>
      </w:r>
      <w:r>
        <w:t xml:space="preserve">(5), 772–777.</w:t>
      </w:r>
      <w:r>
        <w:t xml:space="preserve"> </w:t>
      </w:r>
      <w:hyperlink r:id="rId56">
        <w:r>
          <w:rPr>
            <w:rStyle w:val="Hyperlink"/>
          </w:rPr>
          <w:t xml:space="preserve">https://doi.org/10.1366/0003702894202201</w:t>
        </w:r>
      </w:hyperlink>
    </w:p>
    <w:bookmarkEnd w:id="57"/>
    <w:bookmarkStart w:id="59" w:name="ref-datatable"/>
    <w:p>
      <w:pPr>
        <w:pStyle w:val="Bibliography"/>
      </w:pPr>
      <w:r>
        <w:t xml:space="preserve">Barrett, T., Dowle, M., Srinivasan, A., Gorecki, J., Chirico, M., &amp; Hocking, T. (2024).</w:t>
      </w:r>
      <w:r>
        <w:t xml:space="preserve"> </w:t>
      </w:r>
      <w:r>
        <w:rPr>
          <w:i/>
          <w:iCs/>
        </w:rPr>
        <w:t xml:space="preserve">data.table</w:t>
      </w:r>
      <w:r>
        <w:rPr>
          <w:i/>
          <w:iCs/>
        </w:rPr>
        <w:t xml:space="preserve">: Extension of</w:t>
      </w:r>
      <w:r>
        <w:rPr>
          <w:i/>
          <w:iCs/>
        </w:rPr>
        <w:t xml:space="preserve"> </w:t>
      </w:r>
      <w:r>
        <w:rPr>
          <w:i/>
          <w:iCs/>
        </w:rPr>
        <w:t xml:space="preserve">“</w:t>
      </w:r>
      <w:r>
        <w:rPr>
          <w:i/>
          <w:iCs/>
        </w:rPr>
        <w:t xml:space="preserve">data.frame</w:t>
      </w:r>
      <w:r>
        <w:rPr>
          <w:i/>
          <w:iCs/>
        </w:rPr>
        <w:t xml:space="preserve">”</w:t>
      </w:r>
      <w:r>
        <w:t xml:space="preserve">.</w:t>
      </w:r>
      <w:r>
        <w:t xml:space="preserve"> </w:t>
      </w:r>
      <w:hyperlink r:id="rId58">
        <w:r>
          <w:rPr>
            <w:rStyle w:val="Hyperlink"/>
          </w:rPr>
          <w:t xml:space="preserve">https://CRAN.R-project.org/package=data.table</w:t>
        </w:r>
      </w:hyperlink>
    </w:p>
    <w:bookmarkEnd w:id="59"/>
    <w:bookmarkStart w:id="61" w:name="ref-barta_proteomic_2024"/>
    <w:p>
      <w:pPr>
        <w:pStyle w:val="Bibliography"/>
      </w:pPr>
      <w:r>
        <w:t xml:space="preserve">Bárta, J., Roudnický, P., Jarošová, M., Zdráhal, Z., Stupková, A., Bártová, V., Krejčová, Z., Kyselka, J., Filip, V., Říha, V., Lorenc, F., Bedrníček, J., &amp; Smetana, P. (2024). Proteomic</w:t>
      </w:r>
      <w:r>
        <w:t xml:space="preserve"> </w:t>
      </w:r>
      <w:r>
        <w:t xml:space="preserve">Profiles</w:t>
      </w:r>
      <w:r>
        <w:t xml:space="preserve"> </w:t>
      </w:r>
      <w:r>
        <w:t xml:space="preserve">of</w:t>
      </w:r>
      <w:r>
        <w:t xml:space="preserve"> </w:t>
      </w:r>
      <w:r>
        <w:t xml:space="preserve">Whole</w:t>
      </w:r>
      <w:r>
        <w:t xml:space="preserve"> </w:t>
      </w:r>
      <w:r>
        <w:t xml:space="preserve">Seeds</w:t>
      </w:r>
      <w:r>
        <w:t xml:space="preserve">,</w:t>
      </w:r>
      <w:r>
        <w:t xml:space="preserve"> </w:t>
      </w:r>
      <w:r>
        <w:t xml:space="preserve">Hulls</w:t>
      </w:r>
      <w:r>
        <w:t xml:space="preserve">, and</w:t>
      </w:r>
      <w:r>
        <w:t xml:space="preserve"> </w:t>
      </w:r>
      <w:r>
        <w:t xml:space="preserve">Dehulled</w:t>
      </w:r>
      <w:r>
        <w:t xml:space="preserve"> </w:t>
      </w:r>
      <w:r>
        <w:t xml:space="preserve">Seeds</w:t>
      </w:r>
      <w:r>
        <w:t xml:space="preserve"> </w:t>
      </w:r>
      <w:r>
        <w:t xml:space="preserve">of</w:t>
      </w:r>
      <w:r>
        <w:t xml:space="preserve"> </w:t>
      </w:r>
      <w:r>
        <w:t xml:space="preserve">Two</w:t>
      </w:r>
      <w:r>
        <w:t xml:space="preserve"> </w:t>
      </w:r>
      <w:r>
        <w:t xml:space="preserve">Industrial</w:t>
      </w:r>
      <w:r>
        <w:t xml:space="preserve"> </w:t>
      </w:r>
      <w:r>
        <w:t xml:space="preserve">Hemp</w:t>
      </w:r>
      <w:r>
        <w:t xml:space="preserve"> </w:t>
      </w:r>
      <w:r>
        <w:t xml:space="preserve">(</w:t>
      </w:r>
      <w:r>
        <w:t xml:space="preserve">Cannabis</w:t>
      </w:r>
      <w:r>
        <w:t xml:space="preserve"> </w:t>
      </w:r>
      <w:r>
        <w:t xml:space="preserve">sativa</w:t>
      </w:r>
      <w:r>
        <w:t xml:space="preserve"> </w:t>
      </w:r>
      <w:r>
        <w:t xml:space="preserve">L</w:t>
      </w:r>
      <w:r>
        <w:t xml:space="preserve">.)</w:t>
      </w:r>
      <w:r>
        <w:t xml:space="preserve"> </w:t>
      </w:r>
      <w:r>
        <w:t xml:space="preserve">Cultivars</w:t>
      </w:r>
      <w:r>
        <w:t xml:space="preserve">.</w:t>
      </w:r>
      <w:r>
        <w:t xml:space="preserve"> </w:t>
      </w:r>
      <w:r>
        <w:rPr>
          <w:i/>
          <w:iCs/>
        </w:rPr>
        <w:t xml:space="preserve">Plants</w:t>
      </w:r>
      <w:r>
        <w:t xml:space="preserve">,</w:t>
      </w:r>
      <w:r>
        <w:t xml:space="preserve"> </w:t>
      </w:r>
      <w:r>
        <w:rPr>
          <w:i/>
          <w:iCs/>
        </w:rPr>
        <w:t xml:space="preserve">13</w:t>
      </w:r>
      <w:r>
        <w:t xml:space="preserve">(1), 111.</w:t>
      </w:r>
      <w:r>
        <w:t xml:space="preserve"> </w:t>
      </w:r>
      <w:hyperlink r:id="rId60">
        <w:r>
          <w:rPr>
            <w:rStyle w:val="Hyperlink"/>
          </w:rPr>
          <w:t xml:space="preserve">https://doi.org/10.3390/plants13010111</w:t>
        </w:r>
      </w:hyperlink>
    </w:p>
    <w:bookmarkEnd w:id="61"/>
    <w:bookmarkStart w:id="63" w:name="ref-bellon-maurel_critical_2010"/>
    <w:p>
      <w:pPr>
        <w:pStyle w:val="Bibliography"/>
      </w:pPr>
      <w:r>
        <w:t xml:space="preserve">Bellon-Maurel, V., Fernandez-Ahumada, E., Palagos, B., Roger, J.-M., &amp; McBratney, A. (2010). Critical review of chemometric indicators commonly used for assessing the quality of the prediction of soil attributes by</w:t>
      </w:r>
      <w:r>
        <w:t xml:space="preserve"> </w:t>
      </w:r>
      <w:r>
        <w:t xml:space="preserve">NIR</w:t>
      </w:r>
      <w:r>
        <w:t xml:space="preserve"> </w:t>
      </w:r>
      <w:r>
        <w:t xml:space="preserve">spectroscopy.</w:t>
      </w:r>
      <w:r>
        <w:t xml:space="preserve"> </w:t>
      </w:r>
      <w:r>
        <w:rPr>
          <w:i/>
          <w:iCs/>
        </w:rPr>
        <w:t xml:space="preserve">TrAC Trends in Analytical Chemistry</w:t>
      </w:r>
      <w:r>
        <w:t xml:space="preserve">,</w:t>
      </w:r>
      <w:r>
        <w:t xml:space="preserve"> </w:t>
      </w:r>
      <w:r>
        <w:rPr>
          <w:i/>
          <w:iCs/>
        </w:rPr>
        <w:t xml:space="preserve">29</w:t>
      </w:r>
      <w:r>
        <w:t xml:space="preserve">(9), 1073–1081.</w:t>
      </w:r>
      <w:r>
        <w:t xml:space="preserve"> </w:t>
      </w:r>
      <w:hyperlink r:id="rId62">
        <w:r>
          <w:rPr>
            <w:rStyle w:val="Hyperlink"/>
          </w:rPr>
          <w:t xml:space="preserve">https://doi.org/10.1016/j.trac.2010.05.006</w:t>
        </w:r>
      </w:hyperlink>
    </w:p>
    <w:bookmarkEnd w:id="63"/>
    <w:bookmarkStart w:id="65" w:name="ref-callaway_hempseed_2004"/>
    <w:p>
      <w:pPr>
        <w:pStyle w:val="Bibliography"/>
      </w:pPr>
      <w:r>
        <w:t xml:space="preserve">Callaway, J. C. (2004). Hempseed as a nutritional resource:</w:t>
      </w:r>
      <w:r>
        <w:t xml:space="preserve"> </w:t>
      </w:r>
      <w:r>
        <w:t xml:space="preserve">An</w:t>
      </w:r>
      <w:r>
        <w:t xml:space="preserve"> </w:t>
      </w:r>
      <w:r>
        <w:t xml:space="preserve">overview.</w:t>
      </w:r>
      <w:r>
        <w:t xml:space="preserve"> </w:t>
      </w:r>
      <w:r>
        <w:rPr>
          <w:i/>
          <w:iCs/>
        </w:rPr>
        <w:t xml:space="preserve">Euphytica</w:t>
      </w:r>
      <w:r>
        <w:t xml:space="preserve">,</w:t>
      </w:r>
      <w:r>
        <w:t xml:space="preserve"> </w:t>
      </w:r>
      <w:r>
        <w:rPr>
          <w:i/>
          <w:iCs/>
        </w:rPr>
        <w:t xml:space="preserve">140</w:t>
      </w:r>
      <w:r>
        <w:t xml:space="preserve">(1), 65–72.</w:t>
      </w:r>
      <w:r>
        <w:t xml:space="preserve"> </w:t>
      </w:r>
      <w:hyperlink r:id="rId64">
        <w:r>
          <w:rPr>
            <w:rStyle w:val="Hyperlink"/>
          </w:rPr>
          <w:t xml:space="preserve">https://doi.org/10.1007/s10681-004-4811-6</w:t>
        </w:r>
      </w:hyperlink>
    </w:p>
    <w:bookmarkEnd w:id="65"/>
    <w:bookmarkStart w:id="67" w:name="ref-chadalavada_nir_2022"/>
    <w:p>
      <w:pPr>
        <w:pStyle w:val="Bibliography"/>
      </w:pPr>
      <w:r>
        <w:t xml:space="preserve">Chadalavada, K., Anbazhagan, K., Ndour, A., Choudhary, S., Palmer, W., Flynn, J. R., Mallayee, S., Pothu, S., Prasad, K. V. S. V., Varijakshapanikar, P., Jones, C. S., &amp; Kholová, J. (2022).</w:t>
      </w:r>
      <w:r>
        <w:t xml:space="preserve"> </w:t>
      </w:r>
      <w:r>
        <w:t xml:space="preserve">NIR</w:t>
      </w:r>
      <w:r>
        <w:t xml:space="preserve"> </w:t>
      </w:r>
      <w:r>
        <w:t xml:space="preserve">Instruments</w:t>
      </w:r>
      <w:r>
        <w:t xml:space="preserve"> </w:t>
      </w:r>
      <w:r>
        <w:t xml:space="preserve">and</w:t>
      </w:r>
      <w:r>
        <w:t xml:space="preserve"> </w:t>
      </w:r>
      <w:r>
        <w:t xml:space="preserve">Prediction</w:t>
      </w:r>
      <w:r>
        <w:t xml:space="preserve"> </w:t>
      </w:r>
      <w:r>
        <w:t xml:space="preserve">Methods</w:t>
      </w:r>
      <w:r>
        <w:t xml:space="preserve"> </w:t>
      </w:r>
      <w:r>
        <w:t xml:space="preserve">for</w:t>
      </w:r>
      <w:r>
        <w:t xml:space="preserve"> </w:t>
      </w:r>
      <w:r>
        <w:t xml:space="preserve">Rapid</w:t>
      </w:r>
      <w:r>
        <w:t xml:space="preserve"> </w:t>
      </w:r>
      <w:r>
        <w:t xml:space="preserve">Access</w:t>
      </w:r>
      <w:r>
        <w:t xml:space="preserve"> </w:t>
      </w:r>
      <w:r>
        <w:t xml:space="preserve">to</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Multiple</w:t>
      </w:r>
      <w:r>
        <w:t xml:space="preserve"> </w:t>
      </w:r>
      <w:r>
        <w:t xml:space="preserve">Cereals</w:t>
      </w:r>
      <w:r>
        <w:t xml:space="preserve">.</w:t>
      </w:r>
      <w:r>
        <w:t xml:space="preserve"> </w:t>
      </w:r>
      <w:r>
        <w:rPr>
          <w:i/>
          <w:iCs/>
        </w:rPr>
        <w:t xml:space="preserve">Sensors (Basel, Switzerland)</w:t>
      </w:r>
      <w:r>
        <w:t xml:space="preserve">,</w:t>
      </w:r>
      <w:r>
        <w:t xml:space="preserve"> </w:t>
      </w:r>
      <w:r>
        <w:rPr>
          <w:i/>
          <w:iCs/>
        </w:rPr>
        <w:t xml:space="preserve">22</w:t>
      </w:r>
      <w:r>
        <w:t xml:space="preserve">(10).</w:t>
      </w:r>
      <w:r>
        <w:t xml:space="preserve"> </w:t>
      </w:r>
      <w:hyperlink r:id="rId66">
        <w:r>
          <w:rPr>
            <w:rStyle w:val="Hyperlink"/>
          </w:rPr>
          <w:t xml:space="preserve">https://doi.org/10.3390/s22103710</w:t>
        </w:r>
      </w:hyperlink>
    </w:p>
    <w:bookmarkEnd w:id="67"/>
    <w:bookmarkStart w:id="69" w:name="ref-ely_industrial_2022"/>
    <w:p>
      <w:pPr>
        <w:pStyle w:val="Bibliography"/>
      </w:pPr>
      <w:r>
        <w:t xml:space="preserve">Ely, K., &amp; Fike, J. (2022). Industrial</w:t>
      </w:r>
      <w:r>
        <w:t xml:space="preserve"> </w:t>
      </w:r>
      <w:r>
        <w:t xml:space="preserve">Hemp</w:t>
      </w:r>
      <w:r>
        <w:t xml:space="preserve"> </w:t>
      </w:r>
      <w:r>
        <w:t xml:space="preserve">and</w:t>
      </w:r>
      <w:r>
        <w:t xml:space="preserve"> </w:t>
      </w:r>
      <w:r>
        <w:t xml:space="preserve">Hemp</w:t>
      </w:r>
      <w:r>
        <w:t xml:space="preserve"> </w:t>
      </w:r>
      <w:r>
        <w:t xml:space="preserve">Byproducts</w:t>
      </w:r>
      <w:r>
        <w:t xml:space="preserve"> </w:t>
      </w:r>
      <w:r>
        <w:t xml:space="preserve">as</w:t>
      </w:r>
      <w:r>
        <w:t xml:space="preserve"> </w:t>
      </w:r>
      <w:r>
        <w:t xml:space="preserve">Sustainable</w:t>
      </w:r>
      <w:r>
        <w:t xml:space="preserve"> </w:t>
      </w:r>
      <w:r>
        <w:t xml:space="preserve">Feedstuffs</w:t>
      </w:r>
      <w:r>
        <w:t xml:space="preserve"> </w:t>
      </w:r>
      <w:r>
        <w:t xml:space="preserve">in</w:t>
      </w:r>
      <w:r>
        <w:t xml:space="preserve"> </w:t>
      </w:r>
      <w:r>
        <w:t xml:space="preserve">Livestock</w:t>
      </w:r>
      <w:r>
        <w:t xml:space="preserve"> </w:t>
      </w:r>
      <w:r>
        <w:t xml:space="preserve">Diets</w:t>
      </w:r>
      <w:r>
        <w:t xml:space="preserve">. In D. C. Agrawal, R. Kumar, &amp; M. Dhanasekaran (Eds.),</w:t>
      </w:r>
      <w:r>
        <w:t xml:space="preserve"> </w:t>
      </w:r>
      <w:r>
        <w:rPr>
          <w:i/>
          <w:iCs/>
        </w:rPr>
        <w:t xml:space="preserve">Cannabis/</w:t>
      </w:r>
      <w:r>
        <w:rPr>
          <w:i/>
          <w:iCs/>
        </w:rPr>
        <w:t xml:space="preserve">Hemp</w:t>
      </w:r>
      <w:r>
        <w:rPr>
          <w:i/>
          <w:iCs/>
        </w:rPr>
        <w:t xml:space="preserve"> </w:t>
      </w:r>
      <w:r>
        <w:rPr>
          <w:i/>
          <w:iCs/>
        </w:rPr>
        <w:t xml:space="preserve">for</w:t>
      </w:r>
      <w:r>
        <w:rPr>
          <w:i/>
          <w:iCs/>
        </w:rPr>
        <w:t xml:space="preserve"> </w:t>
      </w:r>
      <w:r>
        <w:rPr>
          <w:i/>
          <w:iCs/>
        </w:rPr>
        <w:t xml:space="preserve">Sustainable</w:t>
      </w:r>
      <w:r>
        <w:rPr>
          <w:i/>
          <w:iCs/>
        </w:rPr>
        <w:t xml:space="preserve"> </w:t>
      </w:r>
      <w:r>
        <w:rPr>
          <w:i/>
          <w:iCs/>
        </w:rPr>
        <w:t xml:space="preserve">Agriculture</w:t>
      </w:r>
      <w:r>
        <w:rPr>
          <w:i/>
          <w:iCs/>
        </w:rPr>
        <w:t xml:space="preserve"> </w:t>
      </w:r>
      <w:r>
        <w:rPr>
          <w:i/>
          <w:iCs/>
        </w:rPr>
        <w:t xml:space="preserve">and</w:t>
      </w:r>
      <w:r>
        <w:rPr>
          <w:i/>
          <w:iCs/>
        </w:rPr>
        <w:t xml:space="preserve"> </w:t>
      </w:r>
      <w:r>
        <w:rPr>
          <w:i/>
          <w:iCs/>
        </w:rPr>
        <w:t xml:space="preserve">Materials</w:t>
      </w:r>
      <w:r>
        <w:t xml:space="preserve"> </w:t>
      </w:r>
      <w:r>
        <w:t xml:space="preserve">(pp. 145–162). Springer.</w:t>
      </w:r>
      <w:r>
        <w:t xml:space="preserve"> </w:t>
      </w:r>
      <w:hyperlink r:id="rId68">
        <w:r>
          <w:rPr>
            <w:rStyle w:val="Hyperlink"/>
          </w:rPr>
          <w:t xml:space="preserve">https://doi.org/10.1007/978-981-16-8778-5_6</w:t>
        </w:r>
      </w:hyperlink>
    </w:p>
    <w:bookmarkEnd w:id="69"/>
    <w:bookmarkStart w:id="71" w:name="ref-garrido-varo_note_2019"/>
    <w:p>
      <w:pPr>
        <w:pStyle w:val="Bibliography"/>
      </w:pPr>
      <w:r>
        <w:t xml:space="preserve">Garrido-Varo, A., Garcia-Olmo, J., &amp; Fearn, T. (2019). A note on</w:t>
      </w:r>
      <w:r>
        <w:t xml:space="preserve"> </w:t>
      </w:r>
      <w:r>
        <w:t xml:space="preserve">Mahalanobis</w:t>
      </w:r>
      <w:r>
        <w:t xml:space="preserve"> </w:t>
      </w:r>
      <w:r>
        <w:t xml:space="preserve">and related distance measures in</w:t>
      </w:r>
      <w:r>
        <w:t xml:space="preserve"> </w:t>
      </w:r>
      <w:r>
        <w:t xml:space="preserve">WinISI</w:t>
      </w:r>
      <w:r>
        <w:t xml:space="preserve"> </w:t>
      </w:r>
      <w:r>
        <w:t xml:space="preserve">and</w:t>
      </w:r>
      <w:r>
        <w:t xml:space="preserve"> </w:t>
      </w:r>
      <w:r>
        <w:t xml:space="preserve">The</w:t>
      </w:r>
      <w:r>
        <w:t xml:space="preserve"> </w:t>
      </w:r>
      <w:r>
        <w:t xml:space="preserve">Unscrambler</w:t>
      </w:r>
      <w:r>
        <w:t xml:space="preserve">.</w:t>
      </w:r>
      <w:r>
        <w:t xml:space="preserve"> </w:t>
      </w:r>
      <w:r>
        <w:rPr>
          <w:i/>
          <w:iCs/>
        </w:rPr>
        <w:t xml:space="preserve">Journal of Near Infrared Spectroscopy</w:t>
      </w:r>
      <w:r>
        <w:t xml:space="preserve">,</w:t>
      </w:r>
      <w:r>
        <w:t xml:space="preserve"> </w:t>
      </w:r>
      <w:r>
        <w:rPr>
          <w:i/>
          <w:iCs/>
        </w:rPr>
        <w:t xml:space="preserve">27</w:t>
      </w:r>
      <w:r>
        <w:t xml:space="preserve">(4), 253–258.</w:t>
      </w:r>
      <w:r>
        <w:t xml:space="preserve"> </w:t>
      </w:r>
      <w:hyperlink r:id="rId70">
        <w:r>
          <w:rPr>
            <w:rStyle w:val="Hyperlink"/>
          </w:rPr>
          <w:t xml:space="preserve">https://doi.org/10.1177/0967033519848296</w:t>
        </w:r>
      </w:hyperlink>
    </w:p>
    <w:bookmarkEnd w:id="71"/>
    <w:bookmarkStart w:id="73" w:name="ref-geyer_genetics_2022"/>
    <w:p>
      <w:pPr>
        <w:pStyle w:val="Bibliography"/>
      </w:pPr>
      <w:r>
        <w:t xml:space="preserve">Geyer, M., Mohler, V., &amp; Hartl, L. (2022). Genetics of the</w:t>
      </w:r>
      <w:r>
        <w:t xml:space="preserve"> </w:t>
      </w:r>
      <w:r>
        <w:t xml:space="preserve">Inverse</w:t>
      </w:r>
      <w:r>
        <w:t xml:space="preserve"> </w:t>
      </w:r>
      <w:r>
        <w:t xml:space="preserve">Relationship</w:t>
      </w:r>
      <w:r>
        <w:t xml:space="preserve"> </w:t>
      </w:r>
      <w:r>
        <w:t xml:space="preserve">between</w:t>
      </w:r>
      <w:r>
        <w:t xml:space="preserve"> </w:t>
      </w:r>
      <w:r>
        <w:t xml:space="preserve">Grain</w:t>
      </w:r>
      <w:r>
        <w:t xml:space="preserve"> </w:t>
      </w:r>
      <w:r>
        <w:t xml:space="preserve">Yield</w:t>
      </w:r>
      <w:r>
        <w:t xml:space="preserve"> </w:t>
      </w:r>
      <w:r>
        <w:t xml:space="preserve">and</w:t>
      </w:r>
      <w:r>
        <w:t xml:space="preserve"> </w:t>
      </w:r>
      <w:r>
        <w:t xml:space="preserve">Grain</w:t>
      </w:r>
      <w:r>
        <w:t xml:space="preserve"> </w:t>
      </w:r>
      <w:r>
        <w:t xml:space="preserve">Protein</w:t>
      </w:r>
      <w:r>
        <w:t xml:space="preserve"> </w:t>
      </w:r>
      <w:r>
        <w:t xml:space="preserve">Content</w:t>
      </w:r>
      <w:r>
        <w:t xml:space="preserve"> </w:t>
      </w:r>
      <w:r>
        <w:t xml:space="preserve">in</w:t>
      </w:r>
      <w:r>
        <w:t xml:space="preserve"> </w:t>
      </w:r>
      <w:r>
        <w:t xml:space="preserve">Common</w:t>
      </w:r>
      <w:r>
        <w:t xml:space="preserve"> </w:t>
      </w:r>
      <w:r>
        <w:t xml:space="preserve">Wheat</w:t>
      </w:r>
      <w:r>
        <w:t xml:space="preserve">.</w:t>
      </w:r>
      <w:r>
        <w:t xml:space="preserve"> </w:t>
      </w:r>
      <w:r>
        <w:rPr>
          <w:i/>
          <w:iCs/>
        </w:rPr>
        <w:t xml:space="preserve">Plants</w:t>
      </w:r>
      <w:r>
        <w:t xml:space="preserve">,</w:t>
      </w:r>
      <w:r>
        <w:t xml:space="preserve"> </w:t>
      </w:r>
      <w:r>
        <w:rPr>
          <w:i/>
          <w:iCs/>
        </w:rPr>
        <w:t xml:space="preserve">11</w:t>
      </w:r>
      <w:r>
        <w:t xml:space="preserve">(16), 2146.</w:t>
      </w:r>
      <w:r>
        <w:t xml:space="preserve"> </w:t>
      </w:r>
      <w:hyperlink r:id="rId72">
        <w:r>
          <w:rPr>
            <w:rStyle w:val="Hyperlink"/>
          </w:rPr>
          <w:t xml:space="preserve">https://doi.org/10.3390/plants11162146</w:t>
        </w:r>
      </w:hyperlink>
    </w:p>
    <w:bookmarkEnd w:id="73"/>
    <w:bookmarkStart w:id="75" w:name="ref-giancaspro_genetic_2019"/>
    <w:p>
      <w:pPr>
        <w:pStyle w:val="Bibliography"/>
      </w:pPr>
      <w:r>
        <w:t xml:space="preserve">Giancaspro, A., Giove, S. L., Blanco, A., &amp; Gadaleta, A. (2019). Genetic</w:t>
      </w:r>
      <w:r>
        <w:t xml:space="preserve"> </w:t>
      </w:r>
      <w:r>
        <w:t xml:space="preserve">Variation</w:t>
      </w:r>
      <w:r>
        <w:t xml:space="preserve"> </w:t>
      </w:r>
      <w:r>
        <w:t xml:space="preserve">for</w:t>
      </w:r>
      <w:r>
        <w:t xml:space="preserve"> </w:t>
      </w:r>
      <w:r>
        <w:t xml:space="preserve">Protein</w:t>
      </w:r>
      <w:r>
        <w:t xml:space="preserve"> </w:t>
      </w:r>
      <w:r>
        <w:t xml:space="preserve">Content</w:t>
      </w:r>
      <w:r>
        <w:t xml:space="preserve"> </w:t>
      </w:r>
      <w:r>
        <w:t xml:space="preserve">and</w:t>
      </w:r>
      <w:r>
        <w:t xml:space="preserve"> </w:t>
      </w:r>
      <w:r>
        <w:t xml:space="preserve">Yield</w:t>
      </w:r>
      <w:r>
        <w:t xml:space="preserve">-</w:t>
      </w:r>
      <w:r>
        <w:t xml:space="preserve">Related</w:t>
      </w:r>
      <w:r>
        <w:t xml:space="preserve"> </w:t>
      </w:r>
      <w:r>
        <w:t xml:space="preserve">Traits</w:t>
      </w:r>
      <w:r>
        <w:t xml:space="preserve"> </w:t>
      </w:r>
      <w:r>
        <w:t xml:space="preserve">in a</w:t>
      </w:r>
      <w:r>
        <w:t xml:space="preserve"> </w:t>
      </w:r>
      <w:r>
        <w:t xml:space="preserve">Durum</w:t>
      </w:r>
      <w:r>
        <w:t xml:space="preserve"> </w:t>
      </w:r>
      <w:r>
        <w:t xml:space="preserve">Population</w:t>
      </w:r>
      <w:r>
        <w:t xml:space="preserve"> </w:t>
      </w:r>
      <w:r>
        <w:t xml:space="preserve">Derived</w:t>
      </w:r>
      <w:r>
        <w:t xml:space="preserve"> </w:t>
      </w:r>
      <w:r>
        <w:t xml:space="preserve">From</w:t>
      </w:r>
      <w:r>
        <w:t xml:space="preserve"> </w:t>
      </w:r>
      <w:r>
        <w:t xml:space="preserve">an</w:t>
      </w:r>
      <w:r>
        <w:t xml:space="preserve"> </w:t>
      </w:r>
      <w:r>
        <w:t xml:space="preserve">Inter</w:t>
      </w:r>
      <w:r>
        <w:t xml:space="preserve">-</w:t>
      </w:r>
      <w:r>
        <w:t xml:space="preserve">Specific</w:t>
      </w:r>
      <w:r>
        <w:t xml:space="preserve"> </w:t>
      </w:r>
      <w:r>
        <w:t xml:space="preserve">Cross</w:t>
      </w:r>
      <w:r>
        <w:t xml:space="preserve"> </w:t>
      </w:r>
      <w:r>
        <w:t xml:space="preserve">Between</w:t>
      </w:r>
      <w:r>
        <w:t xml:space="preserve"> </w:t>
      </w:r>
      <w:r>
        <w:t xml:space="preserve">Hexaploid</w:t>
      </w:r>
      <w:r>
        <w:t xml:space="preserve"> </w:t>
      </w:r>
      <w:r>
        <w:t xml:space="preserve">and</w:t>
      </w:r>
      <w:r>
        <w:t xml:space="preserve"> </w:t>
      </w:r>
      <w:r>
        <w:t xml:space="preserve">Tetraploid</w:t>
      </w:r>
      <w:r>
        <w:t xml:space="preserve"> </w:t>
      </w:r>
      <w:r>
        <w:t xml:space="preserve">Wheat</w:t>
      </w:r>
      <w:r>
        <w:t xml:space="preserve"> </w:t>
      </w:r>
      <w:r>
        <w:t xml:space="preserve">Cultivars</w:t>
      </w:r>
      <w:r>
        <w:t xml:space="preserve">.</w:t>
      </w:r>
      <w:r>
        <w:t xml:space="preserve"> </w:t>
      </w:r>
      <w:r>
        <w:rPr>
          <w:i/>
          <w:iCs/>
        </w:rPr>
        <w:t xml:space="preserve">Frontiers in Plant Science</w:t>
      </w:r>
      <w:r>
        <w:t xml:space="preserve">,</w:t>
      </w:r>
      <w:r>
        <w:t xml:space="preserve"> </w:t>
      </w:r>
      <w:r>
        <w:rPr>
          <w:i/>
          <w:iCs/>
        </w:rPr>
        <w:t xml:space="preserve">10</w:t>
      </w:r>
      <w:r>
        <w:t xml:space="preserve">.</w:t>
      </w:r>
      <w:r>
        <w:t xml:space="preserve"> </w:t>
      </w:r>
      <w:hyperlink r:id="rId74">
        <w:r>
          <w:rPr>
            <w:rStyle w:val="Hyperlink"/>
          </w:rPr>
          <w:t xml:space="preserve">https://doi.org/10.3389/fpls.2019.01509</w:t>
        </w:r>
      </w:hyperlink>
    </w:p>
    <w:bookmarkEnd w:id="75"/>
    <w:bookmarkStart w:id="77" w:name="ref-hayes_measuring_2020"/>
    <w:p>
      <w:pPr>
        <w:pStyle w:val="Bibliography"/>
      </w:pPr>
      <w:r>
        <w:t xml:space="preserve">Hayes, M. (2020). Measuring</w:t>
      </w:r>
      <w:r>
        <w:t xml:space="preserve"> </w:t>
      </w:r>
      <w:r>
        <w:t xml:space="preserve">Protein</w:t>
      </w:r>
      <w:r>
        <w:t xml:space="preserve"> </w:t>
      </w:r>
      <w:r>
        <w:t xml:space="preserve">Content</w:t>
      </w:r>
      <w:r>
        <w:t xml:space="preserve"> </w:t>
      </w:r>
      <w:r>
        <w:t xml:space="preserve">in</w:t>
      </w:r>
      <w:r>
        <w:t xml:space="preserve"> </w:t>
      </w:r>
      <w:r>
        <w:t xml:space="preserve">Food</w:t>
      </w:r>
      <w:r>
        <w:t xml:space="preserve">:</w:t>
      </w:r>
      <w:r>
        <w:t xml:space="preserve"> </w:t>
      </w:r>
      <w:r>
        <w:t xml:space="preserve">An</w:t>
      </w:r>
      <w:r>
        <w:t xml:space="preserve"> </w:t>
      </w:r>
      <w:r>
        <w:t xml:space="preserve">Overview</w:t>
      </w:r>
      <w:r>
        <w:t xml:space="preserve"> </w:t>
      </w:r>
      <w:r>
        <w:t xml:space="preserve">of</w:t>
      </w:r>
      <w:r>
        <w:t xml:space="preserve"> </w:t>
      </w:r>
      <w:r>
        <w:t xml:space="preserve">Methods</w:t>
      </w:r>
      <w:r>
        <w:t xml:space="preserve">.</w:t>
      </w:r>
      <w:r>
        <w:t xml:space="preserve"> </w:t>
      </w:r>
      <w:r>
        <w:rPr>
          <w:i/>
          <w:iCs/>
        </w:rPr>
        <w:t xml:space="preserve">Foods</w:t>
      </w:r>
      <w:r>
        <w:t xml:space="preserve">,</w:t>
      </w:r>
      <w:r>
        <w:t xml:space="preserve"> </w:t>
      </w:r>
      <w:r>
        <w:rPr>
          <w:i/>
          <w:iCs/>
        </w:rPr>
        <w:t xml:space="preserve">9</w:t>
      </w:r>
      <w:r>
        <w:t xml:space="preserve">(10), 1340.</w:t>
      </w:r>
      <w:r>
        <w:t xml:space="preserve"> </w:t>
      </w:r>
      <w:hyperlink r:id="rId76">
        <w:r>
          <w:rPr>
            <w:rStyle w:val="Hyperlink"/>
          </w:rPr>
          <w:t xml:space="preserve">https://doi.org/10.3390/foods9101340</w:t>
        </w:r>
      </w:hyperlink>
    </w:p>
    <w:bookmarkEnd w:id="77"/>
    <w:bookmarkStart w:id="79" w:name="ref-tidymodels"/>
    <w:p>
      <w:pPr>
        <w:pStyle w:val="Bibliography"/>
      </w:pPr>
      <w:r>
        <w:t xml:space="preserve">Kuhn, M., &amp; Wickham, H. (2020).</w:t>
      </w:r>
      <w:r>
        <w:t xml:space="preserve"> </w:t>
      </w:r>
      <w:r>
        <w:rPr>
          <w:i/>
          <w:iCs/>
        </w:rPr>
        <w:t xml:space="preserve">Tidymodels</w:t>
      </w:r>
      <w:r>
        <w:rPr>
          <w:i/>
          <w:iCs/>
        </w:rPr>
        <w:t xml:space="preserve">: A collection of packages for modeling and machine learning using tidyverse principles.</w:t>
      </w:r>
      <w:r>
        <w:t xml:space="preserve"> </w:t>
      </w:r>
      <w:hyperlink r:id="rId78">
        <w:r>
          <w:rPr>
            <w:rStyle w:val="Hyperlink"/>
          </w:rPr>
          <w:t xml:space="preserve">https://www.tidymodels.org</w:t>
        </w:r>
      </w:hyperlink>
    </w:p>
    <w:bookmarkEnd w:id="79"/>
    <w:bookmarkStart w:id="81" w:name="ref-caret"/>
    <w:p>
      <w:pPr>
        <w:pStyle w:val="Bibliography"/>
      </w:pPr>
      <w:r>
        <w:t xml:space="preserve">Kuhn, &amp; Max. (2008). Building predictive models in r using the caret package.</w:t>
      </w:r>
      <w:r>
        <w:t xml:space="preserve"> </w:t>
      </w:r>
      <w:r>
        <w:rPr>
          <w:i/>
          <w:iCs/>
        </w:rPr>
        <w:t xml:space="preserve">Journal of Statistical Software</w:t>
      </w:r>
      <w:r>
        <w:t xml:space="preserve">,</w:t>
      </w:r>
      <w:r>
        <w:t xml:space="preserve"> </w:t>
      </w:r>
      <w:r>
        <w:rPr>
          <w:i/>
          <w:iCs/>
        </w:rPr>
        <w:t xml:space="preserve">28</w:t>
      </w:r>
      <w:r>
        <w:t xml:space="preserve">(5), 1–26.</w:t>
      </w:r>
      <w:r>
        <w:t xml:space="preserve"> </w:t>
      </w:r>
      <w:hyperlink r:id="rId80">
        <w:r>
          <w:rPr>
            <w:rStyle w:val="Hyperlink"/>
          </w:rPr>
          <w:t xml:space="preserve">https://doi.org/10.18637/jss.v028.i05</w:t>
        </w:r>
      </w:hyperlink>
    </w:p>
    <w:bookmarkEnd w:id="81"/>
    <w:bookmarkStart w:id="83" w:name="ref-emmeans"/>
    <w:p>
      <w:pPr>
        <w:pStyle w:val="Bibliography"/>
      </w:pPr>
      <w:r>
        <w:t xml:space="preserve">Lenth, R. V. (2024).</w:t>
      </w:r>
      <w:r>
        <w:t xml:space="preserve"> </w:t>
      </w:r>
      <w:r>
        <w:rPr>
          <w:i/>
          <w:iCs/>
        </w:rPr>
        <w:t xml:space="preserve">emmeans</w:t>
      </w:r>
      <w:r>
        <w:rPr>
          <w:i/>
          <w:iCs/>
        </w:rPr>
        <w:t xml:space="preserve">: Estimated marginal means, aka least-squares means</w:t>
      </w:r>
      <w:r>
        <w:t xml:space="preserve">.</w:t>
      </w:r>
      <w:r>
        <w:t xml:space="preserve"> </w:t>
      </w:r>
      <w:hyperlink r:id="rId82">
        <w:r>
          <w:rPr>
            <w:rStyle w:val="Hyperlink"/>
          </w:rPr>
          <w:t xml:space="preserve">https://CRAN.R-project.org/package=emmeans</w:t>
        </w:r>
      </w:hyperlink>
    </w:p>
    <w:bookmarkEnd w:id="83"/>
    <w:bookmarkStart w:id="85" w:name="ref-li_quantitative_2020"/>
    <w:p>
      <w:pPr>
        <w:pStyle w:val="Bibliography"/>
      </w:pPr>
      <w:r>
        <w:t xml:space="preserve">Li, Y., Huang, Y., Xia, J., Xiong, Y., &amp; Min, S. (2020). Quantitative analysis of honey adulteration by spectrum analysis combined with several high-level data fusion strategies.</w:t>
      </w:r>
      <w:r>
        <w:t xml:space="preserve"> </w:t>
      </w:r>
      <w:r>
        <w:rPr>
          <w:i/>
          <w:iCs/>
        </w:rPr>
        <w:t xml:space="preserve">Vibrational Spectroscopy</w:t>
      </w:r>
      <w:r>
        <w:t xml:space="preserve">,</w:t>
      </w:r>
      <w:r>
        <w:t xml:space="preserve"> </w:t>
      </w:r>
      <w:r>
        <w:rPr>
          <w:i/>
          <w:iCs/>
        </w:rPr>
        <w:t xml:space="preserve">108</w:t>
      </w:r>
      <w:r>
        <w:t xml:space="preserve">, 103060.</w:t>
      </w:r>
      <w:r>
        <w:t xml:space="preserve"> </w:t>
      </w:r>
      <w:hyperlink r:id="rId84">
        <w:r>
          <w:rPr>
            <w:rStyle w:val="Hyperlink"/>
          </w:rPr>
          <w:t xml:space="preserve">https://doi.org/10.1016/j.vibspec.2020.103060</w:t>
        </w:r>
      </w:hyperlink>
    </w:p>
    <w:bookmarkEnd w:id="85"/>
    <w:bookmarkStart w:id="87" w:name="ref-pls"/>
    <w:p>
      <w:pPr>
        <w:pStyle w:val="Bibliography"/>
      </w:pPr>
      <w:r>
        <w:t xml:space="preserve">Liland, K. H., Mevik, B.-H., &amp; Wehrens, R. (2023).</w:t>
      </w:r>
      <w:r>
        <w:t xml:space="preserve"> </w:t>
      </w:r>
      <w:r>
        <w:rPr>
          <w:i/>
          <w:iCs/>
        </w:rPr>
        <w:t xml:space="preserve">pls</w:t>
      </w:r>
      <w:r>
        <w:rPr>
          <w:i/>
          <w:iCs/>
        </w:rPr>
        <w:t xml:space="preserve">: Partial least squares and principal component regression</w:t>
      </w:r>
      <w:r>
        <w:t xml:space="preserve">.</w:t>
      </w:r>
      <w:r>
        <w:t xml:space="preserve"> </w:t>
      </w:r>
      <w:hyperlink r:id="rId86">
        <w:r>
          <w:rPr>
            <w:rStyle w:val="Hyperlink"/>
          </w:rPr>
          <w:t xml:space="preserve">https://CRAN.R-project.org/package=pls</w:t>
        </w:r>
      </w:hyperlink>
    </w:p>
    <w:bookmarkEnd w:id="87"/>
    <w:bookmarkStart w:id="89" w:name="ref-luce_prediction_2017"/>
    <w:p>
      <w:pPr>
        <w:pStyle w:val="Bibliography"/>
      </w:pPr>
      <w:r>
        <w:t xml:space="preserve">Luce, M. S., Ziadi, N., Gagnon, B., &amp; Lévesque, V. (2017). Prediction of total carbon, total nitrogen, and</w:t>
      </w:r>
      <w:r>
        <w:t xml:space="preserve"> </w:t>
      </w:r>
      <w:r>
        <w:t xml:space="preserve">pH</w:t>
      </w:r>
      <w:r>
        <w:t xml:space="preserve"> </w:t>
      </w:r>
      <w:r>
        <w:t xml:space="preserve">of organic materials using visible near-infrared reflectance spectroscopy.</w:t>
      </w:r>
      <w:r>
        <w:t xml:space="preserve"> </w:t>
      </w:r>
      <w:r>
        <w:rPr>
          <w:i/>
          <w:iCs/>
        </w:rPr>
        <w:t xml:space="preserve">Canadian Journal of Soil Science</w:t>
      </w:r>
      <w:r>
        <w:t xml:space="preserve">,</w:t>
      </w:r>
      <w:r>
        <w:t xml:space="preserve"> </w:t>
      </w:r>
      <w:r>
        <w:rPr>
          <w:i/>
          <w:iCs/>
        </w:rPr>
        <w:t xml:space="preserve">98</w:t>
      </w:r>
      <w:r>
        <w:t xml:space="preserve">(1), 175–179.</w:t>
      </w:r>
      <w:r>
        <w:t xml:space="preserve"> </w:t>
      </w:r>
      <w:hyperlink r:id="rId88">
        <w:r>
          <w:rPr>
            <w:rStyle w:val="Hyperlink"/>
          </w:rPr>
          <w:t xml:space="preserve">https://doi.org/10.1139/cjss-2017-0109</w:t>
        </w:r>
      </w:hyperlink>
    </w:p>
    <w:bookmarkEnd w:id="89"/>
    <w:bookmarkStart w:id="91" w:name="ref-luo_properties_2005"/>
    <w:p>
      <w:pPr>
        <w:pStyle w:val="Bibliography"/>
      </w:pPr>
      <w:r>
        <w:t xml:space="preserve">Luo, J., Ying, K., He, P., &amp; Bai, J. (2005). Properties of</w:t>
      </w:r>
      <w:r>
        <w:t xml:space="preserve"> </w:t>
      </w:r>
      <w:r>
        <w:t xml:space="preserve">Savitzky</w:t>
      </w:r>
      <w:r>
        <w:t xml:space="preserve">–</w:t>
      </w:r>
      <w:r>
        <w:t xml:space="preserve">Golay</w:t>
      </w:r>
      <w:r>
        <w:t xml:space="preserve"> </w:t>
      </w:r>
      <w:r>
        <w:t xml:space="preserve">digital differentiators.</w:t>
      </w:r>
      <w:r>
        <w:t xml:space="preserve"> </w:t>
      </w:r>
      <w:r>
        <w:rPr>
          <w:i/>
          <w:iCs/>
        </w:rPr>
        <w:t xml:space="preserve">Digital Signal Processing</w:t>
      </w:r>
      <w:r>
        <w:t xml:space="preserve">,</w:t>
      </w:r>
      <w:r>
        <w:t xml:space="preserve"> </w:t>
      </w:r>
      <w:r>
        <w:rPr>
          <w:i/>
          <w:iCs/>
        </w:rPr>
        <w:t xml:space="preserve">15</w:t>
      </w:r>
      <w:r>
        <w:t xml:space="preserve">(2), 122–136.</w:t>
      </w:r>
      <w:r>
        <w:t xml:space="preserve"> </w:t>
      </w:r>
      <w:hyperlink r:id="rId90">
        <w:r>
          <w:rPr>
            <w:rStyle w:val="Hyperlink"/>
          </w:rPr>
          <w:t xml:space="preserve">https://doi.org/10.1016/j.dsp.2004.09.008</w:t>
        </w:r>
      </w:hyperlink>
    </w:p>
    <w:bookmarkEnd w:id="91"/>
    <w:bookmarkStart w:id="93" w:name="ref-nlme2000"/>
    <w:p>
      <w:pPr>
        <w:pStyle w:val="Bibliography"/>
      </w:pPr>
      <w:r>
        <w:t xml:space="preserve">Pinheiro, J. C., &amp; Bates, D. M. (2000).</w:t>
      </w:r>
      <w:r>
        <w:t xml:space="preserve"> </w:t>
      </w:r>
      <w:r>
        <w:rPr>
          <w:i/>
          <w:iCs/>
        </w:rPr>
        <w:t xml:space="preserve">Mixed-effects models in s and s-PLUS</w:t>
      </w:r>
      <w:r>
        <w:t xml:space="preserve">. Springer.</w:t>
      </w:r>
      <w:r>
        <w:t xml:space="preserve"> </w:t>
      </w:r>
      <w:hyperlink r:id="rId92">
        <w:r>
          <w:rPr>
            <w:rStyle w:val="Hyperlink"/>
          </w:rPr>
          <w:t xml:space="preserve">https://doi.org/10.1007/b98882</w:t>
        </w:r>
      </w:hyperlink>
    </w:p>
    <w:bookmarkEnd w:id="93"/>
    <w:bookmarkStart w:id="95" w:name="ref-nlme2023"/>
    <w:p>
      <w:pPr>
        <w:pStyle w:val="Bibliography"/>
      </w:pPr>
      <w:r>
        <w:t xml:space="preserve">Pinheiro, J., Bates, D., &amp; R Core Team. (2023).</w:t>
      </w:r>
      <w:r>
        <w:t xml:space="preserve"> </w:t>
      </w:r>
      <w:r>
        <w:rPr>
          <w:i/>
          <w:iCs/>
        </w:rPr>
        <w:t xml:space="preserve">nlme</w:t>
      </w:r>
      <w:r>
        <w:rPr>
          <w:i/>
          <w:iCs/>
        </w:rPr>
        <w:t xml:space="preserve">: Linear and nonlinear mixed effects models</w:t>
      </w:r>
      <w:r>
        <w:t xml:space="preserve">.</w:t>
      </w:r>
      <w:r>
        <w:t xml:space="preserve"> </w:t>
      </w:r>
      <w:hyperlink r:id="rId94">
        <w:r>
          <w:rPr>
            <w:rStyle w:val="Hyperlink"/>
          </w:rPr>
          <w:t xml:space="preserve">https://CRAN.R-project.org/package=nlme</w:t>
        </w:r>
      </w:hyperlink>
    </w:p>
    <w:bookmarkEnd w:id="95"/>
    <w:bookmarkStart w:id="97" w:name="ref-base"/>
    <w:p>
      <w:pPr>
        <w:pStyle w:val="Bibliography"/>
      </w:pPr>
      <w:r>
        <w:t xml:space="preserve">R Core Team. (2024).</w:t>
      </w:r>
      <w:r>
        <w:t xml:space="preserve"> </w:t>
      </w:r>
      <w:r>
        <w:rPr>
          <w:i/>
          <w:iCs/>
        </w:rPr>
        <w:t xml:space="preserve">R</w:t>
      </w:r>
      <w:r>
        <w:rPr>
          <w:i/>
          <w:iCs/>
        </w:rPr>
        <w:t xml:space="preserve">: A language and environment for statistical computing</w:t>
      </w:r>
      <w:r>
        <w:t xml:space="preserve">. R Foundation for Statistical Computing.</w:t>
      </w:r>
      <w:r>
        <w:t xml:space="preserve"> </w:t>
      </w:r>
      <w:hyperlink r:id="rId96">
        <w:r>
          <w:rPr>
            <w:rStyle w:val="Hyperlink"/>
          </w:rPr>
          <w:t xml:space="preserve">https://www.R-project.org/</w:t>
        </w:r>
      </w:hyperlink>
    </w:p>
    <w:bookmarkEnd w:id="97"/>
    <w:bookmarkStart w:id="99" w:name="ref-rawal_visible_2024"/>
    <w:p>
      <w:pPr>
        <w:pStyle w:val="Bibliography"/>
      </w:pPr>
      <w:r>
        <w:t xml:space="preserve">Rawal, A., Hartemink, A., Zhang, Y., Wang, Y., Lankau, R. A., &amp; Ruark, M. D. (2024). Visible and near-infrared spectroscopy predicted leaf nitrogen contents of potato varieties under different growth and management conditions.</w:t>
      </w:r>
      <w:r>
        <w:t xml:space="preserve"> </w:t>
      </w:r>
      <w:r>
        <w:rPr>
          <w:i/>
          <w:iCs/>
        </w:rPr>
        <w:t xml:space="preserve">Precision Agriculture</w:t>
      </w:r>
      <w:r>
        <w:t xml:space="preserve">,</w:t>
      </w:r>
      <w:r>
        <w:t xml:space="preserve"> </w:t>
      </w:r>
      <w:r>
        <w:rPr>
          <w:i/>
          <w:iCs/>
        </w:rPr>
        <w:t xml:space="preserve">25</w:t>
      </w:r>
      <w:r>
        <w:t xml:space="preserve">(2), 751–770.</w:t>
      </w:r>
      <w:r>
        <w:t xml:space="preserve"> </w:t>
      </w:r>
      <w:hyperlink r:id="rId98">
        <w:r>
          <w:rPr>
            <w:rStyle w:val="Hyperlink"/>
          </w:rPr>
          <w:t xml:space="preserve">https://doi.org/10.1007/s11119-023-10091-z</w:t>
        </w:r>
      </w:hyperlink>
    </w:p>
    <w:bookmarkEnd w:id="99"/>
    <w:bookmarkStart w:id="101" w:name="ref-reeves_potential_2012"/>
    <w:p>
      <w:pPr>
        <w:pStyle w:val="Bibliography"/>
      </w:pPr>
      <w:r>
        <w:t xml:space="preserve">Reeves, J. B. (2012). Potential of</w:t>
      </w:r>
      <w:r>
        <w:t xml:space="preserve"> </w:t>
      </w:r>
      <w:r>
        <w:t xml:space="preserve">Near</w:t>
      </w:r>
      <w:r>
        <w:t xml:space="preserve">- and</w:t>
      </w:r>
      <w:r>
        <w:t xml:space="preserve"> </w:t>
      </w:r>
      <w:r>
        <w:t xml:space="preserve">Mid</w:t>
      </w:r>
      <w:r>
        <w:t xml:space="preserve">-infrared</w:t>
      </w:r>
      <w:r>
        <w:t xml:space="preserve"> </w:t>
      </w:r>
      <w:r>
        <w:t xml:space="preserve">Spectroscopy</w:t>
      </w:r>
      <w:r>
        <w:t xml:space="preserve"> </w:t>
      </w:r>
      <w:r>
        <w:t xml:space="preserve">in</w:t>
      </w:r>
      <w:r>
        <w:t xml:space="preserve"> </w:t>
      </w:r>
      <w:r>
        <w:t xml:space="preserve">Biofuel</w:t>
      </w:r>
      <w:r>
        <w:t xml:space="preserve"> </w:t>
      </w:r>
      <w:r>
        <w:t xml:space="preserve">Production</w:t>
      </w:r>
      <w:r>
        <w:t xml:space="preserve">.</w:t>
      </w:r>
      <w:r>
        <w:t xml:space="preserve"> </w:t>
      </w:r>
      <w:r>
        <w:rPr>
          <w:i/>
          <w:iCs/>
        </w:rPr>
        <w:t xml:space="preserve">Communications in Soil Science and Plant Analysis</w:t>
      </w:r>
      <w:r>
        <w:t xml:space="preserve">,</w:t>
      </w:r>
      <w:r>
        <w:t xml:space="preserve"> </w:t>
      </w:r>
      <w:r>
        <w:rPr>
          <w:i/>
          <w:iCs/>
        </w:rPr>
        <w:t xml:space="preserve">43</w:t>
      </w:r>
      <w:r>
        <w:t xml:space="preserve">(1-2), 478–495.</w:t>
      </w:r>
      <w:r>
        <w:t xml:space="preserve"> </w:t>
      </w:r>
      <w:hyperlink r:id="rId100">
        <w:r>
          <w:rPr>
            <w:rStyle w:val="Hyperlink"/>
          </w:rPr>
          <w:t xml:space="preserve">https://doi.org/10.1080/00103624.2012.641844</w:t>
        </w:r>
      </w:hyperlink>
    </w:p>
    <w:bookmarkEnd w:id="101"/>
    <w:bookmarkStart w:id="103" w:name="ref-rinnan_review_2009"/>
    <w:p>
      <w:pPr>
        <w:pStyle w:val="Bibliography"/>
      </w:pPr>
      <w:r>
        <w:t xml:space="preserve">Rinnan, Å., Berg, F. van den, &amp; Engelsen, S. B. (2009). Review of the most common pre-processing techniques for near-infrared spectra.</w:t>
      </w:r>
      <w:r>
        <w:t xml:space="preserve"> </w:t>
      </w:r>
      <w:r>
        <w:rPr>
          <w:i/>
          <w:iCs/>
        </w:rPr>
        <w:t xml:space="preserve">TrAC Trends in Analytical Chemistry</w:t>
      </w:r>
      <w:r>
        <w:t xml:space="preserve">,</w:t>
      </w:r>
      <w:r>
        <w:t xml:space="preserve"> </w:t>
      </w:r>
      <w:r>
        <w:rPr>
          <w:i/>
          <w:iCs/>
        </w:rPr>
        <w:t xml:space="preserve">28</w:t>
      </w:r>
      <w:r>
        <w:t xml:space="preserve">(10), 1201–1222.</w:t>
      </w:r>
      <w:r>
        <w:t xml:space="preserve"> </w:t>
      </w:r>
      <w:hyperlink r:id="rId102">
        <w:r>
          <w:rPr>
            <w:rStyle w:val="Hyperlink"/>
          </w:rPr>
          <w:t xml:space="preserve">https://doi.org/10.1016/j.trac.2009.07.007</w:t>
        </w:r>
      </w:hyperlink>
    </w:p>
    <w:bookmarkEnd w:id="103"/>
    <w:bookmarkStart w:id="104" w:name="ref-roberts_near-infrared_2004"/>
    <w:p>
      <w:pPr>
        <w:pStyle w:val="Bibliography"/>
      </w:pPr>
      <w:r>
        <w:t xml:space="preserve">Roberts, C. A., Workman, J., &amp; Reeves, J. B. (2004).</w:t>
      </w:r>
      <w:r>
        <w:t xml:space="preserve"> </w:t>
      </w:r>
      <w:r>
        <w:rPr>
          <w:i/>
          <w:iCs/>
        </w:rPr>
        <w:t xml:space="preserve">Near-infrared spectroscopy in agriculture</w:t>
      </w:r>
      <w:r>
        <w:t xml:space="preserve">. American Society of Agronomy.</w:t>
      </w:r>
    </w:p>
    <w:bookmarkEnd w:id="104"/>
    <w:bookmarkStart w:id="105" w:name="ref-prospectr"/>
    <w:p>
      <w:pPr>
        <w:pStyle w:val="Bibliography"/>
      </w:pPr>
      <w:r>
        <w:t xml:space="preserve">Stevens, A., &amp; Ramirez-Lopez, L. (2024).</w:t>
      </w:r>
      <w:r>
        <w:t xml:space="preserve"> </w:t>
      </w:r>
      <w:r>
        <w:rPr>
          <w:i/>
          <w:iCs/>
        </w:rPr>
        <w:t xml:space="preserve">An introduction to the prospectr package</w:t>
      </w:r>
      <w:r>
        <w:t xml:space="preserve">.</w:t>
      </w:r>
    </w:p>
    <w:bookmarkEnd w:id="105"/>
    <w:bookmarkStart w:id="107" w:name="ref-skimr"/>
    <w:p>
      <w:pPr>
        <w:pStyle w:val="Bibliography"/>
      </w:pPr>
      <w:r>
        <w:t xml:space="preserve">Waring, E., Quinn, M., McNamara, A., Arino de la Rubia, E., Zhu, H., &amp; Ellis, S. (2022).</w:t>
      </w:r>
      <w:r>
        <w:t xml:space="preserve"> </w:t>
      </w:r>
      <w:r>
        <w:rPr>
          <w:i/>
          <w:iCs/>
        </w:rPr>
        <w:t xml:space="preserve">skimr</w:t>
      </w:r>
      <w:r>
        <w:rPr>
          <w:i/>
          <w:iCs/>
        </w:rPr>
        <w:t xml:space="preserve">: Compact and flexible summaries of data</w:t>
      </w:r>
      <w:r>
        <w:t xml:space="preserve">.</w:t>
      </w:r>
      <w:r>
        <w:t xml:space="preserve"> </w:t>
      </w:r>
      <w:hyperlink r:id="rId106">
        <w:r>
          <w:rPr>
            <w:rStyle w:val="Hyperlink"/>
          </w:rPr>
          <w:t xml:space="preserve">https://CRAN.R-project.org/package=skimr</w:t>
        </w:r>
      </w:hyperlink>
    </w:p>
    <w:bookmarkEnd w:id="107"/>
    <w:bookmarkStart w:id="109" w:name="ref-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08">
        <w:r>
          <w:rPr>
            <w:rStyle w:val="Hyperlink"/>
          </w:rPr>
          <w:t xml:space="preserve">https://doi.org/10.21105/joss.01686</w:t>
        </w:r>
      </w:hyperlink>
    </w:p>
    <w:bookmarkEnd w:id="109"/>
    <w:bookmarkStart w:id="110" w:name="ref-williams_application_1975"/>
    <w:p>
      <w:pPr>
        <w:pStyle w:val="Bibliography"/>
      </w:pPr>
      <w:r>
        <w:t xml:space="preserve">Williams, P. C. (1975). Application of near infrared reflectance spectroscopy to analysis of cereal grains and oilseeds.</w:t>
      </w:r>
      <w:r>
        <w:t xml:space="preserve"> </w:t>
      </w:r>
      <w:r>
        <w:rPr>
          <w:i/>
          <w:iCs/>
        </w:rPr>
        <w:t xml:space="preserve">Cereal Chemistry</w:t>
      </w:r>
      <w:r>
        <w:t xml:space="preserve">,</w:t>
      </w:r>
      <w:r>
        <w:t xml:space="preserve"> </w:t>
      </w:r>
      <w:r>
        <w:rPr>
          <w:i/>
          <w:iCs/>
        </w:rPr>
        <w:t xml:space="preserve">52</w:t>
      </w:r>
      <w:r>
        <w:t xml:space="preserve">(4 p.561-576), 576–561.</w:t>
      </w:r>
    </w:p>
    <w:bookmarkEnd w:id="110"/>
    <w:bookmarkStart w:id="112" w:name="ref-wold_pls-regression_2001"/>
    <w:p>
      <w:pPr>
        <w:pStyle w:val="Bibliography"/>
      </w:pPr>
      <w:r>
        <w:t xml:space="preserve">Wold, S., Sjöström, M., &amp; Eriksson, L. (2001).</w:t>
      </w:r>
      <w:r>
        <w:t xml:space="preserve"> </w:t>
      </w:r>
      <w:r>
        <w:t xml:space="preserve">PLS</w:t>
      </w:r>
      <w:r>
        <w:t xml:space="preserve">-regression: A basic tool of chemometrics.</w:t>
      </w:r>
      <w:r>
        <w:t xml:space="preserve"> </w:t>
      </w:r>
      <w:r>
        <w:rPr>
          <w:i/>
          <w:iCs/>
        </w:rPr>
        <w:t xml:space="preserve">Chemometrics and Intelligent Laboratory Systems</w:t>
      </w:r>
      <w:r>
        <w:t xml:space="preserve">,</w:t>
      </w:r>
      <w:r>
        <w:t xml:space="preserve"> </w:t>
      </w:r>
      <w:r>
        <w:rPr>
          <w:i/>
          <w:iCs/>
        </w:rPr>
        <w:t xml:space="preserve">58</w:t>
      </w:r>
      <w:r>
        <w:t xml:space="preserve">(2), 109–130.</w:t>
      </w:r>
      <w:r>
        <w:t xml:space="preserve"> </w:t>
      </w:r>
      <w:hyperlink r:id="rId111">
        <w:r>
          <w:rPr>
            <w:rStyle w:val="Hyperlink"/>
          </w:rPr>
          <w:t xml:space="preserve">https://doi.org/10.1016/S0169-7439(01)00155-1</w:t>
        </w:r>
      </w:hyperlink>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_rels/footnotes.xml.rels><?xml version="1.0" encoding="UTF-8"?><Relationships xmlns="http://schemas.openxmlformats.org/package/2006/relationships"><Relationship Type="http://schemas.openxmlformats.org/officeDocument/2006/relationships/hyperlink" Id="rId58" Target="https://CRAN.R-project.org/package=data.table" TargetMode="External" /><Relationship Type="http://schemas.openxmlformats.org/officeDocument/2006/relationships/hyperlink" Id="rId82" Target="https://CRAN.R-project.org/package=emmeans" TargetMode="External" /><Relationship Type="http://schemas.openxmlformats.org/officeDocument/2006/relationships/hyperlink" Id="rId94" Target="https://CRAN.R-project.org/package=nlme" TargetMode="External" /><Relationship Type="http://schemas.openxmlformats.org/officeDocument/2006/relationships/hyperlink" Id="rId86" Target="https://CRAN.R-project.org/package=pls" TargetMode="External" /><Relationship Type="http://schemas.openxmlformats.org/officeDocument/2006/relationships/hyperlink" Id="rId106" Target="https://CRAN.R-project.org/package=skimr" TargetMode="External" /><Relationship Type="http://schemas.openxmlformats.org/officeDocument/2006/relationships/hyperlink" Id="rId68" Target="https://doi.org/10.1007/978-981-16-8778-5_6" TargetMode="External" /><Relationship Type="http://schemas.openxmlformats.org/officeDocument/2006/relationships/hyperlink" Id="rId92" Target="https://doi.org/10.1007/b98882" TargetMode="External" /><Relationship Type="http://schemas.openxmlformats.org/officeDocument/2006/relationships/hyperlink" Id="rId64" Target="https://doi.org/10.1007/s10681-004-4811-6" TargetMode="External" /><Relationship Type="http://schemas.openxmlformats.org/officeDocument/2006/relationships/hyperlink" Id="rId98" Target="https://doi.org/10.1007/s11119-023-10091-z" TargetMode="External" /><Relationship Type="http://schemas.openxmlformats.org/officeDocument/2006/relationships/hyperlink" Id="rId111" Target="https://doi.org/10.1016/S0169-7439(01)00155-1" TargetMode="External" /><Relationship Type="http://schemas.openxmlformats.org/officeDocument/2006/relationships/hyperlink" Id="rId90" Target="https://doi.org/10.1016/j.dsp.2004.09.008" TargetMode="External" /><Relationship Type="http://schemas.openxmlformats.org/officeDocument/2006/relationships/hyperlink" Id="rId102" Target="https://doi.org/10.1016/j.trac.2009.07.007" TargetMode="External" /><Relationship Type="http://schemas.openxmlformats.org/officeDocument/2006/relationships/hyperlink" Id="rId62" Target="https://doi.org/10.1016/j.trac.2010.05.006" TargetMode="External" /><Relationship Type="http://schemas.openxmlformats.org/officeDocument/2006/relationships/hyperlink" Id="rId84" Target="https://doi.org/10.1016/j.vibspec.2020.103060" TargetMode="External" /><Relationship Type="http://schemas.openxmlformats.org/officeDocument/2006/relationships/hyperlink" Id="rId100" Target="https://doi.org/10.1080/00103624.2012.641844" TargetMode="External" /><Relationship Type="http://schemas.openxmlformats.org/officeDocument/2006/relationships/hyperlink" Id="rId88" Target="https://doi.org/10.1139/cjss-2017-0109" TargetMode="External" /><Relationship Type="http://schemas.openxmlformats.org/officeDocument/2006/relationships/hyperlink" Id="rId70" Target="https://doi.org/10.1177/0967033519848296" TargetMode="External" /><Relationship Type="http://schemas.openxmlformats.org/officeDocument/2006/relationships/hyperlink" Id="rId56" Target="https://doi.org/10.1366/0003702894202201" TargetMode="External" /><Relationship Type="http://schemas.openxmlformats.org/officeDocument/2006/relationships/hyperlink" Id="rId80" Target="https://doi.org/10.18637/jss.v028.i05" TargetMode="External" /><Relationship Type="http://schemas.openxmlformats.org/officeDocument/2006/relationships/hyperlink" Id="rId108" Target="https://doi.org/10.21105/joss.01686" TargetMode="External" /><Relationship Type="http://schemas.openxmlformats.org/officeDocument/2006/relationships/hyperlink" Id="rId74" Target="https://doi.org/10.3389/fpls.2019.01509" TargetMode="External" /><Relationship Type="http://schemas.openxmlformats.org/officeDocument/2006/relationships/hyperlink" Id="rId76" Target="https://doi.org/10.3390/foods9101340" TargetMode="External" /><Relationship Type="http://schemas.openxmlformats.org/officeDocument/2006/relationships/hyperlink" Id="rId72" Target="https://doi.org/10.3390/plants11162146" TargetMode="External" /><Relationship Type="http://schemas.openxmlformats.org/officeDocument/2006/relationships/hyperlink" Id="rId60" Target="https://doi.org/10.3390/plants13010111" TargetMode="External" /><Relationship Type="http://schemas.openxmlformats.org/officeDocument/2006/relationships/hyperlink" Id="rId66" Target="https://doi.org/10.3390/s22103710" TargetMode="External" /><Relationship Type="http://schemas.openxmlformats.org/officeDocument/2006/relationships/hyperlink" Id="rId21" Target="https://rvcrawford.github.io/glowing-system/index.qmd.html" TargetMode="External" /><Relationship Type="http://schemas.openxmlformats.org/officeDocument/2006/relationships/hyperlink" Id="rId96" Target="https://www.R-project.org/" TargetMode="External" /><Relationship Type="http://schemas.openxmlformats.org/officeDocument/2006/relationships/hyperlink" Id="rId78" Target="https://www.tidymodel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 Infrared Spectroscopy Predicts Percentage Crude Protein in Hemp Grain</dc:title>
  <dc:creator>Ryan V. Crawford; Jamie Crawford; Julie L. Hansen; Lawrence B. Smart; Virginia Moore</dc:creator>
  <cp:keywords>Hemp, Grain, Spectroscopy</cp:keywords>
  <dcterms:created xsi:type="dcterms:W3CDTF">2024-04-03T15:06:22Z</dcterms:created>
  <dcterms:modified xsi:type="dcterms:W3CDTF">2024-04-03T15:06:22Z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date">
    <vt:lpwstr>2024-04-03</vt:lpwstr>
  </property>
  <property fmtid="{D5CDD505-2E9C-101B-9397-08002B2CF9AE}" pid="12" name="execute">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A model was developed to predict percent crude protein in hemp grain using near infrared spectroscopy.</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