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2024-10-02</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prodiction.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non-desctructive assay of CP concentration in hemp grain.</w:t>
      </w:r>
    </w:p>
    <w:p>
      <w:pPr>
        <w:pStyle w:val="FirstParagraph"/>
      </w:pPr>
      <w:r>
        <w:rPr>
          <w:b/>
          <w:bCs/>
        </w:rPr>
        <w:t xml:space="preserve">draft incorporates changes from Ginny, Larry, and Julie</w:t>
      </w:r>
      <w:r>
        <w:t xml:space="preserve"> </w:t>
      </w:r>
      <w:r>
        <w:t xml:space="preserve">CP, crude protein; NIR, near-infrared; NIRS, Near-infrared spectroscopy; NY, New York; PLSR, partial least squares regression; RPD, relative predicted deviation, RPIQ, ratio of performance to interquartile distance; SG, Savitzky-Golay; SNV, standard normal variate, SNV-SG, standard normal variate following Savitzky-Golay</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protein</w:t>
      </w:r>
      <w:r>
        <w:t xml:space="preserve"> </w:t>
      </w:r>
      <w:r>
        <w:t xml:space="preserve">(Bárta et al., 2024; Callaway, 2004; Ely &amp; Fike, 2022; Liu et al., 2023)</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and the relation of the spectra to primary analytical values, typically obtained using wet chemistry assays, for components such as moisture, protein, fat, or fiber</w:t>
      </w:r>
      <w:r>
        <w:t xml:space="preserve"> </w:t>
      </w:r>
      <w:r>
        <w:t xml:space="preserve">(Roberts et al., 2004)</w:t>
      </w:r>
      <w:r>
        <w:t xml:space="preserve">. NIRS technology has been used since the 1970’s to assess forage CP concentration</w:t>
      </w:r>
      <w:r>
        <w:t xml:space="preserve"> </w:t>
      </w:r>
      <w:r>
        <w:t xml:space="preserve">(Reeves, 2012;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a benchtop NIR spectrometer was used to develop a model to predict CP concentration based on a data set of hemp grain representing multiple years, locations, and cultivars from grain and dual-purpose hemp types using PLSR.</w:t>
      </w:r>
    </w:p>
    <w:bookmarkEnd w:id="20"/>
    <w:bookmarkStart w:id="28"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3"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2017–2021 from 18 cultivar trials in New York (NY) (149 samples). Grain samples were obtained by hand sampling or mechanical harvest and were cleaned of chaff and dried at 30 C for six days in a forced-air dryer. All CP values were expressed as concentration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2" w:name="tbl-hemp_provenance"/>
          <w:p>
            <w:pPr>
              <w:jc w:val="center"/>
            </w:pPr>
            <w:pPr>
              <w:jc w:val="start"/>
              <w:spacing w:before="200"/>
              <w:pStyle w:val="ImageCaption"/>
            </w:pPr>
            <w:r>
              <w:t xml:space="preserve">Table 1: 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cultivar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w:t>
      </w:r>
    </w:p>
    <w:bookmarkEnd w:id="23"/>
    <w:bookmarkStart w:id="24"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spectra were preprocessed using SNV (standard normal variate)-detrend with settings 1,4,4,1 for the derivative, gap, smooth, and smooth-two settings respectively.</w:t>
      </w:r>
    </w:p>
    <w:bookmarkEnd w:id="24"/>
    <w:bookmarkStart w:id="25"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5"/>
    <w:bookmarkStart w:id="26" w:name="r-software-and-packages-used"/>
    <w:p>
      <w:pPr>
        <w:pStyle w:val="Heading3"/>
      </w:pPr>
      <w:r>
        <w:t xml:space="preserve">2.4 R software and packages used</w:t>
      </w:r>
    </w:p>
    <w:p>
      <w:pPr>
        <w:pStyle w:val="FirstParagraph"/>
      </w:pPr>
      <w:r>
        <w:t xml:space="preserve">We used R version 4.4.1</w:t>
      </w:r>
      <w:r>
        <w:t xml:space="preserve"> </w:t>
      </w:r>
      <w:r>
        <w:t xml:space="preserve">(R Core Team, 2024)</w:t>
      </w:r>
      <w:r>
        <w:t xml:space="preserve"> </w:t>
      </w:r>
      <w:r>
        <w:t xml:space="preserve">and the following R packages: caret v. 6.0.90</w:t>
      </w:r>
      <w:r>
        <w:t xml:space="preserve"> </w:t>
      </w:r>
      <w:r>
        <w:t xml:space="preserve">(Kuhn, 2021)</w:t>
      </w:r>
      <w:r>
        <w:t xml:space="preserve">, data.table v. 1.16.0</w:t>
      </w:r>
      <w:r>
        <w:t xml:space="preserve"> </w:t>
      </w:r>
      <w:r>
        <w:t xml:space="preserve">(Barrett et al., 2024)</w:t>
      </w:r>
      <w:r>
        <w:t xml:space="preserve">, emmeans v. 1.10.4</w:t>
      </w:r>
      <w:r>
        <w:t xml:space="preserve"> </w:t>
      </w:r>
      <w:r>
        <w:t xml:space="preserve">(Lenth, 2024)</w:t>
      </w:r>
      <w:r>
        <w:t xml:space="preserve">, nlme v. 3.1.165</w:t>
      </w:r>
      <w:r>
        <w:t xml:space="preserve"> </w:t>
      </w:r>
      <w:r>
        <w:t xml:space="preserve">(J. Pinheiro et al., 2024; J. C. Pinheiro &amp; Bates, 2000)</w:t>
      </w:r>
      <w:r>
        <w:t xml:space="preserve">, pls v. 2.8.0</w:t>
      </w:r>
      <w:r>
        <w:t xml:space="preserve"> </w:t>
      </w:r>
      <w:r>
        <w:t xml:space="preserve">(Liland et al., 2021)</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1.2.0</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Start w:id="27" w:name="model-development"/>
    <w:p>
      <w:pPr>
        <w:pStyle w:val="Heading3"/>
      </w:pPr>
      <w:r>
        <w:t xml:space="preserve">2.5 Model Development</w:t>
      </w:r>
    </w:p>
    <w:p>
      <w:pPr>
        <w:pStyle w:val="FirstParagraph"/>
      </w:pPr>
      <w:r>
        <w:t xml:space="preserve">Training and testing sets were created by dividing samples by their laboratory CP concentration values into tertiles to ensure that a representative range of values was present in both training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For each of these preprocessing methods,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“good”</w:t>
      </w:r>
      <w:r>
        <w:t xml:space="preserve"> </w:t>
      </w:r>
      <w:r>
        <w:t xml:space="preserve">model varies depending upon the reference consulted, but for simplicity’s sake the standard established for an acceptable model was R</w:t>
      </w:r>
      <w:r>
        <w:rPr>
          <w:vertAlign w:val="superscript"/>
        </w:rPr>
        <w:t xml:space="preserve">2</w:t>
      </w:r>
      <w:r>
        <w:t xml:space="preserve"> </w:t>
      </w:r>
      <w:r>
        <w:t xml:space="preserve">&gt; 0.80, an RPD greater than 2.5 and ideally greater than 3 (</w:t>
      </w:r>
      <w:r>
        <w:t xml:space="preserve">“good”</w:t>
      </w:r>
      <w:r>
        <w:t xml:space="preserve"> </w:t>
      </w:r>
      <w:r>
        <w:t xml:space="preserve">to</w:t>
      </w:r>
      <w:r>
        <w:t xml:space="preserve"> </w:t>
      </w:r>
      <w:r>
        <w:t xml:space="preserve">“excellent”</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7"/>
    <w:bookmarkEnd w:id="28"/>
    <w:bookmarkStart w:id="45"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concentration values are summarized in</w:t>
      </w:r>
      <w:r>
        <w:t xml:space="preserve"> </w:t>
      </w:r>
      <w:hyperlink w:anchor="tbl-lab-protein-vals">
        <w:r>
          <w:rPr>
            <w:rStyle w:val="Hyperlink"/>
          </w:rPr>
          <w:t xml:space="preserve">Table 2</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lab-protein-vals"/>
          <w:p>
            <w:pPr>
              <w:jc w:val="center"/>
            </w:pPr>
            <w:pPr>
              <w:jc w:val="start"/>
              <w:spacing w:before="200"/>
              <w:pStyle w:val="ImageCaption"/>
            </w:pPr>
            <w:r>
              <w:t xml:space="preserve">Table 2: Summary of Laboratory Assayed CP Values (g kg</w:t>
            </w:r>
            <w:r>
              <w:t xml:space="preserve"> </w:t>
            </w:r>
            <w:r>
              <w:rPr>
                <w:vertAlign w:val="superscript"/>
              </w:rPr>
              <w:t xml:space="preserve">-1</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0"/>
    <w:bookmarkStart w:id="32"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 as shown in</w:t>
      </w:r>
      <w:r>
        <w:t xml:space="preserve"> </w:t>
      </w:r>
      <w:hyperlink w:anchor="tbl-preproc">
        <w:r>
          <w:rPr>
            <w:rStyle w:val="Hyperlink"/>
          </w:rPr>
          <w:t xml:space="preserve">Table 3</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 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In this study, the data were somewhat but not heavily skewed and RPD and RPIQ metrics agreed.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3: Evaluation of Preprocessing Methods by Metric ± Standard Error</w:t>
            </w:r>
          </w:p>
          <w:tbl>
            <w:tblPr>
              <w:tblStyle w:val="Table"/>
              <w:tblW w:type="pct" w:w="5000"/>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1"/>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44"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one to seven, with the inclusion of each additional component being associated with a decrease in RMSE of 5%-12%. From eight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 (</w:t>
      </w:r>
      <w:r>
        <w:rPr>
          <w:b/>
          <w:bCs/>
        </w:rPr>
        <w:t xml:space="preserve">?@fig-model-calibration</w:t>
      </w:r>
      <w:r>
        <w:t xml:space="preserve">).</w:t>
      </w:r>
    </w:p>
    <w:bookmarkStart w:id="33" w:name="cell-fig-model-calibration"/>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3"/>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performance of the final models on the testing sets were similar, but not identical to, those obtained during the initial comparison of preprocessing methods. The means of the final models were: RMSE = 1.03, R</w:t>
      </w:r>
      <w:r>
        <w:rPr>
          <w:vertAlign w:val="superscript"/>
        </w:rPr>
        <w:t xml:space="preserve">2</w:t>
      </w:r>
      <w:r>
        <w:t xml:space="preserve"> </w:t>
      </w:r>
      <w:r>
        <w:t xml:space="preserve">= 0.83, RPD = 2.44, and RPIQ = 3.89. Five percent of the models were</w:t>
      </w:r>
      <w:r>
        <w:t xml:space="preserve"> </w:t>
      </w:r>
      <w:r>
        <w:t xml:space="preserve">“excellent”</w:t>
      </w:r>
      <w:r>
        <w:t xml:space="preserve"> </w:t>
      </w:r>
      <w:r>
        <w:t xml:space="preserve">for quantitative prediction by both metrics, with RPD &gt; 3 and RPIQ &gt; 4.1, while an additional 11% of the models were</w:t>
      </w:r>
      <w:r>
        <w:t xml:space="preserve"> </w:t>
      </w:r>
      <w:r>
        <w:t xml:space="preserve">“good”</w:t>
      </w:r>
      <w:r>
        <w:t xml:space="preserve"> </w:t>
      </w:r>
      <w:r>
        <w:t xml:space="preserve">by both metrics (RPD range from 2.5–3.0, RPIQ range from 2.3–4.1). Forty-nine percent of the models had the ability to approximate quantitative prediction (RPD range from 2.0–2.5), and nine percent of the models were able to distinguish between higher and lower concentration CP values (RPD range from 1.5–2.0). Therefore, 74% of the models had, at minimum, the ability to distinguish between high and low values with 65%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1</w:t>
        </w:r>
      </w:hyperlink>
      <w:r>
        <w:t xml:space="preserve"> </w:t>
      </w:r>
      <w:r>
        <w:t xml:space="preserve">shows 21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38" w:name="cell-fig-final-metric-boxplot"/>
    <w:tbl>
      <w:tblPr>
        <w:tblStyle w:val="Table"/>
        <w:tblW w:type="pct" w:w="5000"/>
        <w:tblLayout w:type="fixed"/>
        <w:tblLook w:firstRow="0" w:lastRow="0" w:firstColumn="0" w:lastColumn="0" w:noHBand="0" w:noVBand="0" w:val="0000"/>
      </w:tblPr>
      <w:tblGrid>
        <w:gridCol w:w="7920"/>
      </w:tblGrid>
      <w:tr>
        <w:tc>
          <w:tcPr/>
          <w:bookmarkStart w:id="37" w:name="fig-final-metric-boxplot"/>
          <w:p>
            <w:pPr>
              <w:pStyle w:val="Compact"/>
              <w:jc w:val="center"/>
            </w:pPr>
            <w:r>
              <w:drawing>
                <wp:inline>
                  <wp:extent cx="4620126" cy="3696101"/>
                  <wp:effectExtent b="0" l="0" r="0" t="0"/>
                  <wp:docPr descr="" title="" id="35" name="Picture"/>
                  <a:graphic>
                    <a:graphicData uri="http://schemas.openxmlformats.org/drawingml/2006/picture">
                      <pic:pic>
                        <pic:nvPicPr>
                          <pic:cNvPr descr="index_files/figure-docx/fig-final-metric-boxplo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Final model testing set performance over 1000 iterations</w:t>
            </w:r>
          </w:p>
          <w:bookmarkEnd w:id="3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2</w:t>
        </w:r>
      </w:hyperlink>
      <w:r>
        <w:t xml:space="preserve">. A linear model was fit considering the mean estimated error for each sample where that sample was in the test set as compared to the sample’s actual value. The models overestimated CP concentration by approximately 0.5% in the lowest tertile and underestimated CP concentration by -0.01% and -0.41% in the middle and highest tertile, respectively. The variance of the errors did not increase appreciably as CP concentration increased.</w:t>
      </w:r>
    </w:p>
    <w:bookmarkStart w:id="43" w:name="cell-fig-validation_set_performance"/>
    <w:tbl>
      <w:tblPr>
        <w:tblStyle w:val="Table"/>
        <w:tblW w:type="pct" w:w="5000"/>
        <w:tblLayout w:type="fixed"/>
        <w:tblLook w:firstRow="0" w:lastRow="0" w:firstColumn="0" w:lastColumn="0" w:noHBand="0" w:noVBand="0" w:val="0000"/>
      </w:tblPr>
      <w:tblGrid>
        <w:gridCol w:w="7920"/>
      </w:tblGrid>
      <w:tr>
        <w:tc>
          <w:tcPr/>
          <w:bookmarkStart w:id="42" w:name="fig-validation_set_performance"/>
          <w:p>
            <w:pPr>
              <w:pStyle w:val="Compact"/>
              <w:jc w:val="center"/>
            </w:pPr>
            <w:r>
              <w:drawing>
                <wp:inline>
                  <wp:extent cx="4620126" cy="3696101"/>
                  <wp:effectExtent b="0" l="0" r="0" t="0"/>
                  <wp:docPr descr="" title="" id="40" name="Picture"/>
                  <a:graphic>
                    <a:graphicData uri="http://schemas.openxmlformats.org/drawingml/2006/picture">
                      <pic:pic>
                        <pic:nvPicPr>
                          <pic:cNvPr descr="index_files/figure-docx/fig-validation_set_performanc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Testing set prediction errors on a per-sample basis. Actual sample value set to zero and samples ranked from least to greatest actual CP concentration value</w:t>
            </w:r>
          </w:p>
          <w:bookmarkEnd w:id="42"/>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3"/>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w:t>
      </w:r>
      <w:r>
        <w:t xml:space="preserve"> </w:t>
      </w:r>
      <w:hyperlink w:anchor="tbl-hemp_provenance">
        <w:r>
          <w:rPr>
            <w:rStyle w:val="Hyperlink"/>
          </w:rPr>
          <w:t xml:space="preserve">Table 1</w:t>
        </w:r>
      </w:hyperlink>
      <w:r>
        <w:t xml:space="preserve">. However, of the 15 worst-predicted samples, nine were from Geneva, while three of the 15 best-predicted samples were from Geneva (by contrast, seven of the best-predicted and five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This research showed the promise of the use of NIRS in order to make predictions concerning CP concentration in hemp grain using PLS. Promising preprocessing methods were identified and a model was validated. Further research could refine the model by including more samples, particularly by rectifying the class imbalance between Geneva and Ithaca, identifying promising spectral regions, or by examining other predictive methods.</w:t>
      </w:r>
    </w:p>
    <w:bookmarkEnd w:id="44"/>
    <w:bookmarkEnd w:id="45"/>
    <w:bookmarkStart w:id="46"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46"/>
    <w:bookmarkStart w:id="47" w:name="conflict-of-interest"/>
    <w:p>
      <w:pPr>
        <w:pStyle w:val="Heading2"/>
      </w:pPr>
      <w:r>
        <w:t xml:space="preserve">5 CONFLICT OF INTEREST</w:t>
      </w:r>
    </w:p>
    <w:p>
      <w:pPr>
        <w:pStyle w:val="FirstParagraph"/>
      </w:pPr>
      <w:r>
        <w:t xml:space="preserve">The authors declare no conflict of interest.</w:t>
      </w:r>
    </w:p>
    <w:bookmarkEnd w:id="47"/>
    <w:bookmarkStart w:id="48" w:name="orcid"/>
    <w:p>
      <w:pPr>
        <w:pStyle w:val="Heading2"/>
      </w:pPr>
      <w:r>
        <w:t xml:space="preserve">6 ORCID</w:t>
      </w:r>
    </w:p>
    <w:bookmarkEnd w:id="48"/>
    <w:bookmarkStart w:id="49" w:name="supplemental-material"/>
    <w:p>
      <w:pPr>
        <w:pStyle w:val="Heading2"/>
      </w:pPr>
      <w:r>
        <w:t xml:space="preserve">7 SUPPLEMENTAL MATERIAL</w:t>
      </w:r>
    </w:p>
    <w:bookmarkEnd w:id="49"/>
    <w:bookmarkStart w:id="50" w:name="optional-sections"/>
    <w:p>
      <w:pPr>
        <w:pStyle w:val="Heading2"/>
      </w:pPr>
      <w:r>
        <w:t xml:space="preserve">8 OPTIONAL SECTIONS</w:t>
      </w:r>
    </w:p>
    <w:bookmarkEnd w:id="50"/>
    <w:bookmarkStart w:id="51" w:name="references"/>
    <w:p>
      <w:pPr>
        <w:pStyle w:val="Heading2"/>
      </w:pPr>
      <w:r>
        <w:t xml:space="preserve">9 REFERENCES</w:t>
      </w:r>
    </w:p>
    <w:bookmarkEnd w:id="51"/>
    <w:bookmarkStart w:id="112" w:name="figures-and-tables"/>
    <w:p>
      <w:pPr>
        <w:pStyle w:val="Heading2"/>
      </w:pPr>
      <w:r>
        <w:t xml:space="preserve">10 FIGURES AND TABLES</w:t>
      </w:r>
    </w:p>
    <w:bookmarkStart w:id="111" w:name="refs"/>
    <w:bookmarkStart w:id="53"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2">
        <w:r>
          <w:rPr>
            <w:rStyle w:val="Hyperlink"/>
          </w:rPr>
          <w:t xml:space="preserve">https://doi.org/10.1366/0003702894202201</w:t>
        </w:r>
      </w:hyperlink>
    </w:p>
    <w:bookmarkEnd w:id="53"/>
    <w:bookmarkStart w:id="55" w:name="ref-datatable"/>
    <w:p>
      <w:pPr>
        <w:pStyle w:val="Bibliography"/>
      </w:pPr>
      <w:r>
        <w:t xml:space="preserve">Barrett, T., Dowle, M., Srinivasan, A., Gorecki, J., Chirico, M., Hocking, T., &amp; Schwendinger, B.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4">
        <w:r>
          <w:rPr>
            <w:rStyle w:val="Hyperlink"/>
          </w:rPr>
          <w:t xml:space="preserve">https://CRAN.R-project.org/package=data.table</w:t>
        </w:r>
      </w:hyperlink>
    </w:p>
    <w:bookmarkEnd w:id="55"/>
    <w:bookmarkStart w:id="57"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56">
        <w:r>
          <w:rPr>
            <w:rStyle w:val="Hyperlink"/>
          </w:rPr>
          <w:t xml:space="preserve">https://doi.org/10.3390/plants13010111</w:t>
        </w:r>
      </w:hyperlink>
    </w:p>
    <w:bookmarkEnd w:id="57"/>
    <w:bookmarkStart w:id="59"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58">
        <w:r>
          <w:rPr>
            <w:rStyle w:val="Hyperlink"/>
          </w:rPr>
          <w:t xml:space="preserve">https://doi.org/10.1016/j.trac.2010.05.006</w:t>
        </w:r>
      </w:hyperlink>
    </w:p>
    <w:bookmarkEnd w:id="59"/>
    <w:bookmarkStart w:id="61"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0">
        <w:r>
          <w:rPr>
            <w:rStyle w:val="Hyperlink"/>
          </w:rPr>
          <w:t xml:space="preserve">https://doi.org/10.1007/s10681-004-4811-6</w:t>
        </w:r>
      </w:hyperlink>
    </w:p>
    <w:bookmarkEnd w:id="61"/>
    <w:bookmarkStart w:id="63"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2">
        <w:r>
          <w:rPr>
            <w:rStyle w:val="Hyperlink"/>
          </w:rPr>
          <w:t xml:space="preserve">https://doi.org/10.3390/s22103710</w:t>
        </w:r>
      </w:hyperlink>
    </w:p>
    <w:bookmarkEnd w:id="63"/>
    <w:bookmarkStart w:id="65"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4">
        <w:r>
          <w:rPr>
            <w:rStyle w:val="Hyperlink"/>
          </w:rPr>
          <w:t xml:space="preserve">https://doi.org/10.1007/978-981-16-8778-5_6</w:t>
        </w:r>
      </w:hyperlink>
    </w:p>
    <w:bookmarkEnd w:id="65"/>
    <w:bookmarkStart w:id="67"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6">
        <w:r>
          <w:rPr>
            <w:rStyle w:val="Hyperlink"/>
          </w:rPr>
          <w:t xml:space="preserve">https://doi.org/10.1177/0967033519848296</w:t>
        </w:r>
      </w:hyperlink>
    </w:p>
    <w:bookmarkEnd w:id="67"/>
    <w:bookmarkStart w:id="69"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68">
        <w:r>
          <w:rPr>
            <w:rStyle w:val="Hyperlink"/>
          </w:rPr>
          <w:t xml:space="preserve">https://doi.org/10.3390/plants11162146</w:t>
        </w:r>
      </w:hyperlink>
    </w:p>
    <w:bookmarkEnd w:id="69"/>
    <w:bookmarkStart w:id="71"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0">
        <w:r>
          <w:rPr>
            <w:rStyle w:val="Hyperlink"/>
          </w:rPr>
          <w:t xml:space="preserve">https://doi.org/10.3389/fpls.2019.01509</w:t>
        </w:r>
      </w:hyperlink>
    </w:p>
    <w:bookmarkEnd w:id="71"/>
    <w:bookmarkStart w:id="73"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2">
        <w:r>
          <w:rPr>
            <w:rStyle w:val="Hyperlink"/>
          </w:rPr>
          <w:t xml:space="preserve">https://doi.org/10.3390/foods9101340</w:t>
        </w:r>
      </w:hyperlink>
    </w:p>
    <w:bookmarkEnd w:id="73"/>
    <w:bookmarkStart w:id="75" w:name="ref-caret"/>
    <w:p>
      <w:pPr>
        <w:pStyle w:val="Bibliography"/>
      </w:pPr>
      <w:r>
        <w:t xml:space="preserve">Kuhn, M. (2021).</w:t>
      </w:r>
      <w:r>
        <w:t xml:space="preserve"> </w:t>
      </w:r>
      <w:r>
        <w:rPr>
          <w:i/>
          <w:iCs/>
        </w:rPr>
        <w:t xml:space="preserve">caret</w:t>
      </w:r>
      <w:r>
        <w:rPr>
          <w:i/>
          <w:iCs/>
        </w:rPr>
        <w:t xml:space="preserve">: Classification and regression training</w:t>
      </w:r>
      <w:r>
        <w:t xml:space="preserve">.</w:t>
      </w:r>
      <w:r>
        <w:t xml:space="preserve"> </w:t>
      </w:r>
      <w:hyperlink r:id="rId74">
        <w:r>
          <w:rPr>
            <w:rStyle w:val="Hyperlink"/>
          </w:rPr>
          <w:t xml:space="preserve">https://CRAN.R-project.org/package=caret</w:t>
        </w:r>
      </w:hyperlink>
    </w:p>
    <w:bookmarkEnd w:id="75"/>
    <w:bookmarkStart w:id="77"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6">
        <w:r>
          <w:rPr>
            <w:rStyle w:val="Hyperlink"/>
          </w:rPr>
          <w:t xml:space="preserve">https://www.tidymodels.org</w:t>
        </w:r>
      </w:hyperlink>
    </w:p>
    <w:bookmarkEnd w:id="77"/>
    <w:bookmarkStart w:id="79"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78">
        <w:r>
          <w:rPr>
            <w:rStyle w:val="Hyperlink"/>
          </w:rPr>
          <w:t xml:space="preserve">https://CRAN.R-project.org/package=emmeans</w:t>
        </w:r>
      </w:hyperlink>
    </w:p>
    <w:bookmarkEnd w:id="79"/>
    <w:bookmarkStart w:id="81"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0">
        <w:r>
          <w:rPr>
            <w:rStyle w:val="Hyperlink"/>
          </w:rPr>
          <w:t xml:space="preserve">https://doi.org/10.1016/j.vibspec.2020.103060</w:t>
        </w:r>
      </w:hyperlink>
    </w:p>
    <w:bookmarkEnd w:id="81"/>
    <w:bookmarkStart w:id="83" w:name="ref-pls"/>
    <w:p>
      <w:pPr>
        <w:pStyle w:val="Bibliography"/>
      </w:pPr>
      <w:r>
        <w:t xml:space="preserve">Liland, K. H., Mevik, B.-H., &amp; Wehrens, R. (2021).</w:t>
      </w:r>
      <w:r>
        <w:t xml:space="preserve"> </w:t>
      </w:r>
      <w:r>
        <w:rPr>
          <w:i/>
          <w:iCs/>
        </w:rPr>
        <w:t xml:space="preserve">pls</w:t>
      </w:r>
      <w:r>
        <w:rPr>
          <w:i/>
          <w:iCs/>
        </w:rPr>
        <w:t xml:space="preserve">: Partial least squares and principal component regression</w:t>
      </w:r>
      <w:r>
        <w:t xml:space="preserve">.</w:t>
      </w:r>
      <w:r>
        <w:t xml:space="preserve"> </w:t>
      </w:r>
      <w:hyperlink r:id="rId82">
        <w:r>
          <w:rPr>
            <w:rStyle w:val="Hyperlink"/>
          </w:rPr>
          <w:t xml:space="preserve">https://CRAN.R-project.org/package=pls</w:t>
        </w:r>
      </w:hyperlink>
    </w:p>
    <w:bookmarkEnd w:id="83"/>
    <w:bookmarkStart w:id="85" w:name="ref-liu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84">
        <w:r>
          <w:rPr>
            <w:rStyle w:val="Hyperlink"/>
          </w:rPr>
          <w:t xml:space="preserve">https://doi.org/10.1111/1750-3841.16467</w:t>
        </w:r>
      </w:hyperlink>
    </w:p>
    <w:bookmarkEnd w:id="85"/>
    <w:bookmarkStart w:id="87"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6">
        <w:r>
          <w:rPr>
            <w:rStyle w:val="Hyperlink"/>
          </w:rPr>
          <w:t xml:space="preserve">https://doi.org/10.1139/cjss-2017-0109</w:t>
        </w:r>
      </w:hyperlink>
    </w:p>
    <w:bookmarkEnd w:id="87"/>
    <w:bookmarkStart w:id="89"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88">
        <w:r>
          <w:rPr>
            <w:rStyle w:val="Hyperlink"/>
          </w:rPr>
          <w:t xml:space="preserve">https://doi.org/10.1016/j.dsp.2004.09.008</w:t>
        </w:r>
      </w:hyperlink>
    </w:p>
    <w:bookmarkEnd w:id="89"/>
    <w:bookmarkStart w:id="91"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0">
        <w:r>
          <w:rPr>
            <w:rStyle w:val="Hyperlink"/>
          </w:rPr>
          <w:t xml:space="preserve">https://doi.org/10.1007/b98882</w:t>
        </w:r>
      </w:hyperlink>
    </w:p>
    <w:bookmarkEnd w:id="91"/>
    <w:bookmarkStart w:id="93" w:name="ref-nlme2024"/>
    <w:p>
      <w:pPr>
        <w:pStyle w:val="Bibliography"/>
      </w:pPr>
      <w:r>
        <w:t xml:space="preserve">Pinheiro, J., Bates, D., &amp; R Core Team. (2024).</w:t>
      </w:r>
      <w:r>
        <w:t xml:space="preserve"> </w:t>
      </w:r>
      <w:r>
        <w:rPr>
          <w:i/>
          <w:iCs/>
        </w:rPr>
        <w:t xml:space="preserve">nlme</w:t>
      </w:r>
      <w:r>
        <w:rPr>
          <w:i/>
          <w:iCs/>
        </w:rPr>
        <w:t xml:space="preserve">: Linear and nonlinear mixed effects models</w:t>
      </w:r>
      <w:r>
        <w:t xml:space="preserve">.</w:t>
      </w:r>
      <w:r>
        <w:t xml:space="preserve"> </w:t>
      </w:r>
      <w:hyperlink r:id="rId92">
        <w:r>
          <w:rPr>
            <w:rStyle w:val="Hyperlink"/>
          </w:rPr>
          <w:t xml:space="preserve">https://CRAN.R-project.org/package=nlme</w:t>
        </w:r>
      </w:hyperlink>
    </w:p>
    <w:bookmarkEnd w:id="93"/>
    <w:bookmarkStart w:id="95"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4">
        <w:r>
          <w:rPr>
            <w:rStyle w:val="Hyperlink"/>
          </w:rPr>
          <w:t xml:space="preserve">https://www.R-project.org/</w:t>
        </w:r>
      </w:hyperlink>
    </w:p>
    <w:bookmarkEnd w:id="95"/>
    <w:bookmarkStart w:id="97"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6">
        <w:r>
          <w:rPr>
            <w:rStyle w:val="Hyperlink"/>
          </w:rPr>
          <w:t xml:space="preserve">https://doi.org/10.1007/s11119-023-10091-z</w:t>
        </w:r>
      </w:hyperlink>
    </w:p>
    <w:bookmarkEnd w:id="97"/>
    <w:bookmarkStart w:id="99"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98">
        <w:r>
          <w:rPr>
            <w:rStyle w:val="Hyperlink"/>
          </w:rPr>
          <w:t xml:space="preserve">https://doi.org/10.1080/00103624.2012.641844</w:t>
        </w:r>
      </w:hyperlink>
    </w:p>
    <w:bookmarkEnd w:id="99"/>
    <w:bookmarkStart w:id="101"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0">
        <w:r>
          <w:rPr>
            <w:rStyle w:val="Hyperlink"/>
          </w:rPr>
          <w:t xml:space="preserve">https://doi.org/10.1016/j.trac.2009.07.007</w:t>
        </w:r>
      </w:hyperlink>
    </w:p>
    <w:bookmarkEnd w:id="101"/>
    <w:bookmarkStart w:id="102"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2"/>
    <w:bookmarkStart w:id="103"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3"/>
    <w:bookmarkStart w:id="105"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4">
        <w:r>
          <w:rPr>
            <w:rStyle w:val="Hyperlink"/>
          </w:rPr>
          <w:t xml:space="preserve">https://CRAN.R-project.org/package=skimr</w:t>
        </w:r>
      </w:hyperlink>
    </w:p>
    <w:bookmarkEnd w:id="105"/>
    <w:bookmarkStart w:id="107"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6">
        <w:r>
          <w:rPr>
            <w:rStyle w:val="Hyperlink"/>
          </w:rPr>
          <w:t xml:space="preserve">https://doi.org/10.21105/joss.01686</w:t>
        </w:r>
      </w:hyperlink>
    </w:p>
    <w:bookmarkEnd w:id="107"/>
    <w:bookmarkStart w:id="108"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08"/>
    <w:bookmarkStart w:id="110"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09">
        <w:r>
          <w:rPr>
            <w:rStyle w:val="Hyperlink"/>
          </w:rPr>
          <w:t xml:space="preserve">https://doi.org/10.1016/S0169-7439(01)00155-1</w:t>
        </w:r>
      </w:hyperlink>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74" Target="https://CRAN.R-project.org/package=caret" TargetMode="External" /><Relationship Type="http://schemas.openxmlformats.org/officeDocument/2006/relationships/hyperlink" Id="rId54" Target="https://CRAN.R-project.org/package=data.table" TargetMode="External" /><Relationship Type="http://schemas.openxmlformats.org/officeDocument/2006/relationships/hyperlink" Id="rId78" Target="https://CRAN.R-project.org/package=emmeans" TargetMode="External" /><Relationship Type="http://schemas.openxmlformats.org/officeDocument/2006/relationships/hyperlink" Id="rId92" Target="https://CRAN.R-project.org/package=nlme" TargetMode="External" /><Relationship Type="http://schemas.openxmlformats.org/officeDocument/2006/relationships/hyperlink" Id="rId82" Target="https://CRAN.R-project.org/package=pls" TargetMode="External" /><Relationship Type="http://schemas.openxmlformats.org/officeDocument/2006/relationships/hyperlink" Id="rId104" Target="https://CRAN.R-project.org/package=skimr" TargetMode="External" /><Relationship Type="http://schemas.openxmlformats.org/officeDocument/2006/relationships/hyperlink" Id="rId64" Target="https://doi.org/10.1007/978-981-16-8778-5_6" TargetMode="External" /><Relationship Type="http://schemas.openxmlformats.org/officeDocument/2006/relationships/hyperlink" Id="rId90" Target="https://doi.org/10.1007/b98882" TargetMode="External" /><Relationship Type="http://schemas.openxmlformats.org/officeDocument/2006/relationships/hyperlink" Id="rId60" Target="https://doi.org/10.1007/s10681-004-4811-6" TargetMode="External" /><Relationship Type="http://schemas.openxmlformats.org/officeDocument/2006/relationships/hyperlink" Id="rId96" Target="https://doi.org/10.1007/s11119-023-10091-z" TargetMode="External" /><Relationship Type="http://schemas.openxmlformats.org/officeDocument/2006/relationships/hyperlink" Id="rId109" Target="https://doi.org/10.1016/S0169-7439(01)00155-1" TargetMode="External" /><Relationship Type="http://schemas.openxmlformats.org/officeDocument/2006/relationships/hyperlink" Id="rId88" Target="https://doi.org/10.1016/j.dsp.2004.09.008" TargetMode="External" /><Relationship Type="http://schemas.openxmlformats.org/officeDocument/2006/relationships/hyperlink" Id="rId100" Target="https://doi.org/10.1016/j.trac.2009.07.007" TargetMode="External" /><Relationship Type="http://schemas.openxmlformats.org/officeDocument/2006/relationships/hyperlink" Id="rId58" Target="https://doi.org/10.1016/j.trac.2010.05.006" TargetMode="External" /><Relationship Type="http://schemas.openxmlformats.org/officeDocument/2006/relationships/hyperlink" Id="rId80" Target="https://doi.org/10.1016/j.vibspec.2020.103060" TargetMode="External" /><Relationship Type="http://schemas.openxmlformats.org/officeDocument/2006/relationships/hyperlink" Id="rId98" Target="https://doi.org/10.1080/00103624.2012.641844" TargetMode="External" /><Relationship Type="http://schemas.openxmlformats.org/officeDocument/2006/relationships/hyperlink" Id="rId84" Target="https://doi.org/10.1111/1750-3841.16467" TargetMode="External" /><Relationship Type="http://schemas.openxmlformats.org/officeDocument/2006/relationships/hyperlink" Id="rId86" Target="https://doi.org/10.1139/cjss-2017-0109" TargetMode="External" /><Relationship Type="http://schemas.openxmlformats.org/officeDocument/2006/relationships/hyperlink" Id="rId66" Target="https://doi.org/10.1177/0967033519848296" TargetMode="External" /><Relationship Type="http://schemas.openxmlformats.org/officeDocument/2006/relationships/hyperlink" Id="rId52" Target="https://doi.org/10.1366/0003702894202201" TargetMode="External" /><Relationship Type="http://schemas.openxmlformats.org/officeDocument/2006/relationships/hyperlink" Id="rId106" Target="https://doi.org/10.21105/joss.01686" TargetMode="External" /><Relationship Type="http://schemas.openxmlformats.org/officeDocument/2006/relationships/hyperlink" Id="rId70" Target="https://doi.org/10.3389/fpls.2019.01509" TargetMode="External" /><Relationship Type="http://schemas.openxmlformats.org/officeDocument/2006/relationships/hyperlink" Id="rId72" Target="https://doi.org/10.3390/foods9101340" TargetMode="External" /><Relationship Type="http://schemas.openxmlformats.org/officeDocument/2006/relationships/hyperlink" Id="rId68"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2"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4" Target="https://www.R-project.org/" TargetMode="External" /><Relationship Type="http://schemas.openxmlformats.org/officeDocument/2006/relationships/hyperlink" Id="rId76"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4" Target="https://CRAN.R-project.org/package=caret" TargetMode="External" /><Relationship Type="http://schemas.openxmlformats.org/officeDocument/2006/relationships/hyperlink" Id="rId54" Target="https://CRAN.R-project.org/package=data.table" TargetMode="External" /><Relationship Type="http://schemas.openxmlformats.org/officeDocument/2006/relationships/hyperlink" Id="rId78" Target="https://CRAN.R-project.org/package=emmeans" TargetMode="External" /><Relationship Type="http://schemas.openxmlformats.org/officeDocument/2006/relationships/hyperlink" Id="rId92" Target="https://CRAN.R-project.org/package=nlme" TargetMode="External" /><Relationship Type="http://schemas.openxmlformats.org/officeDocument/2006/relationships/hyperlink" Id="rId82" Target="https://CRAN.R-project.org/package=pls" TargetMode="External" /><Relationship Type="http://schemas.openxmlformats.org/officeDocument/2006/relationships/hyperlink" Id="rId104" Target="https://CRAN.R-project.org/package=skimr" TargetMode="External" /><Relationship Type="http://schemas.openxmlformats.org/officeDocument/2006/relationships/hyperlink" Id="rId64" Target="https://doi.org/10.1007/978-981-16-8778-5_6" TargetMode="External" /><Relationship Type="http://schemas.openxmlformats.org/officeDocument/2006/relationships/hyperlink" Id="rId90" Target="https://doi.org/10.1007/b98882" TargetMode="External" /><Relationship Type="http://schemas.openxmlformats.org/officeDocument/2006/relationships/hyperlink" Id="rId60" Target="https://doi.org/10.1007/s10681-004-4811-6" TargetMode="External" /><Relationship Type="http://schemas.openxmlformats.org/officeDocument/2006/relationships/hyperlink" Id="rId96" Target="https://doi.org/10.1007/s11119-023-10091-z" TargetMode="External" /><Relationship Type="http://schemas.openxmlformats.org/officeDocument/2006/relationships/hyperlink" Id="rId109" Target="https://doi.org/10.1016/S0169-7439(01)00155-1" TargetMode="External" /><Relationship Type="http://schemas.openxmlformats.org/officeDocument/2006/relationships/hyperlink" Id="rId88" Target="https://doi.org/10.1016/j.dsp.2004.09.008" TargetMode="External" /><Relationship Type="http://schemas.openxmlformats.org/officeDocument/2006/relationships/hyperlink" Id="rId100" Target="https://doi.org/10.1016/j.trac.2009.07.007" TargetMode="External" /><Relationship Type="http://schemas.openxmlformats.org/officeDocument/2006/relationships/hyperlink" Id="rId58" Target="https://doi.org/10.1016/j.trac.2010.05.006" TargetMode="External" /><Relationship Type="http://schemas.openxmlformats.org/officeDocument/2006/relationships/hyperlink" Id="rId80" Target="https://doi.org/10.1016/j.vibspec.2020.103060" TargetMode="External" /><Relationship Type="http://schemas.openxmlformats.org/officeDocument/2006/relationships/hyperlink" Id="rId98" Target="https://doi.org/10.1080/00103624.2012.641844" TargetMode="External" /><Relationship Type="http://schemas.openxmlformats.org/officeDocument/2006/relationships/hyperlink" Id="rId84" Target="https://doi.org/10.1111/1750-3841.16467" TargetMode="External" /><Relationship Type="http://schemas.openxmlformats.org/officeDocument/2006/relationships/hyperlink" Id="rId86" Target="https://doi.org/10.1139/cjss-2017-0109" TargetMode="External" /><Relationship Type="http://schemas.openxmlformats.org/officeDocument/2006/relationships/hyperlink" Id="rId66" Target="https://doi.org/10.1177/0967033519848296" TargetMode="External" /><Relationship Type="http://schemas.openxmlformats.org/officeDocument/2006/relationships/hyperlink" Id="rId52" Target="https://doi.org/10.1366/0003702894202201" TargetMode="External" /><Relationship Type="http://schemas.openxmlformats.org/officeDocument/2006/relationships/hyperlink" Id="rId106" Target="https://doi.org/10.21105/joss.01686" TargetMode="External" /><Relationship Type="http://schemas.openxmlformats.org/officeDocument/2006/relationships/hyperlink" Id="rId70" Target="https://doi.org/10.3389/fpls.2019.01509" TargetMode="External" /><Relationship Type="http://schemas.openxmlformats.org/officeDocument/2006/relationships/hyperlink" Id="rId72" Target="https://doi.org/10.3390/foods9101340" TargetMode="External" /><Relationship Type="http://schemas.openxmlformats.org/officeDocument/2006/relationships/hyperlink" Id="rId68"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2"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4" Target="https://www.R-project.org/" TargetMode="External" /><Relationship Type="http://schemas.openxmlformats.org/officeDocument/2006/relationships/hyperlink" Id="rId76"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2024-10-02T19:58:51Z</dcterms:created>
  <dcterms:modified xsi:type="dcterms:W3CDTF">2024-10-02T19:58:51Z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prodiction.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non-desctructive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csl">
    <vt:lpwstr>apa.csl</vt:lpwstr>
  </property>
  <property fmtid="{D5CDD505-2E9C-101B-9397-08002B2CF9AE}" pid="12" name="date">
    <vt:lpwstr>2024-10-02</vt:lpwstr>
  </property>
  <property fmtid="{D5CDD505-2E9C-101B-9397-08002B2CF9AE}" pid="13" name="execute">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A model was developed to predict percent crude protein in hemp grain using near infrared spectroscopy.</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