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Percentage</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V.</w:t>
      </w:r>
      <w:r>
        <w:t xml:space="preserve"> </w:t>
      </w:r>
      <w:r>
        <w:t xml:space="preserve">Crawford</w:t>
      </w:r>
    </w:p>
    <w:p>
      <w:pPr>
        <w:pStyle w:val="Author"/>
      </w:pPr>
      <w:r>
        <w:t xml:space="preserve">Jamie</w:t>
      </w:r>
      <w:r>
        <w:t xml:space="preserve"> </w:t>
      </w:r>
      <w:r>
        <w:t xml:space="preserve">Crawford</w:t>
      </w:r>
    </w:p>
    <w:p>
      <w:pPr>
        <w:pStyle w:val="Author"/>
      </w:pPr>
      <w:r>
        <w:t xml:space="preserve">Julie</w:t>
      </w:r>
      <w:r>
        <w:t xml:space="preserve"> </w:t>
      </w:r>
      <w:r>
        <w:t xml:space="preserve">L.</w:t>
      </w:r>
      <w:r>
        <w:t xml:space="preserve"> </w:t>
      </w:r>
      <w:r>
        <w:t xml:space="preserve">Hansen</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2024-04-02</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Callaway, 2004; Ely &amp; Fike, 2022)</w:t>
      </w:r>
      <w:r>
        <w:t xml:space="preserve">. Crude protein (CP) is often used as a proxy for the direct measurement of protein concentration and consists of the multiplication of nitrogen concentration by a conversion factor because measuring nitrogen concentration is relatively simple</w:t>
      </w:r>
      <w:r>
        <w:t xml:space="preserve"> </w:t>
      </w:r>
      <w:r>
        <w:t xml:space="preserve">(Hayes, 2020)</w:t>
      </w:r>
      <w:r>
        <w:t xml:space="preserve">.</w:t>
      </w:r>
    </w:p>
    <w:p>
      <w:pPr>
        <w:pStyle w:val="BodyText"/>
      </w:pPr>
      <w:r>
        <w:t xml:space="preserve">Near-infrared spectroscopy (NIRS) technology is rapid, non-destructive, and cheap. It consists of the measurement of NIR radiation reflected and absorbed from a sample (the spectra) and the relation of the spectra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components that maximize covariance between predictor and response variables. PLSR uses some number of components, often selected via cross-validation, in order to fit the regression model and is commonly used in spectroscopy because it tends to work well with highly-correlated, noisy spectral data</w:t>
      </w:r>
      <w:r>
        <w:t xml:space="preserve"> </w:t>
      </w:r>
      <w:r>
        <w:t xml:space="preserve">(Wold et al., 2001)</w:t>
      </w:r>
      <w:r>
        <w:t xml:space="preserve">.</w:t>
      </w:r>
    </w:p>
    <w:p>
      <w:pPr>
        <w:pStyle w:val="BodyText"/>
      </w:pPr>
      <w:r>
        <w:t xml:space="preserve">A NIRS-scanned sample of undamaged grain may used for other purposes besides its scan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rapidly identify high CP hemp germplasm, enabling the screening of more germplam as grain, before planting to the field, and thus enabling the more efficient development of high CP hemp grain cultivars.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testing sets. Within each tertile, 75% of the samples were randomly assigned to the calibration set and the remaining 25% were assigned to the testing set. For each calibration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testing sets, as described above. Spectral data from those data sets were transformed by each of the following methods: 1) first derivative, 2) Savitzky-Golay (SG) using the first derivative, third order polynomial, and a window of size 5, 3) gap-segment derivative using the first derivative, a gap of eleven, and a segment size of 5, 4) standard normal variate (SNV), 5) standard normal variate following Savitzky-Golay (SNV-SG)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models were fit and predictions were made on the corresponding validation set (since there were 8 preprocessing methods, 8 separate models were fit for each of the 100 sets. The relationship between the predicted and actual values of the test set were calculated via RMSE, coefficient of determination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w:t>
      </w:r>
      <w:r>
        <w:t xml:space="preserve">good</w:t>
      </w:r>
      <w:r>
        <w:t xml:space="preserve">”</w:t>
      </w:r>
      <w:r>
        <w:t xml:space="preserve"> </w:t>
      </w:r>
      <w:r>
        <w:t xml:space="preserve">model varies depending upon the reference consulted, but for simplicity’s sake we searched for a model with R</w:t>
      </w:r>
      <w:r>
        <w:rPr>
          <w:vertAlign w:val="superscript"/>
        </w:rPr>
        <w:t xml:space="preserve">2</w:t>
      </w:r>
      <w:r>
        <w:t xml:space="preserve"> </w:t>
      </w:r>
      <w:r>
        <w:t xml:space="preserve">&gt; 0.80, an RPD greater than 2.5 and ideally greater than 3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quantitative prediction), and an RPIQ greater than 2.3 but ideally greater than 4.1.</w:t>
      </w:r>
      <w:r>
        <w:t xml:space="preserve"> </w:t>
      </w:r>
      <w:r>
        <w:t xml:space="preserve">(Chadalavada et al., 2022; Luce et al., 2017; Rawal et al., 2024)</w:t>
      </w:r>
      <w:r>
        <w:t xml:space="preserve">.</w:t>
      </w:r>
    </w:p>
    <w:p>
      <w:pPr>
        <w:pStyle w:val="BodyText"/>
      </w:pPr>
      <w:r>
        <w:t xml:space="preserve">Analyses of variance (ANOVA) were performed for each of these metrics in order to compare the preprocessing methods. For each ANOVA, each data set was considered as a subject and different variances were allowed for each preprocessing method. Once the most promising preprocessing method was identified, 1000 more data sets were created and analyzed via that method and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 RMSE averaged 1.4% lower, while R</w:t>
      </w:r>
      <w:r>
        <w:rPr>
          <w:vertAlign w:val="superscript"/>
        </w:rPr>
        <w:t xml:space="preserve">2</w:t>
      </w:r>
      <w:r>
        <w:t xml:space="preserve">, RPD, and RPIQ averaged 0.4%, 2.1%, and 2.4% higher respectively than the next best preprocessing method (SG in both cases), but the differences between the best and second best methods by metric were only statistically significant at</w:t>
      </w:r>
      <w:r>
        <w:t xml:space="preserve"> </w:t>
      </w:r>
      <m:oMath>
        <m:r>
          <m:t>α</m:t>
        </m:r>
      </m:oMath>
      <w:r>
        <w:t xml:space="preserve"> </w:t>
      </w:r>
      <w:r>
        <w:t xml:space="preserve">&lt;0.05 for RPD andRPIQ. There is a long history of using RPD to evaluate chemometric models although the statistic has been criticized as inadequately reflecting the distribution of skewed populations, a situation for which RPIQ was the more modern successor</w:t>
      </w:r>
      <w:r>
        <w:t xml:space="preserve"> </w:t>
      </w:r>
      <w:r>
        <w:t xml:space="preserve">(Bellon-Maurel et al., 2010)</w:t>
      </w:r>
      <w:r>
        <w:t xml:space="preserve">. Here the data were somewhat but not heavily skewed and RPD and RPIQ metrics were in agreement. The superiority of SNV-SG by these metrics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These results are not surprising. SNV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grain.</w:t>
      </w:r>
    </w:p>
    <w:p>
      <w:pPr>
        <w:pStyle w:val="BodyText"/>
      </w:pPr>
      <w:r>
        <w:t xml:space="preserve">The preprocessing methods examined represent a portion of those available. As well, these methods tend to have a number of user-adjustable parameters whose various permutations were not tested. This subset of preprocessing methods and parameters nonetheless contained substantial variations in model quality, demonstrating the importance of selecting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1 to 7, with the inclusion of each additional component being associated with a decrease in RMSE of 5-12% . From 8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models performances on the test sets were similar, but not identical to, that obtained during the initial comparison of preprocessing methods. The final models’ mean RMSE was 1.03, R</w:t>
      </w:r>
      <w:r>
        <w:rPr>
          <w:vertAlign w:val="superscript"/>
        </w:rPr>
        <w:t xml:space="preserve">2</w:t>
      </w:r>
      <w:r>
        <w:t xml:space="preserve"> </w:t>
      </w:r>
      <w:r>
        <w:t xml:space="preserve">was 0.83, RPD was 2.44, and RPIQ was 3.89. Five percent of the models were excellent by both metrics, with RPD &gt; 3 and RPIQ &gt; 4.1, while an additional 11% of the models were</w:t>
      </w:r>
      <w:r>
        <w:t xml:space="preserve"> </w:t>
      </w:r>
      <w:r>
        <w:t xml:space="preserve">“</w:t>
      </w:r>
      <w:r>
        <w:t xml:space="preserve">good</w:t>
      </w:r>
      <w:r>
        <w:t xml:space="preserve">”</w:t>
      </w:r>
      <w:r>
        <w:t xml:space="preserve"> </w:t>
      </w:r>
      <w:r>
        <w:t xml:space="preserve">by both metrics (RPD range from 2.5 - 3.0, RPIQ range from 2.3 - 4.1). Forty-nine percent of the models had the ability to approximate quantitative prediction (RPD range from 2.0 - 2.5), and 9% of the models were able to distinguish between higher and lower CP values (RPD range from 1.5 - 2.0). Therefore, 74% of the models generated here had, at minimum, the ability to distinguish between high and low values with with two thirds of them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 by calculating the difference between the actual and predicted values for the samples in the test sets</w:t>
      </w:r>
      <w:r>
        <w:t xml:space="preserve"> </w:t>
      </w:r>
      <w:hyperlink w:anchor="fig-validation_set_performance">
        <w:r>
          <w:rPr>
            <w:rStyle w:val="Hyperlink"/>
          </w:rPr>
          <w:t xml:space="preserve">Figure 3</w:t>
        </w:r>
      </w:hyperlink>
      <w:r>
        <w:t xml:space="preserve"> </w:t>
      </w:r>
      <w:r>
        <w:t xml:space="preserve">. A linear model was fit considering the mean estimated error for each sample where that sample was in the test set as compared to the sample’s actual value. The models overestimated %CP by approximately 0.5 % in the lowest tertile and underestimated %CP by -0.01 % and -0.41 % in the middle and highest tertile, respectively. The variance of the errors did not increase appreciably as %CP increased.</w:t>
      </w:r>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SourceCode"/>
      </w:pPr>
      <w:r>
        <w:rPr>
          <w:rStyle w:val="VerbatimChar"/>
        </w:rPr>
        <w:t xml:space="preserve">                        loc2</w:t>
      </w:r>
      <w:r>
        <w:br/>
      </w:r>
      <w:r>
        <w:rPr>
          <w:rStyle w:val="VerbatimChar"/>
        </w:rPr>
        <w:t xml:space="preserve">grouping                 freeville geneva ithaca</w:t>
      </w:r>
      <w:r>
        <w:br/>
      </w:r>
      <w:r>
        <w:rPr>
          <w:rStyle w:val="VerbatimChar"/>
        </w:rPr>
        <w:t xml:space="preserve">  best_predicted_10pct           5      3      7</w:t>
      </w:r>
      <w:r>
        <w:br/>
      </w:r>
      <w:r>
        <w:rPr>
          <w:rStyle w:val="VerbatimChar"/>
        </w:rPr>
        <w:t xml:space="preserve">  worst_predicted_10_pct         1      9      5</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15 (~10%) best and worst predicted samples as measured by the mean absolute error of prediction were identified and their backgrounds examined. Overall, half of the samples in the data set came from Ithaca, NY (</w:t>
      </w:r>
      <w:r>
        <w:t xml:space="preserve">“</w:t>
      </w:r>
      <w:r>
        <w:t xml:space="preserve">Ithaca</w:t>
      </w:r>
      <w:r>
        <w:t xml:space="preserve">”</w:t>
      </w:r>
      <w:r>
        <w:t xml:space="preserve">), while 28% were collected from Geneva, NY (</w:t>
      </w:r>
      <w:r>
        <w:t xml:space="preserve">“</w:t>
      </w:r>
      <w:r>
        <w:t xml:space="preserve">Geneva</w:t>
      </w:r>
      <w:r>
        <w:t xml:space="preserve">”</w:t>
      </w:r>
      <w:r>
        <w:t xml:space="preserve">)</w:t>
      </w:r>
      <w:r>
        <w:t xml:space="preserve"> </w:t>
      </w:r>
      <w:hyperlink w:anchor="tbl-hemp_provenance">
        <w:r>
          <w:rPr>
            <w:rStyle w:val="Hyperlink"/>
          </w:rPr>
          <w:t xml:space="preserve">Table 3</w:t>
        </w:r>
      </w:hyperlink>
      <w:r>
        <w:t xml:space="preserve">. However, of the 15 worst-predicted samples, 9 were from Geneva, while 3 of the 15 best-predicted samples were from Geneva (by contrast, 7 of the best predicted and 5 of the worst predicted samples came from Ithaca). Overall, samples from Geneva had the highest mean absolute error of prediction, 38% greater than samples from Ithaca.</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particularly by rectifying the class imbalance between Geneva and Ithaca, identifying promising spectral regions,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jc w:val="left"/>
        <w:tblLayout w:type="fixed"/>
        <w:tblLook w:firstRow="0" w:lastRow="0" w:firstColumn="0" w:lastColumn="0" w:noHBand="0" w:noVBand="0" w:val="0000"/>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8" w:name="fig-spatial-plot"/>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31" w:name="references-1"/>
    <w:p>
      <w:pPr>
        <w:pStyle w:val="Heading2"/>
      </w:pPr>
      <w:r>
        <w:t xml:space="preserve">References</w:t>
      </w:r>
    </w:p>
    <w:bookmarkStart w:id="130" w:name="refs"/>
    <w:bookmarkStart w:id="74"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73">
        <w:r>
          <w:rPr>
            <w:rStyle w:val="Hyperlink"/>
          </w:rPr>
          <w:t xml:space="preserve">https://doi.org/10.1366/0003702894202201</w:t>
        </w:r>
      </w:hyperlink>
    </w:p>
    <w:bookmarkEnd w:id="74"/>
    <w:bookmarkStart w:id="76"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5">
        <w:r>
          <w:rPr>
            <w:rStyle w:val="Hyperlink"/>
          </w:rPr>
          <w:t xml:space="preserve">https://CRAN.R-project.org/package=data.table</w:t>
        </w:r>
      </w:hyperlink>
    </w:p>
    <w:bookmarkEnd w:id="76"/>
    <w:bookmarkStart w:id="78"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77">
        <w:r>
          <w:rPr>
            <w:rStyle w:val="Hyperlink"/>
          </w:rPr>
          <w:t xml:space="preserve">https://doi.org/10.3390/plants13010111</w:t>
        </w:r>
      </w:hyperlink>
    </w:p>
    <w:bookmarkEnd w:id="78"/>
    <w:bookmarkStart w:id="80"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79">
        <w:r>
          <w:rPr>
            <w:rStyle w:val="Hyperlink"/>
          </w:rPr>
          <w:t xml:space="preserve">https://doi.org/10.1016/j.trac.2010.05.006</w:t>
        </w:r>
      </w:hyperlink>
    </w:p>
    <w:bookmarkEnd w:id="80"/>
    <w:bookmarkStart w:id="82"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81">
        <w:r>
          <w:rPr>
            <w:rStyle w:val="Hyperlink"/>
          </w:rPr>
          <w:t xml:space="preserve">https://doi.org/10.1007/s10681-004-4811-6</w:t>
        </w:r>
      </w:hyperlink>
    </w:p>
    <w:bookmarkEnd w:id="82"/>
    <w:bookmarkStart w:id="84"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83">
        <w:r>
          <w:rPr>
            <w:rStyle w:val="Hyperlink"/>
          </w:rPr>
          <w:t xml:space="preserve">https://doi.org/10.3390/s22103710</w:t>
        </w:r>
      </w:hyperlink>
    </w:p>
    <w:bookmarkEnd w:id="84"/>
    <w:bookmarkStart w:id="86"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85">
        <w:r>
          <w:rPr>
            <w:rStyle w:val="Hyperlink"/>
          </w:rPr>
          <w:t xml:space="preserve">https://doi.org/10.1007/978-981-16-8778-5_6</w:t>
        </w:r>
      </w:hyperlink>
    </w:p>
    <w:bookmarkEnd w:id="86"/>
    <w:bookmarkStart w:id="88"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87">
        <w:r>
          <w:rPr>
            <w:rStyle w:val="Hyperlink"/>
          </w:rPr>
          <w:t xml:space="preserve">https://doi.org/10.1177/0967033519848296</w:t>
        </w:r>
      </w:hyperlink>
    </w:p>
    <w:bookmarkEnd w:id="88"/>
    <w:bookmarkStart w:id="90"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89">
        <w:r>
          <w:rPr>
            <w:rStyle w:val="Hyperlink"/>
          </w:rPr>
          <w:t xml:space="preserve">https://doi.org/10.3390/plants11162146</w:t>
        </w:r>
      </w:hyperlink>
    </w:p>
    <w:bookmarkEnd w:id="90"/>
    <w:bookmarkStart w:id="92"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91">
        <w:r>
          <w:rPr>
            <w:rStyle w:val="Hyperlink"/>
          </w:rPr>
          <w:t xml:space="preserve">https://doi.org/10.3389/fpls.2019.01509</w:t>
        </w:r>
      </w:hyperlink>
    </w:p>
    <w:bookmarkEnd w:id="92"/>
    <w:bookmarkStart w:id="94"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93">
        <w:r>
          <w:rPr>
            <w:rStyle w:val="Hyperlink"/>
          </w:rPr>
          <w:t xml:space="preserve">https://doi.org/10.3390/foods9101340</w:t>
        </w:r>
      </w:hyperlink>
    </w:p>
    <w:bookmarkEnd w:id="94"/>
    <w:bookmarkStart w:id="96"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95">
        <w:r>
          <w:rPr>
            <w:rStyle w:val="Hyperlink"/>
          </w:rPr>
          <w:t xml:space="preserve">https://www.tidymodels.org</w:t>
        </w:r>
      </w:hyperlink>
    </w:p>
    <w:bookmarkEnd w:id="96"/>
    <w:bookmarkStart w:id="98"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97">
        <w:r>
          <w:rPr>
            <w:rStyle w:val="Hyperlink"/>
          </w:rPr>
          <w:t xml:space="preserve">https://doi.org/10.18637/jss.v028.i05</w:t>
        </w:r>
      </w:hyperlink>
    </w:p>
    <w:bookmarkEnd w:id="98"/>
    <w:bookmarkStart w:id="100"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99">
        <w:r>
          <w:rPr>
            <w:rStyle w:val="Hyperlink"/>
          </w:rPr>
          <w:t xml:space="preserve">https://CRAN.R-project.org/package=emmeans</w:t>
        </w:r>
      </w:hyperlink>
    </w:p>
    <w:bookmarkEnd w:id="100"/>
    <w:bookmarkStart w:id="102"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101">
        <w:r>
          <w:rPr>
            <w:rStyle w:val="Hyperlink"/>
          </w:rPr>
          <w:t xml:space="preserve">https://doi.org/10.1016/j.vibspec.2020.103060</w:t>
        </w:r>
      </w:hyperlink>
    </w:p>
    <w:bookmarkEnd w:id="102"/>
    <w:bookmarkStart w:id="104"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103">
        <w:r>
          <w:rPr>
            <w:rStyle w:val="Hyperlink"/>
          </w:rPr>
          <w:t xml:space="preserve">https://CRAN.R-project.org/package=pls</w:t>
        </w:r>
      </w:hyperlink>
    </w:p>
    <w:bookmarkEnd w:id="104"/>
    <w:bookmarkStart w:id="106"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105">
        <w:r>
          <w:rPr>
            <w:rStyle w:val="Hyperlink"/>
          </w:rPr>
          <w:t xml:space="preserve">https://doi.org/10.1139/cjss-2017-0109</w:t>
        </w:r>
      </w:hyperlink>
    </w:p>
    <w:bookmarkEnd w:id="106"/>
    <w:bookmarkStart w:id="108"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107">
        <w:r>
          <w:rPr>
            <w:rStyle w:val="Hyperlink"/>
          </w:rPr>
          <w:t xml:space="preserve">https://doi.org/10.1016/j.dsp.2004.09.008</w:t>
        </w:r>
      </w:hyperlink>
    </w:p>
    <w:bookmarkEnd w:id="108"/>
    <w:bookmarkStart w:id="110"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109">
        <w:r>
          <w:rPr>
            <w:rStyle w:val="Hyperlink"/>
          </w:rPr>
          <w:t xml:space="preserve">https://doi.org/10.1007/b98882</w:t>
        </w:r>
      </w:hyperlink>
    </w:p>
    <w:bookmarkEnd w:id="110"/>
    <w:bookmarkStart w:id="112"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111">
        <w:r>
          <w:rPr>
            <w:rStyle w:val="Hyperlink"/>
          </w:rPr>
          <w:t xml:space="preserve">https://CRAN.R-project.org/package=nlme</w:t>
        </w:r>
      </w:hyperlink>
    </w:p>
    <w:bookmarkEnd w:id="112"/>
    <w:bookmarkStart w:id="114"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113">
        <w:r>
          <w:rPr>
            <w:rStyle w:val="Hyperlink"/>
          </w:rPr>
          <w:t xml:space="preserve">https://www.R-project.org/</w:t>
        </w:r>
      </w:hyperlink>
    </w:p>
    <w:bookmarkEnd w:id="114"/>
    <w:bookmarkStart w:id="116"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115">
        <w:r>
          <w:rPr>
            <w:rStyle w:val="Hyperlink"/>
          </w:rPr>
          <w:t xml:space="preserve">https://doi.org/10.1007/s11119-023-10091-z</w:t>
        </w:r>
      </w:hyperlink>
    </w:p>
    <w:bookmarkEnd w:id="116"/>
    <w:bookmarkStart w:id="118"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17">
        <w:r>
          <w:rPr>
            <w:rStyle w:val="Hyperlink"/>
          </w:rPr>
          <w:t xml:space="preserve">https://doi.org/10.1080/00103624.2012.641844</w:t>
        </w:r>
      </w:hyperlink>
    </w:p>
    <w:bookmarkEnd w:id="118"/>
    <w:bookmarkStart w:id="120"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19">
        <w:r>
          <w:rPr>
            <w:rStyle w:val="Hyperlink"/>
          </w:rPr>
          <w:t xml:space="preserve">https://doi.org/10.1016/j.trac.2009.07.007</w:t>
        </w:r>
      </w:hyperlink>
    </w:p>
    <w:bookmarkEnd w:id="120"/>
    <w:bookmarkStart w:id="121"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21"/>
    <w:bookmarkStart w:id="122"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22"/>
    <w:bookmarkStart w:id="124"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23">
        <w:r>
          <w:rPr>
            <w:rStyle w:val="Hyperlink"/>
          </w:rPr>
          <w:t xml:space="preserve">https://CRAN.R-project.org/package=skimr</w:t>
        </w:r>
      </w:hyperlink>
    </w:p>
    <w:bookmarkEnd w:id="124"/>
    <w:bookmarkStart w:id="126"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25">
        <w:r>
          <w:rPr>
            <w:rStyle w:val="Hyperlink"/>
          </w:rPr>
          <w:t xml:space="preserve">https://doi.org/10.21105/joss.01686</w:t>
        </w:r>
      </w:hyperlink>
    </w:p>
    <w:bookmarkEnd w:id="126"/>
    <w:bookmarkStart w:id="127"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27"/>
    <w:bookmarkStart w:id="129"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28">
        <w:r>
          <w:rPr>
            <w:rStyle w:val="Hyperlink"/>
          </w:rPr>
          <w:t xml:space="preserve">https://doi.org/10.1016/S0169-7439(01)00155-1</w:t>
        </w:r>
      </w:hyperlink>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5"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11"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23" Target="https://CRAN.R-project.org/package=skimr" TargetMode="External" /><Relationship Type="http://schemas.openxmlformats.org/officeDocument/2006/relationships/hyperlink" Id="rId85" Target="https://doi.org/10.1007/978-981-16-8778-5_6" TargetMode="External" /><Relationship Type="http://schemas.openxmlformats.org/officeDocument/2006/relationships/hyperlink" Id="rId109" Target="https://doi.org/10.1007/b98882" TargetMode="External" /><Relationship Type="http://schemas.openxmlformats.org/officeDocument/2006/relationships/hyperlink" Id="rId81" Target="https://doi.org/10.1007/s10681-004-4811-6" TargetMode="External" /><Relationship Type="http://schemas.openxmlformats.org/officeDocument/2006/relationships/hyperlink" Id="rId115" Target="https://doi.org/10.1007/s11119-023-10091-z" TargetMode="External" /><Relationship Type="http://schemas.openxmlformats.org/officeDocument/2006/relationships/hyperlink" Id="rId128" Target="https://doi.org/10.1016/S0169-7439(01)00155-1" TargetMode="External" /><Relationship Type="http://schemas.openxmlformats.org/officeDocument/2006/relationships/hyperlink" Id="rId107" Target="https://doi.org/10.1016/j.dsp.2004.09.008" TargetMode="External" /><Relationship Type="http://schemas.openxmlformats.org/officeDocument/2006/relationships/hyperlink" Id="rId119" Target="https://doi.org/10.1016/j.trac.2009.07.007" TargetMode="External" /><Relationship Type="http://schemas.openxmlformats.org/officeDocument/2006/relationships/hyperlink" Id="rId79" Target="https://doi.org/10.1016/j.trac.2010.05.006" TargetMode="External" /><Relationship Type="http://schemas.openxmlformats.org/officeDocument/2006/relationships/hyperlink" Id="rId101" Target="https://doi.org/10.1016/j.vibspec.2020.103060" TargetMode="External" /><Relationship Type="http://schemas.openxmlformats.org/officeDocument/2006/relationships/hyperlink" Id="rId117" Target="https://doi.org/10.1080/00103624.2012.641844" TargetMode="External" /><Relationship Type="http://schemas.openxmlformats.org/officeDocument/2006/relationships/hyperlink" Id="rId105" Target="https://doi.org/10.1139/cjss-2017-0109" TargetMode="External" /><Relationship Type="http://schemas.openxmlformats.org/officeDocument/2006/relationships/hyperlink" Id="rId87" Target="https://doi.org/10.1177/0967033519848296" TargetMode="External" /><Relationship Type="http://schemas.openxmlformats.org/officeDocument/2006/relationships/hyperlink" Id="rId73" Target="https://doi.org/10.1366/0003702894202201" TargetMode="External" /><Relationship Type="http://schemas.openxmlformats.org/officeDocument/2006/relationships/hyperlink" Id="rId97" Target="https://doi.org/10.18637/jss.v028.i05" TargetMode="External" /><Relationship Type="http://schemas.openxmlformats.org/officeDocument/2006/relationships/hyperlink" Id="rId125" Target="https://doi.org/10.21105/joss.01686" TargetMode="External" /><Relationship Type="http://schemas.openxmlformats.org/officeDocument/2006/relationships/hyperlink" Id="rId91" Target="https://doi.org/10.3389/fpls.2019.01509" TargetMode="External" /><Relationship Type="http://schemas.openxmlformats.org/officeDocument/2006/relationships/hyperlink" Id="rId93" Target="https://doi.org/10.3390/foods9101340" TargetMode="External" /><Relationship Type="http://schemas.openxmlformats.org/officeDocument/2006/relationships/hyperlink" Id="rId89" Target="https://doi.org/10.3390/plants11162146" TargetMode="External" /><Relationship Type="http://schemas.openxmlformats.org/officeDocument/2006/relationships/hyperlink" Id="rId77" Target="https://doi.org/10.3390/plants13010111" TargetMode="External" /><Relationship Type="http://schemas.openxmlformats.org/officeDocument/2006/relationships/hyperlink" Id="rId83"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13" Target="https://www.R-project.org/" TargetMode="External" /><Relationship Type="http://schemas.openxmlformats.org/officeDocument/2006/relationships/hyperlink" Id="rId95"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5"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11"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23" Target="https://CRAN.R-project.org/package=skimr" TargetMode="External" /><Relationship Type="http://schemas.openxmlformats.org/officeDocument/2006/relationships/hyperlink" Id="rId85" Target="https://doi.org/10.1007/978-981-16-8778-5_6" TargetMode="External" /><Relationship Type="http://schemas.openxmlformats.org/officeDocument/2006/relationships/hyperlink" Id="rId109" Target="https://doi.org/10.1007/b98882" TargetMode="External" /><Relationship Type="http://schemas.openxmlformats.org/officeDocument/2006/relationships/hyperlink" Id="rId81" Target="https://doi.org/10.1007/s10681-004-4811-6" TargetMode="External" /><Relationship Type="http://schemas.openxmlformats.org/officeDocument/2006/relationships/hyperlink" Id="rId115" Target="https://doi.org/10.1007/s11119-023-10091-z" TargetMode="External" /><Relationship Type="http://schemas.openxmlformats.org/officeDocument/2006/relationships/hyperlink" Id="rId128" Target="https://doi.org/10.1016/S0169-7439(01)00155-1" TargetMode="External" /><Relationship Type="http://schemas.openxmlformats.org/officeDocument/2006/relationships/hyperlink" Id="rId107" Target="https://doi.org/10.1016/j.dsp.2004.09.008" TargetMode="External" /><Relationship Type="http://schemas.openxmlformats.org/officeDocument/2006/relationships/hyperlink" Id="rId119" Target="https://doi.org/10.1016/j.trac.2009.07.007" TargetMode="External" /><Relationship Type="http://schemas.openxmlformats.org/officeDocument/2006/relationships/hyperlink" Id="rId79" Target="https://doi.org/10.1016/j.trac.2010.05.006" TargetMode="External" /><Relationship Type="http://schemas.openxmlformats.org/officeDocument/2006/relationships/hyperlink" Id="rId101" Target="https://doi.org/10.1016/j.vibspec.2020.103060" TargetMode="External" /><Relationship Type="http://schemas.openxmlformats.org/officeDocument/2006/relationships/hyperlink" Id="rId117" Target="https://doi.org/10.1080/00103624.2012.641844" TargetMode="External" /><Relationship Type="http://schemas.openxmlformats.org/officeDocument/2006/relationships/hyperlink" Id="rId105" Target="https://doi.org/10.1139/cjss-2017-0109" TargetMode="External" /><Relationship Type="http://schemas.openxmlformats.org/officeDocument/2006/relationships/hyperlink" Id="rId87" Target="https://doi.org/10.1177/0967033519848296" TargetMode="External" /><Relationship Type="http://schemas.openxmlformats.org/officeDocument/2006/relationships/hyperlink" Id="rId73" Target="https://doi.org/10.1366/0003702894202201" TargetMode="External" /><Relationship Type="http://schemas.openxmlformats.org/officeDocument/2006/relationships/hyperlink" Id="rId97" Target="https://doi.org/10.18637/jss.v028.i05" TargetMode="External" /><Relationship Type="http://schemas.openxmlformats.org/officeDocument/2006/relationships/hyperlink" Id="rId125" Target="https://doi.org/10.21105/joss.01686" TargetMode="External" /><Relationship Type="http://schemas.openxmlformats.org/officeDocument/2006/relationships/hyperlink" Id="rId91" Target="https://doi.org/10.3389/fpls.2019.01509" TargetMode="External" /><Relationship Type="http://schemas.openxmlformats.org/officeDocument/2006/relationships/hyperlink" Id="rId93" Target="https://doi.org/10.3390/foods9101340" TargetMode="External" /><Relationship Type="http://schemas.openxmlformats.org/officeDocument/2006/relationships/hyperlink" Id="rId89" Target="https://doi.org/10.3390/plants11162146" TargetMode="External" /><Relationship Type="http://schemas.openxmlformats.org/officeDocument/2006/relationships/hyperlink" Id="rId77" Target="https://doi.org/10.3390/plants13010111" TargetMode="External" /><Relationship Type="http://schemas.openxmlformats.org/officeDocument/2006/relationships/hyperlink" Id="rId83"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13" Target="https://www.R-project.org/" TargetMode="External" /><Relationship Type="http://schemas.openxmlformats.org/officeDocument/2006/relationships/hyperlink" Id="rId95"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Percentage Crude Protein in Hemp Grain</dc:title>
  <dc:creator>Ryan V. Crawford; Jamie Crawford; Julie L. Hansen; Lawrence B. Smart; Virginia Moore</dc:creator>
  <cp:keywords>Hemp, Grain, Spectroscopy</cp:keywords>
  <dcterms:created xsi:type="dcterms:W3CDTF">2024-04-02T20:22:55Z</dcterms:created>
  <dcterms:modified xsi:type="dcterms:W3CDTF">2024-04-02T20:22:55Z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2024-04-02</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