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37.png" ContentType="image/png"/>
  <Override PartName="/word/media/rId32.png" ContentType="image/png"/>
  <Override PartName="/word/media/rId53.png" ContentType="image/png"/>
  <Override PartName="/word/media/rId42.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2024-03-15</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(Ely and Fike 2022; Bárta et al. 2024; Callaway 2004)</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Workman, and Reeves 2004)</w:t>
      </w:r>
      <w:r>
        <w:t xml:space="preserve">. NIR spectra from many samples are related to laboratory values for components such as moisture, protein, fat, or fiber</w:t>
      </w:r>
      <w:r>
        <w:t xml:space="preserve"> </w:t>
      </w:r>
      <w:r>
        <w:t xml:space="preserve">(Roberts, Workman, and Reeves 2004)</w:t>
      </w:r>
      <w:r>
        <w:t xml:space="preserve">. NIRS technology has been used since the 1970’s to assess forage CP</w:t>
      </w:r>
      <w:r>
        <w:t xml:space="preserve"> </w:t>
      </w:r>
      <w:r>
        <w:t xml:space="preserve">(Reeves 2012a;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Workman, and Reeves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subsequently be grown, an important consideration for a plant breeder. In wheat and corn, grain protein content has been shown to be heritable</w:t>
      </w:r>
      <w:r>
        <w:t xml:space="preserve"> </w:t>
      </w:r>
      <w:r>
        <w:t xml:space="preserve">(Giancaspro et al. 2019; Geyer, Mohler, and Hartl 2022)</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Garcia-Olmo, and Fearn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 grid search from 1-20. Model performance was evaluated with a bootstrapping method using root mean squared error (RMSE) and R</w:t>
      </w:r>
      <w:r>
        <w:rPr>
          <w:vertAlign w:val="superscript"/>
        </w:rPr>
        <w:t xml:space="preserve">2</w:t>
      </w:r>
      <w:r>
        <w:t xml:space="preserve"> </w:t>
      </w:r>
      <w:r>
        <w:t xml:space="preserve">statistics in selecting a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several of common spectral preprocessing methods were tested by creating 100 calibration and validation sets as described above. Spectral data from those data sets were transformed by each of the following methods: First Derivative, Gap-segment derivative, Multiplicative Scatter Correction, Raw Spectra, Savitzky-Golay, SNV-Detrend, Standard Normal Variate, Standard Normal Variate/ Savitzky-Golay. For each of these preprocessing methods, models were fit and predictions were made on the corresponding validation set (since there were 8 preprocessing methods, 8 separate models were fit for each of the 100 sets. The relationship between the predicted and actual values of validation set were calculated via RMSE, R</w:t>
      </w:r>
      <w:r>
        <w:rPr>
          <w:vertAlign w:val="superscript"/>
        </w:rPr>
        <w:t xml:space="preserve">2</w:t>
      </w:r>
      <w:r>
        <w:t xml:space="preserve"> </w:t>
      </w:r>
      <w:r>
        <w:t xml:space="preserve">and Ratio of Performance to InterQuartile distance (RPIQ).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summarized with RMSE, R</w:t>
      </w:r>
      <w:r>
        <w:rPr>
          <w:vertAlign w:val="superscript"/>
        </w:rPr>
        <w:t xml:space="preserve">2</w:t>
      </w:r>
      <w:r>
        <w:t xml:space="preserve">, and RPIQ.</w:t>
      </w:r>
    </w:p>
    <w:bookmarkEnd w:id="25"/>
    <w:bookmarkStart w:id="26" w:name="additional-software-used"/>
    <w:p>
      <w:pPr>
        <w:pStyle w:val="Heading3"/>
      </w:pPr>
      <w:r>
        <w:t xml:space="preserve">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and Max 2008)</w:t>
      </w:r>
      <w:r>
        <w:t xml:space="preserve">, data.table v. 1.15.2</w:t>
      </w:r>
      <w:r>
        <w:t xml:space="preserve"> </w:t>
      </w:r>
      <w:r>
        <w:t xml:space="preserve">(Barrett et al. 2024)</w:t>
      </w:r>
      <w:r>
        <w:t xml:space="preserve">, emmeans v. 1.10.0</w:t>
      </w:r>
      <w:r>
        <w:t xml:space="preserve"> </w:t>
      </w:r>
      <w:r>
        <w:t xml:space="preserve">(Lenth 2024)</w:t>
      </w:r>
      <w:r>
        <w:t xml:space="preserve">, knitr v. 1.45</w:t>
      </w:r>
      <w:r>
        <w:t xml:space="preserve"> </w:t>
      </w:r>
      <w:r>
        <w:t xml:space="preserve">(Xie 2014, 2015, 2023)</w:t>
      </w:r>
      <w:r>
        <w:t xml:space="preserve">, lme4 v. 1.1.35.1</w:t>
      </w:r>
      <w:r>
        <w:t xml:space="preserve"> </w:t>
      </w:r>
      <w:r>
        <w:t xml:space="preserve">(Bates et al. 2015)</w:t>
      </w:r>
      <w:r>
        <w:t xml:space="preserve">, multcomp v. 1.4.25</w:t>
      </w:r>
      <w:r>
        <w:t xml:space="preserve"> </w:t>
      </w:r>
      <w:r>
        <w:t xml:space="preserve">(Hothorn, Bretz, and Westfall 2008)</w:t>
      </w:r>
      <w:r>
        <w:t xml:space="preserve">, nlme v. 3.1.163</w:t>
      </w:r>
      <w:r>
        <w:t xml:space="preserve"> </w:t>
      </w:r>
      <w:r>
        <w:t xml:space="preserve">(J. C. Pinheiro and Bates 2000; J. Pinheiro, Bates, and R Core Team 2023)</w:t>
      </w:r>
      <w:r>
        <w:t xml:space="preserve">, pls v. 2.8.3</w:t>
      </w:r>
      <w:r>
        <w:t xml:space="preserve"> </w:t>
      </w:r>
      <w:r>
        <w:t xml:space="preserve">(Liland, Mevik, and Wehrens 2023)</w:t>
      </w:r>
      <w:r>
        <w:t xml:space="preserve">, prospectr v. 0.2.7</w:t>
      </w:r>
      <w:r>
        <w:t xml:space="preserve"> </w:t>
      </w:r>
      <w:r>
        <w:t xml:space="preserve">(Stevens and Ramirez-Lopez 2024)</w:t>
      </w:r>
      <w:r>
        <w:t xml:space="preserve">, randomForest v. 4.7.1.1</w:t>
      </w:r>
      <w:r>
        <w:t xml:space="preserve"> </w:t>
      </w:r>
      <w:r>
        <w:t xml:space="preserve">(Liaw and Wiener 2002)</w:t>
      </w:r>
      <w:r>
        <w:t xml:space="preserve">, rmarkdown v. 2.26</w:t>
      </w:r>
      <w:r>
        <w:t xml:space="preserve"> </w:t>
      </w:r>
      <w:r>
        <w:t xml:space="preserve">(Xie, Allaire, and Grolemund 2018; Xie, Dervieux, and Riederer 2020; Allaire et al. 2024)</w:t>
      </w:r>
      <w:r>
        <w:t xml:space="preserve">, skimr v. 2.1.5</w:t>
      </w:r>
      <w:r>
        <w:t xml:space="preserve"> </w:t>
      </w:r>
      <w:r>
        <w:t xml:space="preserve">(Waring et al. 2022)</w:t>
      </w:r>
      <w:r>
        <w:t xml:space="preserve">, tidymodels v. 1.1.1</w:t>
      </w:r>
      <w:r>
        <w:t xml:space="preserve"> </w:t>
      </w:r>
      <w:r>
        <w:t xml:space="preserve">(Kuhn and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RESULTS AND DISCUSSION</w:t>
      </w:r>
    </w:p>
    <w:bookmarkStart w:id="29" w:name="laboratory-assay-cp-values"/>
    <w:p>
      <w:pPr>
        <w:pStyle w:val="Heading3"/>
      </w:pPr>
      <w:r>
        <w:t xml:space="preserve">Laboratory assay CP values</w:t>
      </w:r>
    </w:p>
    <w:p>
      <w:pPr>
        <w:pStyle w:val="FirstParagraph"/>
      </w:pPr>
      <w:r>
        <w:t xml:space="preserve">Laboratory assay percent CP values are summarized in the following table. These are similar to the range of CP values observed in the literature and this indicating an appropriate basis for a chemometric model.</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(Values are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Preprocessing methods comparison</w:t>
      </w:r>
    </w:p>
    <w:p>
      <w:pPr>
        <w:pStyle w:val="FirstParagraph"/>
      </w:pPr>
      <w:r>
        <w:t xml:space="preserve">All preprocessing methods outperformed raw spectral data.</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w:t>
            </w:r>
          </w:p>
          <w:tbl>
            <w:tblPr>
              <w:tblStyle w:val="Table"/>
              <w:tblW w:type="pct" w:w="5000"/>
              <w:jc w:val="left"/>
              <w:tblLayout w:type="fixed"/>
              <w:tblLook w:firstRow="1" w:lastRow="0" w:firstColumn="0" w:lastColumn="0" w:noHBand="0" w:noVBand="0" w:val="0020"/>
            </w:tblPr>
            <w:tblGrid>
              <w:gridCol w:w="4010"/>
              <w:gridCol w:w="1303"/>
              <w:gridCol w:w="1303"/>
              <w:gridCol w:w="1303"/>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w:r>
                    <w:t xml:space="preserve">R^2</w:t>
                  </w:r>
                </w:p>
              </w:tc>
              <w:tc>
                <w:tcPr/>
                <w:p>
                  <w:pPr>
                    <w:pStyle w:val="Compact"/>
                    <w:jc w:val="left"/>
                    <w:jc w:val="center"/>
                  </w:pPr>
                  <w:r>
                    <w:t xml:space="preserve">RPIQ</w:t>
                  </w:r>
                </w:p>
              </w:tc>
            </w:tr>
            <w:tr>
              <w:tc>
                <w:tcPr/>
                <w:p>
                  <w:pPr>
                    <w:pStyle w:val="Compact"/>
                    <w:jc w:val="left"/>
                    <w:jc w:val="center"/>
                  </w:pPr>
                  <w:r>
                    <w:t xml:space="preserve">Savitzky-Golay</w:t>
                  </w:r>
                </w:p>
              </w:tc>
              <w:tc>
                <w:tcPr/>
                <w:p>
                  <w:pPr>
                    <w:pStyle w:val="Compact"/>
                    <w:jc w:val="left"/>
                    <w:jc w:val="center"/>
                  </w:pPr>
                  <w:r>
                    <w:t xml:space="preserve">1.16 ± 0.018</w:t>
                  </w:r>
                </w:p>
              </w:tc>
              <w:tc>
                <w:tcPr/>
                <w:p>
                  <w:pPr>
                    <w:pStyle w:val="Compact"/>
                    <w:jc w:val="left"/>
                    <w:jc w:val="center"/>
                  </w:pPr>
                  <w:r>
                    <w:t xml:space="preserve">0.77 ± 0.009</w:t>
                  </w:r>
                </w:p>
              </w:tc>
              <w:tc>
                <w:tcPr/>
                <w:p>
                  <w:pPr>
                    <w:pStyle w:val="Compact"/>
                    <w:jc w:val="left"/>
                    <w:jc w:val="center"/>
                  </w:pPr>
                  <w:r>
                    <w:t xml:space="preserve">3.36 ± 0.081</w:t>
                  </w:r>
                </w:p>
              </w:tc>
            </w:tr>
            <w:tr>
              <w:tc>
                <w:tcPr/>
                <w:p>
                  <w:pPr>
                    <w:pStyle w:val="Compact"/>
                    <w:jc w:val="left"/>
                    <w:jc w:val="center"/>
                  </w:pPr>
                  <w:r>
                    <w:t xml:space="preserve">First Derivative</w:t>
                  </w:r>
                </w:p>
              </w:tc>
              <w:tc>
                <w:tcPr/>
                <w:p>
                  <w:pPr>
                    <w:pStyle w:val="Compact"/>
                    <w:jc w:val="left"/>
                    <w:jc w:val="center"/>
                  </w:pPr>
                  <w:r>
                    <w:t xml:space="preserve">1.18 ± 0.018</w:t>
                  </w:r>
                </w:p>
              </w:tc>
              <w:tc>
                <w:tcPr/>
                <w:p>
                  <w:pPr>
                    <w:pStyle w:val="Compact"/>
                    <w:jc w:val="left"/>
                    <w:jc w:val="center"/>
                  </w:pPr>
                  <w:r>
                    <w:t xml:space="preserve">0.76 ± 0.009</w:t>
                  </w:r>
                </w:p>
              </w:tc>
              <w:tc>
                <w:tcPr/>
                <w:p>
                  <w:pPr>
                    <w:pStyle w:val="Compact"/>
                    <w:jc w:val="left"/>
                    <w:jc w:val="center"/>
                  </w:pPr>
                  <w:r>
                    <w:t xml:space="preserve">3.30 ± 0.081</w:t>
                  </w:r>
                </w:p>
              </w:tc>
            </w:tr>
            <w:tr>
              <w:tc>
                <w:tcPr/>
                <w:p>
                  <w:pPr>
                    <w:pStyle w:val="Compact"/>
                    <w:jc w:val="left"/>
                    <w:jc w:val="center"/>
                  </w:pPr>
                  <w:r>
                    <w:t xml:space="preserve">Standard Normal Variate/ Savitzky-Golay</w:t>
                  </w:r>
                </w:p>
              </w:tc>
              <w:tc>
                <w:tcPr/>
                <w:p>
                  <w:pPr>
                    <w:pStyle w:val="Compact"/>
                    <w:jc w:val="left"/>
                    <w:jc w:val="center"/>
                  </w:pPr>
                  <w:r>
                    <w:t xml:space="preserve">1.19 ± 0.018</w:t>
                  </w:r>
                </w:p>
              </w:tc>
              <w:tc>
                <w:tcPr/>
                <w:p>
                  <w:pPr>
                    <w:pStyle w:val="Compact"/>
                    <w:jc w:val="left"/>
                    <w:jc w:val="center"/>
                  </w:pPr>
                  <w:r>
                    <w:t xml:space="preserve">0.76 ± 0.009</w:t>
                  </w:r>
                </w:p>
              </w:tc>
              <w:tc>
                <w:tcPr/>
                <w:p>
                  <w:pPr>
                    <w:pStyle w:val="Compact"/>
                    <w:jc w:val="left"/>
                    <w:jc w:val="center"/>
                  </w:pPr>
                  <w:r>
                    <w:t xml:space="preserve">3.26 ± 0.082</w:t>
                  </w:r>
                </w:p>
              </w:tc>
            </w:tr>
            <w:tr>
              <w:tc>
                <w:tcPr/>
                <w:p>
                  <w:pPr>
                    <w:pStyle w:val="Compact"/>
                    <w:jc w:val="left"/>
                    <w:jc w:val="center"/>
                  </w:pPr>
                  <w:r>
                    <w:t xml:space="preserve">Gap-segment derivative</w:t>
                  </w:r>
                </w:p>
              </w:tc>
              <w:tc>
                <w:tcPr/>
                <w:p>
                  <w:pPr>
                    <w:pStyle w:val="Compact"/>
                    <w:jc w:val="left"/>
                    <w:jc w:val="center"/>
                  </w:pPr>
                  <w:r>
                    <w:t xml:space="preserve">1.23 ± 0.019</w:t>
                  </w:r>
                </w:p>
              </w:tc>
              <w:tc>
                <w:tcPr/>
                <w:p>
                  <w:pPr>
                    <w:pStyle w:val="Compact"/>
                    <w:jc w:val="left"/>
                    <w:jc w:val="center"/>
                  </w:pPr>
                  <w:r>
                    <w:t xml:space="preserve">0.75 ± 0.009</w:t>
                  </w:r>
                </w:p>
              </w:tc>
              <w:tc>
                <w:tcPr/>
                <w:p>
                  <w:pPr>
                    <w:pStyle w:val="Compact"/>
                    <w:jc w:val="left"/>
                    <w:jc w:val="center"/>
                  </w:pPr>
                  <w:r>
                    <w:t xml:space="preserve">3.17 ± 0.081</w:t>
                  </w:r>
                </w:p>
              </w:tc>
            </w:tr>
            <w:tr>
              <w:tc>
                <w:tcPr/>
                <w:p>
                  <w:pPr>
                    <w:pStyle w:val="Compact"/>
                    <w:jc w:val="left"/>
                    <w:jc w:val="center"/>
                  </w:pPr>
                  <w:r>
                    <w:t xml:space="preserve">SNV-Detrend</w:t>
                  </w:r>
                </w:p>
              </w:tc>
              <w:tc>
                <w:tcPr/>
                <w:p>
                  <w:pPr>
                    <w:pStyle w:val="Compact"/>
                    <w:jc w:val="left"/>
                    <w:jc w:val="center"/>
                  </w:pPr>
                  <w:r>
                    <w:t xml:space="preserve">1.27 ± 0.021</w:t>
                  </w:r>
                </w:p>
              </w:tc>
              <w:tc>
                <w:tcPr/>
                <w:p>
                  <w:pPr>
                    <w:pStyle w:val="Compact"/>
                    <w:jc w:val="left"/>
                    <w:jc w:val="center"/>
                  </w:pPr>
                  <w:r>
                    <w:t xml:space="preserve">0.73 ± 0.010</w:t>
                  </w:r>
                </w:p>
              </w:tc>
              <w:tc>
                <w:tcPr/>
                <w:p>
                  <w:pPr>
                    <w:pStyle w:val="Compact"/>
                    <w:jc w:val="left"/>
                    <w:jc w:val="center"/>
                  </w:pPr>
                  <w:r>
                    <w:t xml:space="preserve">3.10 ± 0.083</w:t>
                  </w:r>
                </w:p>
              </w:tc>
            </w:tr>
            <w:tr>
              <w:tc>
                <w:tcPr/>
                <w:p>
                  <w:pPr>
                    <w:pStyle w:val="Compact"/>
                    <w:jc w:val="left"/>
                    <w:jc w:val="center"/>
                  </w:pPr>
                  <w:r>
                    <w:t xml:space="preserve">Standard Normal Variate</w:t>
                  </w:r>
                </w:p>
              </w:tc>
              <w:tc>
                <w:tcPr/>
                <w:p>
                  <w:pPr>
                    <w:pStyle w:val="Compact"/>
                    <w:jc w:val="left"/>
                    <w:jc w:val="center"/>
                  </w:pPr>
                  <w:r>
                    <w:t xml:space="preserve">1.29 ± 0.023</w:t>
                  </w:r>
                </w:p>
              </w:tc>
              <w:tc>
                <w:tcPr/>
                <w:p>
                  <w:pPr>
                    <w:pStyle w:val="Compact"/>
                    <w:jc w:val="left"/>
                    <w:jc w:val="center"/>
                  </w:pPr>
                  <w:r>
                    <w:t xml:space="preserve">0.73 ± 0.010</w:t>
                  </w:r>
                </w:p>
              </w:tc>
              <w:tc>
                <w:tcPr/>
                <w:p>
                  <w:pPr>
                    <w:pStyle w:val="Compact"/>
                    <w:jc w:val="left"/>
                    <w:jc w:val="center"/>
                  </w:pPr>
                  <w:r>
                    <w:t xml:space="preserve">3.07 ± 0.083</w:t>
                  </w:r>
                </w:p>
              </w:tc>
            </w:tr>
            <w:tr>
              <w:tc>
                <w:tcPr/>
                <w:p>
                  <w:pPr>
                    <w:pStyle w:val="Compact"/>
                    <w:jc w:val="left"/>
                    <w:jc w:val="center"/>
                  </w:pPr>
                  <w:r>
                    <w:t xml:space="preserve">Multiplicative Scatter Correction</w:t>
                  </w:r>
                </w:p>
              </w:tc>
              <w:tc>
                <w:tcPr/>
                <w:p>
                  <w:pPr>
                    <w:pStyle w:val="Compact"/>
                    <w:jc w:val="left"/>
                    <w:jc w:val="center"/>
                  </w:pPr>
                  <w:r>
                    <w:t xml:space="preserve">1.32 ± 0.020</w:t>
                  </w:r>
                </w:p>
              </w:tc>
              <w:tc>
                <w:tcPr/>
                <w:p>
                  <w:pPr>
                    <w:pStyle w:val="Compact"/>
                    <w:jc w:val="left"/>
                    <w:jc w:val="center"/>
                  </w:pPr>
                  <w:r>
                    <w:t xml:space="preserve">0.72 ± 0.010</w:t>
                  </w:r>
                </w:p>
              </w:tc>
              <w:tc>
                <w:tcPr/>
                <w:p>
                  <w:pPr>
                    <w:pStyle w:val="Compact"/>
                    <w:jc w:val="left"/>
                    <w:jc w:val="center"/>
                  </w:pPr>
                  <w:r>
                    <w:t xml:space="preserve">2.96 ± 0.081</w:t>
                  </w:r>
                </w:p>
              </w:tc>
            </w:tr>
            <w:tr>
              <w:tc>
                <w:tcPr/>
                <w:p>
                  <w:pPr>
                    <w:pStyle w:val="Compact"/>
                    <w:jc w:val="left"/>
                    <w:jc w:val="center"/>
                  </w:pPr>
                  <w:r>
                    <w:t xml:space="preserve">Raw Spectra</w:t>
                  </w:r>
                </w:p>
              </w:tc>
              <w:tc>
                <w:tcPr/>
                <w:p>
                  <w:pPr>
                    <w:pStyle w:val="Compact"/>
                    <w:jc w:val="left"/>
                    <w:jc w:val="center"/>
                  </w:pPr>
                  <w:r>
                    <w:t xml:space="preserve">1.37 ± 0.028</w:t>
                  </w:r>
                </w:p>
              </w:tc>
              <w:tc>
                <w:tcPr/>
                <w:p>
                  <w:pPr>
                    <w:pStyle w:val="Compact"/>
                    <w:jc w:val="left"/>
                    <w:jc w:val="center"/>
                  </w:pPr>
                  <w:r>
                    <w:t xml:space="preserve">0.69 ± 0.012</w:t>
                  </w:r>
                </w:p>
              </w:tc>
              <w:tc>
                <w:tcPr/>
                <w:p>
                  <w:pPr>
                    <w:pStyle w:val="Compact"/>
                    <w:jc w:val="left"/>
                    <w:jc w:val="center"/>
                  </w:pPr>
                  <w:r>
                    <w:t xml:space="preserve">2.89 ± 0.086</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Savitzky-Golay method had the lowest RMSE, highest R</w:t>
      </w:r>
      <w:r>
        <w:rPr>
          <w:vertAlign w:val="superscript"/>
        </w:rPr>
        <w:t xml:space="preserve">2</w:t>
      </w:r>
      <w:r>
        <w:t xml:space="preserve">, and highest RPIQ averaging over all iterations. Savitzky Golay RMSE averaged 1.7% lower, while R</w:t>
      </w:r>
      <w:r>
        <w:rPr>
          <w:vertAlign w:val="superscript"/>
        </w:rPr>
        <w:t xml:space="preserve">2</w:t>
      </w:r>
      <w:r>
        <w:t xml:space="preserve"> </w:t>
      </w:r>
      <w:r>
        <w:t xml:space="preserve">and RPIQ averaged 1.2% and 2.0% higher than the next best preprocessing method (first derivative, according to each metric). However, only at R</w:t>
      </w:r>
      <w:r>
        <w:rPr>
          <w:vertAlign w:val="superscript"/>
        </w:rPr>
        <w:t xml:space="preserve">2</w:t>
      </w:r>
      <w:r>
        <w:t xml:space="preserve"> </w:t>
      </w:r>
      <w:r>
        <w:t xml:space="preserve">was the difference from the next best preprocessing method statistically significant at</w:t>
      </w:r>
      <w:r>
        <w:t xml:space="preserve"> </w:t>
      </w:r>
      <m:oMath>
        <m:r>
          <m:t>α</m:t>
        </m:r>
      </m:oMath>
      <w:r>
        <w:t xml:space="preserve"> </w:t>
      </w:r>
      <w:r>
        <w:t xml:space="preserve">&lt;0.05.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Averaged together, preprocessing methods had -11.1 % lower RMSE, and had 6.9% higher R</w:t>
      </w:r>
      <w:r>
        <w:rPr>
          <w:vertAlign w:val="superscript"/>
        </w:rPr>
        <w:t xml:space="preserve">2</w:t>
      </w:r>
      <w:r>
        <w:t xml:space="preserve"> </w:t>
      </w:r>
      <w:r>
        <w:t xml:space="preserve">9.1% higher RPIQ than unprocessed spectra. Because the Savitzky-Golay method was the best performing under all methods, a final model was developed using that preprocessing method.</w:t>
      </w:r>
    </w:p>
    <w:bookmarkEnd w:id="31"/>
    <w:bookmarkStart w:id="47" w:name="final-model-development-and-summary"/>
    <w:p>
      <w:pPr>
        <w:pStyle w:val="Heading3"/>
      </w:pPr>
      <w:r>
        <w:t xml:space="preserve">Final model development and summary</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b/>
          <w:bCs/>
        </w:rPr>
        <w:t xml:space="preserve">calculate relative distance from minima</w:t>
      </w:r>
      <w:r>
        <w:t xml:space="preserve"> </w:t>
      </w:r>
      <w:r>
        <w:t xml:space="preserve">The relative ranks of the models are stable at approximately 14 PCs, with very few models (lines) crossing over one another.</w:t>
      </w:r>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evaluations (1000 iterations per plot)</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predictions versus normalized scores across hemp samples</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This study is limited in that it represents the creation of one model based upon spectra collected from one machine. NIRS calibrations can be unique to a particular machine, if the machines compared are of the same model</w:t>
      </w:r>
      <w:r>
        <w:t xml:space="preserve"> </w:t>
      </w:r>
      <w:r>
        <w:t xml:space="preserve">(Reeves 2012b)</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ACKNOWLEDGMENTS</w:t>
      </w:r>
    </w:p>
    <w:bookmarkEnd w:id="49"/>
    <w:bookmarkStart w:id="50" w:name="supplemental-material"/>
    <w:p>
      <w:pPr>
        <w:pStyle w:val="Heading2"/>
      </w:pPr>
      <w:r>
        <w:t xml:space="preserve">SUPPLEMENTAL MATERIAL</w:t>
      </w:r>
    </w:p>
    <w:bookmarkEnd w:id="50"/>
    <w:bookmarkStart w:id="51" w:name="optional-sections"/>
    <w:p>
      <w:pPr>
        <w:pStyle w:val="Heading2"/>
      </w:pPr>
      <w:r>
        <w:t xml:space="preserve">OPTIONAL SECTIONS</w:t>
      </w:r>
    </w:p>
    <w:bookmarkEnd w:id="51"/>
    <w:bookmarkStart w:id="52" w:name="references"/>
    <w:p>
      <w:pPr>
        <w:pStyle w:val="Heading2"/>
      </w:pPr>
      <w:r>
        <w:t xml:space="preserve">REFERENCES</w:t>
      </w:r>
    </w:p>
    <w:bookmarkEnd w:id="52"/>
    <w:bookmarkStart w:id="69" w:name="figures-and-tables"/>
    <w:p>
      <w:pPr>
        <w:pStyle w:val="Heading2"/>
      </w:pPr>
      <w:r>
        <w:t xml:space="preserve">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7" w:name="cell-fig-timeline"/>
    <w:tbl>
      <w:tblPr>
        <w:tblStyle w:val="Table"/>
        <w:tblW w:type="pct" w:w="5000"/>
        <w:jc w:val="left"/>
        <w:tblLayout w:type="fixed"/>
        <w:tblLook w:firstRow="0" w:lastRow="0" w:firstColumn="0" w:lastColumn="0" w:noHBand="0" w:noVBand="0" w:val="0000"/>
      </w:tblPr>
      <w:tblGrid>
        <w:gridCol w:w="7920"/>
      </w:tblGrid>
      <w:tr>
        <w:tc>
          <w:tcPr/>
          <w:bookmarkStart w:id="56" w:name="fig-timeline"/>
          <w:p>
            <w:pPr>
              <w:pStyle w:val="Compact"/>
              <w:jc w:val="center"/>
            </w:pPr>
            <w:r>
              <w:drawing>
                <wp:inline>
                  <wp:extent cx="5334000" cy="1333500"/>
                  <wp:effectExtent b="0" l="0" r="0" t="0"/>
                  <wp:docPr descr="" title="" id="54" name="Picture"/>
                  <a:graphic>
                    <a:graphicData uri="http://schemas.openxmlformats.org/drawingml/2006/picture">
                      <pic:pic>
                        <pic:nvPicPr>
                          <pic:cNvPr descr="index_files/figure-docx/fig-timeline-1.png" id="55" name="Picture"/>
                          <pic:cNvPicPr>
                            <a:picLocks noChangeArrowheads="1" noChangeAspect="1"/>
                          </pic:cNvPicPr>
                        </pic:nvPicPr>
                        <pic:blipFill>
                          <a:blip r:embed="rId5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59" w:name="tbl-history"/>
          <w:p>
            <w:pPr>
              <w:jc w:val="center"/>
            </w:pPr>
            <w:pPr>
              <w:jc w:val="start"/>
              <w:spacing w:before="200"/>
              <w:pStyle w:val="ImageCaption"/>
            </w:pPr>
            <w:r>
              <w:t xml:space="preserve">Table 3: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59"/>
          <w:p/>
        </w:tc>
      </w:tr>
    </w:tbl>
    <w:p>
      <w:pPr>
        <w:pStyle w:val="BodyText"/>
      </w:pPr>
      <w:hyperlink w:anchor="tbl-history">
        <w:r>
          <w:rPr>
            <w:rStyle w:val="Hyperlink"/>
          </w:rPr>
          <w:t xml:space="preserve">Table 3</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3" w:name="fig-map"/>
          <w:p>
            <w:pPr>
              <w:pStyle w:val="Compact"/>
              <w:jc w:val="center"/>
            </w:pPr>
            <w:r>
              <w:drawing>
                <wp:inline>
                  <wp:extent cx="5334000" cy="2369740"/>
                  <wp:effectExtent b="0" l="0" r="0" t="0"/>
                  <wp:docPr descr="" title="" id="61" name="Picture"/>
                  <a:graphic>
                    <a:graphicData uri="http://schemas.openxmlformats.org/drawingml/2006/picture">
                      <pic:pic>
                        <pic:nvPicPr>
                          <pic:cNvPr descr="images/la-palma-map.png" id="62" name="Picture"/>
                          <pic:cNvPicPr>
                            <a:picLocks noChangeArrowheads="1" noChangeAspect="1"/>
                          </pic:cNvPicPr>
                        </pic:nvPicPr>
                        <pic:blipFill>
                          <a:blip r:embed="rId6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3"/>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7" w:name="fig-spatial-plot"/>
          <w:p>
            <w:pPr>
              <w:pStyle w:val="Compact"/>
              <w:jc w:val="center"/>
            </w:pPr>
            <w:r>
              <w:drawing>
                <wp:inline>
                  <wp:extent cx="5334000" cy="3810000"/>
                  <wp:effectExtent b="0" l="0" r="0" t="0"/>
                  <wp:docPr descr="" title="" id="65" name="Picture"/>
                  <a:graphic>
                    <a:graphicData uri="http://schemas.openxmlformats.org/drawingml/2006/picture">
                      <pic:pic>
                        <pic:nvPicPr>
                          <pic:cNvPr descr="index_files/figure-docx/notebooks-explore-earthquakes-fig-spatial-plot-output-1.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69"/>
    <w:bookmarkStart w:id="70" w:name="sec-data-methods"/>
    <w:p>
      <w:pPr>
        <w:pStyle w:val="Heading2"/>
      </w:pPr>
      <w:r>
        <w:t xml:space="preserve">Data &amp; Methods</w:t>
      </w:r>
    </w:p>
    <w:bookmarkEnd w:id="70"/>
    <w:bookmarkStart w:id="71" w:name="conclusion"/>
    <w:p>
      <w:pPr>
        <w:pStyle w:val="Heading2"/>
      </w:pPr>
      <w:r>
        <w:t xml:space="preserve">Conclusion</w:t>
      </w:r>
    </w:p>
    <w:bookmarkEnd w:id="71"/>
    <w:bookmarkStart w:id="130" w:name="references-1"/>
    <w:p>
      <w:pPr>
        <w:pStyle w:val="Heading2"/>
      </w:pPr>
      <w:r>
        <w:t xml:space="preserve">References</w:t>
      </w:r>
    </w:p>
    <w:bookmarkStart w:id="129" w:name="refs"/>
    <w:bookmarkStart w:id="73" w:name="ref-rmarkdown2024"/>
    <w:p>
      <w:pPr>
        <w:pStyle w:val="Bibliography"/>
      </w:pPr>
      <w:r>
        <w:t xml:space="preserve">Allaire, JJ, Yihui Xie, Christophe Dervieux, Jonathan McPherson, Javier Luraschi, Kevin Ushey, Aron Atkins, et al. 2024.</w:t>
      </w:r>
      <w:r>
        <w:t xml:space="preserve"> </w:t>
      </w:r>
      <w:r>
        <w:rPr>
          <w:i/>
          <w:iCs/>
        </w:rPr>
        <w:t xml:space="preserve">rmarkdown</w:t>
      </w:r>
      <w:r>
        <w:rPr>
          <w:i/>
          <w:iCs/>
        </w:rPr>
        <w:t xml:space="preserve">: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datatable"/>
    <w:p>
      <w:pPr>
        <w:pStyle w:val="Bibliography"/>
      </w:pPr>
      <w:r>
        <w:t xml:space="preserve">Barrett, Tyson, Matt Dowle, Arun Srinivasan, Jan Gorecki, Michael Chirico, and Toby Hocking.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4">
        <w:r>
          <w:rPr>
            <w:rStyle w:val="Hyperlink"/>
          </w:rPr>
          <w:t xml:space="preserve">https://CRAN.R-project.org/package=data.table</w:t>
        </w:r>
      </w:hyperlink>
      <w:r>
        <w:t xml:space="preserve">.</w:t>
      </w:r>
    </w:p>
    <w:bookmarkEnd w:id="75"/>
    <w:bookmarkStart w:id="77" w:name="ref-barta_proteomic_2024"/>
    <w:p>
      <w:pPr>
        <w:pStyle w:val="Bibliography"/>
      </w:pPr>
      <w:r>
        <w:t xml:space="preserve">Bárta, Jan, Pavel Roudnický, Markéta Jarošová, Zbyněk Zdráhal, Adéla Stupková, Veronika Bártová, Zlatuše Krejčová, et al. 2024.</w:t>
      </w:r>
      <w:r>
        <w:t xml:space="preserve"> </w:t>
      </w:r>
      <w:r>
        <w:t xml:space="preserve">“Proteomic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 </w:t>
      </w:r>
      <w:r>
        <w:t xml:space="preserve">13 (1): 111.</w:t>
      </w:r>
      <w:r>
        <w:t xml:space="preserve"> </w:t>
      </w:r>
      <w:hyperlink r:id="rId76">
        <w:r>
          <w:rPr>
            <w:rStyle w:val="Hyperlink"/>
          </w:rPr>
          <w:t xml:space="preserve">https://doi.org/10.3390/plants13010111</w:t>
        </w:r>
      </w:hyperlink>
      <w:r>
        <w:t xml:space="preserve">.</w:t>
      </w:r>
    </w:p>
    <w:bookmarkEnd w:id="77"/>
    <w:bookmarkStart w:id="79"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
          <w:iCs/>
        </w:rPr>
        <w:t xml:space="preserve">Journal of Statistical Software</w:t>
      </w:r>
      <w:r>
        <w:t xml:space="preserve"> </w:t>
      </w:r>
      <w:r>
        <w:t xml:space="preserve">67 (1): 1–48.</w:t>
      </w:r>
      <w:r>
        <w:t xml:space="preserve"> </w:t>
      </w:r>
      <w:hyperlink r:id="rId78">
        <w:r>
          <w:rPr>
            <w:rStyle w:val="Hyperlink"/>
          </w:rPr>
          <w:t xml:space="preserve">https://doi.org/10.18637/jss.v067.i01</w:t>
        </w:r>
      </w:hyperlink>
      <w:r>
        <w:t xml:space="preserve">.</w:t>
      </w:r>
    </w:p>
    <w:bookmarkEnd w:id="79"/>
    <w:bookmarkStart w:id="81" w:name="ref-callaway2004"/>
    <w:p>
      <w:pPr>
        <w:pStyle w:val="Bibliography"/>
      </w:pPr>
      <w:r>
        <w:t xml:space="preserve">Callaway, J. C. 2004.</w:t>
      </w:r>
      <w:r>
        <w:t xml:space="preserve"> </w:t>
      </w:r>
      <w:r>
        <w:t xml:space="preserve">“Hempseed as a Nutritional Resource: An Overview.”</w:t>
      </w:r>
      <w:r>
        <w:t xml:space="preserve"> </w:t>
      </w:r>
      <w:r>
        <w:rPr>
          <w:i/>
          <w:iCs/>
        </w:rPr>
        <w:t xml:space="preserve">Euphytica</w:t>
      </w:r>
      <w:r>
        <w:t xml:space="preserve"> </w:t>
      </w:r>
      <w:r>
        <w:t xml:space="preserve">140 (1): 65–72.</w:t>
      </w:r>
      <w:r>
        <w:t xml:space="preserve"> </w:t>
      </w:r>
      <w:hyperlink r:id="rId80">
        <w:r>
          <w:rPr>
            <w:rStyle w:val="Hyperlink"/>
          </w:rPr>
          <w:t xml:space="preserve">https://doi.org/10.1007/s10681-004-4811-6</w:t>
        </w:r>
      </w:hyperlink>
      <w:r>
        <w:t xml:space="preserve">.</w:t>
      </w:r>
    </w:p>
    <w:bookmarkEnd w:id="81"/>
    <w:bookmarkStart w:id="83" w:name="ref-chadalavada_nir_2022"/>
    <w:p>
      <w:pPr>
        <w:pStyle w:val="Bibliography"/>
      </w:pPr>
      <w:r>
        <w:t xml:space="preserve">Chadalavada, Keerthi, Krithika Anbazhagan, Adama Ndour, Sunita Choudhary, William Palmer, Jamie R Flynn, Srikanth Mallayee, et al. 2022.</w:t>
      </w:r>
      <w:r>
        <w:t xml:space="preserve"> </w:t>
      </w:r>
      <w:r>
        <w:t xml:space="preserve">“</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 </w:t>
      </w:r>
      <w:r>
        <w:t xml:space="preserve">22 (10).</w:t>
      </w:r>
      <w:r>
        <w:t xml:space="preserve"> </w:t>
      </w:r>
      <w:hyperlink r:id="rId82">
        <w:r>
          <w:rPr>
            <w:rStyle w:val="Hyperlink"/>
          </w:rPr>
          <w:t xml:space="preserve">https://doi.org/10.3390/s22103710</w:t>
        </w:r>
      </w:hyperlink>
      <w:r>
        <w:t xml:space="preserve">.</w:t>
      </w:r>
    </w:p>
    <w:bookmarkEnd w:id="83"/>
    <w:bookmarkStart w:id="85" w:name="ref-ely_industrial_2022"/>
    <w:p>
      <w:pPr>
        <w:pStyle w:val="Bibliography"/>
      </w:pPr>
      <w:r>
        <w:t xml:space="preserve">Ely, Kristine, and John Fike. 2022.</w:t>
      </w:r>
      <w:r>
        <w:t xml:space="preserve"> </w:t>
      </w:r>
      <w:r>
        <w:t xml:space="preserve">“Industrial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w:t>
      </w:r>
      <w:r>
        <w:t xml:space="preserve"> </w:t>
      </w:r>
      <w:r>
        <w:t xml:space="preserve">In</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edited by Dinesh Chandra Agrawal, Rajiv Kumar, and Muralikrishnan Dhanasekaran, 145–62. Singapore: Springer.</w:t>
      </w:r>
      <w:r>
        <w:t xml:space="preserve"> </w:t>
      </w:r>
      <w:hyperlink r:id="rId84">
        <w:r>
          <w:rPr>
            <w:rStyle w:val="Hyperlink"/>
          </w:rPr>
          <w:t xml:space="preserve">https://doi.org/10.1007/978-981-16-8778-5_6</w:t>
        </w:r>
      </w:hyperlink>
      <w:r>
        <w:t xml:space="preserve">.</w:t>
      </w:r>
    </w:p>
    <w:bookmarkEnd w:id="85"/>
    <w:bookmarkStart w:id="87" w:name="ref-garrido-varo_note_2019"/>
    <w:p>
      <w:pPr>
        <w:pStyle w:val="Bibliography"/>
      </w:pPr>
      <w:r>
        <w:t xml:space="preserve">Garrido-Varo, A, J Garcia-Olmo, and T Fearn. 2019.</w:t>
      </w:r>
      <w:r>
        <w:t xml:space="preserve"> </w:t>
      </w:r>
      <w:r>
        <w:t xml:space="preserve">“A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 </w:t>
      </w:r>
      <w:r>
        <w:t xml:space="preserve">27 (4): 253–58.</w:t>
      </w:r>
      <w:r>
        <w:t xml:space="preserve"> </w:t>
      </w:r>
      <w:hyperlink r:id="rId86">
        <w:r>
          <w:rPr>
            <w:rStyle w:val="Hyperlink"/>
          </w:rPr>
          <w:t xml:space="preserve">https://doi.org/10.1177/0967033519848296</w:t>
        </w:r>
      </w:hyperlink>
      <w:r>
        <w:t xml:space="preserve">.</w:t>
      </w:r>
    </w:p>
    <w:bookmarkEnd w:id="87"/>
    <w:bookmarkStart w:id="89" w:name="ref-geyer_genetics_2022"/>
    <w:p>
      <w:pPr>
        <w:pStyle w:val="Bibliography"/>
      </w:pPr>
      <w:r>
        <w:t xml:space="preserve">Geyer, Manuel, Volker Mohler, and Lorenz Hartl. 2022.</w:t>
      </w:r>
      <w:r>
        <w:t xml:space="preserve"> </w:t>
      </w:r>
      <w:r>
        <w:t xml:space="preserve">“Genetics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 </w:t>
      </w:r>
      <w:r>
        <w:t xml:space="preserve">11 (16): 2146.</w:t>
      </w:r>
      <w:r>
        <w:t xml:space="preserve"> </w:t>
      </w:r>
      <w:hyperlink r:id="rId88">
        <w:r>
          <w:rPr>
            <w:rStyle w:val="Hyperlink"/>
          </w:rPr>
          <w:t xml:space="preserve">https://doi.org/10.3390/plants11162146</w:t>
        </w:r>
      </w:hyperlink>
      <w:r>
        <w:t xml:space="preserve">.</w:t>
      </w:r>
    </w:p>
    <w:bookmarkEnd w:id="89"/>
    <w:bookmarkStart w:id="91" w:name="ref-giancaspro_genetic_2019"/>
    <w:p>
      <w:pPr>
        <w:pStyle w:val="Bibliography"/>
      </w:pPr>
      <w:r>
        <w:t xml:space="preserve">Giancaspro, Angelica, Stefania L. Giove, Antonio Blanco, and Agata Gadaleta. 2019.</w:t>
      </w:r>
      <w:r>
        <w:t xml:space="preserve"> </w:t>
      </w:r>
      <w:r>
        <w:t xml:space="preserve">“Genetic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 </w:t>
      </w:r>
      <w:r>
        <w:t xml:space="preserve">10 (November).</w:t>
      </w:r>
      <w:r>
        <w:t xml:space="preserve"> </w:t>
      </w:r>
      <w:hyperlink r:id="rId90">
        <w:r>
          <w:rPr>
            <w:rStyle w:val="Hyperlink"/>
          </w:rPr>
          <w:t xml:space="preserve">https://doi.org/10.3389/fpls.2019.01509</w:t>
        </w:r>
      </w:hyperlink>
      <w:r>
        <w:t xml:space="preserve">.</w:t>
      </w:r>
    </w:p>
    <w:bookmarkEnd w:id="91"/>
    <w:bookmarkStart w:id="93" w:name="ref-hayes_measuring_2020"/>
    <w:p>
      <w:pPr>
        <w:pStyle w:val="Bibliography"/>
      </w:pPr>
      <w:r>
        <w:t xml:space="preserve">Hayes, Maria. 2020.</w:t>
      </w:r>
      <w:r>
        <w:t xml:space="preserve"> </w:t>
      </w:r>
      <w:r>
        <w:t xml:space="preserve">“Measuring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 </w:t>
      </w:r>
      <w:r>
        <w:t xml:space="preserve">9 (10): 1340.</w:t>
      </w:r>
      <w:r>
        <w:t xml:space="preserve"> </w:t>
      </w:r>
      <w:hyperlink r:id="rId92">
        <w:r>
          <w:rPr>
            <w:rStyle w:val="Hyperlink"/>
          </w:rPr>
          <w:t xml:space="preserve">https://doi.org/10.3390/foods9101340</w:t>
        </w:r>
      </w:hyperlink>
      <w:r>
        <w:t xml:space="preserve">.</w:t>
      </w:r>
    </w:p>
    <w:bookmarkEnd w:id="93"/>
    <w:bookmarkStart w:id="94" w:name="ref-multcomp"/>
    <w:p>
      <w:pPr>
        <w:pStyle w:val="Bibliography"/>
      </w:pPr>
      <w:r>
        <w:t xml:space="preserve">Hothorn, Torsten, Frank Bretz, and Peter Westfall. 2008.</w:t>
      </w:r>
      <w:r>
        <w:t xml:space="preserve"> </w:t>
      </w:r>
      <w:r>
        <w:t xml:space="preserve">“Simultaneous Inference in General Parametric Models.”</w:t>
      </w:r>
      <w:r>
        <w:t xml:space="preserve"> </w:t>
      </w:r>
      <w:r>
        <w:rPr>
          <w:i/>
          <w:iCs/>
        </w:rPr>
        <w:t xml:space="preserve">Biometrical Journal</w:t>
      </w:r>
      <w:r>
        <w:t xml:space="preserve"> </w:t>
      </w:r>
      <w:r>
        <w:t xml:space="preserve">50 (3): 346–63.</w:t>
      </w:r>
    </w:p>
    <w:bookmarkEnd w:id="94"/>
    <w:bookmarkStart w:id="96" w:name="ref-tidymodels"/>
    <w:p>
      <w:pPr>
        <w:pStyle w:val="Bibliography"/>
      </w:pPr>
      <w:r>
        <w:t xml:space="preserve">Kuhn, Max, and Hadley Wickham.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r>
        <w:t xml:space="preserve">.</w:t>
      </w:r>
    </w:p>
    <w:bookmarkEnd w:id="96"/>
    <w:bookmarkStart w:id="98" w:name="ref-caret"/>
    <w:p>
      <w:pPr>
        <w:pStyle w:val="Bibliography"/>
      </w:pPr>
      <w:r>
        <w:t xml:space="preserve">Kuhn, and Max. 2008.</w:t>
      </w:r>
      <w:r>
        <w:t xml:space="preserve"> </w:t>
      </w:r>
      <w:r>
        <w:t xml:space="preserve">“Building Predictive Models in r Using the Caret Package.”</w:t>
      </w:r>
      <w:r>
        <w:t xml:space="preserve"> </w:t>
      </w:r>
      <w:r>
        <w:rPr>
          <w:i/>
          <w:iCs/>
        </w:rPr>
        <w:t xml:space="preserve">Journal of Statistical Software</w:t>
      </w:r>
      <w:r>
        <w:t xml:space="preserve"> </w:t>
      </w:r>
      <w:r>
        <w:t xml:space="preserve">28 (5): 1–26.</w:t>
      </w:r>
      <w:r>
        <w:t xml:space="preserve"> </w:t>
      </w:r>
      <w:hyperlink r:id="rId97">
        <w:r>
          <w:rPr>
            <w:rStyle w:val="Hyperlink"/>
          </w:rPr>
          <w:t xml:space="preserve">https://doi.org/10.18637/jss.v028.i05</w:t>
        </w:r>
      </w:hyperlink>
      <w:r>
        <w:t xml:space="preserve">.</w:t>
      </w:r>
    </w:p>
    <w:bookmarkEnd w:id="98"/>
    <w:bookmarkStart w:id="100" w:name="ref-emmeans"/>
    <w:p>
      <w:pPr>
        <w:pStyle w:val="Bibliography"/>
      </w:pPr>
      <w:r>
        <w:t xml:space="preserve">Lenth, Russell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r>
        <w:t xml:space="preserve">.</w:t>
      </w:r>
    </w:p>
    <w:bookmarkEnd w:id="100"/>
    <w:bookmarkStart w:id="102" w:name="ref-randomForest"/>
    <w:p>
      <w:pPr>
        <w:pStyle w:val="Bibliography"/>
      </w:pPr>
      <w:r>
        <w:t xml:space="preserve">Liaw, Andy, and Matthew Wiener. 2002.</w:t>
      </w:r>
      <w:r>
        <w:t xml:space="preserve"> </w:t>
      </w:r>
      <w:r>
        <w:t xml:space="preserve">“Classification and Regression by randomForest.”</w:t>
      </w:r>
      <w:r>
        <w:t xml:space="preserve"> </w:t>
      </w:r>
      <w:r>
        <w:rPr>
          <w:i/>
          <w:iCs/>
        </w:rPr>
        <w:t xml:space="preserve">R News</w:t>
      </w:r>
      <w:r>
        <w:t xml:space="preserve"> </w:t>
      </w:r>
      <w:r>
        <w:t xml:space="preserve">2 (3): 18–22.</w:t>
      </w:r>
      <w:r>
        <w:t xml:space="preserve"> </w:t>
      </w:r>
      <w:hyperlink r:id="rId101">
        <w:r>
          <w:rPr>
            <w:rStyle w:val="Hyperlink"/>
          </w:rPr>
          <w:t xml:space="preserve">https://CRAN.R-project.org/doc/Rnews/</w:t>
        </w:r>
      </w:hyperlink>
      <w:r>
        <w:t xml:space="preserve">.</w:t>
      </w:r>
    </w:p>
    <w:bookmarkEnd w:id="102"/>
    <w:bookmarkStart w:id="104" w:name="ref-pls"/>
    <w:p>
      <w:pPr>
        <w:pStyle w:val="Bibliography"/>
      </w:pPr>
      <w:r>
        <w:t xml:space="preserve">Liland, Kristian Hovde, Bjørn-Helge Mevik, and Ron Wehrens.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r>
        <w:t xml:space="preserve">.</w:t>
      </w:r>
    </w:p>
    <w:bookmarkEnd w:id="104"/>
    <w:bookmarkStart w:id="106" w:name="ref-nlme2000"/>
    <w:p>
      <w:pPr>
        <w:pStyle w:val="Bibliography"/>
      </w:pPr>
      <w:r>
        <w:t xml:space="preserve">Pinheiro, José C., and Douglas M. Bates. 2000.</w:t>
      </w:r>
      <w:r>
        <w:t xml:space="preserve"> </w:t>
      </w:r>
      <w:r>
        <w:rPr>
          <w:i/>
          <w:iCs/>
        </w:rPr>
        <w:t xml:space="preserve">Mixed-Effects Models in s and s-PLUS</w:t>
      </w:r>
      <w:r>
        <w:t xml:space="preserve">. New York: Springer.</w:t>
      </w:r>
      <w:r>
        <w:t xml:space="preserve"> </w:t>
      </w:r>
      <w:hyperlink r:id="rId105">
        <w:r>
          <w:rPr>
            <w:rStyle w:val="Hyperlink"/>
          </w:rPr>
          <w:t xml:space="preserve">https://doi.org/10.1007/b98882</w:t>
        </w:r>
      </w:hyperlink>
      <w:r>
        <w:t xml:space="preserve">.</w:t>
      </w:r>
    </w:p>
    <w:bookmarkEnd w:id="106"/>
    <w:bookmarkStart w:id="108" w:name="ref-nlme2023"/>
    <w:p>
      <w:pPr>
        <w:pStyle w:val="Bibliography"/>
      </w:pPr>
      <w:r>
        <w:t xml:space="preserve">Pinheiro, José, Douglas Bates, and R Core Team. 2023.</w:t>
      </w:r>
      <w:r>
        <w:t xml:space="preserve"> </w:t>
      </w:r>
      <w:r>
        <w:rPr>
          <w:i/>
          <w:iCs/>
        </w:rPr>
        <w:t xml:space="preserve">nlme</w:t>
      </w:r>
      <w:r>
        <w:rPr>
          <w:i/>
          <w:iCs/>
        </w:rPr>
        <w:t xml:space="preserve">: Linear and Nonlinear Mixed Effects Models</w:t>
      </w:r>
      <w:r>
        <w:t xml:space="preserve">.</w:t>
      </w:r>
      <w:r>
        <w:t xml:space="preserve"> </w:t>
      </w:r>
      <w:hyperlink r:id="rId107">
        <w:r>
          <w:rPr>
            <w:rStyle w:val="Hyperlink"/>
          </w:rPr>
          <w:t xml:space="preserve">https://CRAN.R-project.org/package=nlme</w:t>
        </w:r>
      </w:hyperlink>
      <w:r>
        <w:t xml:space="preserve">.</w:t>
      </w:r>
    </w:p>
    <w:bookmarkEnd w:id="108"/>
    <w:bookmarkStart w:id="110"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 R Foundation for Statistical Computing.</w:t>
      </w:r>
      <w:r>
        <w:t xml:space="preserve"> </w:t>
      </w:r>
      <w:hyperlink r:id="rId109">
        <w:r>
          <w:rPr>
            <w:rStyle w:val="Hyperlink"/>
          </w:rPr>
          <w:t xml:space="preserve">https://www.R-project.org/</w:t>
        </w:r>
      </w:hyperlink>
      <w:r>
        <w:t xml:space="preserve">.</w:t>
      </w:r>
    </w:p>
    <w:bookmarkEnd w:id="110"/>
    <w:bookmarkStart w:id="112" w:name="ref-reeves_potential_2012"/>
    <w:p>
      <w:pPr>
        <w:pStyle w:val="Bibliography"/>
      </w:pPr>
      <w:r>
        <w:t xml:space="preserve">Reeves, James B. 2012a.</w:t>
      </w:r>
      <w:r>
        <w:t xml:space="preserve"> </w:t>
      </w:r>
      <w:r>
        <w:t xml:space="preserve">“Potential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 </w:t>
      </w:r>
      <w:r>
        <w:t xml:space="preserve">43 (1-2): 478–95.</w:t>
      </w:r>
      <w:r>
        <w:t xml:space="preserve"> </w:t>
      </w:r>
      <w:hyperlink r:id="rId111">
        <w:r>
          <w:rPr>
            <w:rStyle w:val="Hyperlink"/>
          </w:rPr>
          <w:t xml:space="preserve">https://doi.org/10.1080/00103624.2012.641844</w:t>
        </w:r>
      </w:hyperlink>
      <w:r>
        <w:t xml:space="preserve">.</w:t>
      </w:r>
    </w:p>
    <w:bookmarkEnd w:id="112"/>
    <w:bookmarkStart w:id="113" w:name="ref-reeves2012"/>
    <w:p>
      <w:pPr>
        <w:pStyle w:val="Bibliography"/>
      </w:pPr>
      <w:r>
        <w:t xml:space="preserve">———. 2012b.</w:t>
      </w:r>
      <w:r>
        <w:t xml:space="preserve"> </w:t>
      </w:r>
      <w:r>
        <w:t xml:space="preserve">“Potential of Near- and Mid-Infrared Spectroscopy in Biofuel Production.”</w:t>
      </w:r>
      <w:r>
        <w:t xml:space="preserve"> </w:t>
      </w:r>
      <w:r>
        <w:rPr>
          <w:i/>
          <w:iCs/>
        </w:rPr>
        <w:t xml:space="preserve">Communications in Soil Science and Plant Analysis</w:t>
      </w:r>
      <w:r>
        <w:t xml:space="preserve"> </w:t>
      </w:r>
      <w:r>
        <w:t xml:space="preserve">43 (1-2): 478–95.</w:t>
      </w:r>
      <w:r>
        <w:t xml:space="preserve"> </w:t>
      </w:r>
      <w:hyperlink r:id="rId111">
        <w:r>
          <w:rPr>
            <w:rStyle w:val="Hyperlink"/>
          </w:rPr>
          <w:t xml:space="preserve">https://doi.org/10.1080/00103624.2012.641844</w:t>
        </w:r>
      </w:hyperlink>
      <w:r>
        <w:t xml:space="preserve">.</w:t>
      </w:r>
    </w:p>
    <w:bookmarkEnd w:id="113"/>
    <w:bookmarkStart w:id="114" w:name="ref-roberts_near-infrared_2004"/>
    <w:p>
      <w:pPr>
        <w:pStyle w:val="Bibliography"/>
      </w:pPr>
      <w:r>
        <w:t xml:space="preserve">Roberts, Craig A, Jerry Workman, and James B Reeves. 2004.</w:t>
      </w:r>
      <w:r>
        <w:t xml:space="preserve"> </w:t>
      </w:r>
      <w:r>
        <w:rPr>
          <w:i/>
          <w:iCs/>
        </w:rPr>
        <w:t xml:space="preserve">Near-Infrared Spectroscopy in Agriculture</w:t>
      </w:r>
      <w:r>
        <w:t xml:space="preserve">. American Society of Agronomy.</w:t>
      </w:r>
    </w:p>
    <w:bookmarkEnd w:id="114"/>
    <w:bookmarkStart w:id="115" w:name="ref-prospectr"/>
    <w:p>
      <w:pPr>
        <w:pStyle w:val="Bibliography"/>
      </w:pPr>
      <w:r>
        <w:t xml:space="preserve">Stevens, Antoine, and Leornardo Ramirez-Lopez. 2024.</w:t>
      </w:r>
      <w:r>
        <w:t xml:space="preserve"> </w:t>
      </w:r>
      <w:r>
        <w:rPr>
          <w:i/>
          <w:iCs/>
        </w:rPr>
        <w:t xml:space="preserve">An Introduction to the Prospectr Package</w:t>
      </w:r>
      <w:r>
        <w:t xml:space="preserve">.</w:t>
      </w:r>
    </w:p>
    <w:bookmarkEnd w:id="115"/>
    <w:bookmarkStart w:id="117" w:name="ref-skimr"/>
    <w:p>
      <w:pPr>
        <w:pStyle w:val="Bibliography"/>
      </w:pPr>
      <w:r>
        <w:t xml:space="preserve">Waring, Elin, Michael Quinn, Amelia McNamara, Eduardo Arino de la Rubia, Hao Zhu, and Shannon Ellis. 2022.</w:t>
      </w:r>
      <w:r>
        <w:t xml:space="preserve"> </w:t>
      </w:r>
      <w:r>
        <w:rPr>
          <w:i/>
          <w:iCs/>
        </w:rPr>
        <w:t xml:space="preserve">skimr</w:t>
      </w:r>
      <w:r>
        <w:rPr>
          <w:i/>
          <w:iCs/>
        </w:rPr>
        <w:t xml:space="preserve">: Compact and Flexible Summaries of Data</w:t>
      </w:r>
      <w:r>
        <w:t xml:space="preserve">.</w:t>
      </w:r>
      <w:r>
        <w:t xml:space="preserve"> </w:t>
      </w:r>
      <w:hyperlink r:id="rId116">
        <w:r>
          <w:rPr>
            <w:rStyle w:val="Hyperlink"/>
          </w:rPr>
          <w:t xml:space="preserve">https://CRAN.R-project.org/package=skimr</w:t>
        </w:r>
      </w:hyperlink>
      <w:r>
        <w:t xml:space="preserve">.</w:t>
      </w:r>
    </w:p>
    <w:bookmarkEnd w:id="117"/>
    <w:bookmarkStart w:id="119"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118">
        <w:r>
          <w:rPr>
            <w:rStyle w:val="Hyperlink"/>
          </w:rPr>
          <w:t xml:space="preserve">https://doi.org/10.21105/joss.01686</w:t>
        </w:r>
      </w:hyperlink>
      <w:r>
        <w:t xml:space="preserve">.</w:t>
      </w:r>
    </w:p>
    <w:bookmarkEnd w:id="119"/>
    <w:bookmarkStart w:id="120" w:name="ref-williams_application_1975"/>
    <w:p>
      <w:pPr>
        <w:pStyle w:val="Bibliography"/>
      </w:pPr>
      <w:r>
        <w:t xml:space="preserve">Williams, P. C. 1975.</w:t>
      </w:r>
      <w:r>
        <w:t xml:space="preserve"> </w:t>
      </w:r>
      <w:r>
        <w:t xml:space="preserve">“Application of Near Infrared Reflectance Spectroscopy to Analysis of Cereal Grains and Oilseeds.”</w:t>
      </w:r>
      <w:r>
        <w:t xml:space="preserve"> </w:t>
      </w:r>
      <w:r>
        <w:rPr>
          <w:i/>
          <w:iCs/>
        </w:rPr>
        <w:t xml:space="preserve">Cereal Chemistry</w:t>
      </w:r>
      <w:r>
        <w:t xml:space="preserve"> </w:t>
      </w:r>
      <w:r>
        <w:t xml:space="preserve">52 (4 p.561-576): 576–61.</w:t>
      </w:r>
    </w:p>
    <w:bookmarkEnd w:id="120"/>
    <w:bookmarkStart w:id="121"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
          <w:iCs/>
        </w:rPr>
        <w:t xml:space="preserve">Implementing Reproducible Computational Research</w:t>
      </w:r>
      <w:r>
        <w:t xml:space="preserve">, edited by Victoria Stodden, Friedrich Leisch, and Roger D. Peng. Chapman; Hall/CRC.</w:t>
      </w:r>
    </w:p>
    <w:bookmarkEnd w:id="121"/>
    <w:bookmarkStart w:id="123" w:name="ref-knitr2015"/>
    <w:p>
      <w:pPr>
        <w:pStyle w:val="Bibliography"/>
      </w:pPr>
      <w:r>
        <w:t xml:space="preserve">———.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2nd ed. Boca Raton, Florida: Chapman; Hall/CRC.</w:t>
      </w:r>
      <w:r>
        <w:t xml:space="preserve"> </w:t>
      </w:r>
      <w:hyperlink r:id="rId122">
        <w:r>
          <w:rPr>
            <w:rStyle w:val="Hyperlink"/>
          </w:rPr>
          <w:t xml:space="preserve">https://yihui.org/knitr/</w:t>
        </w:r>
      </w:hyperlink>
      <w:r>
        <w:t xml:space="preserve">.</w:t>
      </w:r>
    </w:p>
    <w:bookmarkEnd w:id="123"/>
    <w:bookmarkStart w:id="124" w:name="ref-knitr2023"/>
    <w:p>
      <w:pPr>
        <w:pStyle w:val="Bibliography"/>
      </w:pPr>
      <w:r>
        <w:t xml:space="preserve">———. 2023.</w:t>
      </w:r>
      <w:r>
        <w:t xml:space="preserve"> </w:t>
      </w:r>
      <w:r>
        <w:rPr>
          <w:i/>
          <w:iCs/>
        </w:rPr>
        <w:t xml:space="preserve">knitr</w:t>
      </w:r>
      <w:r>
        <w:rPr>
          <w:i/>
          <w:iCs/>
        </w:rPr>
        <w:t xml:space="preserve">: A General-Purpose Package for Dynamic Report Generation in r</w:t>
      </w:r>
      <w:r>
        <w:t xml:space="preserve">.</w:t>
      </w:r>
      <w:r>
        <w:t xml:space="preserve"> </w:t>
      </w:r>
      <w:hyperlink r:id="rId122">
        <w:r>
          <w:rPr>
            <w:rStyle w:val="Hyperlink"/>
          </w:rPr>
          <w:t xml:space="preserve">https://yihui.org/knitr/</w:t>
        </w:r>
      </w:hyperlink>
      <w:r>
        <w:t xml:space="preserve">.</w:t>
      </w:r>
    </w:p>
    <w:bookmarkEnd w:id="124"/>
    <w:bookmarkStart w:id="126" w:name="ref-rmarkdown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125">
        <w:r>
          <w:rPr>
            <w:rStyle w:val="Hyperlink"/>
          </w:rPr>
          <w:t xml:space="preserve">https://bookdown.org/yihui/rmarkdown</w:t>
        </w:r>
      </w:hyperlink>
      <w:r>
        <w:t xml:space="preserve">.</w:t>
      </w:r>
    </w:p>
    <w:bookmarkEnd w:id="126"/>
    <w:bookmarkStart w:id="128" w:name="ref-rmarkdown2020"/>
    <w:p>
      <w:pPr>
        <w:pStyle w:val="Bibliography"/>
      </w:pPr>
      <w:r>
        <w:t xml:space="preserve">Xie, Yihui, Christophe Dervieux, and Emily Riederer. 2020.</w:t>
      </w:r>
      <w:r>
        <w:t xml:space="preserve"> </w:t>
      </w:r>
      <w:r>
        <w:rPr>
          <w:i/>
          <w:iCs/>
        </w:rPr>
        <w:t xml:space="preserve">R Markdown Cookbook</w:t>
      </w:r>
      <w:r>
        <w:t xml:space="preserve">. Boca Raton, Florida: Chapman; Hall/CRC.</w:t>
      </w:r>
      <w:r>
        <w:t xml:space="preserve"> </w:t>
      </w:r>
      <w:hyperlink r:id="rId127">
        <w:r>
          <w:rPr>
            <w:rStyle w:val="Hyperlink"/>
          </w:rPr>
          <w:t xml:space="preserve">https://bookdown.org/yihui/rmarkdown-cookbook</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42" Target="media/rId42.png" /><Relationship Type="http://schemas.openxmlformats.org/officeDocument/2006/relationships/image" Id="rId64" Target="media/rId64.png" /><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6" Target="https://CRAN.R-project.org/package=skimr" TargetMode="External" /><Relationship Type="http://schemas.openxmlformats.org/officeDocument/2006/relationships/hyperlink" Id="rId125" Target="https://bookdown.org/yihui/rmarkdown" TargetMode="External" /><Relationship Type="http://schemas.openxmlformats.org/officeDocument/2006/relationships/hyperlink" Id="rId127"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07/s10681-004-4811-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8"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6" Target="https://CRAN.R-project.org/package=skimr" TargetMode="External" /><Relationship Type="http://schemas.openxmlformats.org/officeDocument/2006/relationships/hyperlink" Id="rId125" Target="https://bookdown.org/yihui/rmarkdown" TargetMode="External" /><Relationship Type="http://schemas.openxmlformats.org/officeDocument/2006/relationships/hyperlink" Id="rId127"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07/s10681-004-4811-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8"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2024-03-15T17:47:41Z</dcterms:created>
  <dcterms:modified xsi:type="dcterms:W3CDTF">2024-03-15T17:47:41Z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2024-03-15</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