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31" w:name="results-and-discussion"/>
    <w:p>
      <w:pPr>
        <w:pStyle w:val="Heading2"/>
      </w:pPr>
      <w:r>
        <w:t xml:space="preserve">RESULTS AND DISCUSSION</w:t>
      </w:r>
    </w:p>
    <w:bookmarkStart w:id="28"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Start w:id="29"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pPr>
            <w:r>
              <w:t xml:space="preserve">Preprocessing Method</w:t>
            </w:r>
          </w:p>
        </w:tc>
        <w:tc>
          <w:tcPr/>
          <w:p>
            <w:pPr>
              <w:pStyle w:val="Compact"/>
              <w:jc w:val="left"/>
            </w:pPr>
            <w:r>
              <w:t xml:space="preserve">RMSE</w:t>
            </w:r>
          </w:p>
        </w:tc>
        <w:tc>
          <w:tcPr/>
          <w:p>
            <w:pPr>
              <w:pStyle w:val="Compact"/>
              <w:jc w:val="left"/>
            </w:pPr>
            <w:r>
              <w:t xml:space="preserve">R^2</w:t>
            </w:r>
          </w:p>
        </w:tc>
        <w:tc>
          <w:tcPr/>
          <w:p>
            <w:pPr>
              <w:pStyle w:val="Compact"/>
              <w:jc w:val="left"/>
            </w:pPr>
            <w:r>
              <w:t xml:space="preserve">RPIQ</w:t>
            </w:r>
          </w:p>
        </w:tc>
      </w:tr>
      <w:tr>
        <w:tc>
          <w:tcPr/>
          <w:p>
            <w:pPr>
              <w:pStyle w:val="Compact"/>
              <w:jc w:val="left"/>
            </w:pPr>
            <w:r>
              <w:t xml:space="preserve">Savitzky-Golay</w:t>
            </w:r>
          </w:p>
        </w:tc>
        <w:tc>
          <w:tcPr/>
          <w:p>
            <w:pPr>
              <w:pStyle w:val="Compact"/>
              <w:jc w:val="left"/>
            </w:pPr>
            <w:r>
              <w:t xml:space="preserve">1.16 ± 0.018</w:t>
            </w:r>
          </w:p>
        </w:tc>
        <w:tc>
          <w:tcPr/>
          <w:p>
            <w:pPr>
              <w:pStyle w:val="Compact"/>
              <w:jc w:val="left"/>
            </w:pPr>
            <w:r>
              <w:t xml:space="preserve">0.77 ± 0.009</w:t>
            </w:r>
          </w:p>
        </w:tc>
        <w:tc>
          <w:tcPr/>
          <w:p>
            <w:pPr>
              <w:pStyle w:val="Compact"/>
              <w:jc w:val="left"/>
            </w:pPr>
            <w:r>
              <w:t xml:space="preserve">3.36 ± 0.081</w:t>
            </w:r>
          </w:p>
        </w:tc>
      </w:tr>
      <w:tr>
        <w:tc>
          <w:tcPr/>
          <w:p>
            <w:pPr>
              <w:pStyle w:val="Compact"/>
              <w:jc w:val="left"/>
            </w:pPr>
            <w:r>
              <w:t xml:space="preserve">First Derivative</w:t>
            </w:r>
          </w:p>
        </w:tc>
        <w:tc>
          <w:tcPr/>
          <w:p>
            <w:pPr>
              <w:pStyle w:val="Compact"/>
              <w:jc w:val="left"/>
            </w:pPr>
            <w:r>
              <w:t xml:space="preserve">1.18 ± 0.018</w:t>
            </w:r>
          </w:p>
        </w:tc>
        <w:tc>
          <w:tcPr/>
          <w:p>
            <w:pPr>
              <w:pStyle w:val="Compact"/>
              <w:jc w:val="left"/>
            </w:pPr>
            <w:r>
              <w:t xml:space="preserve">0.76 ± 0.009</w:t>
            </w:r>
          </w:p>
        </w:tc>
        <w:tc>
          <w:tcPr/>
          <w:p>
            <w:pPr>
              <w:pStyle w:val="Compact"/>
              <w:jc w:val="left"/>
            </w:pPr>
            <w:r>
              <w:t xml:space="preserve">3.30 ± 0.081</w:t>
            </w:r>
          </w:p>
        </w:tc>
      </w:tr>
      <w:tr>
        <w:tc>
          <w:tcPr/>
          <w:p>
            <w:pPr>
              <w:pStyle w:val="Compact"/>
              <w:jc w:val="left"/>
            </w:pPr>
            <w:r>
              <w:t xml:space="preserve">Standard Normal Variate/ Savitzky-Golay</w:t>
            </w:r>
          </w:p>
        </w:tc>
        <w:tc>
          <w:tcPr/>
          <w:p>
            <w:pPr>
              <w:pStyle w:val="Compact"/>
              <w:jc w:val="left"/>
            </w:pPr>
            <w:r>
              <w:t xml:space="preserve">1.19 ± 0.018</w:t>
            </w:r>
          </w:p>
        </w:tc>
        <w:tc>
          <w:tcPr/>
          <w:p>
            <w:pPr>
              <w:pStyle w:val="Compact"/>
              <w:jc w:val="left"/>
            </w:pPr>
            <w:r>
              <w:t xml:space="preserve">0.76 ± 0.009</w:t>
            </w:r>
          </w:p>
        </w:tc>
        <w:tc>
          <w:tcPr/>
          <w:p>
            <w:pPr>
              <w:pStyle w:val="Compact"/>
              <w:jc w:val="left"/>
            </w:pPr>
            <w:r>
              <w:t xml:space="preserve">3.26 ± 0.082</w:t>
            </w:r>
          </w:p>
        </w:tc>
      </w:tr>
      <w:tr>
        <w:tc>
          <w:tcPr/>
          <w:p>
            <w:pPr>
              <w:pStyle w:val="Compact"/>
              <w:jc w:val="left"/>
            </w:pPr>
            <w:r>
              <w:t xml:space="preserve">Gap-segment derivative</w:t>
            </w:r>
          </w:p>
        </w:tc>
        <w:tc>
          <w:tcPr/>
          <w:p>
            <w:pPr>
              <w:pStyle w:val="Compact"/>
              <w:jc w:val="left"/>
            </w:pPr>
            <w:r>
              <w:t xml:space="preserve">1.23 ± 0.019</w:t>
            </w:r>
          </w:p>
        </w:tc>
        <w:tc>
          <w:tcPr/>
          <w:p>
            <w:pPr>
              <w:pStyle w:val="Compact"/>
              <w:jc w:val="left"/>
            </w:pPr>
            <w:r>
              <w:t xml:space="preserve">0.75 ± 0.009</w:t>
            </w:r>
          </w:p>
        </w:tc>
        <w:tc>
          <w:tcPr/>
          <w:p>
            <w:pPr>
              <w:pStyle w:val="Compact"/>
              <w:jc w:val="left"/>
            </w:pPr>
            <w:r>
              <w:t xml:space="preserve">3.17 ± 0.081</w:t>
            </w:r>
          </w:p>
        </w:tc>
      </w:tr>
      <w:tr>
        <w:tc>
          <w:tcPr/>
          <w:p>
            <w:pPr>
              <w:pStyle w:val="Compact"/>
              <w:jc w:val="left"/>
            </w:pPr>
            <w:r>
              <w:t xml:space="preserve">SNV-Detrend</w:t>
            </w:r>
          </w:p>
        </w:tc>
        <w:tc>
          <w:tcPr/>
          <w:p>
            <w:pPr>
              <w:pStyle w:val="Compact"/>
              <w:jc w:val="left"/>
            </w:pPr>
            <w:r>
              <w:t xml:space="preserve">1.27 ± 0.021</w:t>
            </w:r>
          </w:p>
        </w:tc>
        <w:tc>
          <w:tcPr/>
          <w:p>
            <w:pPr>
              <w:pStyle w:val="Compact"/>
              <w:jc w:val="left"/>
            </w:pPr>
            <w:r>
              <w:t xml:space="preserve">0.73 ± 0.010</w:t>
            </w:r>
          </w:p>
        </w:tc>
        <w:tc>
          <w:tcPr/>
          <w:p>
            <w:pPr>
              <w:pStyle w:val="Compact"/>
              <w:jc w:val="left"/>
            </w:pPr>
            <w:r>
              <w:t xml:space="preserve">3.10 ± 0.083</w:t>
            </w:r>
          </w:p>
        </w:tc>
      </w:tr>
      <w:tr>
        <w:tc>
          <w:tcPr/>
          <w:p>
            <w:pPr>
              <w:pStyle w:val="Compact"/>
              <w:jc w:val="left"/>
            </w:pPr>
            <w:r>
              <w:t xml:space="preserve">Standard Normal Variate</w:t>
            </w:r>
          </w:p>
        </w:tc>
        <w:tc>
          <w:tcPr/>
          <w:p>
            <w:pPr>
              <w:pStyle w:val="Compact"/>
              <w:jc w:val="left"/>
            </w:pPr>
            <w:r>
              <w:t xml:space="preserve">1.29 ± 0.023</w:t>
            </w:r>
          </w:p>
        </w:tc>
        <w:tc>
          <w:tcPr/>
          <w:p>
            <w:pPr>
              <w:pStyle w:val="Compact"/>
              <w:jc w:val="left"/>
            </w:pPr>
            <w:r>
              <w:t xml:space="preserve">0.73 ± 0.010</w:t>
            </w:r>
          </w:p>
        </w:tc>
        <w:tc>
          <w:tcPr/>
          <w:p>
            <w:pPr>
              <w:pStyle w:val="Compact"/>
              <w:jc w:val="left"/>
            </w:pPr>
            <w:r>
              <w:t xml:space="preserve">3.07 ± 0.083</w:t>
            </w:r>
          </w:p>
        </w:tc>
      </w:tr>
      <w:tr>
        <w:tc>
          <w:tcPr/>
          <w:p>
            <w:pPr>
              <w:pStyle w:val="Compact"/>
              <w:jc w:val="left"/>
            </w:pPr>
            <w:r>
              <w:t xml:space="preserve">Multiplicative Scatter Correction</w:t>
            </w:r>
          </w:p>
        </w:tc>
        <w:tc>
          <w:tcPr/>
          <w:p>
            <w:pPr>
              <w:pStyle w:val="Compact"/>
              <w:jc w:val="left"/>
            </w:pPr>
            <w:r>
              <w:t xml:space="preserve">1.32 ± 0.020</w:t>
            </w:r>
          </w:p>
        </w:tc>
        <w:tc>
          <w:tcPr/>
          <w:p>
            <w:pPr>
              <w:pStyle w:val="Compact"/>
              <w:jc w:val="left"/>
            </w:pPr>
            <w:r>
              <w:t xml:space="preserve">0.72 ± 0.010</w:t>
            </w:r>
          </w:p>
        </w:tc>
        <w:tc>
          <w:tcPr/>
          <w:p>
            <w:pPr>
              <w:pStyle w:val="Compact"/>
              <w:jc w:val="left"/>
            </w:pPr>
            <w:r>
              <w:t xml:space="preserve">2.96 ± 0.081</w:t>
            </w:r>
          </w:p>
        </w:tc>
      </w:tr>
      <w:tr>
        <w:tc>
          <w:tcPr/>
          <w:p>
            <w:pPr>
              <w:pStyle w:val="Compact"/>
              <w:jc w:val="left"/>
            </w:pPr>
            <w:r>
              <w:t xml:space="preserve">Raw Spectra</w:t>
            </w:r>
          </w:p>
        </w:tc>
        <w:tc>
          <w:tcPr/>
          <w:p>
            <w:pPr>
              <w:pStyle w:val="Compact"/>
              <w:jc w:val="left"/>
            </w:pPr>
            <w:r>
              <w:t xml:space="preserve">1.37 ± 0.028</w:t>
            </w:r>
          </w:p>
        </w:tc>
        <w:tc>
          <w:tcPr/>
          <w:p>
            <w:pPr>
              <w:pStyle w:val="Compact"/>
              <w:jc w:val="left"/>
            </w:pPr>
            <w:r>
              <w:t xml:space="preserve">0.69 ± 0.012</w:t>
            </w:r>
          </w:p>
        </w:tc>
        <w:tc>
          <w:tcPr/>
          <w:p>
            <w:pPr>
              <w:pStyle w:val="Compact"/>
              <w:jc w:val="left"/>
            </w:pPr>
            <w:r>
              <w:t xml:space="preserve">2.89 ± 0.086</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1.7% lower, while R</w:t>
      </w:r>
      <w:r>
        <w:rPr>
          <w:vertAlign w:val="superscript"/>
        </w:rPr>
        <w:t xml:space="preserve">2</w:t>
      </w:r>
      <w:r>
        <w:t xml:space="preserve"> </w:t>
      </w:r>
      <w:r>
        <w:t xml:space="preserve">and RPIQ averaged 1.2% and 2.0% higher than the next best preprocessing method (first derivative, according to each metric). However, only at R</w:t>
      </w:r>
      <w:r>
        <w:rPr>
          <w:vertAlign w:val="superscript"/>
        </w:rPr>
        <w:t xml:space="preserve">2</w:t>
      </w:r>
      <w:r>
        <w:t xml:space="preserve"> </w:t>
      </w:r>
      <w:r>
        <w:t xml:space="preserve">was the difference from the next best preprocessing method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-11.1 % lower RMSE, and had 6.9% higher R</w:t>
      </w:r>
      <w:r>
        <w:rPr>
          <w:vertAlign w:val="superscript"/>
        </w:rPr>
        <w:t xml:space="preserve">2</w:t>
      </w:r>
      <w:r>
        <w:t xml:space="preserve"> </w:t>
      </w:r>
      <w:r>
        <w:t xml:space="preserve">9.1% higher RPIQ than unprocessed spectra. Because the Savitzky-Golay method was the best performing under all methods, a final model was developed using that preprocessing method.</w:t>
      </w:r>
    </w:p>
    <w:bookmarkEnd w:id="29"/>
    <w:bookmarkStart w:id="30" w:name="final-model-summary-development"/>
    <w:p>
      <w:pPr>
        <w:pStyle w:val="Heading3"/>
      </w:pPr>
      <w:r>
        <w:t xml:space="preserve">Final model summary development</w:t>
      </w:r>
    </w:p>
    <w:p>
      <w:pPr>
        <w:pStyle w:val="FirstParagraph"/>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30"/>
    <w:bookmarkEnd w:id="31"/>
    <w:bookmarkStart w:id="32" w:name="acknowledgments"/>
    <w:p>
      <w:pPr>
        <w:pStyle w:val="Heading2"/>
      </w:pPr>
      <w:r>
        <w:t xml:space="preserve">ACKNOWLEDGMENTS</w:t>
      </w:r>
    </w:p>
    <w:bookmarkEnd w:id="32"/>
    <w:bookmarkStart w:id="33" w:name="supplemental-material"/>
    <w:p>
      <w:pPr>
        <w:pStyle w:val="Heading2"/>
      </w:pPr>
      <w:r>
        <w:t xml:space="preserve">SUPPLEMENTAL MATERIAL</w:t>
      </w:r>
    </w:p>
    <w:bookmarkEnd w:id="33"/>
    <w:bookmarkStart w:id="34" w:name="optional-sections"/>
    <w:p>
      <w:pPr>
        <w:pStyle w:val="Heading2"/>
      </w:pPr>
      <w:r>
        <w:t xml:space="preserve">OPTIONAL SECTIONS</w:t>
      </w:r>
    </w:p>
    <w:bookmarkEnd w:id="34"/>
    <w:bookmarkStart w:id="35" w:name="references"/>
    <w:p>
      <w:pPr>
        <w:pStyle w:val="Heading2"/>
      </w:pPr>
      <w:r>
        <w:t xml:space="preserve">REFERENCES</w:t>
      </w:r>
    </w:p>
    <w:bookmarkEnd w:id="35"/>
    <w:bookmarkStart w:id="52"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0" w:name="cell-fig-timeline"/>
    <w:tbl>
      <w:tblPr>
        <w:tblStyle w:val="Table"/>
        <w:tblW w:type="pct" w:w="5000"/>
        <w:jc w:val="left"/>
        <w:tblLayout w:type="fixed"/>
        <w:tblLook w:firstRow="0" w:lastRow="0" w:firstColumn="0" w:lastColumn="0" w:noHBand="0" w:noVBand="0" w:val="0000"/>
      </w:tblPr>
      <w:tblGrid>
        <w:gridCol w:w="7920"/>
      </w:tblGrid>
      <w:tr>
        <w:tc>
          <w:tcPr/>
          <w:bookmarkStart w:id="39" w:name="fig-timeline"/>
          <w:p>
            <w:pPr>
              <w:pStyle w:val="Compact"/>
              <w:jc w:val="center"/>
            </w:pPr>
            <w:r>
              <w:drawing>
                <wp:inline>
                  <wp:extent cx="5334000" cy="1333500"/>
                  <wp:effectExtent b="0" l="0" r="0" t="0"/>
                  <wp:docPr descr="" title="" id="37" name="Picture"/>
                  <a:graphic>
                    <a:graphicData uri="http://schemas.openxmlformats.org/drawingml/2006/picture">
                      <pic:pic>
                        <pic:nvPicPr>
                          <pic:cNvPr descr="index_files/figure-docx/fig-timeline-1.png" id="38" name="Picture"/>
                          <pic:cNvPicPr>
                            <a:picLocks noChangeArrowheads="1" noChangeAspect="1"/>
                          </pic:cNvPicPr>
                        </pic:nvPicPr>
                        <pic:blipFill>
                          <a:blip r:embed="rId36"/>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9"/>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0"/>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1"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1"/>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2"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2"/>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6" w:name="fig-map"/>
          <w:p>
            <w:pPr>
              <w:pStyle w:val="Compact"/>
              <w:jc w:val="center"/>
            </w:pPr>
            <w:r>
              <w:drawing>
                <wp:inline>
                  <wp:extent cx="5334000" cy="2369740"/>
                  <wp:effectExtent b="0" l="0" r="0" t="0"/>
                  <wp:docPr descr="" title="" id="44" name="Picture"/>
                  <a:graphic>
                    <a:graphicData uri="http://schemas.openxmlformats.org/drawingml/2006/picture">
                      <pic:pic>
                        <pic:nvPicPr>
                          <pic:cNvPr descr="images/la-palma-map.png" id="45" name="Picture"/>
                          <pic:cNvPicPr>
                            <a:picLocks noChangeArrowheads="1" noChangeAspect="1"/>
                          </pic:cNvPicPr>
                        </pic:nvPicPr>
                        <pic:blipFill>
                          <a:blip r:embed="rId43"/>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6"/>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50" w:name="fig-spatial-plot"/>
          <w:p>
            <w:pPr>
              <w:pStyle w:val="Compact"/>
              <w:jc w:val="center"/>
            </w:pPr>
            <w:r>
              <w:drawing>
                <wp:inline>
                  <wp:extent cx="5334000" cy="3810000"/>
                  <wp:effectExtent b="0" l="0" r="0" t="0"/>
                  <wp:docPr descr="" title="" id="48" name="Picture"/>
                  <a:graphic>
                    <a:graphicData uri="http://schemas.openxmlformats.org/drawingml/2006/picture">
                      <pic:pic>
                        <pic:nvPicPr>
                          <pic:cNvPr descr="index_files/figure-docx/notebooks-explore-earthquakes-fig-spatial-plot-output-1.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2"/>
    <w:bookmarkStart w:id="53" w:name="sec-data-methods"/>
    <w:p>
      <w:pPr>
        <w:pStyle w:val="Heading2"/>
      </w:pPr>
      <w:r>
        <w:t xml:space="preserve">Data &amp; Methods</w:t>
      </w:r>
    </w:p>
    <w:bookmarkEnd w:id="53"/>
    <w:bookmarkStart w:id="54" w:name="conclusion"/>
    <w:p>
      <w:pPr>
        <w:pStyle w:val="Heading2"/>
      </w:pPr>
      <w:r>
        <w:t xml:space="preserve">Conclusion</w:t>
      </w:r>
    </w:p>
    <w:bookmarkEnd w:id="54"/>
    <w:bookmarkStart w:id="113" w:name="references-1"/>
    <w:p>
      <w:pPr>
        <w:pStyle w:val="Heading2"/>
      </w:pPr>
      <w:r>
        <w:t xml:space="preserve">References</w:t>
      </w:r>
    </w:p>
    <w:bookmarkStart w:id="112" w:name="refs"/>
    <w:bookmarkStart w:id="56"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55">
        <w:r>
          <w:rPr>
            <w:rStyle w:val="Hyperlink"/>
          </w:rPr>
          <w:t xml:space="preserve">https://github.com/rstudio/rmarkdown</w:t>
        </w:r>
      </w:hyperlink>
      <w:r>
        <w:t xml:space="preserve">.</w:t>
      </w:r>
    </w:p>
    <w:bookmarkEnd w:id="56"/>
    <w:bookmarkStart w:id="58"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7">
        <w:r>
          <w:rPr>
            <w:rStyle w:val="Hyperlink"/>
          </w:rPr>
          <w:t xml:space="preserve">https://CRAN.R-project.org/package=data.table</w:t>
        </w:r>
      </w:hyperlink>
      <w:r>
        <w:t xml:space="preserve">.</w:t>
      </w:r>
    </w:p>
    <w:bookmarkEnd w:id="58"/>
    <w:bookmarkStart w:id="60"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59">
        <w:r>
          <w:rPr>
            <w:rStyle w:val="Hyperlink"/>
          </w:rPr>
          <w:t xml:space="preserve">https://doi.org/10.3390/plants13010111</w:t>
        </w:r>
      </w:hyperlink>
      <w:r>
        <w:t xml:space="preserve">.</w:t>
      </w:r>
    </w:p>
    <w:bookmarkEnd w:id="60"/>
    <w:bookmarkStart w:id="62"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61">
        <w:r>
          <w:rPr>
            <w:rStyle w:val="Hyperlink"/>
          </w:rPr>
          <w:t xml:space="preserve">https://doi.org/10.18637/jss.v067.i01</w:t>
        </w:r>
      </w:hyperlink>
      <w:r>
        <w:t xml:space="preserve">.</w:t>
      </w:r>
    </w:p>
    <w:bookmarkEnd w:id="62"/>
    <w:bookmarkStart w:id="64"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63">
        <w:r>
          <w:rPr>
            <w:rStyle w:val="Hyperlink"/>
          </w:rPr>
          <w:t xml:space="preserve">https://doi.org/10.1007/s10681-004-4811-6</w:t>
        </w:r>
      </w:hyperlink>
      <w:r>
        <w:t xml:space="preserve">.</w:t>
      </w:r>
    </w:p>
    <w:bookmarkEnd w:id="64"/>
    <w:bookmarkStart w:id="66"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65">
        <w:r>
          <w:rPr>
            <w:rStyle w:val="Hyperlink"/>
          </w:rPr>
          <w:t xml:space="preserve">https://doi.org/10.3390/s22103710</w:t>
        </w:r>
      </w:hyperlink>
      <w:r>
        <w:t xml:space="preserve">.</w:t>
      </w:r>
    </w:p>
    <w:bookmarkEnd w:id="66"/>
    <w:bookmarkStart w:id="68"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67">
        <w:r>
          <w:rPr>
            <w:rStyle w:val="Hyperlink"/>
          </w:rPr>
          <w:t xml:space="preserve">https://doi.org/10.1007/978-981-16-8778-5_6</w:t>
        </w:r>
      </w:hyperlink>
      <w:r>
        <w:t xml:space="preserve">.</w:t>
      </w:r>
    </w:p>
    <w:bookmarkEnd w:id="68"/>
    <w:bookmarkStart w:id="70"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69">
        <w:r>
          <w:rPr>
            <w:rStyle w:val="Hyperlink"/>
          </w:rPr>
          <w:t xml:space="preserve">https://doi.org/10.1177/0967033519848296</w:t>
        </w:r>
      </w:hyperlink>
      <w:r>
        <w:t xml:space="preserve">.</w:t>
      </w:r>
    </w:p>
    <w:bookmarkEnd w:id="70"/>
    <w:bookmarkStart w:id="72"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71">
        <w:r>
          <w:rPr>
            <w:rStyle w:val="Hyperlink"/>
          </w:rPr>
          <w:t xml:space="preserve">https://doi.org/10.3390/plants11162146</w:t>
        </w:r>
      </w:hyperlink>
      <w:r>
        <w:t xml:space="preserve">.</w:t>
      </w:r>
    </w:p>
    <w:bookmarkEnd w:id="72"/>
    <w:bookmarkStart w:id="74"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73">
        <w:r>
          <w:rPr>
            <w:rStyle w:val="Hyperlink"/>
          </w:rPr>
          <w:t xml:space="preserve">https://doi.org/10.3389/fpls.2019.01509</w:t>
        </w:r>
      </w:hyperlink>
      <w:r>
        <w:t xml:space="preserve">.</w:t>
      </w:r>
    </w:p>
    <w:bookmarkEnd w:id="74"/>
    <w:bookmarkStart w:id="76"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75">
        <w:r>
          <w:rPr>
            <w:rStyle w:val="Hyperlink"/>
          </w:rPr>
          <w:t xml:space="preserve">https://doi.org/10.3390/foods9101340</w:t>
        </w:r>
      </w:hyperlink>
      <w:r>
        <w:t xml:space="preserve">.</w:t>
      </w:r>
    </w:p>
    <w:bookmarkEnd w:id="76"/>
    <w:bookmarkStart w:id="77"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77"/>
    <w:bookmarkStart w:id="79"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r>
        <w:t xml:space="preserve">.</w:t>
      </w:r>
    </w:p>
    <w:bookmarkEnd w:id="79"/>
    <w:bookmarkStart w:id="81"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80">
        <w:r>
          <w:rPr>
            <w:rStyle w:val="Hyperlink"/>
          </w:rPr>
          <w:t xml:space="preserve">https://doi.org/10.18637/jss.v028.i05</w:t>
        </w:r>
      </w:hyperlink>
      <w:r>
        <w:t xml:space="preserve">.</w:t>
      </w:r>
    </w:p>
    <w:bookmarkEnd w:id="81"/>
    <w:bookmarkStart w:id="83"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r>
        <w:t xml:space="preserve">.</w:t>
      </w:r>
    </w:p>
    <w:bookmarkEnd w:id="83"/>
    <w:bookmarkStart w:id="85"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84">
        <w:r>
          <w:rPr>
            <w:rStyle w:val="Hyperlink"/>
          </w:rPr>
          <w:t xml:space="preserve">https://CRAN.R-project.org/doc/Rnews/</w:t>
        </w:r>
      </w:hyperlink>
      <w:r>
        <w:t xml:space="preserve">.</w:t>
      </w:r>
    </w:p>
    <w:bookmarkEnd w:id="85"/>
    <w:bookmarkStart w:id="87"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r>
        <w:t xml:space="preserve">.</w:t>
      </w:r>
    </w:p>
    <w:bookmarkEnd w:id="87"/>
    <w:bookmarkStart w:id="89"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88">
        <w:r>
          <w:rPr>
            <w:rStyle w:val="Hyperlink"/>
          </w:rPr>
          <w:t xml:space="preserve">https://doi.org/10.1007/b98882</w:t>
        </w:r>
      </w:hyperlink>
      <w:r>
        <w:t xml:space="preserve">.</w:t>
      </w:r>
    </w:p>
    <w:bookmarkEnd w:id="89"/>
    <w:bookmarkStart w:id="91"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90">
        <w:r>
          <w:rPr>
            <w:rStyle w:val="Hyperlink"/>
          </w:rPr>
          <w:t xml:space="preserve">https://CRAN.R-project.org/package=nlme</w:t>
        </w:r>
      </w:hyperlink>
      <w:r>
        <w:t xml:space="preserve">.</w:t>
      </w:r>
    </w:p>
    <w:bookmarkEnd w:id="91"/>
    <w:bookmarkStart w:id="93"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5"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94">
        <w:r>
          <w:rPr>
            <w:rStyle w:val="Hyperlink"/>
          </w:rPr>
          <w:t xml:space="preserve">https://doi.org/10.1080/00103624.2012.641844</w:t>
        </w:r>
      </w:hyperlink>
      <w:r>
        <w:t xml:space="preserve">.</w:t>
      </w:r>
    </w:p>
    <w:bookmarkEnd w:id="95"/>
    <w:bookmarkStart w:id="96"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94">
        <w:r>
          <w:rPr>
            <w:rStyle w:val="Hyperlink"/>
          </w:rPr>
          <w:t xml:space="preserve">https://doi.org/10.1080/00103624.2012.641844</w:t>
        </w:r>
      </w:hyperlink>
      <w:r>
        <w:t xml:space="preserve">.</w:t>
      </w:r>
    </w:p>
    <w:bookmarkEnd w:id="96"/>
    <w:bookmarkStart w:id="97"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97"/>
    <w:bookmarkStart w:id="98"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98"/>
    <w:bookmarkStart w:id="100"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99">
        <w:r>
          <w:rPr>
            <w:rStyle w:val="Hyperlink"/>
          </w:rPr>
          <w:t xml:space="preserve">https://CRAN.R-project.org/package=skimr</w:t>
        </w:r>
      </w:hyperlink>
      <w:r>
        <w:t xml:space="preserve">.</w:t>
      </w:r>
    </w:p>
    <w:bookmarkEnd w:id="100"/>
    <w:bookmarkStart w:id="102"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01">
        <w:r>
          <w:rPr>
            <w:rStyle w:val="Hyperlink"/>
          </w:rPr>
          <w:t xml:space="preserve">https://doi.org/10.21105/joss.01686</w:t>
        </w:r>
      </w:hyperlink>
      <w:r>
        <w:t xml:space="preserve">.</w:t>
      </w:r>
    </w:p>
    <w:bookmarkEnd w:id="102"/>
    <w:bookmarkStart w:id="103"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03"/>
    <w:bookmarkStart w:id="104"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04"/>
    <w:bookmarkStart w:id="106"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05">
        <w:r>
          <w:rPr>
            <w:rStyle w:val="Hyperlink"/>
          </w:rPr>
          <w:t xml:space="preserve">https://yihui.org/knitr/</w:t>
        </w:r>
      </w:hyperlink>
      <w:r>
        <w:t xml:space="preserve">.</w:t>
      </w:r>
    </w:p>
    <w:bookmarkEnd w:id="106"/>
    <w:bookmarkStart w:id="107"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05">
        <w:r>
          <w:rPr>
            <w:rStyle w:val="Hyperlink"/>
          </w:rPr>
          <w:t xml:space="preserve">https://yihui.org/knitr/</w:t>
        </w:r>
      </w:hyperlink>
      <w:r>
        <w:t xml:space="preserve">.</w:t>
      </w:r>
    </w:p>
    <w:bookmarkEnd w:id="107"/>
    <w:bookmarkStart w:id="109"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08">
        <w:r>
          <w:rPr>
            <w:rStyle w:val="Hyperlink"/>
          </w:rPr>
          <w:t xml:space="preserve">https://bookdown.org/yihui/rmarkdown</w:t>
        </w:r>
      </w:hyperlink>
      <w:r>
        <w:t xml:space="preserve">.</w:t>
      </w:r>
    </w:p>
    <w:bookmarkEnd w:id="109"/>
    <w:bookmarkStart w:id="111"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10">
        <w:r>
          <w:rPr>
            <w:rStyle w:val="Hyperlink"/>
          </w:rPr>
          <w:t xml:space="preserve">https://bookdown.org/yihui/rmarkdown-cookbook</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hyperlink" Id="rId84" Target="https://CRAN.R-project.org/doc/Rnews/" TargetMode="External" /><Relationship Type="http://schemas.openxmlformats.org/officeDocument/2006/relationships/hyperlink" Id="rId57"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0"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99" Target="https://CRAN.R-project.org/package=skimr" TargetMode="External" /><Relationship Type="http://schemas.openxmlformats.org/officeDocument/2006/relationships/hyperlink" Id="rId108" Target="https://bookdown.org/yihui/rmarkdown" TargetMode="External" /><Relationship Type="http://schemas.openxmlformats.org/officeDocument/2006/relationships/hyperlink" Id="rId110" Target="https://bookdown.org/yihui/rmarkdown-cookbook" TargetMode="External" /><Relationship Type="http://schemas.openxmlformats.org/officeDocument/2006/relationships/hyperlink" Id="rId67" Target="https://doi.org/10.1007/978-981-16-8778-5_6" TargetMode="External" /><Relationship Type="http://schemas.openxmlformats.org/officeDocument/2006/relationships/hyperlink" Id="rId88" Target="https://doi.org/10.1007/b98882" TargetMode="External" /><Relationship Type="http://schemas.openxmlformats.org/officeDocument/2006/relationships/hyperlink" Id="rId63" Target="https://doi.org/10.1007/s10681-004-4811-6" TargetMode="External" /><Relationship Type="http://schemas.openxmlformats.org/officeDocument/2006/relationships/hyperlink" Id="rId94" Target="https://doi.org/10.1080/00103624.2012.641844" TargetMode="External" /><Relationship Type="http://schemas.openxmlformats.org/officeDocument/2006/relationships/hyperlink" Id="rId69" Target="https://doi.org/10.1177/0967033519848296" TargetMode="External" /><Relationship Type="http://schemas.openxmlformats.org/officeDocument/2006/relationships/hyperlink" Id="rId80" Target="https://doi.org/10.18637/jss.v028.i05" TargetMode="External" /><Relationship Type="http://schemas.openxmlformats.org/officeDocument/2006/relationships/hyperlink" Id="rId61" Target="https://doi.org/10.18637/jss.v067.i01" TargetMode="External" /><Relationship Type="http://schemas.openxmlformats.org/officeDocument/2006/relationships/hyperlink" Id="rId101" Target="https://doi.org/10.21105/joss.01686"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5" Target="https://doi.org/10.3390/s22103710" TargetMode="External" /><Relationship Type="http://schemas.openxmlformats.org/officeDocument/2006/relationships/hyperlink" Id="rId55"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1" Target="https://rvcrawford.github.io/glowing-system/notebooks/explore-earthquakes-preview.html#cell-fig-spatial-plot" TargetMode="External" /><Relationship Type="http://schemas.openxmlformats.org/officeDocument/2006/relationships/hyperlink" Id="rId92" Target="https://www.R-project.org/" TargetMode="External" /><Relationship Type="http://schemas.openxmlformats.org/officeDocument/2006/relationships/hyperlink" Id="rId78" Target="https://www.tidymodels.org" TargetMode="External" /><Relationship Type="http://schemas.openxmlformats.org/officeDocument/2006/relationships/hyperlink" Id="rId105"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84" Target="https://CRAN.R-project.org/doc/Rnews/" TargetMode="External" /><Relationship Type="http://schemas.openxmlformats.org/officeDocument/2006/relationships/hyperlink" Id="rId57"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0"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99" Target="https://CRAN.R-project.org/package=skimr" TargetMode="External" /><Relationship Type="http://schemas.openxmlformats.org/officeDocument/2006/relationships/hyperlink" Id="rId108" Target="https://bookdown.org/yihui/rmarkdown" TargetMode="External" /><Relationship Type="http://schemas.openxmlformats.org/officeDocument/2006/relationships/hyperlink" Id="rId110" Target="https://bookdown.org/yihui/rmarkdown-cookbook" TargetMode="External" /><Relationship Type="http://schemas.openxmlformats.org/officeDocument/2006/relationships/hyperlink" Id="rId67" Target="https://doi.org/10.1007/978-981-16-8778-5_6" TargetMode="External" /><Relationship Type="http://schemas.openxmlformats.org/officeDocument/2006/relationships/hyperlink" Id="rId88" Target="https://doi.org/10.1007/b98882" TargetMode="External" /><Relationship Type="http://schemas.openxmlformats.org/officeDocument/2006/relationships/hyperlink" Id="rId63" Target="https://doi.org/10.1007/s10681-004-4811-6" TargetMode="External" /><Relationship Type="http://schemas.openxmlformats.org/officeDocument/2006/relationships/hyperlink" Id="rId94" Target="https://doi.org/10.1080/00103624.2012.641844" TargetMode="External" /><Relationship Type="http://schemas.openxmlformats.org/officeDocument/2006/relationships/hyperlink" Id="rId69" Target="https://doi.org/10.1177/0967033519848296" TargetMode="External" /><Relationship Type="http://schemas.openxmlformats.org/officeDocument/2006/relationships/hyperlink" Id="rId80" Target="https://doi.org/10.18637/jss.v028.i05" TargetMode="External" /><Relationship Type="http://schemas.openxmlformats.org/officeDocument/2006/relationships/hyperlink" Id="rId61" Target="https://doi.org/10.18637/jss.v067.i01" TargetMode="External" /><Relationship Type="http://schemas.openxmlformats.org/officeDocument/2006/relationships/hyperlink" Id="rId101" Target="https://doi.org/10.21105/joss.01686"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5" Target="https://doi.org/10.3390/s22103710" TargetMode="External" /><Relationship Type="http://schemas.openxmlformats.org/officeDocument/2006/relationships/hyperlink" Id="rId55"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1" Target="https://rvcrawford.github.io/glowing-system/notebooks/explore-earthquakes-preview.html#cell-fig-spatial-plot" TargetMode="External" /><Relationship Type="http://schemas.openxmlformats.org/officeDocument/2006/relationships/hyperlink" Id="rId92" Target="https://www.R-project.org/" TargetMode="External" /><Relationship Type="http://schemas.openxmlformats.org/officeDocument/2006/relationships/hyperlink" Id="rId78" Target="https://www.tidymodels.org" TargetMode="External" /><Relationship Type="http://schemas.openxmlformats.org/officeDocument/2006/relationships/hyperlink" Id="rId105"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2024-03-13T19:28:01Z</dcterms:created>
  <dcterms:modified xsi:type="dcterms:W3CDTF">2024-03-13T19:28:01Z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2024-03-13</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