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2.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w:t>
      </w:r>
      <w:r>
        <w:t xml:space="preserve"> </w:t>
      </w:r>
      <w:r>
        <w:t xml:space="preserve">Infrared</w:t>
      </w:r>
      <w:r>
        <w:t xml:space="preserve"> </w:t>
      </w:r>
      <w:r>
        <w:t xml:space="preserve">Spectroscopy</w:t>
      </w:r>
      <w:r>
        <w:t xml:space="preserve"> </w:t>
      </w:r>
      <w:r>
        <w:t xml:space="preserve">Predicts</w:t>
      </w:r>
      <w:r>
        <w:t xml:space="preserve"> </w:t>
      </w:r>
      <w:r>
        <w:t xml:space="preserve">Crude</w:t>
      </w:r>
      <w:r>
        <w:t xml:space="preserve"> </w:t>
      </w:r>
      <w:r>
        <w:t xml:space="preserve">Protein</w:t>
      </w:r>
      <w:r>
        <w:t xml:space="preserve"> </w:t>
      </w:r>
      <w:r>
        <w:t xml:space="preserve">Concentration</w:t>
      </w:r>
      <w:r>
        <w:t xml:space="preserve"> </w:t>
      </w:r>
      <w:r>
        <w:t xml:space="preserve">in</w:t>
      </w:r>
      <w:r>
        <w:t xml:space="preserve"> </w:t>
      </w:r>
      <w:r>
        <w:t xml:space="preserve">Hemp</w:t>
      </w:r>
      <w:r>
        <w:t xml:space="preserve"> </w:t>
      </w:r>
      <w:r>
        <w:t xml:space="preserve">Grain</w:t>
      </w:r>
    </w:p>
    <w:p>
      <w:pPr>
        <w:pStyle w:val="Author"/>
      </w:pPr>
      <w:r>
        <w:t xml:space="preserve">Ryan</w:t>
      </w:r>
      <w:r>
        <w:t xml:space="preserve"> </w:t>
      </w:r>
      <w:r>
        <w:t xml:space="preserve">V.</w:t>
      </w:r>
      <w:r>
        <w:t xml:space="preserve"> </w:t>
      </w:r>
      <w:r>
        <w:t xml:space="preserve">Crawford</w:t>
      </w:r>
    </w:p>
    <w:p>
      <w:pPr>
        <w:pStyle w:val="Author"/>
      </w:pPr>
      <w:r>
        <w:t xml:space="preserve">Jamie</w:t>
      </w:r>
      <w:r>
        <w:t xml:space="preserve"> </w:t>
      </w:r>
      <w:r>
        <w:t xml:space="preserve">L.</w:t>
      </w:r>
      <w:r>
        <w:t xml:space="preserve"> </w:t>
      </w:r>
      <w:r>
        <w:t xml:space="preserve">Crawford</w:t>
      </w:r>
    </w:p>
    <w:p>
      <w:pPr>
        <w:pStyle w:val="Author"/>
      </w:pPr>
      <w:r>
        <w:t xml:space="preserve">Julie</w:t>
      </w:r>
      <w:r>
        <w:t xml:space="preserve"> </w:t>
      </w:r>
      <w:r>
        <w:t xml:space="preserve">L.</w:t>
      </w:r>
      <w:r>
        <w:t xml:space="preserve"> </w:t>
      </w:r>
      <w:r>
        <w:t xml:space="preserve">Hansen</w:t>
      </w:r>
    </w:p>
    <w:p>
      <w:pPr>
        <w:pStyle w:val="Author"/>
      </w:pPr>
      <w:r>
        <w:t xml:space="preserve">Lawrence</w:t>
      </w:r>
      <w:r>
        <w:t xml:space="preserve"> </w:t>
      </w:r>
      <w:r>
        <w:t xml:space="preserve">B.</w:t>
      </w:r>
      <w:r>
        <w:t xml:space="preserve"> </w:t>
      </w:r>
      <w:r>
        <w:t xml:space="preserve">Smart</w:t>
      </w:r>
    </w:p>
    <w:p>
      <w:pPr>
        <w:pStyle w:val="Author"/>
      </w:pPr>
      <w:r>
        <w:t xml:space="preserve">Virginia</w:t>
      </w:r>
      <w:r>
        <w:t xml:space="preserve"> </w:t>
      </w:r>
      <w:r>
        <w:t xml:space="preserve">M.</w:t>
      </w:r>
      <w:r>
        <w:t xml:space="preserve"> </w:t>
      </w:r>
      <w:r>
        <w:t xml:space="preserve">Moore</w:t>
      </w:r>
    </w:p>
    <w:p>
      <w:pPr>
        <w:pStyle w:val="Date"/>
      </w:pPr>
      <w:r>
        <w:t xml:space="preserve">2024-09-11</w:t>
      </w:r>
    </w:p>
    <w:p>
      <w:pPr>
        <w:pStyle w:val="AbstractTitle"/>
      </w:pPr>
      <w:r>
        <w:t xml:space="preserve">Abstract</w:t>
      </w:r>
    </w:p>
    <w:p>
      <w:pPr>
        <w:pStyle w:val="Abstract"/>
      </w:pPr>
      <w:r>
        <w:t xml:space="preserve">The</w:t>
      </w:r>
      <w:r>
        <w:t xml:space="preserve"> </w:t>
      </w:r>
      <w:r>
        <w:t xml:space="preserve">protein</w:t>
      </w:r>
      <w:r>
        <w:t xml:space="preserve"> </w:t>
      </w:r>
      <w:r>
        <w:t xml:space="preserve">concentration</w:t>
      </w:r>
      <w:r>
        <w:t xml:space="preserve"> </w:t>
      </w:r>
      <w:r>
        <w:t xml:space="preserve">of</w:t>
      </w:r>
      <w:r>
        <w:t xml:space="preserve"> </w:t>
      </w:r>
      <w:r>
        <w:t xml:space="preserve">hemp</w:t>
      </w:r>
      <w:r>
        <w:t xml:space="preserve"> </w:t>
      </w:r>
      <w:r>
        <w:t xml:space="preserve">(</w:t>
      </w:r>
      <w:r>
        <w:rPr>
          <w:i/>
          <w:iCs/>
        </w:rPr>
        <w:t xml:space="preserve">Cannabis</w:t>
      </w:r>
      <w:r>
        <w:rPr>
          <w:i/>
          <w:iCs/>
        </w:rPr>
        <w:t xml:space="preserve"> </w:t>
      </w:r>
      <w:r>
        <w:rPr>
          <w:i/>
          <w:iCs/>
        </w:rPr>
        <w:t xml:space="preserve">sativa</w:t>
      </w:r>
      <w:r>
        <w:t xml:space="preserve"> </w:t>
      </w:r>
      <w:r>
        <w:t xml:space="preserve">L.)</w:t>
      </w:r>
      <w:r>
        <w:t xml:space="preserve"> </w:t>
      </w:r>
      <w:r>
        <w:t xml:space="preserve">grain</w:t>
      </w:r>
      <w:r>
        <w:t xml:space="preserve"> </w:t>
      </w:r>
      <w:r>
        <w:t xml:space="preserve">is</w:t>
      </w:r>
      <w:r>
        <w:t xml:space="preserve"> </w:t>
      </w:r>
      <w:r>
        <w:t xml:space="preserve">of</w:t>
      </w:r>
      <w:r>
        <w:t xml:space="preserve"> </w:t>
      </w:r>
      <w:r>
        <w:t xml:space="preserve">interest</w:t>
      </w:r>
      <w:r>
        <w:t xml:space="preserve"> </w:t>
      </w:r>
      <w:r>
        <w:t xml:space="preserve">to</w:t>
      </w:r>
      <w:r>
        <w:t xml:space="preserve"> </w:t>
      </w:r>
      <w:r>
        <w:t xml:space="preserve">researchers,</w:t>
      </w:r>
      <w:r>
        <w:t xml:space="preserve"> </w:t>
      </w:r>
      <w:r>
        <w:t xml:space="preserve">producers,</w:t>
      </w:r>
      <w:r>
        <w:t xml:space="preserve"> </w:t>
      </w:r>
      <w:r>
        <w:t xml:space="preserve">and</w:t>
      </w:r>
      <w:r>
        <w:t xml:space="preserve"> </w:t>
      </w:r>
      <w:r>
        <w:t xml:space="preserve">consumers.</w:t>
      </w:r>
      <w:r>
        <w:t xml:space="preserve"> </w:t>
      </w:r>
      <w:r>
        <w:t xml:space="preserve">This</w:t>
      </w:r>
      <w:r>
        <w:t xml:space="preserve"> </w:t>
      </w:r>
      <w:r>
        <w:t xml:space="preserve">study</w:t>
      </w:r>
      <w:r>
        <w:t xml:space="preserve"> </w:t>
      </w:r>
      <w:r>
        <w:t xml:space="preserve">was</w:t>
      </w:r>
      <w:r>
        <w:t xml:space="preserve"> </w:t>
      </w:r>
      <w:r>
        <w:t xml:space="preserve">conducted</w:t>
      </w:r>
      <w:r>
        <w:t xml:space="preserve"> </w:t>
      </w:r>
      <w:r>
        <w:t xml:space="preserve">to</w:t>
      </w:r>
      <w:r>
        <w:t xml:space="preserve"> </w:t>
      </w:r>
      <w:r>
        <w:t xml:space="preserve">determine</w:t>
      </w:r>
      <w:r>
        <w:t xml:space="preserve"> </w:t>
      </w:r>
      <w:r>
        <w:t xml:space="preserve">whether</w:t>
      </w:r>
      <w:r>
        <w:t xml:space="preserve"> </w:t>
      </w:r>
      <w:r>
        <w:t xml:space="preserve">hemp</w:t>
      </w:r>
      <w:r>
        <w:t xml:space="preserve"> </w:t>
      </w:r>
      <w:r>
        <w:t xml:space="preserve">grain</w:t>
      </w:r>
      <w:r>
        <w:t xml:space="preserve"> </w:t>
      </w:r>
      <w:r>
        <w:t xml:space="preserve">can</w:t>
      </w:r>
      <w:r>
        <w:t xml:space="preserve"> </w:t>
      </w:r>
      <w:r>
        <w:t xml:space="preserve">be</w:t>
      </w:r>
      <w:r>
        <w:t xml:space="preserve"> </w:t>
      </w:r>
      <w:r>
        <w:t xml:space="preserve">non-destructively</w:t>
      </w:r>
      <w:r>
        <w:t xml:space="preserve"> </w:t>
      </w:r>
      <w:r>
        <w:t xml:space="preserve">assayed</w:t>
      </w:r>
      <w:r>
        <w:t xml:space="preserve"> </w:t>
      </w:r>
      <w:r>
        <w:t xml:space="preserve">for</w:t>
      </w:r>
      <w:r>
        <w:t xml:space="preserve"> </w:t>
      </w:r>
      <w:r>
        <w:t xml:space="preserve">crude</w:t>
      </w:r>
      <w:r>
        <w:t xml:space="preserve"> </w:t>
      </w:r>
      <w:r>
        <w:t xml:space="preserve">protein</w:t>
      </w:r>
      <w:r>
        <w:t xml:space="preserve"> </w:t>
      </w:r>
      <w:r>
        <w:t xml:space="preserve">(CP)</w:t>
      </w:r>
      <w:r>
        <w:t xml:space="preserve"> </w:t>
      </w:r>
      <w:r>
        <w:t xml:space="preserve">concentration</w:t>
      </w:r>
      <w:r>
        <w:t xml:space="preserve"> </w:t>
      </w:r>
      <w:r>
        <w:t xml:space="preserve">using</w:t>
      </w:r>
      <w:r>
        <w:t xml:space="preserve"> </w:t>
      </w:r>
      <w:r>
        <w:t xml:space="preserve">spectra</w:t>
      </w:r>
      <w:r>
        <w:t xml:space="preserve"> </w:t>
      </w:r>
      <w:r>
        <w:t xml:space="preserve">obtained</w:t>
      </w:r>
      <w:r>
        <w:t xml:space="preserve"> </w:t>
      </w:r>
      <w:r>
        <w:t xml:space="preserve">from</w:t>
      </w:r>
      <w:r>
        <w:t xml:space="preserve"> </w:t>
      </w:r>
      <w:r>
        <w:t xml:space="preserve">near-infrared</w:t>
      </w:r>
      <w:r>
        <w:t xml:space="preserve"> </w:t>
      </w:r>
      <w:r>
        <w:t xml:space="preserve">spectroscopy</w:t>
      </w:r>
      <w:r>
        <w:t xml:space="preserve"> </w:t>
      </w:r>
      <w:r>
        <w:t xml:space="preserve">(NIRS)</w:t>
      </w:r>
      <w:r>
        <w:t xml:space="preserve"> </w:t>
      </w:r>
      <w:r>
        <w:t xml:space="preserve">to</w:t>
      </w:r>
      <w:r>
        <w:t xml:space="preserve"> </w:t>
      </w:r>
      <w:r>
        <w:t xml:space="preserve">build</w:t>
      </w:r>
      <w:r>
        <w:t xml:space="preserve"> </w:t>
      </w:r>
      <w:r>
        <w:t xml:space="preserve">a</w:t>
      </w:r>
      <w:r>
        <w:t xml:space="preserve"> </w:t>
      </w:r>
      <w:r>
        <w:t xml:space="preserve">prediction</w:t>
      </w:r>
      <w:r>
        <w:t xml:space="preserve"> </w:t>
      </w:r>
      <w:r>
        <w:t xml:space="preserve">model</w:t>
      </w:r>
      <w:r>
        <w:t xml:space="preserve"> </w:t>
      </w:r>
      <w:r>
        <w:t xml:space="preserve">for</w:t>
      </w:r>
      <w:r>
        <w:t xml:space="preserve"> </w:t>
      </w:r>
      <w:r>
        <w:t xml:space="preserve">crude</w:t>
      </w:r>
      <w:r>
        <w:t xml:space="preserve"> </w:t>
      </w:r>
      <w:r>
        <w:t xml:space="preserve">protein</w:t>
      </w:r>
      <w:r>
        <w:t xml:space="preserve"> </w:t>
      </w:r>
      <w:r>
        <w:t xml:space="preserve">concentration</w:t>
      </w:r>
      <w:r>
        <w:t xml:space="preserve"> </w:t>
      </w:r>
      <w:r>
        <w:t xml:space="preserve">using</w:t>
      </w:r>
      <w:r>
        <w:t xml:space="preserve"> </w:t>
      </w:r>
      <w:r>
        <w:t xml:space="preserve">partial</w:t>
      </w:r>
      <w:r>
        <w:t xml:space="preserve"> </w:t>
      </w:r>
      <w:r>
        <w:t xml:space="preserve">least</w:t>
      </w:r>
      <w:r>
        <w:t xml:space="preserve"> </w:t>
      </w:r>
      <w:r>
        <w:t xml:space="preserve">squares</w:t>
      </w:r>
      <w:r>
        <w:t xml:space="preserve"> </w:t>
      </w:r>
      <w:r>
        <w:t xml:space="preserve">regression</w:t>
      </w:r>
      <w:r>
        <w:t xml:space="preserve"> </w:t>
      </w:r>
      <w:r>
        <w:t xml:space="preserve">(PLSR).</w:t>
      </w:r>
      <w:r>
        <w:t xml:space="preserve"> </w:t>
      </w:r>
      <w:r>
        <w:t xml:space="preserve">One</w:t>
      </w:r>
      <w:r>
        <w:t xml:space="preserve"> </w:t>
      </w:r>
      <w:r>
        <w:t xml:space="preserve">hundred</w:t>
      </w:r>
      <w:r>
        <w:t xml:space="preserve"> </w:t>
      </w:r>
      <w:r>
        <w:t xml:space="preserve">and</w:t>
      </w:r>
      <w:r>
        <w:t xml:space="preserve"> </w:t>
      </w:r>
      <w:r>
        <w:t xml:space="preserve">fourty-nine</w:t>
      </w:r>
      <w:r>
        <w:t xml:space="preserve"> </w:t>
      </w:r>
      <w:r>
        <w:t xml:space="preserve">whole</w:t>
      </w:r>
      <w:r>
        <w:t xml:space="preserve"> </w:t>
      </w:r>
      <w:r>
        <w:t xml:space="preserve">hemp</w:t>
      </w:r>
      <w:r>
        <w:t xml:space="preserve"> </w:t>
      </w:r>
      <w:r>
        <w:t xml:space="preserve">grain</w:t>
      </w:r>
      <w:r>
        <w:t xml:space="preserve"> </w:t>
      </w:r>
      <w:r>
        <w:t xml:space="preserve">samples</w:t>
      </w:r>
      <w:r>
        <w:t xml:space="preserve"> </w:t>
      </w:r>
      <w:r>
        <w:t xml:space="preserve">were</w:t>
      </w:r>
      <w:r>
        <w:t xml:space="preserve"> </w:t>
      </w:r>
      <w:r>
        <w:t xml:space="preserve">obtained</w:t>
      </w:r>
      <w:r>
        <w:t xml:space="preserve"> </w:t>
      </w:r>
      <w:r>
        <w:t xml:space="preserve">from</w:t>
      </w:r>
      <w:r>
        <w:t xml:space="preserve"> </w:t>
      </w:r>
      <w:r>
        <w:t xml:space="preserve">18</w:t>
      </w:r>
      <w:r>
        <w:t xml:space="preserve"> </w:t>
      </w:r>
      <w:r>
        <w:t xml:space="preserve">cultivar</w:t>
      </w:r>
      <w:r>
        <w:t xml:space="preserve"> </w:t>
      </w:r>
      <w:r>
        <w:t xml:space="preserve">trials</w:t>
      </w:r>
      <w:r>
        <w:t xml:space="preserve"> </w:t>
      </w:r>
      <w:r>
        <w:t xml:space="preserve">in</w:t>
      </w:r>
      <w:r>
        <w:t xml:space="preserve"> </w:t>
      </w:r>
      <w:r>
        <w:t xml:space="preserve">New</w:t>
      </w:r>
      <w:r>
        <w:t xml:space="preserve"> </w:t>
      </w:r>
      <w:r>
        <w:t xml:space="preserve">York</w:t>
      </w:r>
      <w:r>
        <w:t xml:space="preserve"> </w:t>
      </w:r>
      <w:r>
        <w:t xml:space="preserve">(NY)</w:t>
      </w:r>
      <w:r>
        <w:t xml:space="preserve"> </w:t>
      </w:r>
      <w:r>
        <w:t xml:space="preserve">from</w:t>
      </w:r>
      <w:r>
        <w:t xml:space="preserve"> </w:t>
      </w:r>
      <w:r>
        <w:t xml:space="preserve">2017-2021.</w:t>
      </w:r>
      <w:r>
        <w:t xml:space="preserve"> </w:t>
      </w:r>
      <w:r>
        <w:t xml:space="preserve">The</w:t>
      </w:r>
      <w:r>
        <w:t xml:space="preserve"> </w:t>
      </w:r>
      <w:r>
        <w:t xml:space="preserve">samples’</w:t>
      </w:r>
      <w:r>
        <w:t xml:space="preserve"> </w:t>
      </w:r>
      <w:r>
        <w:t xml:space="preserve">NIRS</w:t>
      </w:r>
      <w:r>
        <w:t xml:space="preserve"> </w:t>
      </w:r>
      <w:r>
        <w:t xml:space="preserve">spectra</w:t>
      </w:r>
      <w:r>
        <w:t xml:space="preserve"> </w:t>
      </w:r>
      <w:r>
        <w:t xml:space="preserve">were</w:t>
      </w:r>
      <w:r>
        <w:t xml:space="preserve"> </w:t>
      </w:r>
      <w:r>
        <w:t xml:space="preserve">collected</w:t>
      </w:r>
      <w:r>
        <w:t xml:space="preserve"> </w:t>
      </w:r>
      <w:r>
        <w:t xml:space="preserve">and</w:t>
      </w:r>
      <w:r>
        <w:t xml:space="preserve"> </w:t>
      </w:r>
      <w:r>
        <w:t xml:space="preserve">the</w:t>
      </w:r>
      <w:r>
        <w:t xml:space="preserve"> </w:t>
      </w:r>
      <w:r>
        <w:t xml:space="preserve">samples</w:t>
      </w:r>
      <w:r>
        <w:t xml:space="preserve"> </w:t>
      </w:r>
      <w:r>
        <w:t xml:space="preserve">were</w:t>
      </w:r>
      <w:r>
        <w:t xml:space="preserve"> </w:t>
      </w:r>
      <w:r>
        <w:t xml:space="preserve">ground</w:t>
      </w:r>
      <w:r>
        <w:t xml:space="preserve"> </w:t>
      </w:r>
      <w:r>
        <w:t xml:space="preserve">and</w:t>
      </w:r>
      <w:r>
        <w:t xml:space="preserve"> </w:t>
      </w:r>
      <w:r>
        <w:t xml:space="preserve">assayed</w:t>
      </w:r>
      <w:r>
        <w:t xml:space="preserve"> </w:t>
      </w:r>
      <w:r>
        <w:t xml:space="preserve">by</w:t>
      </w:r>
      <w:r>
        <w:t xml:space="preserve"> </w:t>
      </w:r>
      <w:r>
        <w:t xml:space="preserve">combustion.</w:t>
      </w:r>
      <w:r>
        <w:t xml:space="preserve"> </w:t>
      </w:r>
      <w:r>
        <w:t xml:space="preserve">Seven</w:t>
      </w:r>
      <w:r>
        <w:t xml:space="preserve"> </w:t>
      </w:r>
      <w:r>
        <w:t xml:space="preserve">potential</w:t>
      </w:r>
      <w:r>
        <w:t xml:space="preserve"> </w:t>
      </w:r>
      <w:r>
        <w:t xml:space="preserve">preprocessing</w:t>
      </w:r>
      <w:r>
        <w:t xml:space="preserve"> </w:t>
      </w:r>
      <w:r>
        <w:t xml:space="preserve">methods,</w:t>
      </w:r>
      <w:r>
        <w:t xml:space="preserve"> </w:t>
      </w:r>
      <w:r>
        <w:t xml:space="preserve">as</w:t>
      </w:r>
      <w:r>
        <w:t xml:space="preserve"> </w:t>
      </w:r>
      <w:r>
        <w:t xml:space="preserve">well</w:t>
      </w:r>
      <w:r>
        <w:t xml:space="preserve"> </w:t>
      </w:r>
      <w:r>
        <w:t xml:space="preserve">as</w:t>
      </w:r>
      <w:r>
        <w:t xml:space="preserve"> </w:t>
      </w:r>
      <w:r>
        <w:t xml:space="preserve">untransformed</w:t>
      </w:r>
      <w:r>
        <w:t xml:space="preserve"> </w:t>
      </w:r>
      <w:r>
        <w:t xml:space="preserve">spectra,</w:t>
      </w:r>
      <w:r>
        <w:t xml:space="preserve"> </w:t>
      </w:r>
      <w:r>
        <w:t xml:space="preserve">were</w:t>
      </w:r>
      <w:r>
        <w:t xml:space="preserve"> </w:t>
      </w:r>
      <w:r>
        <w:t xml:space="preserve">tested</w:t>
      </w:r>
      <w:r>
        <w:t xml:space="preserve"> </w:t>
      </w:r>
      <w:r>
        <w:t xml:space="preserve">using</w:t>
      </w:r>
      <w:r>
        <w:t xml:space="preserve"> </w:t>
      </w:r>
      <w:r>
        <w:t xml:space="preserve">100</w:t>
      </w:r>
      <w:r>
        <w:t xml:space="preserve"> </w:t>
      </w:r>
      <w:r>
        <w:t xml:space="preserve">training</w:t>
      </w:r>
      <w:r>
        <w:t xml:space="preserve"> </w:t>
      </w:r>
      <w:r>
        <w:t xml:space="preserve">and</w:t>
      </w:r>
      <w:r>
        <w:t xml:space="preserve"> </w:t>
      </w:r>
      <w:r>
        <w:t xml:space="preserve">testing</w:t>
      </w:r>
      <w:r>
        <w:t xml:space="preserve"> </w:t>
      </w:r>
      <w:r>
        <w:t xml:space="preserve">set</w:t>
      </w:r>
      <w:r>
        <w:t xml:space="preserve"> </w:t>
      </w:r>
      <w:r>
        <w:t xml:space="preserve">splits</w:t>
      </w:r>
      <w:r>
        <w:t xml:space="preserve"> </w:t>
      </w:r>
      <w:r>
        <w:t xml:space="preserve">of</w:t>
      </w:r>
      <w:r>
        <w:t xml:space="preserve"> </w:t>
      </w:r>
      <w:r>
        <w:t xml:space="preserve">the</w:t>
      </w:r>
      <w:r>
        <w:t xml:space="preserve"> </w:t>
      </w:r>
      <w:r>
        <w:t xml:space="preserve">data</w:t>
      </w:r>
      <w:r>
        <w:t xml:space="preserve"> </w:t>
      </w:r>
      <w:r>
        <w:t xml:space="preserve">and</w:t>
      </w:r>
      <w:r>
        <w:t xml:space="preserve"> </w:t>
      </w:r>
      <w:r>
        <w:t xml:space="preserve">the</w:t>
      </w:r>
      <w:r>
        <w:t xml:space="preserve"> </w:t>
      </w:r>
      <w:r>
        <w:t xml:space="preserve">best</w:t>
      </w:r>
      <w:r>
        <w:t xml:space="preserve"> </w:t>
      </w:r>
      <w:r>
        <w:t xml:space="preserve">method</w:t>
      </w:r>
      <w:r>
        <w:t xml:space="preserve"> </w:t>
      </w:r>
      <w:r>
        <w:t xml:space="preserve">was</w:t>
      </w:r>
      <w:r>
        <w:t xml:space="preserve"> </w:t>
      </w:r>
      <w:r>
        <w:t xml:space="preserve">selected.</w:t>
      </w:r>
      <w:r>
        <w:t xml:space="preserve"> </w:t>
      </w:r>
      <w:r>
        <w:t xml:space="preserve">That</w:t>
      </w:r>
      <w:r>
        <w:t xml:space="preserve"> </w:t>
      </w:r>
      <w:r>
        <w:t xml:space="preserve">method</w:t>
      </w:r>
      <w:r>
        <w:t xml:space="preserve"> </w:t>
      </w:r>
      <w:r>
        <w:t xml:space="preserve">was</w:t>
      </w:r>
      <w:r>
        <w:t xml:space="preserve"> </w:t>
      </w:r>
      <w:r>
        <w:t xml:space="preserve">applied</w:t>
      </w:r>
      <w:r>
        <w:t xml:space="preserve"> </w:t>
      </w:r>
      <w:r>
        <w:t xml:space="preserve">to</w:t>
      </w:r>
      <w:r>
        <w:t xml:space="preserve"> </w:t>
      </w:r>
      <w:r>
        <w:t xml:space="preserve">1000</w:t>
      </w:r>
      <w:r>
        <w:t xml:space="preserve"> </w:t>
      </w:r>
      <w:r>
        <w:t xml:space="preserve">additional</w:t>
      </w:r>
      <w:r>
        <w:t xml:space="preserve"> </w:t>
      </w:r>
      <w:r>
        <w:t xml:space="preserve">splits</w:t>
      </w:r>
      <w:r>
        <w:t xml:space="preserve"> </w:t>
      </w:r>
      <w:r>
        <w:t xml:space="preserve">of</w:t>
      </w:r>
      <w:r>
        <w:t xml:space="preserve"> </w:t>
      </w:r>
      <w:r>
        <w:t xml:space="preserve">the</w:t>
      </w:r>
      <w:r>
        <w:t xml:space="preserve"> </w:t>
      </w:r>
      <w:r>
        <w:t xml:space="preserve">data</w:t>
      </w:r>
      <w:r>
        <w:t xml:space="preserve"> </w:t>
      </w:r>
      <w:r>
        <w:t xml:space="preserve">set</w:t>
      </w:r>
      <w:r>
        <w:t xml:space="preserve"> </w:t>
      </w:r>
      <w:r>
        <w:t xml:space="preserve">for</w:t>
      </w:r>
      <w:r>
        <w:t xml:space="preserve"> </w:t>
      </w:r>
      <w:r>
        <w:t xml:space="preserve">each</w:t>
      </w:r>
      <w:r>
        <w:t xml:space="preserve"> </w:t>
      </w:r>
      <w:r>
        <w:t xml:space="preserve">of</w:t>
      </w:r>
      <w:r>
        <w:t xml:space="preserve"> </w:t>
      </w:r>
      <w:r>
        <w:t xml:space="preserve">seven</w:t>
      </w:r>
      <w:r>
        <w:t xml:space="preserve"> </w:t>
      </w:r>
      <w:r>
        <w:t xml:space="preserve">preprocessing</w:t>
      </w:r>
      <w:r>
        <w:t xml:space="preserve"> </w:t>
      </w:r>
      <w:r>
        <w:t xml:space="preserve">methods.</w:t>
      </w:r>
      <w:r>
        <w:t xml:space="preserve"> </w:t>
      </w:r>
      <w:r>
        <w:t xml:space="preserve">Model</w:t>
      </w:r>
      <w:r>
        <w:t xml:space="preserve"> </w:t>
      </w:r>
      <w:r>
        <w:t xml:space="preserve">fit</w:t>
      </w:r>
      <w:r>
        <w:t xml:space="preserve"> </w:t>
      </w:r>
      <w:r>
        <w:t xml:space="preserve">was</w:t>
      </w:r>
      <w:r>
        <w:t xml:space="preserve"> </w:t>
      </w:r>
      <w:r>
        <w:t xml:space="preserve">evaluated</w:t>
      </w:r>
      <w:r>
        <w:t xml:space="preserve"> </w:t>
      </w:r>
      <w:r>
        <w:t xml:space="preserve">using</w:t>
      </w:r>
      <w:r>
        <w:t xml:space="preserve"> </w:t>
      </w:r>
      <w:r>
        <w:t xml:space="preserve">root</w:t>
      </w:r>
      <w:r>
        <w:t xml:space="preserve"> </w:t>
      </w:r>
      <w:r>
        <w:t xml:space="preserve">mean</w:t>
      </w:r>
      <w:r>
        <w:t xml:space="preserve"> </w:t>
      </w:r>
      <w:r>
        <w:t xml:space="preserve">squared</w:t>
      </w:r>
      <w:r>
        <w:t xml:space="preserve"> </w:t>
      </w:r>
      <w:r>
        <w:t xml:space="preserve">error</w:t>
      </w:r>
      <w:r>
        <w:t xml:space="preserve"> </w:t>
      </w:r>
      <w:r>
        <w:t xml:space="preserve">(RMSE),</w:t>
      </w:r>
      <w:r>
        <w:t xml:space="preserve"> </w:t>
      </w:r>
      <w:r>
        <w:t xml:space="preserve">coefficient</w:t>
      </w:r>
      <w:r>
        <w:t xml:space="preserve"> </w:t>
      </w:r>
      <w:r>
        <w:t xml:space="preserve">of</w:t>
      </w:r>
      <w:r>
        <w:t xml:space="preserve"> </w:t>
      </w:r>
      <w:r>
        <w:t xml:space="preserve">determination</w:t>
      </w:r>
      <w:r>
        <w:t xml:space="preserve"> </w:t>
      </w:r>
      <w:r>
        <w:t xml:space="preserve">(R</w:t>
      </w:r>
      <w:r>
        <w:rPr>
          <w:vertAlign w:val="superscript"/>
        </w:rPr>
        <w:t xml:space="preserve">2</w:t>
      </w:r>
      <w:r>
        <w:t xml:space="preserve">),</w:t>
      </w:r>
      <w:r>
        <w:t xml:space="preserve"> </w:t>
      </w:r>
      <w:r>
        <w:t xml:space="preserve">relative</w:t>
      </w:r>
      <w:r>
        <w:t xml:space="preserve"> </w:t>
      </w:r>
      <w:r>
        <w:t xml:space="preserve">predicted</w:t>
      </w:r>
      <w:r>
        <w:t xml:space="preserve"> </w:t>
      </w:r>
      <w:r>
        <w:t xml:space="preserve">deviation</w:t>
      </w:r>
      <w:r>
        <w:t xml:space="preserve"> </w:t>
      </w:r>
      <w:r>
        <w:t xml:space="preserve">(RPD),</w:t>
      </w:r>
      <w:r>
        <w:t xml:space="preserve"> </w:t>
      </w:r>
      <w:r>
        <w:t xml:space="preserve">and</w:t>
      </w:r>
      <w:r>
        <w:t xml:space="preserve"> </w:t>
      </w:r>
      <w:r>
        <w:t xml:space="preserve">Ratio</w:t>
      </w:r>
      <w:r>
        <w:t xml:space="preserve"> </w:t>
      </w:r>
      <w:r>
        <w:t xml:space="preserve">of</w:t>
      </w:r>
      <w:r>
        <w:t xml:space="preserve"> </w:t>
      </w:r>
      <w:r>
        <w:t xml:space="preserve">Performance</w:t>
      </w:r>
      <w:r>
        <w:t xml:space="preserve"> </w:t>
      </w:r>
      <w:r>
        <w:t xml:space="preserve">to</w:t>
      </w:r>
      <w:r>
        <w:t xml:space="preserve"> </w:t>
      </w:r>
      <w:r>
        <w:t xml:space="preserve">InterQuartile</w:t>
      </w:r>
      <w:r>
        <w:t xml:space="preserve"> </w:t>
      </w:r>
      <w:r>
        <w:t xml:space="preserve">distance</w:t>
      </w:r>
      <w:r>
        <w:t xml:space="preserve"> </w:t>
      </w:r>
      <w:r>
        <w:t xml:space="preserve">(RPIQ).</w:t>
      </w:r>
      <w:r>
        <w:t xml:space="preserve"> </w:t>
      </w:r>
      <w:r>
        <w:t xml:space="preserve">Once</w:t>
      </w:r>
      <w:r>
        <w:t xml:space="preserve"> </w:t>
      </w:r>
      <w:r>
        <w:t xml:space="preserve">a</w:t>
      </w:r>
      <w:r>
        <w:t xml:space="preserve"> </w:t>
      </w:r>
      <w:r>
        <w:t xml:space="preserve">preprocessing</w:t>
      </w:r>
      <w:r>
        <w:t xml:space="preserve"> </w:t>
      </w:r>
      <w:r>
        <w:t xml:space="preserve">method</w:t>
      </w:r>
      <w:r>
        <w:t xml:space="preserve"> </w:t>
      </w:r>
      <w:r>
        <w:t xml:space="preserve">was</w:t>
      </w:r>
      <w:r>
        <w:t xml:space="preserve"> </w:t>
      </w:r>
      <w:r>
        <w:t xml:space="preserve">selected,</w:t>
      </w:r>
      <w:r>
        <w:t xml:space="preserve"> </w:t>
      </w:r>
      <w:r>
        <w:t xml:space="preserve">the</w:t>
      </w:r>
      <w:r>
        <w:t xml:space="preserve"> </w:t>
      </w:r>
      <w:r>
        <w:t xml:space="preserve">optimal</w:t>
      </w:r>
      <w:r>
        <w:t xml:space="preserve"> </w:t>
      </w:r>
      <w:r>
        <w:t xml:space="preserve">number</w:t>
      </w:r>
      <w:r>
        <w:t xml:space="preserve"> </w:t>
      </w:r>
      <w:r>
        <w:t xml:space="preserve">of</w:t>
      </w:r>
      <w:r>
        <w:t xml:space="preserve"> </w:t>
      </w:r>
      <w:r>
        <w:t xml:space="preserve">model</w:t>
      </w:r>
      <w:r>
        <w:t xml:space="preserve"> </w:t>
      </w:r>
      <w:r>
        <w:t xml:space="preserve">components</w:t>
      </w:r>
      <w:r>
        <w:t xml:space="preserve"> </w:t>
      </w:r>
      <w:r>
        <w:t xml:space="preserve">and</w:t>
      </w:r>
      <w:r>
        <w:t xml:space="preserve"> </w:t>
      </w:r>
      <w:r>
        <w:t xml:space="preserve">prediction</w:t>
      </w:r>
      <w:r>
        <w:t xml:space="preserve"> </w:t>
      </w:r>
      <w:r>
        <w:t xml:space="preserve">performance</w:t>
      </w:r>
      <w:r>
        <w:t xml:space="preserve"> </w:t>
      </w:r>
      <w:r>
        <w:t xml:space="preserve">on</w:t>
      </w:r>
      <w:r>
        <w:t xml:space="preserve"> </w:t>
      </w:r>
      <w:r>
        <w:t xml:space="preserve">the</w:t>
      </w:r>
      <w:r>
        <w:t xml:space="preserve"> </w:t>
      </w:r>
      <w:r>
        <w:t xml:space="preserve">testing</w:t>
      </w:r>
      <w:r>
        <w:t xml:space="preserve"> </w:t>
      </w:r>
      <w:r>
        <w:t xml:space="preserve">sets</w:t>
      </w:r>
      <w:r>
        <w:t xml:space="preserve"> </w:t>
      </w:r>
      <w:r>
        <w:t xml:space="preserve">were</w:t>
      </w:r>
      <w:r>
        <w:t xml:space="preserve"> </w:t>
      </w:r>
      <w:r>
        <w:t xml:space="preserve">examined.</w:t>
      </w:r>
      <w:r>
        <w:t xml:space="preserve"> </w:t>
      </w:r>
      <w:r>
        <w:t xml:space="preserve">A</w:t>
      </w:r>
      <w:r>
        <w:t xml:space="preserve"> </w:t>
      </w:r>
      <w:r>
        <w:t xml:space="preserve">preprocessing</w:t>
      </w:r>
      <w:r>
        <w:t xml:space="preserve"> </w:t>
      </w:r>
      <w:r>
        <w:t xml:space="preserve">method</w:t>
      </w:r>
      <w:r>
        <w:t xml:space="preserve"> </w:t>
      </w:r>
      <w:r>
        <w:t xml:space="preserve">consisting</w:t>
      </w:r>
      <w:r>
        <w:t xml:space="preserve"> </w:t>
      </w:r>
      <w:r>
        <w:t xml:space="preserve">of</w:t>
      </w:r>
      <w:r>
        <w:t xml:space="preserve"> </w:t>
      </w:r>
      <w:r>
        <w:t xml:space="preserve">the</w:t>
      </w:r>
      <w:r>
        <w:t xml:space="preserve"> </w:t>
      </w:r>
      <w:r>
        <w:t xml:space="preserve">standard</w:t>
      </w:r>
      <w:r>
        <w:t xml:space="preserve"> </w:t>
      </w:r>
      <w:r>
        <w:t xml:space="preserve">normal</w:t>
      </w:r>
      <w:r>
        <w:t xml:space="preserve"> </w:t>
      </w:r>
      <w:r>
        <w:t xml:space="preserve">variate</w:t>
      </w:r>
      <w:r>
        <w:t xml:space="preserve"> </w:t>
      </w:r>
      <w:r>
        <w:t xml:space="preserve">transformation</w:t>
      </w:r>
      <w:r>
        <w:t xml:space="preserve"> </w:t>
      </w:r>
      <w:r>
        <w:t xml:space="preserve">following</w:t>
      </w:r>
      <w:r>
        <w:t xml:space="preserve"> </w:t>
      </w:r>
      <w:r>
        <w:t xml:space="preserve">a</w:t>
      </w:r>
      <w:r>
        <w:t xml:space="preserve"> </w:t>
      </w:r>
      <w:r>
        <w:t xml:space="preserve">Savitzky-Golay</w:t>
      </w:r>
      <w:r>
        <w:t xml:space="preserve"> </w:t>
      </w:r>
      <w:r>
        <w:t xml:space="preserve">filter</w:t>
      </w:r>
      <w:r>
        <w:t xml:space="preserve"> </w:t>
      </w:r>
      <w:r>
        <w:t xml:space="preserve">had</w:t>
      </w:r>
      <w:r>
        <w:t xml:space="preserve"> </w:t>
      </w:r>
      <w:r>
        <w:t xml:space="preserve">the</w:t>
      </w:r>
      <w:r>
        <w:t xml:space="preserve"> </w:t>
      </w:r>
      <w:r>
        <w:t xml:space="preserve">lowest</w:t>
      </w:r>
      <w:r>
        <w:t xml:space="preserve"> </w:t>
      </w:r>
      <w:r>
        <w:t xml:space="preserve">RMSE</w:t>
      </w:r>
      <w:r>
        <w:t xml:space="preserve"> </w:t>
      </w:r>
      <w:r>
        <w:t xml:space="preserve">and</w:t>
      </w:r>
      <w:r>
        <w:t xml:space="preserve"> </w:t>
      </w:r>
      <w:r>
        <w:t xml:space="preserve">the</w:t>
      </w:r>
      <w:r>
        <w:t xml:space="preserve"> </w:t>
      </w:r>
      <w:r>
        <w:t xml:space="preserve">highest</w:t>
      </w:r>
      <w:r>
        <w:t xml:space="preserve"> </w:t>
      </w:r>
      <w:r>
        <w:t xml:space="preserve">R</w:t>
      </w:r>
      <w:r>
        <w:rPr>
          <w:vertAlign w:val="superscript"/>
        </w:rPr>
        <w:t xml:space="preserve">2</w:t>
      </w:r>
      <w:r>
        <w:t xml:space="preserve">,</w:t>
      </w:r>
      <w:r>
        <w:t xml:space="preserve"> </w:t>
      </w:r>
      <w:r>
        <w:t xml:space="preserve">RPD</w:t>
      </w:r>
      <w:r>
        <w:t xml:space="preserve"> </w:t>
      </w:r>
      <w:r>
        <w:t xml:space="preserve">and</w:t>
      </w:r>
      <w:r>
        <w:t xml:space="preserve"> </w:t>
      </w:r>
      <w:r>
        <w:t xml:space="preserve">RPIQ,</w:t>
      </w:r>
      <w:r>
        <w:t xml:space="preserve"> </w:t>
      </w:r>
      <w:r>
        <w:t xml:space="preserve">with</w:t>
      </w:r>
      <w:r>
        <w:t xml:space="preserve"> </w:t>
      </w:r>
      <w:r>
        <w:t xml:space="preserve">RPD</w:t>
      </w:r>
      <w:r>
        <w:t xml:space="preserve"> </w:t>
      </w:r>
      <w:r>
        <w:t xml:space="preserve">and</w:t>
      </w:r>
      <w:r>
        <w:t xml:space="preserve"> </w:t>
      </w:r>
      <w:r>
        <w:t xml:space="preserve">RPIQ</w:t>
      </w:r>
      <w:r>
        <w:t xml:space="preserve"> </w:t>
      </w:r>
      <w:r>
        <w:t xml:space="preserve">2.1%,</w:t>
      </w:r>
      <w:r>
        <w:t xml:space="preserve"> </w:t>
      </w:r>
      <w:r>
        <w:t xml:space="preserve">and</w:t>
      </w:r>
      <w:r>
        <w:t xml:space="preserve"> </w:t>
      </w:r>
      <w:r>
        <w:t xml:space="preserve">2.4%</w:t>
      </w:r>
      <w:r>
        <w:t xml:space="preserve"> </w:t>
      </w:r>
      <w:r>
        <w:t xml:space="preserve">higher</w:t>
      </w:r>
      <w:r>
        <w:t xml:space="preserve"> </w:t>
      </w:r>
      <w:r>
        <w:t xml:space="preserve">than</w:t>
      </w:r>
      <w:r>
        <w:t xml:space="preserve"> </w:t>
      </w:r>
      <w:r>
        <w:t xml:space="preserve">a</w:t>
      </w:r>
      <w:r>
        <w:t xml:space="preserve"> </w:t>
      </w:r>
      <w:r>
        <w:t xml:space="preserve">Savitzky-Golay</w:t>
      </w:r>
      <w:r>
        <w:t xml:space="preserve"> </w:t>
      </w:r>
      <w:r>
        <w:t xml:space="preserve">filter</w:t>
      </w:r>
      <w:r>
        <w:t xml:space="preserve"> </w:t>
      </w:r>
      <w:r>
        <w:t xml:space="preserve">by</w:t>
      </w:r>
      <w:r>
        <w:t xml:space="preserve"> </w:t>
      </w:r>
      <w:r>
        <w:t xml:space="preserve">itself</w:t>
      </w:r>
      <w:r>
        <w:t xml:space="preserve"> </w:t>
      </w:r>
      <w:r>
        <w:t xml:space="preserve">(significant</w:t>
      </w:r>
      <w:r>
        <w:t xml:space="preserve"> </w:t>
      </w:r>
      <w:r>
        <w:t xml:space="preserve">at</w:t>
      </w:r>
      <w:r>
        <w:t xml:space="preserve"> </w:t>
      </w:r>
      <m:oMath>
        <m:r>
          <m:t>α</m:t>
        </m:r>
      </m:oMath>
      <w:r>
        <w:t xml:space="preserve"> </w:t>
      </w:r>
      <w:r>
        <w:t xml:space="preserve">&lt;0.05).</w:t>
      </w:r>
      <w:r>
        <w:t xml:space="preserve"> </w:t>
      </w:r>
      <w:r>
        <w:t xml:space="preserve">All</w:t>
      </w:r>
      <w:r>
        <w:t xml:space="preserve"> </w:t>
      </w:r>
      <w:r>
        <w:t xml:space="preserve">preprocessing</w:t>
      </w:r>
      <w:r>
        <w:t xml:space="preserve"> </w:t>
      </w:r>
      <w:r>
        <w:t xml:space="preserve">methods</w:t>
      </w:r>
      <w:r>
        <w:t xml:space="preserve"> </w:t>
      </w:r>
      <w:r>
        <w:t xml:space="preserve">outperformed</w:t>
      </w:r>
      <w:r>
        <w:t xml:space="preserve"> </w:t>
      </w:r>
      <w:r>
        <w:t xml:space="preserve">untransformed</w:t>
      </w:r>
      <w:r>
        <w:t xml:space="preserve"> </w:t>
      </w:r>
      <w:r>
        <w:t xml:space="preserve">spectra.</w:t>
      </w:r>
      <w:r>
        <w:t xml:space="preserve"> </w:t>
      </w:r>
      <w:r>
        <w:t xml:space="preserve">Optimal</w:t>
      </w:r>
      <w:r>
        <w:t xml:space="preserve"> </w:t>
      </w:r>
      <w:r>
        <w:t xml:space="preserve">final</w:t>
      </w:r>
      <w:r>
        <w:t xml:space="preserve"> </w:t>
      </w:r>
      <w:r>
        <w:t xml:space="preserve">models</w:t>
      </w:r>
      <w:r>
        <w:t xml:space="preserve"> </w:t>
      </w:r>
      <w:r>
        <w:t xml:space="preserve">typically</w:t>
      </w:r>
      <w:r>
        <w:t xml:space="preserve"> </w:t>
      </w:r>
      <w:r>
        <w:t xml:space="preserve">consisted</w:t>
      </w:r>
      <w:r>
        <w:t xml:space="preserve"> </w:t>
      </w:r>
      <w:r>
        <w:t xml:space="preserve">of</w:t>
      </w:r>
      <w:r>
        <w:t xml:space="preserve"> </w:t>
      </w:r>
      <w:r>
        <w:t xml:space="preserve">12</w:t>
      </w:r>
      <w:r>
        <w:t xml:space="preserve"> </w:t>
      </w:r>
      <w:r>
        <w:t xml:space="preserve">components.</w:t>
      </w:r>
      <w:r>
        <w:t xml:space="preserve"> </w:t>
      </w:r>
      <w:r>
        <w:t xml:space="preserve">Seventy-four</w:t>
      </w:r>
      <w:r>
        <w:t xml:space="preserve"> </w:t>
      </w:r>
      <w:r>
        <w:t xml:space="preserve">percent</w:t>
      </w:r>
      <w:r>
        <w:t xml:space="preserve"> </w:t>
      </w:r>
      <w:r>
        <w:t xml:space="preserve">of</w:t>
      </w:r>
      <w:r>
        <w:t xml:space="preserve"> </w:t>
      </w:r>
      <w:r>
        <w:t xml:space="preserve">the</w:t>
      </w:r>
      <w:r>
        <w:t xml:space="preserve"> </w:t>
      </w:r>
      <w:r>
        <w:t xml:space="preserve">1000</w:t>
      </w:r>
      <w:r>
        <w:t xml:space="preserve"> </w:t>
      </w:r>
      <w:r>
        <w:t xml:space="preserve">final</w:t>
      </w:r>
      <w:r>
        <w:t xml:space="preserve"> </w:t>
      </w:r>
      <w:r>
        <w:t xml:space="preserve">models</w:t>
      </w:r>
      <w:r>
        <w:t xml:space="preserve"> </w:t>
      </w:r>
      <w:r>
        <w:t xml:space="preserve">had,</w:t>
      </w:r>
      <w:r>
        <w:t xml:space="preserve"> </w:t>
      </w:r>
      <w:r>
        <w:t xml:space="preserve">at</w:t>
      </w:r>
      <w:r>
        <w:t xml:space="preserve"> </w:t>
      </w:r>
      <w:r>
        <w:t xml:space="preserve">minimum,</w:t>
      </w:r>
      <w:r>
        <w:t xml:space="preserve"> </w:t>
      </w:r>
      <w:r>
        <w:t xml:space="preserve">the</w:t>
      </w:r>
      <w:r>
        <w:t xml:space="preserve"> </w:t>
      </w:r>
      <w:r>
        <w:t xml:space="preserve">ability</w:t>
      </w:r>
      <w:r>
        <w:t xml:space="preserve"> </w:t>
      </w:r>
      <w:r>
        <w:t xml:space="preserve">to</w:t>
      </w:r>
      <w:r>
        <w:t xml:space="preserve"> </w:t>
      </w:r>
      <w:r>
        <w:t xml:space="preserve">distinguish</w:t>
      </w:r>
      <w:r>
        <w:t xml:space="preserve"> </w:t>
      </w:r>
      <w:r>
        <w:t xml:space="preserve">between</w:t>
      </w:r>
      <w:r>
        <w:t xml:space="preserve"> </w:t>
      </w:r>
      <w:r>
        <w:t xml:space="preserve">high</w:t>
      </w:r>
      <w:r>
        <w:t xml:space="preserve"> </w:t>
      </w:r>
      <w:r>
        <w:t xml:space="preserve">and</w:t>
      </w:r>
      <w:r>
        <w:t xml:space="preserve"> </w:t>
      </w:r>
      <w:r>
        <w:t xml:space="preserve">low</w:t>
      </w:r>
      <w:r>
        <w:t xml:space="preserve"> </w:t>
      </w:r>
      <w:r>
        <w:t xml:space="preserve">values</w:t>
      </w:r>
      <w:r>
        <w:t xml:space="preserve"> </w:t>
      </w:r>
      <w:r>
        <w:t xml:space="preserve">of</w:t>
      </w:r>
      <w:r>
        <w:t xml:space="preserve"> </w:t>
      </w:r>
      <w:r>
        <w:t xml:space="preserve">CP</w:t>
      </w:r>
      <w:r>
        <w:t xml:space="preserve"> </w:t>
      </w:r>
      <w:r>
        <w:t xml:space="preserve">concentration,</w:t>
      </w:r>
      <w:r>
        <w:t xml:space="preserve"> </w:t>
      </w:r>
      <w:r>
        <w:t xml:space="preserve">with</w:t>
      </w:r>
      <w:r>
        <w:t xml:space="preserve"> </w:t>
      </w:r>
      <w:r>
        <w:t xml:space="preserve">49%</w:t>
      </w:r>
      <w:r>
        <w:t xml:space="preserve"> </w:t>
      </w:r>
      <w:r>
        <w:t xml:space="preserve">of</w:t>
      </w:r>
      <w:r>
        <w:t xml:space="preserve"> </w:t>
      </w:r>
      <w:r>
        <w:t xml:space="preserve">the</w:t>
      </w:r>
      <w:r>
        <w:t xml:space="preserve"> </w:t>
      </w:r>
      <w:r>
        <w:t xml:space="preserve">models</w:t>
      </w:r>
      <w:r>
        <w:t xml:space="preserve"> </w:t>
      </w:r>
      <w:r>
        <w:t xml:space="preserve">capable</w:t>
      </w:r>
      <w:r>
        <w:t xml:space="preserve"> </w:t>
      </w:r>
      <w:r>
        <w:t xml:space="preserve">of</w:t>
      </w:r>
      <w:r>
        <w:t xml:space="preserve"> </w:t>
      </w:r>
      <w:r>
        <w:t xml:space="preserve">approximating</w:t>
      </w:r>
      <w:r>
        <w:t xml:space="preserve"> </w:t>
      </w:r>
      <w:r>
        <w:t xml:space="preserve">quantitative</w:t>
      </w:r>
      <w:r>
        <w:t xml:space="preserve"> </w:t>
      </w:r>
      <w:r>
        <w:t xml:space="preserve">prodiction.</w:t>
      </w:r>
      <w:r>
        <w:t xml:space="preserve"> </w:t>
      </w:r>
      <w:r>
        <w:t xml:space="preserve">The</w:t>
      </w:r>
      <w:r>
        <w:t xml:space="preserve"> </w:t>
      </w:r>
      <w:r>
        <w:t xml:space="preserve">models</w:t>
      </w:r>
      <w:r>
        <w:t xml:space="preserve"> </w:t>
      </w:r>
      <w:r>
        <w:t xml:space="preserve">tested</w:t>
      </w:r>
      <w:r>
        <w:t xml:space="preserve"> </w:t>
      </w:r>
      <w:r>
        <w:t xml:space="preserve">to</w:t>
      </w:r>
      <w:r>
        <w:t xml:space="preserve"> </w:t>
      </w:r>
      <w:r>
        <w:t xml:space="preserve">overestimate</w:t>
      </w:r>
      <w:r>
        <w:t xml:space="preserve"> </w:t>
      </w:r>
      <w:r>
        <w:t xml:space="preserve">CP</w:t>
      </w:r>
      <w:r>
        <w:t xml:space="preserve"> </w:t>
      </w:r>
      <w:r>
        <w:t xml:space="preserve">concentration</w:t>
      </w:r>
      <w:r>
        <w:t xml:space="preserve"> </w:t>
      </w:r>
      <w:r>
        <w:t xml:space="preserve">by</w:t>
      </w:r>
      <w:r>
        <w:t xml:space="preserve"> </w:t>
      </w:r>
      <w:r>
        <w:t xml:space="preserve">0.5%</w:t>
      </w:r>
      <w:r>
        <w:t xml:space="preserve"> </w:t>
      </w:r>
      <w:r>
        <w:t xml:space="preserve">in</w:t>
      </w:r>
      <w:r>
        <w:t xml:space="preserve"> </w:t>
      </w:r>
      <w:r>
        <w:t xml:space="preserve">the</w:t>
      </w:r>
      <w:r>
        <w:t xml:space="preserve"> </w:t>
      </w:r>
      <w:r>
        <w:t xml:space="preserve">lowest</w:t>
      </w:r>
      <w:r>
        <w:t xml:space="preserve"> </w:t>
      </w:r>
      <w:r>
        <w:t xml:space="preserve">tertile</w:t>
      </w:r>
      <w:r>
        <w:t xml:space="preserve"> </w:t>
      </w:r>
      <w:r>
        <w:t xml:space="preserve">of</w:t>
      </w:r>
      <w:r>
        <w:t xml:space="preserve"> </w:t>
      </w:r>
      <w:r>
        <w:t xml:space="preserve">samples</w:t>
      </w:r>
      <w:r>
        <w:t xml:space="preserve"> </w:t>
      </w:r>
      <w:r>
        <w:t xml:space="preserve">and</w:t>
      </w:r>
      <w:r>
        <w:t xml:space="preserve"> </w:t>
      </w:r>
      <w:r>
        <w:t xml:space="preserve">underestimate</w:t>
      </w:r>
      <w:r>
        <w:t xml:space="preserve"> </w:t>
      </w:r>
      <w:r>
        <w:t xml:space="preserve">CP</w:t>
      </w:r>
      <w:r>
        <w:t xml:space="preserve"> </w:t>
      </w:r>
      <w:r>
        <w:t xml:space="preserve">concentration</w:t>
      </w:r>
      <w:r>
        <w:t xml:space="preserve"> </w:t>
      </w:r>
      <w:r>
        <w:t xml:space="preserve">by</w:t>
      </w:r>
      <w:r>
        <w:t xml:space="preserve"> </w:t>
      </w:r>
      <w:r>
        <w:t xml:space="preserve">0.4%</w:t>
      </w:r>
      <w:r>
        <w:t xml:space="preserve"> </w:t>
      </w:r>
      <w:r>
        <w:t xml:space="preserve">in</w:t>
      </w:r>
      <w:r>
        <w:t xml:space="preserve"> </w:t>
      </w:r>
      <w:r>
        <w:t xml:space="preserve">the</w:t>
      </w:r>
      <w:r>
        <w:t xml:space="preserve"> </w:t>
      </w:r>
      <w:r>
        <w:t xml:space="preserve">highest</w:t>
      </w:r>
      <w:r>
        <w:t xml:space="preserve"> </w:t>
      </w:r>
      <w:r>
        <w:t xml:space="preserve">tertile</w:t>
      </w:r>
      <w:r>
        <w:t xml:space="preserve"> </w:t>
      </w:r>
      <w:r>
        <w:t xml:space="preserve">of</w:t>
      </w:r>
      <w:r>
        <w:t xml:space="preserve"> </w:t>
      </w:r>
      <w:r>
        <w:t xml:space="preserve">samples.</w:t>
      </w:r>
      <w:r>
        <w:t xml:space="preserve"> </w:t>
      </w:r>
      <w:r>
        <w:t xml:space="preserve">The</w:t>
      </w:r>
      <w:r>
        <w:t xml:space="preserve"> </w:t>
      </w:r>
      <w:r>
        <w:t xml:space="preserve">worst-predicted</w:t>
      </w:r>
      <w:r>
        <w:t xml:space="preserve"> </w:t>
      </w:r>
      <w:r>
        <w:t xml:space="preserve">samples</w:t>
      </w:r>
      <w:r>
        <w:t xml:space="preserve"> </w:t>
      </w:r>
      <w:r>
        <w:t xml:space="preserve">tended</w:t>
      </w:r>
      <w:r>
        <w:t xml:space="preserve"> </w:t>
      </w:r>
      <w:r>
        <w:t xml:space="preserve">to</w:t>
      </w:r>
      <w:r>
        <w:t xml:space="preserve"> </w:t>
      </w:r>
      <w:r>
        <w:t xml:space="preserve">come</w:t>
      </w:r>
      <w:r>
        <w:t xml:space="preserve"> </w:t>
      </w:r>
      <w:r>
        <w:t xml:space="preserve">from</w:t>
      </w:r>
      <w:r>
        <w:t xml:space="preserve"> </w:t>
      </w:r>
      <w:r>
        <w:t xml:space="preserve">Geneva,</w:t>
      </w:r>
      <w:r>
        <w:t xml:space="preserve"> </w:t>
      </w:r>
      <w:r>
        <w:t xml:space="preserve">NY,</w:t>
      </w:r>
      <w:r>
        <w:t xml:space="preserve"> </w:t>
      </w:r>
      <w:r>
        <w:t xml:space="preserve">possibly</w:t>
      </w:r>
      <w:r>
        <w:t xml:space="preserve"> </w:t>
      </w:r>
      <w:r>
        <w:t xml:space="preserve">as</w:t>
      </w:r>
      <w:r>
        <w:t xml:space="preserve"> </w:t>
      </w:r>
      <w:r>
        <w:t xml:space="preserve">a</w:t>
      </w:r>
      <w:r>
        <w:t xml:space="preserve"> </w:t>
      </w:r>
      <w:r>
        <w:t xml:space="preserve">result</w:t>
      </w:r>
      <w:r>
        <w:t xml:space="preserve"> </w:t>
      </w:r>
      <w:r>
        <w:t xml:space="preserve">of</w:t>
      </w:r>
      <w:r>
        <w:t xml:space="preserve"> </w:t>
      </w:r>
      <w:r>
        <w:t xml:space="preserve">the</w:t>
      </w:r>
      <w:r>
        <w:t xml:space="preserve"> </w:t>
      </w:r>
      <w:r>
        <w:t xml:space="preserve">models’</w:t>
      </w:r>
      <w:r>
        <w:t xml:space="preserve"> </w:t>
      </w:r>
      <w:r>
        <w:t xml:space="preserve">class</w:t>
      </w:r>
      <w:r>
        <w:t xml:space="preserve"> </w:t>
      </w:r>
      <w:r>
        <w:t xml:space="preserve">imbalance</w:t>
      </w:r>
      <w:r>
        <w:t xml:space="preserve"> </w:t>
      </w:r>
      <w:r>
        <w:t xml:space="preserve">(half</w:t>
      </w:r>
      <w:r>
        <w:t xml:space="preserve"> </w:t>
      </w:r>
      <w:r>
        <w:t xml:space="preserve">of</w:t>
      </w:r>
      <w:r>
        <w:t xml:space="preserve"> </w:t>
      </w:r>
      <w:r>
        <w:t xml:space="preserve">the</w:t>
      </w:r>
      <w:r>
        <w:t xml:space="preserve"> </w:t>
      </w:r>
      <w:r>
        <w:t xml:space="preserve">samples</w:t>
      </w:r>
      <w:r>
        <w:t xml:space="preserve"> </w:t>
      </w:r>
      <w:r>
        <w:t xml:space="preserve">were</w:t>
      </w:r>
      <w:r>
        <w:t xml:space="preserve"> </w:t>
      </w:r>
      <w:r>
        <w:t xml:space="preserve">from</w:t>
      </w:r>
      <w:r>
        <w:t xml:space="preserve"> </w:t>
      </w:r>
      <w:r>
        <w:t xml:space="preserve">Ithaca,</w:t>
      </w:r>
      <w:r>
        <w:t xml:space="preserve"> </w:t>
      </w:r>
      <w:r>
        <w:t xml:space="preserve">NY</w:t>
      </w:r>
      <w:r>
        <w:t xml:space="preserve"> </w:t>
      </w:r>
      <w:r>
        <w:t xml:space="preserve">while</w:t>
      </w:r>
      <w:r>
        <w:t xml:space="preserve"> </w:t>
      </w:r>
      <w:r>
        <w:t xml:space="preserve">28%</w:t>
      </w:r>
      <w:r>
        <w:t xml:space="preserve"> </w:t>
      </w:r>
      <w:r>
        <w:t xml:space="preserve">were</w:t>
      </w:r>
      <w:r>
        <w:t xml:space="preserve"> </w:t>
      </w:r>
      <w:r>
        <w:t xml:space="preserve">from</w:t>
      </w:r>
      <w:r>
        <w:t xml:space="preserve"> </w:t>
      </w:r>
      <w:r>
        <w:t xml:space="preserve">Geneva).</w:t>
      </w:r>
      <w:r>
        <w:t xml:space="preserve"> </w:t>
      </w:r>
      <w:r>
        <w:t xml:space="preserve">The</w:t>
      </w:r>
      <w:r>
        <w:t xml:space="preserve"> </w:t>
      </w:r>
      <w:r>
        <w:t xml:space="preserve">research</w:t>
      </w:r>
      <w:r>
        <w:t xml:space="preserve"> </w:t>
      </w:r>
      <w:r>
        <w:t xml:space="preserve">shows</w:t>
      </w:r>
      <w:r>
        <w:t xml:space="preserve"> </w:t>
      </w:r>
      <w:r>
        <w:t xml:space="preserve">the</w:t>
      </w:r>
      <w:r>
        <w:t xml:space="preserve"> </w:t>
      </w:r>
      <w:r>
        <w:t xml:space="preserve">promise</w:t>
      </w:r>
      <w:r>
        <w:t xml:space="preserve"> </w:t>
      </w:r>
      <w:r>
        <w:t xml:space="preserve">that</w:t>
      </w:r>
      <w:r>
        <w:t xml:space="preserve"> </w:t>
      </w:r>
      <w:r>
        <w:t xml:space="preserve">NIRS</w:t>
      </w:r>
      <w:r>
        <w:t xml:space="preserve"> </w:t>
      </w:r>
      <w:r>
        <w:t xml:space="preserve">offers</w:t>
      </w:r>
      <w:r>
        <w:t xml:space="preserve"> </w:t>
      </w:r>
      <w:r>
        <w:t xml:space="preserve">in</w:t>
      </w:r>
      <w:r>
        <w:t xml:space="preserve"> </w:t>
      </w:r>
      <w:r>
        <w:t xml:space="preserve">the</w:t>
      </w:r>
      <w:r>
        <w:t xml:space="preserve"> </w:t>
      </w:r>
      <w:r>
        <w:t xml:space="preserve">non-desctructive</w:t>
      </w:r>
      <w:r>
        <w:t xml:space="preserve"> </w:t>
      </w:r>
      <w:r>
        <w:t xml:space="preserve">assay</w:t>
      </w:r>
      <w:r>
        <w:t xml:space="preserve"> </w:t>
      </w:r>
      <w:r>
        <w:t xml:space="preserve">of</w:t>
      </w:r>
      <w:r>
        <w:t xml:space="preserve"> </w:t>
      </w:r>
      <w:r>
        <w:t xml:space="preserve">CP</w:t>
      </w:r>
      <w:r>
        <w:t xml:space="preserve"> </w:t>
      </w:r>
      <w:r>
        <w:t xml:space="preserve">concentration</w:t>
      </w:r>
      <w:r>
        <w:t xml:space="preserve"> </w:t>
      </w:r>
      <w:r>
        <w:t xml:space="preserve">in</w:t>
      </w:r>
      <w:r>
        <w:t xml:space="preserve"> </w:t>
      </w:r>
      <w:r>
        <w:t xml:space="preserve">hemp</w:t>
      </w:r>
      <w:r>
        <w:t xml:space="preserve"> </w:t>
      </w:r>
      <w:r>
        <w:t xml:space="preserve">grain</w:t>
      </w:r>
    </w:p>
    <w:p>
      <w:pPr>
        <w:pStyle w:val="FirstParagraph"/>
      </w:pPr>
      <w:r>
        <w:rPr>
          <w:b/>
          <w:bCs/>
        </w:rPr>
        <w:t xml:space="preserve">draft incorporates changes from Ginny, Larry, and Julie</w:t>
      </w:r>
    </w:p>
    <w:bookmarkStart w:id="20" w:name="introduction"/>
    <w:p>
      <w:pPr>
        <w:pStyle w:val="Heading2"/>
      </w:pPr>
      <w:r>
        <w:t xml:space="preserve">1 INTRODUCTION</w:t>
      </w:r>
    </w:p>
    <w:p>
      <w:pPr>
        <w:pStyle w:val="FirstParagraph"/>
      </w:pPr>
      <w:r>
        <w:t xml:space="preserve">Hemp (</w:t>
      </w:r>
      <w:r>
        <w:rPr>
          <w:i/>
          <w:iCs/>
        </w:rPr>
        <w:t xml:space="preserve">Cannabis sativa</w:t>
      </w:r>
      <w:r>
        <w:t xml:space="preserve"> </w:t>
      </w:r>
      <w:r>
        <w:t xml:space="preserve">L.) is an annual crop with potential uses as a source of food or feed, derived from the grain, and fiber (bast or hurd), derived from the stalk. Hemp cultivars are commonly grown for one or both purposes and a cultivar may be called a grain, fiber, or dual-purpose type. Because of its nutritional importance, the protein concentration of a grain crop is a prime consideration for researchers, producers, and consumers. Whole hemp grain typically contains approximately 200-300 g kg</w:t>
      </w:r>
      <w:r>
        <w:rPr>
          <w:vertAlign w:val="superscript"/>
        </w:rPr>
        <w:t xml:space="preserve">−1</w:t>
      </w:r>
      <w:r>
        <w:t xml:space="preserve"> </w:t>
      </w:r>
      <w:r>
        <w:t xml:space="preserve">protein</w:t>
      </w:r>
      <w:r>
        <w:t xml:space="preserve"> </w:t>
      </w:r>
      <w:r>
        <w:t xml:space="preserve">(Bárta et al., 2024; Callaway, 2004; Ely &amp; Fike, 2022; Liu et al., 2023)</w:t>
      </w:r>
      <w:r>
        <w:t xml:space="preserve">. Crude protein is often used as a proxy for the direct measurement of protein concentration and consists of the multiplication of nitrogen concentration by a conversion factor, often 6.25</w:t>
      </w:r>
      <w:r>
        <w:t xml:space="preserve"> </w:t>
      </w:r>
      <w:r>
        <w:t xml:space="preserve">(Hayes, 2020)</w:t>
      </w:r>
      <w:r>
        <w:t xml:space="preserve">.</w:t>
      </w:r>
    </w:p>
    <w:p>
      <w:pPr>
        <w:pStyle w:val="BodyText"/>
      </w:pPr>
      <w:r>
        <w:t xml:space="preserve">Near-infrared (NIR) spectroscopy (NIRS) technology is rapid, non-destructive, and inexpensive. It consists of the measurement of NIR radiation reflected and absorbed from a sample (the spectra) and the relation of the spectra to primary analytical values, typically obtained using wet chemistry assays, for components such as moisture, protein, fat, or fiber</w:t>
      </w:r>
      <w:r>
        <w:t xml:space="preserve"> </w:t>
      </w:r>
      <w:r>
        <w:t xml:space="preserve">(Roberts et al., 2004)</w:t>
      </w:r>
      <w:r>
        <w:t xml:space="preserve">. NIRS technology has been used since the 1970’s to assess forage percentage CP</w:t>
      </w:r>
      <w:r>
        <w:t xml:space="preserve"> </w:t>
      </w:r>
      <w:r>
        <w:t xml:space="preserve">(Reeves, 2012; Williams, 1975)</w:t>
      </w:r>
      <w:r>
        <w:t xml:space="preserve">. A NIRS calibration set often consists of samples from diverse genotypes of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et al., 2004)</w:t>
      </w:r>
      <w:r>
        <w:t xml:space="preserve">. Partial least squares regression calculates components that maximize covariance between predictor and response variables. Partial least squares regression uses some number of components, often selected via cross-validation, to fit the regression model and is commonly used in spectroscopy because it tends to work well with highly correlated, noisy spectral data</w:t>
      </w:r>
      <w:r>
        <w:t xml:space="preserve"> </w:t>
      </w:r>
      <w:r>
        <w:t xml:space="preserve">(Wold et al., 2001)</w:t>
      </w:r>
      <w:r>
        <w:t xml:space="preserve">.</w:t>
      </w:r>
    </w:p>
    <w:p>
      <w:pPr>
        <w:pStyle w:val="BodyText"/>
      </w:pPr>
      <w:r>
        <w:t xml:space="preserve">A NIRS-scanned sample of whole grain may be used for other purposes besides the scan, including planting as a seed. In wheat and corn, grain protein content has been shown to be heritable</w:t>
      </w:r>
      <w:r>
        <w:t xml:space="preserve"> </w:t>
      </w:r>
      <w:r>
        <w:t xml:space="preserve">(Geyer et al., 2022; Giancaspro et al., 2019)</w:t>
      </w:r>
      <w:r>
        <w:t xml:space="preserve">. This suggests that NIRS technology could serve as a resource to rapidly identify high concentration CP hemp germplasm, enabling the screening of germplasm as seed, before planting to the field, and facilitating the efficient development of high concentration CP hemp populations.</w:t>
      </w:r>
    </w:p>
    <w:p>
      <w:pPr>
        <w:pStyle w:val="BodyText"/>
      </w:pPr>
      <w:r>
        <w:t xml:space="preserve">For this study, a benchtop NIR spectrometer was used to develop a model to predict CP concentration based on a data set of hemp grain representing multiple years, locations, and cultivars from grain and dual-purpose hemp types using PLSR.</w:t>
      </w:r>
    </w:p>
    <w:bookmarkEnd w:id="20"/>
    <w:bookmarkStart w:id="27" w:name="materials-and-methods"/>
    <w:p>
      <w:pPr>
        <w:pStyle w:val="Heading2"/>
      </w:pPr>
      <w:r>
        <w:t xml:space="preserve">2 MATERIALS AND METHODS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2" w:name="hemp-grain-sample-background"/>
    <w:p>
      <w:pPr>
        <w:pStyle w:val="Heading3"/>
      </w:pPr>
      <w:r>
        <w:t xml:space="preserve">2.1 Hemp Grain Sample Background</w:t>
      </w:r>
    </w:p>
    <w:p>
      <w:pPr>
        <w:pStyle w:val="FirstParagraph"/>
      </w:pPr>
      <w:r>
        <w:t xml:space="preserve">Spectral data were obtained from whole (unground) hemp grain samples, harvested at maturity, collected from 2017–2021 from 18 cultivar trials in New York (NY) (149 samples). Grain samples were obtained by hand sampling or mechanical harvest and were cleaned of chaff and dried at 30 C for six days in a forced-air dryer. All CP values were expressed as concentration dry matter. In total, 149 samples from 38 cultivars were represented in the data set. Cultivars were grain or dual-purpose types and included both commercially available and experimental material. Seventy-eight samples were scanned and assayed in 2017, 19 in 2018, 24 in 2019, and 28 in 2021. More information about hemp cultivars and locations is available in</w:t>
      </w:r>
      <w:r>
        <w:t xml:space="preserve"> </w:t>
      </w:r>
      <w:hyperlink w:anchor="tbl-hemp_provenance">
        <w:r>
          <w:rPr>
            <w:rStyle w:val="Hyperlink"/>
          </w:rPr>
          <w:t xml:space="preserve">Table 3</w:t>
        </w:r>
      </w:hyperlink>
      <w:r>
        <w:t xml:space="preserve">.</w:t>
      </w:r>
    </w:p>
    <w:p>
      <w:pPr>
        <w:pStyle w:val="BodyText"/>
      </w:pPr>
      <w:r>
        <w:t xml:space="preserve">All cultivar trials were planted in randomized complete block design with each cultivar replicated four times. The 2017 data were comprised of samples from the same 13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cultivars and locations were represented in 2017, but only a selected subset of cultivar-location combinations were represented in 2018-2021 because not all cultivars were planted everywhere and only a portion of these cultivar-location combinations were sampled, scanned, and assayed due to logistical constraints.</w:t>
      </w:r>
    </w:p>
    <w:bookmarkEnd w:id="22"/>
    <w:bookmarkStart w:id="23"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 A 1/4 rectangular sample cup (5.7 cm × 4.6 cm) was used to scan the samples.</w:t>
      </w:r>
    </w:p>
    <w:p>
      <w:pPr>
        <w:pStyle w:val="BodyText"/>
      </w:pPr>
      <w:r>
        <w:t xml:space="preserve">WINISI software version 1.02A (Infrasoft International, Port Matilda, PA, USA) was used to calculate the mean spectra in 2017 and to select samples for laboratory assay in all years. Samples were selected according to their spectral distance from their nearest neighbor within the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Prior to selection, spectra were preprocessed using SNV-detrend with settings 1,4,4,1 for the derivative, gap, smooth, and smooth-two settings respectively.</w:t>
      </w:r>
    </w:p>
    <w:bookmarkEnd w:id="23"/>
    <w:bookmarkStart w:id="24" w:name="laboratory-validation"/>
    <w:p>
      <w:pPr>
        <w:pStyle w:val="Heading3"/>
      </w:pPr>
      <w:r>
        <w:t xml:space="preserve">2.3 Laboratory Validation</w:t>
      </w:r>
    </w:p>
    <w:p>
      <w:pPr>
        <w:pStyle w:val="FirstParagraph"/>
      </w:pPr>
      <w:r>
        <w:t xml:space="preserve">Laboratory assays were performed by Dairy One Forage Laboratory (Ithaca, NY). For those assays, 1 mm ground samples were analyzed by combustion using a CN628 or CN928 Carbon/Nitrogen Determinator. Samples from 2017 were aggregated as described above, but the remaining samples were not aggregated.</w:t>
      </w:r>
    </w:p>
    <w:bookmarkEnd w:id="24"/>
    <w:bookmarkStart w:id="25" w:name="r-software-and-packages-used"/>
    <w:p>
      <w:pPr>
        <w:pStyle w:val="Heading3"/>
      </w:pPr>
      <w:r>
        <w:t xml:space="preserve">2.4 R software and packages used</w:t>
      </w:r>
    </w:p>
    <w:p>
      <w:pPr>
        <w:pStyle w:val="FirstParagraph"/>
      </w:pPr>
      <w:r>
        <w:t xml:space="preserve">We used R version 4.4.1</w:t>
      </w:r>
      <w:r>
        <w:t xml:space="preserve"> </w:t>
      </w:r>
      <w:r>
        <w:t xml:space="preserve">(R Core Team, 2024)</w:t>
      </w:r>
      <w:r>
        <w:t xml:space="preserve"> </w:t>
      </w:r>
      <w:r>
        <w:t xml:space="preserve">and the following R packages: caret v. 6.0.90</w:t>
      </w:r>
      <w:r>
        <w:t xml:space="preserve"> </w:t>
      </w:r>
      <w:r>
        <w:t xml:space="preserve">(Kuhn, 2021)</w:t>
      </w:r>
      <w:r>
        <w:t xml:space="preserve">, data.table v. 1.16.0</w:t>
      </w:r>
      <w:r>
        <w:t xml:space="preserve"> </w:t>
      </w:r>
      <w:r>
        <w:t xml:space="preserve">(Barrett et al., 2024)</w:t>
      </w:r>
      <w:r>
        <w:t xml:space="preserve">, emmeans v. 1.10.4</w:t>
      </w:r>
      <w:r>
        <w:t xml:space="preserve"> </w:t>
      </w:r>
      <w:r>
        <w:t xml:space="preserve">(Lenth, 2024)</w:t>
      </w:r>
      <w:r>
        <w:t xml:space="preserve">, nlme v. 3.1.165</w:t>
      </w:r>
      <w:r>
        <w:t xml:space="preserve"> </w:t>
      </w:r>
      <w:r>
        <w:t xml:space="preserve">(J. Pinheiro et al., 2024; J. C. Pinheiro &amp; Bates, 2000)</w:t>
      </w:r>
      <w:r>
        <w:t xml:space="preserve">, pls v. 2.8.0</w:t>
      </w:r>
      <w:r>
        <w:t xml:space="preserve"> </w:t>
      </w:r>
      <w:r>
        <w:t xml:space="preserve">(Liland et al., 2021)</w:t>
      </w:r>
      <w:r>
        <w:t xml:space="preserve">, prospectr v. 0.2.7</w:t>
      </w:r>
      <w:r>
        <w:t xml:space="preserve"> </w:t>
      </w:r>
      <w:r>
        <w:t xml:space="preserve">(Stevens &amp; Ramirez-Lopez, 2024)</w:t>
      </w:r>
      <w:r>
        <w:t xml:space="preserve">, skimr v. 2.1.5</w:t>
      </w:r>
      <w:r>
        <w:t xml:space="preserve"> </w:t>
      </w:r>
      <w:r>
        <w:t xml:space="preserve">(Waring et al., 2022)</w:t>
      </w:r>
      <w:r>
        <w:t xml:space="preserve">, tidymodels v. 1.2.0</w:t>
      </w:r>
      <w:r>
        <w:t xml:space="preserve"> </w:t>
      </w:r>
      <w:r>
        <w:t xml:space="preserve">(Kuhn &amp; Wickham, 2020)</w:t>
      </w:r>
      <w:r>
        <w:t xml:space="preserve">, tidyverse v. 2.0.0</w:t>
      </w:r>
      <w:r>
        <w:t xml:space="preserve"> </w:t>
      </w:r>
      <w:r>
        <w:t xml:space="preserve">(Wickham et al., 2019)</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5"/>
    <w:bookmarkStart w:id="26" w:name="model-development"/>
    <w:p>
      <w:pPr>
        <w:pStyle w:val="Heading3"/>
      </w:pPr>
      <w:r>
        <w:t xml:space="preserve">2.5 Model Development</w:t>
      </w:r>
    </w:p>
    <w:p>
      <w:pPr>
        <w:pStyle w:val="FirstParagraph"/>
      </w:pPr>
      <w:r>
        <w:t xml:space="preserve">Training and testing sets were created by dividing samples by their laboratory CP concentration values into tertiles to ensure that a representative range of values was present in both training and testing sets. Within each tertile, 75% of the samples were randomly assigned to the training set and the remaining 25% were assigned to the testing set. For each training set, models were developed in the caret package using PLSR. In fitting the model, the number of components was optimized over a grid search from 1-20. Model performance was evaluated with 25 iterations of bootstrapping and minimized root mean squared error (RMSE) in selecting the number of components in the final model.</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Initially a number of common spectral preprocessing methods were tested by creating 100 training and testing sets, as described above. Spectral data were transformed by each of the following methods: 1) first derivative, 2) Savitzky-Golay (SG) using the first derivative, third order polynomial, and a window of size five, 3) gap-segment derivative using the first derivative, a gap of 11, and a segment size of five, 4) standard normal variate (SNV), 5) standard normal variate following Savitzky-Golay (SNV-SG) using the same SG parameters as above, 6) SNV-detrend with second order polynomial, and 7) multiplicative scatter correction. For comparison, models were also developed using untransformed spectra.</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For each of these preprocessing methods, models were fit and predictions were made on the corresponding testing set. Since there were seven preprocessing methods as well as untransformed spectra, eight separate models were fit for each of the 100 sets. The relationship between the predicted and actual values of the test set were calculated via RMSE, coefficient of determination (R</w:t>
      </w:r>
      <w:r>
        <w:rPr>
          <w:vertAlign w:val="superscript"/>
        </w:rPr>
        <w:t xml:space="preserve">2</w:t>
      </w:r>
      <w:r>
        <w:t xml:space="preserve">), relative predicted deviation (RPD), and Ratio of Performance to InterQuartile distance (RPIQ), four common model assessment metrics. Larger R</w:t>
      </w:r>
      <w:r>
        <w:rPr>
          <w:vertAlign w:val="superscript"/>
        </w:rPr>
        <w:t xml:space="preserve">2</w:t>
      </w:r>
      <w:r>
        <w:t xml:space="preserve">, RPD and RPIQ values and smaller RMSE values are best. The answer to the question of exactly which values constitute a</w:t>
      </w:r>
      <w:r>
        <w:t xml:space="preserve"> </w:t>
      </w:r>
      <w:r>
        <w:t xml:space="preserve">“</w:t>
      </w:r>
      <w:r>
        <w:t xml:space="preserve">good</w:t>
      </w:r>
      <w:r>
        <w:t xml:space="preserve">”</w:t>
      </w:r>
      <w:r>
        <w:t xml:space="preserve"> </w:t>
      </w:r>
      <w:r>
        <w:t xml:space="preserve">model varies depending upon the reference consulted, but for simplicity’s sake the standard established for an acceptable model was R</w:t>
      </w:r>
      <w:r>
        <w:rPr>
          <w:vertAlign w:val="superscript"/>
        </w:rPr>
        <w:t xml:space="preserve">2</w:t>
      </w:r>
      <w:r>
        <w:t xml:space="preserve"> </w:t>
      </w:r>
      <w:r>
        <w:t xml:space="preserve">&gt; 0.80, an RPD greater than 2.5 and ideally greater than 3 (</w:t>
      </w:r>
      <w:r>
        <w:t xml:space="preserve">“</w:t>
      </w:r>
      <w:r>
        <w:t xml:space="preserve">good</w:t>
      </w:r>
      <w:r>
        <w:t xml:space="preserve">”</w:t>
      </w:r>
      <w:r>
        <w:t xml:space="preserve"> </w:t>
      </w:r>
      <w:r>
        <w:t xml:space="preserve">to</w:t>
      </w:r>
      <w:r>
        <w:t xml:space="preserve"> </w:t>
      </w:r>
      <w:r>
        <w:t xml:space="preserve">“</w:t>
      </w:r>
      <w:r>
        <w:t xml:space="preserve">excellent</w:t>
      </w:r>
      <w:r>
        <w:t xml:space="preserve">”</w:t>
      </w:r>
      <w:r>
        <w:t xml:space="preserve"> </w:t>
      </w:r>
      <w:r>
        <w:t xml:space="preserve">quantitative prediction), and an RPIQ greater than 2.3 but ideally greater than 4.1 prediction on the testing set</w:t>
      </w:r>
      <w:r>
        <w:t xml:space="preserve"> </w:t>
      </w:r>
      <w:r>
        <w:t xml:space="preserve">(Chadalavada et al., 2022; Luce et al., 2017; Rawal et al., 2024)</w:t>
      </w:r>
      <w:r>
        <w:t xml:space="preserve">.</w:t>
      </w:r>
    </w:p>
    <w:p>
      <w:pPr>
        <w:pStyle w:val="BodyText"/>
      </w:pPr>
      <w:r>
        <w:t xml:space="preserve">Analyses of variance (ANOVA) were performed for each of these metrics in order to compare preprocessing methods. For each ANOVA, each data set was considered as a subject and different variances were allowed for each preprocessing method. Once the most promising preprocessing method was identified, 1000 more training and testing sets were created, and models were developed with that method. Performance on the testing sets was summarized with RMSE, R</w:t>
      </w:r>
      <w:r>
        <w:rPr>
          <w:vertAlign w:val="superscript"/>
        </w:rPr>
        <w:t xml:space="preserve">2</w:t>
      </w:r>
      <w:r>
        <w:t xml:space="preserve">, RPD, and RPIQ. The pattern of errors, expressed as the difference between the actual and predicted values for a given sample, was examined.</w:t>
      </w:r>
    </w:p>
    <w:bookmarkEnd w:id="26"/>
    <w:bookmarkEnd w:id="27"/>
    <w:bookmarkStart w:id="48" w:name="results-and-discussion"/>
    <w:p>
      <w:pPr>
        <w:pStyle w:val="Heading2"/>
      </w:pPr>
      <w:r>
        <w:t xml:space="preserve">3 RESULTS AND DISCUSSION</w:t>
      </w:r>
    </w:p>
    <w:bookmarkStart w:id="29" w:name="laboratory-assay-cp-values"/>
    <w:p>
      <w:pPr>
        <w:pStyle w:val="Heading3"/>
      </w:pPr>
      <w:r>
        <w:t xml:space="preserve">3.1 Laboratory assay CP values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Laboratory assay CP concentration values are summarized in</w:t>
      </w:r>
      <w:r>
        <w:t xml:space="preserve"> </w:t>
      </w:r>
      <w:hyperlink w:anchor="tbl-lab-protein-vals">
        <w:r>
          <w:rPr>
            <w:rStyle w:val="Hyperlink"/>
          </w:rPr>
          <w:t xml:space="preserve">Table 1</w:t>
        </w:r>
      </w:hyperlink>
      <w:r>
        <w:t xml:space="preserve">. These are similar to the range of values observed in the literature, indicating an reasonable basis for a chemometric model. The values were left-skewed (skewness of -0.29) and two thirds of the samples contained more than 250 g kg</w:t>
      </w:r>
      <w:r>
        <w:t xml:space="preserve"> </w:t>
      </w:r>
      <w:r>
        <w:rPr>
          <w:vertAlign w:val="superscript"/>
        </w:rPr>
        <w:t xml:space="preserve">-1</w:t>
      </w:r>
      <w:r>
        <w:t xml:space="preserve"> </w:t>
      </w:r>
      <w:r>
        <w:t xml:space="preserve">CP.</w:t>
      </w:r>
    </w:p>
    <w:tbl>
      <w:tblPr>
        <w:tblStyle w:val="Table"/>
        <w:tblW w:type="pct" w:w="5000"/>
        <w:tblLayout w:type="fixed"/>
        <w:tblLook w:firstRow="0" w:lastRow="0" w:firstColumn="0" w:lastColumn="0" w:noHBand="0" w:noVBand="0" w:val="0000"/>
      </w:tblPr>
      <w:tblGrid>
        <w:gridCol w:w="7920"/>
      </w:tblGrid>
      <w:tr>
        <w:tc>
          <w:tcPr/>
          <w:bookmarkStart w:id="28" w:name="tbl-lab-protein-vals"/>
          <w:p>
            <w:pPr>
              <w:jc w:val="center"/>
            </w:pPr>
            <w:pPr>
              <w:jc w:val="start"/>
              <w:spacing w:before="200"/>
              <w:pStyle w:val="ImageCaption"/>
            </w:pPr>
            <w:r>
              <w:t xml:space="preserve">Table 1: Summary of Laboratory Assayed CP Values (g kg</w:t>
            </w:r>
            <w:r>
              <w:t xml:space="preserve"> </w:t>
            </w:r>
            <w:r>
              <w:rPr>
                <w:vertAlign w:val="superscript"/>
              </w:rPr>
              <w:t xml:space="preserve">-1</w:t>
            </w:r>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8"/>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9"/>
    <w:bookmarkStart w:id="31" w:name="preprocessing-methods-comparison"/>
    <w:p>
      <w:pPr>
        <w:pStyle w:val="Heading3"/>
      </w:pPr>
      <w:r>
        <w:t xml:space="preserve">3.2 Preprocessing methods comparison</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All preprocessing methods outperformed untransformed spectral data, as shown in</w:t>
      </w:r>
      <w:r>
        <w:t xml:space="preserve"> </w:t>
      </w:r>
      <w:hyperlink w:anchor="tbl-preproc">
        <w:r>
          <w:rPr>
            <w:rStyle w:val="Hyperlink"/>
          </w:rPr>
          <w:t xml:space="preserve">Table 2</w:t>
        </w:r>
      </w:hyperlink>
      <w:r>
        <w:t xml:space="preserve">. Averaged together, all preprocessed spectra were superior to untransformed spectra, with lower RMSE and higher R</w:t>
      </w:r>
      <w:r>
        <w:rPr>
          <w:vertAlign w:val="superscript"/>
        </w:rPr>
        <w:t xml:space="preserve">2</w:t>
      </w:r>
      <w:r>
        <w:t xml:space="preserve">, RPD and RPIQ values (significant at</w:t>
      </w:r>
      <w:r>
        <w:t xml:space="preserve"> </w:t>
      </w:r>
      <m:oMath>
        <m:r>
          <m:t>α</m:t>
        </m:r>
      </m:oMath>
      <w:r>
        <w:t xml:space="preserve"> </w:t>
      </w:r>
      <w:r>
        <w:t xml:space="preserve">level &lt;0.001). Preprocessing methods had 11.6 % lower RMSE, and had 3.1% higher R</w:t>
      </w:r>
      <w:r>
        <w:rPr>
          <w:vertAlign w:val="superscript"/>
        </w:rPr>
        <w:t xml:space="preserve">2</w:t>
      </w:r>
      <w:r>
        <w:t xml:space="preserve">, 6.3% higher RPD and 7.4% higher RPIQ than unprocessed spectra. Preprocessed spectra also had lower standard errors than untransformed spectra.</w:t>
      </w:r>
    </w:p>
    <w:p>
      <w:pPr>
        <w:pStyle w:val="BodyText"/>
      </w:pPr>
      <w:r>
        <w:t xml:space="preserve">The SNV-SG method had the lowest RMSE and the highest R</w:t>
      </w:r>
      <w:r>
        <w:rPr>
          <w:vertAlign w:val="superscript"/>
        </w:rPr>
        <w:t xml:space="preserve">2</w:t>
      </w:r>
      <w:r>
        <w:t xml:space="preserve">, RPD and RPIQ averaging over all iterations. SNV-SG’s RMSE was 1.4% lower than the next best preprocessing method (SG), while SNV-SG’s R</w:t>
      </w:r>
      <w:r>
        <w:rPr>
          <w:vertAlign w:val="superscript"/>
        </w:rPr>
        <w:t xml:space="preserve">2</w:t>
      </w:r>
      <w:r>
        <w:t xml:space="preserve">, RPD, and RPIQ were 0.4%, 2.1%, and 2.4% higher than SG respectively. However, the differences between the best and second-best methods by metric were only statistically significant at</w:t>
      </w:r>
      <w:r>
        <w:t xml:space="preserve"> </w:t>
      </w:r>
      <m:oMath>
        <m:r>
          <m:t>α</m:t>
        </m:r>
      </m:oMath>
      <w:r>
        <w:t xml:space="preserve"> </w:t>
      </w:r>
      <w:r>
        <w:t xml:space="preserve">&lt;0.05 for RPD and RPIQ. There is a long history of using RPD to evaluate chemometric models although the statistic has been criticized as inadequately reflecting the distribution of skewed populations, a situation which RPIQ was designed to address</w:t>
      </w:r>
      <w:r>
        <w:t xml:space="preserve"> </w:t>
      </w:r>
      <w:r>
        <w:t xml:space="preserve">(Bellon-Maurel et al., 2010)</w:t>
      </w:r>
      <w:r>
        <w:t xml:space="preserve">. In this study, the data were somewhat but not heavily skewed and RPD and RPIQ metrics agreed. The superiority of SNV-SG by these metrics made it the best choice for the final model.</w:t>
      </w:r>
    </w:p>
    <w:tbl>
      <w:tblPr>
        <w:tblStyle w:val="Table"/>
        <w:tblW w:type="pct" w:w="5000"/>
        <w:tblLayout w:type="fixed"/>
        <w:tblLook w:firstRow="0" w:lastRow="0" w:firstColumn="0" w:lastColumn="0" w:noHBand="0" w:noVBand="0" w:val="0000"/>
      </w:tblPr>
      <w:tblGrid>
        <w:gridCol w:w="7920"/>
      </w:tblGrid>
      <w:tr>
        <w:tc>
          <w:tcPr/>
          <w:bookmarkStart w:id="30" w:name="tbl-preproc"/>
          <w:p>
            <w:pPr>
              <w:jc w:val="center"/>
            </w:pPr>
            <w:pPr>
              <w:jc w:val="start"/>
              <w:spacing w:before="200"/>
              <w:pStyle w:val="ImageCaption"/>
            </w:pPr>
            <w:r>
              <w:t xml:space="preserve">Table 2: Evaluation of Preprocessing Methods by Metric ± Standard Error</w:t>
            </w:r>
          </w:p>
          <w:tbl>
            <w:tblPr>
              <w:tblStyle w:val="Table"/>
              <w:tblW w:type="pct" w:w="5000"/>
              <w:tblLayout w:type="fixed"/>
              <w:tblLook w:firstRow="1" w:lastRow="0" w:firstColumn="0" w:lastColumn="0" w:noHBand="0" w:noVBand="0" w:val="0020"/>
            </w:tblPr>
            <w:tblGrid>
              <w:gridCol w:w="3842"/>
              <w:gridCol w:w="1019"/>
              <w:gridCol w:w="1019"/>
              <w:gridCol w:w="1019"/>
              <w:gridCol w:w="1019"/>
            </w:tblGrid>
            <w:tr>
              <w:trPr>
                <w:tblHeader w:val="on"/>
              </w:trPr>
              <w:tc>
                <w:tcPr/>
                <w:p>
                  <w:pPr>
                    <w:pStyle w:val="Compact"/>
                    <w:jc w:val="left"/>
                    <w:jc w:val="center"/>
                  </w:pPr>
                  <w:r>
                    <w:t xml:space="preserve">Preprocessing Method</w:t>
                  </w:r>
                </w:p>
              </w:tc>
              <w:tc>
                <w:tcPr/>
                <w:p>
                  <w:pPr>
                    <w:pStyle w:val="Compact"/>
                    <w:jc w:val="left"/>
                    <w:jc w:val="center"/>
                  </w:pPr>
                  <w:r>
                    <w:t xml:space="preserve">RMSE</w:t>
                  </w:r>
                </w:p>
              </w:tc>
              <w:tc>
                <w:tcPr/>
                <w:p>
                  <w:pPr>
                    <w:pStyle w:val="Compact"/>
                    <w:jc w:val="left"/>
                    <w:jc w:val="center"/>
                  </w:pPr>
                  <m:oMath>
                    <m:sSup>
                      <m:e>
                        <m:r>
                          <m:t>R</m:t>
                        </m:r>
                      </m:e>
                      <m:sup>
                        <m:r>
                          <m:t>2</m:t>
                        </m:r>
                      </m:sup>
                    </m:sSup>
                  </m:oMath>
                </w:p>
              </w:tc>
              <w:tc>
                <w:tcPr/>
                <w:p>
                  <w:pPr>
                    <w:pStyle w:val="Compact"/>
                    <w:jc w:val="left"/>
                    <w:jc w:val="center"/>
                  </w:pPr>
                  <w:r>
                    <w:t xml:space="preserve">RPD</w:t>
                  </w:r>
                </w:p>
              </w:tc>
              <w:tc>
                <w:tcPr/>
                <w:p>
                  <w:pPr>
                    <w:pStyle w:val="Compact"/>
                    <w:jc w:val="left"/>
                    <w:jc w:val="center"/>
                  </w:pPr>
                  <w:r>
                    <w:t xml:space="preserve">RPIQ</w:t>
                  </w:r>
                </w:p>
              </w:tc>
            </w:tr>
            <w:tr>
              <w:tc>
                <w:tcPr/>
                <w:p>
                  <w:pPr>
                    <w:pStyle w:val="Compact"/>
                    <w:jc w:val="left"/>
                    <w:jc w:val="center"/>
                  </w:pPr>
                  <w:r>
                    <w:t xml:space="preserve">Standard Normal Variate following Savitzky-Golay</w:t>
                  </w:r>
                </w:p>
              </w:tc>
              <w:tc>
                <w:tcPr/>
                <w:p>
                  <w:pPr>
                    <w:pStyle w:val="Compact"/>
                    <w:jc w:val="left"/>
                    <w:jc w:val="center"/>
                  </w:pPr>
                  <w:r>
                    <w:t xml:space="preserve">1.02 ± 0.012</w:t>
                  </w:r>
                </w:p>
              </w:tc>
              <w:tc>
                <w:tcPr/>
                <w:p>
                  <w:pPr>
                    <w:pStyle w:val="Compact"/>
                    <w:jc w:val="left"/>
                    <w:jc w:val="center"/>
                  </w:pPr>
                  <w:r>
                    <w:t xml:space="preserve">0.84 ± 0.004</w:t>
                  </w:r>
                </w:p>
              </w:tc>
              <w:tc>
                <w:tcPr/>
                <w:p>
                  <w:pPr>
                    <w:pStyle w:val="Compact"/>
                    <w:jc w:val="left"/>
                    <w:jc w:val="center"/>
                  </w:pPr>
                  <w:r>
                    <w:t xml:space="preserve">2.49 ± 0.032</w:t>
                  </w:r>
                </w:p>
              </w:tc>
              <w:tc>
                <w:tcPr/>
                <w:p>
                  <w:pPr>
                    <w:pStyle w:val="Compact"/>
                    <w:jc w:val="left"/>
                    <w:jc w:val="center"/>
                  </w:pPr>
                  <w:r>
                    <w:t xml:space="preserve">3.97 ± 0.076</w:t>
                  </w:r>
                </w:p>
              </w:tc>
            </w:tr>
            <w:tr>
              <w:tc>
                <w:tcPr/>
                <w:p>
                  <w:pPr>
                    <w:pStyle w:val="Compact"/>
                    <w:jc w:val="left"/>
                    <w:jc w:val="center"/>
                  </w:pPr>
                  <w:r>
                    <w:t xml:space="preserve">Savitzky-Golay</w:t>
                  </w:r>
                </w:p>
              </w:tc>
              <w:tc>
                <w:tcPr/>
                <w:p>
                  <w:pPr>
                    <w:pStyle w:val="Compact"/>
                    <w:jc w:val="left"/>
                    <w:jc w:val="center"/>
                  </w:pPr>
                  <w:r>
                    <w:t xml:space="preserve">1.03 ± 0.012</w:t>
                  </w:r>
                </w:p>
              </w:tc>
              <w:tc>
                <w:tcPr/>
                <w:p>
                  <w:pPr>
                    <w:pStyle w:val="Compact"/>
                    <w:jc w:val="left"/>
                    <w:jc w:val="center"/>
                  </w:pPr>
                  <w:r>
                    <w:t xml:space="preserve">0.83 ± 0.004</w:t>
                  </w:r>
                </w:p>
              </w:tc>
              <w:tc>
                <w:tcPr/>
                <w:p>
                  <w:pPr>
                    <w:pStyle w:val="Compact"/>
                    <w:jc w:val="left"/>
                    <w:jc w:val="center"/>
                  </w:pPr>
                  <w:r>
                    <w:t xml:space="preserve">2.44 ± 0.029</w:t>
                  </w:r>
                </w:p>
              </w:tc>
              <w:tc>
                <w:tcPr/>
                <w:p>
                  <w:pPr>
                    <w:pStyle w:val="Compact"/>
                    <w:jc w:val="left"/>
                    <w:jc w:val="center"/>
                  </w:pPr>
                  <w:r>
                    <w:t xml:space="preserve">3.88 ± 0.072</w:t>
                  </w:r>
                </w:p>
              </w:tc>
            </w:tr>
            <w:tr>
              <w:tc>
                <w:tcPr/>
                <w:p>
                  <w:pPr>
                    <w:pStyle w:val="Compact"/>
                    <w:jc w:val="left"/>
                    <w:jc w:val="center"/>
                  </w:pPr>
                  <w:r>
                    <w:t xml:space="preserve">First Derivative</w:t>
                  </w:r>
                </w:p>
              </w:tc>
              <w:tc>
                <w:tcPr/>
                <w:p>
                  <w:pPr>
                    <w:pStyle w:val="Compact"/>
                    <w:jc w:val="left"/>
                    <w:jc w:val="center"/>
                  </w:pPr>
                  <w:r>
                    <w:t xml:space="preserve">1.07 ± 0.013</w:t>
                  </w:r>
                </w:p>
              </w:tc>
              <w:tc>
                <w:tcPr/>
                <w:p>
                  <w:pPr>
                    <w:pStyle w:val="Compact"/>
                    <w:jc w:val="left"/>
                    <w:jc w:val="center"/>
                  </w:pPr>
                  <w:r>
                    <w:t xml:space="preserve">0.82 ± 0.004</w:t>
                  </w:r>
                </w:p>
              </w:tc>
              <w:tc>
                <w:tcPr/>
                <w:p>
                  <w:pPr>
                    <w:pStyle w:val="Compact"/>
                    <w:jc w:val="left"/>
                    <w:jc w:val="center"/>
                  </w:pPr>
                  <w:r>
                    <w:t xml:space="preserve">2.36 ± 0.032</w:t>
                  </w:r>
                </w:p>
              </w:tc>
              <w:tc>
                <w:tcPr/>
                <w:p>
                  <w:pPr>
                    <w:pStyle w:val="Compact"/>
                    <w:jc w:val="left"/>
                    <w:jc w:val="center"/>
                  </w:pPr>
                  <w:r>
                    <w:t xml:space="preserve">3.77 ± 0.075</w:t>
                  </w:r>
                </w:p>
              </w:tc>
            </w:tr>
            <w:tr>
              <w:tc>
                <w:tcPr/>
                <w:p>
                  <w:pPr>
                    <w:pStyle w:val="Compact"/>
                    <w:jc w:val="left"/>
                    <w:jc w:val="center"/>
                  </w:pPr>
                  <w:r>
                    <w:t xml:space="preserve">Standard Normal Variate</w:t>
                  </w:r>
                </w:p>
              </w:tc>
              <w:tc>
                <w:tcPr/>
                <w:p>
                  <w:pPr>
                    <w:pStyle w:val="Compact"/>
                    <w:jc w:val="left"/>
                    <w:jc w:val="center"/>
                  </w:pPr>
                  <w:r>
                    <w:t xml:space="preserve">1.12 ± 0.016</w:t>
                  </w:r>
                </w:p>
              </w:tc>
              <w:tc>
                <w:tcPr/>
                <w:p>
                  <w:pPr>
                    <w:pStyle w:val="Compact"/>
                    <w:jc w:val="left"/>
                    <w:jc w:val="center"/>
                  </w:pPr>
                  <w:r>
                    <w:t xml:space="preserve">0.80 ± 0.005</w:t>
                  </w:r>
                </w:p>
              </w:tc>
              <w:tc>
                <w:tcPr/>
                <w:p>
                  <w:pPr>
                    <w:pStyle w:val="Compact"/>
                    <w:jc w:val="left"/>
                    <w:jc w:val="center"/>
                  </w:pPr>
                  <w:r>
                    <w:t xml:space="preserve">2.26 ± 0.036</w:t>
                  </w:r>
                </w:p>
              </w:tc>
              <w:tc>
                <w:tcPr/>
                <w:p>
                  <w:pPr>
                    <w:pStyle w:val="Compact"/>
                    <w:jc w:val="left"/>
                    <w:jc w:val="center"/>
                  </w:pPr>
                  <w:r>
                    <w:t xml:space="preserve">3.61 ± 0.081</w:t>
                  </w:r>
                </w:p>
              </w:tc>
            </w:tr>
            <w:tr>
              <w:tc>
                <w:tcPr/>
                <w:p>
                  <w:pPr>
                    <w:pStyle w:val="Compact"/>
                    <w:jc w:val="left"/>
                    <w:jc w:val="center"/>
                  </w:pPr>
                  <w:r>
                    <w:t xml:space="preserve">Gap-segment Derivative</w:t>
                  </w:r>
                </w:p>
              </w:tc>
              <w:tc>
                <w:tcPr/>
                <w:p>
                  <w:pPr>
                    <w:pStyle w:val="Compact"/>
                    <w:jc w:val="left"/>
                    <w:jc w:val="center"/>
                  </w:pPr>
                  <w:r>
                    <w:t xml:space="preserve">1.12 ± 0.018</w:t>
                  </w:r>
                </w:p>
              </w:tc>
              <w:tc>
                <w:tcPr/>
                <w:p>
                  <w:pPr>
                    <w:pStyle w:val="Compact"/>
                    <w:jc w:val="left"/>
                    <w:jc w:val="center"/>
                  </w:pPr>
                  <w:r>
                    <w:t xml:space="preserve">0.81 ± 0.006</w:t>
                  </w:r>
                </w:p>
              </w:tc>
              <w:tc>
                <w:tcPr/>
                <w:p>
                  <w:pPr>
                    <w:pStyle w:val="Compact"/>
                    <w:jc w:val="left"/>
                    <w:jc w:val="center"/>
                  </w:pPr>
                  <w:r>
                    <w:t xml:space="preserve">2.26 ± 0.040</w:t>
                  </w:r>
                </w:p>
              </w:tc>
              <w:tc>
                <w:tcPr/>
                <w:p>
                  <w:pPr>
                    <w:pStyle w:val="Compact"/>
                    <w:jc w:val="left"/>
                    <w:jc w:val="center"/>
                  </w:pPr>
                  <w:r>
                    <w:t xml:space="preserve">3.60 ± 0.086</w:t>
                  </w:r>
                </w:p>
              </w:tc>
            </w:tr>
            <w:tr>
              <w:tc>
                <w:tcPr/>
                <w:p>
                  <w:pPr>
                    <w:pStyle w:val="Compact"/>
                    <w:jc w:val="left"/>
                    <w:jc w:val="center"/>
                  </w:pPr>
                  <w:r>
                    <w:t xml:space="preserve">Standard Normal Variate-Detrend</w:t>
                  </w:r>
                </w:p>
              </w:tc>
              <w:tc>
                <w:tcPr/>
                <w:p>
                  <w:pPr>
                    <w:pStyle w:val="Compact"/>
                    <w:jc w:val="left"/>
                    <w:jc w:val="center"/>
                  </w:pPr>
                  <w:r>
                    <w:t xml:space="preserve">1.13 ± 0.015</w:t>
                  </w:r>
                </w:p>
              </w:tc>
              <w:tc>
                <w:tcPr/>
                <w:p>
                  <w:pPr>
                    <w:pStyle w:val="Compact"/>
                    <w:jc w:val="left"/>
                    <w:jc w:val="center"/>
                  </w:pPr>
                  <w:r>
                    <w:t xml:space="preserve">0.80 ± 0.005</w:t>
                  </w:r>
                </w:p>
              </w:tc>
              <w:tc>
                <w:tcPr/>
                <w:p>
                  <w:pPr>
                    <w:pStyle w:val="Compact"/>
                    <w:jc w:val="left"/>
                    <w:jc w:val="center"/>
                  </w:pPr>
                  <w:r>
                    <w:t xml:space="preserve">2.22 ± 0.035</w:t>
                  </w:r>
                </w:p>
              </w:tc>
              <w:tc>
                <w:tcPr/>
                <w:p>
                  <w:pPr>
                    <w:pStyle w:val="Compact"/>
                    <w:jc w:val="left"/>
                    <w:jc w:val="center"/>
                  </w:pPr>
                  <w:r>
                    <w:t xml:space="preserve">3.55 ± 0.079</w:t>
                  </w:r>
                </w:p>
              </w:tc>
            </w:tr>
            <w:tr>
              <w:tc>
                <w:tcPr/>
                <w:p>
                  <w:pPr>
                    <w:pStyle w:val="Compact"/>
                    <w:jc w:val="left"/>
                    <w:jc w:val="center"/>
                  </w:pPr>
                  <w:r>
                    <w:t xml:space="preserve">Multiplicative Scatter Correction</w:t>
                  </w:r>
                </w:p>
              </w:tc>
              <w:tc>
                <w:tcPr/>
                <w:p>
                  <w:pPr>
                    <w:pStyle w:val="Compact"/>
                    <w:jc w:val="left"/>
                    <w:jc w:val="center"/>
                  </w:pPr>
                  <w:r>
                    <w:t xml:space="preserve">1.17 ± 0.016</w:t>
                  </w:r>
                </w:p>
              </w:tc>
              <w:tc>
                <w:tcPr/>
                <w:p>
                  <w:pPr>
                    <w:pStyle w:val="Compact"/>
                    <w:jc w:val="left"/>
                    <w:jc w:val="center"/>
                  </w:pPr>
                  <w:r>
                    <w:t xml:space="preserve">0.79 ± 0.006</w:t>
                  </w:r>
                </w:p>
              </w:tc>
              <w:tc>
                <w:tcPr/>
                <w:p>
                  <w:pPr>
                    <w:pStyle w:val="Compact"/>
                    <w:jc w:val="left"/>
                    <w:jc w:val="center"/>
                  </w:pPr>
                  <w:r>
                    <w:t xml:space="preserve">2.17 ± 0.035</w:t>
                  </w:r>
                </w:p>
              </w:tc>
              <w:tc>
                <w:tcPr/>
                <w:p>
                  <w:pPr>
                    <w:pStyle w:val="Compact"/>
                    <w:jc w:val="left"/>
                    <w:jc w:val="center"/>
                  </w:pPr>
                  <w:r>
                    <w:t xml:space="preserve">3.47 ± 0.080</w:t>
                  </w:r>
                </w:p>
              </w:tc>
            </w:tr>
            <w:tr>
              <w:tc>
                <w:tcPr/>
                <w:p>
                  <w:pPr>
                    <w:pStyle w:val="Compact"/>
                    <w:jc w:val="left"/>
                    <w:jc w:val="center"/>
                  </w:pPr>
                  <w:r>
                    <w:t xml:space="preserve">Untransformed Spectra</w:t>
                  </w:r>
                </w:p>
              </w:tc>
              <w:tc>
                <w:tcPr/>
                <w:p>
                  <w:pPr>
                    <w:pStyle w:val="Compact"/>
                    <w:jc w:val="left"/>
                    <w:jc w:val="center"/>
                  </w:pPr>
                  <w:r>
                    <w:t xml:space="preserve">1.22 ± 0.044</w:t>
                  </w:r>
                </w:p>
              </w:tc>
              <w:tc>
                <w:tcPr/>
                <w:p>
                  <w:pPr>
                    <w:pStyle w:val="Compact"/>
                    <w:jc w:val="left"/>
                    <w:jc w:val="center"/>
                  </w:pPr>
                  <w:r>
                    <w:t xml:space="preserve">0.79 ± 0.009</w:t>
                  </w:r>
                </w:p>
              </w:tc>
              <w:tc>
                <w:tcPr/>
                <w:p>
                  <w:pPr>
                    <w:pStyle w:val="Compact"/>
                    <w:jc w:val="left"/>
                    <w:jc w:val="center"/>
                  </w:pPr>
                  <w:r>
                    <w:t xml:space="preserve">2.17 ± 0.052</w:t>
                  </w:r>
                </w:p>
              </w:tc>
              <w:tc>
                <w:tcPr/>
                <w:p>
                  <w:pPr>
                    <w:pStyle w:val="Compact"/>
                    <w:jc w:val="left"/>
                    <w:jc w:val="center"/>
                  </w:pPr>
                  <w:r>
                    <w:t xml:space="preserve">3.42 ± 0.105</w:t>
                  </w:r>
                </w:p>
              </w:tc>
            </w:tr>
          </w:tbl>
          <w:bookmarkEnd w:id="3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From the literature, these results are readily explained. Standard normal variate and SNV-detrend both correct light scatter, which is often a function of differences in particle size and sample packing density, although SNV-detrend is often used for densely-packed, powdered samples</w:t>
      </w:r>
      <w:r>
        <w:t xml:space="preserve"> </w:t>
      </w:r>
      <w:r>
        <w:t xml:space="preserve">(Barnes et al., 1989)</w:t>
      </w:r>
      <w:r>
        <w:t xml:space="preserve">. SG is a smoothing filter that regresses on the signal over a series of windows, removing noise while preserving the signal’s shape and features</w:t>
      </w:r>
      <w:r>
        <w:t xml:space="preserve"> </w:t>
      </w:r>
      <w:r>
        <w:t xml:space="preserve">(Li et al., 2020; Luo et al., 2005)</w:t>
      </w:r>
      <w:r>
        <w:t xml:space="preserve">. Derivatives, here including SG, gap-segment, and first derivatives pretreatments may remove additive and multiplicative effects, but not necessarily light scatter; as well, derivatives may increase spectral noise</w:t>
      </w:r>
      <w:r>
        <w:t xml:space="preserve"> </w:t>
      </w:r>
      <w:r>
        <w:t xml:space="preserve">(Rinnan et al., 2009)</w:t>
      </w:r>
      <w:r>
        <w:t xml:space="preserve">. Here, hemp grain was neither powdered nor densely packed but samples were subject to light scatter and noise due to differences in particle size in the hemp grain.</w:t>
      </w:r>
    </w:p>
    <w:bookmarkEnd w:id="31"/>
    <w:bookmarkStart w:id="47" w:name="final-model-development-and-summary"/>
    <w:p>
      <w:pPr>
        <w:pStyle w:val="Heading3"/>
      </w:pPr>
      <w:r>
        <w:t xml:space="preserve">3.3 Final model development and summary</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model improved most rapidly as the number of components increased from one to seven, with the inclusion of each additional component being associated with a decrease in RMSE of 5%-12%. From eight to 12 components, model performance continued to improve, although gains were more modest: there was a decrease in RMSE of 0.7%-3% with the inclusion of each additional component. With 13 or more components, performance gains were minimal and the relative ranks of the models tended to be stable (</w:t>
      </w:r>
      <w:hyperlink w:anchor="fig-model-calibration">
        <w:r>
          <w:rPr>
            <w:rStyle w:val="Hyperlink"/>
          </w:rPr>
          <w:t xml:space="preserve">Figure 1</w:t>
        </w:r>
      </w:hyperlink>
      <w:r>
        <w:t xml:space="preserve">).</w:t>
      </w:r>
    </w:p>
    <w:bookmarkStart w:id="36" w:name="cell-fig-model-calibration"/>
    <w:tbl>
      <w:tblPr>
        <w:tblStyle w:val="Table"/>
        <w:tblW w:type="pct" w:w="5000"/>
        <w:tblLayout w:type="fixed"/>
        <w:tblLook w:firstRow="0" w:lastRow="0" w:firstColumn="0" w:lastColumn="0" w:noHBand="0" w:noVBand="0" w:val="0000"/>
      </w:tblPr>
      <w:tblGrid>
        <w:gridCol w:w="7920"/>
      </w:tblGrid>
      <w:tr>
        <w:tc>
          <w:tcPr/>
          <w:bookmarkStart w:id="35" w:name="fig-model-calibration"/>
          <w:p>
            <w:pPr>
              <w:pStyle w:val="Compact"/>
              <w:jc w:val="center"/>
            </w:pPr>
            <w:r>
              <w:drawing>
                <wp:inline>
                  <wp:extent cx="4620126" cy="3696101"/>
                  <wp:effectExtent b="0" l="0" r="0" t="0"/>
                  <wp:docPr descr="" title="" id="33" name="Picture"/>
                  <a:graphic>
                    <a:graphicData uri="http://schemas.openxmlformats.org/drawingml/2006/picture">
                      <pic:pic>
                        <pic:nvPicPr>
                          <pic:cNvPr descr="index_files/figure-docx/fig-model-calibration-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components for 1000 training sets</w:t>
            </w:r>
          </w:p>
          <w:bookmarkEnd w:id="3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6"/>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performance of the final models on the test sets were similar, but not identical to, those obtained during the initial comparison of preprocessing methods. The means of the final models were: RMSE = 1.03, R</w:t>
      </w:r>
      <w:r>
        <w:rPr>
          <w:vertAlign w:val="superscript"/>
        </w:rPr>
        <w:t xml:space="preserve">2</w:t>
      </w:r>
      <w:r>
        <w:t xml:space="preserve"> </w:t>
      </w:r>
      <w:r>
        <w:t xml:space="preserve">= 0.83, RPD = 2.44, and RPIQ = 3.89. Five percent of the models were</w:t>
      </w:r>
      <w:r>
        <w:t xml:space="preserve"> </w:t>
      </w:r>
      <w:r>
        <w:t xml:space="preserve">“</w:t>
      </w:r>
      <w:r>
        <w:t xml:space="preserve">excellent</w:t>
      </w:r>
      <w:r>
        <w:t xml:space="preserve">”</w:t>
      </w:r>
      <w:r>
        <w:t xml:space="preserve"> </w:t>
      </w:r>
      <w:r>
        <w:t xml:space="preserve">for quantitative prediction by both metrics, with RPD &gt; 3 and RPIQ &gt; 4.1, while an additional 11% of the models were</w:t>
      </w:r>
      <w:r>
        <w:t xml:space="preserve"> </w:t>
      </w:r>
      <w:r>
        <w:t xml:space="preserve">“</w:t>
      </w:r>
      <w:r>
        <w:t xml:space="preserve">good</w:t>
      </w:r>
      <w:r>
        <w:t xml:space="preserve">”</w:t>
      </w:r>
      <w:r>
        <w:t xml:space="preserve"> </w:t>
      </w:r>
      <w:r>
        <w:t xml:space="preserve">by both metrics (RPD range from 2.5–3.0, RPIQ range from 2.3–4.1). Forty-nine percent of the models had the ability to approximate quantitative prediction (RPD range from 2.0–2.5), and nine percent of the models were able to distinguish between higher and lower percentage CP values (RPD range from 1.5–2.0). Therefore, 74% of the models had, at minimum, the ability to distinguish between high and low values with 65% having, at minimum, the ability to approximate quantitative prediction. Despite the generally good model performance, a subset of poor models can be seen. For example,</w:t>
      </w:r>
      <w:r>
        <w:t xml:space="preserve"> </w:t>
      </w:r>
      <w:hyperlink w:anchor="fig-final-metric-boxplot">
        <w:r>
          <w:rPr>
            <w:rStyle w:val="Hyperlink"/>
          </w:rPr>
          <w:t xml:space="preserve">Figure 2</w:t>
        </w:r>
      </w:hyperlink>
      <w:r>
        <w:t xml:space="preserve"> </w:t>
      </w:r>
      <w:r>
        <w:t xml:space="preserve">shows 21 models with R</w:t>
      </w:r>
      <w:r>
        <w:rPr>
          <w:vertAlign w:val="superscript"/>
        </w:rPr>
        <w:t xml:space="preserve">2</w:t>
      </w:r>
      <w:r>
        <w:t xml:space="preserve"> </w:t>
      </w:r>
      <w:r>
        <w:t xml:space="preserve">below 0.7.</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41" w:name="cell-fig-final-metric-boxplot"/>
    <w:tbl>
      <w:tblPr>
        <w:tblStyle w:val="Table"/>
        <w:tblW w:type="pct" w:w="5000"/>
        <w:tblLayout w:type="fixed"/>
        <w:tblLook w:firstRow="0" w:lastRow="0" w:firstColumn="0" w:lastColumn="0" w:noHBand="0" w:noVBand="0" w:val="0000"/>
      </w:tblPr>
      <w:tblGrid>
        <w:gridCol w:w="7920"/>
      </w:tblGrid>
      <w:tr>
        <w:tc>
          <w:tcPr/>
          <w:bookmarkStart w:id="40" w:name="fig-final-metric-boxplot"/>
          <w:p>
            <w:pPr>
              <w:pStyle w:val="Compact"/>
              <w:jc w:val="center"/>
            </w:pPr>
            <w:r>
              <w:drawing>
                <wp:inline>
                  <wp:extent cx="4620126" cy="3696101"/>
                  <wp:effectExtent b="0" l="0" r="0" t="0"/>
                  <wp:docPr descr="" title="" id="38" name="Picture"/>
                  <a:graphic>
                    <a:graphicData uri="http://schemas.openxmlformats.org/drawingml/2006/picture">
                      <pic:pic>
                        <pic:nvPicPr>
                          <pic:cNvPr descr="index_files/figure-docx/fig-final-metric-box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test set performance (1000 iterations)</w:t>
            </w:r>
          </w:p>
          <w:bookmarkEnd w:id="40"/>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1"/>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Finally, the pattern of test set errors was examined on a per-sample basis by calculating the difference between the actual and predicted values for the samples in the test sets</w:t>
      </w:r>
      <w:r>
        <w:t xml:space="preserve"> </w:t>
      </w:r>
      <w:hyperlink w:anchor="fig-validation_set_performance">
        <w:r>
          <w:rPr>
            <w:rStyle w:val="Hyperlink"/>
          </w:rPr>
          <w:t xml:space="preserve">Figure 3</w:t>
        </w:r>
      </w:hyperlink>
      <w:r>
        <w:t xml:space="preserve">. A linear model was fit considering the mean estimated error for each sample where that sample was in the test set as compared to the sample’s actual value. The models overestimated percentage CP by approximately 0.5% in the lowest tertile and underestimated percentage CP by -0.01% and -0.41% in the middle and highest tertile, respectively. The variance of the errors did not increase appreciably as percentage CP increased.</w:t>
      </w:r>
    </w:p>
    <w:bookmarkStart w:id="46" w:name="cell-fig-validation_set_performance"/>
    <w:tbl>
      <w:tblPr>
        <w:tblStyle w:val="Table"/>
        <w:tblW w:type="pct" w:w="5000"/>
        <w:tblLayout w:type="fixed"/>
        <w:tblLook w:firstRow="0" w:lastRow="0" w:firstColumn="0" w:lastColumn="0" w:noHBand="0" w:noVBand="0" w:val="0000"/>
      </w:tblPr>
      <w:tblGrid>
        <w:gridCol w:w="7920"/>
      </w:tblGrid>
      <w:tr>
        <w:tc>
          <w:tcPr/>
          <w:bookmarkStart w:id="45" w:name="fig-validation_set_performance"/>
          <w:p>
            <w:pPr>
              <w:pStyle w:val="Compact"/>
              <w:jc w:val="center"/>
            </w:pPr>
            <w:r>
              <w:drawing>
                <wp:inline>
                  <wp:extent cx="4620126" cy="3696101"/>
                  <wp:effectExtent b="0" l="0" r="0" t="0"/>
                  <wp:docPr descr="" title="" id="43" name="Picture"/>
                  <a:graphic>
                    <a:graphicData uri="http://schemas.openxmlformats.org/drawingml/2006/picture">
                      <pic:pic>
                        <pic:nvPicPr>
                          <pic:cNvPr descr="index_files/figure-docx/fig-validation_set_performanc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 set prediction errors on a per-sample basis. Actual sample value set to zero and samples ranked from least to greatest actual CP concentration value</w:t>
            </w:r>
          </w:p>
          <w:bookmarkEnd w:id="4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6"/>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15 (10%) best and 15 worst predicted samples as measured by the mean absolute error of prediction were identified and their backgrounds examined. Overall, half of the samples in the data set came from Ithaca, NY (</w:t>
      </w:r>
      <w:r>
        <w:t xml:space="preserve">“</w:t>
      </w:r>
      <w:r>
        <w:t xml:space="preserve">Ithaca</w:t>
      </w:r>
      <w:r>
        <w:t xml:space="preserve">”</w:t>
      </w:r>
      <w:r>
        <w:t xml:space="preserve">), while 28% were collected from Geneva, NY (</w:t>
      </w:r>
      <w:r>
        <w:t xml:space="preserve">“</w:t>
      </w:r>
      <w:r>
        <w:t xml:space="preserve">Geneva</w:t>
      </w:r>
      <w:r>
        <w:t xml:space="preserve">”</w:t>
      </w:r>
      <w:r>
        <w:t xml:space="preserve">)</w:t>
      </w:r>
      <w:r>
        <w:t xml:space="preserve"> </w:t>
      </w:r>
      <w:hyperlink w:anchor="tbl-hemp_provenance">
        <w:r>
          <w:rPr>
            <w:rStyle w:val="Hyperlink"/>
          </w:rPr>
          <w:t xml:space="preserve">Table 3</w:t>
        </w:r>
      </w:hyperlink>
      <w:r>
        <w:t xml:space="preserve">. However, of the 15 worst-predicted samples, nine were from Geneva, while three of the 15 best-predicted samples were from Geneva (by contrast, seven of the best-predicted and five of the worst-predicted samples came from Ithaca). Overall, samples from Geneva had the highest mean absolute error of prediction among locations, 61% greater than samples from Ithaca and 155% greater than samples from Freeville, NY (the only locations where more than 20 samples were assayed).</w:t>
      </w:r>
    </w:p>
    <w:p>
      <w:pPr>
        <w:pStyle w:val="BodyText"/>
      </w:pPr>
      <w:r>
        <w:t xml:space="preserve">This study is limited in that it represents the creation of one model based upon spectra collected from one machine. NIRS calibrations can be unique to a particular machine, even if the machines compared are of the same model</w:t>
      </w:r>
      <w:r>
        <w:t xml:space="preserve"> </w:t>
      </w:r>
      <w:r>
        <w:t xml:space="preserve">(Reeves, 2012)</w:t>
      </w:r>
      <w:r>
        <w:t xml:space="preserve">. As well, the testing and training sets are relatively small.</w:t>
      </w:r>
    </w:p>
    <w:p>
      <w:pPr>
        <w:pStyle w:val="BodyText"/>
      </w:pPr>
      <w:r>
        <w:t xml:space="preserve">This research showed the promise of the use of NIRS in order to make predictions concerning CP concentration in hemp grain using PLS. Promising preprocessing methods were identified and a model was validated. Further research could refine the model by including more samples, particularly by rectifying the class imbalance between Geneva and Ithaca, identifying promising spectral regions, or by examining other predictive methods.</w:t>
      </w:r>
    </w:p>
    <w:bookmarkEnd w:id="47"/>
    <w:bookmarkEnd w:id="48"/>
    <w:bookmarkStart w:id="49" w:name="acknowledgments"/>
    <w:p>
      <w:pPr>
        <w:pStyle w:val="Heading2"/>
      </w:pPr>
      <w:r>
        <w:t xml:space="preserve">4 ACKNOWLEDGMENTS</w:t>
      </w:r>
    </w:p>
    <w:p>
      <w:pPr>
        <w:pStyle w:val="FirstParagraph"/>
      </w:pPr>
      <w:r>
        <w:t xml:space="preserve">This work would not have been possible without the efforts of the field staff, undergraduate, and graduate students who planted, maintained, monitored and harvested these trials. Funding was provided by New York State through a grant from Empire State Development (AC477). We are grateful to those who provided</w:t>
      </w:r>
      <w:r>
        <w:t xml:space="preserve"> </w:t>
      </w:r>
      <w:r>
        <w:t xml:space="preserve">seed for this project, including: Uniseeds, Verve Seeds, Winterfox Farms, International Hemp, Fiacre Seeds, and KonopiUS.</w:t>
      </w:r>
    </w:p>
    <w:bookmarkEnd w:id="49"/>
    <w:bookmarkStart w:id="50" w:name="conflict-of-interest"/>
    <w:p>
      <w:pPr>
        <w:pStyle w:val="Heading2"/>
      </w:pPr>
      <w:r>
        <w:t xml:space="preserve">5 CONFLICT OF INTEREST</w:t>
      </w:r>
    </w:p>
    <w:p>
      <w:pPr>
        <w:pStyle w:val="FirstParagraph"/>
      </w:pPr>
      <w:r>
        <w:t xml:space="preserve">The authors declare no conflict of interest.</w:t>
      </w:r>
    </w:p>
    <w:bookmarkEnd w:id="50"/>
    <w:bookmarkStart w:id="51" w:name="orcid"/>
    <w:p>
      <w:pPr>
        <w:pStyle w:val="Heading2"/>
      </w:pPr>
      <w:r>
        <w:t xml:space="preserve">6 ORCID</w:t>
      </w:r>
    </w:p>
    <w:bookmarkEnd w:id="51"/>
    <w:bookmarkStart w:id="53" w:name="supplemental-material"/>
    <w:p>
      <w:pPr>
        <w:pStyle w:val="Heading2"/>
      </w:pPr>
      <w:r>
        <w:t xml:space="preserve">7 SUPPLEMENTAL MATERIAL</w:t>
      </w:r>
    </w:p>
    <w:tbl>
      <w:tblPr>
        <w:tblStyle w:val="Table"/>
        <w:tblW w:type="pct" w:w="5000"/>
        <w:tblLayout w:type="fixed"/>
        <w:tblLook w:firstRow="0" w:lastRow="0" w:firstColumn="0" w:lastColumn="0" w:noHBand="0" w:noVBand="0" w:val="0000"/>
      </w:tblPr>
      <w:tblGrid>
        <w:gridCol w:w="7920"/>
      </w:tblGrid>
      <w:tr>
        <w:tc>
          <w:tcPr/>
          <w:bookmarkStart w:id="52" w:name="tbl-hemp_provenance"/>
          <w:p>
            <w:pPr>
              <w:jc w:val="center"/>
            </w:pPr>
            <w:pPr>
              <w:jc w:val="start"/>
              <w:spacing w:before="200"/>
              <w:pStyle w:val="ImageCaption"/>
            </w:pPr>
            <w:r>
              <w:t xml:space="preserve">Table 3: Tally of hemp cultivars and locations. Private cultivars are labeled</w:t>
            </w:r>
            <w:r>
              <w:t xml:space="preserve"> </w:t>
            </w:r>
            <w:r>
              <w:t xml:space="preserve">“</w:t>
            </w:r>
            <w:r>
              <w:t xml:space="preserve">Cultivar1</w:t>
            </w:r>
            <w:r>
              <w:t xml:space="preserve">”</w:t>
            </w:r>
            <w:r>
              <w:t xml:space="preserve">,</w:t>
            </w:r>
            <w:r>
              <w:t xml:space="preserve"> </w:t>
            </w:r>
            <w:r>
              <w:t xml:space="preserve">“</w:t>
            </w:r>
            <w:r>
              <w:t xml:space="preserve">Cultivar2</w:t>
            </w:r>
            <w:r>
              <w:t xml:space="preserve">”</w:t>
            </w:r>
            <w:r>
              <w:t xml:space="preserve">, etc., while experimental cultivars are labeled</w:t>
            </w:r>
            <w:r>
              <w:t xml:space="preserve"> </w:t>
            </w:r>
            <w:r>
              <w:t xml:space="preserve">“</w:t>
            </w:r>
            <w:r>
              <w:t xml:space="preserve">Experimental1</w:t>
            </w:r>
            <w:r>
              <w:t xml:space="preserve">”</w:t>
            </w:r>
            <w:r>
              <w:t xml:space="preserve">,</w:t>
            </w:r>
            <w:r>
              <w:t xml:space="preserve"> </w:t>
            </w:r>
            <w:r>
              <w:t xml:space="preserve">“</w:t>
            </w:r>
            <w:r>
              <w:t xml:space="preserve">Experimental2</w:t>
            </w:r>
            <w:r>
              <w:t xml:space="preserve">”</w:t>
            </w:r>
            <w:r>
              <w:t xml:space="preserve">, etc.</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Cultivar</w:t>
                  </w:r>
                </w:p>
              </w:tc>
              <w:tc>
                <w:tcPr/>
                <w:p>
                  <w:pPr>
                    <w:pStyle w:val="Compact"/>
                    <w:jc w:val="right"/>
                    <w:jc w:val="center"/>
                  </w:pPr>
                  <w:r>
                    <w:t xml:space="preserve">Chazy</w:t>
                  </w:r>
                </w:p>
              </w:tc>
              <w:tc>
                <w:tcPr/>
                <w:p>
                  <w:pPr>
                    <w:pStyle w:val="Compact"/>
                    <w:jc w:val="right"/>
                    <w:jc w:val="center"/>
                  </w:pPr>
                  <w:r>
                    <w:t xml:space="preserve">Freeville</w:t>
                  </w:r>
                </w:p>
              </w:tc>
              <w:tc>
                <w:tcPr/>
                <w:p>
                  <w:pPr>
                    <w:pStyle w:val="Compact"/>
                    <w:jc w:val="right"/>
                    <w:jc w:val="center"/>
                  </w:pPr>
                  <w:r>
                    <w:t xml:space="preserve">Geneva</w:t>
                  </w:r>
                </w:p>
              </w:tc>
              <w:tc>
                <w:tcPr/>
                <w:p>
                  <w:pPr>
                    <w:pStyle w:val="Compact"/>
                    <w:jc w:val="right"/>
                    <w:jc w:val="center"/>
                  </w:pPr>
                  <w:r>
                    <w:t xml:space="preserve">Ithaca</w:t>
                  </w:r>
                </w:p>
              </w:tc>
              <w:tc>
                <w:tcPr/>
                <w:p>
                  <w:pPr>
                    <w:pStyle w:val="Compact"/>
                    <w:jc w:val="right"/>
                    <w:jc w:val="center"/>
                  </w:pPr>
                  <w:r>
                    <w:t xml:space="preserve">Willsboro</w:t>
                  </w:r>
                </w:p>
              </w:tc>
              <w:tc>
                <w:tcPr/>
                <w:p>
                  <w:pPr>
                    <w:pStyle w:val="Compact"/>
                    <w:jc w:val="right"/>
                    <w:jc w:val="center"/>
                  </w:pPr>
                  <w:r>
                    <w:t xml:space="preserve">Total</w:t>
                  </w:r>
                </w:p>
              </w:tc>
            </w:tr>
            <w:tr>
              <w:tc>
                <w:tcPr/>
                <w:p>
                  <w:pPr>
                    <w:pStyle w:val="Compact"/>
                    <w:jc w:val="left"/>
                    <w:jc w:val="center"/>
                  </w:pPr>
                  <w:r>
                    <w:t xml:space="preserve">ALTAIR</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ANKA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5</w:t>
                  </w:r>
                </w:p>
              </w:tc>
              <w:tc>
                <w:tcPr/>
                <w:p>
                  <w:pPr>
                    <w:pStyle w:val="Compact"/>
                    <w:jc w:val="right"/>
                    <w:jc w:val="center"/>
                  </w:pPr>
                  <w:r>
                    <w:t xml:space="preserve">2</w:t>
                  </w:r>
                </w:p>
              </w:tc>
              <w:tc>
                <w:tcPr/>
                <w:p>
                  <w:pPr>
                    <w:pStyle w:val="Compact"/>
                    <w:jc w:val="right"/>
                    <w:jc w:val="center"/>
                  </w:pPr>
                  <w:r>
                    <w:t xml:space="preserve">11</w:t>
                  </w:r>
                </w:p>
              </w:tc>
            </w:tr>
            <w:tr>
              <w:tc>
                <w:tcPr/>
                <w:p>
                  <w:pPr>
                    <w:pStyle w:val="Compact"/>
                    <w:jc w:val="left"/>
                    <w:jc w:val="center"/>
                  </w:pPr>
                  <w:r>
                    <w:t xml:space="preserve">BIALOBRZESKIE</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1</w:t>
                  </w:r>
                </w:p>
              </w:tc>
              <w:tc>
                <w:tcPr/>
                <w:p>
                  <w:pPr>
                    <w:pStyle w:val="Compact"/>
                    <w:jc w:val="right"/>
                    <w:jc w:val="center"/>
                  </w:pPr>
                  <w:r>
                    <w:t xml:space="preserve">9</w:t>
                  </w:r>
                </w:p>
              </w:tc>
            </w:tr>
            <w:tr>
              <w:tc>
                <w:tcPr/>
                <w:p>
                  <w:pPr>
                    <w:pStyle w:val="Compact"/>
                    <w:jc w:val="left"/>
                    <w:jc w:val="center"/>
                  </w:pPr>
                  <w:r>
                    <w:t xml:space="preserve">CANDA</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CFX-1</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CFX-2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7</w:t>
                  </w:r>
                </w:p>
              </w:tc>
            </w:tr>
            <w:tr>
              <w:tc>
                <w:tcPr/>
                <w:p>
                  <w:pPr>
                    <w:pStyle w:val="Compact"/>
                    <w:jc w:val="left"/>
                    <w:jc w:val="center"/>
                  </w:pPr>
                  <w:r>
                    <w:t xml:space="preserve">CRS-1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9</w:t>
                  </w:r>
                </w:p>
              </w:tc>
            </w:tr>
            <w:tr>
              <w:tc>
                <w:tcPr/>
                <w:p>
                  <w:pPr>
                    <w:pStyle w:val="Compact"/>
                    <w:jc w:val="left"/>
                    <w:jc w:val="center"/>
                  </w:pPr>
                  <w:r>
                    <w:t xml:space="preserve">CULTIVAR1</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CULTIVAR2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CULTIVAR3</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CULTIVAR4</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EARLINA 8</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EXPERIMENTAL1</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FELINA 32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3</w:t>
                  </w:r>
                </w:p>
              </w:tc>
              <w:tc>
                <w:tcPr/>
                <w:p>
                  <w:pPr>
                    <w:pStyle w:val="Compact"/>
                  </w:pPr>
                </w:p>
              </w:tc>
              <w:tc>
                <w:tcPr/>
                <w:p>
                  <w:pPr>
                    <w:pStyle w:val="Compact"/>
                    <w:jc w:val="right"/>
                    <w:jc w:val="center"/>
                  </w:pPr>
                  <w:r>
                    <w:t xml:space="preserve">6</w:t>
                  </w:r>
                </w:p>
              </w:tc>
            </w:tr>
            <w:tr>
              <w:tc>
                <w:tcPr/>
                <w:p>
                  <w:pPr>
                    <w:pStyle w:val="Compact"/>
                    <w:jc w:val="left"/>
                    <w:jc w:val="center"/>
                  </w:pPr>
                  <w:r>
                    <w:t xml:space="preserve">FUTURA 75</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GRANDI</w:t>
                  </w:r>
                </w:p>
              </w:tc>
              <w:tc>
                <w:tcPr/>
                <w:p>
                  <w:pPr>
                    <w:pStyle w:val="Compact"/>
                  </w:pPr>
                </w:p>
              </w:tc>
              <w:tc>
                <w:tcPr/>
                <w:p>
                  <w:pPr>
                    <w:pStyle w:val="Compact"/>
                    <w:jc w:val="right"/>
                    <w:jc w:val="center"/>
                  </w:pPr>
                  <w:r>
                    <w:t xml:space="preserve">3</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10</w:t>
                  </w:r>
                </w:p>
              </w:tc>
            </w:tr>
            <w:tr>
              <w:tc>
                <w:tcPr/>
                <w:p>
                  <w:pPr>
                    <w:pStyle w:val="Compact"/>
                    <w:jc w:val="left"/>
                    <w:jc w:val="center"/>
                  </w:pPr>
                  <w:r>
                    <w:t xml:space="preserve">H-51</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pPr>
                </w:p>
              </w:tc>
              <w:tc>
                <w:tcPr/>
                <w:p>
                  <w:pPr>
                    <w:pStyle w:val="Compact"/>
                    <w:jc w:val="right"/>
                    <w:jc w:val="center"/>
                  </w:pPr>
                  <w:r>
                    <w:t xml:space="preserve">3</w:t>
                  </w:r>
                </w:p>
              </w:tc>
            </w:tr>
            <w:tr>
              <w:tc>
                <w:tcPr/>
                <w:p>
                  <w:pPr>
                    <w:pStyle w:val="Compact"/>
                    <w:jc w:val="left"/>
                    <w:jc w:val="center"/>
                  </w:pPr>
                  <w:r>
                    <w:t xml:space="preserve">HAN-FN-H</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HAN-NW</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HELENA</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HENOLA</w:t>
                  </w:r>
                </w:p>
              </w:tc>
              <w:tc>
                <w:tcPr/>
                <w:p>
                  <w:pPr>
                    <w:pStyle w:val="Compact"/>
                  </w:pPr>
                </w:p>
              </w:tc>
              <w:tc>
                <w:tcPr/>
                <w:p>
                  <w:pPr>
                    <w:pStyle w:val="Compact"/>
                  </w:pP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2</w:t>
                  </w:r>
                </w:p>
              </w:tc>
            </w:tr>
            <w:tr>
              <w:tc>
                <w:tcPr/>
                <w:p>
                  <w:pPr>
                    <w:pStyle w:val="Compact"/>
                    <w:jc w:val="left"/>
                    <w:jc w:val="center"/>
                  </w:pPr>
                  <w:r>
                    <w:t xml:space="preserve">HLESIA</w:t>
                  </w:r>
                </w:p>
              </w:tc>
              <w:tc>
                <w:tcPr/>
                <w:p>
                  <w:pPr>
                    <w:pStyle w:val="Compact"/>
                  </w:pPr>
                </w:p>
              </w:tc>
              <w:tc>
                <w:tcPr/>
                <w:p>
                  <w:pPr>
                    <w:pStyle w:val="Compact"/>
                  </w:pPr>
                </w:p>
              </w:tc>
              <w:tc>
                <w:tcPr/>
                <w:p>
                  <w:pPr>
                    <w:pStyle w:val="Compact"/>
                  </w:pPr>
                </w:p>
              </w:tc>
              <w:tc>
                <w:tcPr/>
                <w:p>
                  <w:pPr>
                    <w:pStyle w:val="Compact"/>
                    <w:jc w:val="right"/>
                    <w:jc w:val="center"/>
                  </w:pPr>
                  <w:r>
                    <w:t xml:space="preserve">3</w:t>
                  </w:r>
                </w:p>
              </w:tc>
              <w:tc>
                <w:tcPr/>
                <w:p>
                  <w:pPr>
                    <w:pStyle w:val="Compact"/>
                  </w:pPr>
                </w:p>
              </w:tc>
              <w:tc>
                <w:tcPr/>
                <w:p>
                  <w:pPr>
                    <w:pStyle w:val="Compact"/>
                    <w:jc w:val="right"/>
                    <w:jc w:val="center"/>
                  </w:pPr>
                  <w:r>
                    <w:t xml:space="preserve">3</w:t>
                  </w:r>
                </w:p>
              </w:tc>
            </w:tr>
            <w:tr>
              <w:tc>
                <w:tcPr/>
                <w:p>
                  <w:pPr>
                    <w:pStyle w:val="Compact"/>
                    <w:jc w:val="left"/>
                    <w:jc w:val="center"/>
                  </w:pPr>
                  <w:r>
                    <w:t xml:space="preserve">HLIANA</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JOEY</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KATANI</w:t>
                  </w:r>
                </w:p>
              </w:tc>
              <w:tc>
                <w:tcPr/>
                <w:p>
                  <w:pPr>
                    <w:pStyle w:val="Compact"/>
                  </w:pP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NEBRASKA (FERAL)</w:t>
                  </w: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PEWTER RIVER</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PICOLO</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PORTUGAL</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ROCKY HEMP</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STERLING GOLD</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SWIFT</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TYGRA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USO-31</w:t>
                  </w:r>
                </w:p>
              </w:tc>
              <w:tc>
                <w:tcPr/>
                <w:p>
                  <w:pPr>
                    <w:pStyle w:val="Compact"/>
                    <w:jc w:val="right"/>
                    <w:jc w:val="center"/>
                  </w:pPr>
                  <w:r>
                    <w:t xml:space="preserve">2</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WOJKO</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X-59</w:t>
                  </w: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TOTAL</w:t>
                  </w:r>
                </w:p>
              </w:tc>
              <w:tc>
                <w:tcPr/>
                <w:p>
                  <w:pPr>
                    <w:pStyle w:val="Compact"/>
                    <w:jc w:val="right"/>
                    <w:jc w:val="center"/>
                  </w:pPr>
                  <w:r>
                    <w:t xml:space="preserve">5</w:t>
                  </w:r>
                </w:p>
              </w:tc>
              <w:tc>
                <w:tcPr/>
                <w:p>
                  <w:pPr>
                    <w:pStyle w:val="Compact"/>
                    <w:jc w:val="right"/>
                    <w:jc w:val="center"/>
                  </w:pPr>
                  <w:r>
                    <w:t xml:space="preserve">24</w:t>
                  </w:r>
                </w:p>
              </w:tc>
              <w:tc>
                <w:tcPr/>
                <w:p>
                  <w:pPr>
                    <w:pStyle w:val="Compact"/>
                    <w:jc w:val="right"/>
                    <w:jc w:val="center"/>
                  </w:pPr>
                  <w:r>
                    <w:t xml:space="preserve">41</w:t>
                  </w:r>
                </w:p>
              </w:tc>
              <w:tc>
                <w:tcPr/>
                <w:p>
                  <w:pPr>
                    <w:pStyle w:val="Compact"/>
                    <w:jc w:val="right"/>
                    <w:jc w:val="center"/>
                  </w:pPr>
                  <w:r>
                    <w:t xml:space="preserve">76</w:t>
                  </w:r>
                </w:p>
              </w:tc>
              <w:tc>
                <w:tcPr/>
                <w:p>
                  <w:pPr>
                    <w:pStyle w:val="Compact"/>
                    <w:jc w:val="right"/>
                    <w:jc w:val="center"/>
                  </w:pPr>
                  <w:r>
                    <w:t xml:space="preserve">3</w:t>
                  </w:r>
                </w:p>
              </w:tc>
              <w:tc>
                <w:tcPr/>
                <w:p>
                  <w:pPr>
                    <w:pStyle w:val="Compact"/>
                    <w:jc w:val="right"/>
                    <w:jc w:val="center"/>
                  </w:pPr>
                  <w:r>
                    <w:t xml:space="preserve">149</w:t>
                  </w:r>
                </w:p>
              </w:tc>
            </w:tr>
          </w:tbl>
          <w:bookmarkEnd w:id="52"/>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3"/>
    <w:bookmarkStart w:id="54" w:name="optional-sections"/>
    <w:p>
      <w:pPr>
        <w:pStyle w:val="Heading2"/>
      </w:pPr>
      <w:r>
        <w:t xml:space="preserve">8 OPTIONAL SECTIONS</w:t>
      </w:r>
    </w:p>
    <w:bookmarkEnd w:id="54"/>
    <w:bookmarkStart w:id="55" w:name="references"/>
    <w:p>
      <w:pPr>
        <w:pStyle w:val="Heading2"/>
      </w:pPr>
      <w:r>
        <w:t xml:space="preserve">9 REFERENCES</w:t>
      </w:r>
    </w:p>
    <w:bookmarkEnd w:id="55"/>
    <w:bookmarkStart w:id="116" w:name="figures-and-tables"/>
    <w:p>
      <w:pPr>
        <w:pStyle w:val="Heading2"/>
      </w:pPr>
      <w:r>
        <w:t xml:space="preserve">10 FIGURES AND TABLES</w:t>
      </w:r>
    </w:p>
    <w:bookmarkStart w:id="115" w:name="refs"/>
    <w:bookmarkStart w:id="57" w:name="ref-barnes_standard_1989"/>
    <w:p>
      <w:pPr>
        <w:pStyle w:val="Bibliography"/>
      </w:pPr>
      <w:r>
        <w:t xml:space="preserve">Barnes, R. J., Dhanoa, M. S., &amp; Lister, S. J. (1989). Standard</w:t>
      </w:r>
      <w:r>
        <w:t xml:space="preserve"> </w:t>
      </w:r>
      <w:r>
        <w:t xml:space="preserve">Normal</w:t>
      </w:r>
      <w:r>
        <w:t xml:space="preserve"> </w:t>
      </w:r>
      <w:r>
        <w:t xml:space="preserve">Variate</w:t>
      </w:r>
      <w:r>
        <w:t xml:space="preserve"> </w:t>
      </w:r>
      <w:r>
        <w:t xml:space="preserve">Transformation</w:t>
      </w:r>
      <w:r>
        <w:t xml:space="preserve"> </w:t>
      </w:r>
      <w:r>
        <w:t xml:space="preserve">and</w:t>
      </w:r>
      <w:r>
        <w:t xml:space="preserve"> </w:t>
      </w:r>
      <w:r>
        <w:t xml:space="preserve">De</w:t>
      </w:r>
      <w:r>
        <w:t xml:space="preserve">-</w:t>
      </w:r>
      <w:r>
        <w:t xml:space="preserve">Trending</w:t>
      </w:r>
      <w:r>
        <w:t xml:space="preserve"> </w:t>
      </w:r>
      <w:r>
        <w:t xml:space="preserve">of</w:t>
      </w:r>
      <w:r>
        <w:t xml:space="preserve"> </w:t>
      </w:r>
      <w:r>
        <w:t xml:space="preserve">Near</w:t>
      </w:r>
      <w:r>
        <w:t xml:space="preserve">-</w:t>
      </w:r>
      <w:r>
        <w:t xml:space="preserve">Infrared</w:t>
      </w:r>
      <w:r>
        <w:t xml:space="preserve"> </w:t>
      </w:r>
      <w:r>
        <w:t xml:space="preserve">Diffuse</w:t>
      </w:r>
      <w:r>
        <w:t xml:space="preserve"> </w:t>
      </w:r>
      <w:r>
        <w:t xml:space="preserve">Reflectance</w:t>
      </w:r>
      <w:r>
        <w:t xml:space="preserve"> </w:t>
      </w:r>
      <w:r>
        <w:t xml:space="preserve">Spectra</w:t>
      </w:r>
      <w:r>
        <w:t xml:space="preserve">.</w:t>
      </w:r>
      <w:r>
        <w:t xml:space="preserve"> </w:t>
      </w:r>
      <w:r>
        <w:rPr>
          <w:i/>
          <w:iCs/>
        </w:rPr>
        <w:t xml:space="preserve">Applied Spectroscopy</w:t>
      </w:r>
      <w:r>
        <w:t xml:space="preserve">,</w:t>
      </w:r>
      <w:r>
        <w:t xml:space="preserve"> </w:t>
      </w:r>
      <w:r>
        <w:rPr>
          <w:i/>
          <w:iCs/>
        </w:rPr>
        <w:t xml:space="preserve">43</w:t>
      </w:r>
      <w:r>
        <w:t xml:space="preserve">(5), 772–777.</w:t>
      </w:r>
      <w:r>
        <w:t xml:space="preserve"> </w:t>
      </w:r>
      <w:hyperlink r:id="rId56">
        <w:r>
          <w:rPr>
            <w:rStyle w:val="Hyperlink"/>
          </w:rPr>
          <w:t xml:space="preserve">https://doi.org/10.1366/0003702894202201</w:t>
        </w:r>
      </w:hyperlink>
    </w:p>
    <w:bookmarkEnd w:id="57"/>
    <w:bookmarkStart w:id="59" w:name="ref-datatable"/>
    <w:p>
      <w:pPr>
        <w:pStyle w:val="Bibliography"/>
      </w:pPr>
      <w:r>
        <w:t xml:space="preserve">Barrett, T., Dowle, M., Srinivasan, A., Gorecki, J., Chirico, M., Hocking, T., &amp; Schwendinger, B. (2024).</w:t>
      </w:r>
      <w:r>
        <w:t xml:space="preserve"> </w:t>
      </w:r>
      <w:r>
        <w:rPr>
          <w:i/>
          <w:iCs/>
        </w:rPr>
        <w:t xml:space="preserve">data.table</w:t>
      </w:r>
      <w:r>
        <w:rPr>
          <w:i/>
          <w:iCs/>
        </w:rPr>
        <w:t xml:space="preserve">: Extension of</w:t>
      </w:r>
      <w:r>
        <w:rPr>
          <w:i/>
          <w:iCs/>
        </w:rPr>
        <w:t xml:space="preserve"> </w:t>
      </w:r>
      <w:r>
        <w:rPr>
          <w:i/>
          <w:iCs/>
        </w:rPr>
        <w:t xml:space="preserve">“</w:t>
      </w:r>
      <w:r>
        <w:rPr>
          <w:i/>
          <w:iCs/>
        </w:rPr>
        <w:t xml:space="preserve">data.frame</w:t>
      </w:r>
      <w:r>
        <w:rPr>
          <w:i/>
          <w:iCs/>
        </w:rPr>
        <w:t xml:space="preserve">”</w:t>
      </w:r>
      <w:r>
        <w:t xml:space="preserve">.</w:t>
      </w:r>
      <w:r>
        <w:t xml:space="preserve"> </w:t>
      </w:r>
      <w:hyperlink r:id="rId58">
        <w:r>
          <w:rPr>
            <w:rStyle w:val="Hyperlink"/>
          </w:rPr>
          <w:t xml:space="preserve">https://CRAN.R-project.org/package=data.table</w:t>
        </w:r>
      </w:hyperlink>
    </w:p>
    <w:bookmarkEnd w:id="59"/>
    <w:bookmarkStart w:id="61" w:name="ref-barta_proteomic_2024"/>
    <w:p>
      <w:pPr>
        <w:pStyle w:val="Bibliography"/>
      </w:pPr>
      <w:r>
        <w:t xml:space="preserve">Bárta, J., Roudnický, P., Jarošová, M., Zdráhal, Z., Stupková, A., Bártová, V., Krejčová, Z., Kyselka, J., Filip, V., Říha, V., Lorenc, F., Bedrníček, J., &amp; Smetana, P. (2024). 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
          <w:iCs/>
        </w:rPr>
        <w:t xml:space="preserve">Plants</w:t>
      </w:r>
      <w:r>
        <w:t xml:space="preserve">,</w:t>
      </w:r>
      <w:r>
        <w:t xml:space="preserve"> </w:t>
      </w:r>
      <w:r>
        <w:rPr>
          <w:i/>
          <w:iCs/>
        </w:rPr>
        <w:t xml:space="preserve">13</w:t>
      </w:r>
      <w:r>
        <w:t xml:space="preserve">(1), 111.</w:t>
      </w:r>
      <w:r>
        <w:t xml:space="preserve"> </w:t>
      </w:r>
      <w:hyperlink r:id="rId60">
        <w:r>
          <w:rPr>
            <w:rStyle w:val="Hyperlink"/>
          </w:rPr>
          <w:t xml:space="preserve">https://doi.org/10.3390/plants13010111</w:t>
        </w:r>
      </w:hyperlink>
    </w:p>
    <w:bookmarkEnd w:id="61"/>
    <w:bookmarkStart w:id="63" w:name="ref-bellon-maurel_critical_2010"/>
    <w:p>
      <w:pPr>
        <w:pStyle w:val="Bibliography"/>
      </w:pPr>
      <w:r>
        <w:t xml:space="preserve">Bellon-Maurel, V., Fernandez-Ahumada, E., Palagos, B., Roger, J.-M., &amp; McBratney, A. (2010). Critical review of chemometric indicators commonly used for assessing the quality of the prediction of soil attributes by</w:t>
      </w:r>
      <w:r>
        <w:t xml:space="preserve"> </w:t>
      </w:r>
      <w:r>
        <w:t xml:space="preserve">NIR</w:t>
      </w:r>
      <w:r>
        <w:t xml:space="preserve"> </w:t>
      </w:r>
      <w:r>
        <w:t xml:space="preserve">spectroscopy.</w:t>
      </w:r>
      <w:r>
        <w:t xml:space="preserve"> </w:t>
      </w:r>
      <w:r>
        <w:rPr>
          <w:i/>
          <w:iCs/>
        </w:rPr>
        <w:t xml:space="preserve">TrAC Trends in Analytical Chemistry</w:t>
      </w:r>
      <w:r>
        <w:t xml:space="preserve">,</w:t>
      </w:r>
      <w:r>
        <w:t xml:space="preserve"> </w:t>
      </w:r>
      <w:r>
        <w:rPr>
          <w:i/>
          <w:iCs/>
        </w:rPr>
        <w:t xml:space="preserve">29</w:t>
      </w:r>
      <w:r>
        <w:t xml:space="preserve">(9), 1073–1081.</w:t>
      </w:r>
      <w:r>
        <w:t xml:space="preserve"> </w:t>
      </w:r>
      <w:hyperlink r:id="rId62">
        <w:r>
          <w:rPr>
            <w:rStyle w:val="Hyperlink"/>
          </w:rPr>
          <w:t xml:space="preserve">https://doi.org/10.1016/j.trac.2010.05.006</w:t>
        </w:r>
      </w:hyperlink>
    </w:p>
    <w:bookmarkEnd w:id="63"/>
    <w:bookmarkStart w:id="65" w:name="ref-callaway_hempseed_2004"/>
    <w:p>
      <w:pPr>
        <w:pStyle w:val="Bibliography"/>
      </w:pPr>
      <w:r>
        <w:t xml:space="preserve">Callaway, J. C. (2004). Hempseed as a nutritional resource:</w:t>
      </w:r>
      <w:r>
        <w:t xml:space="preserve"> </w:t>
      </w:r>
      <w:r>
        <w:t xml:space="preserve">An</w:t>
      </w:r>
      <w:r>
        <w:t xml:space="preserve"> </w:t>
      </w:r>
      <w:r>
        <w:t xml:space="preserve">overview.</w:t>
      </w:r>
      <w:r>
        <w:t xml:space="preserve"> </w:t>
      </w:r>
      <w:r>
        <w:rPr>
          <w:i/>
          <w:iCs/>
        </w:rPr>
        <w:t xml:space="preserve">Euphytica</w:t>
      </w:r>
      <w:r>
        <w:t xml:space="preserve">,</w:t>
      </w:r>
      <w:r>
        <w:t xml:space="preserve"> </w:t>
      </w:r>
      <w:r>
        <w:rPr>
          <w:i/>
          <w:iCs/>
        </w:rPr>
        <w:t xml:space="preserve">140</w:t>
      </w:r>
      <w:r>
        <w:t xml:space="preserve">(1), 65–72.</w:t>
      </w:r>
      <w:r>
        <w:t xml:space="preserve"> </w:t>
      </w:r>
      <w:hyperlink r:id="rId64">
        <w:r>
          <w:rPr>
            <w:rStyle w:val="Hyperlink"/>
          </w:rPr>
          <w:t xml:space="preserve">https://doi.org/10.1007/s10681-004-4811-6</w:t>
        </w:r>
      </w:hyperlink>
    </w:p>
    <w:bookmarkEnd w:id="65"/>
    <w:bookmarkStart w:id="67" w:name="ref-chadalavada_nir_2022"/>
    <w:p>
      <w:pPr>
        <w:pStyle w:val="Bibliography"/>
      </w:pPr>
      <w:r>
        <w:t xml:space="preserve">Chadalavada, K., Anbazhagan, K., Ndour, A., Choudhary, S., Palmer, W., Flynn, J. R., Mallayee, S., Pothu, S., Prasad, K. V. S. V., Varijakshapanikar, P., Jones, C. S., &amp; Kholová, J. (2022).</w:t>
      </w:r>
      <w:r>
        <w:t xml:space="preserve"> </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
          <w:iCs/>
        </w:rPr>
        <w:t xml:space="preserve">Sensors (Basel, Switzerland)</w:t>
      </w:r>
      <w:r>
        <w:t xml:space="preserve">,</w:t>
      </w:r>
      <w:r>
        <w:t xml:space="preserve"> </w:t>
      </w:r>
      <w:r>
        <w:rPr>
          <w:i/>
          <w:iCs/>
        </w:rPr>
        <w:t xml:space="preserve">22</w:t>
      </w:r>
      <w:r>
        <w:t xml:space="preserve">(10).</w:t>
      </w:r>
      <w:r>
        <w:t xml:space="preserve"> </w:t>
      </w:r>
      <w:hyperlink r:id="rId66">
        <w:r>
          <w:rPr>
            <w:rStyle w:val="Hyperlink"/>
          </w:rPr>
          <w:t xml:space="preserve">https://doi.org/10.3390/s22103710</w:t>
        </w:r>
      </w:hyperlink>
    </w:p>
    <w:bookmarkEnd w:id="67"/>
    <w:bookmarkStart w:id="69" w:name="ref-ely_industrial_2022"/>
    <w:p>
      <w:pPr>
        <w:pStyle w:val="Bibliography"/>
      </w:pPr>
      <w:r>
        <w:t xml:space="preserve">Ely, K., &amp; Fike, J. (2022). 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 In D. C. Agrawal, R. Kumar, &amp; M. Dhanasekaran (Eds.),</w:t>
      </w:r>
      <w:r>
        <w:t xml:space="preserve"> </w:t>
      </w:r>
      <w:r>
        <w:rPr>
          <w:i/>
          <w:iCs/>
        </w:rPr>
        <w:t xml:space="preserve">Cannabis/</w:t>
      </w:r>
      <w:r>
        <w:rPr>
          <w:i/>
          <w:iCs/>
        </w:rPr>
        <w:t xml:space="preserve">Hemp</w:t>
      </w:r>
      <w:r>
        <w:rPr>
          <w:i/>
          <w:iCs/>
        </w:rPr>
        <w:t xml:space="preserve"> </w:t>
      </w:r>
      <w:r>
        <w:rPr>
          <w:i/>
          <w:iCs/>
        </w:rPr>
        <w:t xml:space="preserve">for</w:t>
      </w:r>
      <w:r>
        <w:rPr>
          <w:i/>
          <w:iCs/>
        </w:rPr>
        <w:t xml:space="preserve"> </w:t>
      </w:r>
      <w:r>
        <w:rPr>
          <w:i/>
          <w:iCs/>
        </w:rPr>
        <w:t xml:space="preserve">Sustainable</w:t>
      </w:r>
      <w:r>
        <w:rPr>
          <w:i/>
          <w:iCs/>
        </w:rPr>
        <w:t xml:space="preserve"> </w:t>
      </w:r>
      <w:r>
        <w:rPr>
          <w:i/>
          <w:iCs/>
        </w:rPr>
        <w:t xml:space="preserve">Agriculture</w:t>
      </w:r>
      <w:r>
        <w:rPr>
          <w:i/>
          <w:iCs/>
        </w:rPr>
        <w:t xml:space="preserve"> </w:t>
      </w:r>
      <w:r>
        <w:rPr>
          <w:i/>
          <w:iCs/>
        </w:rPr>
        <w:t xml:space="preserve">and</w:t>
      </w:r>
      <w:r>
        <w:rPr>
          <w:i/>
          <w:iCs/>
        </w:rPr>
        <w:t xml:space="preserve"> </w:t>
      </w:r>
      <w:r>
        <w:rPr>
          <w:i/>
          <w:iCs/>
        </w:rPr>
        <w:t xml:space="preserve">Materials</w:t>
      </w:r>
      <w:r>
        <w:t xml:space="preserve"> </w:t>
      </w:r>
      <w:r>
        <w:t xml:space="preserve">(pp. 145–162). Springer.</w:t>
      </w:r>
      <w:r>
        <w:t xml:space="preserve"> </w:t>
      </w:r>
      <w:hyperlink r:id="rId68">
        <w:r>
          <w:rPr>
            <w:rStyle w:val="Hyperlink"/>
          </w:rPr>
          <w:t xml:space="preserve">https://doi.org/10.1007/978-981-16-8778-5_6</w:t>
        </w:r>
      </w:hyperlink>
    </w:p>
    <w:bookmarkEnd w:id="69"/>
    <w:bookmarkStart w:id="71" w:name="ref-garrido-varo_note_2019"/>
    <w:p>
      <w:pPr>
        <w:pStyle w:val="Bibliography"/>
      </w:pPr>
      <w:r>
        <w:t xml:space="preserve">Garrido-Varo, A., Garcia-Olmo, J., &amp; Fearn, T. (2019). 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
          <w:iCs/>
        </w:rPr>
        <w:t xml:space="preserve">Journal of Near Infrared Spectroscopy</w:t>
      </w:r>
      <w:r>
        <w:t xml:space="preserve">,</w:t>
      </w:r>
      <w:r>
        <w:t xml:space="preserve"> </w:t>
      </w:r>
      <w:r>
        <w:rPr>
          <w:i/>
          <w:iCs/>
        </w:rPr>
        <w:t xml:space="preserve">27</w:t>
      </w:r>
      <w:r>
        <w:t xml:space="preserve">(4), 253–258.</w:t>
      </w:r>
      <w:r>
        <w:t xml:space="preserve"> </w:t>
      </w:r>
      <w:hyperlink r:id="rId70">
        <w:r>
          <w:rPr>
            <w:rStyle w:val="Hyperlink"/>
          </w:rPr>
          <w:t xml:space="preserve">https://doi.org/10.1177/0967033519848296</w:t>
        </w:r>
      </w:hyperlink>
    </w:p>
    <w:bookmarkEnd w:id="71"/>
    <w:bookmarkStart w:id="73" w:name="ref-geyer_genetics_2022"/>
    <w:p>
      <w:pPr>
        <w:pStyle w:val="Bibliography"/>
      </w:pPr>
      <w:r>
        <w:t xml:space="preserve">Geyer, M., Mohler, V., &amp; Hartl, L. (2022). 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
          <w:iCs/>
        </w:rPr>
        <w:t xml:space="preserve">Plants</w:t>
      </w:r>
      <w:r>
        <w:t xml:space="preserve">,</w:t>
      </w:r>
      <w:r>
        <w:t xml:space="preserve"> </w:t>
      </w:r>
      <w:r>
        <w:rPr>
          <w:i/>
          <w:iCs/>
        </w:rPr>
        <w:t xml:space="preserve">11</w:t>
      </w:r>
      <w:r>
        <w:t xml:space="preserve">(16), 2146.</w:t>
      </w:r>
      <w:r>
        <w:t xml:space="preserve"> </w:t>
      </w:r>
      <w:hyperlink r:id="rId72">
        <w:r>
          <w:rPr>
            <w:rStyle w:val="Hyperlink"/>
          </w:rPr>
          <w:t xml:space="preserve">https://doi.org/10.3390/plants11162146</w:t>
        </w:r>
      </w:hyperlink>
    </w:p>
    <w:bookmarkEnd w:id="73"/>
    <w:bookmarkStart w:id="75" w:name="ref-giancaspro_genetic_2019"/>
    <w:p>
      <w:pPr>
        <w:pStyle w:val="Bibliography"/>
      </w:pPr>
      <w:r>
        <w:t xml:space="preserve">Giancaspro, A., Giove, S. L., Blanco, A., &amp; Gadaleta, A. (2019). 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
          <w:iCs/>
        </w:rPr>
        <w:t xml:space="preserve">Frontiers in Plant Science</w:t>
      </w:r>
      <w:r>
        <w:t xml:space="preserve">,</w:t>
      </w:r>
      <w:r>
        <w:t xml:space="preserve"> </w:t>
      </w:r>
      <w:r>
        <w:rPr>
          <w:i/>
          <w:iCs/>
        </w:rPr>
        <w:t xml:space="preserve">10</w:t>
      </w:r>
      <w:r>
        <w:t xml:space="preserve">.</w:t>
      </w:r>
      <w:r>
        <w:t xml:space="preserve"> </w:t>
      </w:r>
      <w:hyperlink r:id="rId74">
        <w:r>
          <w:rPr>
            <w:rStyle w:val="Hyperlink"/>
          </w:rPr>
          <w:t xml:space="preserve">https://doi.org/10.3389/fpls.2019.01509</w:t>
        </w:r>
      </w:hyperlink>
    </w:p>
    <w:bookmarkEnd w:id="75"/>
    <w:bookmarkStart w:id="77" w:name="ref-hayes_measuring_2020"/>
    <w:p>
      <w:pPr>
        <w:pStyle w:val="Bibliography"/>
      </w:pPr>
      <w:r>
        <w:t xml:space="preserve">Hayes, M. (2020). 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
          <w:iCs/>
        </w:rPr>
        <w:t xml:space="preserve">Foods</w:t>
      </w:r>
      <w:r>
        <w:t xml:space="preserve">,</w:t>
      </w:r>
      <w:r>
        <w:t xml:space="preserve"> </w:t>
      </w:r>
      <w:r>
        <w:rPr>
          <w:i/>
          <w:iCs/>
        </w:rPr>
        <w:t xml:space="preserve">9</w:t>
      </w:r>
      <w:r>
        <w:t xml:space="preserve">(10), 1340.</w:t>
      </w:r>
      <w:r>
        <w:t xml:space="preserve"> </w:t>
      </w:r>
      <w:hyperlink r:id="rId76">
        <w:r>
          <w:rPr>
            <w:rStyle w:val="Hyperlink"/>
          </w:rPr>
          <w:t xml:space="preserve">https://doi.org/10.3390/foods9101340</w:t>
        </w:r>
      </w:hyperlink>
    </w:p>
    <w:bookmarkEnd w:id="77"/>
    <w:bookmarkStart w:id="79" w:name="ref-caret"/>
    <w:p>
      <w:pPr>
        <w:pStyle w:val="Bibliography"/>
      </w:pPr>
      <w:r>
        <w:t xml:space="preserve">Kuhn, M. (2021).</w:t>
      </w:r>
      <w:r>
        <w:t xml:space="preserve"> </w:t>
      </w:r>
      <w:r>
        <w:rPr>
          <w:i/>
          <w:iCs/>
        </w:rPr>
        <w:t xml:space="preserve">caret</w:t>
      </w:r>
      <w:r>
        <w:rPr>
          <w:i/>
          <w:iCs/>
        </w:rPr>
        <w:t xml:space="preserve">: Classification and regression training</w:t>
      </w:r>
      <w:r>
        <w:t xml:space="preserve">.</w:t>
      </w:r>
      <w:r>
        <w:t xml:space="preserve"> </w:t>
      </w:r>
      <w:hyperlink r:id="rId78">
        <w:r>
          <w:rPr>
            <w:rStyle w:val="Hyperlink"/>
          </w:rPr>
          <w:t xml:space="preserve">https://CRAN.R-project.org/package=caret</w:t>
        </w:r>
      </w:hyperlink>
    </w:p>
    <w:bookmarkEnd w:id="79"/>
    <w:bookmarkStart w:id="81" w:name="ref-tidymodels"/>
    <w:p>
      <w:pPr>
        <w:pStyle w:val="Bibliography"/>
      </w:pPr>
      <w:r>
        <w:t xml:space="preserve">Kuhn, M., &amp; Wickham, H. (2020).</w:t>
      </w:r>
      <w:r>
        <w:t xml:space="preserve"> </w:t>
      </w:r>
      <w:r>
        <w:rPr>
          <w:i/>
          <w:iCs/>
        </w:rPr>
        <w:t xml:space="preserve">Tidymodels</w:t>
      </w:r>
      <w:r>
        <w:rPr>
          <w:i/>
          <w:iCs/>
        </w:rPr>
        <w:t xml:space="preserve">: A collection of packages for modeling and machine learning using tidyverse principles.</w:t>
      </w:r>
      <w:r>
        <w:t xml:space="preserve"> </w:t>
      </w:r>
      <w:hyperlink r:id="rId80">
        <w:r>
          <w:rPr>
            <w:rStyle w:val="Hyperlink"/>
          </w:rPr>
          <w:t xml:space="preserve">https://www.tidymodels.org</w:t>
        </w:r>
      </w:hyperlink>
    </w:p>
    <w:bookmarkEnd w:id="81"/>
    <w:bookmarkStart w:id="83" w:name="ref-emmeans"/>
    <w:p>
      <w:pPr>
        <w:pStyle w:val="Bibliography"/>
      </w:pPr>
      <w:r>
        <w:t xml:space="preserve">Lenth, R. V. (2024).</w:t>
      </w:r>
      <w:r>
        <w:t xml:space="preserve"> </w:t>
      </w:r>
      <w:r>
        <w:rPr>
          <w:i/>
          <w:iCs/>
        </w:rPr>
        <w:t xml:space="preserve">emmeans</w:t>
      </w:r>
      <w:r>
        <w:rPr>
          <w:i/>
          <w:iCs/>
        </w:rPr>
        <w:t xml:space="preserve">: Estimated marginal means, aka least-squares means</w:t>
      </w:r>
      <w:r>
        <w:t xml:space="preserve">.</w:t>
      </w:r>
      <w:r>
        <w:t xml:space="preserve"> </w:t>
      </w:r>
      <w:hyperlink r:id="rId82">
        <w:r>
          <w:rPr>
            <w:rStyle w:val="Hyperlink"/>
          </w:rPr>
          <w:t xml:space="preserve">https://CRAN.R-project.org/package=emmeans</w:t>
        </w:r>
      </w:hyperlink>
    </w:p>
    <w:bookmarkEnd w:id="83"/>
    <w:bookmarkStart w:id="85" w:name="ref-li_quantitative_2020"/>
    <w:p>
      <w:pPr>
        <w:pStyle w:val="Bibliography"/>
      </w:pPr>
      <w:r>
        <w:t xml:space="preserve">Li, Y., Huang, Y., Xia, J., Xiong, Y., &amp; Min, S. (2020). Quantitative analysis of honey adulteration by spectrum analysis combined with several high-level data fusion strategies.</w:t>
      </w:r>
      <w:r>
        <w:t xml:space="preserve"> </w:t>
      </w:r>
      <w:r>
        <w:rPr>
          <w:i/>
          <w:iCs/>
        </w:rPr>
        <w:t xml:space="preserve">Vibrational Spectroscopy</w:t>
      </w:r>
      <w:r>
        <w:t xml:space="preserve">,</w:t>
      </w:r>
      <w:r>
        <w:t xml:space="preserve"> </w:t>
      </w:r>
      <w:r>
        <w:rPr>
          <w:i/>
          <w:iCs/>
        </w:rPr>
        <w:t xml:space="preserve">108</w:t>
      </w:r>
      <w:r>
        <w:t xml:space="preserve">, 103060.</w:t>
      </w:r>
      <w:r>
        <w:t xml:space="preserve"> </w:t>
      </w:r>
      <w:hyperlink r:id="rId84">
        <w:r>
          <w:rPr>
            <w:rStyle w:val="Hyperlink"/>
          </w:rPr>
          <w:t xml:space="preserve">https://doi.org/10.1016/j.vibspec.2020.103060</w:t>
        </w:r>
      </w:hyperlink>
    </w:p>
    <w:bookmarkEnd w:id="85"/>
    <w:bookmarkStart w:id="87" w:name="ref-pls"/>
    <w:p>
      <w:pPr>
        <w:pStyle w:val="Bibliography"/>
      </w:pPr>
      <w:r>
        <w:t xml:space="preserve">Liland, K. H., Mevik, B.-H., &amp; Wehrens, R. (2021).</w:t>
      </w:r>
      <w:r>
        <w:t xml:space="preserve"> </w:t>
      </w:r>
      <w:r>
        <w:rPr>
          <w:i/>
          <w:iCs/>
        </w:rPr>
        <w:t xml:space="preserve">pls</w:t>
      </w:r>
      <w:r>
        <w:rPr>
          <w:i/>
          <w:iCs/>
        </w:rPr>
        <w:t xml:space="preserve">: Partial least squares and principal component regression</w:t>
      </w:r>
      <w:r>
        <w:t xml:space="preserve">.</w:t>
      </w:r>
      <w:r>
        <w:t xml:space="preserve"> </w:t>
      </w:r>
      <w:hyperlink r:id="rId86">
        <w:r>
          <w:rPr>
            <w:rStyle w:val="Hyperlink"/>
          </w:rPr>
          <w:t xml:space="preserve">https://CRAN.R-project.org/package=pls</w:t>
        </w:r>
      </w:hyperlink>
    </w:p>
    <w:bookmarkEnd w:id="87"/>
    <w:bookmarkStart w:id="89" w:name="ref-liu2023"/>
    <w:p>
      <w:pPr>
        <w:pStyle w:val="Bibliography"/>
      </w:pPr>
      <w:r>
        <w:t xml:space="preserve">Liu, M., Toth, J. A., Childs, M., Smart, L. B., &amp; Abbaspourrad, A. (2023). Composition and functional properties of hemp seed protein isolates from various hemp cultivars.</w:t>
      </w:r>
      <w:r>
        <w:t xml:space="preserve"> </w:t>
      </w:r>
      <w:r>
        <w:rPr>
          <w:i/>
          <w:iCs/>
        </w:rPr>
        <w:t xml:space="preserve">Journal of Food Science</w:t>
      </w:r>
      <w:r>
        <w:t xml:space="preserve">,</w:t>
      </w:r>
      <w:r>
        <w:t xml:space="preserve"> </w:t>
      </w:r>
      <w:r>
        <w:rPr>
          <w:i/>
          <w:iCs/>
        </w:rPr>
        <w:t xml:space="preserve">88</w:t>
      </w:r>
      <w:r>
        <w:t xml:space="preserve">(3), 942–951.</w:t>
      </w:r>
      <w:r>
        <w:t xml:space="preserve"> </w:t>
      </w:r>
      <w:hyperlink r:id="rId88">
        <w:r>
          <w:rPr>
            <w:rStyle w:val="Hyperlink"/>
          </w:rPr>
          <w:t xml:space="preserve">https://doi.org/10.1111/1750-3841.16467</w:t>
        </w:r>
      </w:hyperlink>
    </w:p>
    <w:bookmarkEnd w:id="89"/>
    <w:bookmarkStart w:id="91" w:name="ref-luce_prediction_2017"/>
    <w:p>
      <w:pPr>
        <w:pStyle w:val="Bibliography"/>
      </w:pPr>
      <w:r>
        <w:t xml:space="preserve">Luce, M. S., Ziadi, N., Gagnon, B., &amp; Lévesque, V. (2017). Prediction of total carbon, total nitrogen, and</w:t>
      </w:r>
      <w:r>
        <w:t xml:space="preserve"> </w:t>
      </w:r>
      <w:r>
        <w:t xml:space="preserve">pH</w:t>
      </w:r>
      <w:r>
        <w:t xml:space="preserve"> </w:t>
      </w:r>
      <w:r>
        <w:t xml:space="preserve">of organic materials using visible near-infrared reflectance spectroscopy.</w:t>
      </w:r>
      <w:r>
        <w:t xml:space="preserve"> </w:t>
      </w:r>
      <w:r>
        <w:rPr>
          <w:i/>
          <w:iCs/>
        </w:rPr>
        <w:t xml:space="preserve">Canadian Journal of Soil Science</w:t>
      </w:r>
      <w:r>
        <w:t xml:space="preserve">,</w:t>
      </w:r>
      <w:r>
        <w:t xml:space="preserve"> </w:t>
      </w:r>
      <w:r>
        <w:rPr>
          <w:i/>
          <w:iCs/>
        </w:rPr>
        <w:t xml:space="preserve">98</w:t>
      </w:r>
      <w:r>
        <w:t xml:space="preserve">(1), 175–179.</w:t>
      </w:r>
      <w:r>
        <w:t xml:space="preserve"> </w:t>
      </w:r>
      <w:hyperlink r:id="rId90">
        <w:r>
          <w:rPr>
            <w:rStyle w:val="Hyperlink"/>
          </w:rPr>
          <w:t xml:space="preserve">https://doi.org/10.1139/cjss-2017-0109</w:t>
        </w:r>
      </w:hyperlink>
    </w:p>
    <w:bookmarkEnd w:id="91"/>
    <w:bookmarkStart w:id="93" w:name="ref-luo_properties_2005"/>
    <w:p>
      <w:pPr>
        <w:pStyle w:val="Bibliography"/>
      </w:pPr>
      <w:r>
        <w:t xml:space="preserve">Luo, J., Ying, K., He, P., &amp; Bai, J. (2005). Properties of</w:t>
      </w:r>
      <w:r>
        <w:t xml:space="preserve"> </w:t>
      </w:r>
      <w:r>
        <w:t xml:space="preserve">Savitzky</w:t>
      </w:r>
      <w:r>
        <w:t xml:space="preserve">–</w:t>
      </w:r>
      <w:r>
        <w:t xml:space="preserve">Golay</w:t>
      </w:r>
      <w:r>
        <w:t xml:space="preserve"> </w:t>
      </w:r>
      <w:r>
        <w:t xml:space="preserve">digital differentiators.</w:t>
      </w:r>
      <w:r>
        <w:t xml:space="preserve"> </w:t>
      </w:r>
      <w:r>
        <w:rPr>
          <w:i/>
          <w:iCs/>
        </w:rPr>
        <w:t xml:space="preserve">Digital Signal Processing</w:t>
      </w:r>
      <w:r>
        <w:t xml:space="preserve">,</w:t>
      </w:r>
      <w:r>
        <w:t xml:space="preserve"> </w:t>
      </w:r>
      <w:r>
        <w:rPr>
          <w:i/>
          <w:iCs/>
        </w:rPr>
        <w:t xml:space="preserve">15</w:t>
      </w:r>
      <w:r>
        <w:t xml:space="preserve">(2), 122–136.</w:t>
      </w:r>
      <w:r>
        <w:t xml:space="preserve"> </w:t>
      </w:r>
      <w:hyperlink r:id="rId92">
        <w:r>
          <w:rPr>
            <w:rStyle w:val="Hyperlink"/>
          </w:rPr>
          <w:t xml:space="preserve">https://doi.org/10.1016/j.dsp.2004.09.008</w:t>
        </w:r>
      </w:hyperlink>
    </w:p>
    <w:bookmarkEnd w:id="93"/>
    <w:bookmarkStart w:id="95" w:name="ref-nlme2000"/>
    <w:p>
      <w:pPr>
        <w:pStyle w:val="Bibliography"/>
      </w:pPr>
      <w:r>
        <w:t xml:space="preserve">Pinheiro, J. C., &amp; Bates, D. M. (2000).</w:t>
      </w:r>
      <w:r>
        <w:t xml:space="preserve"> </w:t>
      </w:r>
      <w:r>
        <w:rPr>
          <w:i/>
          <w:iCs/>
        </w:rPr>
        <w:t xml:space="preserve">Mixed-effects models in s and s-PLUS</w:t>
      </w:r>
      <w:r>
        <w:t xml:space="preserve">. Springer.</w:t>
      </w:r>
      <w:r>
        <w:t xml:space="preserve"> </w:t>
      </w:r>
      <w:hyperlink r:id="rId94">
        <w:r>
          <w:rPr>
            <w:rStyle w:val="Hyperlink"/>
          </w:rPr>
          <w:t xml:space="preserve">https://doi.org/10.1007/b98882</w:t>
        </w:r>
      </w:hyperlink>
    </w:p>
    <w:bookmarkEnd w:id="95"/>
    <w:bookmarkStart w:id="97" w:name="ref-nlme2024"/>
    <w:p>
      <w:pPr>
        <w:pStyle w:val="Bibliography"/>
      </w:pPr>
      <w:r>
        <w:t xml:space="preserve">Pinheiro, J., Bates, D., &amp; R Core Team. (2024).</w:t>
      </w:r>
      <w:r>
        <w:t xml:space="preserve"> </w:t>
      </w:r>
      <w:r>
        <w:rPr>
          <w:i/>
          <w:iCs/>
        </w:rPr>
        <w:t xml:space="preserve">nlme</w:t>
      </w:r>
      <w:r>
        <w:rPr>
          <w:i/>
          <w:iCs/>
        </w:rPr>
        <w:t xml:space="preserve">: Linear and nonlinear mixed effects models</w:t>
      </w:r>
      <w:r>
        <w:t xml:space="preserve">.</w:t>
      </w:r>
      <w:r>
        <w:t xml:space="preserve"> </w:t>
      </w:r>
      <w:hyperlink r:id="rId96">
        <w:r>
          <w:rPr>
            <w:rStyle w:val="Hyperlink"/>
          </w:rPr>
          <w:t xml:space="preserve">https://CRAN.R-project.org/package=nlme</w:t>
        </w:r>
      </w:hyperlink>
    </w:p>
    <w:bookmarkEnd w:id="97"/>
    <w:bookmarkStart w:id="99" w:name="ref-base"/>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R Foundation for Statistical Computing.</w:t>
      </w:r>
      <w:r>
        <w:t xml:space="preserve"> </w:t>
      </w:r>
      <w:hyperlink r:id="rId98">
        <w:r>
          <w:rPr>
            <w:rStyle w:val="Hyperlink"/>
          </w:rPr>
          <w:t xml:space="preserve">https://www.R-project.org/</w:t>
        </w:r>
      </w:hyperlink>
    </w:p>
    <w:bookmarkEnd w:id="99"/>
    <w:bookmarkStart w:id="101" w:name="ref-rawal_visible_2024"/>
    <w:p>
      <w:pPr>
        <w:pStyle w:val="Bibliography"/>
      </w:pPr>
      <w:r>
        <w:t xml:space="preserve">Rawal, A., Hartemink, A., Zhang, Y., Wang, Y., Lankau, R. A., &amp; Ruark, M. D. (2024). Visible and near-infrared spectroscopy predicted leaf nitrogen contents of potato varieties under different growth and management conditions.</w:t>
      </w:r>
      <w:r>
        <w:t xml:space="preserve"> </w:t>
      </w:r>
      <w:r>
        <w:rPr>
          <w:i/>
          <w:iCs/>
        </w:rPr>
        <w:t xml:space="preserve">Precision Agriculture</w:t>
      </w:r>
      <w:r>
        <w:t xml:space="preserve">,</w:t>
      </w:r>
      <w:r>
        <w:t xml:space="preserve"> </w:t>
      </w:r>
      <w:r>
        <w:rPr>
          <w:i/>
          <w:iCs/>
        </w:rPr>
        <w:t xml:space="preserve">25</w:t>
      </w:r>
      <w:r>
        <w:t xml:space="preserve">(2), 751–770.</w:t>
      </w:r>
      <w:r>
        <w:t xml:space="preserve"> </w:t>
      </w:r>
      <w:hyperlink r:id="rId100">
        <w:r>
          <w:rPr>
            <w:rStyle w:val="Hyperlink"/>
          </w:rPr>
          <w:t xml:space="preserve">https://doi.org/10.1007/s11119-023-10091-z</w:t>
        </w:r>
      </w:hyperlink>
    </w:p>
    <w:bookmarkEnd w:id="101"/>
    <w:bookmarkStart w:id="103" w:name="ref-reeves_potential_2012"/>
    <w:p>
      <w:pPr>
        <w:pStyle w:val="Bibliography"/>
      </w:pPr>
      <w:r>
        <w:t xml:space="preserve">Reeves, J. B. (2012). 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
          <w:iCs/>
        </w:rPr>
        <w:t xml:space="preserve">Communications in Soil Science and Plant Analysis</w:t>
      </w:r>
      <w:r>
        <w:t xml:space="preserve">,</w:t>
      </w:r>
      <w:r>
        <w:t xml:space="preserve"> </w:t>
      </w:r>
      <w:r>
        <w:rPr>
          <w:i/>
          <w:iCs/>
        </w:rPr>
        <w:t xml:space="preserve">43</w:t>
      </w:r>
      <w:r>
        <w:t xml:space="preserve">(1-2), 478–495.</w:t>
      </w:r>
      <w:r>
        <w:t xml:space="preserve"> </w:t>
      </w:r>
      <w:hyperlink r:id="rId102">
        <w:r>
          <w:rPr>
            <w:rStyle w:val="Hyperlink"/>
          </w:rPr>
          <w:t xml:space="preserve">https://doi.org/10.1080/00103624.2012.641844</w:t>
        </w:r>
      </w:hyperlink>
    </w:p>
    <w:bookmarkEnd w:id="103"/>
    <w:bookmarkStart w:id="105" w:name="ref-rinnan_review_2009"/>
    <w:p>
      <w:pPr>
        <w:pStyle w:val="Bibliography"/>
      </w:pPr>
      <w:r>
        <w:t xml:space="preserve">Rinnan, Å., Berg, F. van den, &amp; Engelsen, S. B. (2009). Review of the most common pre-processing techniques for near-infrared spectra.</w:t>
      </w:r>
      <w:r>
        <w:t xml:space="preserve"> </w:t>
      </w:r>
      <w:r>
        <w:rPr>
          <w:i/>
          <w:iCs/>
        </w:rPr>
        <w:t xml:space="preserve">TrAC Trends in Analytical Chemistry</w:t>
      </w:r>
      <w:r>
        <w:t xml:space="preserve">,</w:t>
      </w:r>
      <w:r>
        <w:t xml:space="preserve"> </w:t>
      </w:r>
      <w:r>
        <w:rPr>
          <w:i/>
          <w:iCs/>
        </w:rPr>
        <w:t xml:space="preserve">28</w:t>
      </w:r>
      <w:r>
        <w:t xml:space="preserve">(10), 1201–1222.</w:t>
      </w:r>
      <w:r>
        <w:t xml:space="preserve"> </w:t>
      </w:r>
      <w:hyperlink r:id="rId104">
        <w:r>
          <w:rPr>
            <w:rStyle w:val="Hyperlink"/>
          </w:rPr>
          <w:t xml:space="preserve">https://doi.org/10.1016/j.trac.2009.07.007</w:t>
        </w:r>
      </w:hyperlink>
    </w:p>
    <w:bookmarkEnd w:id="105"/>
    <w:bookmarkStart w:id="106" w:name="ref-roberts_near-infrared_2004"/>
    <w:p>
      <w:pPr>
        <w:pStyle w:val="Bibliography"/>
      </w:pPr>
      <w:r>
        <w:t xml:space="preserve">Roberts, C. A., Workman, J., &amp; Reeves, J. B. (2004).</w:t>
      </w:r>
      <w:r>
        <w:t xml:space="preserve"> </w:t>
      </w:r>
      <w:r>
        <w:rPr>
          <w:i/>
          <w:iCs/>
        </w:rPr>
        <w:t xml:space="preserve">Near-infrared spectroscopy in agriculture</w:t>
      </w:r>
      <w:r>
        <w:t xml:space="preserve">. American Society of Agronomy.</w:t>
      </w:r>
    </w:p>
    <w:bookmarkEnd w:id="106"/>
    <w:bookmarkStart w:id="107" w:name="ref-prospectr"/>
    <w:p>
      <w:pPr>
        <w:pStyle w:val="Bibliography"/>
      </w:pPr>
      <w:r>
        <w:t xml:space="preserve">Stevens, A., &amp; Ramirez-Lopez, L. (2024).</w:t>
      </w:r>
      <w:r>
        <w:t xml:space="preserve"> </w:t>
      </w:r>
      <w:r>
        <w:rPr>
          <w:i/>
          <w:iCs/>
        </w:rPr>
        <w:t xml:space="preserve">An introduction to the prospectr package</w:t>
      </w:r>
      <w:r>
        <w:t xml:space="preserve">.</w:t>
      </w:r>
    </w:p>
    <w:bookmarkEnd w:id="107"/>
    <w:bookmarkStart w:id="109" w:name="ref-skimr"/>
    <w:p>
      <w:pPr>
        <w:pStyle w:val="Bibliography"/>
      </w:pPr>
      <w:r>
        <w:t xml:space="preserve">Waring, E., Quinn, M., McNamara, A., Arino de la Rubia, E., Zhu, H., &amp; Ellis, S. (2022).</w:t>
      </w:r>
      <w:r>
        <w:t xml:space="preserve"> </w:t>
      </w:r>
      <w:r>
        <w:rPr>
          <w:i/>
          <w:iCs/>
        </w:rPr>
        <w:t xml:space="preserve">skimr</w:t>
      </w:r>
      <w:r>
        <w:rPr>
          <w:i/>
          <w:iCs/>
        </w:rPr>
        <w:t xml:space="preserve">: Compact and flexible summaries of data</w:t>
      </w:r>
      <w:r>
        <w:t xml:space="preserve">.</w:t>
      </w:r>
      <w:r>
        <w:t xml:space="preserve"> </w:t>
      </w:r>
      <w:hyperlink r:id="rId108">
        <w:r>
          <w:rPr>
            <w:rStyle w:val="Hyperlink"/>
          </w:rPr>
          <w:t xml:space="preserve">https://CRAN.R-project.org/package=skimr</w:t>
        </w:r>
      </w:hyperlink>
    </w:p>
    <w:bookmarkEnd w:id="109"/>
    <w:bookmarkStart w:id="111" w:name="ref-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10">
        <w:r>
          <w:rPr>
            <w:rStyle w:val="Hyperlink"/>
          </w:rPr>
          <w:t xml:space="preserve">https://doi.org/10.21105/joss.01686</w:t>
        </w:r>
      </w:hyperlink>
    </w:p>
    <w:bookmarkEnd w:id="111"/>
    <w:bookmarkStart w:id="112" w:name="ref-williams_application_1975"/>
    <w:p>
      <w:pPr>
        <w:pStyle w:val="Bibliography"/>
      </w:pPr>
      <w:r>
        <w:t xml:space="preserve">Williams, P. C. (1975). Application of near infrared reflectance spectroscopy to analysis of cereal grains and oilseeds.</w:t>
      </w:r>
      <w:r>
        <w:t xml:space="preserve"> </w:t>
      </w:r>
      <w:r>
        <w:rPr>
          <w:i/>
          <w:iCs/>
        </w:rPr>
        <w:t xml:space="preserve">Cereal Chemistry</w:t>
      </w:r>
      <w:r>
        <w:t xml:space="preserve">,</w:t>
      </w:r>
      <w:r>
        <w:t xml:space="preserve"> </w:t>
      </w:r>
      <w:r>
        <w:rPr>
          <w:i/>
          <w:iCs/>
        </w:rPr>
        <w:t xml:space="preserve">52</w:t>
      </w:r>
      <w:r>
        <w:t xml:space="preserve">(4 p.561-576), 576–561.</w:t>
      </w:r>
    </w:p>
    <w:bookmarkEnd w:id="112"/>
    <w:bookmarkStart w:id="114" w:name="ref-wold_pls-regression_2001"/>
    <w:p>
      <w:pPr>
        <w:pStyle w:val="Bibliography"/>
      </w:pPr>
      <w:r>
        <w:t xml:space="preserve">Wold, S., Sjöström, M., &amp; Eriksson, L. (2001).</w:t>
      </w:r>
      <w:r>
        <w:t xml:space="preserve"> </w:t>
      </w:r>
      <w:r>
        <w:t xml:space="preserve">PLS</w:t>
      </w:r>
      <w:r>
        <w:t xml:space="preserve">-regression: A basic tool of chemometrics.</w:t>
      </w:r>
      <w:r>
        <w:t xml:space="preserve"> </w:t>
      </w:r>
      <w:r>
        <w:rPr>
          <w:i/>
          <w:iCs/>
        </w:rPr>
        <w:t xml:space="preserve">Chemometrics and Intelligent Laboratory Systems</w:t>
      </w:r>
      <w:r>
        <w:t xml:space="preserve">,</w:t>
      </w:r>
      <w:r>
        <w:t xml:space="preserve"> </w:t>
      </w:r>
      <w:r>
        <w:rPr>
          <w:i/>
          <w:iCs/>
        </w:rPr>
        <w:t xml:space="preserve">58</w:t>
      </w:r>
      <w:r>
        <w:t xml:space="preserve">(2), 109–130.</w:t>
      </w:r>
      <w:r>
        <w:t xml:space="preserve"> </w:t>
      </w:r>
      <w:hyperlink r:id="rId113">
        <w:r>
          <w:rPr>
            <w:rStyle w:val="Hyperlink"/>
          </w:rPr>
          <w:t xml:space="preserve">https://doi.org/10.1016/S0169-7439(01)00155-1</w:t>
        </w:r>
      </w:hyperlink>
    </w:p>
    <w:bookmarkEnd w:id="114"/>
    <w:bookmarkEnd w:id="115"/>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hyperlink" Id="rId78" Target="https://CRAN.R-project.org/package=caret" TargetMode="External" /><Relationship Type="http://schemas.openxmlformats.org/officeDocument/2006/relationships/hyperlink" Id="rId58" Target="https://CRAN.R-project.org/package=data.table" TargetMode="External" /><Relationship Type="http://schemas.openxmlformats.org/officeDocument/2006/relationships/hyperlink" Id="rId82" Target="https://CRAN.R-project.org/package=emmeans" TargetMode="External" /><Relationship Type="http://schemas.openxmlformats.org/officeDocument/2006/relationships/hyperlink" Id="rId96" Target="https://CRAN.R-project.org/package=nlme" TargetMode="External" /><Relationship Type="http://schemas.openxmlformats.org/officeDocument/2006/relationships/hyperlink" Id="rId86" Target="https://CRAN.R-project.org/package=pls" TargetMode="External" /><Relationship Type="http://schemas.openxmlformats.org/officeDocument/2006/relationships/hyperlink" Id="rId108" Target="https://CRAN.R-project.org/package=skimr" TargetMode="External" /><Relationship Type="http://schemas.openxmlformats.org/officeDocument/2006/relationships/hyperlink" Id="rId68" Target="https://doi.org/10.1007/978-981-16-8778-5_6" TargetMode="External" /><Relationship Type="http://schemas.openxmlformats.org/officeDocument/2006/relationships/hyperlink" Id="rId94" Target="https://doi.org/10.1007/b98882" TargetMode="External" /><Relationship Type="http://schemas.openxmlformats.org/officeDocument/2006/relationships/hyperlink" Id="rId64" Target="https://doi.org/10.1007/s10681-004-4811-6" TargetMode="External" /><Relationship Type="http://schemas.openxmlformats.org/officeDocument/2006/relationships/hyperlink" Id="rId100" Target="https://doi.org/10.1007/s11119-023-10091-z" TargetMode="External" /><Relationship Type="http://schemas.openxmlformats.org/officeDocument/2006/relationships/hyperlink" Id="rId113" Target="https://doi.org/10.1016/S0169-7439(01)00155-1" TargetMode="External" /><Relationship Type="http://schemas.openxmlformats.org/officeDocument/2006/relationships/hyperlink" Id="rId92" Target="https://doi.org/10.1016/j.dsp.2004.09.008" TargetMode="External" /><Relationship Type="http://schemas.openxmlformats.org/officeDocument/2006/relationships/hyperlink" Id="rId104" Target="https://doi.org/10.1016/j.trac.2009.07.007" TargetMode="External" /><Relationship Type="http://schemas.openxmlformats.org/officeDocument/2006/relationships/hyperlink" Id="rId62" Target="https://doi.org/10.1016/j.trac.2010.05.006" TargetMode="External" /><Relationship Type="http://schemas.openxmlformats.org/officeDocument/2006/relationships/hyperlink" Id="rId84" Target="https://doi.org/10.1016/j.vibspec.2020.103060" TargetMode="External" /><Relationship Type="http://schemas.openxmlformats.org/officeDocument/2006/relationships/hyperlink" Id="rId102" Target="https://doi.org/10.1080/00103624.2012.641844" TargetMode="External" /><Relationship Type="http://schemas.openxmlformats.org/officeDocument/2006/relationships/hyperlink" Id="rId88" Target="https://doi.org/10.1111/1750-3841.16467" TargetMode="External" /><Relationship Type="http://schemas.openxmlformats.org/officeDocument/2006/relationships/hyperlink" Id="rId90" Target="https://doi.org/10.1139/cjss-2017-0109" TargetMode="External" /><Relationship Type="http://schemas.openxmlformats.org/officeDocument/2006/relationships/hyperlink" Id="rId70" Target="https://doi.org/10.1177/0967033519848296" TargetMode="External" /><Relationship Type="http://schemas.openxmlformats.org/officeDocument/2006/relationships/hyperlink" Id="rId56" Target="https://doi.org/10.1366/0003702894202201" TargetMode="External" /><Relationship Type="http://schemas.openxmlformats.org/officeDocument/2006/relationships/hyperlink" Id="rId110" Target="https://doi.org/10.21105/joss.01686" TargetMode="External" /><Relationship Type="http://schemas.openxmlformats.org/officeDocument/2006/relationships/hyperlink" Id="rId74" Target="https://doi.org/10.3389/fpls.2019.01509" TargetMode="External" /><Relationship Type="http://schemas.openxmlformats.org/officeDocument/2006/relationships/hyperlink" Id="rId76" Target="https://doi.org/10.3390/foods9101340" TargetMode="External" /><Relationship Type="http://schemas.openxmlformats.org/officeDocument/2006/relationships/hyperlink" Id="rId72" Target="https://doi.org/10.3390/plants11162146" TargetMode="External" /><Relationship Type="http://schemas.openxmlformats.org/officeDocument/2006/relationships/hyperlink" Id="rId60" Target="https://doi.org/10.3390/plants13010111" TargetMode="External" /><Relationship Type="http://schemas.openxmlformats.org/officeDocument/2006/relationships/hyperlink" Id="rId66"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98" Target="https://www.R-project.org/" TargetMode="External" /><Relationship Type="http://schemas.openxmlformats.org/officeDocument/2006/relationships/hyperlink" Id="rId80" Target="https://www.tidymodels.org" TargetMode="External" /></Relationships>
</file>

<file path=word/_rels/footnotes.xml.rels><?xml version="1.0" encoding="UTF-8"?><Relationships xmlns="http://schemas.openxmlformats.org/package/2006/relationships"><Relationship Type="http://schemas.openxmlformats.org/officeDocument/2006/relationships/hyperlink" Id="rId78" Target="https://CRAN.R-project.org/package=caret" TargetMode="External" /><Relationship Type="http://schemas.openxmlformats.org/officeDocument/2006/relationships/hyperlink" Id="rId58" Target="https://CRAN.R-project.org/package=data.table" TargetMode="External" /><Relationship Type="http://schemas.openxmlformats.org/officeDocument/2006/relationships/hyperlink" Id="rId82" Target="https://CRAN.R-project.org/package=emmeans" TargetMode="External" /><Relationship Type="http://schemas.openxmlformats.org/officeDocument/2006/relationships/hyperlink" Id="rId96" Target="https://CRAN.R-project.org/package=nlme" TargetMode="External" /><Relationship Type="http://schemas.openxmlformats.org/officeDocument/2006/relationships/hyperlink" Id="rId86" Target="https://CRAN.R-project.org/package=pls" TargetMode="External" /><Relationship Type="http://schemas.openxmlformats.org/officeDocument/2006/relationships/hyperlink" Id="rId108" Target="https://CRAN.R-project.org/package=skimr" TargetMode="External" /><Relationship Type="http://schemas.openxmlformats.org/officeDocument/2006/relationships/hyperlink" Id="rId68" Target="https://doi.org/10.1007/978-981-16-8778-5_6" TargetMode="External" /><Relationship Type="http://schemas.openxmlformats.org/officeDocument/2006/relationships/hyperlink" Id="rId94" Target="https://doi.org/10.1007/b98882" TargetMode="External" /><Relationship Type="http://schemas.openxmlformats.org/officeDocument/2006/relationships/hyperlink" Id="rId64" Target="https://doi.org/10.1007/s10681-004-4811-6" TargetMode="External" /><Relationship Type="http://schemas.openxmlformats.org/officeDocument/2006/relationships/hyperlink" Id="rId100" Target="https://doi.org/10.1007/s11119-023-10091-z" TargetMode="External" /><Relationship Type="http://schemas.openxmlformats.org/officeDocument/2006/relationships/hyperlink" Id="rId113" Target="https://doi.org/10.1016/S0169-7439(01)00155-1" TargetMode="External" /><Relationship Type="http://schemas.openxmlformats.org/officeDocument/2006/relationships/hyperlink" Id="rId92" Target="https://doi.org/10.1016/j.dsp.2004.09.008" TargetMode="External" /><Relationship Type="http://schemas.openxmlformats.org/officeDocument/2006/relationships/hyperlink" Id="rId104" Target="https://doi.org/10.1016/j.trac.2009.07.007" TargetMode="External" /><Relationship Type="http://schemas.openxmlformats.org/officeDocument/2006/relationships/hyperlink" Id="rId62" Target="https://doi.org/10.1016/j.trac.2010.05.006" TargetMode="External" /><Relationship Type="http://schemas.openxmlformats.org/officeDocument/2006/relationships/hyperlink" Id="rId84" Target="https://doi.org/10.1016/j.vibspec.2020.103060" TargetMode="External" /><Relationship Type="http://schemas.openxmlformats.org/officeDocument/2006/relationships/hyperlink" Id="rId102" Target="https://doi.org/10.1080/00103624.2012.641844" TargetMode="External" /><Relationship Type="http://schemas.openxmlformats.org/officeDocument/2006/relationships/hyperlink" Id="rId88" Target="https://doi.org/10.1111/1750-3841.16467" TargetMode="External" /><Relationship Type="http://schemas.openxmlformats.org/officeDocument/2006/relationships/hyperlink" Id="rId90" Target="https://doi.org/10.1139/cjss-2017-0109" TargetMode="External" /><Relationship Type="http://schemas.openxmlformats.org/officeDocument/2006/relationships/hyperlink" Id="rId70" Target="https://doi.org/10.1177/0967033519848296" TargetMode="External" /><Relationship Type="http://schemas.openxmlformats.org/officeDocument/2006/relationships/hyperlink" Id="rId56" Target="https://doi.org/10.1366/0003702894202201" TargetMode="External" /><Relationship Type="http://schemas.openxmlformats.org/officeDocument/2006/relationships/hyperlink" Id="rId110" Target="https://doi.org/10.21105/joss.01686" TargetMode="External" /><Relationship Type="http://schemas.openxmlformats.org/officeDocument/2006/relationships/hyperlink" Id="rId74" Target="https://doi.org/10.3389/fpls.2019.01509" TargetMode="External" /><Relationship Type="http://schemas.openxmlformats.org/officeDocument/2006/relationships/hyperlink" Id="rId76" Target="https://doi.org/10.3390/foods9101340" TargetMode="External" /><Relationship Type="http://schemas.openxmlformats.org/officeDocument/2006/relationships/hyperlink" Id="rId72" Target="https://doi.org/10.3390/plants11162146" TargetMode="External" /><Relationship Type="http://schemas.openxmlformats.org/officeDocument/2006/relationships/hyperlink" Id="rId60" Target="https://doi.org/10.3390/plants13010111" TargetMode="External" /><Relationship Type="http://schemas.openxmlformats.org/officeDocument/2006/relationships/hyperlink" Id="rId66"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98" Target="https://www.R-project.org/" TargetMode="External" /><Relationship Type="http://schemas.openxmlformats.org/officeDocument/2006/relationships/hyperlink" Id="rId80"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Concentration in Hemp Grain</dc:title>
  <dc:creator>Ryan V. Crawford; Jamie L. Crawford; Julie L. Hansen; Lawrence B. Smart; Virginia M. Moore</dc:creator>
  <cp:keywords>Hemp, Grain, Spectroscopy</cp:keywords>
  <dcterms:created xsi:type="dcterms:W3CDTF">2024-09-11T14:56:11Z</dcterms:created>
  <dcterms:modified xsi:type="dcterms:W3CDTF">2024-09-11T14:56:11Z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protein concentration of hemp (Cannabis sativa L.) grain is of interest to researchers, producers, and consumers. This study was conducted to determine whether hemp grain can be non-destructively assayed for crude protein (CP) concentration using spectra obtained from near-infrared spectroscopy (NIRS) to build a prediction model for crude protein concentration using partial least squares regression (PLSR). One hundred and fourty-nine whole hemp grain samples were obtained from 18 cultivar trials in New York (NY) from 2017-2021. The samples’ NIRS spectra were collected and the samples were ground and assayed by combustion. Seven potential preprocessing methods, as well as untransformed spectra, were tested using 100 training and testing set splits of the data and the best method was selected. That method was applied to 1000 additional splits of the data set for each of seven preprocessing methods. Model fit was evaluated using root mean squared error (RMSE), coefficient of determination (R2), relative predicted deviation (RPD), and Ratio of Performance to InterQuartile distance (RPIQ). Once a preprocessing method was selected, the optimal number of model components and prediction performance on the testing sets were examined. A preprocessing method consisting of the standard normal variate transformation following a Savitzky-Golay filter had the lowest RMSE and the highest R2, RPD and RPIQ, with RPD and RPIQ 2.1%, and 2.4% higher than a Savitzky-Golay filter by itself (significant at \alpha &lt;0.05). All preprocessing methods outperformed untransformed spectra. Optimal final models typically consisted of 12 components. Seventy-four percent of the 1000 final models had, at minimum, the ability to distinguish between high and low values of CP concentration, with 49% of the models capable of approximating quantitative prodiction. The models tested to overestimate CP concentration by 0.5% in the lowest tertile of samples and underestimate CP concentration by 0.4% in the highest tertile of samples. The worst-predicted samples tended to come from Geneva, NY, possibly as a result of the models’ class imbalance (half of the samples were from Ithaca, NY while 28% were from Geneva). The research shows the promise that NIRS offers in the non-desctructive assay of CP concentration in hemp grain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date">
    <vt:lpwstr>2024-09-11</vt:lpwstr>
  </property>
  <property fmtid="{D5CDD505-2E9C-101B-9397-08002B2CF9AE}" pid="12" name="execute">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A model was developed to predict percent crude protein in hemp grain using near infrared spectroscopy.</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