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Percentage</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V.</w:t>
      </w:r>
      <w:r>
        <w:t xml:space="preserve"> </w:t>
      </w:r>
      <w:r>
        <w:t xml:space="preserve">Crawford</w:t>
      </w:r>
    </w:p>
    <w:p>
      <w:pPr>
        <w:pStyle w:val="Author"/>
      </w:pPr>
      <w:r>
        <w:t xml:space="preserve">Jamie</w:t>
      </w:r>
      <w:r>
        <w:t xml:space="preserve"> </w:t>
      </w:r>
      <w:r>
        <w:t xml:space="preserve">L.</w:t>
      </w:r>
      <w:r>
        <w:t xml:space="preserve"> </w:t>
      </w:r>
      <w:r>
        <w:t xml:space="preserve">Crawford</w:t>
      </w:r>
    </w:p>
    <w:p>
      <w:pPr>
        <w:pStyle w:val="Author"/>
      </w:pPr>
      <w:r>
        <w:t xml:space="preserve">Julie</w:t>
      </w:r>
      <w:r>
        <w:t xml:space="preserve"> </w:t>
      </w:r>
      <w:r>
        <w:t xml:space="preserve">L.</w:t>
      </w:r>
      <w:r>
        <w:t xml:space="preserve"> </w:t>
      </w:r>
      <w:r>
        <w:t xml:space="preserve">Hansen</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w:t>
      </w:r>
      <w:r>
        <w:t xml:space="preserve"> </w:t>
      </w:r>
      <w:r>
        <w:t xml:space="preserve">Moore</w:t>
      </w:r>
    </w:p>
    <w:p>
      <w:pPr>
        <w:pStyle w:val="Date"/>
      </w:pPr>
      <w:r>
        <w:t xml:space="preserve">2024-04-12</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draft incorporates changes from Ginny and Julie</w:t>
      </w:r>
    </w:p>
    <w:bookmarkStart w:id="20" w:name="introduction"/>
    <w:p>
      <w:pPr>
        <w:pStyle w:val="Heading2"/>
      </w:pPr>
      <w:r>
        <w:t xml:space="preserve">1 INTRODUCTION</w:t>
      </w:r>
    </w:p>
    <w:p>
      <w:pPr>
        <w:pStyle w:val="FirstParagraph"/>
      </w:pPr>
      <w:r>
        <w:t xml:space="preserve">Hemp (Cannabis sativa L.) is an annual crop with potential uses as a source of food or feed, derived from the grain, and fiber (bast or hurd), derived from the stalk. Hemp cultivars are commonly grown for one or both purposes and a cultivar may be called a grain, fiber, or dual-purpose type. Because of protein’s nutritional importance, the protein content of a grain crop is a prime consideration for researchers, producers, and consumers. Whole hemp grain typically contains approximately 20-30% protein</w:t>
      </w:r>
      <w:r>
        <w:t xml:space="preserve"> </w:t>
      </w:r>
      <w:r>
        <w:t xml:space="preserve">(Bárta et al., 2024; Callaway, 2004; Ely &amp; Fike, 2022)</w:t>
      </w:r>
      <w:r>
        <w:t xml:space="preserve">. Crude protein is often used as a proxy for the direct measurement of protein concentration and consists of the multiplication of nitrogen concentration by a conversion factor, often 6.25</w:t>
      </w:r>
      <w:r>
        <w:t xml:space="preserve"> </w:t>
      </w:r>
      <w:r>
        <w:t xml:space="preserve">(Hayes, 2020)</w:t>
      </w:r>
      <w:r>
        <w:t xml:space="preserve">. It may be expressed as a percentage (%CP).</w:t>
      </w:r>
    </w:p>
    <w:p>
      <w:pPr>
        <w:pStyle w:val="BodyText"/>
      </w:pPr>
      <w:r>
        <w:t xml:space="preserve">Near-infrared spectroscopy (NIRS) technology is rapid, non-destructive, and inexpensive. It consists of the measurement of near-infrared radiation reflected and absorbed from a sample (the spectra) and the relation of the spectra to laboratory values, typically obtained using wet chemistry assays,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Partial least squares regression calculates components that maximize covariance between predictor and response variables. Partial least squares regression uses some number of components, often selected via cross-validation, to fit the regression model and is commonly used in spectroscopy because it tends to work well with highly correlated, noisy spectral data</w:t>
      </w:r>
      <w:r>
        <w:t xml:space="preserve"> </w:t>
      </w:r>
      <w:r>
        <w:t xml:space="preserve">(Wold et al., 2001)</w:t>
      </w:r>
      <w:r>
        <w:t xml:space="preserve">.</w:t>
      </w:r>
    </w:p>
    <w:p>
      <w:pPr>
        <w:pStyle w:val="BodyText"/>
      </w:pPr>
      <w:r>
        <w:t xml:space="preserve">A NIRS-scanned sample of whole grain may be used for other purposes besides the scan, including planting as a seed. In wheat and corn, grain protein content has been shown to be heritable</w:t>
      </w:r>
      <w:r>
        <w:t xml:space="preserve"> </w:t>
      </w:r>
      <w:r>
        <w:t xml:space="preserve">(Geyer et al., 2022; Giancaspro et al., 2019)</w:t>
      </w:r>
      <w:r>
        <w:t xml:space="preserve">. This suggests that NIRS technology could serve as a resource to rapidly identify high %CP hemp germplasm, enabling the screening of germplasm as seed, before planting to the field, and facilitating the efficient development of high %CP hemp populations.</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All %CP values were expressed as percent dry matter. In total, 149 samples from 38 cultivars were represented in the data set. Cultivars were grain or dual-purpose types and included both commercially available and experimental material. Seventy-eight samples were scanned and assayed in 2017, 19 in 2018, 24 in 2019, and 28 in 2021. More information about hemp cultivars and locations is available in</w:t>
      </w:r>
      <w:r>
        <w:t xml:space="preserve"> </w:t>
      </w:r>
      <w:hyperlink w:anchor="tbl-hemp_provenance">
        <w:r>
          <w:rPr>
            <w:rStyle w:val="Hyperlink"/>
          </w:rPr>
          <w:t xml:space="preserve">Table 3</w:t>
        </w:r>
      </w:hyperlink>
      <w:r>
        <w:t xml:space="preserve">.</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cultivars and locations were represented in 2017, but only a selected subset of cultivar-location combinations were represented in 2018-2021 because not all cultivars were planted everywhere and only a portion of these cultivar-location combinations were sampled due to logistical constraints.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r-software-and-packages-used"/>
    <w:p>
      <w:pPr>
        <w:pStyle w:val="Heading3"/>
      </w:pPr>
      <w:r>
        <w:t xml:space="preserve">2.4 R software and packages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5"/>
    <w:bookmarkStart w:id="26" w:name="model-development"/>
    <w:p>
      <w:pPr>
        <w:pStyle w:val="Heading3"/>
      </w:pPr>
      <w:r>
        <w:t xml:space="preserve">2.5 Model Development</w:t>
      </w:r>
    </w:p>
    <w:p>
      <w:pPr>
        <w:pStyle w:val="FirstParagraph"/>
      </w:pPr>
      <w:r>
        <w:t xml:space="preserve">Training and testing sets were created by dividing the laboratory %CP values into tertiles according to their %CP to ensure that the range of %CP values was present in both calibration and testing sets. Within each tertile, 75% of the samples were randomly assigned to the training set and the remaining 25% were assigned to the testing set. For each training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5, 3) gap-segment derivative using the first derivative, a gap of 11, and a segment size of 5, 4) standard normal variate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models were fit and predictions were made on the corresponding testing set. Since there were 7 preprocessing methods as well as untransformed spectra, 8 separate models were fit for each of the 100 sets. The relationship between the predicted and actual values of the test set were calculated via RMSE, coefficient of determination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w:t>
      </w:r>
      <w:r>
        <w:t xml:space="preserve">good</w:t>
      </w:r>
      <w:r>
        <w:t xml:space="preserve">”</w:t>
      </w:r>
      <w:r>
        <w:t xml:space="preserve"> </w:t>
      </w:r>
      <w:r>
        <w:t xml:space="preserve">model varies depending upon the reference consulted, but for simplicity’s sake researchers desired a model with R</w:t>
      </w:r>
      <w:r>
        <w:rPr>
          <w:vertAlign w:val="superscript"/>
        </w:rPr>
        <w:t xml:space="preserve">2</w:t>
      </w:r>
      <w:r>
        <w:t xml:space="preserve"> </w:t>
      </w:r>
      <w:r>
        <w:t xml:space="preserve">&gt; 0.80, an RPD greater than 2.5 and ideally greater than 3 (</w:t>
      </w:r>
      <w:r>
        <w:t xml:space="preserve">“</w:t>
      </w:r>
      <w:r>
        <w:t xml:space="preserve">good</w:t>
      </w:r>
      <w:r>
        <w:t xml:space="preserve">”</w:t>
      </w:r>
      <w:r>
        <w:t xml:space="preserve"> </w:t>
      </w:r>
      <w:r>
        <w:t xml:space="preserve">to</w:t>
      </w:r>
      <w:r>
        <w:t xml:space="preserve"> </w:t>
      </w:r>
      <w:r>
        <w:t xml:space="preserve">“</w:t>
      </w:r>
      <w:r>
        <w:t xml:space="preserve">excellent</w:t>
      </w:r>
      <w:r>
        <w:t xml:space="preserve">”</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(ANOVA) were performed for each of these metrics in order to compare preprocessing methods. For each ANOVA, each data set was considered as a subject and different variances were allowed for each preprocessing method. Once the most promising preprocessing method was identified, 1000 more training and testing sets were created, and models were developed with that method.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Laboratory assay %CP values are summarized in</w:t>
      </w:r>
      <w:r>
        <w:t xml:space="preserve"> </w:t>
      </w:r>
      <w:hyperlink w:anchor="tbl-lab-protein-vals">
        <w:r>
          <w:rPr>
            <w:rStyle w:val="Hyperlink"/>
          </w:rPr>
          <w:t xml:space="preserve">Table 1</w:t>
        </w:r>
      </w:hyperlink>
      <w:r>
        <w:t xml:space="preserve">. These are similar to the range of %CP values observed in the literature, indicating an reasonable basis for a chemometric model. The %CP values were left-skewed (skewness of -0.29)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 as shown in</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RPD 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6.3% higher RPD and 7.4% higher RPIQ than unprocessed spectra. Preprocessed spectra also had lower standard errors than untransformed spectra.</w:t>
      </w:r>
    </w:p>
    <w:p>
      <w:pPr>
        <w:pStyle w:val="BodyText"/>
      </w:pPr>
      <w:r>
        <w:t xml:space="preserve">The SNV-SG method had the lowest RMSE and the highest R</w:t>
      </w:r>
      <w:r>
        <w:rPr>
          <w:vertAlign w:val="superscript"/>
        </w:rPr>
        <w:t xml:space="preserve">2</w:t>
      </w:r>
      <w:r>
        <w:t xml:space="preserve">, RPD and RPIQ averaging over all iterations. SNV-SG’s RMSE was 1.4% lower than the next best preprocessing method (SG), while SNV-SG’s R</w:t>
      </w:r>
      <w:r>
        <w:rPr>
          <w:vertAlign w:val="superscript"/>
        </w:rPr>
        <w:t xml:space="preserve">2</w:t>
      </w:r>
      <w:r>
        <w:t xml:space="preserve">, RPD, and RPIQ were 0.4%, 2.1%, and 2.4% higher than SG respectively. However, the differences between the best and second best methods by metric were only statistically significant at</w:t>
      </w:r>
      <w:r>
        <w:t xml:space="preserve"> </w:t>
      </w:r>
      <m:oMath>
        <m:r>
          <m:t>α</m:t>
        </m:r>
      </m:oMath>
      <w:r>
        <w:t xml:space="preserve"> </w:t>
      </w:r>
      <w:r>
        <w:t xml:space="preserve">&lt;0.05 for RPD and RPIQ.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In this study, the data were somewhat but not heavily skewed and RPD and RPIQ metrics agreed. The superiority of SNV-SG by these metrics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3842"/>
              <w:gridCol w:w="1019"/>
              <w:gridCol w:w="1019"/>
              <w:gridCol w:w="1019"/>
              <w:gridCol w:w="1019"/>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2.49 ± 0.032</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2.44 ± 0.029</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2.36 ± 0.032</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2.26 ± 0.036</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2.26 ± 0.040</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2.22 ± 0.035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2.17 ± 0.035</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2.17 ± 0.052</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components increased from 1 to 7, with the inclusion of each additional component being associated with a decrease in RMSE of 5%-12%. From 8 to 12 components, model performance continued to improve, although gains were more modest (there was a decrease in RMSE of 0.7%-3% with the inclusion of each additional component). With 13 or more components, performance gains were minimal and the relative ranks of the models tended to be stable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final models’ performances on the test sets were similar, but not identical to, those obtained during the initial comparison of preprocessing methods. The final models’ mean RMSE was 1.03, R</w:t>
      </w:r>
      <w:r>
        <w:rPr>
          <w:vertAlign w:val="superscript"/>
        </w:rPr>
        <w:t xml:space="preserve">2</w:t>
      </w:r>
      <w:r>
        <w:t xml:space="preserve"> </w:t>
      </w:r>
      <w:r>
        <w:t xml:space="preserve">was 0.83, RPD was 2.44, and RPIQ was 3.89. Five percent of the models were</w:t>
      </w:r>
      <w:r>
        <w:t xml:space="preserve"> </w:t>
      </w:r>
      <w:r>
        <w:t xml:space="preserve">“</w:t>
      </w:r>
      <w:r>
        <w:t xml:space="preserve">excellent</w:t>
      </w:r>
      <w:r>
        <w:t xml:space="preserve">”</w:t>
      </w:r>
      <w:r>
        <w:t xml:space="preserve"> </w:t>
      </w:r>
      <w:r>
        <w:t xml:space="preserve">for quantitative prediction by both metrics, with RPD &gt; 3 and RPIQ &gt; 4.1, while an additional 11% of the models were</w:t>
      </w:r>
      <w:r>
        <w:t xml:space="preserve"> </w:t>
      </w:r>
      <w:r>
        <w:t xml:space="preserve">“</w:t>
      </w:r>
      <w:r>
        <w:t xml:space="preserve">good</w:t>
      </w:r>
      <w:r>
        <w:t xml:space="preserve">”</w:t>
      </w:r>
      <w:r>
        <w:t xml:space="preserve"> </w:t>
      </w:r>
      <w:r>
        <w:t xml:space="preserve">by both metrics (RPD range from 2.5 - 3.0, RPIQ range from 2.3 - 4.1). Forty-nine percent of the models had the ability to approximate quantitative prediction (RPD range from 2.0 - 2.5), and 9% of the models were able to distinguish between higher and lower %CP values (RPD range from 1.5 - 2.0). Therefore, 74% of the models had, at minimum, the ability to distinguish between high and low values with 65% having, at minimum, the ability to approximate quantitative prediction.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test set errors was examined on a per-sample basis by calculating the difference between the actual and predicted values for the samples in the test sets</w:t>
      </w:r>
      <w:r>
        <w:t xml:space="preserve"> </w:t>
      </w:r>
      <w:hyperlink w:anchor="fig-validation_set_performance">
        <w:r>
          <w:rPr>
            <w:rStyle w:val="Hyperlink"/>
          </w:rPr>
          <w:t xml:space="preserve">Figure 3</w:t>
        </w:r>
      </w:hyperlink>
      <w:r>
        <w:t xml:space="preserve">. A linear model was fit considering the mean estimated error for each sample where that sample was in the test set as compared to the sample’s actual value. The models overestimated %CP by approximately 0.5 % in the lowest tertile and underestimated %CP by -0.01 % and -0.41 % in the middle and highest tertile, respectively. The variance of the errors did not increase appreciably as %CP increased.</w:t>
      </w:r>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 actual % CP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w:t>
      </w:r>
      <w:r>
        <w:t xml:space="preserve">Ithaca</w:t>
      </w:r>
      <w:r>
        <w:t xml:space="preserve">”</w:t>
      </w:r>
      <w:r>
        <w:t xml:space="preserve">), while 28% were collected from Geneva, NY (</w:t>
      </w:r>
      <w:r>
        <w:t xml:space="preserve">“</w:t>
      </w:r>
      <w:r>
        <w:t xml:space="preserve">Geneva</w:t>
      </w:r>
      <w:r>
        <w:t xml:space="preserve">”</w:t>
      </w:r>
      <w:r>
        <w:t xml:space="preserve">)</w:t>
      </w:r>
      <w:r>
        <w:t xml:space="preserve"> </w:t>
      </w:r>
      <w:hyperlink w:anchor="tbl-hemp_provenance">
        <w:r>
          <w:rPr>
            <w:rStyle w:val="Hyperlink"/>
          </w:rPr>
          <w:t xml:space="preserve">Table 3</w:t>
        </w:r>
      </w:hyperlink>
      <w:r>
        <w:t xml:space="preserve">. However, of the 15 worst-predicted samples, 9 were from Geneva, while 3 of the 15 best-predicted samples were from Geneva (by contrast, 7 of the best-predicted and 5 of the worst-predicted samples came from Ithaca). Overall, samples from Geneva had the highest mean absolute error of prediction among locations, 61% greater than samples from Ithaca and 155% greater than samples from Freeville, NY (the only locations where more than 20 samples were assayed).</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a %CP model by including more samples, particularly by rectifying the class imbalance between Geneva and Ithaca, identifying promising spectral regions, or by examining other predictive methods.</w:t>
      </w:r>
    </w:p>
    <w:bookmarkEnd w:id="47"/>
    <w:bookmarkEnd w:id="48"/>
    <w:bookmarkStart w:id="49" w:name="acknowledgments"/>
    <w:p>
      <w:pPr>
        <w:pStyle w:val="Heading2"/>
      </w:pPr>
      <w:r>
        <w:t xml:space="preserve">4 ACKNOWLEDGMENTS</w:t>
      </w:r>
    </w:p>
    <w:p>
      <w:pPr>
        <w:pStyle w:val="FirstParagraph"/>
      </w:pPr>
      <w:r>
        <w:t xml:space="preserve">This work would not have been possible without the efforts of the field staff, undergraduate, and graduate students who planted, maintained, monitored and harvested these trials.</w:t>
      </w:r>
    </w:p>
    <w:bookmarkEnd w:id="49"/>
    <w:bookmarkStart w:id="50" w:name="conflict-of-interest"/>
    <w:p>
      <w:pPr>
        <w:pStyle w:val="Heading2"/>
      </w:pPr>
      <w:r>
        <w:t xml:space="preserve">5 CONFLICT OF INTEREST</w:t>
      </w:r>
    </w:p>
    <w:p>
      <w:pPr>
        <w:pStyle w:val="FirstParagraph"/>
      </w:pPr>
      <w:r>
        <w:t xml:space="preserve">The authors declare no conflict of interest.</w:t>
      </w:r>
    </w:p>
    <w:bookmarkEnd w:id="50"/>
    <w:bookmarkStart w:id="51" w:name="orcid"/>
    <w:p>
      <w:pPr>
        <w:pStyle w:val="Heading2"/>
      </w:pPr>
      <w:r>
        <w:t xml:space="preserve">6 ORCID</w:t>
      </w:r>
    </w:p>
    <w:bookmarkEnd w:id="51"/>
    <w:bookmarkStart w:id="53" w:name="supplemental-material"/>
    <w:p>
      <w:pPr>
        <w:pStyle w:val="Heading2"/>
      </w:pPr>
      <w:r>
        <w:t xml:space="preserve">7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2"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 while experimental cultivars are labeled</w:t>
            </w:r>
            <w:r>
              <w:t xml:space="preserve"> </w:t>
            </w:r>
            <w:r>
              <w:t xml:space="preserve">“</w:t>
            </w:r>
            <w:r>
              <w:t xml:space="preserve">Experimental1</w:t>
            </w:r>
            <w:r>
              <w:t xml:space="preserve">”</w:t>
            </w:r>
            <w:r>
              <w:t xml:space="preserve">,</w:t>
            </w:r>
            <w:r>
              <w:t xml:space="preserve"> </w:t>
            </w:r>
            <w:r>
              <w:t xml:space="preserve">“</w:t>
            </w:r>
            <w:r>
              <w:t xml:space="preserve">Experimental2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2"/>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3"/>
    <w:bookmarkStart w:id="54" w:name="optional-sections"/>
    <w:p>
      <w:pPr>
        <w:pStyle w:val="Heading2"/>
      </w:pPr>
      <w:r>
        <w:t xml:space="preserve">8 OPTIONAL SECTIONS</w:t>
      </w:r>
    </w:p>
    <w:bookmarkEnd w:id="54"/>
    <w:bookmarkStart w:id="55" w:name="references"/>
    <w:p>
      <w:pPr>
        <w:pStyle w:val="Heading2"/>
      </w:pPr>
      <w:r>
        <w:t xml:space="preserve">9 REFERENCES</w:t>
      </w:r>
    </w:p>
    <w:bookmarkEnd w:id="55"/>
    <w:bookmarkStart w:id="114" w:name="figures-and-tables"/>
    <w:p>
      <w:pPr>
        <w:pStyle w:val="Heading2"/>
      </w:pPr>
      <w:r>
        <w:t xml:space="preserve">10 FIGURES AND TABLES</w:t>
      </w:r>
    </w:p>
    <w:bookmarkStart w:id="113" w:name="refs"/>
    <w:bookmarkStart w:id="57"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6">
        <w:r>
          <w:rPr>
            <w:rStyle w:val="Hyperlink"/>
          </w:rPr>
          <w:t xml:space="preserve">https://doi.org/10.1366/0003702894202201</w:t>
        </w:r>
      </w:hyperlink>
    </w:p>
    <w:bookmarkEnd w:id="57"/>
    <w:bookmarkStart w:id="59"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8">
        <w:r>
          <w:rPr>
            <w:rStyle w:val="Hyperlink"/>
          </w:rPr>
          <w:t xml:space="preserve">https://CRAN.R-project.org/package=data.table</w:t>
        </w:r>
      </w:hyperlink>
    </w:p>
    <w:bookmarkEnd w:id="59"/>
    <w:bookmarkStart w:id="61"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60">
        <w:r>
          <w:rPr>
            <w:rStyle w:val="Hyperlink"/>
          </w:rPr>
          <w:t xml:space="preserve">https://doi.org/10.3390/plants13010111</w:t>
        </w:r>
      </w:hyperlink>
    </w:p>
    <w:bookmarkEnd w:id="61"/>
    <w:bookmarkStart w:id="63"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62">
        <w:r>
          <w:rPr>
            <w:rStyle w:val="Hyperlink"/>
          </w:rPr>
          <w:t xml:space="preserve">https://doi.org/10.1016/j.trac.2010.05.006</w:t>
        </w:r>
      </w:hyperlink>
    </w:p>
    <w:bookmarkEnd w:id="63"/>
    <w:bookmarkStart w:id="65"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4">
        <w:r>
          <w:rPr>
            <w:rStyle w:val="Hyperlink"/>
          </w:rPr>
          <w:t xml:space="preserve">https://doi.org/10.1007/s10681-004-4811-6</w:t>
        </w:r>
      </w:hyperlink>
    </w:p>
    <w:bookmarkEnd w:id="65"/>
    <w:bookmarkStart w:id="67"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6">
        <w:r>
          <w:rPr>
            <w:rStyle w:val="Hyperlink"/>
          </w:rPr>
          <w:t xml:space="preserve">https://doi.org/10.3390/s22103710</w:t>
        </w:r>
      </w:hyperlink>
    </w:p>
    <w:bookmarkEnd w:id="67"/>
    <w:bookmarkStart w:id="69"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68">
        <w:r>
          <w:rPr>
            <w:rStyle w:val="Hyperlink"/>
          </w:rPr>
          <w:t xml:space="preserve">https://doi.org/10.1007/978-981-16-8778-5_6</w:t>
        </w:r>
      </w:hyperlink>
    </w:p>
    <w:bookmarkEnd w:id="69"/>
    <w:bookmarkStart w:id="71"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70">
        <w:r>
          <w:rPr>
            <w:rStyle w:val="Hyperlink"/>
          </w:rPr>
          <w:t xml:space="preserve">https://doi.org/10.1177/0967033519848296</w:t>
        </w:r>
      </w:hyperlink>
    </w:p>
    <w:bookmarkEnd w:id="71"/>
    <w:bookmarkStart w:id="73"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72">
        <w:r>
          <w:rPr>
            <w:rStyle w:val="Hyperlink"/>
          </w:rPr>
          <w:t xml:space="preserve">https://doi.org/10.3390/plants11162146</w:t>
        </w:r>
      </w:hyperlink>
    </w:p>
    <w:bookmarkEnd w:id="73"/>
    <w:bookmarkStart w:id="75"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4">
        <w:r>
          <w:rPr>
            <w:rStyle w:val="Hyperlink"/>
          </w:rPr>
          <w:t xml:space="preserve">https://doi.org/10.3389/fpls.2019.01509</w:t>
        </w:r>
      </w:hyperlink>
    </w:p>
    <w:bookmarkEnd w:id="75"/>
    <w:bookmarkStart w:id="77"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76">
        <w:r>
          <w:rPr>
            <w:rStyle w:val="Hyperlink"/>
          </w:rPr>
          <w:t xml:space="preserve">https://doi.org/10.3390/foods9101340</w:t>
        </w:r>
      </w:hyperlink>
    </w:p>
    <w:bookmarkEnd w:id="77"/>
    <w:bookmarkStart w:id="79"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78">
        <w:r>
          <w:rPr>
            <w:rStyle w:val="Hyperlink"/>
          </w:rPr>
          <w:t xml:space="preserve">https://www.tidymodels.org</w:t>
        </w:r>
      </w:hyperlink>
    </w:p>
    <w:bookmarkEnd w:id="79"/>
    <w:bookmarkStart w:id="81"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80">
        <w:r>
          <w:rPr>
            <w:rStyle w:val="Hyperlink"/>
          </w:rPr>
          <w:t xml:space="preserve">https://doi.org/10.18637/jss.v028.i05</w:t>
        </w:r>
      </w:hyperlink>
    </w:p>
    <w:bookmarkEnd w:id="81"/>
    <w:bookmarkStart w:id="83"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82">
        <w:r>
          <w:rPr>
            <w:rStyle w:val="Hyperlink"/>
          </w:rPr>
          <w:t xml:space="preserve">https://CRAN.R-project.org/package=emmeans</w:t>
        </w:r>
      </w:hyperlink>
    </w:p>
    <w:bookmarkEnd w:id="83"/>
    <w:bookmarkStart w:id="85"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84">
        <w:r>
          <w:rPr>
            <w:rStyle w:val="Hyperlink"/>
          </w:rPr>
          <w:t xml:space="preserve">https://doi.org/10.1016/j.vibspec.2020.103060</w:t>
        </w:r>
      </w:hyperlink>
    </w:p>
    <w:bookmarkEnd w:id="85"/>
    <w:bookmarkStart w:id="87"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86">
        <w:r>
          <w:rPr>
            <w:rStyle w:val="Hyperlink"/>
          </w:rPr>
          <w:t xml:space="preserve">https://CRAN.R-project.org/package=pls</w:t>
        </w:r>
      </w:hyperlink>
    </w:p>
    <w:bookmarkEnd w:id="87"/>
    <w:bookmarkStart w:id="89"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88">
        <w:r>
          <w:rPr>
            <w:rStyle w:val="Hyperlink"/>
          </w:rPr>
          <w:t xml:space="preserve">https://doi.org/10.1139/cjss-2017-0109</w:t>
        </w:r>
      </w:hyperlink>
    </w:p>
    <w:bookmarkEnd w:id="89"/>
    <w:bookmarkStart w:id="91"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90">
        <w:r>
          <w:rPr>
            <w:rStyle w:val="Hyperlink"/>
          </w:rPr>
          <w:t xml:space="preserve">https://doi.org/10.1016/j.dsp.2004.09.008</w:t>
        </w:r>
      </w:hyperlink>
    </w:p>
    <w:bookmarkEnd w:id="91"/>
    <w:bookmarkStart w:id="93"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2">
        <w:r>
          <w:rPr>
            <w:rStyle w:val="Hyperlink"/>
          </w:rPr>
          <w:t xml:space="preserve">https://doi.org/10.1007/b98882</w:t>
        </w:r>
      </w:hyperlink>
    </w:p>
    <w:bookmarkEnd w:id="93"/>
    <w:bookmarkStart w:id="95"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94">
        <w:r>
          <w:rPr>
            <w:rStyle w:val="Hyperlink"/>
          </w:rPr>
          <w:t xml:space="preserve">https://CRAN.R-project.org/package=nlme</w:t>
        </w:r>
      </w:hyperlink>
    </w:p>
    <w:bookmarkEnd w:id="95"/>
    <w:bookmarkStart w:id="97"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96">
        <w:r>
          <w:rPr>
            <w:rStyle w:val="Hyperlink"/>
          </w:rPr>
          <w:t xml:space="preserve">https://www.R-project.org/</w:t>
        </w:r>
      </w:hyperlink>
    </w:p>
    <w:bookmarkEnd w:id="97"/>
    <w:bookmarkStart w:id="99"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98">
        <w:r>
          <w:rPr>
            <w:rStyle w:val="Hyperlink"/>
          </w:rPr>
          <w:t xml:space="preserve">https://doi.org/10.1007/s11119-023-10091-z</w:t>
        </w:r>
      </w:hyperlink>
    </w:p>
    <w:bookmarkEnd w:id="99"/>
    <w:bookmarkStart w:id="101"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0">
        <w:r>
          <w:rPr>
            <w:rStyle w:val="Hyperlink"/>
          </w:rPr>
          <w:t xml:space="preserve">https://doi.org/10.1080/00103624.2012.641844</w:t>
        </w:r>
      </w:hyperlink>
    </w:p>
    <w:bookmarkEnd w:id="101"/>
    <w:bookmarkStart w:id="103"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 Trends in Analytical Chemistry</w:t>
      </w:r>
      <w:r>
        <w:t xml:space="preserve">,</w:t>
      </w:r>
      <w:r>
        <w:t xml:space="preserve"> </w:t>
      </w:r>
      <w:r>
        <w:rPr>
          <w:i/>
          <w:iCs/>
        </w:rPr>
        <w:t xml:space="preserve">28</w:t>
      </w:r>
      <w:r>
        <w:t xml:space="preserve">(10), 1201–1222.</w:t>
      </w:r>
      <w:r>
        <w:t xml:space="preserve"> </w:t>
      </w:r>
      <w:hyperlink r:id="rId102">
        <w:r>
          <w:rPr>
            <w:rStyle w:val="Hyperlink"/>
          </w:rPr>
          <w:t xml:space="preserve">https://doi.org/10.1016/j.trac.2009.07.007</w:t>
        </w:r>
      </w:hyperlink>
    </w:p>
    <w:bookmarkEnd w:id="103"/>
    <w:bookmarkStart w:id="104"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4"/>
    <w:bookmarkStart w:id="105"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5"/>
    <w:bookmarkStart w:id="107"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6">
        <w:r>
          <w:rPr>
            <w:rStyle w:val="Hyperlink"/>
          </w:rPr>
          <w:t xml:space="preserve">https://CRAN.R-project.org/package=skimr</w:t>
        </w:r>
      </w:hyperlink>
    </w:p>
    <w:bookmarkEnd w:id="107"/>
    <w:bookmarkStart w:id="109"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8">
        <w:r>
          <w:rPr>
            <w:rStyle w:val="Hyperlink"/>
          </w:rPr>
          <w:t xml:space="preserve">https://doi.org/10.21105/joss.01686</w:t>
        </w:r>
      </w:hyperlink>
    </w:p>
    <w:bookmarkEnd w:id="109"/>
    <w:bookmarkStart w:id="110"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0"/>
    <w:bookmarkStart w:id="112"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11">
        <w:r>
          <w:rPr>
            <w:rStyle w:val="Hyperlink"/>
          </w:rPr>
          <w:t xml:space="preserve">https://doi.org/10.1016/S0169-7439(01)00155-1</w:t>
        </w:r>
      </w:hyperlink>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80" Target="https://doi.org/10.18637/jss.v028.i05"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78"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80" Target="https://doi.org/10.18637/jss.v028.i05"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78"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Percentage Crude Protein in Hemp Grain</dc:title>
  <dc:creator>Ryan V. Crawford; Jamie L. Crawford; Julie L. Hansen; Lawrence B. Smart; Virginia M. Moore</dc:creator>
  <cp:keywords>Hemp, Grain, Spectroscopy</cp:keywords>
  <dcterms:created xsi:type="dcterms:W3CDTF">2024-04-12T14:50:34Z</dcterms:created>
  <dcterms:modified xsi:type="dcterms:W3CDTF">2024-04-12T14:50:34Z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2024-04-12</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A model was developed to predict percent crude protein in hemp grain using near infrared spectroscopy.</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