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Percentage</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L.</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w:t>
      </w:r>
      <w:r>
        <w:t xml:space="preserve"> </w:t>
      </w:r>
      <w:r>
        <w:t xml:space="preserve">Moore</w:t>
      </w:r>
    </w:p>
    <w:p>
      <w:pPr>
        <w:pStyle w:val="Date"/>
      </w:pPr>
      <w:r>
        <w:t xml:space="preserve">2024-04-12</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draft incorporates changes from Ginny and Julie</w:t>
      </w:r>
    </w:p>
    <w:bookmarkStart w:id="20" w:name="introduction"/>
    <w:p>
      <w:pPr>
        <w:pStyle w:val="Heading2"/>
      </w:pPr>
      <w:r>
        <w:t xml:space="preserve">1 INTRODUCTION</w:t>
      </w:r>
    </w:p>
    <w:p>
      <w:pPr>
        <w:pStyle w:val="FirstParagraph"/>
      </w:pPr>
      <w:r>
        <w:t xml:space="preserve">Hemp (Cannabis sativa L.) is an annual crop with potential uses as a source of food or feed, derived from the grain, and fiber (bast or hurd), derived from the stalk. Hemp cultivars are commonly grown for one or both purposes and a cultivar may be called a grain, fiber, or dual-purpose type. Because of protein’s nutritional importance, the protein content of a grain crop is a prime consideration for researchers, producers, and consumers. Whole hemp grain typically contains approximately 20-30% protein</w:t>
      </w:r>
      <w:r>
        <w:t xml:space="preserve"> </w:t>
      </w:r>
      <w:r>
        <w:t xml:space="preserve">(Bárta et al., 2024; Callaway, 2004; Ely &amp; Fike, 2022)</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 It may be expressed as a percentage (%CP).</w:t>
      </w:r>
    </w:p>
    <w:p>
      <w:pPr>
        <w:pStyle w:val="BodyText"/>
      </w:pPr>
      <w:r>
        <w:t xml:space="preserve">Near-infrared spectroscopy (NIRS) technology is rapid, non-destructive, and inexpensive. It consists of the measurement of near-infrared radiation reflected and absorbed from a sample (the spectra) and the relation of the spectra to laboratory values, typically obtained using wet chemistry assays,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Partial least squares regression calculates components that maximize covariance between predictor and response variables. Partial least squares regression uses some number of components, often selected via cross-validation, to fit the regression model and is commonly used in spectroscopy because it tends to work well with highly correlated, noisy spectral data</w:t>
      </w:r>
      <w:r>
        <w:t xml:space="preserve"> </w:t>
      </w:r>
      <w:r>
        <w:t xml:space="preserve">(Wold et al., 2001)</w:t>
      </w:r>
      <w:r>
        <w:t xml:space="preserve">.</w:t>
      </w:r>
    </w:p>
    <w:p>
      <w:pPr>
        <w:pStyle w:val="BodyText"/>
      </w:pPr>
      <w:r>
        <w:t xml:space="preserve">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%CP hemp germplasm, enabling the screening of germplasm as seed, before planting to the field, and facilitating the efficient development of high %CP hemp populations.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All %CP values were expressed as percent dry matter. In total, 149 samples from 38 cultivars were represented in the data set. Cultivars were grain or dual-purpose types and included both commercially available and experimental material. Seventy-eight samples were scanned and assayed in 2017, 19 in 2018, 24 in 2019, and 28 in 2021. More information about hemp cultivars and locations is available in</w:t>
      </w:r>
      <w:r>
        <w:t xml:space="preserve"> </w:t>
      </w:r>
      <w:hyperlink w:anchor="tbl-hemp_provenance">
        <w:r>
          <w:rPr>
            <w:rStyle w:val="Hyperlink"/>
          </w:rPr>
          <w:t xml:space="preserve">Table 3</w:t>
        </w:r>
      </w:hyperlink>
      <w:r>
        <w:t xml:space="preserve">.</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cultivars and locations were represented in 2017, but only a selected subset of cultivar-location combinations were represented in 2018-2021 because not all cultivars were planted everywhere and only a portion of these cultivar-location combinations were sampled due to logistical constraints.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5"/>
    <w:bookmarkStart w:id="26" w:name="model-development"/>
    <w:p>
      <w:pPr>
        <w:pStyle w:val="Heading3"/>
      </w:pPr>
      <w:r>
        <w:t xml:space="preserve">2.5 Model Development</w:t>
      </w:r>
    </w:p>
    <w:p>
      <w:pPr>
        <w:pStyle w:val="FirstParagraph"/>
      </w:pPr>
      <w:r>
        <w:t xml:space="preserve">Training and testing sets were created by dividing the laboratory %CP values into tertiles according to their %CP to ensure that the range of %CP values was present in both calibration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5, 3) gap-segment derivative using the first derivative, a gap of 11, and a segment size of 5,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7 preprocessing methods as well as untransformed spectra,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researchers desired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values are summarized in</w:t>
      </w:r>
      <w:r>
        <w:t xml:space="preserve"> </w:t>
      </w:r>
      <w:hyperlink w:anchor="tbl-lab-protein-vals">
        <w:r>
          <w:rPr>
            <w:rStyle w:val="Hyperlink"/>
          </w:rPr>
          <w:t xml:space="preserve">Table 1</w:t>
        </w:r>
      </w:hyperlink>
      <w:r>
        <w:t xml:space="preserve">. These are similar to the range of %CP values observed in the literature, indicating an reasonable basis for a chemometric model. The %CP values were left-skewed (skewness of -0.29)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 as shown in</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 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 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In this study, the data were somewhat but not heavily skewed and RPD and RPIQ metrics agreed. The superiority of SNV-SG by these metrics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final models’ performances on the test sets were similar, but not identical to, those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w:t>
      </w:r>
      <w:r>
        <w:t xml:space="preserve"> </w:t>
      </w:r>
      <w:r>
        <w:t xml:space="preserve">“</w:t>
      </w:r>
      <w:r>
        <w:t xml:space="preserve">excellent</w:t>
      </w:r>
      <w:r>
        <w:t xml:space="preserve">”</w:t>
      </w:r>
      <w:r>
        <w:t xml:space="preserve"> </w:t>
      </w:r>
      <w:r>
        <w:t xml:space="preserve">for quantitative prediction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2.5 - 3.0, RPIQ range from 2.3 - 4.1). Forty-nine percent of the models had the ability to approximate quantitative prediction (RPD range from 2.0 - 2.5), and 9% of the models were able to distinguish between higher and lower %CP values (RPD range from 1.5 - 2.0). Therefore, 74% of the models had, at minimum, the ability to distinguish between high and low values with 65%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A linear model was fit considering the mean estimated error for each sample where that sample was in the test set as compared to the sample’s actual value. The models overestimated %CP by approximately 0.5 % in the lowest tertile and underestimated %CP by -0.01 % and -0.41 % in the middle and highest tertile, respectively. The variance of the errors did not increase appreciably as %CP increased.</w:t>
      </w:r>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9 were from Geneva, while 3 of the 15 best-predicted samples were from Geneva (by contrast, 7 of the best-predicted and 5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w:t>
      </w:r>
    </w:p>
    <w:bookmarkEnd w:id="49"/>
    <w:bookmarkStart w:id="50" w:name="conflict-of-interest"/>
    <w:p>
      <w:pPr>
        <w:pStyle w:val="Heading2"/>
      </w:pPr>
      <w:r>
        <w:t xml:space="preserve">5 CONFLICT OF INTEREST</w:t>
      </w:r>
    </w:p>
    <w:p>
      <w:pPr>
        <w:pStyle w:val="FirstParagraph"/>
      </w:pPr>
      <w:r>
        <w:t xml:space="preserve">The authors declare no conflict of interest.</w:t>
      </w:r>
    </w:p>
    <w:bookmarkEnd w:id="50"/>
    <w:bookmarkStart w:id="51" w:name="orcid"/>
    <w:p>
      <w:pPr>
        <w:pStyle w:val="Heading2"/>
      </w:pPr>
      <w:r>
        <w:t xml:space="preserve">6 ORCID</w:t>
      </w:r>
    </w:p>
    <w:bookmarkEnd w:id="51"/>
    <w:bookmarkStart w:id="53" w:name="supplemental-material"/>
    <w:p>
      <w:pPr>
        <w:pStyle w:val="Heading2"/>
      </w:pPr>
      <w:r>
        <w:t xml:space="preserve">7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2"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3"/>
    <w:bookmarkStart w:id="54" w:name="optional-sections"/>
    <w:p>
      <w:pPr>
        <w:pStyle w:val="Heading2"/>
      </w:pPr>
      <w:r>
        <w:t xml:space="preserve">8 OPTIONAL SECTIONS</w:t>
      </w:r>
    </w:p>
    <w:bookmarkEnd w:id="54"/>
    <w:bookmarkStart w:id="55" w:name="references"/>
    <w:p>
      <w:pPr>
        <w:pStyle w:val="Heading2"/>
      </w:pPr>
      <w:r>
        <w:t xml:space="preserve">9 REFERENCES</w:t>
      </w:r>
    </w:p>
    <w:bookmarkEnd w:id="55"/>
    <w:bookmarkStart w:id="114" w:name="figures-and-tables"/>
    <w:p>
      <w:pPr>
        <w:pStyle w:val="Heading2"/>
      </w:pPr>
      <w:r>
        <w:t xml:space="preserve">10 FIGURES AND TABLES</w:t>
      </w:r>
    </w:p>
    <w:bookmarkStart w:id="113" w:name="refs"/>
    <w:bookmarkStart w:id="57"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8">
        <w:r>
          <w:rPr>
            <w:rStyle w:val="Hyperlink"/>
          </w:rPr>
          <w:t xml:space="preserve">https://CRAN.R-project.org/package=data.table</w:t>
        </w:r>
      </w:hyperlink>
    </w:p>
    <w:bookmarkEnd w:id="59"/>
    <w:bookmarkStart w:id="61"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60">
        <w:r>
          <w:rPr>
            <w:rStyle w:val="Hyperlink"/>
          </w:rPr>
          <w:t xml:space="preserve">https://doi.org/10.3390/plants13010111</w:t>
        </w:r>
      </w:hyperlink>
    </w:p>
    <w:bookmarkEnd w:id="61"/>
    <w:bookmarkStart w:id="63"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62">
        <w:r>
          <w:rPr>
            <w:rStyle w:val="Hyperlink"/>
          </w:rPr>
          <w:t xml:space="preserve">https://doi.org/10.1016/j.trac.2010.05.006</w:t>
        </w:r>
      </w:hyperlink>
    </w:p>
    <w:bookmarkEnd w:id="63"/>
    <w:bookmarkStart w:id="65"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4">
        <w:r>
          <w:rPr>
            <w:rStyle w:val="Hyperlink"/>
          </w:rPr>
          <w:t xml:space="preserve">https://doi.org/10.1007/s10681-004-4811-6</w:t>
        </w:r>
      </w:hyperlink>
    </w:p>
    <w:bookmarkEnd w:id="65"/>
    <w:bookmarkStart w:id="6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8">
        <w:r>
          <w:rPr>
            <w:rStyle w:val="Hyperlink"/>
          </w:rPr>
          <w:t xml:space="preserve">https://doi.org/10.1007/978-981-16-8778-5_6</w:t>
        </w:r>
      </w:hyperlink>
    </w:p>
    <w:bookmarkEnd w:id="69"/>
    <w:bookmarkStart w:id="7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0">
        <w:r>
          <w:rPr>
            <w:rStyle w:val="Hyperlink"/>
          </w:rPr>
          <w:t xml:space="preserve">https://doi.org/10.1177/0967033519848296</w:t>
        </w:r>
      </w:hyperlink>
    </w:p>
    <w:bookmarkEnd w:id="71"/>
    <w:bookmarkStart w:id="7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72">
        <w:r>
          <w:rPr>
            <w:rStyle w:val="Hyperlink"/>
          </w:rPr>
          <w:t xml:space="preserve">https://doi.org/10.3390/plants11162146</w:t>
        </w:r>
      </w:hyperlink>
    </w:p>
    <w:bookmarkEnd w:id="73"/>
    <w:bookmarkStart w:id="7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4">
        <w:r>
          <w:rPr>
            <w:rStyle w:val="Hyperlink"/>
          </w:rPr>
          <w:t xml:space="preserve">https://doi.org/10.3389/fpls.2019.01509</w:t>
        </w:r>
      </w:hyperlink>
    </w:p>
    <w:bookmarkEnd w:id="75"/>
    <w:bookmarkStart w:id="7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6">
        <w:r>
          <w:rPr>
            <w:rStyle w:val="Hyperlink"/>
          </w:rPr>
          <w:t xml:space="preserve">https://doi.org/10.3390/foods9101340</w:t>
        </w:r>
      </w:hyperlink>
    </w:p>
    <w:bookmarkEnd w:id="77"/>
    <w:bookmarkStart w:id="79"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8">
        <w:r>
          <w:rPr>
            <w:rStyle w:val="Hyperlink"/>
          </w:rPr>
          <w:t xml:space="preserve">https://www.tidymodels.org</w:t>
        </w:r>
      </w:hyperlink>
    </w:p>
    <w:bookmarkEnd w:id="79"/>
    <w:bookmarkStart w:id="81"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80">
        <w:r>
          <w:rPr>
            <w:rStyle w:val="Hyperlink"/>
          </w:rPr>
          <w:t xml:space="preserve">https://doi.org/10.18637/jss.v028.i05</w:t>
        </w:r>
      </w:hyperlink>
    </w:p>
    <w:bookmarkEnd w:id="81"/>
    <w:bookmarkStart w:id="83"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p>
    <w:bookmarkEnd w:id="83"/>
    <w:bookmarkStart w:id="85"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4">
        <w:r>
          <w:rPr>
            <w:rStyle w:val="Hyperlink"/>
          </w:rPr>
          <w:t xml:space="preserve">https://doi.org/10.1016/j.vibspec.2020.103060</w:t>
        </w:r>
      </w:hyperlink>
    </w:p>
    <w:bookmarkEnd w:id="85"/>
    <w:bookmarkStart w:id="87"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p>
    <w:bookmarkEnd w:id="87"/>
    <w:bookmarkStart w:id="89"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88">
        <w:r>
          <w:rPr>
            <w:rStyle w:val="Hyperlink"/>
          </w:rPr>
          <w:t xml:space="preserve">https://doi.org/10.1139/cjss-2017-0109</w:t>
        </w:r>
      </w:hyperlink>
    </w:p>
    <w:bookmarkEnd w:id="89"/>
    <w:bookmarkStart w:id="91"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0">
        <w:r>
          <w:rPr>
            <w:rStyle w:val="Hyperlink"/>
          </w:rPr>
          <w:t xml:space="preserve">https://doi.org/10.1016/j.dsp.2004.09.008</w:t>
        </w:r>
      </w:hyperlink>
    </w:p>
    <w:bookmarkEnd w:id="91"/>
    <w:bookmarkStart w:id="93"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2">
        <w:r>
          <w:rPr>
            <w:rStyle w:val="Hyperlink"/>
          </w:rPr>
          <w:t xml:space="preserve">https://doi.org/10.1007/b98882</w:t>
        </w:r>
      </w:hyperlink>
    </w:p>
    <w:bookmarkEnd w:id="93"/>
    <w:bookmarkStart w:id="95"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4">
        <w:r>
          <w:rPr>
            <w:rStyle w:val="Hyperlink"/>
          </w:rPr>
          <w:t xml:space="preserve">https://CRAN.R-project.org/package=nlme</w:t>
        </w:r>
      </w:hyperlink>
    </w:p>
    <w:bookmarkEnd w:id="95"/>
    <w:bookmarkStart w:id="97"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6">
        <w:r>
          <w:rPr>
            <w:rStyle w:val="Hyperlink"/>
          </w:rPr>
          <w:t xml:space="preserve">https://www.R-project.org/</w:t>
        </w:r>
      </w:hyperlink>
    </w:p>
    <w:bookmarkEnd w:id="97"/>
    <w:bookmarkStart w:id="99"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98">
        <w:r>
          <w:rPr>
            <w:rStyle w:val="Hyperlink"/>
          </w:rPr>
          <w:t xml:space="preserve">https://doi.org/10.1007/s11119-023-10091-z</w:t>
        </w:r>
      </w:hyperlink>
    </w:p>
    <w:bookmarkEnd w:id="99"/>
    <w:bookmarkStart w:id="101"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0">
        <w:r>
          <w:rPr>
            <w:rStyle w:val="Hyperlink"/>
          </w:rPr>
          <w:t xml:space="preserve">https://doi.org/10.1080/00103624.2012.641844</w:t>
        </w:r>
      </w:hyperlink>
    </w:p>
    <w:bookmarkEnd w:id="101"/>
    <w:bookmarkStart w:id="103"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2">
        <w:r>
          <w:rPr>
            <w:rStyle w:val="Hyperlink"/>
          </w:rPr>
          <w:t xml:space="preserve">https://doi.org/10.1016/j.trac.2009.07.007</w:t>
        </w:r>
      </w:hyperlink>
    </w:p>
    <w:bookmarkEnd w:id="103"/>
    <w:bookmarkStart w:id="104"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4"/>
    <w:bookmarkStart w:id="105"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5"/>
    <w:bookmarkStart w:id="107"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6">
        <w:r>
          <w:rPr>
            <w:rStyle w:val="Hyperlink"/>
          </w:rPr>
          <w:t xml:space="preserve">https://CRAN.R-project.org/package=skimr</w:t>
        </w:r>
      </w:hyperlink>
    </w:p>
    <w:bookmarkEnd w:id="107"/>
    <w:bookmarkStart w:id="109"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8">
        <w:r>
          <w:rPr>
            <w:rStyle w:val="Hyperlink"/>
          </w:rPr>
          <w:t xml:space="preserve">https://doi.org/10.21105/joss.01686</w:t>
        </w:r>
      </w:hyperlink>
    </w:p>
    <w:bookmarkEnd w:id="109"/>
    <w:bookmarkStart w:id="110"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0"/>
    <w:bookmarkStart w:id="112"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1">
        <w:r>
          <w:rPr>
            <w:rStyle w:val="Hyperlink"/>
          </w:rPr>
          <w:t xml:space="preserve">https://doi.org/10.1016/S0169-7439(01)00155-1</w:t>
        </w:r>
      </w:hyperlink>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Percentage Crude Protein in Hemp Grain</dc:title>
  <dc:creator>Ryan V. Crawford; Jamie L. Crawford; Julie L. Hansen; Lawrence B. Smart; Virginia M. Moore</dc:creator>
  <cp:keywords>Hemp, Grain, Spectroscopy</cp:keywords>
  <dcterms:created xsi:type="dcterms:W3CDTF">2024-04-12T15:37:15Z</dcterms:created>
  <dcterms:modified xsi:type="dcterms:W3CDTF">2024-04-12T15:37:15Z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2024-04-12</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