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37.png" ContentType="image/png"/>
  <Override PartName="/word/media/rId32.png" ContentType="image/png"/>
  <Override PartName="/word/media/rId54.png" ContentType="image/png"/>
  <Override PartName="/word/media/rId42.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Jamie</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2024-03-31</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Cs/>
          <w:b/>
        </w:rPr>
        <w:t xml:space="preserve">incomplete: may contain errors, run-ons, half-thoughts, etc.</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Ely &amp; Fike, 2022;</w:t>
      </w:r>
      <w:r>
        <w:t xml:space="preserve"> </w:t>
      </w:r>
      <w:r>
        <w:rPr>
          <w:bCs/>
          <w:b/>
        </w:rPr>
        <w:t xml:space="preserve">callaway2004?</w:t>
      </w:r>
      <w:r>
        <w:t xml:space="preserve">)</w:t>
      </w:r>
      <w:r>
        <w:t xml:space="preserve">. Crude protein (CP) is often used as a proxy for the direct measurement of protein concentration and consists of the multiplication of nitrogen concentration by a conversion factor because measuring nitrogen concentration is relatively easy and cheap via laboratory assay</w:t>
      </w:r>
      <w:r>
        <w:t xml:space="preserve"> </w:t>
      </w:r>
      <w:r>
        <w:t xml:space="preserve">(Hayes, 2020)</w:t>
      </w:r>
      <w:r>
        <w:t xml:space="preserve">.</w:t>
      </w:r>
    </w:p>
    <w:p>
      <w:pPr>
        <w:pStyle w:val="BodyText"/>
      </w:pPr>
      <w:r>
        <w:t xml:space="preserve">Near-infrared spectroscopy (NIRS) technology is rapid, non-destructive, and cheap, and consists of the measurement of NIR radiation reflected from a sample</w:t>
      </w:r>
      <w:r>
        <w:t xml:space="preserve"> </w:t>
      </w:r>
      <w:r>
        <w:t xml:space="preserve">(Roberts et al., 2004)</w:t>
      </w:r>
      <w:r>
        <w:t xml:space="preserve">. NIR spectra from many samples are related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principal components (PCs) which relate to the dependent variable and summarize the spectra and uses a subset of PCs in order to fit the regression model. PLSR is commonly used in spectroscopy because it tends to work well with highly-correlated spectral data. Typically the number of principal components is chosen via cross-validation to avoid overfitting.</w:t>
      </w:r>
      <w:r>
        <w:t xml:space="preserve"> </w:t>
      </w:r>
      <w:r>
        <w:rPr>
          <w:bCs/>
          <w:b/>
        </w:rPr>
        <w:t xml:space="preserve">CITES FOR ALL OF THIS</w:t>
      </w:r>
    </w:p>
    <w:p>
      <w:pPr>
        <w:pStyle w:val="BodyText"/>
      </w:pPr>
      <w:r>
        <w:t xml:space="preserve">A NIRS-scanned sample of undamaged grain may used for other purposes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more rapidly identify high CP hemp germplasm, enabling the delivery of higher CP hemp grain cultivars faster.</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(NA samples). Grain samples were obtained by hand sampling or mechanical harvest and were cleaned of chaff and dried at 30 C for six days in a forced-air dryer. In total,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Calibration and validations sets were created by dividing the laboratory CP values into tertiles according to their percent CP in order to ensure that the range of CP values was present in both calibration and validation sets. Within each tertile, 75% of the samples were randomly assigned to the calibration set and the remaining 25% were assigned to the validation set. For each calibration set, models were developed in caret using PLSR. In fitting the model, the number of principal components was optimized over au grid search from 1-20. Model performance was evaluated with 25 iterations of bootstrapping and minimized root mean squared error (RMSE) in selecting the number of principal components in the final model .</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calibration and validation sets as described above. Spectral data from those data sets were transformed by each of the following methods: 1) first derivative, 2) Savitzky-Golay (SG) using the first derivative, third order polynomial, and a window of size 5, 3) gap-segment derivative using the first derivative, a gap of eleven, and a segment size of 5, 4) standard normal variate (SNV), 4) standard normal variate following Savitzky-Golay (SNV-SG) (same SG parameters as above), 5) SNV-detrend with second order polynomial, and 6) multiplicative scatter correction.</w:t>
      </w:r>
    </w:p>
    <w:p>
      <w:pPr>
        <w:pStyle w:val="BodyText"/>
      </w:pPr>
      <w:r>
        <w:t xml:space="preserve">For each of these preprocessing methods, models were fit and predictions were made on the corresponding validation set (since there were 8 preprocessing methods, 8 separate models were fit for each of the 100 sets. The relationship between the predicted and actual values of the validation set were calculated via RMSE, R</w:t>
      </w:r>
      <w:r>
        <w:rPr>
          <w:vertAlign w:val="superscript"/>
        </w:rPr>
        <w:t xml:space="preserve">2</w:t>
      </w:r>
      <w:r>
        <w:t xml:space="preserve"> </w:t>
      </w:r>
      <w:r>
        <w:t xml:space="preserve">and Ratio of Performance to InterQuartile distance (RPIQ), three common model assessment metrics. Larger R</w:t>
      </w:r>
      <w:r>
        <w:rPr>
          <w:vertAlign w:val="superscript"/>
        </w:rPr>
        <w:t xml:space="preserve">2</w:t>
      </w:r>
      <w:r>
        <w:t xml:space="preserve"> </w:t>
      </w:r>
      <w:r>
        <w:t xml:space="preserve">and RPIQ, and smaller RMSE values are superior. Analyses of variance (ANOVA) were performed for each of these metrics in order to compare the preprocessing methods. For each ANOVA, each data set was considered as a subject and allowing different variances for each preprocessing method.</w:t>
      </w:r>
    </w:p>
    <w:p>
      <w:pPr>
        <w:pStyle w:val="BodyText"/>
      </w:pPr>
      <w:r>
        <w:t xml:space="preserve">Once the most promising preprocessing method was identified, 1000 more data sets were created and analyzed via that method and performance on the validation sets was summarized with RMSE, R</w:t>
      </w:r>
      <w:r>
        <w:rPr>
          <w:vertAlign w:val="superscript"/>
        </w:rPr>
        <w:t xml:space="preserve">2</w:t>
      </w:r>
      <w:r>
        <w:t xml:space="preserve">, and RPIQ.</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t xml:space="preserve">Laboratory assay percent CP values are summarized in the following table. These are similar to the range of CP values observed in the literature, indicating an reasonable basis for a chemometric model. The CP values are left-skewed and two thirds of the samples contained more than 25% CP.</w:t>
      </w:r>
    </w:p>
    <w:tbl>
      <w:tblPr>
        <w:tblStyle w:val="Table"/>
        <w:tblW w:type="pct" w:w="5000"/>
        <w:tblLook w:firstRow="0" w:lastRow="0" w:firstColumn="0" w:lastColumn="0" w:noHBand="0" w:noVBand="0" w:val="0000"/>
        <w:jc w:val="start"/>
        <w:tblLayout w:type="fixed"/>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raw spectral data</w:t>
      </w:r>
      <w:r>
        <w:t xml:space="preserve"> </w:t>
      </w:r>
      <w:hyperlink w:anchor="tbl-preproc">
        <w:r>
          <w:rPr>
            <w:rStyle w:val="Hyperlink"/>
          </w:rPr>
          <w:t xml:space="preserve">Table 2</w:t>
        </w:r>
      </w:hyperlink>
      <w:r>
        <w:t xml:space="preserve">. Averaged together, all preprocessed spectra were superior to raw spectra, with lower RMSE, and higher R</w:t>
      </w:r>
      <w:r>
        <w:rPr>
          <w:vertAlign w:val="superscript"/>
        </w:rPr>
        <w:t xml:space="preserve">2</w:t>
      </w:r>
      <w:r>
        <w:t xml:space="preserve"> </w:t>
      </w:r>
      <w:r>
        <w:t xml:space="preserve">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w:t>
      </w:r>
      <w:r>
        <w:t xml:space="preserve">7.4% higher RPIQ than unprocessed spectra.</w:t>
      </w:r>
    </w:p>
    <w:p>
      <w:pPr>
        <w:pStyle w:val="BodyText"/>
      </w:pPr>
      <w:r>
        <w:t xml:space="preserve">The SNV-SG method had the lowest RMSE, highest R</w:t>
      </w:r>
      <w:r>
        <w:rPr>
          <w:vertAlign w:val="superscript"/>
        </w:rPr>
        <w:t xml:space="preserve">2</w:t>
      </w:r>
      <w:r>
        <w:t xml:space="preserve">, and highest RPIQ averaging over all iterations. SNV-SG RMSE averaged 1.4% lower, while R</w:t>
      </w:r>
      <w:r>
        <w:rPr>
          <w:vertAlign w:val="superscript"/>
        </w:rPr>
        <w:t xml:space="preserve">2</w:t>
      </w:r>
      <w:r>
        <w:t xml:space="preserve"> </w:t>
      </w:r>
      <w:r>
        <w:t xml:space="preserve">and RPIQ averaged 0.4% and 2.4% higher respectively than the next best preprocessing method (SG in both cases), but the difference between the best and second best method by metric were only statistically significant at</w:t>
      </w:r>
      <w:r>
        <w:t xml:space="preserve"> </w:t>
      </w:r>
      <m:oMath>
        <m:r>
          <m:t>α</m:t>
        </m:r>
      </m:oMath>
      <w:r>
        <w:t xml:space="preserve"> </w:t>
      </w:r>
      <w:r>
        <w:t xml:space="preserve">&lt;0.05 for RPIQ. RPIQ was devised to accurately reflect the spread of data in skewed populations</w:t>
      </w:r>
      <w:r>
        <w:t xml:space="preserve"> </w:t>
      </w:r>
      <w:r>
        <w:t xml:space="preserve">(</w:t>
      </w:r>
      <w:r>
        <w:rPr>
          <w:bCs/>
          <w:b/>
        </w:rPr>
        <w:t xml:space="preserve">bellon-maurel2010?</w:t>
      </w:r>
      <w:r>
        <w:t xml:space="preserve">)</w:t>
      </w:r>
      <w:r>
        <w:t xml:space="preserve"> </w:t>
      </w:r>
      <w:r>
        <w:t xml:space="preserve">and thus offers a robust metric for model assessment in this context, where the CP data are skewed. Therefore the superiority of SNV-SG as measured via RPIQ made it the best choice for the final model.</w:t>
      </w:r>
    </w:p>
    <w:tbl>
      <w:tblPr>
        <w:tblStyle w:val="Table"/>
        <w:tblW w:type="pct" w:w="5000"/>
        <w:tblLook w:firstRow="0" w:lastRow="0" w:firstColumn="0" w:lastColumn="0" w:noHBand="0" w:noVBand="0" w:val="0000"/>
        <w:jc w:val="start"/>
        <w:tblLayout w:type="fixed"/>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tblLook w:firstRow="1" w:lastRow="0" w:firstColumn="0" w:lastColumn="0" w:noHBand="0" w:noVBand="0" w:val="0020"/>
              <w:jc w:val="start"/>
              <w:tblLayout w:type="fixed"/>
            </w:tblPr>
            <w:tblGrid>
              <w:gridCol w:w="4410"/>
              <w:gridCol w:w="1170"/>
              <w:gridCol w:w="1170"/>
              <w:gridCol w:w="1170"/>
            </w:tblGrid>
            <w:tr>
              <w:trPr>
                <w:tblHeader w:val="true"/>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3.47 ± 0.080</w:t>
                  </w:r>
                </w:p>
              </w:tc>
            </w:tr>
            <w:tr>
              <w:tc>
                <w:tcPr/>
                <w:p>
                  <w:pPr>
                    <w:pStyle w:val="Compact"/>
                    <w:jc w:val="left"/>
                    <w:jc w:val="center"/>
                  </w:pPr>
                  <w:r>
                    <w:t xml:space="preserve">Raw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SNV and SNV-detrend correct light scatter. SG is a smoothing filter that regresses on the signal over a series of windows. Derivatives remove noise, but not necessarily light scattering.</w:t>
      </w:r>
      <w:r>
        <w:t xml:space="preserve"> </w:t>
      </w:r>
      <w:r>
        <w:rPr>
          <w:bCs/>
          <w:b/>
        </w:rPr>
        <w:t xml:space="preserve">cite</w:t>
      </w:r>
    </w:p>
    <w:p>
      <w:pPr>
        <w:pStyle w:val="BodyText"/>
      </w:pPr>
      <w:r>
        <w:rPr>
          <w:bCs/>
          <w:b/>
        </w:rPr>
        <w:t xml:space="preserve">cite:</w:t>
      </w:r>
      <w:r>
        <w:t xml:space="preserve"> </w:t>
      </w:r>
      <w:r>
        <w:t xml:space="preserve">Barnes RJ, Dhanoa MS, Lister SJ. 1989. Standard normal variate transformation and de-trending of near-infrared diffuse reflectance spectra. Applied spectroscopy, 43(5): 772-777.</w:t>
      </w:r>
    </w:p>
    <w:p>
      <w:pPr>
        <w:pStyle w:val="BodyText"/>
      </w:pPr>
      <w:r>
        <w:t xml:space="preserve">The preprocessing methods examined represent a portion of those available. As well, preprocessing methods tend to have a number of user-adjustable parameters whose various permutations were not tested. This subset of preprocessing methods and parameters nonetheless contained substantial variations in model quality, demonstrating the importance of the selection of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principal components increased from 1 to 7, with the inclusion of each additional PC being associated with a decrease in RMSE of 5-12% . From 8 to 12 PCs, model performance continued to improve, although gains were more modest (decrease in RMSE of 0.7-3%). With 13 or more PCs,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tblLook w:firstRow="0" w:lastRow="0" w:firstColumn="0" w:lastColumn="0" w:noHBand="0" w:noVBand="0" w:val="0000"/>
        <w:jc w:val="start"/>
        <w:tblLayout w:type="fixed"/>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 model performance was similar, but not identical to, that obtained during the initial comparison of preprocessing methods. The final models’ mean RMSE was 1.03, R</w:t>
      </w:r>
      <w:r>
        <w:rPr>
          <w:vertAlign w:val="superscript"/>
        </w:rPr>
        <w:t xml:space="preserve">2</w:t>
      </w:r>
      <w:r>
        <w:t xml:space="preserve"> </w:t>
      </w:r>
      <w:r>
        <w:t xml:space="preserve">was 0.83, and RPIQ was 3.89 (all calculated on the test sets).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r>
        <w:t xml:space="preserve"> </w:t>
      </w:r>
      <w:r>
        <w:rPr>
          <w:bCs/>
          <w:b/>
        </w:rPr>
        <w:t xml:space="preserve">more comment on poor models?</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tblLook w:firstRow="0" w:lastRow="0" w:firstColumn="0" w:lastColumn="0" w:noHBand="0" w:noVBand="0" w:val="0000"/>
        <w:jc w:val="start"/>
        <w:tblLayout w:type="fixed"/>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validation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SourceCode"/>
      </w:pPr>
      <w:r>
        <w:br/>
      </w:r>
      <w:r>
        <w:rPr>
          <w:rStyle w:val="VerbatimChar"/>
        </w:rPr>
        <w:t xml:space="preserve">Call:</w:t>
      </w:r>
      <w:r>
        <w:br/>
      </w:r>
      <w:r>
        <w:rPr>
          <w:rStyle w:val="VerbatimChar"/>
        </w:rPr>
        <w:t xml:space="preserve">lm(formula = difference ~ adj_cp, data = temp_dat)</w:t>
      </w:r>
      <w:r>
        <w:br/>
      </w:r>
      <w:r>
        <w:br/>
      </w:r>
      <w:r>
        <w:rPr>
          <w:rStyle w:val="VerbatimChar"/>
        </w:rPr>
        <w:t xml:space="preserve">Residuals:</w:t>
      </w:r>
      <w:r>
        <w:br/>
      </w:r>
      <w:r>
        <w:rPr>
          <w:rStyle w:val="VerbatimChar"/>
        </w:rPr>
        <w:t xml:space="preserve">     Min       1Q   Median       3Q      Max </w:t>
      </w:r>
      <w:r>
        <w:br/>
      </w:r>
      <w:r>
        <w:rPr>
          <w:rStyle w:val="VerbatimChar"/>
        </w:rPr>
        <w:t xml:space="preserve">-2.51794 -0.58132  0.06936  0.50754  2.74745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0.80412    0.17827   4.511 1.31e-05 ***</w:t>
      </w:r>
      <w:r>
        <w:br/>
      </w:r>
      <w:r>
        <w:rPr>
          <w:rStyle w:val="VerbatimChar"/>
        </w:rPr>
        <w:t xml:space="preserve">adj_cp      -0.15334    0.03051  -5.026 1.44e-06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0.9138 on 147 degrees of freedom</w:t>
      </w:r>
      <w:r>
        <w:br/>
      </w:r>
      <w:r>
        <w:rPr>
          <w:rStyle w:val="VerbatimChar"/>
        </w:rPr>
        <w:t xml:space="preserve">Multiple R-squared:  0.1466,    Adjusted R-squared:  0.1408 </w:t>
      </w:r>
      <w:r>
        <w:br/>
      </w:r>
      <w:r>
        <w:rPr>
          <w:rStyle w:val="VerbatimChar"/>
        </w:rPr>
        <w:t xml:space="preserve">F-statistic: 25.26 on 1 and 147 DF,  p-value: 1.438e-06</w:t>
      </w:r>
    </w:p>
    <w:p>
      <w:pPr>
        <w:pStyle w:val="SourceCode"/>
      </w:pPr>
      <w:r>
        <w:rPr>
          <w:rStyle w:val="VerbatimChar"/>
        </w:rPr>
        <w:t xml:space="preserve">     ith_in_data_set      preds crude_protein   cutpoints plot_order</w:t>
      </w:r>
      <w:r>
        <w:br/>
      </w:r>
      <w:r>
        <w:rPr>
          <w:rStyle w:val="VerbatimChar"/>
        </w:rPr>
        <w:t xml:space="preserve">               &lt;int&gt;      &lt;num&gt;         &lt;num&gt;      &lt;fctr&gt;      &lt;int&gt;</w:t>
      </w:r>
      <w:r>
        <w:br/>
      </w:r>
      <w:r>
        <w:rPr>
          <w:rStyle w:val="VerbatimChar"/>
        </w:rPr>
        <w:t xml:space="preserve">  1:              50  0.8041160          20.8 (20.8,24.1]          1</w:t>
      </w:r>
      <w:r>
        <w:br/>
      </w:r>
      <w:r>
        <w:rPr>
          <w:rStyle w:val="VerbatimChar"/>
        </w:rPr>
        <w:t xml:space="preserve">  2:              42  0.7274479          21.3 (20.8,24.1]          2</w:t>
      </w:r>
      <w:r>
        <w:br/>
      </w:r>
      <w:r>
        <w:rPr>
          <w:rStyle w:val="VerbatimChar"/>
        </w:rPr>
        <w:t xml:space="preserve">  3:              52  0.6967806          21.5 (20.8,24.1]          3</w:t>
      </w:r>
      <w:r>
        <w:br/>
      </w:r>
      <w:r>
        <w:rPr>
          <w:rStyle w:val="VerbatimChar"/>
        </w:rPr>
        <w:t xml:space="preserve">  4:              83  0.6814470          21.6 (20.8,24.1]          4</w:t>
      </w:r>
      <w:r>
        <w:br/>
      </w:r>
      <w:r>
        <w:rPr>
          <w:rStyle w:val="VerbatimChar"/>
        </w:rPr>
        <w:t xml:space="preserve">  5:              85  0.6814470          21.6 (20.8,24.1]          5</w:t>
      </w:r>
      <w:r>
        <w:br/>
      </w:r>
      <w:r>
        <w:rPr>
          <w:rStyle w:val="VerbatimChar"/>
        </w:rPr>
        <w:t xml:space="preserve"> ---                                                                </w:t>
      </w:r>
      <w:r>
        <w:br/>
      </w:r>
      <w:r>
        <w:rPr>
          <w:rStyle w:val="VerbatimChar"/>
        </w:rPr>
        <w:t xml:space="preserve">145:              12 -0.6219116          30.1 (27.5,30.8]        145</w:t>
      </w:r>
      <w:r>
        <w:br/>
      </w:r>
      <w:r>
        <w:rPr>
          <w:rStyle w:val="VerbatimChar"/>
        </w:rPr>
        <w:t xml:space="preserve">146:              55 -0.6219116          30.1 (27.5,30.8]        146</w:t>
      </w:r>
      <w:r>
        <w:br/>
      </w:r>
      <w:r>
        <w:rPr>
          <w:rStyle w:val="VerbatimChar"/>
        </w:rPr>
        <w:t xml:space="preserve">147:             117 -0.6372452          30.2 (27.5,30.8]        147</w:t>
      </w:r>
      <w:r>
        <w:br/>
      </w:r>
      <w:r>
        <w:rPr>
          <w:rStyle w:val="VerbatimChar"/>
        </w:rPr>
        <w:t xml:space="preserve">148:              63 -0.6679125          30.4 (27.5,30.8]        148</w:t>
      </w:r>
      <w:r>
        <w:br/>
      </w:r>
      <w:r>
        <w:rPr>
          <w:rStyle w:val="VerbatimChar"/>
        </w:rPr>
        <w:t xml:space="preserve">149:             112 -0.7292470          30.8 (27.5,30.8]        149</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errors was examined on a per-sample basis.</w:t>
      </w:r>
      <w:r>
        <w:t xml:space="preserve"> </w:t>
      </w:r>
      <w:hyperlink w:anchor="fig-validation_set_performance">
        <w:r>
          <w:rPr>
            <w:rStyle w:val="Hyperlink"/>
          </w:rPr>
          <w:t xml:space="preserve">Figure 3</w:t>
        </w:r>
      </w:hyperlink>
    </w:p>
    <w:bookmarkStart w:id="46" w:name="cell-fig-validation_set_performance"/>
    <w:tbl>
      <w:tblPr>
        <w:tblStyle w:val="Table"/>
        <w:tblW w:type="pct" w:w="5000"/>
        <w:tblLook w:firstRow="0" w:lastRow="0" w:firstColumn="0" w:lastColumn="0" w:noHBand="0" w:noVBand="0" w:val="0000"/>
        <w:jc w:val="start"/>
        <w:tblLayout w:type="fixed"/>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t xml:space="preserve">Errors tend to be lower at higher levels of actual CP</w:t>
      </w:r>
    </w:p>
    <w:p>
      <w:pPr>
        <w:pStyle w:val="SourceCode"/>
      </w:pPr>
      <w:r>
        <w:rPr>
          <w:rStyle w:val="VerbatimChar"/>
        </w:rPr>
        <w:t xml:space="preserve">Key: &lt;loc&gt;</w:t>
      </w:r>
      <w:r>
        <w:br/>
      </w:r>
      <w:r>
        <w:rPr>
          <w:rStyle w:val="VerbatimChar"/>
        </w:rPr>
        <w:t xml:space="preserve">          loc ith_in_data_set crude_protein   difference tmp_ith adj_cp</w:t>
      </w:r>
      <w:r>
        <w:br/>
      </w:r>
      <w:r>
        <w:rPr>
          <w:rStyle w:val="VerbatimChar"/>
        </w:rPr>
        <w:t xml:space="preserve">       &lt;char&gt;           &lt;int&gt;         &lt;num&gt;        &lt;num&gt;   &lt;int&gt;  &lt;num&gt;</w:t>
      </w:r>
      <w:r>
        <w:br/>
      </w:r>
      <w:r>
        <w:rPr>
          <w:rStyle w:val="VerbatimChar"/>
        </w:rPr>
        <w:t xml:space="preserve"> 1:     cnoll               4          27.1 -1.826000348      90    6.3</w:t>
      </w:r>
      <w:r>
        <w:br/>
      </w:r>
      <w:r>
        <w:rPr>
          <w:rStyle w:val="VerbatimChar"/>
        </w:rPr>
        <w:t xml:space="preserve"> 2:      free              91          23.1 -1.608410140      24    2.3</w:t>
      </w:r>
      <w:r>
        <w:br/>
      </w:r>
      <w:r>
        <w:rPr>
          <w:rStyle w:val="VerbatimChar"/>
        </w:rPr>
        <w:t xml:space="preserve"> 3:      free             100          27.5  0.008386084     100    6.7</w:t>
      </w:r>
      <w:r>
        <w:br/>
      </w:r>
      <w:r>
        <w:rPr>
          <w:rStyle w:val="VerbatimChar"/>
        </w:rPr>
        <w:t xml:space="preserve"> 4:      free             103          26.0 -0.095290561      64    5.2</w:t>
      </w:r>
      <w:r>
        <w:br/>
      </w:r>
      <w:r>
        <w:rPr>
          <w:rStyle w:val="VerbatimChar"/>
        </w:rPr>
        <w:t xml:space="preserve"> 5:     freev              66          28.3  0.156805468     117    7.5</w:t>
      </w:r>
      <w:r>
        <w:br/>
      </w:r>
      <w:r>
        <w:rPr>
          <w:rStyle w:val="VerbatimChar"/>
        </w:rPr>
        <w:t xml:space="preserve"> 6:     freev              69          28.7  0.115415937     128    7.9</w:t>
      </w:r>
      <w:r>
        <w:br/>
      </w:r>
      <w:r>
        <w:rPr>
          <w:rStyle w:val="VerbatimChar"/>
        </w:rPr>
        <w:t xml:space="preserve"> 7:     freev              70          27.3  0.123941888      93    6.5</w:t>
      </w:r>
      <w:r>
        <w:br/>
      </w:r>
      <w:r>
        <w:rPr>
          <w:rStyle w:val="VerbatimChar"/>
        </w:rPr>
        <w:t xml:space="preserve"> 8:    ithaca             123          25.9  0.137420230      60    5.1</w:t>
      </w:r>
      <w:r>
        <w:br/>
      </w:r>
      <w:r>
        <w:rPr>
          <w:rStyle w:val="VerbatimChar"/>
        </w:rPr>
        <w:t xml:space="preserve"> 9:    ithaca             124          23.2  2.325322409      27    2.4</w:t>
      </w:r>
      <w:r>
        <w:br/>
      </w:r>
      <w:r>
        <w:rPr>
          <w:rStyle w:val="VerbatimChar"/>
        </w:rPr>
        <w:t xml:space="preserve">10:    ithaca             125          23.2  2.582685059      25    2.4</w:t>
      </w:r>
      <w:r>
        <w:br/>
      </w:r>
      <w:r>
        <w:rPr>
          <w:rStyle w:val="VerbatimChar"/>
        </w:rPr>
        <w:t xml:space="preserve">11:    ithaca             140          23.5  1.597167816      30    2.7</w:t>
      </w:r>
      <w:r>
        <w:br/>
      </w:r>
      <w:r>
        <w:rPr>
          <w:rStyle w:val="VerbatimChar"/>
        </w:rPr>
        <w:t xml:space="preserve">12:    ithaca             146          28.0 -1.965391942     110    7.2</w:t>
      </w:r>
      <w:r>
        <w:br/>
      </w:r>
      <w:r>
        <w:rPr>
          <w:rStyle w:val="VerbatimChar"/>
        </w:rPr>
        <w:t xml:space="preserve">13:    ithaca             148          26.4  0.145123025      76    5.6</w:t>
      </w:r>
      <w:r>
        <w:br/>
      </w:r>
      <w:r>
        <w:rPr>
          <w:rStyle w:val="VerbatimChar"/>
        </w:rPr>
        <w:t xml:space="preserve">14:       mcg              92          22.7 -0.110406545      20    1.9</w:t>
      </w:r>
      <w:r>
        <w:br/>
      </w:r>
      <w:r>
        <w:rPr>
          <w:rStyle w:val="VerbatimChar"/>
        </w:rPr>
        <w:t xml:space="preserve">15:       mcg              94          28.1 -0.067559276     111    7.3</w:t>
      </w:r>
      <w:r>
        <w:br/>
      </w:r>
      <w:r>
        <w:rPr>
          <w:rStyle w:val="VerbatimChar"/>
        </w:rPr>
        <w:t xml:space="preserve">16:       mcg             121          28.3 -2.434565554     115    7.5</w:t>
      </w:r>
      <w:r>
        <w:br/>
      </w:r>
      <w:r>
        <w:rPr>
          <w:rStyle w:val="VerbatimChar"/>
        </w:rPr>
        <w:t xml:space="preserve">17:      mg4e              28          25.4  0.034158139      53    4.6</w:t>
      </w:r>
      <w:r>
        <w:br/>
      </w:r>
      <w:r>
        <w:rPr>
          <w:rStyle w:val="VerbatimChar"/>
        </w:rPr>
        <w:t xml:space="preserve">18:      mg4e              39          26.1 -0.016921027      66    5.3</w:t>
      </w:r>
      <w:r>
        <w:br/>
      </w:r>
      <w:r>
        <w:rPr>
          <w:rStyle w:val="VerbatimChar"/>
        </w:rPr>
        <w:t xml:space="preserve">19:      mg4l              41          26.4  0.118021909      74    5.6</w:t>
      </w:r>
      <w:r>
        <w:br/>
      </w:r>
      <w:r>
        <w:rPr>
          <w:rStyle w:val="VerbatimChar"/>
        </w:rPr>
        <w:t xml:space="preserve">20: rn041_gen             108          27.0  2.600884960      86    6.2</w:t>
      </w:r>
      <w:r>
        <w:br/>
      </w:r>
      <w:r>
        <w:rPr>
          <w:rStyle w:val="VerbatimChar"/>
        </w:rPr>
        <w:t xml:space="preserve">21: rn041_gen             109          23.7 -1.980462540      33    2.9</w:t>
      </w:r>
      <w:r>
        <w:br/>
      </w:r>
      <w:r>
        <w:rPr>
          <w:rStyle w:val="VerbatimChar"/>
        </w:rPr>
        <w:t xml:space="preserve">22: rn041_gen             110          29.0 -2.495337360     135    8.2</w:t>
      </w:r>
      <w:r>
        <w:br/>
      </w:r>
      <w:r>
        <w:rPr>
          <w:rStyle w:val="VerbatimChar"/>
        </w:rPr>
        <w:t xml:space="preserve">23: rn041_gen             111          29.6 -1.777305991     140    8.8</w:t>
      </w:r>
      <w:r>
        <w:br/>
      </w:r>
      <w:r>
        <w:rPr>
          <w:rStyle w:val="VerbatimChar"/>
        </w:rPr>
        <w:t xml:space="preserve">24: rn041_gen             113          29.5  0.011781362     139    8.7</w:t>
      </w:r>
      <w:r>
        <w:br/>
      </w:r>
      <w:r>
        <w:rPr>
          <w:rStyle w:val="VerbatimChar"/>
        </w:rPr>
        <w:t xml:space="preserve">25: rn041_gen             114          27.7  2.115039075     107    6.9</w:t>
      </w:r>
      <w:r>
        <w:br/>
      </w:r>
      <w:r>
        <w:rPr>
          <w:rStyle w:val="VerbatimChar"/>
        </w:rPr>
        <w:t xml:space="preserve">26:     rnooa              14          29.1 -0.003578789     137    8.3</w:t>
      </w:r>
      <w:r>
        <w:br/>
      </w:r>
      <w:r>
        <w:rPr>
          <w:rStyle w:val="VerbatimChar"/>
        </w:rPr>
        <w:t xml:space="preserve">27:     rnooa              18          23.1  2.020690041      22    2.3</w:t>
      </w:r>
      <w:r>
        <w:br/>
      </w:r>
      <w:r>
        <w:rPr>
          <w:rStyle w:val="VerbatimChar"/>
        </w:rPr>
        <w:t xml:space="preserve">28:     rnooa              19          25.3 -0.110141285      52    4.5</w:t>
      </w:r>
      <w:r>
        <w:br/>
      </w:r>
      <w:r>
        <w:rPr>
          <w:rStyle w:val="VerbatimChar"/>
        </w:rPr>
        <w:t xml:space="preserve">29:     rnooa              25          26.6 -2.603177621      78    5.8</w:t>
      </w:r>
      <w:r>
        <w:br/>
      </w:r>
      <w:r>
        <w:rPr>
          <w:rStyle w:val="VerbatimChar"/>
        </w:rPr>
        <w:t xml:space="preserve">30:     rnooa              26          28.3 -2.034162792     114    7.5</w:t>
      </w:r>
      <w:r>
        <w:br/>
      </w:r>
      <w:r>
        <w:rPr>
          <w:rStyle w:val="VerbatimChar"/>
        </w:rPr>
        <w:t xml:space="preserve">          loc ith_in_data_set crude_protein   difference tmp_ith adj_cp</w:t>
      </w:r>
      <w:r>
        <w:br/>
      </w:r>
      <w:r>
        <w:rPr>
          <w:rStyle w:val="VerbatimChar"/>
        </w:rPr>
        <w:t xml:space="preserve">                  grouping temp_id harv_year         cultivar         type</w:t>
      </w:r>
      <w:r>
        <w:br/>
      </w:r>
      <w:r>
        <w:rPr>
          <w:rStyle w:val="VerbatimChar"/>
        </w:rPr>
        <w:t xml:space="preserve">                    &lt;char&gt;   &lt;int&gt;     &lt;int&gt;           &lt;char&gt;       &lt;char&gt;</w:t>
      </w:r>
      <w:r>
        <w:br/>
      </w:r>
      <w:r>
        <w:rPr>
          <w:rStyle w:val="VerbatimChar"/>
        </w:rPr>
        <w:t xml:space="preserve"> 1: worst_predicted_10_pct      32      2017            cfx-1             </w:t>
      </w:r>
      <w:r>
        <w:br/>
      </w:r>
      <w:r>
        <w:rPr>
          <w:rStyle w:val="VerbatimChar"/>
        </w:rPr>
        <w:t xml:space="preserve"> 2: worst_predicted_10_pct     111      2018           grandi        grain</w:t>
      </w:r>
      <w:r>
        <w:br/>
      </w:r>
      <w:r>
        <w:rPr>
          <w:rStyle w:val="VerbatimChar"/>
        </w:rPr>
        <w:t xml:space="preserve"> 3:   best_predicted_10pct     128      2019            canda        grain</w:t>
      </w:r>
      <w:r>
        <w:br/>
      </w:r>
      <w:r>
        <w:rPr>
          <w:rStyle w:val="VerbatimChar"/>
        </w:rPr>
        <w:t xml:space="preserve"> 4:   best_predicted_10pct     131      2019        nwg-elite         dual</w:t>
      </w:r>
      <w:r>
        <w:br/>
      </w:r>
      <w:r>
        <w:rPr>
          <w:rStyle w:val="VerbatimChar"/>
        </w:rPr>
        <w:t xml:space="preserve"> 5:   best_predicted_10pct      94      2017           picolo             </w:t>
      </w:r>
      <w:r>
        <w:br/>
      </w:r>
      <w:r>
        <w:rPr>
          <w:rStyle w:val="VerbatimChar"/>
        </w:rPr>
        <w:t xml:space="preserve"> 6:   best_predicted_10pct      97      2017        futura 75             </w:t>
      </w:r>
      <w:r>
        <w:br/>
      </w:r>
      <w:r>
        <w:rPr>
          <w:rStyle w:val="VerbatimChar"/>
        </w:rPr>
        <w:t xml:space="preserve"> 7:   best_predicted_10pct      98      2017            cfx-1             </w:t>
      </w:r>
      <w:r>
        <w:br/>
      </w:r>
      <w:r>
        <w:rPr>
          <w:rStyle w:val="VerbatimChar"/>
        </w:rPr>
        <w:t xml:space="preserve"> 8:   best_predicted_10pct     155      2020         nwg-2730   multistate</w:t>
      </w:r>
      <w:r>
        <w:br/>
      </w:r>
      <w:r>
        <w:rPr>
          <w:rStyle w:val="VerbatimChar"/>
        </w:rPr>
        <w:t xml:space="preserve"> 9: worst_predicted_10_pct     152      2020        futura 75 dual_replant</w:t>
      </w:r>
      <w:r>
        <w:br/>
      </w:r>
      <w:r>
        <w:rPr>
          <w:rStyle w:val="VerbatimChar"/>
        </w:rPr>
        <w:t xml:space="preserve">10: worst_predicted_10_pct     156      2020    bialobrzeskie   multistate</w:t>
      </w:r>
      <w:r>
        <w:br/>
      </w:r>
      <w:r>
        <w:rPr>
          <w:rStyle w:val="VerbatimChar"/>
        </w:rPr>
        <w:t xml:space="preserve">11: worst_predicted_10_pct       9      2021         logan c2         exp.</w:t>
      </w:r>
      <w:r>
        <w:br/>
      </w:r>
      <w:r>
        <w:rPr>
          <w:rStyle w:val="VerbatimChar"/>
        </w:rPr>
        <w:t xml:space="preserve">12: worst_predicted_10_pct       5      2021            crs-1   grain_dual</w:t>
      </w:r>
      <w:r>
        <w:br/>
      </w:r>
      <w:r>
        <w:rPr>
          <w:rStyle w:val="VerbatimChar"/>
        </w:rPr>
        <w:t xml:space="preserve">13:   best_predicted_10pct      10      2021  logan x anka c2         exp.</w:t>
      </w:r>
      <w:r>
        <w:br/>
      </w:r>
      <w:r>
        <w:rPr>
          <w:rStyle w:val="VerbatimChar"/>
        </w:rPr>
        <w:t xml:space="preserve">14:   best_predicted_10pct     115      2018 nebraska (feral)         dual</w:t>
      </w:r>
      <w:r>
        <w:br/>
      </w:r>
      <w:r>
        <w:rPr>
          <w:rStyle w:val="VerbatimChar"/>
        </w:rPr>
        <w:t xml:space="preserve">15:   best_predicted_10pct     113      2018           picolo        grain</w:t>
      </w:r>
      <w:r>
        <w:br/>
      </w:r>
      <w:r>
        <w:rPr>
          <w:rStyle w:val="VerbatimChar"/>
        </w:rPr>
        <w:t xml:space="preserve">16: worst_predicted_10_pct     149      2019             h-51   multistate</w:t>
      </w:r>
      <w:r>
        <w:br/>
      </w:r>
      <w:r>
        <w:rPr>
          <w:rStyle w:val="VerbatimChar"/>
        </w:rPr>
        <w:t xml:space="preserve">17:   best_predicted_10pct      56      2017            cfx-2             </w:t>
      </w:r>
      <w:r>
        <w:br/>
      </w:r>
      <w:r>
        <w:rPr>
          <w:rStyle w:val="VerbatimChar"/>
        </w:rPr>
        <w:t xml:space="preserve">18:   best_predicted_10pct      67      2017        futura 75             </w:t>
      </w:r>
      <w:r>
        <w:br/>
      </w:r>
      <w:r>
        <w:rPr>
          <w:rStyle w:val="VerbatimChar"/>
        </w:rPr>
        <w:t xml:space="preserve">19:   best_predicted_10pct      69      2017             anka             </w:t>
      </w:r>
      <w:r>
        <w:br/>
      </w:r>
      <w:r>
        <w:rPr>
          <w:rStyle w:val="VerbatimChar"/>
        </w:rPr>
        <w:t xml:space="preserve">20: worst_predicted_10_pct     136      2019        earlina 8        grain</w:t>
      </w:r>
      <w:r>
        <w:br/>
      </w:r>
      <w:r>
        <w:rPr>
          <w:rStyle w:val="VerbatimChar"/>
        </w:rPr>
        <w:t xml:space="preserve">21: worst_predicted_10_pct     137      2019           katani        grain</w:t>
      </w:r>
      <w:r>
        <w:br/>
      </w:r>
      <w:r>
        <w:rPr>
          <w:rStyle w:val="VerbatimChar"/>
        </w:rPr>
        <w:t xml:space="preserve">22: worst_predicted_10_pct     138      2019             joey        grain</w:t>
      </w:r>
      <w:r>
        <w:br/>
      </w:r>
      <w:r>
        <w:rPr>
          <w:rStyle w:val="VerbatimChar"/>
        </w:rPr>
        <w:t xml:space="preserve">23: worst_predicted_10_pct     139      2019        futura 75         dual</w:t>
      </w:r>
      <w:r>
        <w:br/>
      </w:r>
      <w:r>
        <w:rPr>
          <w:rStyle w:val="VerbatimChar"/>
        </w:rPr>
        <w:t xml:space="preserve">24:   best_predicted_10pct     141      2019             h-51         dual</w:t>
      </w:r>
      <w:r>
        <w:br/>
      </w:r>
      <w:r>
        <w:rPr>
          <w:rStyle w:val="VerbatimChar"/>
        </w:rPr>
        <w:t xml:space="preserve">25: worst_predicted_10_pct     142      2019           hliana         dual</w:t>
      </w:r>
      <w:r>
        <w:br/>
      </w:r>
      <w:r>
        <w:rPr>
          <w:rStyle w:val="VerbatimChar"/>
        </w:rPr>
        <w:t xml:space="preserve">26:   best_predicted_10pct      42      2017            tygra             </w:t>
      </w:r>
      <w:r>
        <w:br/>
      </w:r>
      <w:r>
        <w:rPr>
          <w:rStyle w:val="VerbatimChar"/>
        </w:rPr>
        <w:t xml:space="preserve">27: worst_predicted_10_pct      46      2017           katani             </w:t>
      </w:r>
      <w:r>
        <w:br/>
      </w:r>
      <w:r>
        <w:rPr>
          <w:rStyle w:val="VerbatimChar"/>
        </w:rPr>
        <w:t xml:space="preserve">28:   best_predicted_10pct      47      2017            cfx-2             </w:t>
      </w:r>
      <w:r>
        <w:br/>
      </w:r>
      <w:r>
        <w:rPr>
          <w:rStyle w:val="VerbatimChar"/>
        </w:rPr>
        <w:t xml:space="preserve">29: worst_predicted_10_pct      53      2017            cfx-1             </w:t>
      </w:r>
      <w:r>
        <w:br/>
      </w:r>
      <w:r>
        <w:rPr>
          <w:rStyle w:val="VerbatimChar"/>
        </w:rPr>
        <w:t xml:space="preserve">30: worst_predicted_10_pct      54      2017            wojko             </w:t>
      </w:r>
      <w:r>
        <w:br/>
      </w:r>
      <w:r>
        <w:rPr>
          <w:rStyle w:val="VerbatimChar"/>
        </w:rPr>
        <w:t xml:space="preserve">                  grouping temp_id harv_year         cultivar         type</w:t>
      </w:r>
      <w:r>
        <w:br/>
      </w:r>
      <w:r>
        <w:rPr>
          <w:rStyle w:val="VerbatimChar"/>
        </w:rPr>
        <w:t xml:space="preserve">     in_ny      loc2</w:t>
      </w:r>
      <w:r>
        <w:br/>
      </w:r>
      <w:r>
        <w:rPr>
          <w:rStyle w:val="VerbatimChar"/>
        </w:rPr>
        <w:t xml:space="preserve">    &lt;lgcl&gt;    &lt;char&gt;</w:t>
      </w:r>
      <w:r>
        <w:br/>
      </w:r>
      <w:r>
        <w:rPr>
          <w:rStyle w:val="VerbatimChar"/>
        </w:rPr>
        <w:t xml:space="preserve"> 1:   TRUE    geneva</w:t>
      </w:r>
      <w:r>
        <w:br/>
      </w:r>
      <w:r>
        <w:rPr>
          <w:rStyle w:val="VerbatimChar"/>
        </w:rPr>
        <w:t xml:space="preserve"> 2:   TRUE freeville</w:t>
      </w:r>
      <w:r>
        <w:br/>
      </w:r>
      <w:r>
        <w:rPr>
          <w:rStyle w:val="VerbatimChar"/>
        </w:rPr>
        <w:t xml:space="preserve"> 3:   TRUE freeville</w:t>
      </w:r>
      <w:r>
        <w:br/>
      </w:r>
      <w:r>
        <w:rPr>
          <w:rStyle w:val="VerbatimChar"/>
        </w:rPr>
        <w:t xml:space="preserve"> 4:   TRUE freeville</w:t>
      </w:r>
      <w:r>
        <w:br/>
      </w:r>
      <w:r>
        <w:rPr>
          <w:rStyle w:val="VerbatimChar"/>
        </w:rPr>
        <w:t xml:space="preserve"> 5:   TRUE freeville</w:t>
      </w:r>
      <w:r>
        <w:br/>
      </w:r>
      <w:r>
        <w:rPr>
          <w:rStyle w:val="VerbatimChar"/>
        </w:rPr>
        <w:t xml:space="preserve"> 6:   TRUE freeville</w:t>
      </w:r>
      <w:r>
        <w:br/>
      </w:r>
      <w:r>
        <w:rPr>
          <w:rStyle w:val="VerbatimChar"/>
        </w:rPr>
        <w:t xml:space="preserve"> 7:   TRUE freeville</w:t>
      </w:r>
      <w:r>
        <w:br/>
      </w:r>
      <w:r>
        <w:rPr>
          <w:rStyle w:val="VerbatimChar"/>
        </w:rPr>
        <w:t xml:space="preserve"> 8:   TRUE    ithaca</w:t>
      </w:r>
      <w:r>
        <w:br/>
      </w:r>
      <w:r>
        <w:rPr>
          <w:rStyle w:val="VerbatimChar"/>
        </w:rPr>
        <w:t xml:space="preserve"> 9:   TRUE    ithaca</w:t>
      </w:r>
      <w:r>
        <w:br/>
      </w:r>
      <w:r>
        <w:rPr>
          <w:rStyle w:val="VerbatimChar"/>
        </w:rPr>
        <w:t xml:space="preserve">10:   TRUE    ithaca</w:t>
      </w:r>
      <w:r>
        <w:br/>
      </w:r>
      <w:r>
        <w:rPr>
          <w:rStyle w:val="VerbatimChar"/>
        </w:rPr>
        <w:t xml:space="preserve">11:   TRUE    ithaca</w:t>
      </w:r>
      <w:r>
        <w:br/>
      </w:r>
      <w:r>
        <w:rPr>
          <w:rStyle w:val="VerbatimChar"/>
        </w:rPr>
        <w:t xml:space="preserve">12:   TRUE    ithaca</w:t>
      </w:r>
      <w:r>
        <w:br/>
      </w:r>
      <w:r>
        <w:rPr>
          <w:rStyle w:val="VerbatimChar"/>
        </w:rPr>
        <w:t xml:space="preserve">13:   TRUE    ithaca</w:t>
      </w:r>
      <w:r>
        <w:br/>
      </w:r>
      <w:r>
        <w:rPr>
          <w:rStyle w:val="VerbatimChar"/>
        </w:rPr>
        <w:t xml:space="preserve">14:   TRUE    ithaca</w:t>
      </w:r>
      <w:r>
        <w:br/>
      </w:r>
      <w:r>
        <w:rPr>
          <w:rStyle w:val="VerbatimChar"/>
        </w:rPr>
        <w:t xml:space="preserve">15:   TRUE    ithaca</w:t>
      </w:r>
      <w:r>
        <w:br/>
      </w:r>
      <w:r>
        <w:rPr>
          <w:rStyle w:val="VerbatimChar"/>
        </w:rPr>
        <w:t xml:space="preserve">16:   TRUE    ithaca</w:t>
      </w:r>
      <w:r>
        <w:br/>
      </w:r>
      <w:r>
        <w:rPr>
          <w:rStyle w:val="VerbatimChar"/>
        </w:rPr>
        <w:t xml:space="preserve">17:   TRUE    ithaca</w:t>
      </w:r>
      <w:r>
        <w:br/>
      </w:r>
      <w:r>
        <w:rPr>
          <w:rStyle w:val="VerbatimChar"/>
        </w:rPr>
        <w:t xml:space="preserve">18:   TRUE    ithaca</w:t>
      </w:r>
      <w:r>
        <w:br/>
      </w:r>
      <w:r>
        <w:rPr>
          <w:rStyle w:val="VerbatimChar"/>
        </w:rPr>
        <w:t xml:space="preserve">19:   TRUE    ithaca</w:t>
      </w:r>
      <w:r>
        <w:br/>
      </w:r>
      <w:r>
        <w:rPr>
          <w:rStyle w:val="VerbatimChar"/>
        </w:rPr>
        <w:t xml:space="preserve">20:   TRUE    geneva</w:t>
      </w:r>
      <w:r>
        <w:br/>
      </w:r>
      <w:r>
        <w:rPr>
          <w:rStyle w:val="VerbatimChar"/>
        </w:rPr>
        <w:t xml:space="preserve">21:   TRUE    geneva</w:t>
      </w:r>
      <w:r>
        <w:br/>
      </w:r>
      <w:r>
        <w:rPr>
          <w:rStyle w:val="VerbatimChar"/>
        </w:rPr>
        <w:t xml:space="preserve">22:   TRUE    geneva</w:t>
      </w:r>
      <w:r>
        <w:br/>
      </w:r>
      <w:r>
        <w:rPr>
          <w:rStyle w:val="VerbatimChar"/>
        </w:rPr>
        <w:t xml:space="preserve">23:   TRUE    geneva</w:t>
      </w:r>
      <w:r>
        <w:br/>
      </w:r>
      <w:r>
        <w:rPr>
          <w:rStyle w:val="VerbatimChar"/>
        </w:rPr>
        <w:t xml:space="preserve">24:   TRUE    geneva</w:t>
      </w:r>
      <w:r>
        <w:br/>
      </w:r>
      <w:r>
        <w:rPr>
          <w:rStyle w:val="VerbatimChar"/>
        </w:rPr>
        <w:t xml:space="preserve">25:   TRUE    geneva</w:t>
      </w:r>
      <w:r>
        <w:br/>
      </w:r>
      <w:r>
        <w:rPr>
          <w:rStyle w:val="VerbatimChar"/>
        </w:rPr>
        <w:t xml:space="preserve">26:   TRUE    geneva</w:t>
      </w:r>
      <w:r>
        <w:br/>
      </w:r>
      <w:r>
        <w:rPr>
          <w:rStyle w:val="VerbatimChar"/>
        </w:rPr>
        <w:t xml:space="preserve">27:   TRUE    geneva</w:t>
      </w:r>
      <w:r>
        <w:br/>
      </w:r>
      <w:r>
        <w:rPr>
          <w:rStyle w:val="VerbatimChar"/>
        </w:rPr>
        <w:t xml:space="preserve">28:   TRUE    geneva</w:t>
      </w:r>
      <w:r>
        <w:br/>
      </w:r>
      <w:r>
        <w:rPr>
          <w:rStyle w:val="VerbatimChar"/>
        </w:rPr>
        <w:t xml:space="preserve">29:   TRUE    geneva</w:t>
      </w:r>
      <w:r>
        <w:br/>
      </w:r>
      <w:r>
        <w:rPr>
          <w:rStyle w:val="VerbatimChar"/>
        </w:rPr>
        <w:t xml:space="preserve">30:   TRUE    geneva</w:t>
      </w:r>
      <w:r>
        <w:br/>
      </w:r>
      <w:r>
        <w:rPr>
          <w:rStyle w:val="VerbatimChar"/>
        </w:rPr>
        <w:t xml:space="preserve">     in_ny      loc2</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w:t>
      </w:r>
      <w:r>
        <w:rPr>
          <w:bCs/>
          <w:b/>
        </w:rPr>
        <w:t xml:space="preserve">Reeves_2012?</w:t>
      </w:r>
      <w:r>
        <w:t xml:space="preserve">)</w:t>
      </w:r>
      <w:r>
        <w:t xml:space="preserve"> </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the model by including more samples or by examining other predictive methods.</w:t>
      </w:r>
    </w:p>
    <w:bookmarkEnd w:id="47"/>
    <w:bookmarkEnd w:id="48"/>
    <w:bookmarkStart w:id="49" w:name="acknowledgments"/>
    <w:p>
      <w:pPr>
        <w:pStyle w:val="Heading2"/>
      </w:pPr>
      <w:r>
        <w:t xml:space="preserve">4 ACKNOWLEDGMENTS</w:t>
      </w:r>
    </w:p>
    <w:bookmarkEnd w:id="49"/>
    <w:bookmarkStart w:id="51" w:name="supplemental-material"/>
    <w:p>
      <w:pPr>
        <w:pStyle w:val="Heading2"/>
      </w:pPr>
      <w:r>
        <w:t xml:space="preserve">5 SUPPLEMENTAL MATERIAL</w:t>
      </w:r>
    </w:p>
    <w:tbl>
      <w:tblPr>
        <w:tblStyle w:val="Table"/>
        <w:tblW w:type="pct" w:w="5000"/>
        <w:tblLook w:firstRow="0" w:lastRow="0" w:firstColumn="0" w:lastColumn="0" w:noHBand="0" w:noVBand="0" w:val="0000"/>
        <w:jc w:val="start"/>
        <w:tblLayout w:type="fixed"/>
      </w:tblPr>
      <w:tblGrid>
        <w:gridCol w:w="7920"/>
      </w:tblGrid>
      <w:tr>
        <w:tc>
          <w:tcPr/>
          <w:bookmarkStart w:id="50"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1"/>
    <w:bookmarkStart w:id="52" w:name="optional-sections"/>
    <w:p>
      <w:pPr>
        <w:pStyle w:val="Heading2"/>
      </w:pPr>
      <w:r>
        <w:t xml:space="preserve">6 OPTIONAL SECTIONS</w:t>
      </w:r>
    </w:p>
    <w:bookmarkEnd w:id="52"/>
    <w:bookmarkStart w:id="53" w:name="references"/>
    <w:p>
      <w:pPr>
        <w:pStyle w:val="Heading2"/>
      </w:pPr>
      <w:r>
        <w:t xml:space="preserve">7 REFERENCES</w:t>
      </w:r>
    </w:p>
    <w:bookmarkEnd w:id="53"/>
    <w:bookmarkStart w:id="70" w:name="figures-and-tables"/>
    <w:p>
      <w:pPr>
        <w:pStyle w:val="Heading2"/>
      </w:pPr>
      <w:r>
        <w:t xml:space="preserve">8 FIGURES AND TABLES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58" w:name="cell-fig-timeline"/>
    <w:tbl>
      <w:tblPr>
        <w:tblStyle w:val="Table"/>
        <w:tblW w:type="pct" w:w="5000"/>
        <w:tblLook w:firstRow="0" w:lastRow="0" w:firstColumn="0" w:lastColumn="0" w:noHBand="0" w:noVBand="0" w:val="0000"/>
        <w:jc w:val="start"/>
        <w:tblLayout w:type="fixed"/>
      </w:tblPr>
      <w:tblGrid>
        <w:gridCol w:w="7920"/>
      </w:tblGrid>
      <w:tr>
        <w:tc>
          <w:tcPr/>
          <w:bookmarkStart w:id="57" w:name="fig-timeline"/>
          <w:p>
            <w:pPr>
              <w:pStyle w:val="Compact"/>
              <w:jc w:val="center"/>
            </w:pPr>
            <w:r>
              <w:drawing>
                <wp:inline>
                  <wp:extent cx="5334000" cy="1333500"/>
                  <wp:effectExtent b="0" l="0" r="0" t="0"/>
                  <wp:docPr descr="" title="" id="55" name="Picture"/>
                  <a:graphic>
                    <a:graphicData uri="http://schemas.openxmlformats.org/drawingml/2006/picture">
                      <pic:pic>
                        <pic:nvPicPr>
                          <pic:cNvPr descr="index_files/figure-docx/fig-timeline-1.png" id="56" name="Picture"/>
                          <pic:cNvPicPr>
                            <a:picLocks noChangeArrowheads="1" noChangeAspect="1"/>
                          </pic:cNvPicPr>
                        </pic:nvPicPr>
                        <pic:blipFill>
                          <a:blip r:embed="rId54"/>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Timeline of recent earthquakes on La Palma</w:t>
            </w:r>
          </w:p>
          <w:bookmarkEnd w:id="57"/>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8"/>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w:t>
      </w:r>
      <w:r>
        <w:rPr>
          <w:bCs/>
          <w:b/>
        </w:rPr>
        <w:t xml:space="preserve">marrero2019?</w:t>
      </w:r>
      <w:r>
        <w:t xml:space="preserve">)</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4</w:t>
        </w:r>
      </w:hyperlink>
      <w:r>
        <w:t xml:space="preserve">).</w:t>
      </w:r>
    </w:p>
    <w:p>
      <w:pPr>
        <w:pStyle w:val="BodyText"/>
      </w:pPr>
      <w:r>
        <w:t xml:space="preserve">Data and methods are discussed in</w:t>
      </w:r>
      <w:r>
        <w:t xml:space="preserve"> </w:t>
      </w:r>
      <w:hyperlink w:anchor="sec-data-methods">
        <w:r>
          <w:rPr>
            <w:rStyle w:val="Hyperlink"/>
          </w:rPr>
          <w:t xml:space="preserve">Section 9</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59"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59"/>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tblLook w:firstRow="0" w:lastRow="0" w:firstColumn="0" w:lastColumn="0" w:noHBand="0" w:noVBand="0" w:val="0000"/>
        <w:jc w:val="start"/>
        <w:tblLayout w:type="fixed"/>
      </w:tblPr>
      <w:tblGrid>
        <w:gridCol w:w="7920"/>
      </w:tblGrid>
      <w:tr>
        <w:tc>
          <w:tcPr/>
          <w:bookmarkStart w:id="60" w:name="tbl-history"/>
          <w:p>
            <w:pPr>
              <w:jc w:val="center"/>
            </w:pPr>
            <w:pPr>
              <w:jc w:val="start"/>
              <w:spacing w:before="200"/>
              <w:pStyle w:val="ImageCaption"/>
            </w:pPr>
            <w:r>
              <w:t xml:space="preserve">Table 4: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60"/>
          <w:p/>
        </w:tc>
      </w:tr>
    </w:tbl>
    <w:p>
      <w:pPr>
        <w:pStyle w:val="BodyText"/>
      </w:pPr>
      <w:hyperlink w:anchor="tbl-history">
        <w:r>
          <w:rPr>
            <w:rStyle w:val="Hyperlink"/>
          </w:rPr>
          <w:t xml:space="preserve">Table 4</w:t>
        </w:r>
      </w:hyperlink>
      <w:r>
        <w:t xml:space="preserve"> </w:t>
      </w:r>
      <w:r>
        <w:t xml:space="preserve">summarises the eruptions recorded since the colonization of the islands by Europeans in the late 1400s.</w:t>
      </w:r>
    </w:p>
    <w:tbl>
      <w:tblPr>
        <w:tblStyle w:val="Table"/>
        <w:tblW w:type="pct" w:w="5000"/>
        <w:tblLook w:firstRow="0" w:lastRow="0" w:firstColumn="0" w:lastColumn="0" w:noHBand="0" w:noVBand="0" w:val="0000"/>
        <w:jc w:val="start"/>
        <w:tblLayout w:type="fixed"/>
      </w:tblPr>
      <w:tblGrid>
        <w:gridCol w:w="7920"/>
      </w:tblGrid>
      <w:tr>
        <w:tc>
          <w:tcPr/>
          <w:bookmarkStart w:id="64" w:name="fig-map"/>
          <w:p>
            <w:pPr>
              <w:pStyle w:val="Compact"/>
              <w:jc w:val="center"/>
            </w:pPr>
            <w:r>
              <w:drawing>
                <wp:inline>
                  <wp:extent cx="5334000" cy="2369740"/>
                  <wp:effectExtent b="0" l="0" r="0" t="0"/>
                  <wp:docPr descr="" title="" id="62" name="Picture"/>
                  <a:graphic>
                    <a:graphicData uri="http://schemas.openxmlformats.org/drawingml/2006/picture">
                      <pic:pic>
                        <pic:nvPicPr>
                          <pic:cNvPr descr="images/la-palma-map.png" id="63" name="Picture"/>
                          <pic:cNvPicPr>
                            <a:picLocks noChangeArrowheads="1" noChangeAspect="1"/>
                          </pic:cNvPicPr>
                        </pic:nvPicPr>
                        <pic:blipFill>
                          <a:blip r:embed="rId61"/>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Map of La Palma</w:t>
            </w:r>
          </w:p>
          <w:bookmarkEnd w:id="64"/>
        </w:tc>
      </w:tr>
    </w:tbl>
    <w:p>
      <w:pPr>
        <w:pStyle w:val="BodyText"/>
      </w:pPr>
      <w:r>
        <w:t xml:space="preserve">La Palma is one of the west most islands in the Volcanic Archipelago of the Canary Islands (</w:t>
      </w:r>
      <w:hyperlink w:anchor="fig-map">
        <w:r>
          <w:rPr>
            <w:rStyle w:val="Hyperlink"/>
          </w:rPr>
          <w:t xml:space="preserve">Figure 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8" w:name="fig-spatial-plot"/>
          <w:p>
            <w:pPr>
              <w:pStyle w:val="Compact"/>
              <w:jc w:val="center"/>
            </w:pPr>
            <w:r>
              <w:drawing>
                <wp:inline>
                  <wp:extent cx="5334000" cy="3809999"/>
                  <wp:effectExtent b="0" l="0" r="0" t="0"/>
                  <wp:docPr descr="" title="" id="66" name="Picture"/>
                  <a:graphic>
                    <a:graphicData uri="http://schemas.openxmlformats.org/drawingml/2006/picture">
                      <pic:pic>
                        <pic:nvPicPr>
                          <pic:cNvPr descr="index_files/figure-docx/notebooks-explore-earthquakes-fig-spatial-plot-output-1.png" id="67" name="Picture"/>
                          <pic:cNvPicPr>
                            <a:picLocks noChangeArrowheads="1" noChangeAspect="1"/>
                          </pic:cNvPicPr>
                        </pic:nvPicPr>
                        <pic:blipFill>
                          <a:blip r:embed="rId65"/>
                          <a:stretch>
                            <a:fillRect/>
                          </a:stretch>
                        </pic:blipFill>
                        <pic:spPr bwMode="auto">
                          <a:xfrm>
                            <a:off x="0" y="0"/>
                            <a:ext cx="5334000" cy="380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Locations of earthquakes on La Palma since 2017</w:t>
            </w:r>
          </w:p>
          <w:bookmarkEnd w:id="68"/>
        </w:tc>
      </w:tr>
    </w:tbl>
    <w:p>
      <w:pPr>
        <w:pStyle w:val="BodyText"/>
      </w:pPr>
      <w:r>
        <w:rPr>
          <w:vertAlign w:val="subscript"/>
        </w:rPr>
        <w:t xml:space="preserve">Source:</w:t>
      </w:r>
      <w:r>
        <w:rPr>
          <w:vertAlign w:val="subscript"/>
        </w:rPr>
        <w:t xml:space="preserve"> </w:t>
      </w:r>
      <w:hyperlink r:id="rId69">
        <w:r>
          <w:rPr>
            <w:rStyle w:val="Hyperlink"/>
            <w:vertAlign w:val="subscript"/>
          </w:rPr>
          <w:t xml:space="preserve">Explore Earthquakes</w:t>
        </w:r>
      </w:hyperlink>
    </w:p>
    <w:p>
      <w:pPr>
        <w:pStyle w:val="BodyText"/>
      </w:pPr>
      <w:hyperlink w:anchor="fig-spatial-plot">
        <w:r>
          <w:rPr>
            <w:rStyle w:val="Hyperlink"/>
          </w:rPr>
          <w:t xml:space="preserve">Figure 6</w:t>
        </w:r>
      </w:hyperlink>
      <w:r>
        <w:t xml:space="preserve"> </w:t>
      </w:r>
      <w:r>
        <w:t xml:space="preserve">shows the location of recent Earthquakes on La Palma.</w:t>
      </w:r>
    </w:p>
    <w:bookmarkEnd w:id="70"/>
    <w:bookmarkStart w:id="71" w:name="sec-data-methods"/>
    <w:p>
      <w:pPr>
        <w:pStyle w:val="Heading2"/>
      </w:pPr>
      <w:r>
        <w:t xml:space="preserve">9 Data &amp; Methods</w:t>
      </w:r>
    </w:p>
    <w:bookmarkEnd w:id="71"/>
    <w:bookmarkStart w:id="72" w:name="conclusion"/>
    <w:p>
      <w:pPr>
        <w:pStyle w:val="Heading2"/>
      </w:pPr>
      <w:r>
        <w:t xml:space="preserve">10 Conclusion</w:t>
      </w:r>
    </w:p>
    <w:bookmarkEnd w:id="72"/>
    <w:bookmarkStart w:id="113" w:name="references-1"/>
    <w:p>
      <w:pPr>
        <w:pStyle w:val="Heading2"/>
      </w:pPr>
      <w:r>
        <w:t xml:space="preserve">References</w:t>
      </w:r>
    </w:p>
    <w:bookmarkStart w:id="112" w:name="refs"/>
    <w:bookmarkStart w:id="74" w:name="ref-datatable"/>
    <w:p>
      <w:pPr>
        <w:pStyle w:val="Bibliography"/>
      </w:pPr>
      <w:r>
        <w:t xml:space="preserve">Barrett, T., Dowle, M., Srinivasan, A., Gorecki, J., Chirico, M., &amp; Hocking, T. (2024).</w:t>
      </w:r>
      <w:r>
        <w:t xml:space="preserve"> </w:t>
      </w:r>
      <w:r>
        <w:rPr>
          <w:iCs/>
          <w:i/>
        </w:rPr>
        <w:t xml:space="preserve">data.table</w:t>
      </w:r>
      <w:r>
        <w:rPr>
          <w:iCs/>
          <w:i/>
        </w:rPr>
        <w:t xml:space="preserve">: Extension of</w:t>
      </w:r>
      <w:r>
        <w:rPr>
          <w:iCs/>
          <w:i/>
        </w:rPr>
        <w:t xml:space="preserve"> </w:t>
      </w:r>
      <w:r>
        <w:rPr>
          <w:iCs/>
          <w:i/>
        </w:rPr>
        <w:t xml:space="preserve">“</w:t>
      </w:r>
      <w:r>
        <w:rPr>
          <w:iCs/>
          <w:i/>
        </w:rPr>
        <w:t xml:space="preserve">data.frame</w:t>
      </w:r>
      <w:r>
        <w:rPr>
          <w:iCs/>
          <w:i/>
        </w:rPr>
        <w:t xml:space="preserve">”</w:t>
      </w:r>
      <w:r>
        <w:t xml:space="preserve">.</w:t>
      </w:r>
      <w:r>
        <w:t xml:space="preserve"> </w:t>
      </w:r>
      <w:hyperlink r:id="rId73">
        <w:r>
          <w:rPr>
            <w:rStyle w:val="Hyperlink"/>
          </w:rPr>
          <w:t xml:space="preserve">https://CRAN.R-project.org/package=data.table</w:t>
        </w:r>
      </w:hyperlink>
    </w:p>
    <w:bookmarkEnd w:id="74"/>
    <w:bookmarkStart w:id="76"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Cs/>
          <w:i/>
        </w:rPr>
        <w:t xml:space="preserve">Plants</w:t>
      </w:r>
      <w:r>
        <w:t xml:space="preserve">,</w:t>
      </w:r>
      <w:r>
        <w:t xml:space="preserve"> </w:t>
      </w:r>
      <w:r>
        <w:rPr>
          <w:iCs/>
          <w:i/>
        </w:rPr>
        <w:t xml:space="preserve">13</w:t>
      </w:r>
      <w:r>
        <w:t xml:space="preserve">(1), 111.</w:t>
      </w:r>
      <w:r>
        <w:t xml:space="preserve"> </w:t>
      </w:r>
      <w:hyperlink r:id="rId75">
        <w:r>
          <w:rPr>
            <w:rStyle w:val="Hyperlink"/>
          </w:rPr>
          <w:t xml:space="preserve">https://doi.org/10.3390/plants13010111</w:t>
        </w:r>
      </w:hyperlink>
    </w:p>
    <w:bookmarkEnd w:id="76"/>
    <w:bookmarkStart w:id="78"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Cs/>
          <w:i/>
        </w:rPr>
        <w:t xml:space="preserve">Sensors (Basel, Switzerland)</w:t>
      </w:r>
      <w:r>
        <w:t xml:space="preserve">,</w:t>
      </w:r>
      <w:r>
        <w:t xml:space="preserve"> </w:t>
      </w:r>
      <w:r>
        <w:rPr>
          <w:iCs/>
          <w:i/>
        </w:rPr>
        <w:t xml:space="preserve">22</w:t>
      </w:r>
      <w:r>
        <w:t xml:space="preserve">(10).</w:t>
      </w:r>
      <w:r>
        <w:t xml:space="preserve"> </w:t>
      </w:r>
      <w:hyperlink r:id="rId77">
        <w:r>
          <w:rPr>
            <w:rStyle w:val="Hyperlink"/>
          </w:rPr>
          <w:t xml:space="preserve">https://doi.org/10.3390/s22103710</w:t>
        </w:r>
      </w:hyperlink>
    </w:p>
    <w:bookmarkEnd w:id="78"/>
    <w:bookmarkStart w:id="80"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Cs/>
          <w:i/>
        </w:rPr>
        <w:t xml:space="preserve">Cannabis/</w:t>
      </w:r>
      <w:r>
        <w:rPr>
          <w:iCs/>
          <w:i/>
        </w:rPr>
        <w:t xml:space="preserve">Hemp</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Agriculture</w:t>
      </w:r>
      <w:r>
        <w:rPr>
          <w:iCs/>
          <w:i/>
        </w:rPr>
        <w:t xml:space="preserve"> </w:t>
      </w:r>
      <w:r>
        <w:rPr>
          <w:iCs/>
          <w:i/>
        </w:rPr>
        <w:t xml:space="preserve">and</w:t>
      </w:r>
      <w:r>
        <w:rPr>
          <w:iCs/>
          <w:i/>
        </w:rPr>
        <w:t xml:space="preserve"> </w:t>
      </w:r>
      <w:r>
        <w:rPr>
          <w:iCs/>
          <w:i/>
        </w:rPr>
        <w:t xml:space="preserve">Materials</w:t>
      </w:r>
      <w:r>
        <w:t xml:space="preserve"> </w:t>
      </w:r>
      <w:r>
        <w:t xml:space="preserve">(pp. 145–162). Springer.</w:t>
      </w:r>
      <w:r>
        <w:t xml:space="preserve"> </w:t>
      </w:r>
      <w:hyperlink r:id="rId79">
        <w:r>
          <w:rPr>
            <w:rStyle w:val="Hyperlink"/>
          </w:rPr>
          <w:t xml:space="preserve">https://doi.org/10.1007/978-981-16-8778-5_6</w:t>
        </w:r>
      </w:hyperlink>
    </w:p>
    <w:bookmarkEnd w:id="80"/>
    <w:bookmarkStart w:id="82"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Cs/>
          <w:i/>
        </w:rPr>
        <w:t xml:space="preserve">Journal of Near Infrared Spectroscopy</w:t>
      </w:r>
      <w:r>
        <w:t xml:space="preserve">,</w:t>
      </w:r>
      <w:r>
        <w:t xml:space="preserve"> </w:t>
      </w:r>
      <w:r>
        <w:rPr>
          <w:iCs/>
          <w:i/>
        </w:rPr>
        <w:t xml:space="preserve">27</w:t>
      </w:r>
      <w:r>
        <w:t xml:space="preserve">(4), 253–258.</w:t>
      </w:r>
      <w:r>
        <w:t xml:space="preserve"> </w:t>
      </w:r>
      <w:hyperlink r:id="rId81">
        <w:r>
          <w:rPr>
            <w:rStyle w:val="Hyperlink"/>
          </w:rPr>
          <w:t xml:space="preserve">https://doi.org/10.1177/0967033519848296</w:t>
        </w:r>
      </w:hyperlink>
    </w:p>
    <w:bookmarkEnd w:id="82"/>
    <w:bookmarkStart w:id="84"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Cs/>
          <w:i/>
        </w:rPr>
        <w:t xml:space="preserve">Plants</w:t>
      </w:r>
      <w:r>
        <w:t xml:space="preserve">,</w:t>
      </w:r>
      <w:r>
        <w:t xml:space="preserve"> </w:t>
      </w:r>
      <w:r>
        <w:rPr>
          <w:iCs/>
          <w:i/>
        </w:rPr>
        <w:t xml:space="preserve">11</w:t>
      </w:r>
      <w:r>
        <w:t xml:space="preserve">(16), 2146.</w:t>
      </w:r>
      <w:r>
        <w:t xml:space="preserve"> </w:t>
      </w:r>
      <w:hyperlink r:id="rId83">
        <w:r>
          <w:rPr>
            <w:rStyle w:val="Hyperlink"/>
          </w:rPr>
          <w:t xml:space="preserve">https://doi.org/10.3390/plants11162146</w:t>
        </w:r>
      </w:hyperlink>
    </w:p>
    <w:bookmarkEnd w:id="84"/>
    <w:bookmarkStart w:id="86"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Cs/>
          <w:i/>
        </w:rPr>
        <w:t xml:space="preserve">Frontiers in Plant Science</w:t>
      </w:r>
      <w:r>
        <w:t xml:space="preserve">,</w:t>
      </w:r>
      <w:r>
        <w:t xml:space="preserve"> </w:t>
      </w:r>
      <w:r>
        <w:rPr>
          <w:iCs/>
          <w:i/>
        </w:rPr>
        <w:t xml:space="preserve">10</w:t>
      </w:r>
      <w:r>
        <w:t xml:space="preserve">.</w:t>
      </w:r>
      <w:r>
        <w:t xml:space="preserve"> </w:t>
      </w:r>
      <w:hyperlink r:id="rId85">
        <w:r>
          <w:rPr>
            <w:rStyle w:val="Hyperlink"/>
          </w:rPr>
          <w:t xml:space="preserve">https://doi.org/10.3389/fpls.2019.01509</w:t>
        </w:r>
      </w:hyperlink>
    </w:p>
    <w:bookmarkEnd w:id="86"/>
    <w:bookmarkStart w:id="88"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Cs/>
          <w:i/>
        </w:rPr>
        <w:t xml:space="preserve">Foods</w:t>
      </w:r>
      <w:r>
        <w:t xml:space="preserve">,</w:t>
      </w:r>
      <w:r>
        <w:t xml:space="preserve"> </w:t>
      </w:r>
      <w:r>
        <w:rPr>
          <w:iCs/>
          <w:i/>
        </w:rPr>
        <w:t xml:space="preserve">9</w:t>
      </w:r>
      <w:r>
        <w:t xml:space="preserve">(10), 1340.</w:t>
      </w:r>
      <w:r>
        <w:t xml:space="preserve"> </w:t>
      </w:r>
      <w:hyperlink r:id="rId87">
        <w:r>
          <w:rPr>
            <w:rStyle w:val="Hyperlink"/>
          </w:rPr>
          <w:t xml:space="preserve">https://doi.org/10.3390/foods9101340</w:t>
        </w:r>
      </w:hyperlink>
    </w:p>
    <w:bookmarkEnd w:id="88"/>
    <w:bookmarkStart w:id="90" w:name="ref-tidymodels"/>
    <w:p>
      <w:pPr>
        <w:pStyle w:val="Bibliography"/>
      </w:pPr>
      <w:r>
        <w:t xml:space="preserve">Kuhn, M., &amp; Wickham, H. (2020).</w:t>
      </w:r>
      <w:r>
        <w:t xml:space="preserve"> </w:t>
      </w:r>
      <w:r>
        <w:rPr>
          <w:iCs/>
          <w:i/>
        </w:rPr>
        <w:t xml:space="preserve">Tidymodels</w:t>
      </w:r>
      <w:r>
        <w:rPr>
          <w:iCs/>
          <w:i/>
        </w:rPr>
        <w:t xml:space="preserve">: A collection of packages for modeling and machine learning using tidyverse principles.</w:t>
      </w:r>
      <w:r>
        <w:t xml:space="preserve"> </w:t>
      </w:r>
      <w:hyperlink r:id="rId89">
        <w:r>
          <w:rPr>
            <w:rStyle w:val="Hyperlink"/>
          </w:rPr>
          <w:t xml:space="preserve">https://www.tidymodels.org</w:t>
        </w:r>
      </w:hyperlink>
    </w:p>
    <w:bookmarkEnd w:id="90"/>
    <w:bookmarkStart w:id="92" w:name="ref-caret"/>
    <w:p>
      <w:pPr>
        <w:pStyle w:val="Bibliography"/>
      </w:pPr>
      <w:r>
        <w:t xml:space="preserve">Kuhn, &amp; Max. (2008). Building predictive models in r using the caret package.</w:t>
      </w:r>
      <w:r>
        <w:t xml:space="preserve"> </w:t>
      </w:r>
      <w:r>
        <w:rPr>
          <w:iCs/>
          <w:i/>
        </w:rPr>
        <w:t xml:space="preserve">Journal of Statistical Software</w:t>
      </w:r>
      <w:r>
        <w:t xml:space="preserve">,</w:t>
      </w:r>
      <w:r>
        <w:t xml:space="preserve"> </w:t>
      </w:r>
      <w:r>
        <w:rPr>
          <w:iCs/>
          <w:i/>
        </w:rPr>
        <w:t xml:space="preserve">28</w:t>
      </w:r>
      <w:r>
        <w:t xml:space="preserve">(5), 1–26.</w:t>
      </w:r>
      <w:r>
        <w:t xml:space="preserve"> </w:t>
      </w:r>
      <w:hyperlink r:id="rId91">
        <w:r>
          <w:rPr>
            <w:rStyle w:val="Hyperlink"/>
          </w:rPr>
          <w:t xml:space="preserve">https://doi.org/10.18637/jss.v028.i05</w:t>
        </w:r>
      </w:hyperlink>
    </w:p>
    <w:bookmarkEnd w:id="92"/>
    <w:bookmarkStart w:id="94" w:name="ref-emmeans"/>
    <w:p>
      <w:pPr>
        <w:pStyle w:val="Bibliography"/>
      </w:pPr>
      <w:r>
        <w:t xml:space="preserve">Lenth, R. V. (2024).</w:t>
      </w:r>
      <w:r>
        <w:t xml:space="preserve"> </w:t>
      </w:r>
      <w:r>
        <w:rPr>
          <w:iCs/>
          <w:i/>
        </w:rPr>
        <w:t xml:space="preserve">emmeans</w:t>
      </w:r>
      <w:r>
        <w:rPr>
          <w:iCs/>
          <w:i/>
        </w:rPr>
        <w:t xml:space="preserve">: Estimated marginal means, aka least-squares means</w:t>
      </w:r>
      <w:r>
        <w:t xml:space="preserve">.</w:t>
      </w:r>
      <w:r>
        <w:t xml:space="preserve"> </w:t>
      </w:r>
      <w:hyperlink r:id="rId93">
        <w:r>
          <w:rPr>
            <w:rStyle w:val="Hyperlink"/>
          </w:rPr>
          <w:t xml:space="preserve">https://CRAN.R-project.org/package=emmeans</w:t>
        </w:r>
      </w:hyperlink>
    </w:p>
    <w:bookmarkEnd w:id="94"/>
    <w:bookmarkStart w:id="96" w:name="ref-pls"/>
    <w:p>
      <w:pPr>
        <w:pStyle w:val="Bibliography"/>
      </w:pPr>
      <w:r>
        <w:t xml:space="preserve">Liland, K. H., Mevik, B.-H., &amp; Wehrens, R. (2023).</w:t>
      </w:r>
      <w:r>
        <w:t xml:space="preserve"> </w:t>
      </w:r>
      <w:r>
        <w:rPr>
          <w:iCs/>
          <w:i/>
        </w:rPr>
        <w:t xml:space="preserve">pls</w:t>
      </w:r>
      <w:r>
        <w:rPr>
          <w:iCs/>
          <w:i/>
        </w:rPr>
        <w:t xml:space="preserve">: Partial least squares and principal component regression</w:t>
      </w:r>
      <w:r>
        <w:t xml:space="preserve">.</w:t>
      </w:r>
      <w:r>
        <w:t xml:space="preserve"> </w:t>
      </w:r>
      <w:hyperlink r:id="rId95">
        <w:r>
          <w:rPr>
            <w:rStyle w:val="Hyperlink"/>
          </w:rPr>
          <w:t xml:space="preserve">https://CRAN.R-project.org/package=pls</w:t>
        </w:r>
      </w:hyperlink>
    </w:p>
    <w:bookmarkEnd w:id="96"/>
    <w:bookmarkStart w:id="98" w:name="ref-nlme2000"/>
    <w:p>
      <w:pPr>
        <w:pStyle w:val="Bibliography"/>
      </w:pPr>
      <w:r>
        <w:t xml:space="preserve">Pinheiro, J. C., &amp; Bates, D. M. (2000).</w:t>
      </w:r>
      <w:r>
        <w:t xml:space="preserve"> </w:t>
      </w:r>
      <w:r>
        <w:rPr>
          <w:iCs/>
          <w:i/>
        </w:rPr>
        <w:t xml:space="preserve">Mixed-effects models in s and s-PLUS</w:t>
      </w:r>
      <w:r>
        <w:t xml:space="preserve">. Springer.</w:t>
      </w:r>
      <w:r>
        <w:t xml:space="preserve"> </w:t>
      </w:r>
      <w:hyperlink r:id="rId97">
        <w:r>
          <w:rPr>
            <w:rStyle w:val="Hyperlink"/>
          </w:rPr>
          <w:t xml:space="preserve">https://doi.org/10.1007/b98882</w:t>
        </w:r>
      </w:hyperlink>
    </w:p>
    <w:bookmarkEnd w:id="98"/>
    <w:bookmarkStart w:id="100" w:name="ref-nlme2023"/>
    <w:p>
      <w:pPr>
        <w:pStyle w:val="Bibliography"/>
      </w:pPr>
      <w:r>
        <w:t xml:space="preserve">Pinheiro, J., Bates, D., &amp; R Core Team. (2023).</w:t>
      </w:r>
      <w:r>
        <w:t xml:space="preserve"> </w:t>
      </w:r>
      <w:r>
        <w:rPr>
          <w:iCs/>
          <w:i/>
        </w:rPr>
        <w:t xml:space="preserve">nlme</w:t>
      </w:r>
      <w:r>
        <w:rPr>
          <w:iCs/>
          <w:i/>
        </w:rPr>
        <w:t xml:space="preserve">: Linear and nonlinear mixed effects models</w:t>
      </w:r>
      <w:r>
        <w:t xml:space="preserve">.</w:t>
      </w:r>
      <w:r>
        <w:t xml:space="preserve"> </w:t>
      </w:r>
      <w:hyperlink r:id="rId99">
        <w:r>
          <w:rPr>
            <w:rStyle w:val="Hyperlink"/>
          </w:rPr>
          <w:t xml:space="preserve">https://CRAN.R-project.org/package=nlme</w:t>
        </w:r>
      </w:hyperlink>
    </w:p>
    <w:bookmarkEnd w:id="100"/>
    <w:bookmarkStart w:id="102" w:name="ref-base"/>
    <w:p>
      <w:pPr>
        <w:pStyle w:val="Bibliography"/>
      </w:pPr>
      <w:r>
        <w:t xml:space="preserve">R Core Team. (2024).</w:t>
      </w:r>
      <w:r>
        <w:t xml:space="preserve"> </w:t>
      </w:r>
      <w:r>
        <w:rPr>
          <w:iCs/>
          <w:i/>
        </w:rPr>
        <w:t xml:space="preserve">R</w:t>
      </w:r>
      <w:r>
        <w:rPr>
          <w:iCs/>
          <w:i/>
        </w:rPr>
        <w:t xml:space="preserve">: A language and environment for statistical computing</w:t>
      </w:r>
      <w:r>
        <w:t xml:space="preserve">. R Foundation for Statistical Computing.</w:t>
      </w:r>
      <w:r>
        <w:t xml:space="preserve"> </w:t>
      </w:r>
      <w:hyperlink r:id="rId101">
        <w:r>
          <w:rPr>
            <w:rStyle w:val="Hyperlink"/>
          </w:rPr>
          <w:t xml:space="preserve">https://www.R-project.org/</w:t>
        </w:r>
      </w:hyperlink>
    </w:p>
    <w:bookmarkEnd w:id="102"/>
    <w:bookmarkStart w:id="104"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Cs/>
          <w:i/>
        </w:rPr>
        <w:t xml:space="preserve">Communications in Soil Science and Plant Analysis</w:t>
      </w:r>
      <w:r>
        <w:t xml:space="preserve">,</w:t>
      </w:r>
      <w:r>
        <w:t xml:space="preserve"> </w:t>
      </w:r>
      <w:r>
        <w:rPr>
          <w:iCs/>
          <w:i/>
        </w:rPr>
        <w:t xml:space="preserve">43</w:t>
      </w:r>
      <w:r>
        <w:t xml:space="preserve">(1-2), 478–495.</w:t>
      </w:r>
      <w:r>
        <w:t xml:space="preserve"> </w:t>
      </w:r>
      <w:hyperlink r:id="rId103">
        <w:r>
          <w:rPr>
            <w:rStyle w:val="Hyperlink"/>
          </w:rPr>
          <w:t xml:space="preserve">https://doi.org/10.1080/00103624.2012.641844</w:t>
        </w:r>
      </w:hyperlink>
    </w:p>
    <w:bookmarkEnd w:id="104"/>
    <w:bookmarkStart w:id="105" w:name="ref-roberts_near-infrared_2004"/>
    <w:p>
      <w:pPr>
        <w:pStyle w:val="Bibliography"/>
      </w:pPr>
      <w:r>
        <w:t xml:space="preserve">Roberts, C. A., Workman, J., &amp; Reeves, J. B. (2004).</w:t>
      </w:r>
      <w:r>
        <w:t xml:space="preserve"> </w:t>
      </w:r>
      <w:r>
        <w:rPr>
          <w:iCs/>
          <w:i/>
        </w:rPr>
        <w:t xml:space="preserve">Near-infrared spectroscopy in agriculture</w:t>
      </w:r>
      <w:r>
        <w:t xml:space="preserve">. American Society of Agronomy.</w:t>
      </w:r>
    </w:p>
    <w:bookmarkEnd w:id="105"/>
    <w:bookmarkStart w:id="106" w:name="ref-prospectr"/>
    <w:p>
      <w:pPr>
        <w:pStyle w:val="Bibliography"/>
      </w:pPr>
      <w:r>
        <w:t xml:space="preserve">Stevens, A., &amp; Ramirez-Lopez, L. (2024).</w:t>
      </w:r>
      <w:r>
        <w:t xml:space="preserve"> </w:t>
      </w:r>
      <w:r>
        <w:rPr>
          <w:iCs/>
          <w:i/>
        </w:rPr>
        <w:t xml:space="preserve">An introduction to the prospectr package</w:t>
      </w:r>
      <w:r>
        <w:t xml:space="preserve">.</w:t>
      </w:r>
    </w:p>
    <w:bookmarkEnd w:id="106"/>
    <w:bookmarkStart w:id="108" w:name="ref-skimr"/>
    <w:p>
      <w:pPr>
        <w:pStyle w:val="Bibliography"/>
      </w:pPr>
      <w:r>
        <w:t xml:space="preserve">Waring, E., Quinn, M., McNamara, A., Arino de la Rubia, E., Zhu, H., &amp; Ellis, S. (2022).</w:t>
      </w:r>
      <w:r>
        <w:t xml:space="preserve"> </w:t>
      </w:r>
      <w:r>
        <w:rPr>
          <w:iCs/>
          <w:i/>
        </w:rPr>
        <w:t xml:space="preserve">skimr</w:t>
      </w:r>
      <w:r>
        <w:rPr>
          <w:iCs/>
          <w:i/>
        </w:rPr>
        <w:t xml:space="preserve">: Compact and flexible summaries of data</w:t>
      </w:r>
      <w:r>
        <w:t xml:space="preserve">.</w:t>
      </w:r>
      <w:r>
        <w:t xml:space="preserve"> </w:t>
      </w:r>
      <w:hyperlink r:id="rId107">
        <w:r>
          <w:rPr>
            <w:rStyle w:val="Hyperlink"/>
          </w:rPr>
          <w:t xml:space="preserve">https://CRAN.R-project.org/package=skimr</w:t>
        </w:r>
      </w:hyperlink>
    </w:p>
    <w:bookmarkEnd w:id="108"/>
    <w:bookmarkStart w:id="110"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09">
        <w:r>
          <w:rPr>
            <w:rStyle w:val="Hyperlink"/>
          </w:rPr>
          <w:t xml:space="preserve">https://doi.org/10.21105/joss.01686</w:t>
        </w:r>
      </w:hyperlink>
    </w:p>
    <w:bookmarkEnd w:id="110"/>
    <w:bookmarkStart w:id="111" w:name="ref-williams_application_1975"/>
    <w:p>
      <w:pPr>
        <w:pStyle w:val="Bibliography"/>
      </w:pPr>
      <w:r>
        <w:t xml:space="preserve">Williams, P. C. (1975). Application of near infrared reflectance spectroscopy to analysis of cereal grains and oilseeds.</w:t>
      </w:r>
      <w:r>
        <w:t xml:space="preserve"> </w:t>
      </w:r>
      <w:r>
        <w:rPr>
          <w:iCs/>
          <w:i/>
        </w:rPr>
        <w:t xml:space="preserve">Cereal Chemistry</w:t>
      </w:r>
      <w:r>
        <w:t xml:space="preserve">,</w:t>
      </w:r>
      <w:r>
        <w:t xml:space="preserve"> </w:t>
      </w:r>
      <w:r>
        <w:rPr>
          <w:iCs/>
          <w:i/>
        </w:rPr>
        <w:t xml:space="preserve">52</w:t>
      </w:r>
      <w:r>
        <w:t xml:space="preserve">(4 p.561-576), 576–561.</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65" Target="media/rId65.png" /><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preview.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3" Target="https://CRAN.R-project.org/package=data.table" TargetMode="External" /><Relationship Type="http://schemas.openxmlformats.org/officeDocument/2006/relationships/hyperlink" Id="rId93" Target="https://CRAN.R-project.org/package=emmeans" TargetMode="External" /><Relationship Type="http://schemas.openxmlformats.org/officeDocument/2006/relationships/hyperlink" Id="rId99" Target="https://CRAN.R-project.org/package=nlme" TargetMode="External" /><Relationship Type="http://schemas.openxmlformats.org/officeDocument/2006/relationships/hyperlink" Id="rId95" Target="https://CRAN.R-project.org/package=pls" TargetMode="External" /><Relationship Type="http://schemas.openxmlformats.org/officeDocument/2006/relationships/hyperlink" Id="rId107" Target="https://CRAN.R-project.org/package=skimr" TargetMode="External" /><Relationship Type="http://schemas.openxmlformats.org/officeDocument/2006/relationships/hyperlink" Id="rId79" Target="https://doi.org/10.1007/978-981-16-8778-5_6" TargetMode="External" /><Relationship Type="http://schemas.openxmlformats.org/officeDocument/2006/relationships/hyperlink" Id="rId97" Target="https://doi.org/10.1007/b98882" TargetMode="External" /><Relationship Type="http://schemas.openxmlformats.org/officeDocument/2006/relationships/hyperlink" Id="rId103" Target="https://doi.org/10.1080/00103624.2012.641844" TargetMode="External" /><Relationship Type="http://schemas.openxmlformats.org/officeDocument/2006/relationships/hyperlink" Id="rId81" Target="https://doi.org/10.1177/0967033519848296" TargetMode="External" /><Relationship Type="http://schemas.openxmlformats.org/officeDocument/2006/relationships/hyperlink" Id="rId91" Target="https://doi.org/10.18637/jss.v028.i05" TargetMode="External" /><Relationship Type="http://schemas.openxmlformats.org/officeDocument/2006/relationships/hyperlink" Id="rId109" Target="https://doi.org/10.21105/joss.01686" TargetMode="External" /><Relationship Type="http://schemas.openxmlformats.org/officeDocument/2006/relationships/hyperlink" Id="rId85" Target="https://doi.org/10.3389/fpls.2019.01509" TargetMode="External" /><Relationship Type="http://schemas.openxmlformats.org/officeDocument/2006/relationships/hyperlink" Id="rId87" Target="https://doi.org/10.3390/foods9101340" TargetMode="External" /><Relationship Type="http://schemas.openxmlformats.org/officeDocument/2006/relationships/hyperlink" Id="rId83" Target="https://doi.org/10.3390/plants11162146" TargetMode="External" /><Relationship Type="http://schemas.openxmlformats.org/officeDocument/2006/relationships/hyperlink" Id="rId75" Target="https://doi.org/10.3390/plants13010111" TargetMode="External" /><Relationship Type="http://schemas.openxmlformats.org/officeDocument/2006/relationships/hyperlink" Id="rId77" Target="https://doi.org/10.3390/s22103710" TargetMode="External" /><Relationship Type="http://schemas.openxmlformats.org/officeDocument/2006/relationships/hyperlink" Id="rId21" Target="https://rvcrawford.github.io/glowing-system/index-preview.html" TargetMode="External" /><Relationship Type="http://schemas.openxmlformats.org/officeDocument/2006/relationships/hyperlink" Id="rId69" Target="https://rvcrawford.github.io/glowing-system/notebooks/explore-earthquakes-preview.html#cell-fig-spatial-plot" TargetMode="External" /><Relationship Type="http://schemas.openxmlformats.org/officeDocument/2006/relationships/hyperlink" Id="rId101" Target="https://www.R-project.org/" TargetMode="External" /><Relationship Type="http://schemas.openxmlformats.org/officeDocument/2006/relationships/hyperlink" Id="rId89"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Jamie Crawford; Lawrence B. Smart; Virginia Moore</dc:creator>
  <cp:keywords>Hemp, Grain, Spectroscopy</cp:keywords>
  <dcterms:created xsi:type="dcterms:W3CDTF">2024-04-01T01:11:30Z</dcterms:created>
  <dcterms:modified xsi:type="dcterms:W3CDTF">2024-04-01T01:11:30Z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2024-03-31</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