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first draft</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Crawford; Julie L. Hansen; Lawrence B. Smart; Virginia Moore</dc:creator>
  <cp:keywords>Hemp, Grain, Spectroscopy</cp:keywords>
  <dcterms:created xsi:type="dcterms:W3CDTF">2024-04-03T15:37:10Z</dcterms:created>
  <dcterms:modified xsi:type="dcterms:W3CDTF">2024-04-03T15:37:10Z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