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2024-03-07</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abstract"/>
    <w:p>
      <w:pPr>
        <w:pStyle w:val="Heading2"/>
      </w:pPr>
      <w:r>
        <w:t xml:space="preserve">1 ABSTRACT</w:t>
      </w:r>
    </w:p>
    <w:bookmarkEnd w:id="20"/>
    <w:bookmarkStart w:id="21" w:name="introduction"/>
    <w:p>
      <w:pPr>
        <w:pStyle w:val="Heading2"/>
      </w:pPr>
      <w:r>
        <w:t xml:space="preserve">2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Here, researchers are concerned with the assessment of percent crude protein (CP) in hemp grain using near-infrared spectroscopy (NIRS).</w:t>
      </w:r>
    </w:p>
    <w:p>
      <w:pPr>
        <w:pStyle w:val="BodyText"/>
      </w:pPr>
      <w:r>
        <w:t xml:space="preserve">Hemp grain with higher percent CP is of interest to researchers, producers, and consumers because of protein’s nutritional value. The protein content of whole hemp seed approximately 25-30 % dry matter</w:t>
      </w:r>
      <w:r>
        <w:t xml:space="preserve"> </w:t>
      </w:r>
      <w:r>
        <w:t xml:space="preserve">(Bárta et al., 2024)</w:t>
      </w:r>
      <w:r>
        <w:t xml:space="preserve">.</w:t>
      </w:r>
    </w:p>
    <w:p>
      <w:pPr>
        <w:pStyle w:val="BodyText"/>
      </w:pPr>
      <w:r>
        <w:t xml:space="preserve">NIRS technology is rapid, non-destructive, and cheap. Within the context of plant breeding, a sample of undamaged grain may subsequently be planted. NIRS technology has been used since the 1970’s to assess oil seeds</w:t>
      </w:r>
      <w:r>
        <w:t xml:space="preserve"> </w:t>
      </w:r>
      <w:r>
        <w:t xml:space="preserve">Williams (1975)</w:t>
      </w:r>
      <w:r>
        <w:t xml:space="preserve">.</w:t>
      </w:r>
    </w:p>
    <w:p>
      <w:pPr>
        <w:pStyle w:val="BodyText"/>
      </w:pPr>
      <w:r>
        <w:t xml:space="preserve">A calibration set typically consists of samples from many environments encompassing the range of expected values from the analyte</w:t>
      </w:r>
      <w:r>
        <w:t xml:space="preserve"> </w:t>
      </w:r>
      <w:r>
        <w:t xml:space="preserve">(Chadalavada et al., 2022)</w:t>
      </w:r>
      <w:r>
        <w:t xml:space="preserve">. For this study, a benchtop NIR spectrometer was used to develop a model to predict crude protein content based on a data set representing multiple years, locations, and cultivars.</w:t>
      </w:r>
    </w:p>
    <w:bookmarkEnd w:id="21"/>
    <w:bookmarkStart w:id="28" w:name="materials-and-methods"/>
    <w:p>
      <w:pPr>
        <w:pStyle w:val="Heading2"/>
      </w:pPr>
      <w:r>
        <w:t xml:space="preserve">3 MATERIALS AND METHODS</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Start w:id="23" w:name="hemp-grain-sample-background"/>
    <w:p>
      <w:pPr>
        <w:pStyle w:val="Heading3"/>
      </w:pPr>
      <w:r>
        <w:t xml:space="preserve">3.1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39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Four subsamples were drawn from each aggregated sample and scanned separately. These spectra were averaged at each 2 nm increment. All remaining samples from 2018 - 2021 were collected on a per-plot basis. All possible cultivars and possible locations were represented in 2017, but only a selected subset of cultivars and locations were represented in 2018-2021.</w:t>
      </w:r>
    </w:p>
    <w:bookmarkEnd w:id="23"/>
    <w:bookmarkStart w:id="24" w:name="spectral-data-collection"/>
    <w:p>
      <w:pPr>
        <w:pStyle w:val="Heading3"/>
      </w:pPr>
      <w:r>
        <w:t xml:space="preserve">3.2 Spectral Data Collection</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from 2018-2021. Samples were selected for assay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For selection, spectra were preprocessed using SNV-detrend with settings 1,4,4,1 for the derivative, gap, smooth, and smooth 2 settings respectively.</w:t>
      </w:r>
    </w:p>
    <w:bookmarkEnd w:id="24"/>
    <w:bookmarkStart w:id="25" w:name="software-used"/>
    <w:p>
      <w:pPr>
        <w:pStyle w:val="Heading3"/>
      </w:pPr>
      <w:r>
        <w:t xml:space="preserve">3.3 Software used:</w:t>
      </w:r>
    </w:p>
    <w:p>
      <w:pPr>
        <w:pStyle w:val="FirstParagraph"/>
      </w:pPr>
      <w:r>
        <w:t xml:space="preserve">Additional analysis was performed</w:t>
      </w:r>
    </w:p>
    <w:bookmarkEnd w:id="25"/>
    <w:bookmarkStart w:id="26" w:name="preprocessing"/>
    <w:p>
      <w:pPr>
        <w:pStyle w:val="Heading3"/>
      </w:pPr>
      <w:r>
        <w:t xml:space="preserve">3.4 Preprocessing</w:t>
      </w:r>
    </w:p>
    <w:p>
      <w:pPr>
        <w:pStyle w:val="FirstParagraph"/>
      </w:pPr>
      <w:r>
        <w:t xml:space="preserve">Multiplicative scatter correction (MSC)</w:t>
      </w:r>
    </w:p>
    <w:p>
      <w:pPr>
        <w:pStyle w:val="BodyText"/>
      </w:pPr>
      <w:r>
        <w:t xml:space="preserve">standard normal variate (SNV) transformation</w:t>
      </w:r>
    </w:p>
    <w:p>
      <w:pPr>
        <w:pStyle w:val="BodyText"/>
      </w:pPr>
      <w:r>
        <w:t xml:space="preserve">The calibration set consisted of</w:t>
      </w:r>
    </w:p>
    <w:p>
      <w:pPr>
        <w:pStyle w:val="BodyText"/>
      </w:pPr>
      <w:r>
        <w:t xml:space="preserve">The validation set consisted of</w:t>
      </w:r>
    </w:p>
    <w:bookmarkEnd w:id="26"/>
    <w:bookmarkStart w:id="27" w:name="laboratory-validation"/>
    <w:p>
      <w:pPr>
        <w:pStyle w:val="Heading3"/>
      </w:pPr>
      <w:r>
        <w:t xml:space="preserve">3.5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w:t>
      </w:r>
    </w:p>
    <w:p>
      <w:pPr>
        <w:pStyle w:val="BodyText"/>
      </w:pPr>
      <w:r>
        <w:t xml:space="preserve">Prior to In 2017, an in</w:t>
      </w:r>
    </w:p>
    <w:bookmarkEnd w:id="27"/>
    <w:bookmarkEnd w:id="28"/>
    <w:bookmarkStart w:id="29" w:name="results-and-discussion"/>
    <w:p>
      <w:pPr>
        <w:pStyle w:val="Heading2"/>
      </w:pPr>
      <w:r>
        <w:t xml:space="preserve">4 RESULTS AND DISCUSSION</w:t>
      </w:r>
    </w:p>
    <w:p>
      <w:pPr>
        <w:pStyle w:val="FirstParagraph"/>
      </w:pPr>
      <w:r>
        <w:t xml:space="preserve">In wheat, heritability of grain protein content has an estimated range of values from 0.4 - 0.7</w:t>
      </w:r>
      <w:r>
        <w:t xml:space="preserve"> </w:t>
      </w:r>
      <w:r>
        <w:t xml:space="preserve">Geyer et al. (2022)</w:t>
      </w:r>
    </w:p>
    <w:bookmarkEnd w:id="29"/>
    <w:bookmarkStart w:id="30" w:name="acknowledgments"/>
    <w:p>
      <w:pPr>
        <w:pStyle w:val="Heading2"/>
      </w:pPr>
      <w:r>
        <w:t xml:space="preserve">5 ACKNOWLEDGMENTS</w:t>
      </w:r>
    </w:p>
    <w:bookmarkEnd w:id="30"/>
    <w:bookmarkStart w:id="31" w:name="supplemental-material"/>
    <w:p>
      <w:pPr>
        <w:pStyle w:val="Heading2"/>
      </w:pPr>
      <w:r>
        <w:t xml:space="preserve">6 SUPPLEMENTAL MATERIAL</w:t>
      </w:r>
    </w:p>
    <w:bookmarkEnd w:id="31"/>
    <w:bookmarkStart w:id="32" w:name="optional-sections"/>
    <w:p>
      <w:pPr>
        <w:pStyle w:val="Heading2"/>
      </w:pPr>
      <w:r>
        <w:t xml:space="preserve">7 OPTIONAL SECTIONS</w:t>
      </w:r>
    </w:p>
    <w:bookmarkEnd w:id="32"/>
    <w:bookmarkStart w:id="33" w:name="references"/>
    <w:p>
      <w:pPr>
        <w:pStyle w:val="Heading2"/>
      </w:pPr>
      <w:r>
        <w:t xml:space="preserve">8 REFERENCES</w:t>
      </w:r>
    </w:p>
    <w:bookmarkEnd w:id="33"/>
    <w:bookmarkStart w:id="50" w:name="figures-and-tables"/>
    <w:p>
      <w:pPr>
        <w:pStyle w:val="Heading2"/>
      </w:pPr>
      <w:r>
        <w:t xml:space="preserve">9 FIGURES AND TABLES</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Start w:id="38" w:name="cell-fig-timeline"/>
    <w:tbl>
      <w:tblPr>
        <w:tblStyle w:val="Table"/>
        <w:tblW w:type="pct" w:w="5000"/>
        <w:jc w:val="left"/>
        <w:tblLayout w:type="fixed"/>
        <w:tblLook w:firstRow="0" w:lastRow="0" w:firstColumn="0" w:lastColumn="0" w:noHBand="0" w:noVBand="0" w:val="0000"/>
      </w:tblPr>
      <w:tblGrid>
        <w:gridCol w:w="7920"/>
      </w:tblGrid>
      <w:tr>
        <w:tc>
          <w:tcPr/>
          <w:bookmarkStart w:id="37" w:name="fig-timeline"/>
          <w:p>
            <w:pPr>
              <w:pStyle w:val="Compact"/>
              <w:jc w:val="center"/>
            </w:pPr>
            <w:r>
              <w:drawing>
                <wp:inline>
                  <wp:extent cx="5334000" cy="1333500"/>
                  <wp:effectExtent b="0" l="0" r="0" t="0"/>
                  <wp:docPr descr="" title="" id="35" name="Picture"/>
                  <a:graphic>
                    <a:graphicData uri="http://schemas.openxmlformats.org/drawingml/2006/picture">
                      <pic:pic>
                        <pic:nvPicPr>
                          <pic:cNvPr descr="index_files/figure-docx/fig-timeline-1.png" id="36" name="Picture"/>
                          <pic:cNvPicPr>
                            <a:picLocks noChangeArrowheads="1" noChangeAspect="1"/>
                          </pic:cNvPicPr>
                        </pic:nvPicPr>
                        <pic:blipFill>
                          <a:blip r:embed="rId3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7"/>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38"/>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10</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4" w:name="fig-map"/>
          <w:p>
            <w:pPr>
              <w:pStyle w:val="Compact"/>
              <w:jc w:val="center"/>
            </w:pPr>
            <w:r>
              <w:drawing>
                <wp:inline>
                  <wp:extent cx="5334000" cy="2369740"/>
                  <wp:effectExtent b="0" l="0" r="0" t="0"/>
                  <wp:docPr descr="" title="" id="42" name="Picture"/>
                  <a:graphic>
                    <a:graphicData uri="http://schemas.openxmlformats.org/drawingml/2006/picture">
                      <pic:pic>
                        <pic:nvPicPr>
                          <pic:cNvPr descr="images/la-palma-map.png" id="43" name="Picture"/>
                          <pic:cNvPicPr>
                            <a:picLocks noChangeArrowheads="1" noChangeAspect="1"/>
                          </pic:cNvPicPr>
                        </pic:nvPicPr>
                        <pic:blipFill>
                          <a:blip r:embed="rId4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4"/>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8" w:name="fig-spatial-plot"/>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explore-earthquakes-fig-spatial-plot-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50"/>
    <w:bookmarkStart w:id="51" w:name="sec-data-methods"/>
    <w:p>
      <w:pPr>
        <w:pStyle w:val="Heading2"/>
      </w:pPr>
      <w:r>
        <w:t xml:space="preserve">10 Data &amp; Methods</w:t>
      </w:r>
    </w:p>
    <w:bookmarkEnd w:id="51"/>
    <w:bookmarkStart w:id="52" w:name="conclusion"/>
    <w:p>
      <w:pPr>
        <w:pStyle w:val="Heading2"/>
      </w:pPr>
      <w:r>
        <w:t xml:space="preserve">11 Conclusion</w:t>
      </w:r>
    </w:p>
    <w:bookmarkEnd w:id="52"/>
    <w:bookmarkStart w:id="67" w:name="references-1"/>
    <w:p>
      <w:pPr>
        <w:pStyle w:val="Heading2"/>
      </w:pPr>
      <w:r>
        <w:t xml:space="preserve">References</w:t>
      </w:r>
    </w:p>
    <w:bookmarkStart w:id="66" w:name="refs"/>
    <w:bookmarkStart w:id="54"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3">
        <w:r>
          <w:rPr>
            <w:rStyle w:val="Hyperlink"/>
          </w:rPr>
          <w:t xml:space="preserve">https://doi.org/10.3390/plants13010111</w:t>
        </w:r>
      </w:hyperlink>
    </w:p>
    <w:bookmarkEnd w:id="54"/>
    <w:bookmarkStart w:id="56"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55">
        <w:r>
          <w:rPr>
            <w:rStyle w:val="Hyperlink"/>
          </w:rPr>
          <w:t xml:space="preserve">https://doi.org/10.3390/s22103710</w:t>
        </w:r>
      </w:hyperlink>
    </w:p>
    <w:bookmarkEnd w:id="56"/>
    <w:bookmarkStart w:id="5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57">
        <w:r>
          <w:rPr>
            <w:rStyle w:val="Hyperlink"/>
          </w:rPr>
          <w:t xml:space="preserve">https://doi.org/10.1177/0967033519848296</w:t>
        </w:r>
      </w:hyperlink>
    </w:p>
    <w:bookmarkEnd w:id="58"/>
    <w:bookmarkStart w:id="6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59">
        <w:r>
          <w:rPr>
            <w:rStyle w:val="Hyperlink"/>
          </w:rPr>
          <w:t xml:space="preserve">https://doi.org/10.3390/plants11162146</w:t>
        </w:r>
      </w:hyperlink>
    </w:p>
    <w:bookmarkEnd w:id="60"/>
    <w:bookmarkStart w:id="6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1">
        <w:r>
          <w:rPr>
            <w:rStyle w:val="Hyperlink"/>
          </w:rPr>
          <w:t xml:space="preserve">https://doi.org/10.3389/fpls.2019.01509</w:t>
        </w:r>
      </w:hyperlink>
    </w:p>
    <w:bookmarkEnd w:id="62"/>
    <w:bookmarkStart w:id="6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63">
        <w:r>
          <w:rPr>
            <w:rStyle w:val="Hyperlink"/>
          </w:rPr>
          <w:t xml:space="preserve">https://doi.org/10.1080/00103624.2012.641844</w:t>
        </w:r>
      </w:hyperlink>
    </w:p>
    <w:bookmarkEnd w:id="64"/>
    <w:bookmarkStart w:id="65"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hyperlink" Id="rId63" Target="https://doi.org/10.1080/00103624.2012.641844" TargetMode="External" /><Relationship Type="http://schemas.openxmlformats.org/officeDocument/2006/relationships/hyperlink" Id="rId57" Target="https://doi.org/10.1177/0967033519848296" TargetMode="External" /><Relationship Type="http://schemas.openxmlformats.org/officeDocument/2006/relationships/hyperlink" Id="rId61" Target="https://doi.org/10.3389/fpls.2019.01509" TargetMode="External" /><Relationship Type="http://schemas.openxmlformats.org/officeDocument/2006/relationships/hyperlink" Id="rId59" Target="https://doi.org/10.3390/plants11162146" TargetMode="External" /><Relationship Type="http://schemas.openxmlformats.org/officeDocument/2006/relationships/hyperlink" Id="rId53" Target="https://doi.org/10.3390/plants13010111" TargetMode="External" /><Relationship Type="http://schemas.openxmlformats.org/officeDocument/2006/relationships/hyperlink" Id="rId55" Target="https://doi.org/10.3390/s22103710" TargetMode="External" /><Relationship Type="http://schemas.openxmlformats.org/officeDocument/2006/relationships/hyperlink" Id="rId22" Target="https://rvcrawford.github.io/glowing-system/index.qmd.html" TargetMode="External" /><Relationship Type="http://schemas.openxmlformats.org/officeDocument/2006/relationships/hyperlink" Id="rId49" Target="https://rvcrawford.github.io/glowing-system/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80/00103624.2012.641844" TargetMode="External" /><Relationship Type="http://schemas.openxmlformats.org/officeDocument/2006/relationships/hyperlink" Id="rId57" Target="https://doi.org/10.1177/0967033519848296" TargetMode="External" /><Relationship Type="http://schemas.openxmlformats.org/officeDocument/2006/relationships/hyperlink" Id="rId61" Target="https://doi.org/10.3389/fpls.2019.01509" TargetMode="External" /><Relationship Type="http://schemas.openxmlformats.org/officeDocument/2006/relationships/hyperlink" Id="rId59" Target="https://doi.org/10.3390/plants11162146" TargetMode="External" /><Relationship Type="http://schemas.openxmlformats.org/officeDocument/2006/relationships/hyperlink" Id="rId53" Target="https://doi.org/10.3390/plants13010111" TargetMode="External" /><Relationship Type="http://schemas.openxmlformats.org/officeDocument/2006/relationships/hyperlink" Id="rId55" Target="https://doi.org/10.3390/s22103710" TargetMode="External" /><Relationship Type="http://schemas.openxmlformats.org/officeDocument/2006/relationships/hyperlink" Id="rId22" Target="https://rvcrawford.github.io/glowing-system/index.qmd.html" TargetMode="External" /><Relationship Type="http://schemas.openxmlformats.org/officeDocument/2006/relationships/hyperlink" Id="rId49" Target="https://rvcrawford.github.io/glowing-system/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2024-03-07T21:29:49Z</dcterms:created>
  <dcterms:modified xsi:type="dcterms:W3CDTF">2024-03-07T21:29:49Z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apa.csl</vt:lpwstr>
  </property>
  <property fmtid="{D5CDD505-2E9C-101B-9397-08002B2CF9AE}" pid="12" name="date">
    <vt:lpwstr>2024-03-07</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