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simple</w:t>
      </w:r>
      <w:r>
        <w:t xml:space="preserve"> </w:t>
      </w:r>
      <w:r>
        <w:t xml:space="preserve">(Hayes, 2020)</w:t>
      </w:r>
      <w:r>
        <w:t xml:space="preserve">.</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more efficient development of high CP hemp grain cultivars.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testing sets. Within each tertile, 75% of the samples were randomly assigned to the calibration set and the remaining 25% were assigned to the testing set. For each calibration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testing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5) standard normal variate following Savitzky-Golay (SNV-SG)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we searched for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data sets were created and analyzed via that method and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 RMSE averaged 1.4% lower, while R</w:t>
      </w:r>
      <w:r>
        <w:rPr>
          <w:vertAlign w:val="superscript"/>
        </w:rPr>
        <w:t xml:space="preserve">2</w:t>
      </w:r>
      <w:r>
        <w:t xml:space="preserve">, RPD, and RPIQ averaged 0.4%, 2.1%, and 2.4% higher respectively than the next best preprocessing method (SG in both cases), but the differences between the best and second best methods by metric were only statistically significant at</w:t>
      </w:r>
      <w:r>
        <w:t xml:space="preserve"> </w:t>
      </w:r>
      <m:oMath>
        <m:r>
          <m:t>α</m:t>
        </m:r>
      </m:oMath>
      <w:r>
        <w:t xml:space="preserve"> </w:t>
      </w:r>
      <w:r>
        <w:t xml:space="preserve">&lt;0.05 for RPD andRPIQ. There is a long history of using RPD to evaluate chemometric models although the statistic has been criticized as inadequately reflecting the distribution of skewed populations, a situation for which RPIQ was the more modern successor</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of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models performances on the test sets were similar, but not identical to, that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generated here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w:t>
      </w:r>
      <w:r>
        <w:t xml:space="preserve"> </w:t>
      </w:r>
      <w:hyperlink w:anchor="fig-validation_set_performance">
        <w:r>
          <w:rPr>
            <w:rStyle w:val="Hyperlink"/>
          </w:rPr>
          <w:t xml:space="preserve">Figure 3</w:t>
        </w:r>
      </w:hyperlink>
      <w:r>
        <w:t xml:space="preserve"> </w:t>
      </w:r>
      <w:r>
        <w:t xml:space="preserve">.</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br/>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To assess the patterns of errors within the models, a linear model was fit considering the mean estimated error for each sample considering all models where that sample was in the test set when compared to the sample’s actual value. The models overestimated %CP by approximately 0.5 % in the lowest tertile and underestimated %CP by -0.01 % and -0.41 % in the middle and highest tertile, respectively</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31" w:name="references-1"/>
    <w:p>
      <w:pPr>
        <w:pStyle w:val="Heading2"/>
      </w:pPr>
      <w:r>
        <w:t xml:space="preserve">References</w:t>
      </w:r>
    </w:p>
    <w:bookmarkStart w:id="130"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105">
        <w:r>
          <w:rPr>
            <w:rStyle w:val="Hyperlink"/>
          </w:rPr>
          <w:t xml:space="preserve">https://doi.org/10.1139/cjss-2017-0109</w:t>
        </w:r>
      </w:hyperlink>
    </w:p>
    <w:bookmarkEnd w:id="106"/>
    <w:bookmarkStart w:id="108"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7">
        <w:r>
          <w:rPr>
            <w:rStyle w:val="Hyperlink"/>
          </w:rPr>
          <w:t xml:space="preserve">https://doi.org/10.1016/j.dsp.2004.09.008</w:t>
        </w:r>
      </w:hyperlink>
    </w:p>
    <w:bookmarkEnd w:id="108"/>
    <w:bookmarkStart w:id="110"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9">
        <w:r>
          <w:rPr>
            <w:rStyle w:val="Hyperlink"/>
          </w:rPr>
          <w:t xml:space="preserve">https://doi.org/10.1007/b98882</w:t>
        </w:r>
      </w:hyperlink>
    </w:p>
    <w:bookmarkEnd w:id="110"/>
    <w:bookmarkStart w:id="112"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11">
        <w:r>
          <w:rPr>
            <w:rStyle w:val="Hyperlink"/>
          </w:rPr>
          <w:t xml:space="preserve">https://CRAN.R-project.org/package=nlme</w:t>
        </w:r>
      </w:hyperlink>
    </w:p>
    <w:bookmarkEnd w:id="112"/>
    <w:bookmarkStart w:id="114"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3">
        <w:r>
          <w:rPr>
            <w:rStyle w:val="Hyperlink"/>
          </w:rPr>
          <w:t xml:space="preserve">https://www.R-project.org/</w:t>
        </w:r>
      </w:hyperlink>
    </w:p>
    <w:bookmarkEnd w:id="114"/>
    <w:bookmarkStart w:id="116"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115">
        <w:r>
          <w:rPr>
            <w:rStyle w:val="Hyperlink"/>
          </w:rPr>
          <w:t xml:space="preserve">https://doi.org/10.1007/s11119-023-10091-z</w:t>
        </w:r>
      </w:hyperlink>
    </w:p>
    <w:bookmarkEnd w:id="116"/>
    <w:bookmarkStart w:id="118"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7">
        <w:r>
          <w:rPr>
            <w:rStyle w:val="Hyperlink"/>
          </w:rPr>
          <w:t xml:space="preserve">https://doi.org/10.1080/00103624.2012.641844</w:t>
        </w:r>
      </w:hyperlink>
    </w:p>
    <w:bookmarkEnd w:id="118"/>
    <w:bookmarkStart w:id="120"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19">
        <w:r>
          <w:rPr>
            <w:rStyle w:val="Hyperlink"/>
          </w:rPr>
          <w:t xml:space="preserve">https://doi.org/10.1016/j.trac.2009.07.007</w:t>
        </w:r>
      </w:hyperlink>
    </w:p>
    <w:bookmarkEnd w:id="120"/>
    <w:bookmarkStart w:id="121"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21"/>
    <w:bookmarkStart w:id="122"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22"/>
    <w:bookmarkStart w:id="124"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23">
        <w:r>
          <w:rPr>
            <w:rStyle w:val="Hyperlink"/>
          </w:rPr>
          <w:t xml:space="preserve">https://CRAN.R-project.org/package=skimr</w:t>
        </w:r>
      </w:hyperlink>
    </w:p>
    <w:bookmarkEnd w:id="124"/>
    <w:bookmarkStart w:id="126"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5">
        <w:r>
          <w:rPr>
            <w:rStyle w:val="Hyperlink"/>
          </w:rPr>
          <w:t xml:space="preserve">https://doi.org/10.21105/joss.01686</w:t>
        </w:r>
      </w:hyperlink>
    </w:p>
    <w:bookmarkEnd w:id="126"/>
    <w:bookmarkStart w:id="127"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7"/>
    <w:bookmarkStart w:id="129"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8">
        <w:r>
          <w:rPr>
            <w:rStyle w:val="Hyperlink"/>
          </w:rPr>
          <w:t xml:space="preserve">https://doi.org/10.1016/S0169-7439(01)00155-1</w:t>
        </w:r>
      </w:hyperlink>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11"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23"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9"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15" Target="https://doi.org/10.1007/s11119-023-10091-z" TargetMode="External" /><Relationship Type="http://schemas.openxmlformats.org/officeDocument/2006/relationships/hyperlink" Id="rId128" Target="https://doi.org/10.1016/S0169-7439(01)00155-1" TargetMode="External" /><Relationship Type="http://schemas.openxmlformats.org/officeDocument/2006/relationships/hyperlink" Id="rId107" Target="https://doi.org/10.1016/j.dsp.2004.09.008" TargetMode="External" /><Relationship Type="http://schemas.openxmlformats.org/officeDocument/2006/relationships/hyperlink" Id="rId119"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7" Target="https://doi.org/10.1080/00103624.2012.641844" TargetMode="External" /><Relationship Type="http://schemas.openxmlformats.org/officeDocument/2006/relationships/hyperlink" Id="rId105" Target="https://doi.org/10.1139/cjss-2017-0109"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5"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3"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11"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23"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9"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15" Target="https://doi.org/10.1007/s11119-023-10091-z" TargetMode="External" /><Relationship Type="http://schemas.openxmlformats.org/officeDocument/2006/relationships/hyperlink" Id="rId128" Target="https://doi.org/10.1016/S0169-7439(01)00155-1" TargetMode="External" /><Relationship Type="http://schemas.openxmlformats.org/officeDocument/2006/relationships/hyperlink" Id="rId107" Target="https://doi.org/10.1016/j.dsp.2004.09.008" TargetMode="External" /><Relationship Type="http://schemas.openxmlformats.org/officeDocument/2006/relationships/hyperlink" Id="rId119"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7" Target="https://doi.org/10.1080/00103624.2012.641844" TargetMode="External" /><Relationship Type="http://schemas.openxmlformats.org/officeDocument/2006/relationships/hyperlink" Id="rId105" Target="https://doi.org/10.1139/cjss-2017-0109"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5"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3"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2024-04-02T18:36:47Z</dcterms:created>
  <dcterms:modified xsi:type="dcterms:W3CDTF">2024-04-02T18:36:47Z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