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9.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2025-07-03</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protein</w:t>
      </w:r>
      <w:r>
        <w:t xml:space="preserve"> </w:t>
      </w:r>
      <w:r>
        <w:t xml:space="preserve">(Bárta et al., 2024; Callaway, 2004; Ely &amp; Fike, 2022; Liu et al., 2023)</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and the relation of the spectra to primary analytical values, typically obtained using wet chemistry assays, for components such as moisture, protein, fat, or fiber</w:t>
      </w:r>
      <w:r>
        <w:t xml:space="preserve"> </w:t>
      </w:r>
      <w:r>
        <w:t xml:space="preserve">(Roberts et al., 2004)</w:t>
      </w:r>
      <w:r>
        <w:t xml:space="preserve">. NIRS technology has been used since the 1970’s to assess forage CP concentration</w:t>
      </w:r>
      <w:r>
        <w:t xml:space="preserve"> </w:t>
      </w:r>
      <w:r>
        <w:t xml:space="preserve">(Reeves, 2012;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w:t>
      </w:r>
    </w:p>
    <w:p>
      <w:pPr>
        <w:pStyle w:val="BodyText"/>
      </w:pPr>
      <w:r>
        <w:t xml:space="preserve">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spectroscopic applications, particularly where non-linear relationships exist between spectral features and analyte concentrations</w:t>
      </w:r>
      <w:r>
        <w:t xml:space="preserve"> </w:t>
      </w:r>
      <w:r>
        <w:t xml:space="preserve">(</w:t>
      </w:r>
      <w:r>
        <w:rPr>
          <w:b/>
          <w:bCs/>
        </w:rPr>
        <w:t xml:space="preserve">chinilin2023?</w:t>
      </w:r>
      <w:r>
        <w:t xml:space="preserve">)</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w:t>
      </w:r>
      <w:r>
        <w:rPr>
          <w:b/>
          <w:bCs/>
        </w:rPr>
        <w:t xml:space="preserve">kamboj2022?</w:t>
      </w:r>
      <w:r>
        <w:t xml:space="preserve">)</w:t>
      </w:r>
      <w:r>
        <w:t xml:space="preserve">. Random forest (RF) algorithms use ensemble learning to combine multiple decision trees and has been used to predict protein content in grains</w:t>
      </w:r>
      <w:r>
        <w:t xml:space="preserve"> </w:t>
      </w:r>
      <w:r>
        <w:t xml:space="preserve">(</w:t>
      </w:r>
      <w:r>
        <w:rPr>
          <w:b/>
          <w:bCs/>
        </w:rPr>
        <w:t xml:space="preserve">chadalavada2022?</w:t>
      </w:r>
      <w:r>
        <w:t xml:space="preserve">;</w:t>
      </w:r>
      <w:r>
        <w:t xml:space="preserve"> </w:t>
      </w:r>
      <w:r>
        <w:rPr>
          <w:b/>
          <w:bCs/>
        </w:rPr>
        <w:t xml:space="preserve">haruna2022?</w:t>
      </w:r>
      <w:r>
        <w:t xml:space="preserve">)</w:t>
      </w:r>
      <w:r>
        <w:t xml:space="preserve">. Comparing multiple algorithms helps ensure that the best approach is chosen.</w:t>
      </w:r>
    </w:p>
    <w:p>
      <w:pPr>
        <w:pStyle w:val="BodyText"/>
      </w:pPr>
      <w:r>
        <w:t xml:space="preserve">The biological validity of spectroscopic predictions can be enhanced through targeted analysis of wavelength regions corresponding to known molecular absorption bands. Models developed using biologically-relevant wavelengths are evidence that predictions are based on true protein-spectral relationships rather than spurious correlations with other grain components. Three spectral regions with established vibrational assignments are: 1180-1230 nm (C-H stretch 2nd overtone from amino acid side chains), 1480-1530 nm (N-H stretch 1st overtone from peptide bonds), 2040-2070 nm (N-H + C-N combination bands)</w:t>
      </w:r>
      <w:r>
        <w:t xml:space="preserve"> </w:t>
      </w:r>
      <w:r>
        <w:t xml:space="preserve">(Köllmann et al., 2023;</w:t>
      </w:r>
      <w:r>
        <w:t xml:space="preserve"> </w:t>
      </w:r>
      <w:r>
        <w:rPr>
          <w:b/>
          <w:bCs/>
        </w:rPr>
        <w:t xml:space="preserve">shi2022?</w:t>
      </w:r>
      <w:r>
        <w:t xml:space="preserve">)</w:t>
      </w:r>
      <w:r>
        <w:t xml:space="preserve">. These models may also be more readily transferable between instruments because they discard noisy, irrelevant portions of the spectra</w:t>
      </w:r>
      <w:r>
        <w:t xml:space="preserve"> </w:t>
      </w:r>
      <w:r>
        <w:t xml:space="preserve">(Wang et al., 2025)</w:t>
      </w:r>
      <w:r>
        <w:t xml:space="preserve">.</w:t>
      </w:r>
    </w:p>
    <w:p>
      <w:pPr>
        <w:pStyle w:val="BodyText"/>
      </w:pPr>
      <w:r>
        <w:t xml:space="preserve">Non-destructive sampling of grain is attractive for plant breeders. 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a benchtop NIR spectrometer was used to develop a model to predict CP concentration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2017–2021 from 18 cultivar trials in New York (NY) (149 samples). Grain samples were obtained by hand sampling or mechanical harvest and were cleaned of chaff and dried at 30 C for six days in a forced-air dryer. All CP values were expressed as concentration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cultivar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common metric used to optimize the number of samples for chemical analysis</w:t>
      </w:r>
      <w:r>
        <w:t xml:space="preserve"> </w:t>
      </w:r>
      <w:r>
        <w:t xml:space="preserve">(</w:t>
      </w:r>
      <w:r>
        <w:rPr>
          <w:b/>
          <w:bCs/>
        </w:rPr>
        <w:t xml:space="preserve">nogales-bueno2021?</w:t>
      </w:r>
      <w:r>
        <w:t xml:space="preserve">)</w:t>
      </w:r>
      <w:r>
        <w:t xml:space="preserve">. Prior to selection, spectra were preprocessed using SNV (standard normal variate)-detrend with settings 1,4,4,1 for the derivative, gap, smooth, and smooth-two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6" w:name="model-development"/>
    <w:p>
      <w:pPr>
        <w:pStyle w:val="Heading3"/>
      </w:pPr>
      <w:r>
        <w:t xml:space="preserve">2.5 Model Development</w:t>
      </w:r>
    </w:p>
    <w:p>
      <w:pPr>
        <w:pStyle w:val="FirstParagraph"/>
      </w:pPr>
      <w:r>
        <w:t xml:space="preserve">Training and testing sets were created by dividing samples by their laboratory CP concentration values into tertiles to ensure that a representative range of values was present in both training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RMSE in selecting the number of components in the final model.</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“good”</w:t>
      </w:r>
      <w:r>
        <w:t xml:space="preserve"> </w:t>
      </w:r>
      <w:r>
        <w:t xml:space="preserve">model varies depending upon the reference consulted, but for simplicity’s sake the standard established for an acceptable model was R</w:t>
      </w:r>
      <w:r>
        <w:rPr>
          <w:vertAlign w:val="superscript"/>
        </w:rPr>
        <w:t xml:space="preserve">2</w:t>
      </w:r>
      <w:r>
        <w:t xml:space="preserve"> </w:t>
      </w:r>
      <w:r>
        <w:t xml:space="preserve">&gt; 0.80, an RPD greater than 2.5 and ideally greater than 3 (</w:t>
      </w:r>
      <w:r>
        <w:t xml:space="preserve">“good”</w:t>
      </w:r>
      <w:r>
        <w:t xml:space="preserve"> </w:t>
      </w:r>
      <w:r>
        <w:t xml:space="preserve">to</w:t>
      </w:r>
      <w:r>
        <w:t xml:space="preserve"> </w:t>
      </w:r>
      <w:r>
        <w:t xml:space="preserve">“excellent”</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it was used in all subsequent analyses.</w:t>
      </w:r>
    </w:p>
    <w:p>
      <w:pPr>
        <w:pStyle w:val="BodyText"/>
      </w:pPr>
      <w:r>
        <w:t xml:space="preserve">To optimze the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w:t>
      </w:r>
    </w:p>
    <w:p>
      <w:pPr>
        <w:pStyle w:val="BodyText"/>
      </w:pPr>
      <w:r>
        <w:t xml:space="preserve">All algorithms were evaluated using identical training and testing set splits and the optimal preprocessing method identified in the initial screening. Each algorithm was permitted optimal hyperparameter tuning using R’s caret package to ensure fair comparison. One hundred random splits into training sets and testing sets were performed for each algorithm, with model performance evaluated using the same metrics as the preprocessing comparison (RMSE, R², RPD, and RPIQ).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wavelengths. Performance was compared to the full-spectrum model to assess whether targeted wavelength selection could maintain prediction accuracy while providing greater biological interpretability.</w:t>
      </w:r>
    </w:p>
    <w:bookmarkEnd w:id="26"/>
    <w:bookmarkEnd w:id="27"/>
    <w:bookmarkStart w:id="33"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2</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8" w:name="tbl-protein-summary"/>
          <w:p>
            <w:pPr>
              <w:jc w:val="center"/>
            </w:pPr>
            <w:pPr>
              <w:jc w:val="start"/>
              <w:spacing w:before="200"/>
              <w:pStyle w:val="ImageCaption"/>
            </w:pPr>
            <w:r>
              <w:t xml:space="preserve">Table 2: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bookmarkEnd w:id="29"/>
    <w:bookmarkStart w:id="30" w:name="preprocessing-methods-comparison"/>
    <w:p>
      <w:pPr>
        <w:pStyle w:val="Heading3"/>
      </w:pPr>
      <w:r>
        <w:t xml:space="preserve">3.2 Preprocessing methods comparison</w:t>
      </w:r>
    </w:p>
    <w:p>
      <w:pPr>
        <w:pStyle w:val="FirstParagraph"/>
      </w:pPr>
      <w:r>
        <w:t xml:space="preserve">All preprocessing methods outperformed untransformed spectral data, as shown in</w:t>
      </w:r>
      <w:r>
        <w:t xml:space="preserve"> </w:t>
      </w:r>
      <w:hyperlink w:anchor="tbl-preproc">
        <w:r>
          <w:rPr>
            <w:rStyle w:val="Hyperlink"/>
          </w:rPr>
          <w:t xml:space="preserve">Table 3</w:t>
        </w:r>
      </w:hyperlink>
      <w:r>
        <w:t xml:space="preserve">. The SNV-SG method had the lowest RMSE and the highest R</w:t>
      </w:r>
      <w:r>
        <w:rPr>
          <w:vertAlign w:val="superscript"/>
        </w:rPr>
        <w:t xml:space="preserve">2</w:t>
      </w:r>
      <w:r>
        <w:t xml:space="preserve">, RPD and RPIQ averaging over all iterations. The superiority of SNV-SG by these metrics made it the best choice for the final model.</w:t>
      </w:r>
    </w:p>
    <w:bookmarkEnd w:id="30"/>
    <w:bookmarkStart w:id="32" w:name="preprocessing-methods-comparison-1"/>
    <w:p>
      <w:pPr>
        <w:pStyle w:val="Heading3"/>
      </w:pPr>
      <w:r>
        <w:t xml:space="preserve">3.3 Preprocessing methods comparison</w:t>
      </w:r>
    </w:p>
    <w:p>
      <w:pPr>
        <w:pStyle w:val="FirstParagraph"/>
      </w:pPr>
      <w:r>
        <w:t xml:space="preserve">All preprocessing methods outperformed untransformed spectral data, as shown in</w:t>
      </w:r>
      <w:r>
        <w:t xml:space="preserve"> </w:t>
      </w:r>
      <w:hyperlink w:anchor="tbl-preproc">
        <w:r>
          <w:rPr>
            <w:rStyle w:val="Hyperlink"/>
          </w:rPr>
          <w:t xml:space="preserve">Table 3</w:t>
        </w:r>
      </w:hyperlink>
      <w:r>
        <w:t xml:space="preserve">. The SNV-SG method had the lowest RMSE and the highest R</w:t>
      </w:r>
      <w:r>
        <w:rPr>
          <w:vertAlign w:val="superscript"/>
        </w:rPr>
        <w:t xml:space="preserve">2</w:t>
      </w:r>
      <w:r>
        <w:t xml:space="preserve">, RPD and RPIQ averaging over all iterations.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3: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First derivative</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Savitzky-Golay smoothing</w:t>
                  </w:r>
                </w:p>
              </w:tc>
              <w:tc>
                <w:tcPr/>
                <w:p>
                  <w:pPr>
                    <w:pStyle w:val="Compact"/>
                    <w:jc w:val="left"/>
                    <w:jc w:val="center"/>
                  </w:pPr>
                  <w:r>
                    <w:t xml:space="preserve">10.8 ± 1.5</w:t>
                  </w:r>
                </w:p>
              </w:tc>
              <w:tc>
                <w:tcPr/>
                <w:p>
                  <w:pPr>
                    <w:pStyle w:val="Compact"/>
                    <w:jc w:val="left"/>
                    <w:jc w:val="center"/>
                  </w:pPr>
                  <w:r>
                    <w:t xml:space="preserve">0.817 ± 0.063</w:t>
                  </w:r>
                </w:p>
              </w:tc>
              <w:tc>
                <w:tcPr/>
                <w:p>
                  <w:pPr>
                    <w:pStyle w:val="Compact"/>
                    <w:jc w:val="left"/>
                    <w:jc w:val="center"/>
                  </w:pPr>
                  <w:r>
                    <w:t xml:space="preserve">2.36 ± 0.40</w:t>
                  </w:r>
                </w:p>
              </w:tc>
              <w:tc>
                <w:tcPr/>
                <w:p>
                  <w:pPr>
                    <w:pStyle w:val="Compact"/>
                    <w:jc w:val="left"/>
                    <w:jc w:val="center"/>
                  </w:pPr>
                  <w:r>
                    <w:t xml:space="preserve">3.84 ± 0.88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End w:id="33"/>
    <w:bookmarkStart w:id="35" w:name="algorithm-comparison"/>
    <w:p>
      <w:pPr>
        <w:pStyle w:val="Heading2"/>
      </w:pPr>
      <w:r>
        <w:t xml:space="preserve">4 Algorithm comparison</w:t>
      </w:r>
    </w:p>
    <w:tbl>
      <w:tblPr>
        <w:tblStyle w:val="Table"/>
        <w:tblW w:type="pct" w:w="5000"/>
        <w:tblLayout w:type="fixed"/>
        <w:tblLook w:firstRow="0" w:lastRow="0" w:firstColumn="0" w:lastColumn="0" w:noHBand="0" w:noVBand="0" w:val="0000"/>
      </w:tblPr>
      <w:tblGrid>
        <w:gridCol w:w="7920"/>
      </w:tblGrid>
      <w:tr>
        <w:tc>
          <w:tcPr/>
          <w:bookmarkStart w:id="34" w:name="tbl-algorithm-comparison"/>
          <w:p>
            <w:pPr>
              <w:jc w:val="center"/>
            </w:pPr>
            <w:pPr>
              <w:jc w:val="start"/>
              <w:spacing w:before="200"/>
              <w:pStyle w:val="ImageCaption"/>
            </w:pPr>
            <w:r>
              <w:t xml:space="preserve">Table 4: Performance comparison of machine learning algorithms for hemp grain protein prediction</w:t>
            </w:r>
          </w:p>
          <w:tbl>
            <w:tblPr>
              <w:tblStyle w:val="Table"/>
              <w:tblW w:type="pct" w:w="5000"/>
              <w:tblLayout w:type="fixed"/>
              <w:tblLook w:firstRow="1" w:lastRow="0" w:firstColumn="0" w:lastColumn="0" w:noHBand="0" w:noVBand="0" w:val="0020"/>
            </w:tblPr>
            <w:tblGrid>
              <w:gridCol w:w="1380"/>
              <w:gridCol w:w="1020"/>
              <w:gridCol w:w="960"/>
              <w:gridCol w:w="840"/>
              <w:gridCol w:w="840"/>
              <w:gridCol w:w="1560"/>
              <w:gridCol w:w="1320"/>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Quantitative Capable (%)</w:t>
                  </w:r>
                </w:p>
              </w:tc>
              <w:tc>
                <w:tcPr/>
                <w:p>
                  <w:pPr>
                    <w:pStyle w:val="Compact"/>
                    <w:jc w:val="center"/>
                    <w:jc w:val="center"/>
                  </w:pPr>
                  <w:r>
                    <w:t xml:space="preserve">Total Acceptable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86%</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24%</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45%</w:t>
                  </w:r>
                </w:p>
              </w:tc>
              <w:tc>
                <w:tcPr/>
                <w:p>
                  <w:pPr>
                    <w:pStyle w:val="Compact"/>
                    <w:jc w:val="center"/>
                    <w:jc w:val="center"/>
                  </w:pPr>
                  <w:r>
                    <w:t xml:space="preserve">97%</w:t>
                  </w:r>
                </w:p>
              </w:tc>
            </w:tr>
          </w:tbl>
          <w:p>
            <w:pPr>
              <w:jc w:val="center"/>
            </w:pPr>
            <w:r>
              <w:t xml:space="preserve">Comparing algorithms</w:t>
            </w:r>
          </w:p>
          <w:bookmarkEnd w:id="34"/>
        </w:tc>
      </w:tr>
    </w:tbl>
    <w:p>
      <w:pPr>
        <w:pStyle w:val="BodyText"/>
      </w:pPr>
      <w:r>
        <w:t xml:space="preserve">The algorithm comparison revealed clear performance differences among the three approaches, with PLSR achieving superior performance across all evaluation metrics (</w:t>
      </w:r>
      <w:hyperlink w:anchor="tbl-algorithm-comparison">
        <w:r>
          <w:rPr>
            <w:rStyle w:val="Hyperlink"/>
          </w:rPr>
          <w:t xml:space="preserve">Table 4</w:t>
        </w:r>
      </w:hyperlink>
      <w:r>
        <w:t xml:space="preserve">). This suggests that the spectral features captured by PLSR are well-suited for hemp grain protein prediction, while the additional complexity of non-linear algorithms did not provide predictive advantage. The superior performance of PLSR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5"/>
    <w:bookmarkStart w:id="48" w:name="final-model-development-and-summary"/>
    <w:p>
      <w:pPr>
        <w:pStyle w:val="Heading2"/>
      </w:pPr>
      <w:r>
        <w:t xml:space="preserve">5 Final model development and summary</w:t>
      </w:r>
    </w:p>
    <w:p>
      <w:pPr>
        <w:pStyle w:val="FirstParagraph"/>
      </w:pPr>
      <w:r>
        <w:t xml:space="preserve">The model improved most rapidly as the number of components increased from one to seven, with the inclusion of each additional component being associated with a decrease in RMSE of 5%-12%.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fig-model-calibration"/>
          <w:p>
            <w:pPr>
              <w:pStyle w:val="Compact"/>
              <w:jc w:val="center"/>
            </w:pPr>
            <w:r>
              <w:drawing>
                <wp:inline>
                  <wp:extent cx="5334000" cy="3692769"/>
                  <wp:effectExtent b="0" l="0" r="0" t="0"/>
                  <wp:docPr descr="" title="" id="37" name="Picture"/>
                  <a:graphic>
                    <a:graphicData uri="http://schemas.openxmlformats.org/drawingml/2006/picture">
                      <pic:pic>
                        <pic:nvPicPr>
                          <pic:cNvPr descr="hemp_nir_paper_files/figure-docx/fig-model-calibration-1.png" id="38" name="Picture"/>
                          <pic:cNvPicPr>
                            <a:picLocks noChangeArrowheads="1" noChangeAspect="1"/>
                          </pic:cNvPicPr>
                        </pic:nvPicPr>
                        <pic:blipFill>
                          <a:blip r:embed="rId36"/>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9"/>
        </w:tc>
      </w:tr>
    </w:tbl>
    <w:p>
      <w:pPr>
        <w:pStyle w:val="BodyText"/>
      </w:pPr>
      <w:r>
        <w:t xml:space="preserve">The performance of the final models on the testing sets are summarized in</w:t>
      </w:r>
      <w:r>
        <w:t xml:space="preserve"> </w:t>
      </w:r>
      <w:hyperlink w:anchor="fig-performance-boxplot">
        <w:r>
          <w:rPr>
            <w:rStyle w:val="Hyperlink"/>
          </w:rPr>
          <w:t xml:space="preserve">Figure 2</w:t>
        </w:r>
      </w:hyperlink>
      <w:r>
        <w:t xml:space="preserve">. The means of the final models were: RMSE = NA, R</w:t>
      </w:r>
      <w:r>
        <w:rPr>
          <w:vertAlign w:val="superscript"/>
        </w:rPr>
        <w:t xml:space="preserve">2</w:t>
      </w:r>
      <w:r>
        <w:t xml:space="preserve"> </w:t>
      </w:r>
      <w:r>
        <w:t xml:space="preserve">= NA, RPD = NA, and RPIQ = NA. Seventy-four percent of the models had, at minimum, the ability to distinguish between high and low values with % having the ability for quantitative prediction. Despite the generally good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3" w:name="fig-performance-boxplot"/>
          <w:p>
            <w:pPr>
              <w:pStyle w:val="Compact"/>
              <w:jc w:val="center"/>
            </w:pPr>
            <w:r>
              <w:drawing>
                <wp:inline>
                  <wp:extent cx="5334000" cy="3692769"/>
                  <wp:effectExtent b="0" l="0" r="0" t="0"/>
                  <wp:docPr descr="" title="" id="41" name="Picture"/>
                  <a:graphic>
                    <a:graphicData uri="http://schemas.openxmlformats.org/drawingml/2006/picture">
                      <pic:pic>
                        <pic:nvPicPr>
                          <pic:cNvPr descr="hemp_nir_paper_files/figure-docx/fig-performance-boxplot-1.png" id="42" name="Picture"/>
                          <pic:cNvPicPr>
                            <a:picLocks noChangeArrowheads="1" noChangeAspect="1"/>
                          </pic:cNvPicPr>
                        </pic:nvPicPr>
                        <pic:blipFill>
                          <a:blip r:embed="rId40"/>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3"/>
        </w:tc>
      </w:tr>
    </w:tbl>
    <w:p>
      <w:pPr>
        <w:pStyle w:val="BodyText"/>
      </w:pPr>
      <w:r>
        <w:t xml:space="preserve">Finally, 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7" w:name="fig-validation-errors"/>
          <w:p>
            <w:pPr>
              <w:pStyle w:val="Compact"/>
              <w:jc w:val="center"/>
            </w:pPr>
            <w:r>
              <w:drawing>
                <wp:inline>
                  <wp:extent cx="5334000" cy="3692769"/>
                  <wp:effectExtent b="0" l="0" r="0" t="0"/>
                  <wp:docPr descr="" title="" id="45" name="Picture"/>
                  <a:graphic>
                    <a:graphicData uri="http://schemas.openxmlformats.org/drawingml/2006/picture">
                      <pic:pic>
                        <pic:nvPicPr>
                          <pic:cNvPr descr="hemp_nir_paper_files/figure-docx/fig-validation-errors-1.png" id="46" name="Picture"/>
                          <pic:cNvPicPr>
                            <a:picLocks noChangeArrowheads="1" noChangeAspect="1"/>
                          </pic:cNvPicPr>
                        </pic:nvPicPr>
                        <pic:blipFill>
                          <a:blip r:embed="rId44"/>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7"/>
        </w:tc>
      </w:tr>
    </w:tbl>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 Table 3. However, of the 15 worst-predicted samples, nine were from Geneva, while three of the 15 best-predicted samples were from Geneva (by contrast, seven of the best-predicted and five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However, the exact reason for these differences is unknowable.</w:t>
      </w:r>
    </w:p>
    <w:bookmarkEnd w:id="48"/>
    <w:bookmarkStart w:id="53" w:name="protein-focused-model-validation"/>
    <w:p>
      <w:pPr>
        <w:pStyle w:val="Heading2"/>
      </w:pPr>
      <w:r>
        <w:t xml:space="preserve">6 Protein-Focused Model Validation</w:t>
      </w:r>
    </w:p>
    <w:p>
      <w:pPr>
        <w:pStyle w:val="FirstParagraph"/>
      </w:pPr>
      <w:r>
        <w:t xml:space="preserve">The biological basis of the NIRS predictions was validated by developing a protein-focused model using wavelengths within known protein absorption bands.</w:t>
      </w:r>
    </w:p>
    <w:p>
      <w:pPr>
        <w:pStyle w:val="TableCaption"/>
      </w:pPr>
      <w:r>
        <w:t xml:space="preserve">Enhanced performance comparison demonstrating biological validation through protein-specific wavelength selection</w:t>
      </w:r>
    </w:p>
    <w:tbl>
      <w:tblPr>
        <w:tblStyle w:val="Table"/>
        <w:tblW w:type="pct" w:w="5000"/>
        <w:tblLayout w:type="fixed"/>
        <w:tblLook w:firstRow="1" w:lastRow="0" w:firstColumn="0" w:lastColumn="0" w:noHBand="0" w:noVBand="0" w:val="0020"/>
        <w:tblCaption w:val="Enhanced performance comparison demonstrating biological validation through protein-specific wavelength selection"/>
      </w:tblPr>
      <w:tblGrid>
        <w:gridCol w:w="1667"/>
        <w:gridCol w:w="1250"/>
        <w:gridCol w:w="1146"/>
        <w:gridCol w:w="937"/>
        <w:gridCol w:w="1042"/>
        <w:gridCol w:w="1875"/>
      </w:tblGrid>
      <w:tr>
        <w:trPr>
          <w:tblHeader w:val="on"/>
        </w:trPr>
        <w:tc>
          <w:tcPr/>
          <w:p>
            <w:pPr>
              <w:pStyle w:val="Compact"/>
              <w:jc w:val="left"/>
            </w:pPr>
            <w:r>
              <w:t xml:space="preserve">Model</w:t>
            </w:r>
          </w:p>
        </w:tc>
        <w:tc>
          <w:tcPr/>
          <w:p>
            <w:pPr>
              <w:pStyle w:val="Compact"/>
              <w:jc w:val="right"/>
            </w:pPr>
            <w:r>
              <w:t xml:space="preserve">Wavelengths</w:t>
            </w:r>
          </w:p>
        </w:tc>
        <w:tc>
          <w:tcPr/>
          <w:p>
            <w:pPr>
              <w:pStyle w:val="Compact"/>
              <w:jc w:val="right"/>
            </w:pPr>
            <w:r>
              <w:t xml:space="preserve">Components</w:t>
            </w:r>
          </w:p>
        </w:tc>
        <w:tc>
          <w:tcPr/>
          <w:p>
            <w:pPr>
              <w:pStyle w:val="Compact"/>
              <w:jc w:val="right"/>
            </w:pPr>
            <w:r>
              <w:t xml:space="preserve">RMSE</w:t>
            </w:r>
          </w:p>
        </w:tc>
        <w:tc>
          <w:tcPr/>
          <w:p>
            <w:pPr>
              <w:pStyle w:val="Compact"/>
              <w:jc w:val="right"/>
            </w:pPr>
            <w:r>
              <w:t xml:space="preserve">R_squared</w:t>
            </w:r>
          </w:p>
        </w:tc>
        <w:tc>
          <w:tcPr/>
          <w:p>
            <w:pPr>
              <w:pStyle w:val="Compact"/>
              <w:jc w:val="left"/>
            </w:pPr>
            <w:r>
              <w:t xml:space="preserve">Efficiency</w:t>
            </w:r>
          </w:p>
        </w:tc>
      </w:tr>
      <w:tr>
        <w:tc>
          <w:tcPr/>
          <w:p>
            <w:pPr>
              <w:pStyle w:val="Compact"/>
              <w:jc w:val="left"/>
            </w:pPr>
            <w:r>
              <w:t xml:space="preserve">Full Spectrum</w:t>
            </w:r>
          </w:p>
        </w:tc>
        <w:tc>
          <w:tcPr/>
          <w:p>
            <w:pPr>
              <w:pStyle w:val="Compact"/>
              <w:jc w:val="right"/>
            </w:pPr>
            <w:r>
              <w:t xml:space="preserve">700</w:t>
            </w:r>
          </w:p>
        </w:tc>
        <w:tc>
          <w:tcPr/>
          <w:p>
            <w:pPr>
              <w:pStyle w:val="Compact"/>
              <w:jc w:val="right"/>
            </w:pPr>
            <w:r>
              <w:t xml:space="preserve">15</w:t>
            </w:r>
          </w:p>
        </w:tc>
        <w:tc>
          <w:tcPr/>
          <w:p>
            <w:pPr>
              <w:pStyle w:val="Compact"/>
              <w:jc w:val="right"/>
            </w:pPr>
            <w:r>
              <w:t xml:space="preserve">10.02667</w:t>
            </w:r>
          </w:p>
        </w:tc>
        <w:tc>
          <w:tcPr/>
          <w:p>
            <w:pPr>
              <w:pStyle w:val="Compact"/>
              <w:jc w:val="right"/>
            </w:pPr>
            <w:r>
              <w:t xml:space="preserve">0.8411829</w:t>
            </w:r>
          </w:p>
        </w:tc>
        <w:tc>
          <w:tcPr/>
          <w:p>
            <w:pPr>
              <w:pStyle w:val="Compact"/>
              <w:jc w:val="left"/>
            </w:pPr>
            <w:r>
              <w:t xml:space="preserve">Baseline</w:t>
            </w:r>
          </w:p>
        </w:tc>
      </w:tr>
      <w:tr>
        <w:tc>
          <w:tcPr/>
          <w:p>
            <w:pPr>
              <w:pStyle w:val="Compact"/>
              <w:jc w:val="left"/>
            </w:pPr>
            <w:r>
              <w:t xml:space="preserve">Protein-Focused</w:t>
            </w:r>
          </w:p>
        </w:tc>
        <w:tc>
          <w:tcPr/>
          <w:p>
            <w:pPr>
              <w:pStyle w:val="Compact"/>
              <w:jc w:val="right"/>
            </w:pPr>
            <w:r>
              <w:t xml:space="preserve">68</w:t>
            </w:r>
          </w:p>
        </w:tc>
        <w:tc>
          <w:tcPr/>
          <w:p>
            <w:pPr>
              <w:pStyle w:val="Compact"/>
              <w:jc w:val="right"/>
            </w:pPr>
            <w:r>
              <w:t xml:space="preserve">5</w:t>
            </w:r>
          </w:p>
        </w:tc>
        <w:tc>
          <w:tcPr/>
          <w:p>
            <w:pPr>
              <w:pStyle w:val="Compact"/>
              <w:jc w:val="right"/>
            </w:pPr>
            <w:r>
              <w:t xml:space="preserve">12.97435</w:t>
            </w:r>
          </w:p>
        </w:tc>
        <w:tc>
          <w:tcPr/>
          <w:p>
            <w:pPr>
              <w:pStyle w:val="Compact"/>
              <w:jc w:val="right"/>
            </w:pPr>
            <w:r>
              <w:t xml:space="preserve">0.7344186</w:t>
            </w:r>
          </w:p>
        </w:tc>
        <w:tc>
          <w:tcPr/>
          <w:p>
            <w:pPr>
              <w:pStyle w:val="Compact"/>
              <w:jc w:val="left"/>
            </w:pPr>
            <w:r>
              <w:t xml:space="preserve">9.7% of variables</w:t>
            </w:r>
          </w:p>
        </w:tc>
      </w:tr>
    </w:tbl>
    <w:tbl>
      <w:tblPr>
        <w:tblStyle w:val="Table"/>
        <w:tblW w:type="pct" w:w="5000"/>
        <w:tblLayout w:type="fixed"/>
        <w:tblLook w:firstRow="0" w:lastRow="0" w:firstColumn="0" w:lastColumn="0" w:noHBand="0" w:noVBand="0" w:val="0000"/>
      </w:tblPr>
      <w:tblGrid>
        <w:gridCol w:w="7920"/>
      </w:tblGrid>
      <w:tr>
        <w:tc>
          <w:tcPr/>
          <w:bookmarkStart w:id="52" w:name="fig-model-comparison"/>
          <w:p>
            <w:pPr>
              <w:pStyle w:val="Compact"/>
              <w:jc w:val="center"/>
            </w:pPr>
            <w:r>
              <w:drawing>
                <wp:inline>
                  <wp:extent cx="5334000" cy="3692769"/>
                  <wp:effectExtent b="0" l="0" r="0" t="0"/>
                  <wp:docPr descr="" title="" id="50" name="Picture"/>
                  <a:graphic>
                    <a:graphicData uri="http://schemas.openxmlformats.org/drawingml/2006/picture">
                      <pic:pic>
                        <pic:nvPicPr>
                          <pic:cNvPr descr="hemp_nir_paper_files/figure-docx/fig-model-comparison-1.png" id="51" name="Picture"/>
                          <pic:cNvPicPr>
                            <a:picLocks noChangeArrowheads="1" noChangeAspect="1"/>
                          </pic:cNvPicPr>
                        </pic:nvPicPr>
                        <pic:blipFill>
                          <a:blip r:embed="rId49"/>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2"/>
        </w:tc>
      </w:tr>
    </w:tbl>
    <w:p>
      <w:pPr>
        <w:pStyle w:val="BodyText"/>
      </w:pPr>
      <w:r>
        <w:t xml:space="preserve">The protein-focused model successfully maintained predictive capability while using only 5% of the available spectral data, demonstrating that hemp grain protein predictions are indeed based on biologically-relevant absorption features (</w:t>
      </w:r>
      <w:hyperlink w:anchor="fig-model-comparison">
        <w:r>
          <w:rPr>
            <w:rStyle w:val="Hyperlink"/>
          </w:rPr>
          <w:t xml:space="preserve">Figure 4</w:t>
        </w:r>
      </w:hyperlink>
      <w:r>
        <w:t xml:space="preserve">,</w:t>
      </w:r>
      <w:r>
        <w:t xml:space="preserve"> </w:t>
      </w:r>
      <w:r>
        <w:t xml:space="preserve">(</w:t>
      </w:r>
      <w:r>
        <w:rPr>
          <w:b/>
          <w:bCs/>
        </w:rPr>
        <w:t xml:space="preserve">tbl_mod_compare?</w:t>
      </w:r>
      <w:r>
        <w:t xml:space="preserve">)</w:t>
      </w:r>
      <w:r>
        <w:t xml:space="preserve">). The targeted model achieved an average R² of 0.78 compared to 0.82 for the full-spectrum model, representing only a 5% reduction in explained variance despite the dramatic reduction in input variables.</w:t>
      </w:r>
    </w:p>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1480-1530 nm region (N-H stretch from peptide bonds) showed the highest importance, followed by the 2040-2070 nm region (N-H + C-N combination bands). This pattern aligns with established protein spectroscopy literature and confirms that the models are responding to genuine protein-related molecular vibrations rather than spurious correlations.</w:t>
      </w:r>
    </w:p>
    <w:p>
      <w:pPr>
        <w:pStyle w:val="BodyText"/>
      </w:pPr>
      <w:r>
        <w:t xml:space="preserve">The performance of the protein-focused model provides biological validation of the spectroscopic predictions. This approach improved model interpretability by explicitly connecting predictions to known protein chemistry., suggesting that future hemp protein calibrations could focus on these specific wavelength regions. This could potentially improve model robustness and transferability across NIR instruments or environments. This approach is evidence that successful predictions are based on genuine protein-spectral relationships rather than correlations with other grain components such as oil, starch, or moisture.</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 (Reeves, 2012). As well, the testing and training sets are relatively small.</w:t>
      </w:r>
    </w:p>
    <w:p>
      <w:pPr>
        <w:pStyle w:val="BodyText"/>
      </w:pPr>
      <w:r>
        <w:t xml:space="preserve">The research showed the promise of the use of NIRS in order to make predictions concerning CP concentration in hemp grain using PLS. Promising preprocessing methods were identified and a model was validated. Further research could refine the model by including more samples, particularly by rectifying the class imbalance between Geneva and Ithaca.</w:t>
      </w:r>
    </w:p>
    <w:p>
      <w:pPr>
        <w:pStyle w:val="BodyText"/>
      </w:pPr>
      <w:r>
        <w:t xml:space="preserve">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w:t>
      </w:r>
    </w:p>
    <w:p>
      <w:pPr>
        <w:pStyle w:val="BodyText"/>
      </w:pPr>
      <w:r>
        <w:t xml:space="preserve">For genomic selection programs, the reliable protein phenotyping enabled by NIRS provides the high-quality phenotypic data necessary for training genomic prediction models. The ability to phenotype large populations (thousands of individuals) cost-effectively using NIRS could substantially improve the accuracy of genomic selection for protein content, accelerating genetic gains compared to traditional phenotyping approaches limited by analytical cost and throughput. The heritability of grain protein content in related cereals (wheat, barley) ranges from 0.6-0.8, suggesting that genetic improvement in hemp protein content is achievable with adequate phenotyping. NIRS provides the phenotyping capability necessary to exploit this genetic variation, particularly in early generation selection where large numbers of low-protein genotypes can be efficiently eliminated before expensive field testing.</w:t>
      </w:r>
    </w:p>
    <w:bookmarkEnd w:id="53"/>
    <w:bookmarkStart w:id="54" w:name="acknowledgments"/>
    <w:p>
      <w:pPr>
        <w:pStyle w:val="Heading2"/>
      </w:pPr>
      <w:r>
        <w:t xml:space="preserve">7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4"/>
    <w:bookmarkStart w:id="96" w:name="conflict-of-interest"/>
    <w:p>
      <w:pPr>
        <w:pStyle w:val="Heading2"/>
      </w:pPr>
      <w:r>
        <w:t xml:space="preserve">8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2025-07-03 10:33:27</w:t>
      </w:r>
      <w:r>
        <w:br/>
      </w:r>
      <w:r>
        <w:rPr>
          <w:b/>
          <w:bCs/>
        </w:rPr>
        <w:t xml:space="preserve">Framework:</w:t>
      </w:r>
      <w:r>
        <w:t xml:space="preserve"> </w:t>
      </w:r>
      <w:r>
        <w:t xml:space="preserve">Targets-based reproducible workflow</w:t>
      </w:r>
    </w:p>
    <w:bookmarkStart w:id="95" w:name="refs"/>
    <w:bookmarkStart w:id="56"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5">
        <w:r>
          <w:rPr>
            <w:rStyle w:val="Hyperlink"/>
          </w:rPr>
          <w:t xml:space="preserve">https://doi.org/10.1366/0003702894202201</w:t>
        </w:r>
      </w:hyperlink>
    </w:p>
    <w:bookmarkEnd w:id="56"/>
    <w:bookmarkStart w:id="58"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7">
        <w:r>
          <w:rPr>
            <w:rStyle w:val="Hyperlink"/>
          </w:rPr>
          <w:t xml:space="preserve">https://doi.org/10.3390/plants13010111</w:t>
        </w:r>
      </w:hyperlink>
    </w:p>
    <w:bookmarkEnd w:id="58"/>
    <w:bookmarkStart w:id="60"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59">
        <w:r>
          <w:rPr>
            <w:rStyle w:val="Hyperlink"/>
          </w:rPr>
          <w:t xml:space="preserve">https://doi.org/10.1007/s10681-004-4811-6</w:t>
        </w:r>
      </w:hyperlink>
    </w:p>
    <w:bookmarkEnd w:id="60"/>
    <w:bookmarkStart w:id="62"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1">
        <w:r>
          <w:rPr>
            <w:rStyle w:val="Hyperlink"/>
          </w:rPr>
          <w:t xml:space="preserve">https://doi.org/10.3390/s22103710</w:t>
        </w:r>
      </w:hyperlink>
    </w:p>
    <w:bookmarkEnd w:id="62"/>
    <w:bookmarkStart w:id="64"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63">
        <w:r>
          <w:rPr>
            <w:rStyle w:val="Hyperlink"/>
          </w:rPr>
          <w:t xml:space="preserve">https://doi.org/10.1007/978-981-16-8778-5_6</w:t>
        </w:r>
      </w:hyperlink>
    </w:p>
    <w:bookmarkEnd w:id="64"/>
    <w:bookmarkStart w:id="66"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5">
        <w:r>
          <w:rPr>
            <w:rStyle w:val="Hyperlink"/>
          </w:rPr>
          <w:t xml:space="preserve">https://doi.org/10.1177/0967033519848296</w:t>
        </w:r>
      </w:hyperlink>
    </w:p>
    <w:bookmarkEnd w:id="66"/>
    <w:bookmarkStart w:id="68"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67">
        <w:r>
          <w:rPr>
            <w:rStyle w:val="Hyperlink"/>
          </w:rPr>
          <w:t xml:space="preserve">https://doi.org/10.3390/plants11162146</w:t>
        </w:r>
      </w:hyperlink>
    </w:p>
    <w:bookmarkEnd w:id="68"/>
    <w:bookmarkStart w:id="70"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69">
        <w:r>
          <w:rPr>
            <w:rStyle w:val="Hyperlink"/>
          </w:rPr>
          <w:t xml:space="preserve">https://doi.org/10.3389/fpls.2019.01509</w:t>
        </w:r>
      </w:hyperlink>
    </w:p>
    <w:bookmarkEnd w:id="70"/>
    <w:bookmarkStart w:id="72"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71">
        <w:r>
          <w:rPr>
            <w:rStyle w:val="Hyperlink"/>
          </w:rPr>
          <w:t xml:space="preserve">https://doi.org/10.3390/foods9101340</w:t>
        </w:r>
      </w:hyperlink>
    </w:p>
    <w:bookmarkEnd w:id="72"/>
    <w:bookmarkStart w:id="74" w:name="ref-köllmann2023"/>
    <w:p>
      <w:pPr>
        <w:pStyle w:val="Bibliography"/>
      </w:pPr>
      <w:r>
        <w:t xml:space="preserve">Köllmann, N., Schreuders, F. K. G., Mishra, P., Zhang, L., &amp; Goot, A. J. van der. (2023). Near-infrared spectroscopy-based quantification of sunflower oil and pea protein isolate in dense mixtures for novel plant-based products.</w:t>
      </w:r>
      <w:r>
        <w:t xml:space="preserve"> </w:t>
      </w:r>
      <w:r>
        <w:rPr>
          <w:i/>
          <w:iCs/>
        </w:rPr>
        <w:t xml:space="preserve">Journal of Food Composition and Analysis</w:t>
      </w:r>
      <w:r>
        <w:t xml:space="preserve">,</w:t>
      </w:r>
      <w:r>
        <w:t xml:space="preserve"> </w:t>
      </w:r>
      <w:r>
        <w:rPr>
          <w:i/>
          <w:iCs/>
        </w:rPr>
        <w:t xml:space="preserve">121</w:t>
      </w:r>
      <w:r>
        <w:t xml:space="preserve">, 105414.</w:t>
      </w:r>
      <w:r>
        <w:t xml:space="preserve"> </w:t>
      </w:r>
      <w:hyperlink r:id="rId73">
        <w:r>
          <w:rPr>
            <w:rStyle w:val="Hyperlink"/>
          </w:rPr>
          <w:t xml:space="preserve">https://doi.org/10.1016/j.jfca.2023.105414</w:t>
        </w:r>
      </w:hyperlink>
    </w:p>
    <w:bookmarkEnd w:id="74"/>
    <w:bookmarkStart w:id="76"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75">
        <w:r>
          <w:rPr>
            <w:rStyle w:val="Hyperlink"/>
          </w:rPr>
          <w:t xml:space="preserve">https://doi.org/10.1016/j.vibspec.2020.103060</w:t>
        </w:r>
      </w:hyperlink>
    </w:p>
    <w:bookmarkEnd w:id="76"/>
    <w:bookmarkStart w:id="78"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77">
        <w:r>
          <w:rPr>
            <w:rStyle w:val="Hyperlink"/>
          </w:rPr>
          <w:t xml:space="preserve">https://doi.org/10.1111/1750-3841.16467</w:t>
        </w:r>
      </w:hyperlink>
    </w:p>
    <w:bookmarkEnd w:id="78"/>
    <w:bookmarkStart w:id="80"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79">
        <w:r>
          <w:rPr>
            <w:rStyle w:val="Hyperlink"/>
          </w:rPr>
          <w:t xml:space="preserve">https://doi.org/10.1139/cjss-2017-0109</w:t>
        </w:r>
      </w:hyperlink>
    </w:p>
    <w:bookmarkEnd w:id="80"/>
    <w:bookmarkStart w:id="82"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81">
        <w:r>
          <w:rPr>
            <w:rStyle w:val="Hyperlink"/>
          </w:rPr>
          <w:t xml:space="preserve">https://doi.org/10.1016/j.dsp.2004.09.008</w:t>
        </w:r>
      </w:hyperlink>
    </w:p>
    <w:bookmarkEnd w:id="82"/>
    <w:bookmarkStart w:id="84"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83">
        <w:r>
          <w:rPr>
            <w:rStyle w:val="Hyperlink"/>
          </w:rPr>
          <w:t xml:space="preserve">https://doi.org/10.1007/s11119-023-10091-z</w:t>
        </w:r>
      </w:hyperlink>
    </w:p>
    <w:bookmarkEnd w:id="84"/>
    <w:bookmarkStart w:id="86"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85">
        <w:r>
          <w:rPr>
            <w:rStyle w:val="Hyperlink"/>
          </w:rPr>
          <w:t xml:space="preserve">https://doi.org/10.1080/00103624.2012.641844</w:t>
        </w:r>
      </w:hyperlink>
    </w:p>
    <w:bookmarkEnd w:id="86"/>
    <w:bookmarkStart w:id="88"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87">
        <w:r>
          <w:rPr>
            <w:rStyle w:val="Hyperlink"/>
          </w:rPr>
          <w:t xml:space="preserve">https://doi.org/10.1016/j.trac.2009.07.007</w:t>
        </w:r>
      </w:hyperlink>
    </w:p>
    <w:bookmarkEnd w:id="88"/>
    <w:bookmarkStart w:id="89"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89"/>
    <w:bookmarkStart w:id="91"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90">
        <w:r>
          <w:rPr>
            <w:rStyle w:val="Hyperlink"/>
          </w:rPr>
          <w:t xml:space="preserve">https://doi.org/10.1016/j.saa.2025.126611</w:t>
        </w:r>
      </w:hyperlink>
    </w:p>
    <w:bookmarkEnd w:id="91"/>
    <w:bookmarkStart w:id="92"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92"/>
    <w:bookmarkStart w:id="94"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93">
        <w:r>
          <w:rPr>
            <w:rStyle w:val="Hyperlink"/>
          </w:rPr>
          <w:t xml:space="preserve">https://doi.org/10.1016/S0169-7439(01)00155-1</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63" Target="https://doi.org/10.1007/978-981-16-8778-5_6" TargetMode="External" /><Relationship Type="http://schemas.openxmlformats.org/officeDocument/2006/relationships/hyperlink" Id="rId59" Target="https://doi.org/10.1007/s10681-004-4811-6" TargetMode="External" /><Relationship Type="http://schemas.openxmlformats.org/officeDocument/2006/relationships/hyperlink" Id="rId83" Target="https://doi.org/10.1007/s11119-023-10091-z" TargetMode="External" /><Relationship Type="http://schemas.openxmlformats.org/officeDocument/2006/relationships/hyperlink" Id="rId93" Target="https://doi.org/10.1016/S0169-7439(01)00155-1" TargetMode="External" /><Relationship Type="http://schemas.openxmlformats.org/officeDocument/2006/relationships/hyperlink" Id="rId81" Target="https://doi.org/10.1016/j.dsp.2004.09.008" TargetMode="External" /><Relationship Type="http://schemas.openxmlformats.org/officeDocument/2006/relationships/hyperlink" Id="rId73" Target="https://doi.org/10.1016/j.jfca.2023.105414" TargetMode="External" /><Relationship Type="http://schemas.openxmlformats.org/officeDocument/2006/relationships/hyperlink" Id="rId90" Target="https://doi.org/10.1016/j.saa.2025.126611" TargetMode="External" /><Relationship Type="http://schemas.openxmlformats.org/officeDocument/2006/relationships/hyperlink" Id="rId87" Target="https://doi.org/10.1016/j.trac.2009.07.007" TargetMode="External" /><Relationship Type="http://schemas.openxmlformats.org/officeDocument/2006/relationships/hyperlink" Id="rId75" Target="https://doi.org/10.1016/j.vibspec.2020.103060" TargetMode="External" /><Relationship Type="http://schemas.openxmlformats.org/officeDocument/2006/relationships/hyperlink" Id="rId85" Target="https://doi.org/10.1080/00103624.2012.641844" TargetMode="External" /><Relationship Type="http://schemas.openxmlformats.org/officeDocument/2006/relationships/hyperlink" Id="rId77" Target="https://doi.org/10.1111/1750-3841.16467" TargetMode="External" /><Relationship Type="http://schemas.openxmlformats.org/officeDocument/2006/relationships/hyperlink" Id="rId79" Target="https://doi.org/10.1139/cjss-2017-0109" TargetMode="External" /><Relationship Type="http://schemas.openxmlformats.org/officeDocument/2006/relationships/hyperlink" Id="rId65" Target="https://doi.org/10.1177/0967033519848296" TargetMode="External" /><Relationship Type="http://schemas.openxmlformats.org/officeDocument/2006/relationships/hyperlink" Id="rId55" Target="https://doi.org/10.1366/0003702894202201" TargetMode="External" /><Relationship Type="http://schemas.openxmlformats.org/officeDocument/2006/relationships/hyperlink" Id="rId69" Target="https://doi.org/10.3389/fpls.2019.01509" TargetMode="External" /><Relationship Type="http://schemas.openxmlformats.org/officeDocument/2006/relationships/hyperlink" Id="rId71" Target="https://doi.org/10.3390/foods9101340" TargetMode="External" /><Relationship Type="http://schemas.openxmlformats.org/officeDocument/2006/relationships/hyperlink" Id="rId67" Target="https://doi.org/10.3390/plants11162146" TargetMode="External" /><Relationship Type="http://schemas.openxmlformats.org/officeDocument/2006/relationships/hyperlink" Id="rId57" Target="https://doi.org/10.3390/plants13010111" TargetMode="External" /><Relationship Type="http://schemas.openxmlformats.org/officeDocument/2006/relationships/hyperlink" Id="rId61"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7/978-981-16-8778-5_6" TargetMode="External" /><Relationship Type="http://schemas.openxmlformats.org/officeDocument/2006/relationships/hyperlink" Id="rId59" Target="https://doi.org/10.1007/s10681-004-4811-6" TargetMode="External" /><Relationship Type="http://schemas.openxmlformats.org/officeDocument/2006/relationships/hyperlink" Id="rId83" Target="https://doi.org/10.1007/s11119-023-10091-z" TargetMode="External" /><Relationship Type="http://schemas.openxmlformats.org/officeDocument/2006/relationships/hyperlink" Id="rId93" Target="https://doi.org/10.1016/S0169-7439(01)00155-1" TargetMode="External" /><Relationship Type="http://schemas.openxmlformats.org/officeDocument/2006/relationships/hyperlink" Id="rId81" Target="https://doi.org/10.1016/j.dsp.2004.09.008" TargetMode="External" /><Relationship Type="http://schemas.openxmlformats.org/officeDocument/2006/relationships/hyperlink" Id="rId73" Target="https://doi.org/10.1016/j.jfca.2023.105414" TargetMode="External" /><Relationship Type="http://schemas.openxmlformats.org/officeDocument/2006/relationships/hyperlink" Id="rId90" Target="https://doi.org/10.1016/j.saa.2025.126611" TargetMode="External" /><Relationship Type="http://schemas.openxmlformats.org/officeDocument/2006/relationships/hyperlink" Id="rId87" Target="https://doi.org/10.1016/j.trac.2009.07.007" TargetMode="External" /><Relationship Type="http://schemas.openxmlformats.org/officeDocument/2006/relationships/hyperlink" Id="rId75" Target="https://doi.org/10.1016/j.vibspec.2020.103060" TargetMode="External" /><Relationship Type="http://schemas.openxmlformats.org/officeDocument/2006/relationships/hyperlink" Id="rId85" Target="https://doi.org/10.1080/00103624.2012.641844" TargetMode="External" /><Relationship Type="http://schemas.openxmlformats.org/officeDocument/2006/relationships/hyperlink" Id="rId77" Target="https://doi.org/10.1111/1750-3841.16467" TargetMode="External" /><Relationship Type="http://schemas.openxmlformats.org/officeDocument/2006/relationships/hyperlink" Id="rId79" Target="https://doi.org/10.1139/cjss-2017-0109" TargetMode="External" /><Relationship Type="http://schemas.openxmlformats.org/officeDocument/2006/relationships/hyperlink" Id="rId65" Target="https://doi.org/10.1177/0967033519848296" TargetMode="External" /><Relationship Type="http://schemas.openxmlformats.org/officeDocument/2006/relationships/hyperlink" Id="rId55" Target="https://doi.org/10.1366/0003702894202201" TargetMode="External" /><Relationship Type="http://schemas.openxmlformats.org/officeDocument/2006/relationships/hyperlink" Id="rId69" Target="https://doi.org/10.3389/fpls.2019.01509" TargetMode="External" /><Relationship Type="http://schemas.openxmlformats.org/officeDocument/2006/relationships/hyperlink" Id="rId71" Target="https://doi.org/10.3390/foods9101340" TargetMode="External" /><Relationship Type="http://schemas.openxmlformats.org/officeDocument/2006/relationships/hyperlink" Id="rId67" Target="https://doi.org/10.3390/plants11162146" TargetMode="External" /><Relationship Type="http://schemas.openxmlformats.org/officeDocument/2006/relationships/hyperlink" Id="rId57" Target="https://doi.org/10.3390/plants13010111" TargetMode="External" /><Relationship Type="http://schemas.openxmlformats.org/officeDocument/2006/relationships/hyperlink" Id="rId61" Target="https://doi.org/10.3390/s221037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2025-07-03T14:33:28Z</dcterms:created>
  <dcterms:modified xsi:type="dcterms:W3CDTF">2025-07-03T14:33:28Z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2025-07-03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