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9.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2025-07-03</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CP concentration</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spectroscopic applications, particularly where non-linear relationships exist between spectral features and analyte concentrations</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w:t>
      </w:r>
      <w:r>
        <w:rPr>
          <w:b/>
          <w:bCs/>
        </w:rPr>
        <w:t xml:space="preserve">chadalavada2022?</w:t>
      </w:r>
      <w:r>
        <w:t xml:space="preserve">;</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spectroscopic predictions can be enhanced through targeted analysis of wavelength regions corresponding to known molecular absorption bands. Models developed using biologically-relevant wavelengths are evidence that predictions are based on true protein-spectral relationships rather than spurious correlations with other grain components. Three spectral regions with established vibrational assignments are: 1180-1230 nm (C-H stretch 2nd overtone from amino acid side chains), 1480-1530 nm (N-H stretch 1st overtone from peptide bonds), 2040-2070 nm (N-H + C-N combination bands)</w:t>
      </w:r>
      <w:r>
        <w:t xml:space="preserve"> </w:t>
      </w:r>
      <w:r>
        <w:t xml:space="preserve">(Köllmann et al., 2023;</w:t>
      </w:r>
      <w:r>
        <w:t xml:space="preserve"> </w:t>
      </w:r>
      <w:r>
        <w:rPr>
          <w:b/>
          <w:bCs/>
        </w:rPr>
        <w:t xml:space="preserve">shi2022?</w:t>
      </w:r>
      <w:r>
        <w:t xml:space="preserve">)</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Non-destructive sampling of grain is attractive for plant breeders. 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w:t>
      </w:r>
      <w:r>
        <w:rPr>
          <w:b/>
          <w:bCs/>
        </w:rPr>
        <w:t xml:space="preserve">nogales-bueno2021?</w:t>
      </w:r>
      <w:r>
        <w:t xml:space="preserve">)</w:t>
      </w:r>
      <w:r>
        <w:t xml:space="preserve">. Prior to selection, spectra were preprocessed using SNV (standard normal variate)-detrend with settings 1,4,4,1 for the derivative, gap, smooth, and smooth-two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RMSE in selecting the number of components in the final model.</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optimze the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Each algorithm was permitted optimal hyperparameter tuning using R’s caret package to ensure fair comparison.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wavelengths. Performance was compared to the full-spectrum model to assess whether targeted wavelength selection could maintain prediction accuracy while providing greater biological interpretability.</w:t>
      </w:r>
    </w:p>
    <w:bookmarkEnd w:id="26"/>
    <w:bookmarkEnd w:id="27"/>
    <w:bookmarkStart w:id="33"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2</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protein-summary"/>
          <w:p>
            <w:pPr>
              <w:jc w:val="center"/>
            </w:pPr>
            <w:pPr>
              <w:jc w:val="start"/>
              <w:spacing w:before="200"/>
              <w:pStyle w:val="ImageCaption"/>
            </w:pPr>
            <w:r>
              <w:t xml:space="preserve">Table 2: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bookmarkEnd w:id="29"/>
    <w:bookmarkStart w:id="30" w:name="preprocessing-methods-comparison"/>
    <w:p>
      <w:pPr>
        <w:pStyle w:val="Heading3"/>
      </w:pPr>
      <w:r>
        <w:t xml:space="preserve">3.2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bookmarkEnd w:id="30"/>
    <w:bookmarkStart w:id="32" w:name="preprocessing-methods-comparison-1"/>
    <w:p>
      <w:pPr>
        <w:pStyle w:val="Heading3"/>
      </w:pPr>
      <w:r>
        <w:t xml:space="preserve">3.3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3: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First derivative</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Savitzky-Golay smoothing</w:t>
                  </w:r>
                </w:p>
              </w:tc>
              <w:tc>
                <w:tcPr/>
                <w:p>
                  <w:pPr>
                    <w:pStyle w:val="Compact"/>
                    <w:jc w:val="left"/>
                    <w:jc w:val="center"/>
                  </w:pPr>
                  <w:r>
                    <w:t xml:space="preserve">10.8 ± 1.5</w:t>
                  </w:r>
                </w:p>
              </w:tc>
              <w:tc>
                <w:tcPr/>
                <w:p>
                  <w:pPr>
                    <w:pStyle w:val="Compact"/>
                    <w:jc w:val="left"/>
                    <w:jc w:val="center"/>
                  </w:pPr>
                  <w:r>
                    <w:t xml:space="preserve">0.817 ± 0.063</w:t>
                  </w:r>
                </w:p>
              </w:tc>
              <w:tc>
                <w:tcPr/>
                <w:p>
                  <w:pPr>
                    <w:pStyle w:val="Compact"/>
                    <w:jc w:val="left"/>
                    <w:jc w:val="center"/>
                  </w:pPr>
                  <w:r>
                    <w:t xml:space="preserve">2.36 ± 0.40</w:t>
                  </w:r>
                </w:p>
              </w:tc>
              <w:tc>
                <w:tcPr/>
                <w:p>
                  <w:pPr>
                    <w:pStyle w:val="Compact"/>
                    <w:jc w:val="left"/>
                    <w:jc w:val="center"/>
                  </w:pPr>
                  <w:r>
                    <w:t xml:space="preserve">3.84 ± 0.88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End w:id="33"/>
    <w:bookmarkStart w:id="35" w:name="algorithm-comparison"/>
    <w:p>
      <w:pPr>
        <w:pStyle w:val="Heading2"/>
      </w:pPr>
      <w:r>
        <w:t xml:space="preserve">4 Algorithm comparison</w:t>
      </w:r>
    </w:p>
    <w:tbl>
      <w:tblPr>
        <w:tblStyle w:val="Table"/>
        <w:tblW w:type="pct" w:w="5000"/>
        <w:tblLayout w:type="fixed"/>
        <w:tblLook w:firstRow="0" w:lastRow="0" w:firstColumn="0" w:lastColumn="0" w:noHBand="0" w:noVBand="0" w:val="0000"/>
      </w:tblPr>
      <w:tblGrid>
        <w:gridCol w:w="7920"/>
      </w:tblGrid>
      <w:tr>
        <w:tc>
          <w:tcPr/>
          <w:bookmarkStart w:id="34" w:name="tbl-algorithm-comparison"/>
          <w:p>
            <w:pPr>
              <w:jc w:val="center"/>
            </w:pPr>
            <w:pPr>
              <w:jc w:val="start"/>
              <w:spacing w:before="200"/>
              <w:pStyle w:val="ImageCaption"/>
            </w:pPr>
            <w:r>
              <w:t xml:space="preserve">Table 4: Performance comparison of machine learning algorithms for hemp grain protein prediction</w:t>
            </w:r>
          </w:p>
          <w:tbl>
            <w:tblPr>
              <w:tblStyle w:val="Table"/>
              <w:tblW w:type="pct" w:w="5000"/>
              <w:tblLayout w:type="fixed"/>
              <w:tblLook w:firstRow="1" w:lastRow="0" w:firstColumn="0" w:lastColumn="0" w:noHBand="0" w:noVBand="0" w:val="0020"/>
            </w:tblPr>
            <w:tblGrid>
              <w:gridCol w:w="1380"/>
              <w:gridCol w:w="1020"/>
              <w:gridCol w:w="960"/>
              <w:gridCol w:w="840"/>
              <w:gridCol w:w="840"/>
              <w:gridCol w:w="1560"/>
              <w:gridCol w:w="1320"/>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Quantitative Capable (%)</w:t>
                  </w:r>
                </w:p>
              </w:tc>
              <w:tc>
                <w:tcPr/>
                <w:p>
                  <w:pPr>
                    <w:pStyle w:val="Compact"/>
                    <w:jc w:val="center"/>
                    <w:jc w:val="center"/>
                  </w:pPr>
                  <w:r>
                    <w:t xml:space="preserve">Total Acceptable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86%</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24%</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45%</w:t>
                  </w:r>
                </w:p>
              </w:tc>
              <w:tc>
                <w:tcPr/>
                <w:p>
                  <w:pPr>
                    <w:pStyle w:val="Compact"/>
                    <w:jc w:val="center"/>
                    <w:jc w:val="center"/>
                  </w:pPr>
                  <w:r>
                    <w:t xml:space="preserve">97%</w:t>
                  </w:r>
                </w:p>
              </w:tc>
            </w:tr>
          </w:tbl>
          <w:p>
            <w:pPr>
              <w:jc w:val="center"/>
            </w:pPr>
            <w:r>
              <w:t xml:space="preserve">Comparing algorithms</w:t>
            </w:r>
          </w:p>
          <w:bookmarkEnd w:id="34"/>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4</w:t>
        </w:r>
      </w:hyperlink>
      <w:r>
        <w:t xml:space="preserve">). This suggests that the spectral features captured by PLSR are well-suited for hemp grain protein prediction, while the additional complexity of non-linear algorithms did not provide predictive advantage. The superior performance of PLSR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5"/>
    <w:bookmarkStart w:id="48" w:name="final-model-development-and-summary"/>
    <w:p>
      <w:pPr>
        <w:pStyle w:val="Heading2"/>
      </w:pPr>
      <w:r>
        <w:t xml:space="preserve">5 Final model development and summary</w:t>
      </w:r>
    </w:p>
    <w:p>
      <w:pPr>
        <w:pStyle w:val="FirstParagraph"/>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model-calibration"/>
          <w:p>
            <w:pPr>
              <w:pStyle w:val="Compact"/>
              <w:jc w:val="center"/>
            </w:pPr>
            <w:r>
              <w:drawing>
                <wp:inline>
                  <wp:extent cx="5334000" cy="3692769"/>
                  <wp:effectExtent b="0" l="0" r="0" t="0"/>
                  <wp:docPr descr="" title="" id="37" name="Picture"/>
                  <a:graphic>
                    <a:graphicData uri="http://schemas.openxmlformats.org/drawingml/2006/picture">
                      <pic:pic>
                        <pic:nvPicPr>
                          <pic:cNvPr descr="hemp_nir_paper_files/figure-docx/fig-model-calibration-1.png" id="38" name="Picture"/>
                          <pic:cNvPicPr>
                            <a:picLocks noChangeArrowheads="1" noChangeAspect="1"/>
                          </pic:cNvPicPr>
                        </pic:nvPicPr>
                        <pic:blipFill>
                          <a:blip r:embed="rId36"/>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9"/>
        </w:tc>
      </w:tr>
    </w:tbl>
    <w:p>
      <w:pPr>
        <w:pStyle w:val="BodyText"/>
      </w:pPr>
      <w:r>
        <w:t xml:space="preserve">The performance of the final models on the testing sets are summarized in</w:t>
      </w:r>
      <w:r>
        <w:t xml:space="preserve"> </w:t>
      </w:r>
      <w:hyperlink w:anchor="fig-performance-boxplot">
        <w:r>
          <w:rPr>
            <w:rStyle w:val="Hyperlink"/>
          </w:rPr>
          <w:t xml:space="preserve">Figure 2</w:t>
        </w:r>
      </w:hyperlink>
      <w:r>
        <w:t xml:space="preserve">. The means of the final models were: RMSE = NA, R</w:t>
      </w:r>
      <w:r>
        <w:rPr>
          <w:vertAlign w:val="superscript"/>
        </w:rPr>
        <w:t xml:space="preserve">2</w:t>
      </w:r>
      <w:r>
        <w:t xml:space="preserve"> </w:t>
      </w:r>
      <w:r>
        <w:t xml:space="preserve">= NA, RPD = NA, and RPIQ = NA. Seventy-four percent of the models had, at minimum, the ability to distinguish between high and low values with % having the ability for quantitative prediction. Despite the generally good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3" w:name="fig-performance-boxplot"/>
          <w:p>
            <w:pPr>
              <w:pStyle w:val="Compact"/>
              <w:jc w:val="center"/>
            </w:pPr>
            <w:r>
              <w:drawing>
                <wp:inline>
                  <wp:extent cx="5334000" cy="3692769"/>
                  <wp:effectExtent b="0" l="0" r="0" t="0"/>
                  <wp:docPr descr="" title="" id="41" name="Picture"/>
                  <a:graphic>
                    <a:graphicData uri="http://schemas.openxmlformats.org/drawingml/2006/picture">
                      <pic:pic>
                        <pic:nvPicPr>
                          <pic:cNvPr descr="hemp_nir_paper_files/figure-docx/fig-performance-boxplot-1.png" id="42" name="Picture"/>
                          <pic:cNvPicPr>
                            <a:picLocks noChangeArrowheads="1" noChangeAspect="1"/>
                          </pic:cNvPicPr>
                        </pic:nvPicPr>
                        <pic:blipFill>
                          <a:blip r:embed="rId40"/>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3"/>
        </w:tc>
      </w:tr>
    </w:tbl>
    <w:p>
      <w:pPr>
        <w:pStyle w:val="BodyText"/>
      </w:pPr>
      <w:r>
        <w:t xml:space="preserve">Finally, 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7" w:name="fig-validation-errors"/>
          <w:p>
            <w:pPr>
              <w:pStyle w:val="Compact"/>
              <w:jc w:val="center"/>
            </w:pPr>
            <w:r>
              <w:drawing>
                <wp:inline>
                  <wp:extent cx="5334000" cy="3692769"/>
                  <wp:effectExtent b="0" l="0" r="0" t="0"/>
                  <wp:docPr descr="" title="" id="45" name="Picture"/>
                  <a:graphic>
                    <a:graphicData uri="http://schemas.openxmlformats.org/drawingml/2006/picture">
                      <pic:pic>
                        <pic:nvPicPr>
                          <pic:cNvPr descr="hemp_nir_paper_files/figure-docx/fig-validation-errors-1.png" id="46" name="Picture"/>
                          <pic:cNvPicPr>
                            <a:picLocks noChangeArrowheads="1" noChangeAspect="1"/>
                          </pic:cNvPicPr>
                        </pic:nvPicPr>
                        <pic:blipFill>
                          <a:blip r:embed="rId44"/>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7"/>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However, the exact reason for these differences is unknowable.</w:t>
      </w:r>
    </w:p>
    <w:bookmarkEnd w:id="48"/>
    <w:bookmarkStart w:id="53" w:name="protein-focused-model-validation"/>
    <w:p>
      <w:pPr>
        <w:pStyle w:val="Heading2"/>
      </w:pPr>
      <w:r>
        <w:t xml:space="preserve">6 Protein-Focused Model Validation</w:t>
      </w:r>
    </w:p>
    <w:p>
      <w:pPr>
        <w:pStyle w:val="FirstParagraph"/>
      </w:pPr>
      <w:r>
        <w:t xml:space="preserve">The biological basis of the NIRS predictions was validated by developing a protein-focused model using wavelengths within known protein absorption bands.</w:t>
      </w:r>
    </w:p>
    <w:p>
      <w:pPr>
        <w:pStyle w:val="TableCaption"/>
      </w:pPr>
      <w:r>
        <w:t xml:space="preserve">Enhanced performance comparison demonstrating biological validation through protein-specific wavelength selection</w:t>
      </w:r>
    </w:p>
    <w:tbl>
      <w:tblPr>
        <w:tblStyle w:val="Table"/>
        <w:tblW w:type="pct" w:w="5000"/>
        <w:tblLayout w:type="fixed"/>
        <w:tblLook w:firstRow="1" w:lastRow="0" w:firstColumn="0" w:lastColumn="0" w:noHBand="0" w:noVBand="0" w:val="0020"/>
        <w:tblCaption w:val="Enhanced performance comparison demonstrating biological validation through protein-specific wavelength selection"/>
      </w:tblPr>
      <w:tblGrid>
        <w:gridCol w:w="1667"/>
        <w:gridCol w:w="1250"/>
        <w:gridCol w:w="1146"/>
        <w:gridCol w:w="937"/>
        <w:gridCol w:w="1042"/>
        <w:gridCol w:w="1875"/>
      </w:tblGrid>
      <w:tr>
        <w:trPr>
          <w:tblHeader w:val="on"/>
        </w:trPr>
        <w:tc>
          <w:tcPr/>
          <w:p>
            <w:pPr>
              <w:pStyle w:val="Compact"/>
              <w:jc w:val="left"/>
            </w:pPr>
            <w:r>
              <w:t xml:space="preserve">Model</w:t>
            </w:r>
          </w:p>
        </w:tc>
        <w:tc>
          <w:tcPr/>
          <w:p>
            <w:pPr>
              <w:pStyle w:val="Compact"/>
              <w:jc w:val="right"/>
            </w:pPr>
            <w:r>
              <w:t xml:space="preserve">Wavelengths</w:t>
            </w:r>
          </w:p>
        </w:tc>
        <w:tc>
          <w:tcPr/>
          <w:p>
            <w:pPr>
              <w:pStyle w:val="Compact"/>
              <w:jc w:val="right"/>
            </w:pPr>
            <w:r>
              <w:t xml:space="preserve">Components</w:t>
            </w:r>
          </w:p>
        </w:tc>
        <w:tc>
          <w:tcPr/>
          <w:p>
            <w:pPr>
              <w:pStyle w:val="Compact"/>
              <w:jc w:val="right"/>
            </w:pPr>
            <w:r>
              <w:t xml:space="preserve">RMSE</w:t>
            </w:r>
          </w:p>
        </w:tc>
        <w:tc>
          <w:tcPr/>
          <w:p>
            <w:pPr>
              <w:pStyle w:val="Compact"/>
              <w:jc w:val="right"/>
            </w:pPr>
            <w:r>
              <w:t xml:space="preserve">R_squared</w:t>
            </w:r>
          </w:p>
        </w:tc>
        <w:tc>
          <w:tcPr/>
          <w:p>
            <w:pPr>
              <w:pStyle w:val="Compact"/>
              <w:jc w:val="left"/>
            </w:pPr>
            <w:r>
              <w:t xml:space="preserve">Efficiency</w:t>
            </w:r>
          </w:p>
        </w:tc>
      </w:tr>
      <w:tr>
        <w:tc>
          <w:tcPr/>
          <w:p>
            <w:pPr>
              <w:pStyle w:val="Compact"/>
              <w:jc w:val="left"/>
            </w:pPr>
            <w:r>
              <w:t xml:space="preserve">Full Spectrum</w:t>
            </w:r>
          </w:p>
        </w:tc>
        <w:tc>
          <w:tcPr/>
          <w:p>
            <w:pPr>
              <w:pStyle w:val="Compact"/>
              <w:jc w:val="right"/>
            </w:pPr>
            <w:r>
              <w:t xml:space="preserve">700</w:t>
            </w:r>
          </w:p>
        </w:tc>
        <w:tc>
          <w:tcPr/>
          <w:p>
            <w:pPr>
              <w:pStyle w:val="Compact"/>
              <w:jc w:val="right"/>
            </w:pPr>
            <w:r>
              <w:t xml:space="preserve">15</w:t>
            </w:r>
          </w:p>
        </w:tc>
        <w:tc>
          <w:tcPr/>
          <w:p>
            <w:pPr>
              <w:pStyle w:val="Compact"/>
              <w:jc w:val="right"/>
            </w:pPr>
            <w:r>
              <w:t xml:space="preserve">10.02667</w:t>
            </w:r>
          </w:p>
        </w:tc>
        <w:tc>
          <w:tcPr/>
          <w:p>
            <w:pPr>
              <w:pStyle w:val="Compact"/>
              <w:jc w:val="right"/>
            </w:pPr>
            <w:r>
              <w:t xml:space="preserve">0.8411829</w:t>
            </w:r>
          </w:p>
        </w:tc>
        <w:tc>
          <w:tcPr/>
          <w:p>
            <w:pPr>
              <w:pStyle w:val="Compact"/>
              <w:jc w:val="left"/>
            </w:pPr>
            <w:r>
              <w:t xml:space="preserve">Baseline</w:t>
            </w:r>
          </w:p>
        </w:tc>
      </w:tr>
      <w:tr>
        <w:tc>
          <w:tcPr/>
          <w:p>
            <w:pPr>
              <w:pStyle w:val="Compact"/>
              <w:jc w:val="left"/>
            </w:pPr>
            <w:r>
              <w:t xml:space="preserve">Protein-Focused</w:t>
            </w:r>
          </w:p>
        </w:tc>
        <w:tc>
          <w:tcPr/>
          <w:p>
            <w:pPr>
              <w:pStyle w:val="Compact"/>
              <w:jc w:val="right"/>
            </w:pPr>
            <w:r>
              <w:t xml:space="preserve">68</w:t>
            </w:r>
          </w:p>
        </w:tc>
        <w:tc>
          <w:tcPr/>
          <w:p>
            <w:pPr>
              <w:pStyle w:val="Compact"/>
              <w:jc w:val="right"/>
            </w:pPr>
            <w:r>
              <w:t xml:space="preserve">5</w:t>
            </w:r>
          </w:p>
        </w:tc>
        <w:tc>
          <w:tcPr/>
          <w:p>
            <w:pPr>
              <w:pStyle w:val="Compact"/>
              <w:jc w:val="right"/>
            </w:pPr>
            <w:r>
              <w:t xml:space="preserve">12.97435</w:t>
            </w:r>
          </w:p>
        </w:tc>
        <w:tc>
          <w:tcPr/>
          <w:p>
            <w:pPr>
              <w:pStyle w:val="Compact"/>
              <w:jc w:val="right"/>
            </w:pPr>
            <w:r>
              <w:t xml:space="preserve">0.7344186</w:t>
            </w:r>
          </w:p>
        </w:tc>
        <w:tc>
          <w:tcPr/>
          <w:p>
            <w:pPr>
              <w:pStyle w:val="Compact"/>
              <w:jc w:val="left"/>
            </w:pPr>
            <w:r>
              <w:t xml:space="preserve">9.7% of variables</w:t>
            </w:r>
          </w:p>
        </w:tc>
      </w:tr>
    </w:tbl>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334000" cy="3692769"/>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w:t>
      </w:r>
      <w:r>
        <w:t xml:space="preserve"> </w:t>
      </w:r>
      <w:r>
        <w:t xml:space="preserve">(</w:t>
      </w:r>
      <w:r>
        <w:rPr>
          <w:b/>
          <w:bCs/>
        </w:rPr>
        <w:t xml:space="preserve">tbl_mod_compare?</w:t>
      </w:r>
      <w:r>
        <w:t xml:space="preserve">)</w:t>
      </w:r>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1480-1530 nm region (N-H stretch from peptide bonds) showed the highest importance, followed by the 2040-2070 nm region (N-H + C-N combination bands). This pattern aligns with established protein spectroscopy literature and confirms that the models are responding to genuine protein-related molecular vibrations rather than spurious correlations.</w:t>
      </w:r>
    </w:p>
    <w:p>
      <w:pPr>
        <w:pStyle w:val="BodyText"/>
      </w:pPr>
      <w:r>
        <w:t xml:space="preserve">The performance of the protein-focused model provides biological validation of the spectroscopic predictions. This approach improved model interpretability by explicitly connecting predictions to known protein chemistry., suggesting that future hemp protein calibrations could focus on these specific wavelength regions. This could potentially improve model robustness and transferability across NIR instruments or environments. This approach is evidence that successful predictions are based on genuine protein-spectral relationships rather than correlations with other grain components such as oil, starch, or moisture.</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 (Reeves, 2012). As well, the testing and training sets are relatively small.</w:t>
      </w:r>
    </w:p>
    <w:p>
      <w:pPr>
        <w:pStyle w:val="BodyText"/>
      </w:pPr>
      <w:r>
        <w:t xml:space="preserve">The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 as they are limited by analytical cost and throughput. The heritability of grain protein content in related cereals (wheat, barley) ranges from 0.6-0.8, suggesting that genetic improvement in hemp protein content is achievable with adequate phenotyping. NIRS provides the phenotyping capability necessary to exploit this genetic variation, particularly in early generation selection where large numbers of low-protein genotypes can be efficiently eliminated before expensive field testing.</w:t>
      </w:r>
    </w:p>
    <w:bookmarkEnd w:id="53"/>
    <w:bookmarkStart w:id="54" w:name="acknowledgments"/>
    <w:p>
      <w:pPr>
        <w:pStyle w:val="Heading2"/>
      </w:pPr>
      <w:r>
        <w:t xml:space="preserve">7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4"/>
    <w:bookmarkStart w:id="96" w:name="conflict-of-interest"/>
    <w:p>
      <w:pPr>
        <w:pStyle w:val="Heading2"/>
      </w:pPr>
      <w:r>
        <w:t xml:space="preserve">8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2025-07-03 11:14:04</w:t>
      </w:r>
      <w:r>
        <w:br/>
      </w:r>
      <w:r>
        <w:rPr>
          <w:b/>
          <w:bCs/>
        </w:rPr>
        <w:t xml:space="preserve">Framework:</w:t>
      </w:r>
      <w:r>
        <w:t xml:space="preserve"> </w:t>
      </w:r>
      <w:r>
        <w:t xml:space="preserve">Targets-based reproducible workflow</w:t>
      </w:r>
    </w:p>
    <w:bookmarkStart w:id="95" w:name="refs"/>
    <w:bookmarkStart w:id="56"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5">
        <w:r>
          <w:rPr>
            <w:rStyle w:val="Hyperlink"/>
          </w:rPr>
          <w:t xml:space="preserve">https://doi.org/10.1366/0003702894202201</w:t>
        </w:r>
      </w:hyperlink>
    </w:p>
    <w:bookmarkEnd w:id="56"/>
    <w:bookmarkStart w:id="58"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7">
        <w:r>
          <w:rPr>
            <w:rStyle w:val="Hyperlink"/>
          </w:rPr>
          <w:t xml:space="preserve">https://doi.org/10.3390/plants13010111</w:t>
        </w:r>
      </w:hyperlink>
    </w:p>
    <w:bookmarkEnd w:id="58"/>
    <w:bookmarkStart w:id="60"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59">
        <w:r>
          <w:rPr>
            <w:rStyle w:val="Hyperlink"/>
          </w:rPr>
          <w:t xml:space="preserve">https://doi.org/10.1007/s10681-004-4811-6</w:t>
        </w:r>
      </w:hyperlink>
    </w:p>
    <w:bookmarkEnd w:id="60"/>
    <w:bookmarkStart w:id="62"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1">
        <w:r>
          <w:rPr>
            <w:rStyle w:val="Hyperlink"/>
          </w:rPr>
          <w:t xml:space="preserve">https://doi.org/10.3390/s22103710</w:t>
        </w:r>
      </w:hyperlink>
    </w:p>
    <w:bookmarkEnd w:id="62"/>
    <w:bookmarkStart w:id="64"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3">
        <w:r>
          <w:rPr>
            <w:rStyle w:val="Hyperlink"/>
          </w:rPr>
          <w:t xml:space="preserve">https://doi.org/10.1007/978-981-16-8778-5_6</w:t>
        </w:r>
      </w:hyperlink>
    </w:p>
    <w:bookmarkEnd w:id="64"/>
    <w:bookmarkStart w:id="6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5">
        <w:r>
          <w:rPr>
            <w:rStyle w:val="Hyperlink"/>
          </w:rPr>
          <w:t xml:space="preserve">https://doi.org/10.1177/0967033519848296</w:t>
        </w:r>
      </w:hyperlink>
    </w:p>
    <w:bookmarkEnd w:id="66"/>
    <w:bookmarkStart w:id="6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67">
        <w:r>
          <w:rPr>
            <w:rStyle w:val="Hyperlink"/>
          </w:rPr>
          <w:t xml:space="preserve">https://doi.org/10.3390/plants11162146</w:t>
        </w:r>
      </w:hyperlink>
    </w:p>
    <w:bookmarkEnd w:id="68"/>
    <w:bookmarkStart w:id="7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9">
        <w:r>
          <w:rPr>
            <w:rStyle w:val="Hyperlink"/>
          </w:rPr>
          <w:t xml:space="preserve">https://doi.org/10.3389/fpls.2019.01509</w:t>
        </w:r>
      </w:hyperlink>
    </w:p>
    <w:bookmarkEnd w:id="70"/>
    <w:bookmarkStart w:id="72"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1">
        <w:r>
          <w:rPr>
            <w:rStyle w:val="Hyperlink"/>
          </w:rPr>
          <w:t xml:space="preserve">https://doi.org/10.3390/foods9101340</w:t>
        </w:r>
      </w:hyperlink>
    </w:p>
    <w:bookmarkEnd w:id="72"/>
    <w:bookmarkStart w:id="74" w:name="ref-köllmann2023"/>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73">
        <w:r>
          <w:rPr>
            <w:rStyle w:val="Hyperlink"/>
          </w:rPr>
          <w:t xml:space="preserve">https://doi.org/10.1016/j.jfca.2023.105414</w:t>
        </w:r>
      </w:hyperlink>
    </w:p>
    <w:bookmarkEnd w:id="74"/>
    <w:bookmarkStart w:id="76"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5">
        <w:r>
          <w:rPr>
            <w:rStyle w:val="Hyperlink"/>
          </w:rPr>
          <w:t xml:space="preserve">https://doi.org/10.1016/j.vibspec.2020.103060</w:t>
        </w:r>
      </w:hyperlink>
    </w:p>
    <w:bookmarkEnd w:id="76"/>
    <w:bookmarkStart w:id="78"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77">
        <w:r>
          <w:rPr>
            <w:rStyle w:val="Hyperlink"/>
          </w:rPr>
          <w:t xml:space="preserve">https://doi.org/10.1111/1750-3841.16467</w:t>
        </w:r>
      </w:hyperlink>
    </w:p>
    <w:bookmarkEnd w:id="78"/>
    <w:bookmarkStart w:id="80"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79">
        <w:r>
          <w:rPr>
            <w:rStyle w:val="Hyperlink"/>
          </w:rPr>
          <w:t xml:space="preserve">https://doi.org/10.1139/cjss-2017-0109</w:t>
        </w:r>
      </w:hyperlink>
    </w:p>
    <w:bookmarkEnd w:id="80"/>
    <w:bookmarkStart w:id="82"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1">
        <w:r>
          <w:rPr>
            <w:rStyle w:val="Hyperlink"/>
          </w:rPr>
          <w:t xml:space="preserve">https://doi.org/10.1016/j.dsp.2004.09.008</w:t>
        </w:r>
      </w:hyperlink>
    </w:p>
    <w:bookmarkEnd w:id="82"/>
    <w:bookmarkStart w:id="84"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83">
        <w:r>
          <w:rPr>
            <w:rStyle w:val="Hyperlink"/>
          </w:rPr>
          <w:t xml:space="preserve">https://doi.org/10.1007/s11119-023-10091-z</w:t>
        </w:r>
      </w:hyperlink>
    </w:p>
    <w:bookmarkEnd w:id="84"/>
    <w:bookmarkStart w:id="86"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5">
        <w:r>
          <w:rPr>
            <w:rStyle w:val="Hyperlink"/>
          </w:rPr>
          <w:t xml:space="preserve">https://doi.org/10.1080/00103624.2012.641844</w:t>
        </w:r>
      </w:hyperlink>
    </w:p>
    <w:bookmarkEnd w:id="86"/>
    <w:bookmarkStart w:id="88"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87">
        <w:r>
          <w:rPr>
            <w:rStyle w:val="Hyperlink"/>
          </w:rPr>
          <w:t xml:space="preserve">https://doi.org/10.1016/j.trac.2009.07.007</w:t>
        </w:r>
      </w:hyperlink>
    </w:p>
    <w:bookmarkEnd w:id="88"/>
    <w:bookmarkStart w:id="89"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9"/>
    <w:bookmarkStart w:id="91"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90">
        <w:r>
          <w:rPr>
            <w:rStyle w:val="Hyperlink"/>
          </w:rPr>
          <w:t xml:space="preserve">https://doi.org/10.1016/j.saa.2025.126611</w:t>
        </w:r>
      </w:hyperlink>
    </w:p>
    <w:bookmarkEnd w:id="91"/>
    <w:bookmarkStart w:id="9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92"/>
    <w:bookmarkStart w:id="94"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93">
        <w:r>
          <w:rPr>
            <w:rStyle w:val="Hyperlink"/>
          </w:rPr>
          <w:t xml:space="preserve">https://doi.org/10.1016/S0169-7439(01)00155-1</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63" Target="https://doi.org/10.1007/978-981-16-8778-5_6" TargetMode="External" /><Relationship Type="http://schemas.openxmlformats.org/officeDocument/2006/relationships/hyperlink" Id="rId59" Target="https://doi.org/10.1007/s10681-004-4811-6" TargetMode="External" /><Relationship Type="http://schemas.openxmlformats.org/officeDocument/2006/relationships/hyperlink" Id="rId83" Target="https://doi.org/10.1007/s11119-023-10091-z" TargetMode="External" /><Relationship Type="http://schemas.openxmlformats.org/officeDocument/2006/relationships/hyperlink" Id="rId93" Target="https://doi.org/10.1016/S0169-7439(01)00155-1" TargetMode="External" /><Relationship Type="http://schemas.openxmlformats.org/officeDocument/2006/relationships/hyperlink" Id="rId81" Target="https://doi.org/10.1016/j.dsp.2004.09.008" TargetMode="External" /><Relationship Type="http://schemas.openxmlformats.org/officeDocument/2006/relationships/hyperlink" Id="rId73" Target="https://doi.org/10.1016/j.jfca.2023.105414" TargetMode="External" /><Relationship Type="http://schemas.openxmlformats.org/officeDocument/2006/relationships/hyperlink" Id="rId90" Target="https://doi.org/10.1016/j.saa.2025.126611" TargetMode="External" /><Relationship Type="http://schemas.openxmlformats.org/officeDocument/2006/relationships/hyperlink" Id="rId87" Target="https://doi.org/10.1016/j.trac.2009.07.007" TargetMode="External" /><Relationship Type="http://schemas.openxmlformats.org/officeDocument/2006/relationships/hyperlink" Id="rId75" Target="https://doi.org/10.1016/j.vibspec.2020.103060" TargetMode="External" /><Relationship Type="http://schemas.openxmlformats.org/officeDocument/2006/relationships/hyperlink" Id="rId85" Target="https://doi.org/10.1080/00103624.2012.641844" TargetMode="External" /><Relationship Type="http://schemas.openxmlformats.org/officeDocument/2006/relationships/hyperlink" Id="rId77" Target="https://doi.org/10.1111/1750-3841.16467" TargetMode="External" /><Relationship Type="http://schemas.openxmlformats.org/officeDocument/2006/relationships/hyperlink" Id="rId79" Target="https://doi.org/10.1139/cjss-2017-0109" TargetMode="External" /><Relationship Type="http://schemas.openxmlformats.org/officeDocument/2006/relationships/hyperlink" Id="rId65" Target="https://doi.org/10.1177/0967033519848296" TargetMode="External" /><Relationship Type="http://schemas.openxmlformats.org/officeDocument/2006/relationships/hyperlink" Id="rId55" Target="https://doi.org/10.1366/0003702894202201" TargetMode="External" /><Relationship Type="http://schemas.openxmlformats.org/officeDocument/2006/relationships/hyperlink" Id="rId69" Target="https://doi.org/10.3389/fpls.2019.01509" TargetMode="External" /><Relationship Type="http://schemas.openxmlformats.org/officeDocument/2006/relationships/hyperlink" Id="rId71" Target="https://doi.org/10.3390/foods9101340" TargetMode="External" /><Relationship Type="http://schemas.openxmlformats.org/officeDocument/2006/relationships/hyperlink" Id="rId67" Target="https://doi.org/10.3390/plants11162146" TargetMode="External" /><Relationship Type="http://schemas.openxmlformats.org/officeDocument/2006/relationships/hyperlink" Id="rId57" Target="https://doi.org/10.3390/plants13010111" TargetMode="External" /><Relationship Type="http://schemas.openxmlformats.org/officeDocument/2006/relationships/hyperlink" Id="rId61"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978-981-16-8778-5_6" TargetMode="External" /><Relationship Type="http://schemas.openxmlformats.org/officeDocument/2006/relationships/hyperlink" Id="rId59" Target="https://doi.org/10.1007/s10681-004-4811-6" TargetMode="External" /><Relationship Type="http://schemas.openxmlformats.org/officeDocument/2006/relationships/hyperlink" Id="rId83" Target="https://doi.org/10.1007/s11119-023-10091-z" TargetMode="External" /><Relationship Type="http://schemas.openxmlformats.org/officeDocument/2006/relationships/hyperlink" Id="rId93" Target="https://doi.org/10.1016/S0169-7439(01)00155-1" TargetMode="External" /><Relationship Type="http://schemas.openxmlformats.org/officeDocument/2006/relationships/hyperlink" Id="rId81" Target="https://doi.org/10.1016/j.dsp.2004.09.008" TargetMode="External" /><Relationship Type="http://schemas.openxmlformats.org/officeDocument/2006/relationships/hyperlink" Id="rId73" Target="https://doi.org/10.1016/j.jfca.2023.105414" TargetMode="External" /><Relationship Type="http://schemas.openxmlformats.org/officeDocument/2006/relationships/hyperlink" Id="rId90" Target="https://doi.org/10.1016/j.saa.2025.126611" TargetMode="External" /><Relationship Type="http://schemas.openxmlformats.org/officeDocument/2006/relationships/hyperlink" Id="rId87" Target="https://doi.org/10.1016/j.trac.2009.07.007" TargetMode="External" /><Relationship Type="http://schemas.openxmlformats.org/officeDocument/2006/relationships/hyperlink" Id="rId75" Target="https://doi.org/10.1016/j.vibspec.2020.103060" TargetMode="External" /><Relationship Type="http://schemas.openxmlformats.org/officeDocument/2006/relationships/hyperlink" Id="rId85" Target="https://doi.org/10.1080/00103624.2012.641844" TargetMode="External" /><Relationship Type="http://schemas.openxmlformats.org/officeDocument/2006/relationships/hyperlink" Id="rId77" Target="https://doi.org/10.1111/1750-3841.16467" TargetMode="External" /><Relationship Type="http://schemas.openxmlformats.org/officeDocument/2006/relationships/hyperlink" Id="rId79" Target="https://doi.org/10.1139/cjss-2017-0109" TargetMode="External" /><Relationship Type="http://schemas.openxmlformats.org/officeDocument/2006/relationships/hyperlink" Id="rId65" Target="https://doi.org/10.1177/0967033519848296" TargetMode="External" /><Relationship Type="http://schemas.openxmlformats.org/officeDocument/2006/relationships/hyperlink" Id="rId55" Target="https://doi.org/10.1366/0003702894202201" TargetMode="External" /><Relationship Type="http://schemas.openxmlformats.org/officeDocument/2006/relationships/hyperlink" Id="rId69" Target="https://doi.org/10.3389/fpls.2019.01509" TargetMode="External" /><Relationship Type="http://schemas.openxmlformats.org/officeDocument/2006/relationships/hyperlink" Id="rId71" Target="https://doi.org/10.3390/foods9101340" TargetMode="External" /><Relationship Type="http://schemas.openxmlformats.org/officeDocument/2006/relationships/hyperlink" Id="rId67" Target="https://doi.org/10.3390/plants11162146" TargetMode="External" /><Relationship Type="http://schemas.openxmlformats.org/officeDocument/2006/relationships/hyperlink" Id="rId57" Target="https://doi.org/10.3390/plants13010111" TargetMode="External" /><Relationship Type="http://schemas.openxmlformats.org/officeDocument/2006/relationships/hyperlink" Id="rId61" Target="https://doi.org/10.3390/s22103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2025-07-03T15:14:04Z</dcterms:created>
  <dcterms:modified xsi:type="dcterms:W3CDTF">2025-07-03T15:14:04Z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