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9.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2025-07-10</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MAE,mean absolute error;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 VIP, variable importance in projection</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w:t>
      </w:r>
      <w:r>
        <w:t xml:space="preserve"> </w:t>
      </w:r>
      <w:r>
        <w:t xml:space="preserve">(</w:t>
      </w:r>
      <w:r>
        <w:rPr>
          <w:b/>
          <w:bCs/>
        </w:rPr>
        <w:t xml:space="preserve">tang2016?</w:t>
      </w:r>
      <w:r>
        <w:t xml:space="preserve">)</w:t>
      </w:r>
      <w:r>
        <w:t xml:space="preserv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P. C.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w:t>
      </w:r>
      <w:r>
        <w:rPr>
          <w:b/>
          <w:bCs/>
        </w:rPr>
        <w:t xml:space="preserve">chadalavada2022?</w:t>
      </w:r>
      <w:r>
        <w:t xml:space="preserve">)</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w:t>
      </w:r>
      <w:r>
        <w:t xml:space="preserve"> </w:t>
      </w:r>
      <w:r>
        <w:t xml:space="preserve">(Wold et al., 2001)</w:t>
      </w:r>
      <w:r>
        <w:t xml:space="preserve">. It is commonly used in spectroscopy because it tends to work well with highly correlated, noisy spectral data . Variable importance in projection (VIP) scores show the amount response variable’s variance explained by the predictor variables, with VIP scores of greater than one often serving as a criterion for variable selection</w:t>
      </w:r>
      <w:r>
        <w:t xml:space="preserve"> </w:t>
      </w:r>
      <w:r>
        <w:t xml:space="preserve">(Farrés et al., 2015)</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w:t>
      </w:r>
      <w:r>
        <w:t xml:space="preserve"> </w:t>
      </w:r>
      <w:r>
        <w:t xml:space="preserve">(</w:t>
      </w:r>
      <w:r>
        <w:rPr>
          <w:b/>
          <w:bCs/>
        </w:rPr>
        <w:t xml:space="preserve">chinilin2023?</w:t>
      </w:r>
      <w:r>
        <w:t xml:space="preserve">)</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w:t>
      </w:r>
      <w:r>
        <w:rPr>
          <w:b/>
          <w:bCs/>
        </w:rPr>
        <w:t xml:space="preserve">kamboj2022?</w:t>
      </w:r>
      <w:r>
        <w:t xml:space="preserve">)</w:t>
      </w:r>
      <w:r>
        <w:t xml:space="preserve">. Random forest (RF) algorithms use ensemble learning to combine multiple decision trees and has been used to predict protein content in grains</w:t>
      </w:r>
      <w:r>
        <w:t xml:space="preserve"> </w:t>
      </w:r>
      <w:r>
        <w:t xml:space="preserve">(</w:t>
      </w:r>
      <w:r>
        <w:rPr>
          <w:b/>
          <w:bCs/>
        </w:rPr>
        <w:t xml:space="preserve">chadalavada2022?</w:t>
      </w:r>
      <w:r>
        <w:t xml:space="preserve">;</w:t>
      </w:r>
      <w:r>
        <w:t xml:space="preserve"> </w:t>
      </w:r>
      <w:r>
        <w:rPr>
          <w:b/>
          <w:bCs/>
        </w:rPr>
        <w:t xml:space="preserve">haruna2022?</w:t>
      </w:r>
      <w:r>
        <w:t xml:space="preserve">)</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CP-spectral relationships rather than spurious correlations with other quality components. Three spectral regions with established CP-related vibrational assignments are: 1200-1250 nm (C-H stretch 2nd overtone from amino acid side chains), 1500-1550 nm (N-H stretch 1st overtone from peptide bonds), 2040-2090 nm (N-H + C-N combination bands)</w:t>
      </w:r>
      <w:r>
        <w:t xml:space="preserve"> </w:t>
      </w:r>
      <w:r>
        <w:t xml:space="preserve">(</w:t>
      </w:r>
      <w:r>
        <w:rPr>
          <w:b/>
          <w:bCs/>
        </w:rPr>
        <w:t xml:space="preserve">köllmann2023b?</w:t>
      </w:r>
      <w:r>
        <w:t xml:space="preserve">;</w:t>
      </w:r>
      <w:r>
        <w:t xml:space="preserve"> </w:t>
      </w:r>
      <w:r>
        <w:rPr>
          <w:b/>
          <w:bCs/>
        </w:rPr>
        <w:t xml:space="preserve">shi2022?</w:t>
      </w:r>
      <w:r>
        <w:t xml:space="preserve">)</w:t>
      </w:r>
      <w:r>
        <w:t xml:space="preserve">. Selecting spectral regions prior to model fitting avoids the bias that may result when data are used to simultaneously select a model and estimate parameters</w:t>
      </w:r>
      <w:r>
        <w:t xml:space="preserve"> </w:t>
      </w:r>
      <w:r>
        <w:t xml:space="preserve">(Yates et al., 2023)</w:t>
      </w:r>
      <w:r>
        <w:t xml:space="preserve">. Models developed using portions of the NIRS spectra be more readily transferable between instruments because they discard noisy, irrelevant portions of the spectra</w:t>
      </w:r>
      <w:r>
        <w:t xml:space="preserve"> </w:t>
      </w:r>
      <w:r>
        <w:t xml:space="preserve">(Y. Wang et al., 2025)</w:t>
      </w:r>
      <w:r>
        <w:t xml:space="preserve">.</w:t>
      </w:r>
    </w:p>
    <w:p>
      <w:pPr>
        <w:pStyle w:val="BodyText"/>
      </w:pPr>
      <w:r>
        <w:t xml:space="preserve">A NIRS-scanned sample of whole grain may be used for other purposes besides the scan, including planting as a seed or consumed, benefits attractive to plant breeders, farmers, and the food industry</w:t>
      </w:r>
      <w:r>
        <w:t xml:space="preserve"> </w:t>
      </w:r>
      <w:r>
        <w:t xml:space="preserve">(</w:t>
      </w:r>
      <w:r>
        <w:rPr>
          <w:b/>
          <w:bCs/>
        </w:rPr>
        <w:t xml:space="preserve">caporaso2018?</w:t>
      </w:r>
      <w:r>
        <w:t xml:space="preserve">)</w:t>
      </w:r>
      <w:r>
        <w:t xml:space="preserve">. In wheat and corn, grain CP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 RF, or SVM.</w:t>
      </w:r>
    </w:p>
    <w:bookmarkEnd w:id="20"/>
    <w:bookmarkStart w:id="28"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metric used to optimize the number of samples for chemical analysis</w:t>
      </w:r>
      <w:r>
        <w:t xml:space="preserve"> </w:t>
      </w:r>
      <w:r>
        <w:t xml:space="preserve">Shenk &amp; Westerhaus (1991)</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absorption</w:t>
      </w:r>
      <w:r>
        <w:t xml:space="preserve"> </w:t>
      </w:r>
      <w:r>
        <w:t xml:space="preserve">(Barnes et al., 1989; Towett et al., 2013)</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7" w:name="model-development"/>
    <w:p>
      <w:pPr>
        <w:pStyle w:val="Heading3"/>
      </w:pPr>
      <w:r>
        <w:t xml:space="preserve">2.5 Model Development</w:t>
      </w:r>
    </w:p>
    <w:p>
      <w:pPr>
        <w:pStyle w:val="FirstParagraph"/>
      </w:pPr>
      <w:r>
        <w:t xml:space="preserve">For all models, training and testing sets were created by dividing samples by their laboratory CP concentration values into three equal parts (tertiles)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R’s caret package using PLSR, RF, and SVM models. Model performance was evaluated with caret’s default 25 iterations of bootstrapping and minimized RMSE in selecting the number of components in the final model. unless otherwise indicated, for PSLR models, the number of components was optimized over a grid search from one to 20. For SVM models, cost and sigma parameters were optimized using a grid search over 10 values. For RF models, eight variables were considered at each split and the number of trees was set to 500. For all models, performance was summarized using RMSE, R², RPD, and RPIQ.</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The answer to the question of exactly which values constitute a</w:t>
      </w:r>
      <w:r>
        <w:t xml:space="preserve"> </w:t>
      </w:r>
      <w:r>
        <w:t xml:space="preserve">“good”</w:t>
      </w:r>
      <w:r>
        <w:t xml:space="preserve"> </w:t>
      </w:r>
      <w:r>
        <w:t xml:space="preserve">model varies depending upon the reference consulted, but a simple rubric for model quality following</w:t>
      </w:r>
      <w:r>
        <w:t xml:space="preserve"> </w:t>
      </w:r>
      <w:r>
        <w:t xml:space="preserve">(</w:t>
      </w:r>
      <w:r>
        <w:rPr>
          <w:b/>
          <w:bCs/>
        </w:rPr>
        <w:t xml:space="preserve">chadalavada2022?</w:t>
      </w:r>
      <w:r>
        <w:t xml:space="preserve">)</w:t>
      </w:r>
      <w:r>
        <w:t xml:space="preserve"> </w:t>
      </w:r>
      <w:r>
        <w:t xml:space="preserve">is set forth in</w:t>
      </w:r>
      <w:r>
        <w:t xml:space="preserve"> </w:t>
      </w:r>
      <w:hyperlink w:anchor="tbl-model-rubric">
        <w:r>
          <w:rPr>
            <w:rStyle w:val="Hyperlink"/>
          </w:rPr>
          <w:t xml:space="preserve">Table 2</w:t>
        </w:r>
      </w:hyperlink>
      <w:r>
        <w:t xml:space="preserve">. There are more conservative definitions of model quality for which these categories would not suffice. For example,</w:t>
      </w:r>
      <w:r>
        <w:t xml:space="preserve"> </w:t>
      </w:r>
      <w:r>
        <w:t xml:space="preserve">P. C. Williams &amp; Sobering (1993)</w:t>
      </w:r>
      <w:r>
        <w:t xml:space="preserve"> </w:t>
      </w:r>
      <w:r>
        <w:t xml:space="preserve">suggests a minimal RPD of 2.5 for screening in breeding programs with values of 5-10 for quality control</w:t>
      </w:r>
      <w:r>
        <w:t xml:space="preserve"> </w:t>
      </w:r>
      <w:r>
        <w:t xml:space="preserve">(P. Williams, 2013)</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model-rubric"/>
          <w:p>
            <w:pPr>
              <w:jc w:val="center"/>
            </w:pPr>
            <w:pPr>
              <w:jc w:val="start"/>
              <w:spacing w:before="200"/>
              <w:pStyle w:val="ImageCaption"/>
            </w:pPr>
            <w:r>
              <w:t xml:space="preserve">Table 2: Model assessment rubric</w:t>
            </w:r>
          </w:p>
          <w:p>
            <w:pPr>
              <w:pStyle w:val="Compact"/>
              <w:jc w:val="center"/>
            </w:pPr>
            <w:r>
              <w:t xml:space="preserve">Model Evaluation Criteria for NIRS Prediction Models</w:t>
            </w:r>
          </w:p>
          <w:tbl>
            <w:tblPr>
              <w:tblStyle w:val="Table"/>
              <w:tblW w:type="auto" w:w="0"/>
              <w:tblLook w:firstRow="1" w:lastRow="0" w:firstColumn="0" w:lastColumn="0" w:noHBand="0" w:noVBand="0" w:val="0020"/>
              <w:tblCaption w:val="Model Evaluation Criteria for NIRS Prediction Models"/>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RPD</w:t>
                  </w:r>
                </w:p>
              </w:tc>
              <w:tc>
                <w:tcPr/>
                <w:p>
                  <w:pPr>
                    <w:pStyle w:val="Compact"/>
                    <w:jc w:val="left"/>
                    <w:jc w:val="center"/>
                  </w:pPr>
                  <w:r>
                    <w:t xml:space="preserve">Interpretation</w:t>
                  </w:r>
                </w:p>
              </w:tc>
            </w:tr>
            <w:tr>
              <w:tc>
                <w:tcPr/>
                <w:p>
                  <w:pPr>
                    <w:pStyle w:val="Compact"/>
                    <w:jc w:val="left"/>
                    <w:jc w:val="center"/>
                  </w:pPr>
                  <w:r>
                    <w:t xml:space="preserve">Excellent</w:t>
                  </w:r>
                </w:p>
              </w:tc>
              <w:tc>
                <w:tcPr/>
                <w:p>
                  <w:pPr>
                    <w:pStyle w:val="Compact"/>
                    <w:jc w:val="left"/>
                    <w:jc w:val="center"/>
                  </w:pPr>
                  <w:r>
                    <w:t xml:space="preserve">&gt; 3.0</w:t>
                  </w:r>
                </w:p>
              </w:tc>
              <w:tc>
                <w:tcPr/>
                <w:p>
                  <w:pPr>
                    <w:pStyle w:val="Compact"/>
                    <w:jc w:val="left"/>
                    <w:jc w:val="center"/>
                  </w:pPr>
                  <w:r>
                    <w:t xml:space="preserve">Excellent quantitative prediction</w:t>
                  </w:r>
                </w:p>
              </w:tc>
            </w:tr>
            <w:tr>
              <w:tc>
                <w:tcPr/>
                <w:p>
                  <w:pPr>
                    <w:pStyle w:val="Compact"/>
                    <w:jc w:val="left"/>
                    <w:jc w:val="center"/>
                  </w:pPr>
                  <w:r>
                    <w:t xml:space="preserve">Good</w:t>
                  </w:r>
                </w:p>
              </w:tc>
              <w:tc>
                <w:tcPr/>
                <w:p>
                  <w:pPr>
                    <w:pStyle w:val="Compact"/>
                    <w:jc w:val="left"/>
                    <w:jc w:val="center"/>
                  </w:pPr>
                  <w:r>
                    <w:t xml:space="preserve">2.0 - 3.0</w:t>
                  </w:r>
                </w:p>
              </w:tc>
              <w:tc>
                <w:tcPr/>
                <w:p>
                  <w:pPr>
                    <w:pStyle w:val="Compact"/>
                    <w:jc w:val="left"/>
                    <w:jc w:val="center"/>
                  </w:pPr>
                  <w:r>
                    <w:t xml:space="preserve">Good quantitative prediction</w:t>
                  </w:r>
                </w:p>
              </w:tc>
            </w:tr>
            <w:tr>
              <w:tc>
                <w:tcPr/>
                <w:p>
                  <w:pPr>
                    <w:pStyle w:val="Compact"/>
                    <w:jc w:val="left"/>
                    <w:jc w:val="center"/>
                  </w:pPr>
                  <w:r>
                    <w:t xml:space="preserve">Fair</w:t>
                  </w:r>
                </w:p>
              </w:tc>
              <w:tc>
                <w:tcPr/>
                <w:p>
                  <w:pPr>
                    <w:pStyle w:val="Compact"/>
                    <w:jc w:val="left"/>
                    <w:jc w:val="center"/>
                  </w:pPr>
                  <w:r>
                    <w:t xml:space="preserve">1.5 - 2.0</w:t>
                  </w:r>
                </w:p>
              </w:tc>
              <w:tc>
                <w:tcPr/>
                <w:p>
                  <w:pPr>
                    <w:pStyle w:val="Compact"/>
                    <w:jc w:val="left"/>
                    <w:jc w:val="center"/>
                  </w:pPr>
                  <w:r>
                    <w:t xml:space="preserve">Moderate prediction (quantitative)</w:t>
                  </w:r>
                </w:p>
              </w:tc>
            </w:tr>
            <w:tr>
              <w:tc>
                <w:tcPr/>
                <w:p>
                  <w:pPr>
                    <w:pStyle w:val="Compact"/>
                    <w:jc w:val="left"/>
                    <w:jc w:val="center"/>
                  </w:pPr>
                  <w:r>
                    <w:t xml:space="preserve">Poor</w:t>
                  </w:r>
                </w:p>
              </w:tc>
              <w:tc>
                <w:tcPr/>
                <w:p>
                  <w:pPr>
                    <w:pStyle w:val="Compact"/>
                    <w:jc w:val="left"/>
                    <w:jc w:val="center"/>
                  </w:pPr>
                  <w:r>
                    <w:t xml:space="preserve">&lt; 1.5</w:t>
                  </w:r>
                </w:p>
              </w:tc>
              <w:tc>
                <w:tcPr/>
                <w:p>
                  <w:pPr>
                    <w:pStyle w:val="Compact"/>
                    <w:jc w:val="left"/>
                    <w:jc w:val="center"/>
                  </w:pPr>
                  <w:r>
                    <w:t xml:space="preserve">Poor prediction</w:t>
                  </w:r>
                </w:p>
              </w:tc>
            </w:tr>
          </w:tbl>
          <w:bookmarkEnd w:id="26"/>
          <w:p/>
        </w:tc>
      </w:tr>
    </w:tbl>
    <w:p>
      <w:pPr>
        <w:pStyle w:val="BodyText"/>
      </w:pPr>
      <w:r>
        <w:t xml:space="preserve">Analyses of variance were performed for each of these metrics in order to compare preprocessing methods. For ANOVAs involving preprocessing methods, each data set was considered as a subject and different variances were allowed for each preprocessing method .Post hoc comparisons were performed with Tukey method to compare estimates set to</w:t>
      </w:r>
      <w:r>
        <w:t xml:space="preserve"> </w:t>
      </w:r>
      <m:oMath>
        <m:r>
          <m:t>α</m:t>
        </m:r>
      </m:oMath>
      <w:r>
        <w:t xml:space="preserve"> </w:t>
      </w:r>
      <w:r>
        <w:t xml:space="preserve">= 0.05.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 One hundred random splits into training sets and testing sets were performed and models were constructed using each of the three algorithms.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and a maximum of 15 components. Performance was compared to the full-spectrum model to assess whether targeted wavelength selection could maintain prediction accuracy while providing greater biological interpretability.</w:t>
      </w:r>
    </w:p>
    <w:bookmarkEnd w:id="27"/>
    <w:bookmarkEnd w:id="28"/>
    <w:bookmarkStart w:id="54"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3</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protein-summary"/>
          <w:p>
            <w:pPr>
              <w:jc w:val="center"/>
            </w:pPr>
            <w:pPr>
              <w:jc w:val="start"/>
              <w:spacing w:before="200"/>
              <w:pStyle w:val="ImageCaption"/>
            </w:pPr>
            <w:r>
              <w:t xml:space="preserve">Table 3: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3.2 Preprocessing methods comparison</w:t>
      </w:r>
    </w:p>
    <w:p>
      <w:pPr>
        <w:pStyle w:val="FirstParagraph"/>
      </w:pPr>
      <w:r>
        <w:t xml:space="preserve">Among the eight methods compared via ANOVA, the SNV-SG and SG preprocessing methods performed the best and were in the best highest-performing post-hoc comparison group (). The SNV-SG method had the lowest RMSE and the highest R</w:t>
      </w:r>
      <w:r>
        <w:rPr>
          <w:vertAlign w:val="superscript"/>
        </w:rPr>
        <w:t xml:space="preserve">2</w:t>
      </w:r>
      <w:r>
        <w:t xml:space="preserve">, RPD and RPIQ averaging over all iterations (</w:t>
      </w:r>
      <w:hyperlink w:anchor="tbl-preproc">
        <w:r>
          <w:rPr>
            <w:rStyle w:val="Hyperlink"/>
          </w:rPr>
          <w:t xml:space="preserve">Table 4</w:t>
        </w:r>
      </w:hyperlink>
      <w:r>
        <w:t xml:space="preserve">).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4: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Savitzky-Golay smoothing</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First derivative</w:t>
                  </w:r>
                </w:p>
              </w:tc>
              <w:tc>
                <w:tcPr/>
                <w:p>
                  <w:pPr>
                    <w:pStyle w:val="Compact"/>
                    <w:jc w:val="left"/>
                    <w:jc w:val="center"/>
                  </w:pPr>
                  <w:r>
                    <w:t xml:space="preserve">10.9 ± 1.4</w:t>
                  </w:r>
                </w:p>
              </w:tc>
              <w:tc>
                <w:tcPr/>
                <w:p>
                  <w:pPr>
                    <w:pStyle w:val="Compact"/>
                    <w:jc w:val="left"/>
                    <w:jc w:val="center"/>
                  </w:pPr>
                  <w:r>
                    <w:t xml:space="preserve">0.806 ± 0.066</w:t>
                  </w:r>
                </w:p>
              </w:tc>
              <w:tc>
                <w:tcPr/>
                <w:p>
                  <w:pPr>
                    <w:pStyle w:val="Compact"/>
                    <w:jc w:val="left"/>
                    <w:jc w:val="center"/>
                  </w:pPr>
                  <w:r>
                    <w:t xml:space="preserve">2.32 ± 0.37</w:t>
                  </w:r>
                </w:p>
              </w:tc>
              <w:tc>
                <w:tcPr/>
                <w:p>
                  <w:pPr>
                    <w:pStyle w:val="Compact"/>
                    <w:jc w:val="left"/>
                    <w:jc w:val="center"/>
                  </w:pPr>
                  <w:r>
                    <w:t xml:space="preserve">3.77 ± 0.78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34" w:name="algorithm-comparison"/>
    <w:p>
      <w:pPr>
        <w:pStyle w:val="Heading3"/>
      </w:pPr>
      <w:r>
        <w:t xml:space="preserve">3.3 Algorithm comparison</w:t>
      </w:r>
    </w:p>
    <w:tbl>
      <w:tblPr>
        <w:tblStyle w:val="Table"/>
        <w:tblW w:type="pct" w:w="5000"/>
        <w:tblLayout w:type="fixed"/>
        <w:tblLook w:firstRow="0" w:lastRow="0" w:firstColumn="0" w:lastColumn="0" w:noHBand="0" w:noVBand="0" w:val="0000"/>
      </w:tblPr>
      <w:tblGrid>
        <w:gridCol w:w="7920"/>
      </w:tblGrid>
      <w:tr>
        <w:tc>
          <w:tcPr/>
          <w:bookmarkStart w:id="33" w:name="tbl-algorithm-comparison"/>
          <w:p>
            <w:pPr>
              <w:jc w:val="center"/>
            </w:pPr>
            <w:pPr>
              <w:jc w:val="start"/>
              <w:spacing w:before="200"/>
              <w:pStyle w:val="ImageCaption"/>
            </w:pPr>
            <w:r>
              <w:t xml:space="preserve">Table 5: Algorithm performance using RPD-primary unified evaluation criteria. Primary classification by RPD: Excellent (&gt;3.0), Good (2.0-3.0), Fair (1.4-2.0), Poor (&lt;1.4). RPIQ and R² provide supporting evidence.</w:t>
            </w:r>
          </w:p>
          <w:tbl>
            <w:tblPr>
              <w:tblStyle w:val="Table"/>
              <w:tblW w:type="pct" w:w="5000"/>
              <w:tblLayout w:type="fixed"/>
              <w:tblLook w:firstRow="1" w:lastRow="0" w:firstColumn="0" w:lastColumn="0" w:noHBand="0" w:noVBand="0" w:val="0020"/>
            </w:tblPr>
            <w:tblGrid>
              <w:gridCol w:w="1000"/>
              <w:gridCol w:w="739"/>
              <w:gridCol w:w="696"/>
              <w:gridCol w:w="609"/>
              <w:gridCol w:w="609"/>
              <w:gridCol w:w="652"/>
              <w:gridCol w:w="435"/>
              <w:gridCol w:w="435"/>
              <w:gridCol w:w="435"/>
              <w:gridCol w:w="783"/>
              <w:gridCol w:w="739"/>
              <w:gridCol w:w="783"/>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Excellent (%)</w:t>
                  </w:r>
                </w:p>
              </w:tc>
              <w:tc>
                <w:tcPr/>
                <w:p>
                  <w:pPr>
                    <w:pStyle w:val="Compact"/>
                    <w:jc w:val="center"/>
                    <w:jc w:val="center"/>
                  </w:pPr>
                  <w:r>
                    <w:t xml:space="preserve">Good (%)</w:t>
                  </w:r>
                </w:p>
              </w:tc>
              <w:tc>
                <w:tcPr/>
                <w:p>
                  <w:pPr>
                    <w:pStyle w:val="Compact"/>
                    <w:jc w:val="center"/>
                    <w:jc w:val="center"/>
                  </w:pPr>
                  <w:r>
                    <w:t xml:space="preserve">Fair (%)</w:t>
                  </w:r>
                </w:p>
              </w:tc>
              <w:tc>
                <w:tcPr/>
                <w:p>
                  <w:pPr>
                    <w:pStyle w:val="Compact"/>
                    <w:jc w:val="center"/>
                    <w:jc w:val="center"/>
                  </w:pPr>
                  <w:r>
                    <w:t xml:space="preserve">Poor (%)</w:t>
                  </w:r>
                </w:p>
              </w:tc>
              <w:tc>
                <w:tcPr/>
                <w:p>
                  <w:pPr>
                    <w:pStyle w:val="Compact"/>
                    <w:jc w:val="center"/>
                    <w:jc w:val="center"/>
                  </w:pPr>
                  <w:r>
                    <w:t xml:space="preserve">Quantitative (%)</w:t>
                  </w:r>
                </w:p>
              </w:tc>
              <w:tc>
                <w:tcPr/>
                <w:p>
                  <w:pPr>
                    <w:pStyle w:val="Compact"/>
                    <w:jc w:val="center"/>
                    <w:jc w:val="center"/>
                  </w:pPr>
                  <w:r>
                    <w:t xml:space="preserve">Qualitative (%)</w:t>
                  </w:r>
                </w:p>
              </w:tc>
              <w:tc>
                <w:tcPr/>
                <w:p>
                  <w:pPr>
                    <w:pStyle w:val="Compact"/>
                    <w:jc w:val="center"/>
                    <w:jc w:val="center"/>
                  </w:pPr>
                  <w:r>
                    <w:t xml:space="preserve">Total Usable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5%</w:t>
                  </w:r>
                </w:p>
              </w:tc>
              <w:tc>
                <w:tcPr/>
                <w:p>
                  <w:pPr>
                    <w:pStyle w:val="Compact"/>
                    <w:jc w:val="center"/>
                    <w:jc w:val="center"/>
                  </w:pPr>
                  <w:r>
                    <w:t xml:space="preserve">81%</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86%</w:t>
                  </w:r>
                </w:p>
              </w:tc>
              <w:tc>
                <w:tcPr/>
                <w:p>
                  <w:pPr>
                    <w:pStyle w:val="Compact"/>
                    <w:jc w:val="center"/>
                    <w:jc w:val="center"/>
                  </w:pPr>
                  <w:r>
                    <w:t xml:space="preserve">13%</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0%</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8%</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3%</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97%</w:t>
                  </w:r>
                </w:p>
              </w:tc>
            </w:tr>
          </w:tbl>
          <w:p>
            <w:pPr>
              <w:jc w:val="center"/>
            </w:pPr>
            <w:r>
              <w:t xml:space="preserve">Comparing algorithms</w:t>
            </w:r>
          </w:p>
          <w:bookmarkEnd w:id="33"/>
        </w:tc>
      </w:tr>
    </w:tbl>
    <w:p>
      <w:pPr>
        <w:pStyle w:val="BodyText"/>
      </w:pPr>
      <w:r>
        <w:t xml:space="preserve">The algorithm comparison revealed clear performance differences among the three approaches, with PLSR achieving superior performance across all evaluation metrics (</w:t>
      </w:r>
      <w:hyperlink w:anchor="tbl-algorithm-comparison">
        <w:r>
          <w:rPr>
            <w:rStyle w:val="Hyperlink"/>
          </w:rPr>
          <w:t xml:space="preserve">Table 5</w:t>
        </w:r>
      </w:hyperlink>
      <w:r>
        <w:t xml:space="preserve">). This suggests that the spectral features captured by PLSR are well-suited for hemp grain protein prediction, at least for screening, while the additional complexity of non-linear algorithms did not provide predictive advantage. This contrasts with researchers who obtained their best predictions of grains or seeds using machine learning methods other than PLSR (SVM and convolutional neural networks,respectively) , although in the present case the training sets were less than half the size of those used by the other researchers</w:t>
      </w:r>
      <w:r>
        <w:t xml:space="preserve"> </w:t>
      </w:r>
      <w:r>
        <w:t xml:space="preserve">(Huang et al., 2013;</w:t>
      </w:r>
      <w:r>
        <w:t xml:space="preserve"> </w:t>
      </w:r>
      <w:r>
        <w:rPr>
          <w:b/>
          <w:bCs/>
        </w:rPr>
        <w:t xml:space="preserve">chadalavada2022?</w:t>
      </w:r>
      <w:r>
        <w:t xml:space="preserve">)</w:t>
      </w:r>
      <w:r>
        <w:t xml:space="preserve">.</w:t>
      </w:r>
    </w:p>
    <w:p>
      <w:pPr>
        <w:pStyle w:val="BodyText"/>
      </w:pPr>
      <w:r>
        <w:t xml:space="preserve">The superior performance of PLSR in this relatively small data set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4"/>
    <w:bookmarkStart w:id="47"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6%-11%.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 The visible plateau in the plot at 12 components showed the point where the inclusion of additional components failed to improve model performance on the cross validation holdout set and indicated that the model was optimized and not overfit.</w:t>
      </w:r>
    </w:p>
    <w:tbl>
      <w:tblPr>
        <w:tblStyle w:val="Table"/>
        <w:tblW w:type="pct" w:w="5000"/>
        <w:tblLayout w:type="fixed"/>
        <w:tblLook w:firstRow="0" w:lastRow="0" w:firstColumn="0" w:lastColumn="0" w:noHBand="0" w:noVBand="0" w:val="0000"/>
      </w:tblPr>
      <w:tblGrid>
        <w:gridCol w:w="7920"/>
      </w:tblGrid>
      <w:tr>
        <w:tc>
          <w:tcPr/>
          <w:bookmarkStart w:id="38" w:name="fig-model-calibration"/>
          <w:p>
            <w:pPr>
              <w:pStyle w:val="Compact"/>
              <w:jc w:val="center"/>
            </w:pPr>
            <w:r>
              <w:drawing>
                <wp:inline>
                  <wp:extent cx="5943600" cy="4114800"/>
                  <wp:effectExtent b="0" l="0" r="0" t="0"/>
                  <wp:docPr descr="" title="" id="36" name="Picture"/>
                  <a:graphic>
                    <a:graphicData uri="http://schemas.openxmlformats.org/drawingml/2006/picture">
                      <pic:pic>
                        <pic:nvPicPr>
                          <pic:cNvPr descr="hemp_nir_paper_files/figure-docx/fig-model-calibration-1.png" id="37" name="Picture"/>
                          <pic:cNvPicPr>
                            <a:picLocks noChangeArrowheads="1" noChangeAspect="1"/>
                          </pic:cNvPicPr>
                        </pic:nvPicPr>
                        <pic:blipFill>
                          <a:blip r:embed="rId35"/>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8"/>
        </w:tc>
      </w:tr>
    </w:tbl>
    <w:p>
      <w:pPr>
        <w:pStyle w:val="BodyText"/>
      </w:pPr>
      <w:r>
        <w:t xml:space="preserve">The performance of the final models on the testing sets is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Nearly of the models had, at minimum, the ability to distinguish between high and low values with % having some capacity for quantitative prediction. Despite generally reasonable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2" w:name="fig-performance-boxplot"/>
          <w:p>
            <w:pPr>
              <w:pStyle w:val="Compact"/>
              <w:jc w:val="center"/>
            </w:pPr>
            <w:r>
              <w:drawing>
                <wp:inline>
                  <wp:extent cx="5943600" cy="4114800"/>
                  <wp:effectExtent b="0" l="0" r="0" t="0"/>
                  <wp:docPr descr="" title="" id="40" name="Picture"/>
                  <a:graphic>
                    <a:graphicData uri="http://schemas.openxmlformats.org/drawingml/2006/picture">
                      <pic:pic>
                        <pic:nvPicPr>
                          <pic:cNvPr descr="hemp_nir_paper_files/figure-docx/fig-performance-boxplot-1.png" id="41" name="Picture"/>
                          <pic:cNvPicPr>
                            <a:picLocks noChangeArrowheads="1" noChangeAspect="1"/>
                          </pic:cNvPicPr>
                        </pic:nvPicPr>
                        <pic:blipFill>
                          <a:blip r:embed="rId3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2"/>
        </w:tc>
      </w:tr>
    </w:tbl>
    <w:p>
      <w:pPr>
        <w:pStyle w:val="BodyText"/>
      </w:pPr>
      <w:r>
        <w:t xml:space="preserve">This is a more lax standard for RPD than that set forth by</w:t>
      </w:r>
      <w:r>
        <w:t xml:space="preserve"> </w:t>
      </w:r>
      <w:r>
        <w:t xml:space="preserve">P. Williams (2013)</w:t>
      </w:r>
      <w:r>
        <w:t xml:space="preserve">, who recommended a minimum acceptable RPD value of 2.5 as suitable rough screening, such as in plant breeding programs. Utilizing those higher benchmarks, 59% of the models were sufficient for rough screening and 6% were suitable for screening, although none sufficed for quality or process control. However, models with lower RPD values can still be of use to researchers</w:t>
      </w:r>
      <w:r>
        <w:t xml:space="preserve"> </w:t>
      </w:r>
      <w:r>
        <w:t xml:space="preserve">(Bellon-Maurel et al., 2010)</w:t>
      </w:r>
      <w:r>
        <w:t xml:space="preserve">.</w:t>
      </w:r>
    </w:p>
    <w:p>
      <w:pPr>
        <w:pStyle w:val="BodyText"/>
      </w:pPr>
      <w:r>
        <w:t xml:space="preserve">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It is known that PLSR predictions are biased towards the mean values in the training set</w:t>
      </w:r>
      <w:r>
        <w:t xml:space="preserve"> </w:t>
      </w:r>
      <w:r>
        <w:t xml:space="preserve">(Bellon-Maurel et al., 2010)</w:t>
      </w:r>
      <w:r>
        <w:t xml:space="preserve">. The behavior of these predictions follows that pattern.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6" w:name="fig-validation-errors"/>
          <w:p>
            <w:pPr>
              <w:pStyle w:val="Compact"/>
              <w:jc w:val="center"/>
            </w:pPr>
            <w:r>
              <w:drawing>
                <wp:inline>
                  <wp:extent cx="5943600" cy="4114800"/>
                  <wp:effectExtent b="0" l="0" r="0" t="0"/>
                  <wp:docPr descr="" title="" id="44" name="Picture"/>
                  <a:graphic>
                    <a:graphicData uri="http://schemas.openxmlformats.org/drawingml/2006/picture">
                      <pic:pic>
                        <pic:nvPicPr>
                          <pic:cNvPr descr="hemp_nir_paper_files/figure-docx/fig-validation-errors-1.png" id="45" name="Picture"/>
                          <pic:cNvPicPr>
                            <a:picLocks noChangeArrowheads="1" noChangeAspect="1"/>
                          </pic:cNvPicPr>
                        </pic:nvPicPr>
                        <pic:blipFill>
                          <a:blip r:embed="rId4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6"/>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ten were from Geneva, while four of the 15 best-predicted samples were from Geneva (by contrast, five of the best-predicted and five of the worst-predicted samples came from Ithaca). Overall, samples from Geneva had the highest mean absolute error (MAE) of prediction among locations, 63% greater than samples from Ithaca and 153%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or variation in environmental condititions across growing seasons. However, the exact reason for these differences is likely unknowable.</w:t>
      </w:r>
    </w:p>
    <w:bookmarkEnd w:id="47"/>
    <w:bookmarkStart w:id="53"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 and was compared to full-spectrum model performance in</w:t>
      </w:r>
      <w:r>
        <w:t xml:space="preserve"> </w:t>
      </w:r>
      <w:hyperlink w:anchor="tbl-performance-summary">
        <w:r>
          <w:rPr>
            <w:rStyle w:val="Hyperlink"/>
          </w:rPr>
          <w:t xml:space="preserve">Table 7</w:t>
        </w:r>
      </w:hyperlink>
      <w:r>
        <w:t xml:space="preserve">. The full spectrum model significantly outperformed the full-spectrum model across all performance metrics. The protein-focused model utilized five components, aligning with the advice to use 20 samples for calibration per principal component in PLSR</w:t>
      </w:r>
      <w:r>
        <w:t xml:space="preserve"> </w:t>
      </w:r>
      <w:r>
        <w:t xml:space="preserve">(P. Williams, 2013)</w:t>
      </w:r>
      <w:r>
        <w:t xml:space="preserve">. By that rubric, a model using five principal components would require at least 100 samples to calibrate it. Here 111 samples were used in calibration, exceeding that threshold. Eighty-six percent of the protein-focused models were minimally acceptable for qualitative screening (RPD &gt; 1.5) but only 14% of the models were capable of approximate-quantitative screening or better.</w:t>
      </w:r>
    </w:p>
    <w:p>
      <w:pPr>
        <w:pStyle w:val="BodyText"/>
      </w:pPr>
      <w:r>
        <w:rPr>
          <w:b/>
          <w:bCs/>
        </w:rPr>
        <w:t xml:space="preserve">?@tbl-performance-distribution</w:t>
      </w:r>
    </w:p>
    <w:p>
      <w:pPr>
        <w:pStyle w:val="BodyText"/>
      </w:pPr>
      <w:r>
        <w:t xml:space="preserve">Variable importance in projection scores are and</w:t>
      </w:r>
      <w:r>
        <w:t xml:space="preserve"> </w:t>
      </w:r>
      <w:hyperlink w:anchor="fig-model-comparison">
        <w:r>
          <w:rPr>
            <w:rStyle w:val="Hyperlink"/>
          </w:rPr>
          <w:t xml:space="preserve">Figure 4</w:t>
        </w:r>
      </w:hyperlink>
    </w:p>
    <w:tbl>
      <w:tblPr>
        <w:tblStyle w:val="Table"/>
        <w:tblW w:type="pct" w:w="5000"/>
        <w:tblLayout w:type="fixed"/>
        <w:tblLook w:firstRow="0" w:lastRow="0" w:firstColumn="0" w:lastColumn="0" w:noHBand="0" w:noVBand="0" w:val="0000"/>
      </w:tblPr>
      <w:tblGrid>
        <w:gridCol w:w="7920"/>
      </w:tblGrid>
      <w:tr>
        <w:tc>
          <w:tcPr/>
          <w:bookmarkStart w:id="48" w:name="tbl-performance-summary"/>
          <w:p>
            <w:pPr>
              <w:jc w:val="center"/>
            </w:pPr>
            <w:pPr>
              <w:jc w:val="start"/>
              <w:spacing w:before="200"/>
              <w:pStyle w:val="ImageCaption"/>
            </w:pPr>
            <w:r>
              <w:t xml:space="preserve">Table 7: Comparison of Protein-Focused and Full Spectrum Models</w:t>
            </w:r>
          </w:p>
          <w:p>
            <w:pPr>
              <w:pStyle w:val="Compact"/>
              <w:jc w:val="center"/>
            </w:pPr>
            <w:r>
              <w:t xml:space="preserve">Model Performance Summary Statistics (n=1000 iterations)</w:t>
            </w:r>
          </w:p>
          <w:tbl>
            <w:tblPr>
              <w:tblStyle w:val="Table"/>
              <w:tblW w:type="pct" w:w="5000"/>
              <w:tblLayout w:type="fixed"/>
              <w:tblLook w:firstRow="1" w:lastRow="0" w:firstColumn="0" w:lastColumn="0" w:noHBand="0" w:noVBand="0" w:val="0020"/>
              <w:tblCaption w:val="Model Performance Summary Statistics (n=1000 iterations)"/>
            </w:tblPr>
            <w:tblGrid>
              <w:gridCol w:w="1545"/>
              <w:gridCol w:w="1255"/>
              <w:gridCol w:w="1448"/>
              <w:gridCol w:w="1255"/>
              <w:gridCol w:w="1255"/>
              <w:gridCol w:w="1159"/>
            </w:tblGrid>
            <w:tr>
              <w:trPr>
                <w:tblHeader w:val="on"/>
              </w:trPr>
              <w:tc>
                <w:tcPr/>
                <w:p>
                  <w:pPr>
                    <w:pStyle w:val="Compact"/>
                    <w:jc w:val="left"/>
                    <w:jc w:val="center"/>
                  </w:pPr>
                  <w:r>
                    <w:t xml:space="preserve">Analysis Type</w:t>
                  </w:r>
                </w:p>
              </w:tc>
              <w:tc>
                <w:tcPr/>
                <w:p>
                  <w:pPr>
                    <w:pStyle w:val="Compact"/>
                    <w:jc w:val="center"/>
                    <w:jc w:val="center"/>
                  </w:pPr>
                  <w:r>
                    <w:t xml:space="preserve">RMSE (g/kg)</w:t>
                  </w:r>
                </w:p>
              </w:tc>
              <w:tc>
                <w:tcPr/>
                <w:p>
                  <w:pPr>
                    <w:pStyle w:val="Compact"/>
                    <w:jc w:val="center"/>
                    <w:jc w:val="center"/>
                  </w:pPr>
                  <w:r>
                    <w:t xml:space="preserve">R²</w:t>
                  </w:r>
                </w:p>
              </w:tc>
              <w:tc>
                <w:tcPr/>
                <w:p>
                  <w:pPr>
                    <w:pStyle w:val="Compact"/>
                    <w:jc w:val="center"/>
                    <w:jc w:val="center"/>
                  </w:pPr>
                  <w:r>
                    <w:t xml:space="preserve">RPD</w:t>
                  </w:r>
                </w:p>
              </w:tc>
              <w:tc>
                <w:tcPr/>
                <w:p>
                  <w:pPr>
                    <w:pStyle w:val="Compact"/>
                    <w:jc w:val="center"/>
                    <w:jc w:val="center"/>
                  </w:pPr>
                  <w:r>
                    <w:t xml:space="preserve">RPIQ</w:t>
                  </w:r>
                </w:p>
              </w:tc>
              <w:tc>
                <w:tcPr/>
                <w:p>
                  <w:pPr>
                    <w:pStyle w:val="Compact"/>
                    <w:jc w:val="center"/>
                    <w:jc w:val="center"/>
                  </w:pPr>
                  <w:r>
                    <w:t xml:space="preserve">Components</w:t>
                  </w:r>
                </w:p>
              </w:tc>
            </w:tr>
            <w:tr>
              <w:tc>
                <w:tcPr/>
                <w:p>
                  <w:pPr>
                    <w:pStyle w:val="Compact"/>
                    <w:jc w:val="left"/>
                    <w:jc w:val="center"/>
                  </w:pPr>
                  <w:r>
                    <w:t xml:space="preserve">Protein-Focused</w:t>
                  </w:r>
                </w:p>
              </w:tc>
              <w:tc>
                <w:tcPr/>
                <w:p>
                  <w:pPr>
                    <w:pStyle w:val="Compact"/>
                    <w:jc w:val="center"/>
                    <w:jc w:val="center"/>
                  </w:pPr>
                  <w:r>
                    <w:t xml:space="preserve">14.3 ± 1.6</w:t>
                  </w:r>
                </w:p>
              </w:tc>
              <w:tc>
                <w:tcPr/>
                <w:p>
                  <w:pPr>
                    <w:pStyle w:val="Compact"/>
                    <w:jc w:val="center"/>
                    <w:jc w:val="center"/>
                  </w:pPr>
                  <w:r>
                    <w:t xml:space="preserve">0.669 ± 0.082</w:t>
                  </w:r>
                </w:p>
              </w:tc>
              <w:tc>
                <w:tcPr/>
                <w:p>
                  <w:pPr>
                    <w:pStyle w:val="Compact"/>
                    <w:jc w:val="center"/>
                    <w:jc w:val="center"/>
                  </w:pPr>
                  <w:r>
                    <w:t xml:space="preserve">1.74 ± 0.23</w:t>
                  </w:r>
                </w:p>
              </w:tc>
              <w:tc>
                <w:tcPr/>
                <w:p>
                  <w:pPr>
                    <w:pStyle w:val="Compact"/>
                    <w:jc w:val="center"/>
                    <w:jc w:val="center"/>
                  </w:pPr>
                  <w:r>
                    <w:t xml:space="preserve">2.74 ± 0.54</w:t>
                  </w:r>
                </w:p>
              </w:tc>
              <w:tc>
                <w:tcPr/>
                <w:p>
                  <w:pPr>
                    <w:pStyle w:val="Compact"/>
                    <w:jc w:val="center"/>
                    <w:jc w:val="center"/>
                  </w:pPr>
                  <w:r>
                    <w:t xml:space="preserve">5.0 ± 0.1</w:t>
                  </w:r>
                </w:p>
              </w:tc>
            </w:tr>
            <w:tr>
              <w:tc>
                <w:tcPr/>
                <w:p>
                  <w:pPr>
                    <w:pStyle w:val="Compact"/>
                    <w:jc w:val="left"/>
                    <w:jc w:val="center"/>
                  </w:pPr>
                  <w:r>
                    <w:t xml:space="preserve">Full Spectrum</w:t>
                  </w:r>
                </w:p>
              </w:tc>
              <w:tc>
                <w:tcPr/>
                <w:p>
                  <w:pPr>
                    <w:pStyle w:val="Compact"/>
                    <w:jc w:val="center"/>
                    <w:jc w:val="center"/>
                  </w:pPr>
                  <w:r>
                    <w:t xml:space="preserve">10.4 ± 1.3</w:t>
                  </w:r>
                </w:p>
              </w:tc>
              <w:tc>
                <w:tcPr/>
                <w:p>
                  <w:pPr>
                    <w:pStyle w:val="Compact"/>
                    <w:jc w:val="center"/>
                    <w:jc w:val="center"/>
                  </w:pPr>
                  <w:r>
                    <w:t xml:space="preserve">0.822 ± 0.054</w:t>
                  </w:r>
                </w:p>
              </w:tc>
              <w:tc>
                <w:tcPr/>
                <w:p>
                  <w:pPr>
                    <w:pStyle w:val="Compact"/>
                    <w:jc w:val="center"/>
                    <w:jc w:val="center"/>
                  </w:pPr>
                  <w:r>
                    <w:t xml:space="preserve">2.40 ± 0.36</w:t>
                  </w:r>
                </w:p>
              </w:tc>
              <w:tc>
                <w:tcPr/>
                <w:p>
                  <w:pPr>
                    <w:pStyle w:val="Compact"/>
                    <w:jc w:val="center"/>
                    <w:jc w:val="center"/>
                  </w:pPr>
                  <w:r>
                    <w:t xml:space="preserve">3.78 ± 0.80</w:t>
                  </w:r>
                </w:p>
              </w:tc>
              <w:tc>
                <w:tcPr/>
                <w:p>
                  <w:pPr>
                    <w:pStyle w:val="Compact"/>
                    <w:jc w:val="center"/>
                    <w:jc w:val="center"/>
                  </w:pPr>
                  <w:r>
                    <w:t xml:space="preserve">12.8 ± 1.7</w:t>
                  </w:r>
                </w:p>
              </w:tc>
            </w:tr>
          </w:tbl>
          <w:bookmarkEnd w:id="48"/>
          <w:p/>
        </w:tc>
      </w:tr>
    </w:tbl>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943600" cy="4114800"/>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1500-1550 nm region (N-H stretch from peptide bonds) showed the highest importance, followed by the 1200-1250 nm region (N-H + C-N combination bands). VIP scores greater than one appeared in all 1000 model iterations at the 1246, 1248, 1546, and 1548 nm wavelengths.This pattern aligns with established protein spectroscopy literature</w:t>
      </w:r>
      <w:r>
        <w:t xml:space="preserve"> </w:t>
      </w:r>
      <w:r>
        <w:t xml:space="preserve">(Lukacs et al., 2024)</w:t>
      </w:r>
      <w:r>
        <w:t xml:space="preserve">. The VIP scores from either model could be used in subsequent modeling, although</w:t>
      </w:r>
      <w:r>
        <w:t xml:space="preserve"> </w:t>
      </w:r>
      <w:r>
        <w:t xml:space="preserve">(Z. Wang et al., 2022)</w:t>
      </w:r>
      <w:r>
        <w:t xml:space="preserve">.</w:t>
      </w:r>
    </w:p>
    <w:p>
      <w:pPr>
        <w:pStyle w:val="BodyText"/>
      </w:pPr>
      <w:r>
        <w:t xml:space="preserve">The performance of the protein-focused model provides biological validation of NIRS predictions. This approach improved model interpretability by explicitly connecting predictions to known CP chemistry, suggesting that future hemp CP calibrations could focus on these specific wavelength regions. This would improve model robustness and transferability across NIR instruments or environments, potentially enabling the transfer of calibrations to handheld or other instruments #CITE. This approach is evidence that successful predictions are based on genuine CP-spectral relationships rather than correlations with other grain components such as oil, starch, or moisture.</w:t>
      </w:r>
    </w:p>
    <w:bookmarkEnd w:id="53"/>
    <w:bookmarkEnd w:id="54"/>
    <w:bookmarkStart w:id="55" w:name="conclusions"/>
    <w:p>
      <w:pPr>
        <w:pStyle w:val="Heading2"/>
      </w:pPr>
      <w:r>
        <w:t xml:space="preserve">4 Conclusions</w:t>
      </w:r>
    </w:p>
    <w:p>
      <w:pPr>
        <w:pStyle w:val="FirstParagraph"/>
      </w:pPr>
      <w:r>
        <w:t xml:space="preserve">The research showed the promise of the use of NIRS in order to make predictions, at minimum, suitable for use in a breeding program, concerning CP concentration in hemp grain using PLSR. Promising preprocessing methods were identified and a model was validated. Further research could refine the model by including more samples, particularly by rectifying the class imbalance between Geneva and Ithaca.</w:t>
      </w:r>
    </w:p>
    <w:p>
      <w:pPr>
        <w:pStyle w:val="BodyText"/>
      </w:pPr>
      <w:r>
        <w:t xml:space="preserve">This study is limited in that it represents the creation of one model based upon spectra collected from one machine. This is insufficient for use in an industrial setting, where a minimum of three machines are suggested</w:t>
      </w:r>
      <w:r>
        <w:t xml:space="preserve"> </w:t>
      </w:r>
      <w:r>
        <w:t xml:space="preserve">(P. Williams, 2013)</w:t>
      </w:r>
      <w:r>
        <w:t xml:space="preserv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w:t>
      </w:r>
    </w:p>
    <w:p>
      <w:pPr>
        <w:pStyle w:val="BodyText"/>
      </w:pPr>
      <w:r>
        <w:t xml:space="preserve">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w:t>
      </w:r>
    </w:p>
    <w:bookmarkEnd w:id="55"/>
    <w:bookmarkStart w:id="56"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6"/>
    <w:bookmarkStart w:id="112" w:name="conflict-of-interest"/>
    <w:p>
      <w:pPr>
        <w:pStyle w:val="Heading2"/>
      </w:pPr>
      <w:r>
        <w:t xml:space="preserve">6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2025-07-10 11:14:32</w:t>
      </w:r>
      <w:r>
        <w:br/>
      </w:r>
      <w:r>
        <w:rPr>
          <w:b/>
          <w:bCs/>
        </w:rPr>
        <w:t xml:space="preserve">Framework:</w:t>
      </w:r>
      <w:r>
        <w:t xml:space="preserve"> </w:t>
      </w:r>
      <w:r>
        <w:t xml:space="preserve">Targets-based reproducible workflow</w:t>
      </w:r>
    </w:p>
    <w:bookmarkStart w:id="111" w:name="refs"/>
    <w:bookmarkStart w:id="58"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7">
        <w:r>
          <w:rPr>
            <w:rStyle w:val="Hyperlink"/>
          </w:rPr>
          <w:t xml:space="preserve">https://doi.org/10.1366/0003702894202201</w:t>
        </w:r>
      </w:hyperlink>
    </w:p>
    <w:bookmarkEnd w:id="58"/>
    <w:bookmarkStart w:id="60"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9">
        <w:r>
          <w:rPr>
            <w:rStyle w:val="Hyperlink"/>
          </w:rPr>
          <w:t xml:space="preserve">https://doi.org/10.3390/plants13010111</w:t>
        </w:r>
      </w:hyperlink>
    </w:p>
    <w:bookmarkEnd w:id="60"/>
    <w:bookmarkStart w:id="62"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29</w:t>
      </w:r>
      <w:r>
        <w:t xml:space="preserve">(9), 1073–1081.</w:t>
      </w:r>
      <w:r>
        <w:t xml:space="preserve"> </w:t>
      </w:r>
      <w:hyperlink r:id="rId61">
        <w:r>
          <w:rPr>
            <w:rStyle w:val="Hyperlink"/>
          </w:rPr>
          <w:t xml:space="preserve">https://doi.org/10.1016/j.trac.2010.05.006</w:t>
        </w:r>
      </w:hyperlink>
    </w:p>
    <w:bookmarkEnd w:id="62"/>
    <w:bookmarkStart w:id="64"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3">
        <w:r>
          <w:rPr>
            <w:rStyle w:val="Hyperlink"/>
          </w:rPr>
          <w:t xml:space="preserve">https://doi.org/10.1007/s10681-004-4811-6</w:t>
        </w:r>
      </w:hyperlink>
    </w:p>
    <w:bookmarkEnd w:id="64"/>
    <w:bookmarkStart w:id="66"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65">
        <w:r>
          <w:rPr>
            <w:rStyle w:val="Hyperlink"/>
          </w:rPr>
          <w:t xml:space="preserve">https://doi.org/10.1007/978-981-16-8778-5_6</w:t>
        </w:r>
      </w:hyperlink>
    </w:p>
    <w:bookmarkEnd w:id="66"/>
    <w:bookmarkStart w:id="68" w:name="ref-farres_comparison_2015"/>
    <w:p>
      <w:pPr>
        <w:pStyle w:val="Bibliography"/>
      </w:pPr>
      <w:r>
        <w:t xml:space="preserve">Farrés, M., Platikanov, S., Tsakovski, S., &amp; Tauler, R. (2015). Comparison of the variable importance in projection (</w:t>
      </w:r>
      <w:r>
        <w:t xml:space="preserve">VIP</w:t>
      </w:r>
      <w:r>
        <w:t xml:space="preserve">) and of the selectivity ratio (</w:t>
      </w:r>
      <w:r>
        <w:t xml:space="preserve">SR</w:t>
      </w:r>
      <w:r>
        <w:t xml:space="preserve">) methods for variable selection and interpretation.</w:t>
      </w:r>
      <w:r>
        <w:t xml:space="preserve"> </w:t>
      </w:r>
      <w:r>
        <w:rPr>
          <w:i/>
          <w:iCs/>
        </w:rPr>
        <w:t xml:space="preserve">Journal of Chemometrics</w:t>
      </w:r>
      <w:r>
        <w:t xml:space="preserve">,</w:t>
      </w:r>
      <w:r>
        <w:t xml:space="preserve"> </w:t>
      </w:r>
      <w:r>
        <w:rPr>
          <w:i/>
          <w:iCs/>
        </w:rPr>
        <w:t xml:space="preserve">29</w:t>
      </w:r>
      <w:r>
        <w:t xml:space="preserve">(10), 528–536.</w:t>
      </w:r>
      <w:r>
        <w:t xml:space="preserve"> </w:t>
      </w:r>
      <w:hyperlink r:id="rId67">
        <w:r>
          <w:rPr>
            <w:rStyle w:val="Hyperlink"/>
          </w:rPr>
          <w:t xml:space="preserve">https://doi.org/10.1002/cem.2736</w:t>
        </w:r>
      </w:hyperlink>
    </w:p>
    <w:bookmarkEnd w:id="68"/>
    <w:bookmarkStart w:id="70"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9">
        <w:r>
          <w:rPr>
            <w:rStyle w:val="Hyperlink"/>
          </w:rPr>
          <w:t xml:space="preserve">https://doi.org/10.1177/0967033519848296</w:t>
        </w:r>
      </w:hyperlink>
    </w:p>
    <w:bookmarkEnd w:id="70"/>
    <w:bookmarkStart w:id="72"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71">
        <w:r>
          <w:rPr>
            <w:rStyle w:val="Hyperlink"/>
          </w:rPr>
          <w:t xml:space="preserve">https://doi.org/10.3390/plants11162146</w:t>
        </w:r>
      </w:hyperlink>
    </w:p>
    <w:bookmarkEnd w:id="72"/>
    <w:bookmarkStart w:id="74"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3">
        <w:r>
          <w:rPr>
            <w:rStyle w:val="Hyperlink"/>
          </w:rPr>
          <w:t xml:space="preserve">https://doi.org/10.3389/fpls.2019.01509</w:t>
        </w:r>
      </w:hyperlink>
    </w:p>
    <w:bookmarkEnd w:id="74"/>
    <w:bookmarkStart w:id="76"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75">
        <w:r>
          <w:rPr>
            <w:rStyle w:val="Hyperlink"/>
          </w:rPr>
          <w:t xml:space="preserve">https://doi.org/10.3390/foods9101340</w:t>
        </w:r>
      </w:hyperlink>
    </w:p>
    <w:bookmarkEnd w:id="76"/>
    <w:bookmarkStart w:id="78" w:name="ref-huang_feasibility_2013"/>
    <w:p>
      <w:pPr>
        <w:pStyle w:val="Bibliography"/>
      </w:pPr>
      <w:r>
        <w:t xml:space="preserve">Huang, Z., Sha, S., Rong, Z., Chen, J., He, Q., Khan, D. M., &amp; Zhu, S. (2013). Feasibility study of near infrared spectroscopy with variable selection for non-destructive determination of quality parameters in shell-intact cottonseed.</w:t>
      </w:r>
      <w:r>
        <w:t xml:space="preserve"> </w:t>
      </w:r>
      <w:r>
        <w:rPr>
          <w:i/>
          <w:iCs/>
        </w:rPr>
        <w:t xml:space="preserve">Industrial Crops and Products</w:t>
      </w:r>
      <w:r>
        <w:t xml:space="preserve">,</w:t>
      </w:r>
      <w:r>
        <w:t xml:space="preserve"> </w:t>
      </w:r>
      <w:r>
        <w:rPr>
          <w:i/>
          <w:iCs/>
        </w:rPr>
        <w:t xml:space="preserve">43</w:t>
      </w:r>
      <w:r>
        <w:t xml:space="preserve">, 654–660.</w:t>
      </w:r>
      <w:r>
        <w:t xml:space="preserve"> </w:t>
      </w:r>
      <w:hyperlink r:id="rId77">
        <w:r>
          <w:rPr>
            <w:rStyle w:val="Hyperlink"/>
          </w:rPr>
          <w:t xml:space="preserve">https://doi.org/10.1016/j.indcrop.2012.08.015</w:t>
        </w:r>
      </w:hyperlink>
    </w:p>
    <w:bookmarkEnd w:id="78"/>
    <w:bookmarkStart w:id="80"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79">
        <w:r>
          <w:rPr>
            <w:rStyle w:val="Hyperlink"/>
          </w:rPr>
          <w:t xml:space="preserve">https://doi.org/10.1016/j.vibspec.2020.103060</w:t>
        </w:r>
      </w:hyperlink>
    </w:p>
    <w:bookmarkEnd w:id="80"/>
    <w:bookmarkStart w:id="82"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81">
        <w:r>
          <w:rPr>
            <w:rStyle w:val="Hyperlink"/>
          </w:rPr>
          <w:t xml:space="preserve">https://doi.org/10.1111/1750-3841.16467</w:t>
        </w:r>
      </w:hyperlink>
    </w:p>
    <w:bookmarkEnd w:id="82"/>
    <w:bookmarkStart w:id="84" w:name="ref-lukacs_comparison_2024"/>
    <w:p>
      <w:pPr>
        <w:pStyle w:val="Bibliography"/>
      </w:pPr>
      <w:r>
        <w:t xml:space="preserve">Lukacs, M., Zaukuu, J.-L. Z., Bazar, G., Pollner, B., Fodor, M., &amp; Kovacs, Z. (2024). Comparison of multiple</w:t>
      </w:r>
      <w:r>
        <w:t xml:space="preserve"> </w:t>
      </w:r>
      <w:r>
        <w:t xml:space="preserve">NIR</w:t>
      </w:r>
      <w:r>
        <w:t xml:space="preserve"> </w:t>
      </w:r>
      <w:r>
        <w:t xml:space="preserve">spectrometers for detecting low-concentration nitrogen-based adulteration in protein powders.</w:t>
      </w:r>
      <w:r>
        <w:t xml:space="preserve"> </w:t>
      </w:r>
      <w:r>
        <w:rPr>
          <w:i/>
          <w:iCs/>
        </w:rPr>
        <w:t xml:space="preserve">Molecules</w:t>
      </w:r>
      <w:r>
        <w:t xml:space="preserve">,</w:t>
      </w:r>
      <w:r>
        <w:t xml:space="preserve"> </w:t>
      </w:r>
      <w:r>
        <w:rPr>
          <w:i/>
          <w:iCs/>
        </w:rPr>
        <w:t xml:space="preserve">29</w:t>
      </w:r>
      <w:r>
        <w:t xml:space="preserve">(4), 781.</w:t>
      </w:r>
      <w:r>
        <w:t xml:space="preserve"> </w:t>
      </w:r>
      <w:hyperlink r:id="rId83">
        <w:r>
          <w:rPr>
            <w:rStyle w:val="Hyperlink"/>
          </w:rPr>
          <w:t xml:space="preserve">https://doi.org/10.3390/molecules29040781</w:t>
        </w:r>
      </w:hyperlink>
    </w:p>
    <w:bookmarkEnd w:id="84"/>
    <w:bookmarkStart w:id="86"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85">
        <w:r>
          <w:rPr>
            <w:rStyle w:val="Hyperlink"/>
          </w:rPr>
          <w:t xml:space="preserve">https://doi.org/10.1016/j.dsp.2004.09.008</w:t>
        </w:r>
      </w:hyperlink>
    </w:p>
    <w:bookmarkEnd w:id="86"/>
    <w:bookmarkStart w:id="88" w:name="ref-nogales-bueno_reduction_2021"/>
    <w:p>
      <w:pPr>
        <w:pStyle w:val="Bibliography"/>
      </w:pPr>
      <w:r>
        <w:t xml:space="preserve">Nogales-Bueno, J., Rodríguez-Pulido, F. J., Baca-Bocanegra, B., Pérez-Marin, D., Heredia, F. J., Garrido-Varo, A., &amp; Hernández-Hierro, J. M. (2021). Reduction of the number of samples for cost-effective hyperspectral grape quality predictive models.</w:t>
      </w:r>
      <w:r>
        <w:t xml:space="preserve"> </w:t>
      </w:r>
      <w:r>
        <w:rPr>
          <w:i/>
          <w:iCs/>
        </w:rPr>
        <w:t xml:space="preserve">Foods</w:t>
      </w:r>
      <w:r>
        <w:t xml:space="preserve">,</w:t>
      </w:r>
      <w:r>
        <w:t xml:space="preserve"> </w:t>
      </w:r>
      <w:r>
        <w:rPr>
          <w:i/>
          <w:iCs/>
        </w:rPr>
        <w:t xml:space="preserve">10</w:t>
      </w:r>
      <w:r>
        <w:t xml:space="preserve">(2), 233.</w:t>
      </w:r>
      <w:r>
        <w:t xml:space="preserve"> </w:t>
      </w:r>
      <w:hyperlink r:id="rId87">
        <w:r>
          <w:rPr>
            <w:rStyle w:val="Hyperlink"/>
          </w:rPr>
          <w:t xml:space="preserve">https://doi.org/10.3390/foods10020233</w:t>
        </w:r>
      </w:hyperlink>
    </w:p>
    <w:bookmarkEnd w:id="88"/>
    <w:bookmarkStart w:id="90"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89">
        <w:r>
          <w:rPr>
            <w:rStyle w:val="Hyperlink"/>
          </w:rPr>
          <w:t xml:space="preserve">https://doi.org/10.1080/00103624.2012.641844</w:t>
        </w:r>
      </w:hyperlink>
    </w:p>
    <w:bookmarkEnd w:id="90"/>
    <w:bookmarkStart w:id="92"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91">
        <w:r>
          <w:rPr>
            <w:rStyle w:val="Hyperlink"/>
          </w:rPr>
          <w:t xml:space="preserve">https://doi.org/10.1016/j.trac.2009.07.007</w:t>
        </w:r>
      </w:hyperlink>
    </w:p>
    <w:bookmarkEnd w:id="92"/>
    <w:bookmarkStart w:id="93"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93"/>
    <w:bookmarkStart w:id="95" w:name="ref-shenk_population_1991"/>
    <w:p>
      <w:pPr>
        <w:pStyle w:val="Bibliography"/>
      </w:pPr>
      <w:r>
        <w:t xml:space="preserve">Shenk, J. S., &amp; Westerhaus, M. O. (1991). Population definition, sample selection, and calibration procedures for near infrared reflectance spectroscopy.</w:t>
      </w:r>
      <w:r>
        <w:t xml:space="preserve"> </w:t>
      </w:r>
      <w:r>
        <w:rPr>
          <w:i/>
          <w:iCs/>
        </w:rPr>
        <w:t xml:space="preserve">Crop Science</w:t>
      </w:r>
      <w:r>
        <w:t xml:space="preserve">,</w:t>
      </w:r>
      <w:r>
        <w:t xml:space="preserve"> </w:t>
      </w:r>
      <w:r>
        <w:rPr>
          <w:i/>
          <w:iCs/>
        </w:rPr>
        <w:t xml:space="preserve">31</w:t>
      </w:r>
      <w:r>
        <w:t xml:space="preserve">(2), cropsci1991.0011183X003100020049x.</w:t>
      </w:r>
      <w:r>
        <w:t xml:space="preserve"> </w:t>
      </w:r>
      <w:hyperlink r:id="rId94">
        <w:r>
          <w:rPr>
            <w:rStyle w:val="Hyperlink"/>
          </w:rPr>
          <w:t xml:space="preserve">https://doi.org/10.2135/cropsci1991.0011183X003100020049x</w:t>
        </w:r>
      </w:hyperlink>
    </w:p>
    <w:bookmarkEnd w:id="95"/>
    <w:bookmarkStart w:id="97" w:name="ref-towett_applicability_2013"/>
    <w:p>
      <w:pPr>
        <w:pStyle w:val="Bibliography"/>
      </w:pPr>
      <w:r>
        <w:t xml:space="preserve">Towett, E. K., Alex, M., Shepherd, K. D., Polreich, S., Aynekulu, E., &amp; Maass, B. L. (2013). Applicability of near-infrared reflectance spectroscopy (</w:t>
      </w:r>
      <w:r>
        <w:t xml:space="preserve">NIRS</w:t>
      </w:r>
      <w:r>
        <w:t xml:space="preserve">)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96">
        <w:r>
          <w:rPr>
            <w:rStyle w:val="Hyperlink"/>
          </w:rPr>
          <w:t xml:space="preserve">https://doi.org/10.1002/fsn3.7</w:t>
        </w:r>
      </w:hyperlink>
    </w:p>
    <w:bookmarkEnd w:id="97"/>
    <w:bookmarkStart w:id="99"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98">
        <w:r>
          <w:rPr>
            <w:rStyle w:val="Hyperlink"/>
          </w:rPr>
          <w:t xml:space="preserve">https://doi.org/10.1016/j.saa.2025.126611</w:t>
        </w:r>
      </w:hyperlink>
    </w:p>
    <w:bookmarkEnd w:id="99"/>
    <w:bookmarkStart w:id="101" w:name="ref-wang_portable_2022"/>
    <w:p>
      <w:pPr>
        <w:pStyle w:val="Bibliography"/>
      </w:pPr>
      <w:r>
        <w:t xml:space="preserve">Wang, Z., Wu, Q., &amp; Kamruzzaman, M. (2022). Portable</w:t>
      </w:r>
      <w:r>
        <w:t xml:space="preserve"> </w:t>
      </w:r>
      <w:r>
        <w:t xml:space="preserve">NIR</w:t>
      </w:r>
      <w:r>
        <w:t xml:space="preserve"> </w:t>
      </w:r>
      <w:r>
        <w:t xml:space="preserve">spectroscopy and</w:t>
      </w:r>
      <w:r>
        <w:t xml:space="preserve"> </w:t>
      </w:r>
      <w:r>
        <w:t xml:space="preserve">PLS</w:t>
      </w:r>
      <w:r>
        <w:t xml:space="preserve"> </w:t>
      </w:r>
      <w:r>
        <w:t xml:space="preserve">based variable selection for adulteration detection in quinoa flour.</w:t>
      </w:r>
      <w:r>
        <w:t xml:space="preserve"> </w:t>
      </w:r>
      <w:r>
        <w:rPr>
          <w:i/>
          <w:iCs/>
        </w:rPr>
        <w:t xml:space="preserve">Food Control</w:t>
      </w:r>
      <w:r>
        <w:t xml:space="preserve">,</w:t>
      </w:r>
      <w:r>
        <w:t xml:space="preserve"> </w:t>
      </w:r>
      <w:r>
        <w:rPr>
          <w:i/>
          <w:iCs/>
        </w:rPr>
        <w:t xml:space="preserve">138</w:t>
      </w:r>
      <w:r>
        <w:t xml:space="preserve">, 108970.</w:t>
      </w:r>
      <w:r>
        <w:t xml:space="preserve"> </w:t>
      </w:r>
      <w:hyperlink r:id="rId100">
        <w:r>
          <w:rPr>
            <w:rStyle w:val="Hyperlink"/>
          </w:rPr>
          <w:t xml:space="preserve">https://doi.org/10.1016/j.foodcont.2022.108970</w:t>
        </w:r>
      </w:hyperlink>
    </w:p>
    <w:bookmarkEnd w:id="101"/>
    <w:bookmarkStart w:id="103" w:name="ref-williams_calibration_2013"/>
    <w:p>
      <w:pPr>
        <w:pStyle w:val="Bibliography"/>
      </w:pPr>
      <w:r>
        <w:t xml:space="preserve">Williams, P. (2013). Calibration development and evaluation methods b. Set-up and evaluation.</w:t>
      </w:r>
      <w:r>
        <w:t xml:space="preserve"> </w:t>
      </w:r>
      <w:r>
        <w:rPr>
          <w:i/>
          <w:iCs/>
        </w:rPr>
        <w:t xml:space="preserve">NIR</w:t>
      </w:r>
      <w:r>
        <w:rPr>
          <w:i/>
          <w:iCs/>
        </w:rPr>
        <w:t xml:space="preserve"> </w:t>
      </w:r>
      <w:r>
        <w:rPr>
          <w:i/>
          <w:iCs/>
        </w:rPr>
        <w:t xml:space="preserve">News</w:t>
      </w:r>
      <w:r>
        <w:t xml:space="preserve">,</w:t>
      </w:r>
      <w:r>
        <w:t xml:space="preserve"> </w:t>
      </w:r>
      <w:r>
        <w:rPr>
          <w:i/>
          <w:iCs/>
        </w:rPr>
        <w:t xml:space="preserve">24</w:t>
      </w:r>
      <w:r>
        <w:t xml:space="preserve">(6), 20–24.</w:t>
      </w:r>
      <w:r>
        <w:t xml:space="preserve"> </w:t>
      </w:r>
      <w:hyperlink r:id="rId102">
        <w:r>
          <w:rPr>
            <w:rStyle w:val="Hyperlink"/>
          </w:rPr>
          <w:t xml:space="preserve">https://doi.org/10.1255/nirn.1391</w:t>
        </w:r>
      </w:hyperlink>
    </w:p>
    <w:bookmarkEnd w:id="103"/>
    <w:bookmarkStart w:id="104"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104"/>
    <w:bookmarkStart w:id="106" w:name="ref-williams_comparison_1993"/>
    <w:p>
      <w:pPr>
        <w:pStyle w:val="Bibliography"/>
      </w:pPr>
      <w:r>
        <w:t xml:space="preserve">Williams, P. C., &amp; Sobering, D. C. (1993). Comparison of commercial near infrared transmittance and reflectance instruments for analysis of whole grains and seeds.</w:t>
      </w:r>
      <w:r>
        <w:t xml:space="preserve"> </w:t>
      </w:r>
      <w:r>
        <w:rPr>
          <w:i/>
          <w:iCs/>
        </w:rPr>
        <w:t xml:space="preserve">Journal of Near Infrared Spectroscopy</w:t>
      </w:r>
      <w:r>
        <w:t xml:space="preserve">,</w:t>
      </w:r>
      <w:r>
        <w:t xml:space="preserve"> </w:t>
      </w:r>
      <w:r>
        <w:rPr>
          <w:i/>
          <w:iCs/>
        </w:rPr>
        <w:t xml:space="preserve">1</w:t>
      </w:r>
      <w:r>
        <w:t xml:space="preserve">(1), 25–32.</w:t>
      </w:r>
      <w:r>
        <w:t xml:space="preserve"> </w:t>
      </w:r>
      <w:hyperlink r:id="rId105">
        <w:r>
          <w:rPr>
            <w:rStyle w:val="Hyperlink"/>
          </w:rPr>
          <w:t xml:space="preserve">https://doi.org/10.1255/jnirs.3</w:t>
        </w:r>
      </w:hyperlink>
    </w:p>
    <w:bookmarkEnd w:id="106"/>
    <w:bookmarkStart w:id="108"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07">
        <w:r>
          <w:rPr>
            <w:rStyle w:val="Hyperlink"/>
          </w:rPr>
          <w:t xml:space="preserve">https://doi.org/10.1016/S0169-7439(01)00155-1</w:t>
        </w:r>
      </w:hyperlink>
    </w:p>
    <w:bookmarkEnd w:id="108"/>
    <w:bookmarkStart w:id="110" w:name="ref-yates_cross_2023"/>
    <w:p>
      <w:pPr>
        <w:pStyle w:val="Bibliography"/>
      </w:pPr>
      <w:r>
        <w:t xml:space="preserve">Yates, L. A., Aandahl, Z., Richards, S. A., &amp; Brook, B. W. (2023). Cross validation for model selection: A review with examples from ecology.</w:t>
      </w:r>
      <w:r>
        <w:t xml:space="preserve"> </w:t>
      </w:r>
      <w:r>
        <w:rPr>
          <w:i/>
          <w:iCs/>
        </w:rPr>
        <w:t xml:space="preserve">Ecological Monographs</w:t>
      </w:r>
      <w:r>
        <w:t xml:space="preserve">,</w:t>
      </w:r>
      <w:r>
        <w:t xml:space="preserve"> </w:t>
      </w:r>
      <w:r>
        <w:rPr>
          <w:i/>
          <w:iCs/>
        </w:rPr>
        <w:t xml:space="preserve">93</w:t>
      </w:r>
      <w:r>
        <w:t xml:space="preserve">(1), e1557.</w:t>
      </w:r>
      <w:r>
        <w:t xml:space="preserve"> </w:t>
      </w:r>
      <w:hyperlink r:id="rId109">
        <w:r>
          <w:rPr>
            <w:rStyle w:val="Hyperlink"/>
          </w:rPr>
          <w:t xml:space="preserve">https://doi.org/10.1002/ecm.1557</w:t>
        </w:r>
      </w:hyperlink>
    </w:p>
    <w:bookmarkEnd w:id="110"/>
    <w:bookmarkEnd w:id="111"/>
    <w:bookmarkEnd w:id="112"/>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Liberation Serif" w:cs="" w:cstheme="minorBidi" w:eastAsia="Cambria" w:eastAsiaTheme="minorHAnsi" w:hAnsi="Liberation Serif"/>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Liberation Serif" w:cs="" w:cstheme="majorBidi" w:eastAsia="" w:eastAsiaTheme="majorEastAsia" w:hAnsi="Liberation Serif"/>
      <w:b/>
      <w:bCs/>
      <w:color w:val="000000"/>
      <w:sz w:val="28"/>
      <w:szCs w:val="32"/>
    </w:rPr>
  </w:style>
  <w:style w:styleId="Heading2" w:type="paragraph">
    <w:name w:val="Heading 2"/>
    <w:basedOn w:val="Normal"/>
    <w:next w:val="BodyText"/>
    <w:uiPriority w:val="9"/>
    <w:unhideWhenUsed/>
    <w:qFormat/>
    <w:pPr>
      <w:keepNext w:val="true"/>
      <w:keepLines/>
      <w:spacing w:after="0" w:before="200"/>
      <w:outlineLvl w:val="1"/>
    </w:pPr>
    <w:rPr>
      <w:rFonts w:ascii="Liberation Serif" w:cs="" w:cstheme="majorBidi" w:eastAsia="" w:eastAsiaTheme="majorEastAsia" w:hAnsi="Liberation Serif"/>
      <w:b/>
      <w:bCs/>
      <w:color w:val="000000"/>
      <w:sz w:val="28"/>
      <w:szCs w:val="28"/>
      <w:shd w:fill="auto" w:val="clear"/>
    </w:rPr>
  </w:style>
  <w:style w:styleId="Heading3" w:type="paragraph">
    <w:name w:val="Heading 3"/>
    <w:basedOn w:val="Normal"/>
    <w:next w:val="BodyText"/>
    <w:uiPriority w:val="9"/>
    <w:unhideWhenUsed/>
    <w:qFormat/>
    <w:pPr>
      <w:keepNext w:val="true"/>
      <w:keepLines/>
      <w:spacing w:after="0" w:before="200"/>
      <w:outlineLvl w:val="2"/>
    </w:pPr>
    <w:rPr>
      <w:rFonts w:ascii="Liberation Serif" w:cs="" w:cstheme="majorBidi" w:eastAsia="" w:eastAsiaTheme="majorEastAsia" w:hAnsi="Liberation Serif"/>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67" Target="https://doi.org/10.1002/cem.2736" TargetMode="External" /><Relationship Type="http://schemas.openxmlformats.org/officeDocument/2006/relationships/hyperlink" Id="rId109" Target="https://doi.org/10.1002/ecm.1557" TargetMode="External" /><Relationship Type="http://schemas.openxmlformats.org/officeDocument/2006/relationships/hyperlink" Id="rId96" Target="https://doi.org/10.1002/fsn3.7" TargetMode="External" /><Relationship Type="http://schemas.openxmlformats.org/officeDocument/2006/relationships/hyperlink" Id="rId65"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07" Target="https://doi.org/10.1016/S0169-7439(01)00155-1" TargetMode="External" /><Relationship Type="http://schemas.openxmlformats.org/officeDocument/2006/relationships/hyperlink" Id="rId85" Target="https://doi.org/10.1016/j.dsp.2004.09.008" TargetMode="External" /><Relationship Type="http://schemas.openxmlformats.org/officeDocument/2006/relationships/hyperlink" Id="rId100" Target="https://doi.org/10.1016/j.foodcont.2022.108970" TargetMode="External" /><Relationship Type="http://schemas.openxmlformats.org/officeDocument/2006/relationships/hyperlink" Id="rId77" Target="https://doi.org/10.1016/j.indcrop.2012.08.015" TargetMode="External" /><Relationship Type="http://schemas.openxmlformats.org/officeDocument/2006/relationships/hyperlink" Id="rId98" Target="https://doi.org/10.1016/j.saa.2025.126611" TargetMode="External" /><Relationship Type="http://schemas.openxmlformats.org/officeDocument/2006/relationships/hyperlink" Id="rId91"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79" Target="https://doi.org/10.1016/j.vibspec.2020.103060" TargetMode="External" /><Relationship Type="http://schemas.openxmlformats.org/officeDocument/2006/relationships/hyperlink" Id="rId89" Target="https://doi.org/10.1080/00103624.2012.641844" TargetMode="External" /><Relationship Type="http://schemas.openxmlformats.org/officeDocument/2006/relationships/hyperlink" Id="rId81" Target="https://doi.org/10.1111/1750-3841.16467" TargetMode="External" /><Relationship Type="http://schemas.openxmlformats.org/officeDocument/2006/relationships/hyperlink" Id="rId69" Target="https://doi.org/10.1177/0967033519848296" TargetMode="External" /><Relationship Type="http://schemas.openxmlformats.org/officeDocument/2006/relationships/hyperlink" Id="rId105" Target="https://doi.org/10.1255/jnirs.3" TargetMode="External" /><Relationship Type="http://schemas.openxmlformats.org/officeDocument/2006/relationships/hyperlink" Id="rId102"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94" Target="https://doi.org/10.2135/cropsci1991.0011183X003100020049x" TargetMode="External" /><Relationship Type="http://schemas.openxmlformats.org/officeDocument/2006/relationships/hyperlink" Id="rId73" Target="https://doi.org/10.3389/fpls.2019.01509" TargetMode="External" /><Relationship Type="http://schemas.openxmlformats.org/officeDocument/2006/relationships/hyperlink" Id="rId87" Target="https://doi.org/10.3390/foods10020233" TargetMode="External" /><Relationship Type="http://schemas.openxmlformats.org/officeDocument/2006/relationships/hyperlink" Id="rId75" Target="https://doi.org/10.3390/foods9101340" TargetMode="External" /><Relationship Type="http://schemas.openxmlformats.org/officeDocument/2006/relationships/hyperlink" Id="rId83" Target="https://doi.org/10.3390/molecules29040781" TargetMode="External" /><Relationship Type="http://schemas.openxmlformats.org/officeDocument/2006/relationships/hyperlink" Id="rId71" Target="https://doi.org/10.3390/plants11162146" TargetMode="External" /><Relationship Type="http://schemas.openxmlformats.org/officeDocument/2006/relationships/hyperlink" Id="rId59" Target="https://doi.org/10.3390/plants13010111"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cem.2736" TargetMode="External" /><Relationship Type="http://schemas.openxmlformats.org/officeDocument/2006/relationships/hyperlink" Id="rId109" Target="https://doi.org/10.1002/ecm.1557" TargetMode="External" /><Relationship Type="http://schemas.openxmlformats.org/officeDocument/2006/relationships/hyperlink" Id="rId96" Target="https://doi.org/10.1002/fsn3.7" TargetMode="External" /><Relationship Type="http://schemas.openxmlformats.org/officeDocument/2006/relationships/hyperlink" Id="rId65"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07" Target="https://doi.org/10.1016/S0169-7439(01)00155-1" TargetMode="External" /><Relationship Type="http://schemas.openxmlformats.org/officeDocument/2006/relationships/hyperlink" Id="rId85" Target="https://doi.org/10.1016/j.dsp.2004.09.008" TargetMode="External" /><Relationship Type="http://schemas.openxmlformats.org/officeDocument/2006/relationships/hyperlink" Id="rId100" Target="https://doi.org/10.1016/j.foodcont.2022.108970" TargetMode="External" /><Relationship Type="http://schemas.openxmlformats.org/officeDocument/2006/relationships/hyperlink" Id="rId77" Target="https://doi.org/10.1016/j.indcrop.2012.08.015" TargetMode="External" /><Relationship Type="http://schemas.openxmlformats.org/officeDocument/2006/relationships/hyperlink" Id="rId98" Target="https://doi.org/10.1016/j.saa.2025.126611" TargetMode="External" /><Relationship Type="http://schemas.openxmlformats.org/officeDocument/2006/relationships/hyperlink" Id="rId91"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79" Target="https://doi.org/10.1016/j.vibspec.2020.103060" TargetMode="External" /><Relationship Type="http://schemas.openxmlformats.org/officeDocument/2006/relationships/hyperlink" Id="rId89" Target="https://doi.org/10.1080/00103624.2012.641844" TargetMode="External" /><Relationship Type="http://schemas.openxmlformats.org/officeDocument/2006/relationships/hyperlink" Id="rId81" Target="https://doi.org/10.1111/1750-3841.16467" TargetMode="External" /><Relationship Type="http://schemas.openxmlformats.org/officeDocument/2006/relationships/hyperlink" Id="rId69" Target="https://doi.org/10.1177/0967033519848296" TargetMode="External" /><Relationship Type="http://schemas.openxmlformats.org/officeDocument/2006/relationships/hyperlink" Id="rId105" Target="https://doi.org/10.1255/jnirs.3" TargetMode="External" /><Relationship Type="http://schemas.openxmlformats.org/officeDocument/2006/relationships/hyperlink" Id="rId102"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94" Target="https://doi.org/10.2135/cropsci1991.0011183X003100020049x" TargetMode="External" /><Relationship Type="http://schemas.openxmlformats.org/officeDocument/2006/relationships/hyperlink" Id="rId73" Target="https://doi.org/10.3389/fpls.2019.01509" TargetMode="External" /><Relationship Type="http://schemas.openxmlformats.org/officeDocument/2006/relationships/hyperlink" Id="rId87" Target="https://doi.org/10.3390/foods10020233" TargetMode="External" /><Relationship Type="http://schemas.openxmlformats.org/officeDocument/2006/relationships/hyperlink" Id="rId75" Target="https://doi.org/10.3390/foods9101340" TargetMode="External" /><Relationship Type="http://schemas.openxmlformats.org/officeDocument/2006/relationships/hyperlink" Id="rId83" Target="https://doi.org/10.3390/molecules29040781" TargetMode="External" /><Relationship Type="http://schemas.openxmlformats.org/officeDocument/2006/relationships/hyperlink" Id="rId71" Target="https://doi.org/10.3390/plants11162146" TargetMode="External" /><Relationship Type="http://schemas.openxmlformats.org/officeDocument/2006/relationships/hyperlink" Id="rId59" Target="https://doi.org/10.3390/plants13010111"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2025-07-10T15:14:32Z</dcterms:created>
  <dcterms:modified xsi:type="dcterms:W3CDTF">2025-07-10T15:14:32Z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2025-07-10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