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2025-07-10</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(Köllmann et al., 2023; Shi et al., 2022)</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Ninety percent of the samples were collected from Ithaca, Geneva, and Freeville NY.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metric used to optimize the number of samples for chemical analysis</w:t>
      </w:r>
      <w:r>
        <w:t xml:space="preserve"> </w:t>
      </w:r>
      <w:r>
        <w:t xml:space="preserve">Shenk &amp; Westerhaus (1991)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 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ANOVAs involving preprocessing methods, each data set was considered as a subject and different variances were allowed for each preprocessing method .Post hoc comparisons were performed with Tukey method to compare estimates set to</w:t>
      </w:r>
      <w:r>
        <w:t xml:space="preserve"> </w:t>
      </w:r>
      <m:oMath>
        <m:r>
          <m:t>α</m:t>
        </m:r>
      </m:oMath>
      <w:r>
        <w:t xml:space="preserve"> </w:t>
      </w:r>
      <w:r>
        <w:t xml:space="preserve">= 0.05.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p>
      <w:pPr>
        <w:pStyle w:val="FirstParagraph"/>
      </w:pPr>
      <w:r>
        <w:t xml:space="preserve">The algorithm comparison revealed clear performance differences among the three approaches, with PLSR achieving significantly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(1.5-2.0), Poor (&lt;1.5).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Nearly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while 28% were collected from Geneva, NY.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That model was compared to full-spectrum model performance in</w:t>
      </w:r>
      <w:r>
        <w:t xml:space="preserve"> </w:t>
      </w:r>
      <w:hyperlink w:anchor="tbl-performance-summary">
        <w:r>
          <w:rPr>
            <w:rStyle w:val="Hyperlink"/>
          </w:rPr>
          <w:t xml:space="preserve">Table 7</w:t>
        </w:r>
      </w:hyperlink>
      <w:r>
        <w:t xml:space="preserve">.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However, the full spectrum model significantly outperformed the full-spectrum model across all performance metrics.Eighty-six percent of the protein-focused models were minimally acceptable for qualitative screening (RPD &gt; 1.5) but only 14% of the models were capable of approximate-quantitative screening or better.</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 This pattern aligns with established protein spectroscopy literature</w:t>
      </w:r>
      <w:r>
        <w:t xml:space="preserve"> </w:t>
      </w:r>
      <w:r>
        <w:t xml:space="preserve">(Lorenz-Fonfria, 2020; Lukacs et al., 2024)</w:t>
      </w:r>
      <w:r>
        <w:t xml:space="preserve">. Thirty-one full spectrum models contained a VIP score of greater than one. These scores were concentrated in the range between 1876 and 1908 nm a region associated with protein absorption</w:t>
      </w:r>
      <w:r>
        <w:t xml:space="preserve"> </w:t>
      </w:r>
      <w:r>
        <w:t xml:space="preserve">(Wu et al., 2023)</w:t>
      </w:r>
      <w:r>
        <w:t xml:space="preserve">. The VIP scores from either model could be used in subsequent model development</w:t>
      </w:r>
      <w:r>
        <w:t xml:space="preserve"> </w:t>
      </w:r>
      <w:r>
        <w:t xml:space="preserve">(Z. Wang et al., 2022)</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Despite its poorer performance, the protein-focused model provided biological validation of NIRS predictions as shown by the high VIP scores around 1250 and 1550 nm. This approach improved model interpretability by explicitly connecting predictions to known CP chemistry. That could improve model robustness and transferability across NIR instruments or environments, potentially enabling the transfer of calibrations to handheld or other instruments</w:t>
      </w:r>
      <w:r>
        <w:t xml:space="preserve"> </w:t>
      </w:r>
      <w:r>
        <w:t xml:space="preserve">(Chadalavada et al., 2022; Lukacs et al., 2024)</w:t>
      </w:r>
      <w:r>
        <w:t xml:space="preserve">. It is evidence that successful predictions are based on genuine CP-spectral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or exploring using other mechanisms for variable selection. In the present case it would likely be particularly useful to rectify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 and the prediction achieved here is lower than those needed for many industries</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However, these predictions may be sufficient for screening by a breeding program. If so, 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 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32"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2025-07-10 14:19:07</w:t>
      </w:r>
      <w:r>
        <w:br/>
      </w:r>
      <w:r>
        <w:rPr>
          <w:b/>
          <w:bCs/>
        </w:rPr>
        <w:t xml:space="preserve">Framework:</w:t>
      </w:r>
      <w:r>
        <w:t xml:space="preserve"> </w:t>
      </w:r>
      <w:r>
        <w:t xml:space="preserve">Targets-based reproducible workflow</w:t>
      </w:r>
    </w:p>
    <w:bookmarkStart w:id="131"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caporaso_near-infrared_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5">
        <w:r>
          <w:rPr>
            <w:rStyle w:val="Hyperlink"/>
          </w:rPr>
          <w:t xml:space="preserve">https://doi.org/10.1080/05704928.2018.1425214</w:t>
        </w:r>
      </w:hyperlink>
    </w:p>
    <w:bookmarkEnd w:id="66"/>
    <w:bookmarkStart w:id="6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7">
        <w:r>
          <w:rPr>
            <w:rStyle w:val="Hyperlink"/>
          </w:rPr>
          <w:t xml:space="preserve">https://doi.org/10.3390/s22103710</w:t>
        </w:r>
      </w:hyperlink>
    </w:p>
    <w:bookmarkEnd w:id="68"/>
    <w:bookmarkStart w:id="70" w:name="ref-chinilin_vis-nir_2023"/>
    <w:p>
      <w:pPr>
        <w:pStyle w:val="Bibliography"/>
      </w:pPr>
      <w:r>
        <w:t xml:space="preserve">Chinilin, A. V., Vindeker, G. V., &amp; Savin, I. Yu. (2023). Vis-</w:t>
      </w:r>
      <w:r>
        <w:t xml:space="preserve">NIR</w:t>
      </w:r>
      <w:r>
        <w:t xml:space="preserve"> </w:t>
      </w:r>
      <w:r>
        <w:t xml:space="preserve">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9">
        <w:r>
          <w:rPr>
            <w:rStyle w:val="Hyperlink"/>
          </w:rPr>
          <w:t xml:space="preserve">https://doi.org/10.1134/S1064229323601841</w:t>
        </w:r>
      </w:hyperlink>
    </w:p>
    <w:bookmarkEnd w:id="70"/>
    <w:bookmarkStart w:id="72"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1">
        <w:r>
          <w:rPr>
            <w:rStyle w:val="Hyperlink"/>
          </w:rPr>
          <w:t xml:space="preserve">https://doi.org/10.1007/978-981-16-8778-5_6</w:t>
        </w:r>
      </w:hyperlink>
    </w:p>
    <w:bookmarkEnd w:id="72"/>
    <w:bookmarkStart w:id="74"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73">
        <w:r>
          <w:rPr>
            <w:rStyle w:val="Hyperlink"/>
          </w:rPr>
          <w:t xml:space="preserve">https://doi.org/10.1002/cem.2736</w:t>
        </w:r>
      </w:hyperlink>
    </w:p>
    <w:bookmarkEnd w:id="74"/>
    <w:bookmarkStart w:id="7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5">
        <w:r>
          <w:rPr>
            <w:rStyle w:val="Hyperlink"/>
          </w:rPr>
          <w:t xml:space="preserve">https://doi.org/10.1177/0967033519848296</w:t>
        </w:r>
      </w:hyperlink>
    </w:p>
    <w:bookmarkEnd w:id="76"/>
    <w:bookmarkStart w:id="7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7">
        <w:r>
          <w:rPr>
            <w:rStyle w:val="Hyperlink"/>
          </w:rPr>
          <w:t xml:space="preserve">https://doi.org/10.3390/plants11162146</w:t>
        </w:r>
      </w:hyperlink>
    </w:p>
    <w:bookmarkEnd w:id="78"/>
    <w:bookmarkStart w:id="8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9">
        <w:r>
          <w:rPr>
            <w:rStyle w:val="Hyperlink"/>
          </w:rPr>
          <w:t xml:space="preserve">https://doi.org/10.3389/fpls.2019.01509</w:t>
        </w:r>
      </w:hyperlink>
    </w:p>
    <w:bookmarkEnd w:id="80"/>
    <w:bookmarkStart w:id="82" w:name="ref-haruna_intelligent_2022"/>
    <w:p>
      <w:pPr>
        <w:pStyle w:val="Bibliography"/>
      </w:pPr>
      <w:r>
        <w:t xml:space="preserve">Haruna, S. A., Li, H., Wei, W., Geng, W., Yao-Say Solomon Adade, S., Zareef, M., Ivane, N. M. A., &amp; Chen, Q. (2022). Intelligent evaluation of free amino acid and crude protein content in raw peanut seed kernels using</w:t>
      </w:r>
      <w:r>
        <w:t xml:space="preserve"> </w:t>
      </w:r>
      <w:r>
        <w:t xml:space="preserve">NIR</w:t>
      </w:r>
      <w:r>
        <w:t xml:space="preserve"> </w:t>
      </w:r>
      <w:r>
        <w:t xml:space="preserve">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81">
        <w:r>
          <w:rPr>
            <w:rStyle w:val="Hyperlink"/>
          </w:rPr>
          <w:t xml:space="preserve">https://doi.org/10.1039/d2ay00875k</w:t>
        </w:r>
      </w:hyperlink>
    </w:p>
    <w:bookmarkEnd w:id="82"/>
    <w:bookmarkStart w:id="84"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3">
        <w:r>
          <w:rPr>
            <w:rStyle w:val="Hyperlink"/>
          </w:rPr>
          <w:t xml:space="preserve">https://doi.org/10.3390/foods9101340</w:t>
        </w:r>
      </w:hyperlink>
    </w:p>
    <w:bookmarkEnd w:id="84"/>
    <w:bookmarkStart w:id="86"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5">
        <w:r>
          <w:rPr>
            <w:rStyle w:val="Hyperlink"/>
          </w:rPr>
          <w:t xml:space="preserve">https://doi.org/10.1016/j.indcrop.2012.08.015</w:t>
        </w:r>
      </w:hyperlink>
    </w:p>
    <w:bookmarkEnd w:id="86"/>
    <w:bookmarkStart w:id="88" w:name="ref-kamboj_comparison_2022"/>
    <w:p>
      <w:pPr>
        <w:pStyle w:val="Bibliography"/>
      </w:pPr>
      <w:r>
        <w:t xml:space="preserve">Kamboj, U., Guha, P., &amp; Mishra, S. (2022). Comparison of</w:t>
      </w:r>
      <w:r>
        <w:t xml:space="preserve"> </w:t>
      </w:r>
      <w:r>
        <w:t xml:space="preserve">PLSR</w:t>
      </w:r>
      <w:r>
        <w:t xml:space="preserve">,</w:t>
      </w:r>
      <w:r>
        <w:t xml:space="preserve"> </w:t>
      </w:r>
      <w:r>
        <w:t xml:space="preserve">MLR</w:t>
      </w:r>
      <w:r>
        <w:t xml:space="preserve">,</w:t>
      </w:r>
      <w:r>
        <w:t xml:space="preserve"> </w:t>
      </w:r>
      <w:r>
        <w:t xml:space="preserve">SVM</w:t>
      </w:r>
      <w:r>
        <w:t xml:space="preserve"> </w:t>
      </w:r>
      <w:r>
        <w:t xml:space="preserve">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7">
        <w:r>
          <w:rPr>
            <w:rStyle w:val="Hyperlink"/>
          </w:rPr>
          <w:t xml:space="preserve">https://doi.org/10.1016/j.matpr.2021.04.540</w:t>
        </w:r>
      </w:hyperlink>
    </w:p>
    <w:bookmarkEnd w:id="88"/>
    <w:bookmarkStart w:id="90" w:name="ref-kollmann_near-infrared_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9">
        <w:r>
          <w:rPr>
            <w:rStyle w:val="Hyperlink"/>
          </w:rPr>
          <w:t xml:space="preserve">https://doi.org/10.1016/j.jfca.2023.105414</w:t>
        </w:r>
      </w:hyperlink>
    </w:p>
    <w:bookmarkEnd w:id="90"/>
    <w:bookmarkStart w:id="9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91">
        <w:r>
          <w:rPr>
            <w:rStyle w:val="Hyperlink"/>
          </w:rPr>
          <w:t xml:space="preserve">https://doi.org/10.1016/j.vibspec.2020.103060</w:t>
        </w:r>
      </w:hyperlink>
    </w:p>
    <w:bookmarkEnd w:id="92"/>
    <w:bookmarkStart w:id="94"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3">
        <w:r>
          <w:rPr>
            <w:rStyle w:val="Hyperlink"/>
          </w:rPr>
          <w:t xml:space="preserve">https://doi.org/10.1111/1750-3841.16467</w:t>
        </w:r>
      </w:hyperlink>
    </w:p>
    <w:bookmarkEnd w:id="94"/>
    <w:bookmarkStart w:id="96" w:name="ref-lorenz-fonfria_infrared_2020"/>
    <w:p>
      <w:pPr>
        <w:pStyle w:val="Bibliography"/>
      </w:pPr>
      <w:r>
        <w:t xml:space="preserve">Lorenz-Fonfria, V. A. (2020). Infrared difference spectroscopy of proteins: From bands to bonds.</w:t>
      </w:r>
      <w:r>
        <w:t xml:space="preserve"> </w:t>
      </w:r>
      <w:r>
        <w:rPr>
          <w:i/>
          <w:iCs/>
        </w:rPr>
        <w:t xml:space="preserve">Chemical Reviews</w:t>
      </w:r>
      <w:r>
        <w:t xml:space="preserve">,</w:t>
      </w:r>
      <w:r>
        <w:t xml:space="preserve"> </w:t>
      </w:r>
      <w:r>
        <w:rPr>
          <w:i/>
          <w:iCs/>
        </w:rPr>
        <w:t xml:space="preserve">120</w:t>
      </w:r>
      <w:r>
        <w:t xml:space="preserve">(7), 3466–3576.</w:t>
      </w:r>
      <w:r>
        <w:t xml:space="preserve"> </w:t>
      </w:r>
      <w:hyperlink r:id="rId95">
        <w:r>
          <w:rPr>
            <w:rStyle w:val="Hyperlink"/>
          </w:rPr>
          <w:t xml:space="preserve">https://doi.org/10.1021/acs.chemrev.9b00449</w:t>
        </w:r>
      </w:hyperlink>
    </w:p>
    <w:bookmarkEnd w:id="96"/>
    <w:bookmarkStart w:id="98"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97">
        <w:r>
          <w:rPr>
            <w:rStyle w:val="Hyperlink"/>
          </w:rPr>
          <w:t xml:space="preserve">https://doi.org/10.3390/molecules29040781</w:t>
        </w:r>
      </w:hyperlink>
    </w:p>
    <w:bookmarkEnd w:id="98"/>
    <w:bookmarkStart w:id="100"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9">
        <w:r>
          <w:rPr>
            <w:rStyle w:val="Hyperlink"/>
          </w:rPr>
          <w:t xml:space="preserve">https://doi.org/10.1016/j.dsp.2004.09.008</w:t>
        </w:r>
      </w:hyperlink>
    </w:p>
    <w:bookmarkEnd w:id="100"/>
    <w:bookmarkStart w:id="102"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101">
        <w:r>
          <w:rPr>
            <w:rStyle w:val="Hyperlink"/>
          </w:rPr>
          <w:t xml:space="preserve">https://doi.org/10.3390/foods10020233</w:t>
        </w:r>
      </w:hyperlink>
    </w:p>
    <w:bookmarkEnd w:id="102"/>
    <w:bookmarkStart w:id="104"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103">
        <w:r>
          <w:rPr>
            <w:rStyle w:val="Hyperlink"/>
          </w:rPr>
          <w:t xml:space="preserve">https://doi.org/10.1080/00103624.2012.641844</w:t>
        </w:r>
      </w:hyperlink>
    </w:p>
    <w:bookmarkEnd w:id="104"/>
    <w:bookmarkStart w:id="10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105">
        <w:r>
          <w:rPr>
            <w:rStyle w:val="Hyperlink"/>
          </w:rPr>
          <w:t xml:space="preserve">https://doi.org/10.1016/j.trac.2009.07.007</w:t>
        </w:r>
      </w:hyperlink>
    </w:p>
    <w:bookmarkEnd w:id="106"/>
    <w:bookmarkStart w:id="10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7"/>
    <w:bookmarkStart w:id="109" w:name="ref-shenk_population_1991"/>
    <w:p>
      <w:pPr>
        <w:pStyle w:val="Bibliography"/>
      </w:pPr>
      <w:r>
        <w:t xml:space="preserve">Shenk, J. S., &amp; Westerhaus, M. O. (1991). Population definition, sample selection, and calibration procedures for near infrared reflectance spectroscopy.</w:t>
      </w:r>
      <w:r>
        <w:t xml:space="preserve"> </w:t>
      </w:r>
      <w:r>
        <w:rPr>
          <w:i/>
          <w:iCs/>
        </w:rPr>
        <w:t xml:space="preserve">Crop Science</w:t>
      </w:r>
      <w:r>
        <w:t xml:space="preserve">,</w:t>
      </w:r>
      <w:r>
        <w:t xml:space="preserve"> </w:t>
      </w:r>
      <w:r>
        <w:rPr>
          <w:i/>
          <w:iCs/>
        </w:rPr>
        <w:t xml:space="preserve">31</w:t>
      </w:r>
      <w:r>
        <w:t xml:space="preserve">(2), cropsci1991.0011183X003100020049x.</w:t>
      </w:r>
      <w:r>
        <w:t xml:space="preserve"> </w:t>
      </w:r>
      <w:hyperlink r:id="rId108">
        <w:r>
          <w:rPr>
            <w:rStyle w:val="Hyperlink"/>
          </w:rPr>
          <w:t xml:space="preserve">https://doi.org/10.2135/cropsci1991.0011183X003100020049x</w:t>
        </w:r>
      </w:hyperlink>
    </w:p>
    <w:bookmarkEnd w:id="109"/>
    <w:bookmarkStart w:id="111" w:name="ref-shi_estimation_2022"/>
    <w:p>
      <w:pPr>
        <w:pStyle w:val="Bibliography"/>
      </w:pPr>
      <w:r>
        <w:t xml:space="preserve">Shi, D., Hang, J., Neufeld, J., Zhao, S., &amp; House, J. D. (2022). Estimation of crude protein and amino acid contents in whole, ground and defatted ground soybeans by different types of near-infrared (</w:t>
      </w:r>
      <w:r>
        <w:t xml:space="preserve">NIR</w:t>
      </w:r>
      <w:r>
        <w:t xml:space="preserve">)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10">
        <w:r>
          <w:rPr>
            <w:rStyle w:val="Hyperlink"/>
          </w:rPr>
          <w:t xml:space="preserve">https://doi.org/10.1016/j.jfca.2022.104601</w:t>
        </w:r>
      </w:hyperlink>
    </w:p>
    <w:bookmarkEnd w:id="111"/>
    <w:bookmarkStart w:id="113" w:name="ref-tang_comparing_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12">
        <w:r>
          <w:rPr>
            <w:rStyle w:val="Hyperlink"/>
          </w:rPr>
          <w:t xml:space="preserve">https://doi.org/10.1016/j.indcrop.2016.04.026</w:t>
        </w:r>
      </w:hyperlink>
    </w:p>
    <w:bookmarkEnd w:id="113"/>
    <w:bookmarkStart w:id="115"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14">
        <w:r>
          <w:rPr>
            <w:rStyle w:val="Hyperlink"/>
          </w:rPr>
          <w:t xml:space="preserve">https://doi.org/10.1002/fsn3.7</w:t>
        </w:r>
      </w:hyperlink>
    </w:p>
    <w:bookmarkEnd w:id="115"/>
    <w:bookmarkStart w:id="117"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16">
        <w:r>
          <w:rPr>
            <w:rStyle w:val="Hyperlink"/>
          </w:rPr>
          <w:t xml:space="preserve">https://doi.org/10.1016/j.saa.2025.126611</w:t>
        </w:r>
      </w:hyperlink>
    </w:p>
    <w:bookmarkEnd w:id="117"/>
    <w:bookmarkStart w:id="119"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118">
        <w:r>
          <w:rPr>
            <w:rStyle w:val="Hyperlink"/>
          </w:rPr>
          <w:t xml:space="preserve">https://doi.org/10.1016/j.foodcont.2022.108970</w:t>
        </w:r>
      </w:hyperlink>
    </w:p>
    <w:bookmarkEnd w:id="119"/>
    <w:bookmarkStart w:id="121"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20">
        <w:r>
          <w:rPr>
            <w:rStyle w:val="Hyperlink"/>
          </w:rPr>
          <w:t xml:space="preserve">https://doi.org/10.1255/nirn.1391</w:t>
        </w:r>
      </w:hyperlink>
    </w:p>
    <w:bookmarkEnd w:id="121"/>
    <w:bookmarkStart w:id="12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22"/>
    <w:bookmarkStart w:id="124"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23">
        <w:r>
          <w:rPr>
            <w:rStyle w:val="Hyperlink"/>
          </w:rPr>
          <w:t xml:space="preserve">https://doi.org/10.1255/jnirs.3</w:t>
        </w:r>
      </w:hyperlink>
    </w:p>
    <w:bookmarkEnd w:id="124"/>
    <w:bookmarkStart w:id="12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5">
        <w:r>
          <w:rPr>
            <w:rStyle w:val="Hyperlink"/>
          </w:rPr>
          <w:t xml:space="preserve">https://doi.org/10.1016/S0169-7439(01)00155-1</w:t>
        </w:r>
      </w:hyperlink>
    </w:p>
    <w:bookmarkEnd w:id="126"/>
    <w:bookmarkStart w:id="128" w:name="ref-wu_determination_2023"/>
    <w:p>
      <w:pPr>
        <w:pStyle w:val="Bibliography"/>
      </w:pPr>
      <w:r>
        <w:t xml:space="preserve">Wu, X., Zeng, S., Fu, H., Wu, B., Zhou, H., &amp; Dai, C. (2023). Determination of corn protein content using near-infrared spectroscopy combined with a-</w:t>
      </w:r>
      <w:r>
        <w:t xml:space="preserve">CARS</w:t>
      </w:r>
      <w:r>
        <w:t xml:space="preserve">-</w:t>
      </w:r>
      <w:r>
        <w:t xml:space="preserve">PLS</w:t>
      </w:r>
      <w:r>
        <w:t xml:space="preserve">.</w:t>
      </w:r>
      <w:r>
        <w:t xml:space="preserve"> </w:t>
      </w:r>
      <w:r>
        <w:rPr>
          <w:i/>
          <w:iCs/>
        </w:rPr>
        <w:t xml:space="preserve">Food Chemistry: X</w:t>
      </w:r>
      <w:r>
        <w:t xml:space="preserve">,</w:t>
      </w:r>
      <w:r>
        <w:t xml:space="preserve"> </w:t>
      </w:r>
      <w:r>
        <w:rPr>
          <w:i/>
          <w:iCs/>
        </w:rPr>
        <w:t xml:space="preserve">18</w:t>
      </w:r>
      <w:r>
        <w:t xml:space="preserve">, 100666.</w:t>
      </w:r>
      <w:r>
        <w:t xml:space="preserve"> </w:t>
      </w:r>
      <w:hyperlink r:id="rId127">
        <w:r>
          <w:rPr>
            <w:rStyle w:val="Hyperlink"/>
          </w:rPr>
          <w:t xml:space="preserve">https://doi.org/10.1016/j.fochx.2023.100666</w:t>
        </w:r>
      </w:hyperlink>
    </w:p>
    <w:bookmarkEnd w:id="128"/>
    <w:bookmarkStart w:id="130"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29">
        <w:r>
          <w:rPr>
            <w:rStyle w:val="Hyperlink"/>
          </w:rPr>
          <w:t xml:space="preserve">https://doi.org/10.1002/ecm.1557</w:t>
        </w:r>
      </w:hyperlink>
    </w:p>
    <w:bookmarkEnd w:id="130"/>
    <w:bookmarkEnd w:id="131"/>
    <w:bookmarkEnd w:id="132"/>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2025-07-10T18:19:08Z</dcterms:created>
  <dcterms:modified xsi:type="dcterms:W3CDTF">2025-07-10T18:19:08Z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