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60" w:before="60"/>
      </w:pPr>
    </w:p>
    <w:p>
      <w:pPr>
        <w:spacing w:after="100"/>
        <w:jc w:val="center"/>
      </w:pPr>
      <w:r>
        <w:rPr>
          <w:rFonts w:ascii="Calibri" w:cs="Calibri" w:eastAsia="Calibri" w:hAnsi="Calibri"/>
          <w:b/>
          <w:bCs/>
          <w:color w:val="1a365d"/>
          <w:sz w:val="40"/>
          <w:szCs w:val="40"/>
        </w:rPr>
        <w:t xml:space="preserve">CENTRO DE OJOS LAZARTE</w:t>
      </w:r>
    </w:p>
    <w:p>
      <w:pPr>
        <w:spacing w:after="60"/>
        <w:jc w:val="center"/>
      </w:pPr>
      <w:r>
        <w:rPr>
          <w:rFonts w:ascii="Calibri" w:cs="Calibri" w:eastAsia="Calibri" w:hAnsi="Calibri"/>
          <w:color w:val="718096"/>
          <w:sz w:val="22"/>
          <w:szCs w:val="22"/>
        </w:rPr>
        <w:t xml:space="preserve">Deán Funes 614 · Córdoba Capital · Argentina</w:t>
      </w:r>
    </w:p>
    <w:p>
      <w:pPr>
        <w:pBdr>
          <w:bottom w:val="single" w:color="e2e8f0" w:sz="1"/>
        </w:pBdr>
        <w:spacing w:after="200" w:before="200"/>
      </w:pPr>
    </w:p>
    <w:p>
      <w:pPr>
        <w:spacing w:after="60" w:before="60"/>
      </w:pPr>
    </w:p>
    <w:p>
      <w:pPr>
        <w:spacing w:after="100"/>
        <w:jc w:val="center"/>
      </w:pPr>
      <w:r>
        <w:rPr>
          <w:rFonts w:ascii="Calibri" w:cs="Calibri" w:eastAsia="Calibri" w:hAnsi="Calibri"/>
          <w:b/>
          <w:bCs/>
          <w:color w:val="2b6cb0"/>
          <w:sz w:val="36"/>
          <w:szCs w:val="36"/>
        </w:rPr>
        <w:t xml:space="preserve">GUÍA INTEGRAL DE TRANSICIÓN JURÍDICA</w:t>
      </w:r>
    </w:p>
    <w:p>
      <w:pPr>
        <w:spacing w:after="60"/>
        <w:jc w:val="center"/>
      </w:pPr>
      <w:r>
        <w:rPr>
          <w:rFonts w:ascii="Calibri" w:cs="Calibri" w:eastAsia="Calibri" w:hAnsi="Calibri"/>
          <w:color w:val="1a365d"/>
          <w:sz w:val="24"/>
          <w:szCs w:val="24"/>
        </w:rPr>
        <w:t xml:space="preserve">Migración de Responsable Inscrito (Persona Humana)</w:t>
      </w:r>
    </w:p>
    <w:p>
      <w:pPr>
        <w:spacing w:after="200"/>
        <w:jc w:val="center"/>
      </w:pPr>
      <w:r>
        <w:rPr>
          <w:rFonts w:ascii="Calibri" w:cs="Calibri" w:eastAsia="Calibri" w:hAnsi="Calibri"/>
          <w:color w:val="1a365d"/>
          <w:sz w:val="24"/>
          <w:szCs w:val="24"/>
        </w:rPr>
        <w:t xml:space="preserve">a Sociedad (Persona Jurídica)</w:t>
      </w:r>
    </w:p>
    <w:p>
      <w:pPr>
        <w:pBdr>
          <w:bottom w:val="single" w:color="e2e8f0" w:sz="1"/>
        </w:pBdr>
        <w:spacing w:after="200" w:before="200"/>
      </w:pPr>
    </w:p>
    <w:p>
      <w:pPr>
        <w:spacing w:after="60" w:before="60"/>
      </w:pPr>
    </w:p>
    <w:p>
      <w:pPr>
        <w:spacing w:after="80"/>
        <w:jc w:val="center"/>
      </w:pPr>
      <w:r>
        <w:rPr>
          <w:rFonts w:ascii="Calibri" w:cs="Calibri" w:eastAsia="Calibri" w:hAnsi="Calibri"/>
          <w:i/>
          <w:iCs/>
          <w:color w:val="718096"/>
          <w:sz w:val="20"/>
          <w:szCs w:val="20"/>
        </w:rPr>
        <w:t xml:space="preserve">Documento de uso interno — Confidencial</w:t>
      </w:r>
    </w:p>
    <w:p>
      <w:pPr>
        <w:spacing w:after="80"/>
        <w:jc w:val="center"/>
      </w:pPr>
      <w:r>
        <w:rPr>
          <w:rFonts w:ascii="Calibri" w:cs="Calibri" w:eastAsia="Calibri" w:hAnsi="Calibri"/>
          <w:color w:val="718096"/>
          <w:sz w:val="20"/>
          <w:szCs w:val="20"/>
        </w:rPr>
        <w:t xml:space="preserve">Septiembre 2026</w:t>
      </w:r>
    </w:p>
    <w:p>
      <w:pPr>
        <w:spacing w:after="60" w:before="60"/>
      </w:pPr>
    </w:p>
    <w:p>
      <w:pPr>
        <w:spacing w:after="60" w:before="60"/>
      </w:pPr>
    </w:p>
    <w:p>
      <w:pPr>
        <w:pBdr>
          <w:top w:val="single" w:color="e2e8f0" w:sz="2"/>
        </w:pBdr>
        <w:spacing w:after="60"/>
        <w:jc w:val="center"/>
      </w:pPr>
      <w:r>
        <w:rPr>
          <w:rFonts w:ascii="Calibri" w:cs="Calibri" w:eastAsia="Calibri" w:hAnsi="Calibri"/>
          <w:b/>
          <w:bCs/>
          <w:color w:val="1a365d"/>
          <w:sz w:val="20"/>
          <w:szCs w:val="20"/>
        </w:rPr>
        <w:t xml:space="preserve">CONTENIDO</w:t>
      </w:r>
    </w:p>
    <w:p>
      <w:pPr>
        <w:spacing w:after="80" w:before="80"/>
        <w:jc w:val="both"/>
      </w:pPr>
      <w:r>
        <w:rPr>
          <w:rFonts w:ascii="Calibri" w:cs="Calibri" w:eastAsia="Calibri" w:hAnsi="Calibri"/>
          <w:color w:val="2d3748"/>
          <w:sz w:val="21"/>
          <w:szCs w:val="21"/>
        </w:rPr>
        <w:t xml:space="preserve">1. Guía de Pasos Críticos en Ciudadano Digital (CiDi) — Transferencia ante RUGEPRESA</w:t>
      </w:r>
    </w:p>
    <w:p>
      <w:pPr>
        <w:spacing w:after="80" w:before="80"/>
        <w:jc w:val="both"/>
      </w:pPr>
      <w:r>
        <w:rPr>
          <w:rFonts w:ascii="Calibri" w:cs="Calibri" w:eastAsia="Calibri" w:hAnsi="Calibri"/>
          <w:color w:val="2d3748"/>
          <w:sz w:val="21"/>
          <w:szCs w:val="21"/>
        </w:rPr>
        <w:t xml:space="preserve">2. Checklist de Infraestructura y Equipos — Centro de Ojos con Área Quirúrgica/Láser</w:t>
      </w:r>
    </w:p>
    <w:p>
      <w:pPr>
        <w:spacing w:after="80" w:before="80"/>
        <w:jc w:val="both"/>
      </w:pPr>
      <w:r>
        <w:rPr>
          <w:rFonts w:ascii="Calibri" w:cs="Calibri" w:eastAsia="Calibri" w:hAnsi="Calibri"/>
          <w:color w:val="2d3748"/>
          <w:sz w:val="21"/>
          <w:szCs w:val="21"/>
        </w:rPr>
        <w:t xml:space="preserve">3. Modelos de Notas Formales — Apross y Municipalidad de Córdoba</w:t>
      </w:r>
    </w:p>
    <w:p>
      <w:pPr>
        <w:spacing w:after="80" w:before="80"/>
        <w:jc w:val="both"/>
      </w:pPr>
      <w:r>
        <w:rPr>
          <w:rFonts w:ascii="Calibri" w:cs="Calibri" w:eastAsia="Calibri" w:hAnsi="Calibri"/>
          <w:color w:val="2d3748"/>
          <w:sz w:val="21"/>
          <w:szCs w:val="21"/>
        </w:rPr>
        <w:t xml:space="preserve">4. Estrategia de Cronograma de Corte de Facturación — Plan de Transición</w:t>
      </w:r>
    </w:p>
    <w:p>
      <w:r>
        <w:br w:type="page"/>
      </w:r>
    </w:p>
    <w:p>
      <w:pPr>
        <w:pBdr>
          <w:bottom w:val="single" w:color="1a365d" w:sz="6"/>
        </w:pBdr>
        <w:spacing w:after="200" w:before="400"/>
      </w:pPr>
      <w:r>
        <w:rPr>
          <w:rFonts w:ascii="Calibri" w:cs="Calibri" w:eastAsia="Calibri" w:hAnsi="Calibri"/>
          <w:b/>
          <w:bCs/>
          <w:color w:val="1a365d"/>
          <w:sz w:val="28"/>
          <w:szCs w:val="28"/>
        </w:rPr>
        <w:t xml:space="preserve">1. GUÍA DE PASOS CRÍTICOS EN CIUDADANO DIGITAL (CiDi)</w:t>
      </w:r>
    </w:p>
    <w:p>
      <w:pPr>
        <w:spacing w:after="80" w:before="80"/>
        <w:jc w:val="both"/>
      </w:pPr>
      <w:r>
        <w:rPr>
          <w:rFonts w:ascii="Calibri" w:cs="Calibri" w:eastAsia="Calibri" w:hAnsi="Calibri"/>
          <w:color w:val="2d3748"/>
          <w:sz w:val="21"/>
          <w:szCs w:val="21"/>
        </w:rPr>
        <w:t xml:space="preserve">Transferencia de Habilitación Sanitaria ante la Dirección General de Regulación Sanitaria (ex RUGEPRESA) — Ministerio de Salud de la Provincia de Córdoba.</w:t>
      </w:r>
    </w:p>
    <w:p>
      <w:pPr>
        <w:spacing w:after="60" w:before="60"/>
      </w:pPr>
    </w:p>
    <w:p>
      <w:pPr>
        <w:spacing w:after="150" w:before="300"/>
      </w:pPr>
      <w:r>
        <w:rPr>
          <w:rFonts w:ascii="Calibri" w:cs="Calibri" w:eastAsia="Calibri" w:hAnsi="Calibri"/>
          <w:b/>
          <w:bCs/>
          <w:color w:val="2b6cb0"/>
          <w:sz w:val="24"/>
          <w:szCs w:val="24"/>
        </w:rPr>
        <w:t xml:space="preserve">1.1 Marco Normativo Aplicable</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Decreto Provincial N° 33/08: </w:t>
      </w:r>
      <w:r>
        <w:rPr>
          <w:rFonts w:ascii="Calibri" w:cs="Calibri" w:eastAsia="Calibri" w:hAnsi="Calibri"/>
          <w:color w:val="2d3748"/>
          <w:sz w:val="21"/>
          <w:szCs w:val="21"/>
        </w:rPr>
        <w:t xml:space="preserve">Reglamentación de la Ley 6.222 de Ejercicio de las Profesiones y Actividades de la Salud — establece los requisitos de inscripción y habilitación de establecimientos asistenciales.</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Anexo I del Decreto 33/08: </w:t>
      </w:r>
      <w:r>
        <w:rPr>
          <w:rFonts w:ascii="Calibri" w:cs="Calibri" w:eastAsia="Calibri" w:hAnsi="Calibri"/>
          <w:color w:val="2d3748"/>
          <w:sz w:val="21"/>
          <w:szCs w:val="21"/>
        </w:rPr>
        <w:t xml:space="preserve">Tipificación y requisitos generales de habilitación (vigencia quinquenal, Artículo 2°).</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Anexo VI: </w:t>
      </w:r>
      <w:r>
        <w:rPr>
          <w:rFonts w:ascii="Calibri" w:cs="Calibri" w:eastAsia="Calibri" w:hAnsi="Calibri"/>
          <w:color w:val="2d3748"/>
          <w:sz w:val="21"/>
          <w:szCs w:val="21"/>
        </w:rPr>
        <w:t xml:space="preserve">Requisitos mínimos para Centros Médicos de prácticas ambulatorias clínicas. Nota: el Art. 3° inc. c) exceptúa a los Centros de Cirugía Oftalmológica por Láser que realicen prácticas con Excimer Láser de ciertos requisitos de derivación y convenio de emergencias.</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Ley Provincial N° 8.835 (Carta del Ciudadano): </w:t>
      </w:r>
      <w:r>
        <w:rPr>
          <w:rFonts w:ascii="Calibri" w:cs="Calibri" w:eastAsia="Calibri" w:hAnsi="Calibri"/>
          <w:color w:val="2d3748"/>
          <w:sz w:val="21"/>
          <w:szCs w:val="21"/>
        </w:rPr>
        <w:t xml:space="preserve">Base legal del portal CiDi como ventanilla única de trámites provinciales.</w:t>
      </w:r>
    </w:p>
    <w:p>
      <w:pPr>
        <w:spacing w:after="60" w:before="60"/>
      </w:pPr>
    </w:p>
    <w:p>
      <w:pPr>
        <w:spacing w:after="150" w:before="300"/>
      </w:pPr>
      <w:r>
        <w:rPr>
          <w:rFonts w:ascii="Calibri" w:cs="Calibri" w:eastAsia="Calibri" w:hAnsi="Calibri"/>
          <w:b/>
          <w:bCs/>
          <w:color w:val="2b6cb0"/>
          <w:sz w:val="24"/>
          <w:szCs w:val="24"/>
        </w:rPr>
        <w:t xml:space="preserve">1.2 Concepto Jurídico de la Transferencia</w:t>
      </w:r>
    </w:p>
    <w:p>
      <w:pPr>
        <w:spacing w:after="80" w:before="80"/>
        <w:jc w:val="both"/>
      </w:pPr>
      <w:r>
        <w:rPr>
          <w:rFonts w:ascii="Calibri" w:cs="Calibri" w:eastAsia="Calibri" w:hAnsi="Calibri"/>
          <w:color w:val="2d3748"/>
          <w:sz w:val="21"/>
          <w:szCs w:val="21"/>
        </w:rPr>
        <w:t xml:space="preserve">La transferencia de habilitación sanitaria por cambio de titularidad (de persona humana a persona jurídica) no constituye técnicamente una "nueva habilitación", sino una modificación del elemento subjetivo del acto administrativo habilitante. Conforme el Art. 3° inc. a.3 del Anexo I, cuando el propietario es persona jurídica, se requiere copia auténtica del contrato social con inscripción en la Dirección de Inspección de Personas Jurídicas (DIPJ) de la Provincia de Córdoba.</w:t>
      </w:r>
    </w:p>
    <w:p>
      <w:pPr>
        <w:pBdr>
          <w:left w:val="single" w:color="d69e2e" w:sz="12"/>
        </w:pBdr>
        <w:shd w:fill="fefcbf" w:color="auto" w:val="clear"/>
        <w:spacing w:after="120" w:before="120"/>
        <w:ind w:left="360" w:right="360"/>
      </w:pPr>
      <w:r>
        <w:rPr>
          <w:rFonts w:ascii="Calibri" w:cs="Calibri" w:eastAsia="Calibri" w:hAnsi="Calibri"/>
          <w:sz w:val="21"/>
          <w:szCs w:val="21"/>
        </w:rPr>
        <w:t xml:space="preserve">⚠️ </w:t>
      </w:r>
      <w:r>
        <w:rPr>
          <w:rFonts w:ascii="Calibri" w:cs="Calibri" w:eastAsia="Calibri" w:hAnsi="Calibri"/>
          <w:i/>
          <w:iCs/>
          <w:color w:val="2d3748"/>
          <w:sz w:val="20"/>
          <w:szCs w:val="20"/>
        </w:rPr>
        <w:t xml:space="preserve">CRÍTICO: La habilitación vigente mantiene su eficacia durante el trámite de transferencia, siempre que no se modifiquen las condiciones edilicias, la aparatología ni el Director Técnico. Cualquier alteración de estos elementos dispara una inspección de convalidación.</w:t>
      </w:r>
    </w:p>
    <w:p>
      <w:pPr>
        <w:spacing w:after="60" w:before="60"/>
      </w:pPr>
    </w:p>
    <w:p>
      <w:pPr>
        <w:spacing w:after="150" w:before="300"/>
      </w:pPr>
      <w:r>
        <w:rPr>
          <w:rFonts w:ascii="Calibri" w:cs="Calibri" w:eastAsia="Calibri" w:hAnsi="Calibri"/>
          <w:b/>
          <w:bCs/>
          <w:color w:val="2b6cb0"/>
          <w:sz w:val="24"/>
          <w:szCs w:val="24"/>
        </w:rPr>
        <w:t xml:space="preserve">1.3 Paso a Paso del Trámite en CiDi</w:t>
      </w:r>
    </w:p>
    <w:p>
      <w:pPr>
        <w:spacing w:after="60" w:before="60"/>
      </w:pPr>
    </w:p>
    <w:p>
      <w:pPr>
        <w:shd w:fill="2b6cb0" w:color="auto" w:val="clear"/>
        <w:spacing w:after="40" w:before="120"/>
        <w:ind w:left="360"/>
      </w:pPr>
      <w:r>
        <w:rPr>
          <w:rFonts w:ascii="Calibri" w:cs="Calibri" w:eastAsia="Calibri" w:hAnsi="Calibri"/>
          <w:b/>
          <w:bCs/>
          <w:color w:val="ffffff"/>
          <w:sz w:val="21"/>
          <w:szCs w:val="21"/>
        </w:rPr>
        <w:t xml:space="preserve">PASO 1: </w:t>
      </w:r>
      <w:r>
        <w:rPr>
          <w:rFonts w:ascii="Calibri" w:cs="Calibri" w:eastAsia="Calibri" w:hAnsi="Calibri"/>
          <w:b/>
          <w:bCs/>
          <w:color w:val="ffffff"/>
          <w:sz w:val="21"/>
          <w:szCs w:val="21"/>
        </w:rPr>
        <w:t xml:space="preserve">CONSTITUCIÓN Y REGISTRACIÓN DE LA SOCIEDAD</w:t>
      </w:r>
    </w:p>
    <w:p>
      <w:pPr>
        <w:spacing w:after="80" w:before="40"/>
        <w:ind w:left="720"/>
        <w:jc w:val="both"/>
      </w:pPr>
      <w:r>
        <w:rPr>
          <w:rFonts w:ascii="Calibri" w:cs="Calibri" w:eastAsia="Calibri" w:hAnsi="Calibri"/>
          <w:color w:val="4a5568"/>
          <w:sz w:val="20"/>
          <w:szCs w:val="20"/>
        </w:rPr>
        <w:t xml:space="preserve">Inscribir la sociedad ante la Dirección de Inspección de Personas Jurídicas (DIPJ) de Córdoba. Obtener el Número de Correlativo de Inscripción y la constancia de rúbrica de libros societarios. Acta constitutiva y estatuto deben prever expresamente el objeto social: "prestación de servicios médicos oftalmológicos, cirugía ocular, diagnóstico y tratamiento de enfermedades visuales" o fórmula similar que abarque la actividad habilitada.</w:t>
      </w:r>
    </w:p>
    <w:p>
      <w:pPr>
        <w:shd w:fill="2b6cb0" w:color="auto" w:val="clear"/>
        <w:spacing w:after="40" w:before="120"/>
        <w:ind w:left="360"/>
      </w:pPr>
      <w:r>
        <w:rPr>
          <w:rFonts w:ascii="Calibri" w:cs="Calibri" w:eastAsia="Calibri" w:hAnsi="Calibri"/>
          <w:b/>
          <w:bCs/>
          <w:color w:val="ffffff"/>
          <w:sz w:val="21"/>
          <w:szCs w:val="21"/>
        </w:rPr>
        <w:t xml:space="preserve">PASO 2: </w:t>
      </w:r>
      <w:r>
        <w:rPr>
          <w:rFonts w:ascii="Calibri" w:cs="Calibri" w:eastAsia="Calibri" w:hAnsi="Calibri"/>
          <w:b/>
          <w:bCs/>
          <w:color w:val="ffffff"/>
          <w:sz w:val="21"/>
          <w:szCs w:val="21"/>
        </w:rPr>
        <w:t xml:space="preserve">OBTENCIÓN DEL CUIT DE LA SOCIEDAD EN ARCA (ex AFIP)</w:t>
      </w:r>
    </w:p>
    <w:p>
      <w:pPr>
        <w:spacing w:after="80" w:before="40"/>
        <w:ind w:left="720"/>
        <w:jc w:val="both"/>
      </w:pPr>
      <w:r>
        <w:rPr>
          <w:rFonts w:ascii="Calibri" w:cs="Calibri" w:eastAsia="Calibri" w:hAnsi="Calibri"/>
          <w:color w:val="4a5568"/>
          <w:sz w:val="20"/>
          <w:szCs w:val="20"/>
        </w:rPr>
        <w:t xml:space="preserve">Tramitar el CUIT de la persona jurídica mediante el servicio "Inscripción y Modificación de Personas Jurídicas" de ARCA. Se requiere: (a) Formulario F.460/J (Solicitud de CUIT para Personas Jurídicas); (b) Estatuto/Contrato social con constancia de inscripción en DIPJ; (c) Acta de designación de autoridades vigentes; (d) DNI del representante legal; (e) Constitución del domicilio fiscal electrónico. Una vez obtenido el CUIT, inscribir a la sociedad en los impuestos correspondientes (IVA, Ganancias, Ingresos Brutos).</w:t>
      </w:r>
    </w:p>
    <w:p>
      <w:pPr>
        <w:shd w:fill="2b6cb0" w:color="auto" w:val="clear"/>
        <w:spacing w:after="40" w:before="120"/>
        <w:ind w:left="360"/>
      </w:pPr>
      <w:r>
        <w:rPr>
          <w:rFonts w:ascii="Calibri" w:cs="Calibri" w:eastAsia="Calibri" w:hAnsi="Calibri"/>
          <w:b/>
          <w:bCs/>
          <w:color w:val="ffffff"/>
          <w:sz w:val="21"/>
          <w:szCs w:val="21"/>
        </w:rPr>
        <w:t xml:space="preserve">PASO 3: </w:t>
      </w:r>
      <w:r>
        <w:rPr>
          <w:rFonts w:ascii="Calibri" w:cs="Calibri" w:eastAsia="Calibri" w:hAnsi="Calibri"/>
          <w:b/>
          <w:bCs/>
          <w:color w:val="ffffff"/>
          <w:sz w:val="21"/>
          <w:szCs w:val="21"/>
        </w:rPr>
        <w:t xml:space="preserve">VINCULACIÓN DE REPRESENTACIÓN EN CiDi</w:t>
      </w:r>
    </w:p>
    <w:p>
      <w:pPr>
        <w:spacing w:after="80" w:before="40"/>
        <w:ind w:left="720"/>
        <w:jc w:val="both"/>
      </w:pPr>
      <w:r>
        <w:rPr>
          <w:rFonts w:ascii="Calibri" w:cs="Calibri" w:eastAsia="Calibri" w:hAnsi="Calibri"/>
          <w:color w:val="4a5568"/>
          <w:sz w:val="20"/>
          <w:szCs w:val="20"/>
        </w:rPr>
        <w:t xml:space="preserve">Ingresar al portal https://cidi.cba.gov.ar con la clave fiscal del representante legal de la sociedad. En "Mi Escritorio" seleccionar "Administrador de Relaciones" → "Representar a una Persona Jurídica". Vincular el CUIT de la sociedad al perfil del representante legal. Esta vinculación es imprescindible para que el trámite de transferencia se inicie a nombre de la nueva entidad, no de la persona humana. ARCA debe tener previamente registrado al representante legal como "Administrador de Relaciones" de la PJ (Formulario Multinota 206 o trámite digital).</w:t>
      </w:r>
    </w:p>
    <w:p>
      <w:pPr>
        <w:shd w:fill="2b6cb0" w:color="auto" w:val="clear"/>
        <w:spacing w:after="40" w:before="120"/>
        <w:ind w:left="360"/>
      </w:pPr>
      <w:r>
        <w:rPr>
          <w:rFonts w:ascii="Calibri" w:cs="Calibri" w:eastAsia="Calibri" w:hAnsi="Calibri"/>
          <w:b/>
          <w:bCs/>
          <w:color w:val="ffffff"/>
          <w:sz w:val="21"/>
          <w:szCs w:val="21"/>
        </w:rPr>
        <w:t xml:space="preserve">PASO 4: </w:t>
      </w:r>
      <w:r>
        <w:rPr>
          <w:rFonts w:ascii="Calibri" w:cs="Calibri" w:eastAsia="Calibri" w:hAnsi="Calibri"/>
          <w:b/>
          <w:bCs/>
          <w:color w:val="ffffff"/>
          <w:sz w:val="21"/>
          <w:szCs w:val="21"/>
        </w:rPr>
        <w:t xml:space="preserve">GENERACIÓN Y PAGO DE LA TASA RETRIBUTIVA</w:t>
      </w:r>
    </w:p>
    <w:p>
      <w:pPr>
        <w:spacing w:after="80" w:before="40"/>
        <w:ind w:left="720"/>
        <w:jc w:val="both"/>
      </w:pPr>
      <w:r>
        <w:rPr>
          <w:rFonts w:ascii="Calibri" w:cs="Calibri" w:eastAsia="Calibri" w:hAnsi="Calibri"/>
          <w:color w:val="4a5568"/>
          <w:sz w:val="20"/>
          <w:szCs w:val="20"/>
        </w:rPr>
        <w:t xml:space="preserve">Dentro de CiDi → "Tasa Retributiva de Servicios" → "Ministerio de Salud" → "Departamento de Fiscalización de Efectores". Completar con el CUIT de la nueva sociedad. Seleccionar: Sector "Art. 79 Inc. 3 — Departamento Fiscalización de Efectores" y en Principal: el ítem correspondiente a la complejidad del establecimiento (Centro Médico / Centro de Cirugía Ambulatoria). Imprimir la boleta y abonar en el Banco de la Provincia de Córdoba o mediante pago electrónico habilitado.</w:t>
      </w:r>
    </w:p>
    <w:p>
      <w:pPr>
        <w:shd w:fill="2b6cb0" w:color="auto" w:val="clear"/>
        <w:spacing w:after="40" w:before="120"/>
        <w:ind w:left="360"/>
      </w:pPr>
      <w:r>
        <w:rPr>
          <w:rFonts w:ascii="Calibri" w:cs="Calibri" w:eastAsia="Calibri" w:hAnsi="Calibri"/>
          <w:b/>
          <w:bCs/>
          <w:color w:val="ffffff"/>
          <w:sz w:val="21"/>
          <w:szCs w:val="21"/>
        </w:rPr>
        <w:t xml:space="preserve">PASO 5: </w:t>
      </w:r>
      <w:r>
        <w:rPr>
          <w:rFonts w:ascii="Calibri" w:cs="Calibri" w:eastAsia="Calibri" w:hAnsi="Calibri"/>
          <w:b/>
          <w:bCs/>
          <w:color w:val="ffffff"/>
          <w:sz w:val="21"/>
          <w:szCs w:val="21"/>
        </w:rPr>
        <w:t xml:space="preserve">PREPARACIÓN DEL EXPEDIENTE DIGITAL</w:t>
      </w:r>
    </w:p>
    <w:p>
      <w:pPr>
        <w:spacing w:after="80" w:before="40"/>
        <w:ind w:left="720"/>
        <w:jc w:val="both"/>
      </w:pPr>
      <w:r>
        <w:rPr>
          <w:rFonts w:ascii="Calibri" w:cs="Calibri" w:eastAsia="Calibri" w:hAnsi="Calibri"/>
          <w:color w:val="4a5568"/>
          <w:sz w:val="20"/>
          <w:szCs w:val="20"/>
        </w:rPr>
        <w:t xml:space="preserve">Compilar y digitalizar (PDF, resolución mínima 150 dpi) la totalidad de la documentación requerida. El expediente se carga en CiDi bajo el trámite "Transferencia de Habilitación de Establecimiento Asistencial" o, si no existiera un trámite específico de transferencia, bajo "Solicitud de Inscripción y Habilitación" indicando en la nota de presentación que se trata de una transferencia por cambio de titularidad.</w:t>
      </w:r>
    </w:p>
    <w:p>
      <w:pPr>
        <w:spacing w:after="60" w:before="60"/>
      </w:pPr>
    </w:p>
    <w:p>
      <w:pPr>
        <w:spacing w:after="150" w:before="300"/>
      </w:pPr>
      <w:r>
        <w:rPr>
          <w:rFonts w:ascii="Calibri" w:cs="Calibri" w:eastAsia="Calibri" w:hAnsi="Calibri"/>
          <w:b/>
          <w:bCs/>
          <w:color w:val="2b6cb0"/>
          <w:sz w:val="24"/>
          <w:szCs w:val="24"/>
        </w:rPr>
        <w:t xml:space="preserve">1.4 Documentación Societaria e Impositiva a Subir</w:t>
      </w:r>
    </w:p>
    <w:p>
      <w:pPr>
        <w:spacing w:after="100" w:before="200"/>
      </w:pPr>
      <w:r>
        <w:rPr>
          <w:rFonts w:ascii="Calibri" w:cs="Calibri" w:eastAsia="Calibri" w:hAnsi="Calibri"/>
          <w:b/>
          <w:bCs/>
          <w:color w:val="1a365d"/>
          <w:sz w:val="22"/>
          <w:szCs w:val="22"/>
        </w:rPr>
        <w:t xml:space="preserve">A. Documentación Societaria</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Contrato Social / Estatuto </w:t>
      </w:r>
      <w:r>
        <w:rPr>
          <w:rFonts w:ascii="Calibri" w:cs="Calibri" w:eastAsia="Calibri" w:hAnsi="Calibri"/>
          <w:color w:val="2d3748"/>
          <w:sz w:val="21"/>
          <w:szCs w:val="21"/>
        </w:rPr>
        <w:t xml:space="preserve">inscripto en DIPJ con constancia de correlativo de inscripción.</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Acta de Asamblea / Reunión de Socios </w:t>
      </w:r>
      <w:r>
        <w:rPr>
          <w:rFonts w:ascii="Calibri" w:cs="Calibri" w:eastAsia="Calibri" w:hAnsi="Calibri"/>
          <w:color w:val="2d3748"/>
          <w:sz w:val="21"/>
          <w:szCs w:val="21"/>
        </w:rPr>
        <w:t xml:space="preserve">con designación de autoridades vigentes (Presidente, Gerente, Administrador según tipo societario).</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Poder especial o general </w:t>
      </w:r>
      <w:r>
        <w:rPr>
          <w:rFonts w:ascii="Calibri" w:cs="Calibri" w:eastAsia="Calibri" w:hAnsi="Calibri"/>
          <w:color w:val="2d3748"/>
          <w:sz w:val="21"/>
          <w:szCs w:val="21"/>
        </w:rPr>
        <w:t xml:space="preserve">otorgado al firmante del trámite, si no fuera el representante legal estatutario.</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DNI del representante legal </w:t>
      </w:r>
      <w:r>
        <w:rPr>
          <w:rFonts w:ascii="Calibri" w:cs="Calibri" w:eastAsia="Calibri" w:hAnsi="Calibri"/>
          <w:color w:val="2d3748"/>
          <w:sz w:val="21"/>
          <w:szCs w:val="21"/>
        </w:rPr>
        <w:t xml:space="preserve">(frente y dorso).</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Constancia de inscripción DIPJ </w:t>
      </w:r>
      <w:r>
        <w:rPr>
          <w:rFonts w:ascii="Calibri" w:cs="Calibri" w:eastAsia="Calibri" w:hAnsi="Calibri"/>
          <w:color w:val="2d3748"/>
          <w:sz w:val="21"/>
          <w:szCs w:val="21"/>
        </w:rPr>
        <w:t xml:space="preserve">vigente.</w:t>
      </w:r>
    </w:p>
    <w:p>
      <w:pPr>
        <w:spacing w:after="60" w:before="60"/>
      </w:pPr>
    </w:p>
    <w:p>
      <w:pPr>
        <w:spacing w:after="100" w:before="200"/>
      </w:pPr>
      <w:r>
        <w:rPr>
          <w:rFonts w:ascii="Calibri" w:cs="Calibri" w:eastAsia="Calibri" w:hAnsi="Calibri"/>
          <w:b/>
          <w:bCs/>
          <w:color w:val="1a365d"/>
          <w:sz w:val="22"/>
          <w:szCs w:val="22"/>
        </w:rPr>
        <w:t xml:space="preserve">B. Documentación Impositiva de ARCA</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Constancia de inscripción ARCA (CUIT) </w:t>
      </w:r>
      <w:r>
        <w:rPr>
          <w:rFonts w:ascii="Calibri" w:cs="Calibri" w:eastAsia="Calibri" w:hAnsi="Calibri"/>
          <w:color w:val="2d3748"/>
          <w:sz w:val="21"/>
          <w:szCs w:val="21"/>
        </w:rPr>
        <w:t xml:space="preserve">de la persona jurídica — obtener desde el servicio "Constancia de Inscripción" del sitio web de ARCA.</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Constancia de inscripción en IVA </w:t>
      </w:r>
      <w:r>
        <w:rPr>
          <w:rFonts w:ascii="Calibri" w:cs="Calibri" w:eastAsia="Calibri" w:hAnsi="Calibri"/>
          <w:color w:val="2d3748"/>
          <w:sz w:val="21"/>
          <w:szCs w:val="21"/>
        </w:rPr>
        <w:t xml:space="preserve">(Responsable Inscrito).</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Constancia de Ingresos Brutos </w:t>
      </w:r>
      <w:r>
        <w:rPr>
          <w:rFonts w:ascii="Calibri" w:cs="Calibri" w:eastAsia="Calibri" w:hAnsi="Calibri"/>
          <w:color w:val="2d3748"/>
          <w:sz w:val="21"/>
          <w:szCs w:val="21"/>
        </w:rPr>
        <w:t xml:space="preserve">(inscripción provincial en Rentas Córdoba o Convenio Multilateral CM-01/CM-05, según corresponda).</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Constancia de inicio de actividades </w:t>
      </w:r>
      <w:r>
        <w:rPr>
          <w:rFonts w:ascii="Calibri" w:cs="Calibri" w:eastAsia="Calibri" w:hAnsi="Calibri"/>
          <w:color w:val="2d3748"/>
          <w:sz w:val="21"/>
          <w:szCs w:val="21"/>
        </w:rPr>
        <w:t xml:space="preserve">con código AFIP/ARCA correspondiente a servicios de salud (86 — Actividades de atención de la salud humana).</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Libre deuda fiscal </w:t>
      </w:r>
      <w:r>
        <w:rPr>
          <w:rFonts w:ascii="Calibri" w:cs="Calibri" w:eastAsia="Calibri" w:hAnsi="Calibri"/>
          <w:color w:val="2d3748"/>
          <w:sz w:val="21"/>
          <w:szCs w:val="21"/>
        </w:rPr>
        <w:t xml:space="preserve">de la persona humana cedente (recomendado, no siempre exigido, pero previene observaciones).</w:t>
      </w:r>
    </w:p>
    <w:p>
      <w:pPr>
        <w:spacing w:after="60" w:before="60"/>
      </w:pPr>
    </w:p>
    <w:p>
      <w:pPr>
        <w:spacing w:after="100" w:before="200"/>
      </w:pPr>
      <w:r>
        <w:rPr>
          <w:rFonts w:ascii="Calibri" w:cs="Calibri" w:eastAsia="Calibri" w:hAnsi="Calibri"/>
          <w:b/>
          <w:bCs/>
          <w:color w:val="1a365d"/>
          <w:sz w:val="22"/>
          <w:szCs w:val="22"/>
        </w:rPr>
        <w:t xml:space="preserve">C. Documentación Sanitaria y Técnica</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Habilitación sanitaria vigente </w:t>
      </w:r>
      <w:r>
        <w:rPr>
          <w:rFonts w:ascii="Calibri" w:cs="Calibri" w:eastAsia="Calibri" w:hAnsi="Calibri"/>
          <w:color w:val="2d3748"/>
          <w:sz w:val="21"/>
          <w:szCs w:val="21"/>
        </w:rPr>
        <w:t xml:space="preserve">del establecimiento a nombre de la persona humana (Resolución y número de expediente).</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Nota de solicitud de transferencia </w:t>
      </w:r>
      <w:r>
        <w:rPr>
          <w:rFonts w:ascii="Calibri" w:cs="Calibri" w:eastAsia="Calibri" w:hAnsi="Calibri"/>
          <w:color w:val="2d3748"/>
          <w:sz w:val="21"/>
          <w:szCs w:val="21"/>
        </w:rPr>
        <w:t xml:space="preserve">dirigida al Director del Departamento de Fiscalización de Efectores, firmada por el representante legal de la sociedad y por el titular saliente.</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Declaración Jurada del Director Técnico </w:t>
      </w:r>
      <w:r>
        <w:rPr>
          <w:rFonts w:ascii="Calibri" w:cs="Calibri" w:eastAsia="Calibri" w:hAnsi="Calibri"/>
          <w:color w:val="2d3748"/>
          <w:sz w:val="21"/>
          <w:szCs w:val="21"/>
        </w:rPr>
        <w:t xml:space="preserve">(Formulario Anexo II) ratificando la continuidad en el cargo bajo la nueva titularidad, con matrícula del Consejo de Médicos de Córdoba vigente.</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Nómina actualizada de profesionales </w:t>
      </w:r>
      <w:r>
        <w:rPr>
          <w:rFonts w:ascii="Calibri" w:cs="Calibri" w:eastAsia="Calibri" w:hAnsi="Calibri"/>
          <w:color w:val="2d3748"/>
          <w:sz w:val="21"/>
          <w:szCs w:val="21"/>
        </w:rPr>
        <w:t xml:space="preserve">(Planilla de Profesionales con nombre, matrícula, firma, especialidad).</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Planos del establecimiento </w:t>
      </w:r>
      <w:r>
        <w:rPr>
          <w:rFonts w:ascii="Calibri" w:cs="Calibri" w:eastAsia="Calibri" w:hAnsi="Calibri"/>
          <w:color w:val="2d3748"/>
          <w:sz w:val="21"/>
          <w:szCs w:val="21"/>
        </w:rPr>
        <w:t xml:space="preserve">(si no hubieron modificaciones, puede presentarse nota declarando que la planta física no registra alteraciones respecto de la habilitación vigente).</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Póliza de seguro de responsabilidad civil profesional (praxis) </w:t>
      </w:r>
      <w:r>
        <w:rPr>
          <w:rFonts w:ascii="Calibri" w:cs="Calibri" w:eastAsia="Calibri" w:hAnsi="Calibri"/>
          <w:color w:val="2d3748"/>
          <w:sz w:val="21"/>
          <w:szCs w:val="21"/>
        </w:rPr>
        <w:t xml:space="preserve">a nombre de la nueva sociedad.</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Contrato de recolección de residuos patógenos </w:t>
      </w:r>
      <w:r>
        <w:rPr>
          <w:rFonts w:ascii="Calibri" w:cs="Calibri" w:eastAsia="Calibri" w:hAnsi="Calibri"/>
          <w:color w:val="2d3748"/>
          <w:sz w:val="21"/>
          <w:szCs w:val="21"/>
        </w:rPr>
        <w:t xml:space="preserve">a nombre de la nueva sociedad.</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Convenio con servicio de emergencias médicas </w:t>
      </w:r>
      <w:r>
        <w:rPr>
          <w:rFonts w:ascii="Calibri" w:cs="Calibri" w:eastAsia="Calibri" w:hAnsi="Calibri"/>
          <w:color w:val="2d3748"/>
          <w:sz w:val="21"/>
          <w:szCs w:val="21"/>
        </w:rPr>
        <w:t xml:space="preserve">a nombre de la nueva sociedad (si correspondiere — ver excepción para centros de Excimer Láser).</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Comprobante de pago de la Tasa Retributiva.</w:t>
      </w:r>
      <w:r>
        <w:rPr>
          <w:rFonts w:ascii="Calibri" w:cs="Calibri" w:eastAsia="Calibri" w:hAnsi="Calibri"/>
          <w:color w:val="2d3748"/>
          <w:sz w:val="21"/>
          <w:szCs w:val="21"/>
        </w:rPr>
        <w:t xml:space="preserve"/>
      </w:r>
    </w:p>
    <w:p>
      <w:pPr>
        <w:spacing w:after="60" w:before="60"/>
      </w:pPr>
    </w:p>
    <w:p>
      <w:pPr>
        <w:pBdr>
          <w:left w:val="single" w:color="2b6cb0" w:sz="12"/>
        </w:pBdr>
        <w:shd w:fill="ebf4ff" w:color="auto" w:val="clear"/>
        <w:spacing w:after="120" w:before="120"/>
        <w:ind w:left="360" w:right="360"/>
      </w:pPr>
      <w:r>
        <w:rPr>
          <w:rFonts w:ascii="Calibri" w:cs="Calibri" w:eastAsia="Calibri" w:hAnsi="Calibri"/>
          <w:sz w:val="21"/>
          <w:szCs w:val="21"/>
        </w:rPr>
        <w:t xml:space="preserve">ℹ️ </w:t>
      </w:r>
      <w:r>
        <w:rPr>
          <w:rFonts w:ascii="Calibri" w:cs="Calibri" w:eastAsia="Calibri" w:hAnsi="Calibri"/>
          <w:i/>
          <w:iCs/>
          <w:color w:val="2d3748"/>
          <w:sz w:val="20"/>
          <w:szCs w:val="20"/>
        </w:rPr>
        <w:t xml:space="preserve">NOTA SOBRE LA EXCEPCIÓN OFTALMOLÓGICA: El Art. 3° del Anexo VI exceptúa expresamente a los Centros de Cirugía Oftalmológica por Láser que realicen prácticas con Excimer Láser de los requisitos de: (a) protocolización de mecanismos de referencia y contrarreferencia, (b) convenio con servicio de emergencias por unidades móviles, y (c) listado mínimo de seis médicos clínicos. Sin embargo, si el centro realiza prácticas quirúrgicas adicionales al Excimer (facoemulsificación, vitrectomía, etc.), estos requisitos podrían ser exigidos. Verificar con el Departamento de Fiscalización.</w:t>
      </w:r>
    </w:p>
    <w:p>
      <w:r>
        <w:br w:type="page"/>
      </w:r>
    </w:p>
    <w:p>
      <w:pPr>
        <w:pBdr>
          <w:bottom w:val="single" w:color="1a365d" w:sz="6"/>
        </w:pBdr>
        <w:spacing w:after="200" w:before="400"/>
      </w:pPr>
      <w:r>
        <w:rPr>
          <w:rFonts w:ascii="Calibri" w:cs="Calibri" w:eastAsia="Calibri" w:hAnsi="Calibri"/>
          <w:b/>
          <w:bCs/>
          <w:color w:val="1a365d"/>
          <w:sz w:val="28"/>
          <w:szCs w:val="28"/>
        </w:rPr>
        <w:t xml:space="preserve">2. CHECKLIST DE INFRAESTRUCTURA Y EQUIPOS</w:t>
      </w:r>
    </w:p>
    <w:p>
      <w:pPr>
        <w:spacing w:after="80" w:before="80"/>
        <w:jc w:val="both"/>
      </w:pPr>
      <w:r>
        <w:rPr>
          <w:rFonts w:ascii="Calibri" w:cs="Calibri" w:eastAsia="Calibri" w:hAnsi="Calibri"/>
          <w:color w:val="2d3748"/>
          <w:sz w:val="21"/>
          <w:szCs w:val="21"/>
        </w:rPr>
        <w:t xml:space="preserve">Lista de control exhaustiva para un Centro de Ojos con consultorios de diagnóstico oftalmológico y área quirúrgica/láser, conforme a los requisitos del Decreto 33/08, Anexos I, VI y normativa sanitaria complementaria.</w:t>
      </w:r>
    </w:p>
    <w:p>
      <w:pPr>
        <w:spacing w:after="60" w:before="60"/>
      </w:pPr>
    </w:p>
    <w:p>
      <w:pPr>
        <w:spacing w:after="150" w:before="300"/>
      </w:pPr>
      <w:r>
        <w:rPr>
          <w:rFonts w:ascii="Calibri" w:cs="Calibri" w:eastAsia="Calibri" w:hAnsi="Calibri"/>
          <w:b/>
          <w:bCs/>
          <w:color w:val="2b6cb0"/>
          <w:sz w:val="24"/>
          <w:szCs w:val="24"/>
        </w:rPr>
        <w:t xml:space="preserve">2.1 Infraestructura Edilicia General</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4400"/>
      </w:tblGrid>
      <w:tr>
        <w:tc>
          <w:tcPr>
            <w:tcW w:type="dxa" w:w="2400"/>
            <w:shd w:fill="1a365d" w:color="auto" w:val="clear"/>
            <w:vAlign w:val="center"/>
          </w:tcPr>
          <w:p>
            <w:r>
              <w:rPr>
                <w:rFonts w:ascii="Calibri" w:cs="Calibri" w:eastAsia="Calibri" w:hAnsi="Calibri"/>
                <w:b/>
                <w:bCs/>
                <w:color w:val="ffffff"/>
                <w:sz w:val="18"/>
                <w:szCs w:val="18"/>
              </w:rPr>
              <w:t xml:space="preserve">CATEGORÍA</w:t>
            </w:r>
          </w:p>
        </w:tc>
        <w:tc>
          <w:tcPr>
            <w:tcW w:type="dxa" w:w="4200"/>
            <w:shd w:fill="1a365d" w:color="auto" w:val="clear"/>
            <w:vAlign w:val="center"/>
          </w:tcPr>
          <w:p>
            <w:r>
              <w:rPr>
                <w:rFonts w:ascii="Calibri" w:cs="Calibri" w:eastAsia="Calibri" w:hAnsi="Calibri"/>
                <w:b/>
                <w:bCs/>
                <w:color w:val="ffffff"/>
                <w:sz w:val="18"/>
                <w:szCs w:val="18"/>
              </w:rPr>
              <w:t xml:space="preserve">ÍTEM</w:t>
            </w:r>
          </w:p>
        </w:tc>
        <w:tc>
          <w:tcPr>
            <w:tcW w:type="dxa" w:w="4400"/>
            <w:shd w:fill="1a365d" w:color="auto" w:val="clear"/>
            <w:vAlign w:val="center"/>
          </w:tcPr>
          <w:p>
            <w:r>
              <w:rPr>
                <w:rFonts w:ascii="Calibri" w:cs="Calibri" w:eastAsia="Calibri" w:hAnsi="Calibri"/>
                <w:b/>
                <w:bCs/>
                <w:color w:val="ffffff"/>
                <w:sz w:val="18"/>
                <w:szCs w:val="18"/>
              </w:rPr>
              <w:t xml:space="preserve">REQUISITO NORMATIVO</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Consultorios</w:t>
            </w:r>
          </w:p>
        </w:tc>
        <w:tc>
          <w:tcPr>
            <w:tcW w:type="dxa" w:w="4200"/>
            <w:vAlign w:val="center"/>
          </w:tcPr>
          <w:p>
            <w:r>
              <w:rPr>
                <w:rFonts w:ascii="Calibri" w:cs="Calibri" w:eastAsia="Calibri" w:hAnsi="Calibri"/>
                <w:b w:val="false"/>
                <w:bCs w:val="false"/>
                <w:color w:val="2d3748"/>
                <w:sz w:val="18"/>
                <w:szCs w:val="18"/>
              </w:rPr>
              <w:t xml:space="preserve">Lavatorios instalados en cada consultorio</w:t>
            </w:r>
          </w:p>
        </w:tc>
        <w:tc>
          <w:tcPr>
            <w:tcW w:type="dxa" w:w="4400"/>
            <w:vAlign w:val="center"/>
          </w:tcPr>
          <w:p>
            <w:r>
              <w:rPr>
                <w:rFonts w:ascii="Calibri" w:cs="Calibri" w:eastAsia="Calibri" w:hAnsi="Calibri"/>
                <w:b w:val="false"/>
                <w:bCs w:val="false"/>
                <w:color w:val="2d3748"/>
                <w:sz w:val="18"/>
                <w:szCs w:val="18"/>
              </w:rPr>
              <w:t xml:space="preserve">Art. 9° Anexo I — conectados a red de agua y desagüe cloacal</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Consultorios</w:t>
            </w:r>
          </w:p>
        </w:tc>
        <w:tc>
          <w:tcPr>
            <w:tcW w:type="dxa" w:w="4200"/>
            <w:vAlign w:val="center"/>
          </w:tcPr>
          <w:p>
            <w:r>
              <w:rPr>
                <w:rFonts w:ascii="Calibri" w:cs="Calibri" w:eastAsia="Calibri" w:hAnsi="Calibri"/>
                <w:b w:val="false"/>
                <w:bCs w:val="false"/>
                <w:color w:val="2d3748"/>
                <w:sz w:val="18"/>
                <w:szCs w:val="18"/>
              </w:rPr>
              <w:t xml:space="preserve">Superficie mínima adecuada a la función</w:t>
            </w:r>
          </w:p>
        </w:tc>
        <w:tc>
          <w:tcPr>
            <w:tcW w:type="dxa" w:w="4400"/>
            <w:vAlign w:val="center"/>
          </w:tcPr>
          <w:p>
            <w:r>
              <w:rPr>
                <w:rFonts w:ascii="Calibri" w:cs="Calibri" w:eastAsia="Calibri" w:hAnsi="Calibri"/>
                <w:b w:val="false"/>
                <w:bCs w:val="false"/>
                <w:color w:val="2d3748"/>
                <w:sz w:val="18"/>
                <w:szCs w:val="18"/>
              </w:rPr>
              <w:t xml:space="preserve">Art. 7° Anexo I — áreas reales de uso</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Consultorios</w:t>
            </w:r>
          </w:p>
        </w:tc>
        <w:tc>
          <w:tcPr>
            <w:tcW w:type="dxa" w:w="4200"/>
            <w:vAlign w:val="center"/>
          </w:tcPr>
          <w:p>
            <w:r>
              <w:rPr>
                <w:rFonts w:ascii="Calibri" w:cs="Calibri" w:eastAsia="Calibri" w:hAnsi="Calibri"/>
                <w:b w:val="false"/>
                <w:bCs w:val="false"/>
                <w:color w:val="2d3748"/>
                <w:sz w:val="18"/>
                <w:szCs w:val="18"/>
              </w:rPr>
              <w:t xml:space="preserve">Muros lisos, lavables, impermeables hasta 1,70 m</w:t>
            </w:r>
          </w:p>
        </w:tc>
        <w:tc>
          <w:tcPr>
            <w:tcW w:type="dxa" w:w="4400"/>
            <w:vAlign w:val="center"/>
          </w:tcPr>
          <w:p>
            <w:r>
              <w:rPr>
                <w:rFonts w:ascii="Calibri" w:cs="Calibri" w:eastAsia="Calibri" w:hAnsi="Calibri"/>
                <w:b w:val="false"/>
                <w:bCs w:val="false"/>
                <w:color w:val="2d3748"/>
                <w:sz w:val="18"/>
                <w:szCs w:val="18"/>
              </w:rPr>
              <w:t xml:space="preserve">Art. 6° Anexo I</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Consultorios</w:t>
            </w:r>
          </w:p>
        </w:tc>
        <w:tc>
          <w:tcPr>
            <w:tcW w:type="dxa" w:w="4200"/>
            <w:vAlign w:val="center"/>
          </w:tcPr>
          <w:p>
            <w:r>
              <w:rPr>
                <w:rFonts w:ascii="Calibri" w:cs="Calibri" w:eastAsia="Calibri" w:hAnsi="Calibri"/>
                <w:b w:val="false"/>
                <w:bCs w:val="false"/>
                <w:color w:val="2d3748"/>
                <w:sz w:val="18"/>
                <w:szCs w:val="18"/>
              </w:rPr>
              <w:t xml:space="preserve">Cielorrasos secos, estancos, sin molduras</w:t>
            </w:r>
          </w:p>
        </w:tc>
        <w:tc>
          <w:tcPr>
            <w:tcW w:type="dxa" w:w="4400"/>
            <w:vAlign w:val="center"/>
          </w:tcPr>
          <w:p>
            <w:r>
              <w:rPr>
                <w:rFonts w:ascii="Calibri" w:cs="Calibri" w:eastAsia="Calibri" w:hAnsi="Calibri"/>
                <w:b w:val="false"/>
                <w:bCs w:val="false"/>
                <w:color w:val="2d3748"/>
                <w:sz w:val="18"/>
                <w:szCs w:val="18"/>
              </w:rPr>
              <w:t xml:space="preserve">Art. 6° Anexo I</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Consultorios</w:t>
            </w:r>
          </w:p>
        </w:tc>
        <w:tc>
          <w:tcPr>
            <w:tcW w:type="dxa" w:w="4200"/>
            <w:vAlign w:val="center"/>
          </w:tcPr>
          <w:p>
            <w:r>
              <w:rPr>
                <w:rFonts w:ascii="Calibri" w:cs="Calibri" w:eastAsia="Calibri" w:hAnsi="Calibri"/>
                <w:b w:val="false"/>
                <w:bCs w:val="false"/>
                <w:color w:val="2d3748"/>
                <w:sz w:val="18"/>
                <w:szCs w:val="18"/>
              </w:rPr>
              <w:t xml:space="preserve">Pisos lisos, lavables, no alfombrados</w:t>
            </w:r>
          </w:p>
        </w:tc>
        <w:tc>
          <w:tcPr>
            <w:tcW w:type="dxa" w:w="4400"/>
            <w:vAlign w:val="center"/>
          </w:tcPr>
          <w:p>
            <w:r>
              <w:rPr>
                <w:rFonts w:ascii="Calibri" w:cs="Calibri" w:eastAsia="Calibri" w:hAnsi="Calibri"/>
                <w:b w:val="false"/>
                <w:bCs w:val="false"/>
                <w:color w:val="2d3748"/>
                <w:sz w:val="18"/>
                <w:szCs w:val="18"/>
              </w:rPr>
              <w:t xml:space="preserve">Art. 6° Anexo I</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Consultorios</w:t>
            </w:r>
          </w:p>
        </w:tc>
        <w:tc>
          <w:tcPr>
            <w:tcW w:type="dxa" w:w="4200"/>
            <w:vAlign w:val="center"/>
          </w:tcPr>
          <w:p>
            <w:r>
              <w:rPr>
                <w:rFonts w:ascii="Calibri" w:cs="Calibri" w:eastAsia="Calibri" w:hAnsi="Calibri"/>
                <w:b w:val="false"/>
                <w:bCs w:val="false"/>
                <w:color w:val="2d3748"/>
                <w:sz w:val="18"/>
                <w:szCs w:val="18"/>
              </w:rPr>
              <w:t xml:space="preserve">Materiales de baja combustibilidad o ignífugos</w:t>
            </w:r>
          </w:p>
        </w:tc>
        <w:tc>
          <w:tcPr>
            <w:tcW w:type="dxa" w:w="4400"/>
            <w:vAlign w:val="center"/>
          </w:tcPr>
          <w:p>
            <w:r>
              <w:rPr>
                <w:rFonts w:ascii="Calibri" w:cs="Calibri" w:eastAsia="Calibri" w:hAnsi="Calibri"/>
                <w:b w:val="false"/>
                <w:bCs w:val="false"/>
                <w:color w:val="2d3748"/>
                <w:sz w:val="18"/>
                <w:szCs w:val="18"/>
              </w:rPr>
              <w:t xml:space="preserve">Art. 6° Anexo I</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Accesibilidad</w:t>
            </w:r>
          </w:p>
        </w:tc>
        <w:tc>
          <w:tcPr>
            <w:tcW w:type="dxa" w:w="4200"/>
            <w:vAlign w:val="center"/>
          </w:tcPr>
          <w:p>
            <w:r>
              <w:rPr>
                <w:rFonts w:ascii="Calibri" w:cs="Calibri" w:eastAsia="Calibri" w:hAnsi="Calibri"/>
                <w:b w:val="false"/>
                <w:bCs w:val="false"/>
                <w:color w:val="2d3748"/>
                <w:sz w:val="18"/>
                <w:szCs w:val="18"/>
              </w:rPr>
              <w:t xml:space="preserve">Rampas antideslizantes, pendiente máx. 12%</w:t>
            </w:r>
          </w:p>
        </w:tc>
        <w:tc>
          <w:tcPr>
            <w:tcW w:type="dxa" w:w="4400"/>
            <w:vAlign w:val="center"/>
          </w:tcPr>
          <w:p>
            <w:r>
              <w:rPr>
                <w:rFonts w:ascii="Calibri" w:cs="Calibri" w:eastAsia="Calibri" w:hAnsi="Calibri"/>
                <w:b w:val="false"/>
                <w:bCs w:val="false"/>
                <w:color w:val="2d3748"/>
                <w:sz w:val="18"/>
                <w:szCs w:val="18"/>
              </w:rPr>
              <w:t xml:space="preserve">Art. 7° Anexo I</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Accesibilidad</w:t>
            </w:r>
          </w:p>
        </w:tc>
        <w:tc>
          <w:tcPr>
            <w:tcW w:type="dxa" w:w="4200"/>
            <w:vAlign w:val="center"/>
          </w:tcPr>
          <w:p>
            <w:r>
              <w:rPr>
                <w:rFonts w:ascii="Calibri" w:cs="Calibri" w:eastAsia="Calibri" w:hAnsi="Calibri"/>
                <w:b w:val="false"/>
                <w:bCs w:val="false"/>
                <w:color w:val="2d3748"/>
                <w:sz w:val="18"/>
                <w:szCs w:val="18"/>
              </w:rPr>
              <w:t xml:space="preserve">Pasillos aptos para circulación de camillas/sillas de ruedas</w:t>
            </w:r>
          </w:p>
        </w:tc>
        <w:tc>
          <w:tcPr>
            <w:tcW w:type="dxa" w:w="4400"/>
            <w:vAlign w:val="center"/>
          </w:tcPr>
          <w:p>
            <w:r>
              <w:rPr>
                <w:rFonts w:ascii="Calibri" w:cs="Calibri" w:eastAsia="Calibri" w:hAnsi="Calibri"/>
                <w:b w:val="false"/>
                <w:bCs w:val="false"/>
                <w:color w:val="2d3748"/>
                <w:sz w:val="18"/>
                <w:szCs w:val="18"/>
              </w:rPr>
              <w:t xml:space="preserve">Art. 7° Anexo I — conforme Código de Edificación Municipal</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Sala de espera</w:t>
            </w:r>
          </w:p>
        </w:tc>
        <w:tc>
          <w:tcPr>
            <w:tcW w:type="dxa" w:w="4200"/>
            <w:vAlign w:val="center"/>
          </w:tcPr>
          <w:p>
            <w:r>
              <w:rPr>
                <w:rFonts w:ascii="Calibri" w:cs="Calibri" w:eastAsia="Calibri" w:hAnsi="Calibri"/>
                <w:b w:val="false"/>
                <w:bCs w:val="false"/>
                <w:color w:val="2d3748"/>
                <w:sz w:val="18"/>
                <w:szCs w:val="18"/>
              </w:rPr>
              <w:t xml:space="preserve">3 m² por consultorio</w:t>
            </w:r>
          </w:p>
        </w:tc>
        <w:tc>
          <w:tcPr>
            <w:tcW w:type="dxa" w:w="4400"/>
            <w:vAlign w:val="center"/>
          </w:tcPr>
          <w:p>
            <w:r>
              <w:rPr>
                <w:rFonts w:ascii="Calibri" w:cs="Calibri" w:eastAsia="Calibri" w:hAnsi="Calibri"/>
                <w:b w:val="false"/>
                <w:bCs w:val="false"/>
                <w:color w:val="2d3748"/>
                <w:sz w:val="18"/>
                <w:szCs w:val="18"/>
              </w:rPr>
              <w:t xml:space="preserve">Art. 10° inc. a) Anexo I</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Sala de espera</w:t>
            </w:r>
          </w:p>
        </w:tc>
        <w:tc>
          <w:tcPr>
            <w:tcW w:type="dxa" w:w="4200"/>
            <w:vAlign w:val="center"/>
          </w:tcPr>
          <w:p>
            <w:r>
              <w:rPr>
                <w:rFonts w:ascii="Calibri" w:cs="Calibri" w:eastAsia="Calibri" w:hAnsi="Calibri"/>
                <w:b w:val="false"/>
                <w:bCs w:val="false"/>
                <w:color w:val="2d3748"/>
                <w:sz w:val="18"/>
                <w:szCs w:val="18"/>
              </w:rPr>
              <w:t xml:space="preserve">3 asientos individuales por consultorio</w:t>
            </w:r>
          </w:p>
        </w:tc>
        <w:tc>
          <w:tcPr>
            <w:tcW w:type="dxa" w:w="4400"/>
            <w:vAlign w:val="center"/>
          </w:tcPr>
          <w:p>
            <w:r>
              <w:rPr>
                <w:rFonts w:ascii="Calibri" w:cs="Calibri" w:eastAsia="Calibri" w:hAnsi="Calibri"/>
                <w:b w:val="false"/>
                <w:bCs w:val="false"/>
                <w:color w:val="2d3748"/>
                <w:sz w:val="18"/>
                <w:szCs w:val="18"/>
              </w:rPr>
              <w:t xml:space="preserve">Art. 10° inc. b) Anexo I</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Sala de espera</w:t>
            </w:r>
          </w:p>
        </w:tc>
        <w:tc>
          <w:tcPr>
            <w:tcW w:type="dxa" w:w="4200"/>
            <w:vAlign w:val="center"/>
          </w:tcPr>
          <w:p>
            <w:r>
              <w:rPr>
                <w:rFonts w:ascii="Calibri" w:cs="Calibri" w:eastAsia="Calibri" w:hAnsi="Calibri"/>
                <w:b w:val="false"/>
                <w:bCs w:val="false"/>
                <w:color w:val="2d3748"/>
                <w:sz w:val="18"/>
                <w:szCs w:val="18"/>
              </w:rPr>
              <w:t xml:space="preserve">Baño accesible (diámetro libre 1,40 m, agarraderas)</w:t>
            </w:r>
          </w:p>
        </w:tc>
        <w:tc>
          <w:tcPr>
            <w:tcW w:type="dxa" w:w="4400"/>
            <w:vAlign w:val="center"/>
          </w:tcPr>
          <w:p>
            <w:r>
              <w:rPr>
                <w:rFonts w:ascii="Calibri" w:cs="Calibri" w:eastAsia="Calibri" w:hAnsi="Calibri"/>
                <w:b w:val="false"/>
                <w:bCs w:val="false"/>
                <w:color w:val="2d3748"/>
                <w:sz w:val="18"/>
                <w:szCs w:val="18"/>
              </w:rPr>
              <w:t xml:space="preserve">Art. 10° inc. c) Anexo I</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Seguridad</w:t>
            </w:r>
          </w:p>
        </w:tc>
        <w:tc>
          <w:tcPr>
            <w:tcW w:type="dxa" w:w="4200"/>
            <w:vAlign w:val="center"/>
          </w:tcPr>
          <w:p>
            <w:r>
              <w:rPr>
                <w:rFonts w:ascii="Calibri" w:cs="Calibri" w:eastAsia="Calibri" w:hAnsi="Calibri"/>
                <w:b w:val="false"/>
                <w:bCs w:val="false"/>
                <w:color w:val="2d3748"/>
                <w:sz w:val="18"/>
                <w:szCs w:val="18"/>
              </w:rPr>
              <w:t xml:space="preserve">Salida de emergencia y plan de evacuación</w:t>
            </w:r>
          </w:p>
        </w:tc>
        <w:tc>
          <w:tcPr>
            <w:tcW w:type="dxa" w:w="4400"/>
            <w:vAlign w:val="center"/>
          </w:tcPr>
          <w:p>
            <w:r>
              <w:rPr>
                <w:rFonts w:ascii="Calibri" w:cs="Calibri" w:eastAsia="Calibri" w:hAnsi="Calibri"/>
                <w:b w:val="false"/>
                <w:bCs w:val="false"/>
                <w:color w:val="2d3748"/>
                <w:sz w:val="18"/>
                <w:szCs w:val="18"/>
              </w:rPr>
              <w:t xml:space="preserve">Art. 8° Anexo I</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Seguridad</w:t>
            </w:r>
          </w:p>
        </w:tc>
        <w:tc>
          <w:tcPr>
            <w:tcW w:type="dxa" w:w="4200"/>
            <w:vAlign w:val="center"/>
          </w:tcPr>
          <w:p>
            <w:r>
              <w:rPr>
                <w:rFonts w:ascii="Calibri" w:cs="Calibri" w:eastAsia="Calibri" w:hAnsi="Calibri"/>
                <w:b w:val="false"/>
                <w:bCs w:val="false"/>
                <w:color w:val="2d3748"/>
                <w:sz w:val="18"/>
                <w:szCs w:val="18"/>
              </w:rPr>
              <w:t xml:space="preserve">Matafuegos según normativa de Bomberos</w:t>
            </w:r>
          </w:p>
        </w:tc>
        <w:tc>
          <w:tcPr>
            <w:tcW w:type="dxa" w:w="4400"/>
            <w:vAlign w:val="center"/>
          </w:tcPr>
          <w:p>
            <w:r>
              <w:rPr>
                <w:rFonts w:ascii="Calibri" w:cs="Calibri" w:eastAsia="Calibri" w:hAnsi="Calibri"/>
                <w:b w:val="false"/>
                <w:bCs w:val="false"/>
                <w:color w:val="2d3748"/>
                <w:sz w:val="18"/>
                <w:szCs w:val="18"/>
              </w:rPr>
              <w:t xml:space="preserve">Ley 19.587 y normas locales</w:t>
            </w:r>
          </w:p>
        </w:tc>
      </w:tr>
    </w:tbl>
    <w:p>
      <w:pPr>
        <w:spacing w:after="60" w:before="60"/>
      </w:pPr>
    </w:p>
    <w:p>
      <w:pPr>
        <w:spacing w:after="150" w:before="300"/>
      </w:pPr>
      <w:r>
        <w:rPr>
          <w:rFonts w:ascii="Calibri" w:cs="Calibri" w:eastAsia="Calibri" w:hAnsi="Calibri"/>
          <w:b/>
          <w:bCs/>
          <w:color w:val="2b6cb0"/>
          <w:sz w:val="24"/>
          <w:szCs w:val="24"/>
        </w:rPr>
        <w:t xml:space="preserve">2.2 Área Quirúrgica / Sala de Procedimientos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4400"/>
      </w:tblGrid>
      <w:tr>
        <w:tc>
          <w:tcPr>
            <w:tcW w:type="dxa" w:w="2400"/>
            <w:shd w:fill="1a365d" w:color="auto" w:val="clear"/>
            <w:vAlign w:val="center"/>
          </w:tcPr>
          <w:p>
            <w:r>
              <w:rPr>
                <w:rFonts w:ascii="Calibri" w:cs="Calibri" w:eastAsia="Calibri" w:hAnsi="Calibri"/>
                <w:b/>
                <w:bCs/>
                <w:color w:val="ffffff"/>
                <w:sz w:val="18"/>
                <w:szCs w:val="18"/>
              </w:rPr>
              <w:t xml:space="preserve">CATEGORÍA</w:t>
            </w:r>
          </w:p>
        </w:tc>
        <w:tc>
          <w:tcPr>
            <w:tcW w:type="dxa" w:w="4200"/>
            <w:shd w:fill="1a365d" w:color="auto" w:val="clear"/>
            <w:vAlign w:val="center"/>
          </w:tcPr>
          <w:p>
            <w:r>
              <w:rPr>
                <w:rFonts w:ascii="Calibri" w:cs="Calibri" w:eastAsia="Calibri" w:hAnsi="Calibri"/>
                <w:b/>
                <w:bCs/>
                <w:color w:val="ffffff"/>
                <w:sz w:val="18"/>
                <w:szCs w:val="18"/>
              </w:rPr>
              <w:t xml:space="preserve">ÍTEM</w:t>
            </w:r>
          </w:p>
        </w:tc>
        <w:tc>
          <w:tcPr>
            <w:tcW w:type="dxa" w:w="4400"/>
            <w:shd w:fill="1a365d" w:color="auto" w:val="clear"/>
            <w:vAlign w:val="center"/>
          </w:tcPr>
          <w:p>
            <w:r>
              <w:rPr>
                <w:rFonts w:ascii="Calibri" w:cs="Calibri" w:eastAsia="Calibri" w:hAnsi="Calibri"/>
                <w:b/>
                <w:bCs/>
                <w:color w:val="ffffff"/>
                <w:sz w:val="18"/>
                <w:szCs w:val="18"/>
              </w:rPr>
              <w:t xml:space="preserve">REQUISITO NORMATIVO</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Quirófano</w:t>
            </w:r>
          </w:p>
        </w:tc>
        <w:tc>
          <w:tcPr>
            <w:tcW w:type="dxa" w:w="4200"/>
            <w:vAlign w:val="center"/>
          </w:tcPr>
          <w:p>
            <w:r>
              <w:rPr>
                <w:rFonts w:ascii="Calibri" w:cs="Calibri" w:eastAsia="Calibri" w:hAnsi="Calibri"/>
                <w:b w:val="false"/>
                <w:bCs w:val="false"/>
                <w:color w:val="2d3748"/>
                <w:sz w:val="18"/>
                <w:szCs w:val="18"/>
              </w:rPr>
              <w:t xml:space="preserve">Circulación exclusiva e independiente</w:t>
            </w:r>
          </w:p>
        </w:tc>
        <w:tc>
          <w:tcPr>
            <w:tcW w:type="dxa" w:w="4400"/>
            <w:vAlign w:val="center"/>
          </w:tcPr>
          <w:p>
            <w:r>
              <w:rPr>
                <w:rFonts w:ascii="Calibri" w:cs="Calibri" w:eastAsia="Calibri" w:hAnsi="Calibri"/>
                <w:b w:val="false"/>
                <w:bCs w:val="false"/>
                <w:color w:val="2d3748"/>
                <w:sz w:val="18"/>
                <w:szCs w:val="18"/>
              </w:rPr>
              <w:t xml:space="preserve">Art. 12° inc. a) Anexo I</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Quirófano</w:t>
            </w:r>
          </w:p>
        </w:tc>
        <w:tc>
          <w:tcPr>
            <w:tcW w:type="dxa" w:w="4200"/>
            <w:vAlign w:val="center"/>
          </w:tcPr>
          <w:p>
            <w:r>
              <w:rPr>
                <w:rFonts w:ascii="Calibri" w:cs="Calibri" w:eastAsia="Calibri" w:hAnsi="Calibri"/>
                <w:b w:val="false"/>
                <w:bCs w:val="false"/>
                <w:color w:val="2d3748"/>
                <w:sz w:val="18"/>
                <w:szCs w:val="18"/>
              </w:rPr>
              <w:t xml:space="preserve">Lavabos para cirujanos (acción codo/pie/sensor)</w:t>
            </w:r>
          </w:p>
        </w:tc>
        <w:tc>
          <w:tcPr>
            <w:tcW w:type="dxa" w:w="4400"/>
            <w:vAlign w:val="center"/>
          </w:tcPr>
          <w:p>
            <w:r>
              <w:rPr>
                <w:rFonts w:ascii="Calibri" w:cs="Calibri" w:eastAsia="Calibri" w:hAnsi="Calibri"/>
                <w:b w:val="false"/>
                <w:bCs w:val="false"/>
                <w:color w:val="2d3748"/>
                <w:sz w:val="18"/>
                <w:szCs w:val="18"/>
              </w:rPr>
              <w:t xml:space="preserve">Art. 12° inc. d) Anexo I</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Quirófano</w:t>
            </w:r>
          </w:p>
        </w:tc>
        <w:tc>
          <w:tcPr>
            <w:tcW w:type="dxa" w:w="4200"/>
            <w:vAlign w:val="center"/>
          </w:tcPr>
          <w:p>
            <w:r>
              <w:rPr>
                <w:rFonts w:ascii="Calibri" w:cs="Calibri" w:eastAsia="Calibri" w:hAnsi="Calibri"/>
                <w:b w:val="false"/>
                <w:bCs w:val="false"/>
                <w:color w:val="2d3748"/>
                <w:sz w:val="18"/>
                <w:szCs w:val="18"/>
              </w:rPr>
              <w:t xml:space="preserve">Vestuarios con filtro previo</w:t>
            </w:r>
          </w:p>
        </w:tc>
        <w:tc>
          <w:tcPr>
            <w:tcW w:type="dxa" w:w="4400"/>
            <w:vAlign w:val="center"/>
          </w:tcPr>
          <w:p>
            <w:r>
              <w:rPr>
                <w:rFonts w:ascii="Calibri" w:cs="Calibri" w:eastAsia="Calibri" w:hAnsi="Calibri"/>
                <w:b w:val="false"/>
                <w:bCs w:val="false"/>
                <w:color w:val="2d3748"/>
                <w:sz w:val="18"/>
                <w:szCs w:val="18"/>
              </w:rPr>
              <w:t xml:space="preserve">Art. 12° inc. d) Anexo I</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Quirófano</w:t>
            </w:r>
          </w:p>
        </w:tc>
        <w:tc>
          <w:tcPr>
            <w:tcW w:type="dxa" w:w="4200"/>
            <w:vAlign w:val="center"/>
          </w:tcPr>
          <w:p>
            <w:r>
              <w:rPr>
                <w:rFonts w:ascii="Calibri" w:cs="Calibri" w:eastAsia="Calibri" w:hAnsi="Calibri"/>
                <w:b w:val="false"/>
                <w:bCs w:val="false"/>
                <w:color w:val="2d3748"/>
                <w:sz w:val="18"/>
                <w:szCs w:val="18"/>
              </w:rPr>
              <w:t xml:space="preserve">Paredes impermeables hasta 2 m, azulejos s/juntas</w:t>
            </w:r>
          </w:p>
        </w:tc>
        <w:tc>
          <w:tcPr>
            <w:tcW w:type="dxa" w:w="4400"/>
            <w:vAlign w:val="center"/>
          </w:tcPr>
          <w:p>
            <w:r>
              <w:rPr>
                <w:rFonts w:ascii="Calibri" w:cs="Calibri" w:eastAsia="Calibri" w:hAnsi="Calibri"/>
                <w:b w:val="false"/>
                <w:bCs w:val="false"/>
                <w:color w:val="2d3748"/>
                <w:sz w:val="18"/>
                <w:szCs w:val="18"/>
              </w:rPr>
              <w:t xml:space="preserve">Art. 12° inc. b.2 Anexo I</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Quirófano</w:t>
            </w:r>
          </w:p>
        </w:tc>
        <w:tc>
          <w:tcPr>
            <w:tcW w:type="dxa" w:w="4200"/>
            <w:vAlign w:val="center"/>
          </w:tcPr>
          <w:p>
            <w:r>
              <w:rPr>
                <w:rFonts w:ascii="Calibri" w:cs="Calibri" w:eastAsia="Calibri" w:hAnsi="Calibri"/>
                <w:b w:val="false"/>
                <w:bCs w:val="false"/>
                <w:color w:val="2d3748"/>
                <w:sz w:val="18"/>
                <w:szCs w:val="18"/>
              </w:rPr>
              <w:t xml:space="preserve">Pisos lavables, lisos, estancos, zócalos sanitarios</w:t>
            </w:r>
          </w:p>
        </w:tc>
        <w:tc>
          <w:tcPr>
            <w:tcW w:type="dxa" w:w="4400"/>
            <w:vAlign w:val="center"/>
          </w:tcPr>
          <w:p>
            <w:r>
              <w:rPr>
                <w:rFonts w:ascii="Calibri" w:cs="Calibri" w:eastAsia="Calibri" w:hAnsi="Calibri"/>
                <w:b w:val="false"/>
                <w:bCs w:val="false"/>
                <w:color w:val="2d3748"/>
                <w:sz w:val="18"/>
                <w:szCs w:val="18"/>
              </w:rPr>
              <w:t xml:space="preserve">Art. 12° inc. b.3 Anexo I</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Quirófano</w:t>
            </w:r>
          </w:p>
        </w:tc>
        <w:tc>
          <w:tcPr>
            <w:tcW w:type="dxa" w:w="4200"/>
            <w:vAlign w:val="center"/>
          </w:tcPr>
          <w:p>
            <w:r>
              <w:rPr>
                <w:rFonts w:ascii="Calibri" w:cs="Calibri" w:eastAsia="Calibri" w:hAnsi="Calibri"/>
                <w:b w:val="false"/>
                <w:bCs w:val="false"/>
                <w:color w:val="2d3748"/>
                <w:sz w:val="18"/>
                <w:szCs w:val="18"/>
              </w:rPr>
              <w:t xml:space="preserve">Cielorrasos secos, lisos, altura mín. 3 metros</w:t>
            </w:r>
          </w:p>
        </w:tc>
        <w:tc>
          <w:tcPr>
            <w:tcW w:type="dxa" w:w="4400"/>
            <w:vAlign w:val="center"/>
          </w:tcPr>
          <w:p>
            <w:r>
              <w:rPr>
                <w:rFonts w:ascii="Calibri" w:cs="Calibri" w:eastAsia="Calibri" w:hAnsi="Calibri"/>
                <w:b w:val="false"/>
                <w:bCs w:val="false"/>
                <w:color w:val="2d3748"/>
                <w:sz w:val="18"/>
                <w:szCs w:val="18"/>
              </w:rPr>
              <w:t xml:space="preserve">Art. 12° inc. b.4 Anexo I</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Quirófano</w:t>
            </w:r>
          </w:p>
        </w:tc>
        <w:tc>
          <w:tcPr>
            <w:tcW w:type="dxa" w:w="4200"/>
            <w:vAlign w:val="center"/>
          </w:tcPr>
          <w:p>
            <w:r>
              <w:rPr>
                <w:rFonts w:ascii="Calibri" w:cs="Calibri" w:eastAsia="Calibri" w:hAnsi="Calibri"/>
                <w:b w:val="false"/>
                <w:bCs w:val="false"/>
                <w:color w:val="2d3748"/>
                <w:sz w:val="18"/>
                <w:szCs w:val="18"/>
              </w:rPr>
              <w:t xml:space="preserve">Protección electromagnética con descarga a tierra</w:t>
            </w:r>
          </w:p>
        </w:tc>
        <w:tc>
          <w:tcPr>
            <w:tcW w:type="dxa" w:w="4400"/>
            <w:vAlign w:val="center"/>
          </w:tcPr>
          <w:p>
            <w:r>
              <w:rPr>
                <w:rFonts w:ascii="Calibri" w:cs="Calibri" w:eastAsia="Calibri" w:hAnsi="Calibri"/>
                <w:b w:val="false"/>
                <w:bCs w:val="false"/>
                <w:color w:val="2d3748"/>
                <w:sz w:val="18"/>
                <w:szCs w:val="18"/>
              </w:rPr>
              <w:t xml:space="preserve">Art. 12° inc. b.5 Anexo I</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Quirófano</w:t>
            </w:r>
          </w:p>
        </w:tc>
        <w:tc>
          <w:tcPr>
            <w:tcW w:type="dxa" w:w="4200"/>
            <w:vAlign w:val="center"/>
          </w:tcPr>
          <w:p>
            <w:r>
              <w:rPr>
                <w:rFonts w:ascii="Calibri" w:cs="Calibri" w:eastAsia="Calibri" w:hAnsi="Calibri"/>
                <w:b w:val="false"/>
                <w:bCs w:val="false"/>
                <w:color w:val="2d3748"/>
                <w:sz w:val="18"/>
                <w:szCs w:val="18"/>
              </w:rPr>
              <w:t xml:space="preserve">Iluminación: 500 lux general, 10.000 lux en camilla</w:t>
            </w:r>
          </w:p>
        </w:tc>
        <w:tc>
          <w:tcPr>
            <w:tcW w:type="dxa" w:w="4400"/>
            <w:vAlign w:val="center"/>
          </w:tcPr>
          <w:p>
            <w:r>
              <w:rPr>
                <w:rFonts w:ascii="Calibri" w:cs="Calibri" w:eastAsia="Calibri" w:hAnsi="Calibri"/>
                <w:b w:val="false"/>
                <w:bCs w:val="false"/>
                <w:color w:val="2d3748"/>
                <w:sz w:val="18"/>
                <w:szCs w:val="18"/>
              </w:rPr>
              <w:t xml:space="preserve">Art. 12° inc. b.5 Anexo I</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Quirófano</w:t>
            </w:r>
          </w:p>
        </w:tc>
        <w:tc>
          <w:tcPr>
            <w:tcW w:type="dxa" w:w="4200"/>
            <w:vAlign w:val="center"/>
          </w:tcPr>
          <w:p>
            <w:r>
              <w:rPr>
                <w:rFonts w:ascii="Calibri" w:cs="Calibri" w:eastAsia="Calibri" w:hAnsi="Calibri"/>
                <w:b w:val="false"/>
                <w:bCs w:val="false"/>
                <w:color w:val="2d3748"/>
                <w:sz w:val="18"/>
                <w:szCs w:val="18"/>
              </w:rPr>
              <w:t xml:space="preserve">Climatización frío-calor con filtros HEPA</w:t>
            </w:r>
          </w:p>
        </w:tc>
        <w:tc>
          <w:tcPr>
            <w:tcW w:type="dxa" w:w="4400"/>
            <w:vAlign w:val="center"/>
          </w:tcPr>
          <w:p>
            <w:r>
              <w:rPr>
                <w:rFonts w:ascii="Calibri" w:cs="Calibri" w:eastAsia="Calibri" w:hAnsi="Calibri"/>
                <w:b w:val="false"/>
                <w:bCs w:val="false"/>
                <w:color w:val="2d3748"/>
                <w:sz w:val="18"/>
                <w:szCs w:val="18"/>
              </w:rPr>
              <w:t xml:space="preserve">Art. 12° inc. b.6 Anexo I</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Quirófano</w:t>
            </w:r>
          </w:p>
        </w:tc>
        <w:tc>
          <w:tcPr>
            <w:tcW w:type="dxa" w:w="4200"/>
            <w:vAlign w:val="center"/>
          </w:tcPr>
          <w:p>
            <w:r>
              <w:rPr>
                <w:rFonts w:ascii="Calibri" w:cs="Calibri" w:eastAsia="Calibri" w:hAnsi="Calibri"/>
                <w:b w:val="false"/>
                <w:bCs w:val="false"/>
                <w:color w:val="2d3748"/>
                <w:sz w:val="18"/>
                <w:szCs w:val="18"/>
              </w:rPr>
              <w:t xml:space="preserve">Control de diferencia de presión</w:t>
            </w:r>
          </w:p>
        </w:tc>
        <w:tc>
          <w:tcPr>
            <w:tcW w:type="dxa" w:w="4400"/>
            <w:vAlign w:val="center"/>
          </w:tcPr>
          <w:p>
            <w:r>
              <w:rPr>
                <w:rFonts w:ascii="Calibri" w:cs="Calibri" w:eastAsia="Calibri" w:hAnsi="Calibri"/>
                <w:b w:val="false"/>
                <w:bCs w:val="false"/>
                <w:color w:val="2d3748"/>
                <w:sz w:val="18"/>
                <w:szCs w:val="18"/>
              </w:rPr>
              <w:t xml:space="preserve">Art. 12° inc. b.6 Anexo I</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Quirófano</w:t>
            </w:r>
          </w:p>
        </w:tc>
        <w:tc>
          <w:tcPr>
            <w:tcW w:type="dxa" w:w="4200"/>
            <w:vAlign w:val="center"/>
          </w:tcPr>
          <w:p>
            <w:r>
              <w:rPr>
                <w:rFonts w:ascii="Calibri" w:cs="Calibri" w:eastAsia="Calibri" w:hAnsi="Calibri"/>
                <w:b w:val="false"/>
                <w:bCs w:val="false"/>
                <w:color w:val="2d3748"/>
                <w:sz w:val="18"/>
                <w:szCs w:val="18"/>
              </w:rPr>
              <w:t xml:space="preserve">Ventanas de paño fijo (si existen)</w:t>
            </w:r>
          </w:p>
        </w:tc>
        <w:tc>
          <w:tcPr>
            <w:tcW w:type="dxa" w:w="4400"/>
            <w:vAlign w:val="center"/>
          </w:tcPr>
          <w:p>
            <w:r>
              <w:rPr>
                <w:rFonts w:ascii="Calibri" w:cs="Calibri" w:eastAsia="Calibri" w:hAnsi="Calibri"/>
                <w:b w:val="false"/>
                <w:bCs w:val="false"/>
                <w:color w:val="2d3748"/>
                <w:sz w:val="18"/>
                <w:szCs w:val="18"/>
              </w:rPr>
              <w:t xml:space="preserve">Art. 12° inc. f) Anexo I</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Quirófano</w:t>
            </w:r>
          </w:p>
        </w:tc>
        <w:tc>
          <w:tcPr>
            <w:tcW w:type="dxa" w:w="4200"/>
            <w:vAlign w:val="center"/>
          </w:tcPr>
          <w:p>
            <w:r>
              <w:rPr>
                <w:rFonts w:ascii="Calibri" w:cs="Calibri" w:eastAsia="Calibri" w:hAnsi="Calibri"/>
                <w:b w:val="false"/>
                <w:bCs w:val="false"/>
                <w:color w:val="2d3748"/>
                <w:sz w:val="18"/>
                <w:szCs w:val="18"/>
              </w:rPr>
              <w:t xml:space="preserve">Sector sucio: office lavado instrumental, mesada, pileta</w:t>
            </w:r>
          </w:p>
        </w:tc>
        <w:tc>
          <w:tcPr>
            <w:tcW w:type="dxa" w:w="4400"/>
            <w:vAlign w:val="center"/>
          </w:tcPr>
          <w:p>
            <w:r>
              <w:rPr>
                <w:rFonts w:ascii="Calibri" w:cs="Calibri" w:eastAsia="Calibri" w:hAnsi="Calibri"/>
                <w:b w:val="false"/>
                <w:bCs w:val="false"/>
                <w:color w:val="2d3748"/>
                <w:sz w:val="18"/>
                <w:szCs w:val="18"/>
              </w:rPr>
              <w:t xml:space="preserve">Art. 12° inc. e.1) Anexo I</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Quirófano</w:t>
            </w:r>
          </w:p>
        </w:tc>
        <w:tc>
          <w:tcPr>
            <w:tcW w:type="dxa" w:w="4200"/>
            <w:vAlign w:val="center"/>
          </w:tcPr>
          <w:p>
            <w:r>
              <w:rPr>
                <w:rFonts w:ascii="Calibri" w:cs="Calibri" w:eastAsia="Calibri" w:hAnsi="Calibri"/>
                <w:b w:val="false"/>
                <w:bCs w:val="false"/>
                <w:color w:val="2d3748"/>
                <w:sz w:val="18"/>
                <w:szCs w:val="18"/>
              </w:rPr>
              <w:t xml:space="preserve">Sector limpio: depósito material estéril</w:t>
            </w:r>
          </w:p>
        </w:tc>
        <w:tc>
          <w:tcPr>
            <w:tcW w:type="dxa" w:w="4400"/>
            <w:vAlign w:val="center"/>
          </w:tcPr>
          <w:p>
            <w:r>
              <w:rPr>
                <w:rFonts w:ascii="Calibri" w:cs="Calibri" w:eastAsia="Calibri" w:hAnsi="Calibri"/>
                <w:b w:val="false"/>
                <w:bCs w:val="false"/>
                <w:color w:val="2d3748"/>
                <w:sz w:val="18"/>
                <w:szCs w:val="18"/>
              </w:rPr>
              <w:t xml:space="preserve">Art. 12° inc. e.2) Anexo I</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Quirófano</w:t>
            </w:r>
          </w:p>
        </w:tc>
        <w:tc>
          <w:tcPr>
            <w:tcW w:type="dxa" w:w="4200"/>
            <w:vAlign w:val="center"/>
          </w:tcPr>
          <w:p>
            <w:r>
              <w:rPr>
                <w:rFonts w:ascii="Calibri" w:cs="Calibri" w:eastAsia="Calibri" w:hAnsi="Calibri"/>
                <w:b w:val="false"/>
                <w:bCs w:val="false"/>
                <w:color w:val="2d3748"/>
                <w:sz w:val="18"/>
                <w:szCs w:val="18"/>
              </w:rPr>
              <w:t xml:space="preserve">Sector ingreso y transferencia de pacientes</w:t>
            </w:r>
          </w:p>
        </w:tc>
        <w:tc>
          <w:tcPr>
            <w:tcW w:type="dxa" w:w="4400"/>
            <w:vAlign w:val="center"/>
          </w:tcPr>
          <w:p>
            <w:r>
              <w:rPr>
                <w:rFonts w:ascii="Calibri" w:cs="Calibri" w:eastAsia="Calibri" w:hAnsi="Calibri"/>
                <w:b w:val="false"/>
                <w:bCs w:val="false"/>
                <w:color w:val="2d3748"/>
                <w:sz w:val="18"/>
                <w:szCs w:val="18"/>
              </w:rPr>
              <w:t xml:space="preserve">Art. 12° inc. c) Anexo I</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Equipamiento</w:t>
            </w:r>
          </w:p>
        </w:tc>
        <w:tc>
          <w:tcPr>
            <w:tcW w:type="dxa" w:w="4200"/>
            <w:vAlign w:val="center"/>
          </w:tcPr>
          <w:p>
            <w:r>
              <w:rPr>
                <w:rFonts w:ascii="Calibri" w:cs="Calibri" w:eastAsia="Calibri" w:hAnsi="Calibri"/>
                <w:b w:val="false"/>
                <w:bCs w:val="false"/>
                <w:color w:val="2d3748"/>
                <w:sz w:val="18"/>
                <w:szCs w:val="18"/>
              </w:rPr>
              <w:t xml:space="preserve">Instrumental conforme especialidad oftalmológica</w:t>
            </w:r>
          </w:p>
        </w:tc>
        <w:tc>
          <w:tcPr>
            <w:tcW w:type="dxa" w:w="4400"/>
            <w:vAlign w:val="center"/>
          </w:tcPr>
          <w:p>
            <w:r>
              <w:rPr>
                <w:rFonts w:ascii="Calibri" w:cs="Calibri" w:eastAsia="Calibri" w:hAnsi="Calibri"/>
                <w:b w:val="false"/>
                <w:bCs w:val="false"/>
                <w:color w:val="2d3748"/>
                <w:sz w:val="18"/>
                <w:szCs w:val="18"/>
              </w:rPr>
              <w:t xml:space="preserve">Art. 24° inc. a) Anexo I</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Equipamiento</w:t>
            </w:r>
          </w:p>
        </w:tc>
        <w:tc>
          <w:tcPr>
            <w:tcW w:type="dxa" w:w="4200"/>
            <w:vAlign w:val="center"/>
          </w:tcPr>
          <w:p>
            <w:r>
              <w:rPr>
                <w:rFonts w:ascii="Calibri" w:cs="Calibri" w:eastAsia="Calibri" w:hAnsi="Calibri"/>
                <w:b w:val="false"/>
                <w:bCs w:val="false"/>
                <w:color w:val="2d3748"/>
                <w:sz w:val="18"/>
                <w:szCs w:val="18"/>
              </w:rPr>
              <w:t xml:space="preserve">Electrobisturí</w:t>
            </w:r>
          </w:p>
        </w:tc>
        <w:tc>
          <w:tcPr>
            <w:tcW w:type="dxa" w:w="4400"/>
            <w:vAlign w:val="center"/>
          </w:tcPr>
          <w:p>
            <w:r>
              <w:rPr>
                <w:rFonts w:ascii="Calibri" w:cs="Calibri" w:eastAsia="Calibri" w:hAnsi="Calibri"/>
                <w:b w:val="false"/>
                <w:bCs w:val="false"/>
                <w:color w:val="2d3748"/>
                <w:sz w:val="18"/>
                <w:szCs w:val="18"/>
              </w:rPr>
              <w:t xml:space="preserve">Art. 24° inc. b) Anexo I</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Equipamiento</w:t>
            </w:r>
          </w:p>
        </w:tc>
        <w:tc>
          <w:tcPr>
            <w:tcW w:type="dxa" w:w="4200"/>
            <w:vAlign w:val="center"/>
          </w:tcPr>
          <w:p>
            <w:r>
              <w:rPr>
                <w:rFonts w:ascii="Calibri" w:cs="Calibri" w:eastAsia="Calibri" w:hAnsi="Calibri"/>
                <w:b w:val="false"/>
                <w:bCs w:val="false"/>
                <w:color w:val="2d3748"/>
                <w:sz w:val="18"/>
                <w:szCs w:val="18"/>
              </w:rPr>
              <w:t xml:space="preserve">Respirador automático</w:t>
            </w:r>
          </w:p>
        </w:tc>
        <w:tc>
          <w:tcPr>
            <w:tcW w:type="dxa" w:w="4400"/>
            <w:vAlign w:val="center"/>
          </w:tcPr>
          <w:p>
            <w:r>
              <w:rPr>
                <w:rFonts w:ascii="Calibri" w:cs="Calibri" w:eastAsia="Calibri" w:hAnsi="Calibri"/>
                <w:b w:val="false"/>
                <w:bCs w:val="false"/>
                <w:color w:val="2d3748"/>
                <w:sz w:val="18"/>
                <w:szCs w:val="18"/>
              </w:rPr>
              <w:t xml:space="preserve">Art. 24° inc. c) Anexo I</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Equipamiento</w:t>
            </w:r>
          </w:p>
        </w:tc>
        <w:tc>
          <w:tcPr>
            <w:tcW w:type="dxa" w:w="4200"/>
            <w:vAlign w:val="center"/>
          </w:tcPr>
          <w:p>
            <w:r>
              <w:rPr>
                <w:rFonts w:ascii="Calibri" w:cs="Calibri" w:eastAsia="Calibri" w:hAnsi="Calibri"/>
                <w:b w:val="false"/>
                <w:bCs w:val="false"/>
                <w:color w:val="2d3748"/>
                <w:sz w:val="18"/>
                <w:szCs w:val="18"/>
              </w:rPr>
              <w:t xml:space="preserve">Aspirador automático</w:t>
            </w:r>
          </w:p>
        </w:tc>
        <w:tc>
          <w:tcPr>
            <w:tcW w:type="dxa" w:w="4400"/>
            <w:vAlign w:val="center"/>
          </w:tcPr>
          <w:p>
            <w:r>
              <w:rPr>
                <w:rFonts w:ascii="Calibri" w:cs="Calibri" w:eastAsia="Calibri" w:hAnsi="Calibri"/>
                <w:b w:val="false"/>
                <w:bCs w:val="false"/>
                <w:color w:val="2d3748"/>
                <w:sz w:val="18"/>
                <w:szCs w:val="18"/>
              </w:rPr>
              <w:t xml:space="preserve">Art. 24° inc. d) Anexo I</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Equipamiento</w:t>
            </w:r>
          </w:p>
        </w:tc>
        <w:tc>
          <w:tcPr>
            <w:tcW w:type="dxa" w:w="4200"/>
            <w:vAlign w:val="center"/>
          </w:tcPr>
          <w:p>
            <w:r>
              <w:rPr>
                <w:rFonts w:ascii="Calibri" w:cs="Calibri" w:eastAsia="Calibri" w:hAnsi="Calibri"/>
                <w:b w:val="false"/>
                <w:bCs w:val="false"/>
                <w:color w:val="2d3748"/>
                <w:sz w:val="18"/>
                <w:szCs w:val="18"/>
              </w:rPr>
              <w:t xml:space="preserve">Laringoscopio y tubos endotraqueales</w:t>
            </w:r>
          </w:p>
        </w:tc>
        <w:tc>
          <w:tcPr>
            <w:tcW w:type="dxa" w:w="4400"/>
            <w:vAlign w:val="center"/>
          </w:tcPr>
          <w:p>
            <w:r>
              <w:rPr>
                <w:rFonts w:ascii="Calibri" w:cs="Calibri" w:eastAsia="Calibri" w:hAnsi="Calibri"/>
                <w:b w:val="false"/>
                <w:bCs w:val="false"/>
                <w:color w:val="2d3748"/>
                <w:sz w:val="18"/>
                <w:szCs w:val="18"/>
              </w:rPr>
              <w:t xml:space="preserve">Art. 24° inc. e) Anexo I</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Equipamiento</w:t>
            </w:r>
          </w:p>
        </w:tc>
        <w:tc>
          <w:tcPr>
            <w:tcW w:type="dxa" w:w="4200"/>
            <w:vAlign w:val="center"/>
          </w:tcPr>
          <w:p>
            <w:r>
              <w:rPr>
                <w:rFonts w:ascii="Calibri" w:cs="Calibri" w:eastAsia="Calibri" w:hAnsi="Calibri"/>
                <w:b w:val="false"/>
                <w:bCs w:val="false"/>
                <w:color w:val="2d3748"/>
                <w:sz w:val="18"/>
                <w:szCs w:val="18"/>
              </w:rPr>
              <w:t xml:space="preserve">Botiquín anestesia y reanimación cardiovascular</w:t>
            </w:r>
          </w:p>
        </w:tc>
        <w:tc>
          <w:tcPr>
            <w:tcW w:type="dxa" w:w="4400"/>
            <w:vAlign w:val="center"/>
          </w:tcPr>
          <w:p>
            <w:r>
              <w:rPr>
                <w:rFonts w:ascii="Calibri" w:cs="Calibri" w:eastAsia="Calibri" w:hAnsi="Calibri"/>
                <w:b w:val="false"/>
                <w:bCs w:val="false"/>
                <w:color w:val="2d3748"/>
                <w:sz w:val="18"/>
                <w:szCs w:val="18"/>
              </w:rPr>
              <w:t xml:space="preserve">Art. 24° inc. f) Anexo I</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Equipamiento</w:t>
            </w:r>
          </w:p>
        </w:tc>
        <w:tc>
          <w:tcPr>
            <w:tcW w:type="dxa" w:w="4200"/>
            <w:vAlign w:val="center"/>
          </w:tcPr>
          <w:p>
            <w:r>
              <w:rPr>
                <w:rFonts w:ascii="Calibri" w:cs="Calibri" w:eastAsia="Calibri" w:hAnsi="Calibri"/>
                <w:b w:val="false"/>
                <w:bCs w:val="false"/>
                <w:color w:val="2d3748"/>
                <w:sz w:val="18"/>
                <w:szCs w:val="18"/>
              </w:rPr>
              <w:t xml:space="preserve">Caja de traqueotomía</w:t>
            </w:r>
          </w:p>
        </w:tc>
        <w:tc>
          <w:tcPr>
            <w:tcW w:type="dxa" w:w="4400"/>
            <w:vAlign w:val="center"/>
          </w:tcPr>
          <w:p>
            <w:r>
              <w:rPr>
                <w:rFonts w:ascii="Calibri" w:cs="Calibri" w:eastAsia="Calibri" w:hAnsi="Calibri"/>
                <w:b w:val="false"/>
                <w:bCs w:val="false"/>
                <w:color w:val="2d3748"/>
                <w:sz w:val="18"/>
                <w:szCs w:val="18"/>
              </w:rPr>
              <w:t xml:space="preserve">Art. 24° inc. g) Anexo I</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Equipamiento</w:t>
            </w:r>
          </w:p>
        </w:tc>
        <w:tc>
          <w:tcPr>
            <w:tcW w:type="dxa" w:w="4200"/>
            <w:vAlign w:val="center"/>
          </w:tcPr>
          <w:p>
            <w:r>
              <w:rPr>
                <w:rFonts w:ascii="Calibri" w:cs="Calibri" w:eastAsia="Calibri" w:hAnsi="Calibri"/>
                <w:b w:val="false"/>
                <w:bCs w:val="false"/>
                <w:color w:val="2d3748"/>
                <w:sz w:val="18"/>
                <w:szCs w:val="18"/>
              </w:rPr>
              <w:t xml:space="preserve">Mesa tipo Mayo o similar</w:t>
            </w:r>
          </w:p>
        </w:tc>
        <w:tc>
          <w:tcPr>
            <w:tcW w:type="dxa" w:w="4400"/>
            <w:vAlign w:val="center"/>
          </w:tcPr>
          <w:p>
            <w:r>
              <w:rPr>
                <w:rFonts w:ascii="Calibri" w:cs="Calibri" w:eastAsia="Calibri" w:hAnsi="Calibri"/>
                <w:b w:val="false"/>
                <w:bCs w:val="false"/>
                <w:color w:val="2d3748"/>
                <w:sz w:val="18"/>
                <w:szCs w:val="18"/>
              </w:rPr>
              <w:t xml:space="preserve">Art. 24° inc. h) Anexo I</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Equipamiento</w:t>
            </w:r>
          </w:p>
        </w:tc>
        <w:tc>
          <w:tcPr>
            <w:tcW w:type="dxa" w:w="4200"/>
            <w:vAlign w:val="center"/>
          </w:tcPr>
          <w:p>
            <w:r>
              <w:rPr>
                <w:rFonts w:ascii="Calibri" w:cs="Calibri" w:eastAsia="Calibri" w:hAnsi="Calibri"/>
                <w:b w:val="false"/>
                <w:bCs w:val="false"/>
                <w:color w:val="2d3748"/>
                <w:sz w:val="18"/>
                <w:szCs w:val="18"/>
              </w:rPr>
              <w:t xml:space="preserve">Grupo electrógeno automático (iluminación)</w:t>
            </w:r>
          </w:p>
        </w:tc>
        <w:tc>
          <w:tcPr>
            <w:tcW w:type="dxa" w:w="4400"/>
            <w:vAlign w:val="center"/>
          </w:tcPr>
          <w:p>
            <w:r>
              <w:rPr>
                <w:rFonts w:ascii="Calibri" w:cs="Calibri" w:eastAsia="Calibri" w:hAnsi="Calibri"/>
                <w:b w:val="false"/>
                <w:bCs w:val="false"/>
                <w:color w:val="2d3748"/>
                <w:sz w:val="18"/>
                <w:szCs w:val="18"/>
              </w:rPr>
              <w:t xml:space="preserve">Art. 24° inc. i) Anexo I</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Equipamiento</w:t>
            </w:r>
          </w:p>
        </w:tc>
        <w:tc>
          <w:tcPr>
            <w:tcW w:type="dxa" w:w="4200"/>
            <w:vAlign w:val="center"/>
          </w:tcPr>
          <w:p>
            <w:r>
              <w:rPr>
                <w:rFonts w:ascii="Calibri" w:cs="Calibri" w:eastAsia="Calibri" w:hAnsi="Calibri"/>
                <w:b w:val="false"/>
                <w:bCs w:val="false"/>
                <w:color w:val="2d3748"/>
                <w:sz w:val="18"/>
                <w:szCs w:val="18"/>
              </w:rPr>
              <w:t xml:space="preserve">Tubo de oxígeno</w:t>
            </w:r>
          </w:p>
        </w:tc>
        <w:tc>
          <w:tcPr>
            <w:tcW w:type="dxa" w:w="4400"/>
            <w:vAlign w:val="center"/>
          </w:tcPr>
          <w:p>
            <w:r>
              <w:rPr>
                <w:rFonts w:ascii="Calibri" w:cs="Calibri" w:eastAsia="Calibri" w:hAnsi="Calibri"/>
                <w:b w:val="false"/>
                <w:bCs w:val="false"/>
                <w:color w:val="2d3748"/>
                <w:sz w:val="18"/>
                <w:szCs w:val="18"/>
              </w:rPr>
              <w:t xml:space="preserve">Art. 24° inc. j) Anexo I</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Equipamiento</w:t>
            </w:r>
          </w:p>
        </w:tc>
        <w:tc>
          <w:tcPr>
            <w:tcW w:type="dxa" w:w="4200"/>
            <w:vAlign w:val="center"/>
          </w:tcPr>
          <w:p>
            <w:r>
              <w:rPr>
                <w:rFonts w:ascii="Calibri" w:cs="Calibri" w:eastAsia="Calibri" w:hAnsi="Calibri"/>
                <w:b w:val="false"/>
                <w:bCs w:val="false"/>
                <w:color w:val="2d3748"/>
                <w:sz w:val="18"/>
                <w:szCs w:val="18"/>
              </w:rPr>
              <w:t xml:space="preserve">Monitor multiparamétrico</w:t>
            </w:r>
          </w:p>
        </w:tc>
        <w:tc>
          <w:tcPr>
            <w:tcW w:type="dxa" w:w="4400"/>
            <w:vAlign w:val="center"/>
          </w:tcPr>
          <w:p>
            <w:r>
              <w:rPr>
                <w:rFonts w:ascii="Calibri" w:cs="Calibri" w:eastAsia="Calibri" w:hAnsi="Calibri"/>
                <w:b w:val="false"/>
                <w:bCs w:val="false"/>
                <w:color w:val="2d3748"/>
                <w:sz w:val="18"/>
                <w:szCs w:val="18"/>
              </w:rPr>
              <w:t xml:space="preserve">Art. 24° inc. k) Anexo I</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Equipamiento</w:t>
            </w:r>
          </w:p>
        </w:tc>
        <w:tc>
          <w:tcPr>
            <w:tcW w:type="dxa" w:w="4200"/>
            <w:vAlign w:val="center"/>
          </w:tcPr>
          <w:p>
            <w:r>
              <w:rPr>
                <w:rFonts w:ascii="Calibri" w:cs="Calibri" w:eastAsia="Calibri" w:hAnsi="Calibri"/>
                <w:b w:val="false"/>
                <w:bCs w:val="false"/>
                <w:color w:val="2d3748"/>
                <w:sz w:val="18"/>
                <w:szCs w:val="18"/>
              </w:rPr>
              <w:t xml:space="preserve">Oxímetro de pulso</w:t>
            </w:r>
          </w:p>
        </w:tc>
        <w:tc>
          <w:tcPr>
            <w:tcW w:type="dxa" w:w="4400"/>
            <w:vAlign w:val="center"/>
          </w:tcPr>
          <w:p>
            <w:r>
              <w:rPr>
                <w:rFonts w:ascii="Calibri" w:cs="Calibri" w:eastAsia="Calibri" w:hAnsi="Calibri"/>
                <w:b w:val="false"/>
                <w:bCs w:val="false"/>
                <w:color w:val="2d3748"/>
                <w:sz w:val="18"/>
                <w:szCs w:val="18"/>
              </w:rPr>
              <w:t xml:space="preserve">Art. 24° inc. l) Anexo I</w:t>
            </w:r>
          </w:p>
        </w:tc>
      </w:tr>
    </w:tbl>
    <w:p>
      <w:pPr>
        <w:spacing w:after="60" w:before="60"/>
      </w:pPr>
    </w:p>
    <w:p>
      <w:pPr>
        <w:spacing w:after="150" w:before="300"/>
      </w:pPr>
      <w:r>
        <w:rPr>
          <w:rFonts w:ascii="Calibri" w:cs="Calibri" w:eastAsia="Calibri" w:hAnsi="Calibri"/>
          <w:b/>
          <w:bCs/>
          <w:color w:val="2b6cb0"/>
          <w:sz w:val="24"/>
          <w:szCs w:val="24"/>
        </w:rPr>
        <w:t xml:space="preserve">2.3 Aparatología Láser y Requisitos Específicos</w:t>
      </w:r>
    </w:p>
    <w:p>
      <w:pPr>
        <w:spacing w:after="80" w:before="80"/>
        <w:jc w:val="both"/>
      </w:pPr>
      <w:r>
        <w:rPr>
          <w:rFonts w:ascii="Calibri" w:cs="Calibri" w:eastAsia="Calibri" w:hAnsi="Calibri"/>
          <w:color w:val="2d3748"/>
          <w:sz w:val="21"/>
          <w:szCs w:val="21"/>
        </w:rPr>
        <w:t xml:space="preserve">El equipamiento láser utilizado en oftalmología (Excimer Láser para cirugía refractiva, Láser YAG para capsulotomía, Láser Argón/Diodo para fotocoagulación retinal, Láser Femtosegundo para catarata) requiere cumplimiento de requisitos específicos:</w:t>
      </w:r>
    </w:p>
    <w:p>
      <w:pPr>
        <w:spacing w:after="60" w:before="60"/>
      </w:pP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4400"/>
      </w:tblGrid>
      <w:tr>
        <w:tc>
          <w:tcPr>
            <w:tcW w:type="dxa" w:w="2400"/>
            <w:shd w:fill="1a365d" w:color="auto" w:val="clear"/>
            <w:vAlign w:val="center"/>
          </w:tcPr>
          <w:p>
            <w:r>
              <w:rPr>
                <w:rFonts w:ascii="Calibri" w:cs="Calibri" w:eastAsia="Calibri" w:hAnsi="Calibri"/>
                <w:b/>
                <w:bCs/>
                <w:color w:val="ffffff"/>
                <w:sz w:val="18"/>
                <w:szCs w:val="18"/>
              </w:rPr>
              <w:t xml:space="preserve">CATEGORÍA</w:t>
            </w:r>
          </w:p>
        </w:tc>
        <w:tc>
          <w:tcPr>
            <w:tcW w:type="dxa" w:w="4200"/>
            <w:shd w:fill="1a365d" w:color="auto" w:val="clear"/>
            <w:vAlign w:val="center"/>
          </w:tcPr>
          <w:p>
            <w:r>
              <w:rPr>
                <w:rFonts w:ascii="Calibri" w:cs="Calibri" w:eastAsia="Calibri" w:hAnsi="Calibri"/>
                <w:b/>
                <w:bCs/>
                <w:color w:val="ffffff"/>
                <w:sz w:val="18"/>
                <w:szCs w:val="18"/>
              </w:rPr>
              <w:t xml:space="preserve">ÍTEM</w:t>
            </w:r>
          </w:p>
        </w:tc>
        <w:tc>
          <w:tcPr>
            <w:tcW w:type="dxa" w:w="4400"/>
            <w:shd w:fill="1a365d" w:color="auto" w:val="clear"/>
            <w:vAlign w:val="center"/>
          </w:tcPr>
          <w:p>
            <w:r>
              <w:rPr>
                <w:rFonts w:ascii="Calibri" w:cs="Calibri" w:eastAsia="Calibri" w:hAnsi="Calibri"/>
                <w:b/>
                <w:bCs/>
                <w:color w:val="ffffff"/>
                <w:sz w:val="18"/>
                <w:szCs w:val="18"/>
              </w:rPr>
              <w:t xml:space="preserve">REQUISITO NORMATIVO</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Láser</w:t>
            </w:r>
          </w:p>
        </w:tc>
        <w:tc>
          <w:tcPr>
            <w:tcW w:type="dxa" w:w="4200"/>
            <w:vAlign w:val="center"/>
          </w:tcPr>
          <w:p>
            <w:r>
              <w:rPr>
                <w:rFonts w:ascii="Calibri" w:cs="Calibri" w:eastAsia="Calibri" w:hAnsi="Calibri"/>
                <w:b w:val="false"/>
                <w:bCs w:val="false"/>
                <w:color w:val="2d3748"/>
                <w:sz w:val="18"/>
                <w:szCs w:val="18"/>
              </w:rPr>
              <w:t xml:space="preserve">Registro ANMAT de cada equipo láser</w:t>
            </w:r>
          </w:p>
        </w:tc>
        <w:tc>
          <w:tcPr>
            <w:tcW w:type="dxa" w:w="4400"/>
            <w:vAlign w:val="center"/>
          </w:tcPr>
          <w:p>
            <w:r>
              <w:rPr>
                <w:rFonts w:ascii="Calibri" w:cs="Calibri" w:eastAsia="Calibri" w:hAnsi="Calibri"/>
                <w:b w:val="false"/>
                <w:bCs w:val="false"/>
                <w:color w:val="2d3748"/>
                <w:sz w:val="18"/>
                <w:szCs w:val="18"/>
              </w:rPr>
              <w:t xml:space="preserve">Disposición ANMAT 2318/02 — Producto médico Clase III/IV</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Láser</w:t>
            </w:r>
          </w:p>
        </w:tc>
        <w:tc>
          <w:tcPr>
            <w:tcW w:type="dxa" w:w="4200"/>
            <w:vAlign w:val="center"/>
          </w:tcPr>
          <w:p>
            <w:r>
              <w:rPr>
                <w:rFonts w:ascii="Calibri" w:cs="Calibri" w:eastAsia="Calibri" w:hAnsi="Calibri"/>
                <w:b w:val="false"/>
                <w:bCs w:val="false"/>
                <w:color w:val="2d3748"/>
                <w:sz w:val="18"/>
                <w:szCs w:val="18"/>
              </w:rPr>
              <w:t xml:space="preserve">Manual de operación en español disponible</w:t>
            </w:r>
          </w:p>
        </w:tc>
        <w:tc>
          <w:tcPr>
            <w:tcW w:type="dxa" w:w="4400"/>
            <w:vAlign w:val="center"/>
          </w:tcPr>
          <w:p>
            <w:r>
              <w:rPr>
                <w:rFonts w:ascii="Calibri" w:cs="Calibri" w:eastAsia="Calibri" w:hAnsi="Calibri"/>
                <w:b w:val="false"/>
                <w:bCs w:val="false"/>
                <w:color w:val="2d3748"/>
                <w:sz w:val="18"/>
                <w:szCs w:val="18"/>
              </w:rPr>
              <w:t xml:space="preserve">Res. Ministerio Salud Nación</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Láser</w:t>
            </w:r>
          </w:p>
        </w:tc>
        <w:tc>
          <w:tcPr>
            <w:tcW w:type="dxa" w:w="4200"/>
            <w:vAlign w:val="center"/>
          </w:tcPr>
          <w:p>
            <w:r>
              <w:rPr>
                <w:rFonts w:ascii="Calibri" w:cs="Calibri" w:eastAsia="Calibri" w:hAnsi="Calibri"/>
                <w:b w:val="false"/>
                <w:bCs w:val="false"/>
                <w:color w:val="2d3748"/>
                <w:sz w:val="18"/>
                <w:szCs w:val="18"/>
              </w:rPr>
              <w:t xml:space="preserve">Protocolo de mantenimiento preventivo documentado</w:t>
            </w:r>
          </w:p>
        </w:tc>
        <w:tc>
          <w:tcPr>
            <w:tcW w:type="dxa" w:w="4400"/>
            <w:vAlign w:val="center"/>
          </w:tcPr>
          <w:p>
            <w:r>
              <w:rPr>
                <w:rFonts w:ascii="Calibri" w:cs="Calibri" w:eastAsia="Calibri" w:hAnsi="Calibri"/>
                <w:b w:val="false"/>
                <w:bCs w:val="false"/>
                <w:color w:val="2d3748"/>
                <w:sz w:val="18"/>
                <w:szCs w:val="18"/>
              </w:rPr>
              <w:t xml:space="preserve">Buenas Prácticas — registros semestrales</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Láser</w:t>
            </w:r>
          </w:p>
        </w:tc>
        <w:tc>
          <w:tcPr>
            <w:tcW w:type="dxa" w:w="4200"/>
            <w:vAlign w:val="center"/>
          </w:tcPr>
          <w:p>
            <w:r>
              <w:rPr>
                <w:rFonts w:ascii="Calibri" w:cs="Calibri" w:eastAsia="Calibri" w:hAnsi="Calibri"/>
                <w:b w:val="false"/>
                <w:bCs w:val="false"/>
                <w:color w:val="2d3748"/>
                <w:sz w:val="18"/>
                <w:szCs w:val="18"/>
              </w:rPr>
              <w:t xml:space="preserve">Calibración periódica certificada por service oficial</w:t>
            </w:r>
          </w:p>
        </w:tc>
        <w:tc>
          <w:tcPr>
            <w:tcW w:type="dxa" w:w="4400"/>
            <w:vAlign w:val="center"/>
          </w:tcPr>
          <w:p>
            <w:r>
              <w:rPr>
                <w:rFonts w:ascii="Calibri" w:cs="Calibri" w:eastAsia="Calibri" w:hAnsi="Calibri"/>
                <w:b w:val="false"/>
                <w:bCs w:val="false"/>
                <w:color w:val="2d3748"/>
                <w:sz w:val="18"/>
                <w:szCs w:val="18"/>
              </w:rPr>
              <w:t xml:space="preserve">Requisito RUGEPRESA en inspección</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Láser</w:t>
            </w:r>
          </w:p>
        </w:tc>
        <w:tc>
          <w:tcPr>
            <w:tcW w:type="dxa" w:w="4200"/>
            <w:vAlign w:val="center"/>
          </w:tcPr>
          <w:p>
            <w:r>
              <w:rPr>
                <w:rFonts w:ascii="Calibri" w:cs="Calibri" w:eastAsia="Calibri" w:hAnsi="Calibri"/>
                <w:b w:val="false"/>
                <w:bCs w:val="false"/>
                <w:color w:val="2d3748"/>
                <w:sz w:val="18"/>
                <w:szCs w:val="18"/>
              </w:rPr>
              <w:t xml:space="preserve">Señalización de riesgo láser en accesos</w:t>
            </w:r>
          </w:p>
        </w:tc>
        <w:tc>
          <w:tcPr>
            <w:tcW w:type="dxa" w:w="4400"/>
            <w:vAlign w:val="center"/>
          </w:tcPr>
          <w:p>
            <w:r>
              <w:rPr>
                <w:rFonts w:ascii="Calibri" w:cs="Calibri" w:eastAsia="Calibri" w:hAnsi="Calibri"/>
                <w:b w:val="false"/>
                <w:bCs w:val="false"/>
                <w:color w:val="2d3748"/>
                <w:sz w:val="18"/>
                <w:szCs w:val="18"/>
              </w:rPr>
              <w:t xml:space="preserve">Norma IRAM / IEC 60825-1</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Láser</w:t>
            </w:r>
          </w:p>
        </w:tc>
        <w:tc>
          <w:tcPr>
            <w:tcW w:type="dxa" w:w="4200"/>
            <w:vAlign w:val="center"/>
          </w:tcPr>
          <w:p>
            <w:r>
              <w:rPr>
                <w:rFonts w:ascii="Calibri" w:cs="Calibri" w:eastAsia="Calibri" w:hAnsi="Calibri"/>
                <w:b w:val="false"/>
                <w:bCs w:val="false"/>
                <w:color w:val="2d3748"/>
                <w:sz w:val="18"/>
                <w:szCs w:val="18"/>
              </w:rPr>
              <w:t xml:space="preserve">Protección ocular específica para cada longitud de onda</w:t>
            </w:r>
          </w:p>
        </w:tc>
        <w:tc>
          <w:tcPr>
            <w:tcW w:type="dxa" w:w="4400"/>
            <w:vAlign w:val="center"/>
          </w:tcPr>
          <w:p>
            <w:r>
              <w:rPr>
                <w:rFonts w:ascii="Calibri" w:cs="Calibri" w:eastAsia="Calibri" w:hAnsi="Calibri"/>
                <w:b w:val="false"/>
                <w:bCs w:val="false"/>
                <w:color w:val="2d3748"/>
                <w:sz w:val="18"/>
                <w:szCs w:val="18"/>
              </w:rPr>
              <w:t xml:space="preserve">Seguridad e Higiene — personal y paciente</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Láser</w:t>
            </w:r>
          </w:p>
        </w:tc>
        <w:tc>
          <w:tcPr>
            <w:tcW w:type="dxa" w:w="4200"/>
            <w:vAlign w:val="center"/>
          </w:tcPr>
          <w:p>
            <w:r>
              <w:rPr>
                <w:rFonts w:ascii="Calibri" w:cs="Calibri" w:eastAsia="Calibri" w:hAnsi="Calibri"/>
                <w:b w:val="false"/>
                <w:bCs w:val="false"/>
                <w:color w:val="2d3748"/>
                <w:sz w:val="18"/>
                <w:szCs w:val="18"/>
              </w:rPr>
              <w:t xml:space="preserve">Registro de uso por paciente y operador</w:t>
            </w:r>
          </w:p>
        </w:tc>
        <w:tc>
          <w:tcPr>
            <w:tcW w:type="dxa" w:w="4400"/>
            <w:vAlign w:val="center"/>
          </w:tcPr>
          <w:p>
            <w:r>
              <w:rPr>
                <w:rFonts w:ascii="Calibri" w:cs="Calibri" w:eastAsia="Calibri" w:hAnsi="Calibri"/>
                <w:b w:val="false"/>
                <w:bCs w:val="false"/>
                <w:color w:val="2d3748"/>
                <w:sz w:val="18"/>
                <w:szCs w:val="18"/>
              </w:rPr>
              <w:t xml:space="preserve">Libro foliado o registro digital</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Láser</w:t>
            </w:r>
          </w:p>
        </w:tc>
        <w:tc>
          <w:tcPr>
            <w:tcW w:type="dxa" w:w="4200"/>
            <w:vAlign w:val="center"/>
          </w:tcPr>
          <w:p>
            <w:r>
              <w:rPr>
                <w:rFonts w:ascii="Calibri" w:cs="Calibri" w:eastAsia="Calibri" w:hAnsi="Calibri"/>
                <w:b w:val="false"/>
                <w:bCs w:val="false"/>
                <w:color w:val="2d3748"/>
                <w:sz w:val="18"/>
                <w:szCs w:val="18"/>
              </w:rPr>
              <w:t xml:space="preserve">Llave de seguridad con acceso restringido</w:t>
            </w:r>
          </w:p>
        </w:tc>
        <w:tc>
          <w:tcPr>
            <w:tcW w:type="dxa" w:w="4400"/>
            <w:vAlign w:val="center"/>
          </w:tcPr>
          <w:p>
            <w:r>
              <w:rPr>
                <w:rFonts w:ascii="Calibri" w:cs="Calibri" w:eastAsia="Calibri" w:hAnsi="Calibri"/>
                <w:b w:val="false"/>
                <w:bCs w:val="false"/>
                <w:color w:val="2d3748"/>
                <w:sz w:val="18"/>
                <w:szCs w:val="18"/>
              </w:rPr>
              <w:t xml:space="preserve">Estándar de seguridad láser clase IV</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Esterilización</w:t>
            </w:r>
          </w:p>
        </w:tc>
        <w:tc>
          <w:tcPr>
            <w:tcW w:type="dxa" w:w="4200"/>
            <w:vAlign w:val="center"/>
          </w:tcPr>
          <w:p>
            <w:r>
              <w:rPr>
                <w:rFonts w:ascii="Calibri" w:cs="Calibri" w:eastAsia="Calibri" w:hAnsi="Calibri"/>
                <w:b w:val="false"/>
                <w:bCs w:val="false"/>
                <w:color w:val="2d3748"/>
                <w:sz w:val="18"/>
                <w:szCs w:val="18"/>
              </w:rPr>
              <w:t xml:space="preserve">Autoclave y estufa (servicio propio o centralizado)</w:t>
            </w:r>
          </w:p>
        </w:tc>
        <w:tc>
          <w:tcPr>
            <w:tcW w:type="dxa" w:w="4400"/>
            <w:vAlign w:val="center"/>
          </w:tcPr>
          <w:p>
            <w:r>
              <w:rPr>
                <w:rFonts w:ascii="Calibri" w:cs="Calibri" w:eastAsia="Calibri" w:hAnsi="Calibri"/>
                <w:b w:val="false"/>
                <w:bCs w:val="false"/>
                <w:color w:val="2d3748"/>
                <w:sz w:val="18"/>
                <w:szCs w:val="18"/>
              </w:rPr>
              <w:t xml:space="preserve">Art. 22° Anexo I</w:t>
            </w:r>
          </w:p>
        </w:tc>
      </w:tr>
      <w:tr>
        <w:tc>
          <w:tcPr>
            <w:tcW w:type="dxa" w:w="2400"/>
            <w:shd w:fill="ebf4ff" w:color="auto" w:val="clear"/>
            <w:vAlign w:val="center"/>
          </w:tcPr>
          <w:p>
            <w:r>
              <w:rPr>
                <w:rFonts w:ascii="Calibri" w:cs="Calibri" w:eastAsia="Calibri" w:hAnsi="Calibri"/>
                <w:b w:val="false"/>
                <w:bCs w:val="false"/>
                <w:color w:val="2d3748"/>
                <w:sz w:val="18"/>
                <w:szCs w:val="18"/>
              </w:rPr>
              <w:t xml:space="preserve">Esterilización</w:t>
            </w:r>
          </w:p>
        </w:tc>
        <w:tc>
          <w:tcPr>
            <w:tcW w:type="dxa" w:w="4200"/>
            <w:vAlign w:val="center"/>
          </w:tcPr>
          <w:p>
            <w:r>
              <w:rPr>
                <w:rFonts w:ascii="Calibri" w:cs="Calibri" w:eastAsia="Calibri" w:hAnsi="Calibri"/>
                <w:b w:val="false"/>
                <w:bCs w:val="false"/>
                <w:color w:val="2d3748"/>
                <w:sz w:val="18"/>
                <w:szCs w:val="18"/>
              </w:rPr>
              <w:t xml:space="preserve">Controles biológicos periódicos documentados</w:t>
            </w:r>
          </w:p>
        </w:tc>
        <w:tc>
          <w:tcPr>
            <w:tcW w:type="dxa" w:w="4400"/>
            <w:vAlign w:val="center"/>
          </w:tcPr>
          <w:p>
            <w:r>
              <w:rPr>
                <w:rFonts w:ascii="Calibri" w:cs="Calibri" w:eastAsia="Calibri" w:hAnsi="Calibri"/>
                <w:b w:val="false"/>
                <w:bCs w:val="false"/>
                <w:color w:val="2d3748"/>
                <w:sz w:val="18"/>
                <w:szCs w:val="18"/>
              </w:rPr>
              <w:t xml:space="preserve">Buenas Prácticas de Esterilización</w:t>
            </w:r>
          </w:p>
        </w:tc>
      </w:tr>
    </w:tbl>
    <w:p>
      <w:pPr>
        <w:spacing w:after="60" w:before="60"/>
      </w:pPr>
    </w:p>
    <w:p>
      <w:pPr>
        <w:spacing w:after="150" w:before="300"/>
      </w:pPr>
      <w:r>
        <w:rPr>
          <w:rFonts w:ascii="Calibri" w:cs="Calibri" w:eastAsia="Calibri" w:hAnsi="Calibri"/>
          <w:b/>
          <w:bCs/>
          <w:color w:val="2b6cb0"/>
          <w:sz w:val="24"/>
          <w:szCs w:val="24"/>
        </w:rPr>
        <w:t xml:space="preserve">2.4 Residuos Patógenos</w:t>
      </w:r>
    </w:p>
    <w:p>
      <w:pPr>
        <w:spacing w:after="80" w:before="80"/>
        <w:jc w:val="both"/>
      </w:pPr>
      <w:r>
        <w:rPr>
          <w:rFonts w:ascii="Calibri" w:cs="Calibri" w:eastAsia="Calibri" w:hAnsi="Calibri"/>
          <w:color w:val="2d3748"/>
          <w:sz w:val="21"/>
          <w:szCs w:val="21"/>
        </w:rPr>
        <w:t xml:space="preserve">La gestión de residuos patógenos en un centro oftalmológico con área quirúrgica se rige por la Ordenanza Municipal N° 9.612 (Municipalidad de Córdoba) y la normativa provincial aplicable (Ley 8.973 de adhesión a la Ley Nacional 24.051). Los puntos de control son:</w:t>
      </w:r>
    </w:p>
    <w:p>
      <w:pPr>
        <w:spacing w:after="60" w:before="60"/>
      </w:pP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Contrato vigente con empresa habilitada </w:t>
      </w:r>
      <w:r>
        <w:rPr>
          <w:rFonts w:ascii="Calibri" w:cs="Calibri" w:eastAsia="Calibri" w:hAnsi="Calibri"/>
          <w:color w:val="2d3748"/>
          <w:sz w:val="21"/>
          <w:szCs w:val="21"/>
        </w:rPr>
        <w:t xml:space="preserve">de recolección, transporte, tratamiento y disposición final de residuos patógenos, a nombre de la nueva sociedad.</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Separación en origen: </w:t>
      </w:r>
      <w:r>
        <w:rPr>
          <w:rFonts w:ascii="Calibri" w:cs="Calibri" w:eastAsia="Calibri" w:hAnsi="Calibri"/>
          <w:color w:val="2d3748"/>
          <w:sz w:val="21"/>
          <w:szCs w:val="21"/>
        </w:rPr>
        <w:t xml:space="preserve">Residuos Tipo A (asimilables a domiciliarios: administración, limpieza general) y Tipo B (patógenos propiamente dichos: material quirúrgico descartable, gasas con fluidos, material punzocortante).</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Contenedores diferenciados: </w:t>
      </w:r>
      <w:r>
        <w:rPr>
          <w:rFonts w:ascii="Calibri" w:cs="Calibri" w:eastAsia="Calibri" w:hAnsi="Calibri"/>
          <w:color w:val="2d3748"/>
          <w:sz w:val="21"/>
          <w:szCs w:val="21"/>
        </w:rPr>
        <w:t xml:space="preserve">acero inoxidable o material sanitario seguro, capacidad entre 20 y 150 litros (Art. 37° Ord. 9.612).</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Descartadores de cortopunzantes: </w:t>
      </w:r>
      <w:r>
        <w:rPr>
          <w:rFonts w:ascii="Calibri" w:cs="Calibri" w:eastAsia="Calibri" w:hAnsi="Calibri"/>
          <w:color w:val="2d3748"/>
          <w:sz w:val="21"/>
          <w:szCs w:val="21"/>
        </w:rPr>
        <w:t xml:space="preserve">recipientes rígidos, resistentes a la perforación, color rojo, con tapa y etiquetado.</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Tarjeta de Control: </w:t>
      </w:r>
      <w:r>
        <w:rPr>
          <w:rFonts w:ascii="Calibri" w:cs="Calibri" w:eastAsia="Calibri" w:hAnsi="Calibri"/>
          <w:color w:val="2d3748"/>
          <w:sz w:val="21"/>
          <w:szCs w:val="21"/>
        </w:rPr>
        <w:t xml:space="preserve">en cada bolsa de residuo patógeno Tipo B con datos de generación y despacho (Art. 9° inc. C, Ord. 9.612).</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Frecuencia de retiro: </w:t>
      </w:r>
      <w:r>
        <w:rPr>
          <w:rFonts w:ascii="Calibri" w:cs="Calibri" w:eastAsia="Calibri" w:hAnsi="Calibri"/>
          <w:color w:val="2d3748"/>
          <w:sz w:val="21"/>
          <w:szCs w:val="21"/>
        </w:rPr>
        <w:t xml:space="preserve">cada 24 horas como máximo, salvo almacenamiento en cámara fría a 0°C (máximo 3 días).</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Balanza y planillas: </w:t>
      </w:r>
      <w:r>
        <w:rPr>
          <w:rFonts w:ascii="Calibri" w:cs="Calibri" w:eastAsia="Calibri" w:hAnsi="Calibri"/>
          <w:color w:val="2d3748"/>
          <w:sz w:val="21"/>
          <w:szCs w:val="21"/>
        </w:rPr>
        <w:t xml:space="preserve">peso de residuos registrado y refrendado por el responsable y la empresa recolectora.</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Área de acopio: </w:t>
      </w:r>
      <w:r>
        <w:rPr>
          <w:rFonts w:ascii="Calibri" w:cs="Calibri" w:eastAsia="Calibri" w:hAnsi="Calibri"/>
          <w:color w:val="2d3748"/>
          <w:sz w:val="21"/>
          <w:szCs w:val="21"/>
        </w:rPr>
        <w:t xml:space="preserve">ventilada, con salida al exterior (Art. 18° Anexo I del Decreto 33/08).</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Manifiestos de transporte: </w:t>
      </w:r>
      <w:r>
        <w:rPr>
          <w:rFonts w:ascii="Calibri" w:cs="Calibri" w:eastAsia="Calibri" w:hAnsi="Calibri"/>
          <w:color w:val="2d3748"/>
          <w:sz w:val="21"/>
          <w:szCs w:val="21"/>
        </w:rPr>
        <w:t xml:space="preserve">archivo por 5 años.</w:t>
      </w:r>
    </w:p>
    <w:p>
      <w:pPr>
        <w:pBdr>
          <w:left w:val="single" w:color="d69e2e" w:sz="12"/>
        </w:pBdr>
        <w:shd w:fill="fefcbf" w:color="auto" w:val="clear"/>
        <w:spacing w:after="120" w:before="120"/>
        <w:ind w:left="360" w:right="360"/>
      </w:pPr>
      <w:r>
        <w:rPr>
          <w:rFonts w:ascii="Calibri" w:cs="Calibri" w:eastAsia="Calibri" w:hAnsi="Calibri"/>
          <w:sz w:val="21"/>
          <w:szCs w:val="21"/>
        </w:rPr>
        <w:t xml:space="preserve">⚠️ </w:t>
      </w:r>
      <w:r>
        <w:rPr>
          <w:rFonts w:ascii="Calibri" w:cs="Calibri" w:eastAsia="Calibri" w:hAnsi="Calibri"/>
          <w:i/>
          <w:iCs/>
          <w:color w:val="2d3748"/>
          <w:sz w:val="20"/>
          <w:szCs w:val="20"/>
        </w:rPr>
        <w:t xml:space="preserve">AL TRANSFERIR LA TITULARIDAD: El contrato de residuos patógenos debe ser celebrado a nombre de la nueva sociedad (CUIT nuevo). Coordinar con el prestador del servicio la emisión de un nuevo contrato o una cesión/addenda al contrato existente ANTES de la fecha de corte de facturación.</w:t>
      </w:r>
    </w:p>
    <w:p>
      <w:pPr>
        <w:spacing w:after="60" w:before="60"/>
      </w:pPr>
    </w:p>
    <w:p>
      <w:pPr>
        <w:spacing w:after="150" w:before="300"/>
      </w:pPr>
      <w:r>
        <w:rPr>
          <w:rFonts w:ascii="Calibri" w:cs="Calibri" w:eastAsia="Calibri" w:hAnsi="Calibri"/>
          <w:b/>
          <w:bCs/>
          <w:color w:val="2b6cb0"/>
          <w:sz w:val="24"/>
          <w:szCs w:val="24"/>
        </w:rPr>
        <w:t xml:space="preserve">2.5 Director Técnico Oftalmólogo</w:t>
      </w:r>
    </w:p>
    <w:p>
      <w:pPr>
        <w:spacing w:after="80" w:before="80"/>
        <w:jc w:val="both"/>
      </w:pPr>
      <w:r>
        <w:rPr>
          <w:rFonts w:ascii="Calibri" w:cs="Calibri" w:eastAsia="Calibri" w:hAnsi="Calibri"/>
          <w:color w:val="2d3748"/>
          <w:sz w:val="21"/>
          <w:szCs w:val="21"/>
        </w:rPr>
        <w:t xml:space="preserve">Conforme al Decreto 33/08, Art. 3° inc. a.2 del Anexo I, todo establecimiento asistencial debe contar con un Director Técnico con matrícula profesional provincial vigente. Para un Centro de Ojos:</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Requisito: </w:t>
      </w:r>
      <w:r>
        <w:rPr>
          <w:rFonts w:ascii="Calibri" w:cs="Calibri" w:eastAsia="Calibri" w:hAnsi="Calibri"/>
          <w:color w:val="2d3748"/>
          <w:sz w:val="21"/>
          <w:szCs w:val="21"/>
        </w:rPr>
        <w:t xml:space="preserve">Médico Oftalmólogo matriculado en el Consejo de Médicos de la Provincia de Córdoba, con especialidad acreditada.</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Funciones: </w:t>
      </w:r>
      <w:r>
        <w:rPr>
          <w:rFonts w:ascii="Calibri" w:cs="Calibri" w:eastAsia="Calibri" w:hAnsi="Calibri"/>
          <w:color w:val="2d3748"/>
          <w:sz w:val="21"/>
          <w:szCs w:val="21"/>
        </w:rPr>
        <w:t xml:space="preserve">responsable legal ante el Ministerio de Salud por el cumplimiento de las normas sanitarias, operación del quirófano, supervisión del equipo profesional, rúbrica de libros de registro.</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Incompatibilidad: </w:t>
      </w:r>
      <w:r>
        <w:rPr>
          <w:rFonts w:ascii="Calibri" w:cs="Calibri" w:eastAsia="Calibri" w:hAnsi="Calibri"/>
          <w:color w:val="2d3748"/>
          <w:sz w:val="21"/>
          <w:szCs w:val="21"/>
        </w:rPr>
        <w:t xml:space="preserve">el Director Técnico no puede ejercer la misma función en otro establecimiento simultáneamente (según reglamentación del Consejo de Médicos).</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Documentación: </w:t>
      </w:r>
      <w:r>
        <w:rPr>
          <w:rFonts w:ascii="Calibri" w:cs="Calibri" w:eastAsia="Calibri" w:hAnsi="Calibri"/>
          <w:color w:val="2d3748"/>
          <w:sz w:val="21"/>
          <w:szCs w:val="21"/>
        </w:rPr>
        <w:t xml:space="preserve">Formulario Anexo II (Declaración Jurada de Dirección Técnica) firmado ante el Departamento de Fiscalización de Efectores.</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Continuidad en transferencia: </w:t>
      </w:r>
      <w:r>
        <w:rPr>
          <w:rFonts w:ascii="Calibri" w:cs="Calibri" w:eastAsia="Calibri" w:hAnsi="Calibri"/>
          <w:color w:val="2d3748"/>
          <w:sz w:val="21"/>
          <w:szCs w:val="21"/>
        </w:rPr>
        <w:t xml:space="preserve">Si el Director Técnico se mantiene, basta una nueva Declaración Jurada ratificando el cargo bajo la persona jurídica titular. Si cambia, se requiere trámite de cambio de DT con documentación completa del nuevo profesional.</w:t>
      </w:r>
    </w:p>
    <w:p>
      <w:pPr>
        <w:spacing w:after="60" w:before="60"/>
      </w:pPr>
    </w:p>
    <w:p>
      <w:pPr>
        <w:spacing w:after="150" w:before="300"/>
      </w:pPr>
      <w:r>
        <w:rPr>
          <w:rFonts w:ascii="Calibri" w:cs="Calibri" w:eastAsia="Calibri" w:hAnsi="Calibri"/>
          <w:b/>
          <w:bCs/>
          <w:color w:val="2b6cb0"/>
          <w:sz w:val="24"/>
          <w:szCs w:val="24"/>
        </w:rPr>
        <w:t xml:space="preserve">2.6 Seguros de Praxis</w:t>
      </w:r>
    </w:p>
    <w:p>
      <w:pPr>
        <w:spacing w:after="80" w:before="80"/>
        <w:jc w:val="both"/>
      </w:pPr>
      <w:r>
        <w:rPr>
          <w:rFonts w:ascii="Calibri" w:cs="Calibri" w:eastAsia="Calibri" w:hAnsi="Calibri"/>
          <w:color w:val="2d3748"/>
          <w:sz w:val="21"/>
          <w:szCs w:val="21"/>
        </w:rPr>
        <w:t xml:space="preserve">La póliza de responsabilidad civil profesional (seguro de mala praxis) debe contemplar:</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Titular: </w:t>
      </w:r>
      <w:r>
        <w:rPr>
          <w:rFonts w:ascii="Calibri" w:cs="Calibri" w:eastAsia="Calibri" w:hAnsi="Calibri"/>
          <w:color w:val="2d3748"/>
          <w:sz w:val="21"/>
          <w:szCs w:val="21"/>
        </w:rPr>
        <w:t xml:space="preserve">la nueva sociedad (persona jurídica) como tomadora/asegurada.</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Cobertura: </w:t>
      </w:r>
      <w:r>
        <w:rPr>
          <w:rFonts w:ascii="Calibri" w:cs="Calibri" w:eastAsia="Calibri" w:hAnsi="Calibri"/>
          <w:color w:val="2d3748"/>
          <w:sz w:val="21"/>
          <w:szCs w:val="21"/>
        </w:rPr>
        <w:t xml:space="preserve">responsabilidad civil por actos médicos de todos los profesionales que se desempeñen en el establecimiento.</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Extensión: </w:t>
      </w:r>
      <w:r>
        <w:rPr>
          <w:rFonts w:ascii="Calibri" w:cs="Calibri" w:eastAsia="Calibri" w:hAnsi="Calibri"/>
          <w:color w:val="2d3748"/>
          <w:sz w:val="21"/>
          <w:szCs w:val="21"/>
        </w:rPr>
        <w:t xml:space="preserve">debe cubrir prácticas quirúrgicas oftalmológicas, procedimientos láser, anestesia y eventos adversos intraoperatorios.</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Vigencia: </w:t>
      </w:r>
      <w:r>
        <w:rPr>
          <w:rFonts w:ascii="Calibri" w:cs="Calibri" w:eastAsia="Calibri" w:hAnsi="Calibri"/>
          <w:color w:val="2d3748"/>
          <w:sz w:val="21"/>
          <w:szCs w:val="21"/>
        </w:rPr>
        <w:t xml:space="preserve">sin solución de continuidad al momento de la transferencia. Sugerido: contratar póliza a nombre de la sociedad con inicio de vigencia en la fecha de corte, manteniendo la póliza anterior hasta esa fecha.</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Clausula claims-made: </w:t>
      </w:r>
      <w:r>
        <w:rPr>
          <w:rFonts w:ascii="Calibri" w:cs="Calibri" w:eastAsia="Calibri" w:hAnsi="Calibri"/>
          <w:color w:val="2d3748"/>
          <w:sz w:val="21"/>
          <w:szCs w:val="21"/>
        </w:rPr>
        <w:t xml:space="preserve">verificar si la póliza anterior cubre reclamos tardíos (hechos ocurridos durante su vigencia, reclamados después). De no ser así, negociar cláusula de retroactividad en la nueva póliza.</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Suma asegurada: </w:t>
      </w:r>
      <w:r>
        <w:rPr>
          <w:rFonts w:ascii="Calibri" w:cs="Calibri" w:eastAsia="Calibri" w:hAnsi="Calibri"/>
          <w:color w:val="2d3748"/>
          <w:sz w:val="21"/>
          <w:szCs w:val="21"/>
        </w:rPr>
        <w:t xml:space="preserve">adecuada a la complejidad prestacional (consultar con broker de seguros especializado en salud).</w:t>
      </w:r>
    </w:p>
    <w:p>
      <w:pPr>
        <w:pBdr>
          <w:left w:val="single" w:color="2b6cb0" w:sz="12"/>
        </w:pBdr>
        <w:shd w:fill="ebf4ff" w:color="auto" w:val="clear"/>
        <w:spacing w:after="120" w:before="120"/>
        <w:ind w:left="360" w:right="360"/>
      </w:pPr>
      <w:r>
        <w:rPr>
          <w:rFonts w:ascii="Calibri" w:cs="Calibri" w:eastAsia="Calibri" w:hAnsi="Calibri"/>
          <w:sz w:val="21"/>
          <w:szCs w:val="21"/>
        </w:rPr>
        <w:t xml:space="preserve">ℹ️ </w:t>
      </w:r>
      <w:r>
        <w:rPr>
          <w:rFonts w:ascii="Calibri" w:cs="Calibri" w:eastAsia="Calibri" w:hAnsi="Calibri"/>
          <w:i/>
          <w:iCs/>
          <w:color w:val="2d3748"/>
          <w:sz w:val="20"/>
          <w:szCs w:val="20"/>
        </w:rPr>
        <w:t xml:space="preserve">RUGEPRESA puede solicitar copia de la póliza vigente en la inspección de convalidación. Asegurarse de tenerla disponible a nombre de la nueva sociedad.</w:t>
      </w:r>
    </w:p>
    <w:p>
      <w:r>
        <w:br w:type="page"/>
      </w:r>
    </w:p>
    <w:p>
      <w:pPr>
        <w:pBdr>
          <w:bottom w:val="single" w:color="1a365d" w:sz="6"/>
        </w:pBdr>
        <w:spacing w:after="200" w:before="400"/>
      </w:pPr>
      <w:r>
        <w:rPr>
          <w:rFonts w:ascii="Calibri" w:cs="Calibri" w:eastAsia="Calibri" w:hAnsi="Calibri"/>
          <w:b/>
          <w:bCs/>
          <w:color w:val="1a365d"/>
          <w:sz w:val="28"/>
          <w:szCs w:val="28"/>
        </w:rPr>
        <w:t xml:space="preserve">3. MODELOS DE NOTAS FORMALES</w:t>
      </w:r>
    </w:p>
    <w:p>
      <w:pPr>
        <w:spacing w:after="60" w:before="60"/>
      </w:pPr>
    </w:p>
    <w:p>
      <w:pPr>
        <w:spacing w:after="150" w:before="300"/>
      </w:pPr>
      <w:r>
        <w:rPr>
          <w:rFonts w:ascii="Calibri" w:cs="Calibri" w:eastAsia="Calibri" w:hAnsi="Calibri"/>
          <w:b/>
          <w:bCs/>
          <w:color w:val="2b6cb0"/>
          <w:sz w:val="24"/>
          <w:szCs w:val="24"/>
        </w:rPr>
        <w:t xml:space="preserve">3.A — NOTA A APROSS: Continuidad del Convenio Prestacional</w:t>
      </w:r>
    </w:p>
    <w:p>
      <w:pPr>
        <w:spacing w:after="60" w:before="60"/>
      </w:pPr>
    </w:p>
    <w:p>
      <w:pPr>
        <w:spacing w:after="200"/>
        <w:jc w:val="right"/>
      </w:pPr>
      <w:r>
        <w:rPr>
          <w:rFonts w:ascii="Calibri" w:cs="Calibri" w:eastAsia="Calibri" w:hAnsi="Calibri"/>
          <w:sz w:val="21"/>
          <w:szCs w:val="21"/>
        </w:rPr>
        <w:t xml:space="preserve">Córdoba, [DÍA] de [MES] de 2026</w:t>
      </w:r>
    </w:p>
    <w:p>
      <w:pPr>
        <w:spacing w:after="80" w:before="80"/>
        <w:jc w:val="both"/>
      </w:pPr>
      <w:r>
        <w:rPr>
          <w:rFonts w:ascii="Calibri" w:cs="Calibri" w:eastAsia="Calibri" w:hAnsi="Calibri"/>
          <w:color w:val="2d3748"/>
          <w:sz w:val="21"/>
          <w:szCs w:val="21"/>
        </w:rPr>
        <w:t xml:space="preserve">AL SEÑOR DIRECTOR</w:t>
      </w:r>
    </w:p>
    <w:p>
      <w:pPr>
        <w:spacing w:after="80" w:before="80"/>
        <w:jc w:val="both"/>
      </w:pPr>
      <w:r>
        <w:rPr>
          <w:rFonts w:ascii="Calibri" w:cs="Calibri" w:eastAsia="Calibri" w:hAnsi="Calibri"/>
          <w:color w:val="2d3748"/>
          <w:sz w:val="21"/>
          <w:szCs w:val="21"/>
        </w:rPr>
        <w:t xml:space="preserve">DEL ÁREA DE CONVENIOS</w:t>
      </w:r>
    </w:p>
    <w:p>
      <w:pPr>
        <w:spacing w:after="80" w:before="80"/>
        <w:jc w:val="both"/>
      </w:pPr>
      <w:r>
        <w:rPr>
          <w:rFonts w:ascii="Calibri" w:cs="Calibri" w:eastAsia="Calibri" w:hAnsi="Calibri"/>
          <w:color w:val="2d3748"/>
          <w:sz w:val="21"/>
          <w:szCs w:val="21"/>
        </w:rPr>
        <w:t xml:space="preserve">ADMINISTRACIÓN PROVINCIAL DEL SEGURO DE SALUD (APROSS)</w:t>
      </w:r>
    </w:p>
    <w:p>
      <w:pPr>
        <w:spacing w:after="80" w:before="80"/>
        <w:jc w:val="both"/>
      </w:pPr>
      <w:r>
        <w:rPr>
          <w:rFonts w:ascii="Calibri" w:cs="Calibri" w:eastAsia="Calibri" w:hAnsi="Calibri"/>
          <w:color w:val="2d3748"/>
          <w:sz w:val="21"/>
          <w:szCs w:val="21"/>
        </w:rPr>
        <w:t xml:space="preserve">E-mail: </w:t>
      </w:r>
      <w:r>
        <w:rPr>
          <w:rFonts w:ascii="Calibri" w:cs="Calibri" w:eastAsia="Calibri" w:hAnsi="Calibri"/>
          <w:b/>
          <w:bCs/>
          <w:color w:val="2d3748"/>
          <w:sz w:val="21"/>
          <w:szCs w:val="21"/>
        </w:rPr>
        <w:t xml:space="preserve">convenios@apross.gov.ar</w:t>
      </w:r>
    </w:p>
    <w:p>
      <w:pPr>
        <w:spacing w:after="80" w:before="80"/>
        <w:jc w:val="both"/>
      </w:pPr>
      <w:r>
        <w:rPr>
          <w:rFonts w:ascii="Calibri" w:cs="Calibri" w:eastAsia="Calibri" w:hAnsi="Calibri"/>
          <w:color w:val="2d3748"/>
          <w:sz w:val="21"/>
          <w:szCs w:val="21"/>
        </w:rPr>
        <w:t xml:space="preserve">Marcelo T. de Alvear 758 — Córdoba</w:t>
      </w:r>
    </w:p>
    <w:p>
      <w:pPr>
        <w:spacing w:after="80" w:before="80"/>
        <w:jc w:val="both"/>
      </w:pPr>
      <w:r>
        <w:rPr>
          <w:rFonts w:ascii="Calibri" w:cs="Calibri" w:eastAsia="Calibri" w:hAnsi="Calibri"/>
          <w:b w:val="false"/>
          <w:bCs w:val="false"/>
          <w:color w:val="2d3748"/>
          <w:sz w:val="21"/>
          <w:szCs w:val="21"/>
        </w:rPr>
        <w:t xml:space="preserve">S</w:t>
      </w:r>
      <w:r>
        <w:rPr>
          <w:rFonts w:ascii="Calibri" w:cs="Calibri" w:eastAsia="Calibri" w:hAnsi="Calibri"/>
          <w:b w:val="false"/>
          <w:bCs w:val="false"/>
          <w:color w:val="2d3748"/>
          <w:sz w:val="21"/>
          <w:szCs w:val="21"/>
        </w:rPr>
        <w:t xml:space="preserve">                    /                    </w:t>
      </w:r>
      <w:r>
        <w:rPr>
          <w:rFonts w:ascii="Calibri" w:cs="Calibri" w:eastAsia="Calibri" w:hAnsi="Calibri"/>
          <w:b w:val="false"/>
          <w:bCs w:val="false"/>
          <w:color w:val="2d3748"/>
          <w:sz w:val="21"/>
          <w:szCs w:val="21"/>
        </w:rPr>
        <w:t xml:space="preserve">D</w:t>
      </w:r>
    </w:p>
    <w:p>
      <w:pPr>
        <w:spacing w:after="60" w:before="60"/>
      </w:pPr>
    </w:p>
    <w:p>
      <w:pPr>
        <w:spacing w:after="80" w:before="80"/>
        <w:jc w:val="both"/>
      </w:pPr>
      <w:r>
        <w:rPr>
          <w:rFonts w:ascii="Calibri" w:cs="Calibri" w:eastAsia="Calibri" w:hAnsi="Calibri"/>
          <w:b/>
          <w:bCs/>
          <w:color w:val="2d3748"/>
          <w:sz w:val="21"/>
          <w:szCs w:val="21"/>
        </w:rPr>
        <w:t xml:space="preserve">REF.: </w:t>
      </w:r>
      <w:r>
        <w:rPr>
          <w:rFonts w:ascii="Calibri" w:cs="Calibri" w:eastAsia="Calibri" w:hAnsi="Calibri"/>
          <w:b/>
          <w:bCs/>
          <w:color w:val="2d3748"/>
          <w:sz w:val="21"/>
          <w:szCs w:val="21"/>
        </w:rPr>
        <w:t xml:space="preserve">NOTIFICACIÓN DE CAMBIO DE PERSONERÍA JURÍDICA — SOLICITUD DE CONTINUIDAD DEL CONVENIO PRESTACIONAL MEDIANTE ADENDA — TRASPASO DE CUIT.</w:t>
      </w:r>
    </w:p>
    <w:p>
      <w:pPr>
        <w:spacing w:after="60" w:before="60"/>
      </w:pPr>
    </w:p>
    <w:p>
      <w:pPr>
        <w:spacing w:after="80" w:before="80"/>
        <w:jc w:val="both"/>
      </w:pPr>
      <w:r>
        <w:rPr>
          <w:rFonts w:ascii="Calibri" w:cs="Calibri" w:eastAsia="Calibri" w:hAnsi="Calibri"/>
          <w:color w:val="2d3748"/>
          <w:sz w:val="21"/>
          <w:szCs w:val="21"/>
        </w:rPr>
        <w:t xml:space="preserve">De mi mayor consideración:</w:t>
      </w:r>
    </w:p>
    <w:p>
      <w:pPr>
        <w:spacing w:after="60" w:before="60"/>
      </w:pPr>
    </w:p>
    <w:p>
      <w:pPr>
        <w:spacing w:after="80" w:before="80"/>
        <w:jc w:val="both"/>
      </w:pPr>
      <w:r>
        <w:rPr>
          <w:rFonts w:ascii="Calibri" w:cs="Calibri" w:eastAsia="Calibri" w:hAnsi="Calibri"/>
          <w:color w:val="2d3748"/>
          <w:sz w:val="21"/>
          <w:szCs w:val="21"/>
        </w:rPr>
        <w:t xml:space="preserve">Por medio de la presente, y en mi carácter de representante legal de [DENOMINACIÓN SOCIAL COMPLETA DE LA SOCIEDAD], CUIT N° [XX-XXXXXXXX-X], con domicilio legal en [DOMICILIO LEGAL], inscripta ante la Dirección de Inspección de Personas Jurídicas de la Provincia de Córdoba bajo el Correlativo N° [NÚMERO], me dirijo a Ud. a los efectos de notificarle formalmente lo siguiente:</w:t>
      </w:r>
    </w:p>
    <w:p>
      <w:pPr>
        <w:spacing w:after="60" w:before="60"/>
      </w:pPr>
    </w:p>
    <w:p>
      <w:pPr>
        <w:spacing w:after="80" w:before="80"/>
        <w:jc w:val="both"/>
      </w:pPr>
      <w:r>
        <w:rPr>
          <w:rFonts w:ascii="Calibri" w:cs="Calibri" w:eastAsia="Calibri" w:hAnsi="Calibri"/>
          <w:b/>
          <w:bCs/>
          <w:color w:val="2d3748"/>
          <w:sz w:val="21"/>
          <w:szCs w:val="21"/>
        </w:rPr>
        <w:t xml:space="preserve">PRIMERO. </w:t>
      </w:r>
      <w:r>
        <w:rPr>
          <w:rFonts w:ascii="Calibri" w:cs="Calibri" w:eastAsia="Calibri" w:hAnsi="Calibri"/>
          <w:b w:val="false"/>
          <w:bCs w:val="false"/>
          <w:color w:val="2d3748"/>
          <w:sz w:val="21"/>
          <w:szCs w:val="21"/>
        </w:rPr>
        <w:t xml:space="preserve">El establecimiento denominado </w:t>
      </w:r>
      <w:r>
        <w:rPr>
          <w:rFonts w:ascii="Calibri" w:cs="Calibri" w:eastAsia="Calibri" w:hAnsi="Calibri"/>
          <w:b/>
          <w:bCs/>
          <w:color w:val="2d3748"/>
          <w:sz w:val="21"/>
          <w:szCs w:val="21"/>
        </w:rPr>
        <w:t xml:space="preserve">CENTRO DE OJOS LAZARTE</w:t>
      </w:r>
      <w:r>
        <w:rPr>
          <w:rFonts w:ascii="Calibri" w:cs="Calibri" w:eastAsia="Calibri" w:hAnsi="Calibri"/>
          <w:b w:val="false"/>
          <w:bCs w:val="false"/>
          <w:color w:val="2d3748"/>
          <w:sz w:val="21"/>
          <w:szCs w:val="21"/>
        </w:rPr>
        <w:t xml:space="preserve">, sito en Deán Funes 614, Córdoba Capital, habilitado ante la Dirección General de Regulación Sanitaria (ex RUGEPRESA) del Ministerio de Salud de la Provincia bajo Expediente N° [NÚMERO DE EXPEDIENTE] y Resolución N° [NÚMERO], que hasta la fecha operó bajo la titularidad de [NOMBRE COMPLETO DE LA PERSONA HUMANA], CUIT N° [XX-XXXXXXXX-X], ha migrado su estructura jurídica, pasando a operar bajo la titularidad de la sociedad arriba identificada.</w:t>
      </w:r>
    </w:p>
    <w:p>
      <w:pPr>
        <w:spacing w:after="60" w:before="60"/>
      </w:pPr>
    </w:p>
    <w:p>
      <w:pPr>
        <w:spacing w:after="80" w:before="80"/>
        <w:jc w:val="both"/>
      </w:pPr>
      <w:r>
        <w:rPr>
          <w:rFonts w:ascii="Calibri" w:cs="Calibri" w:eastAsia="Calibri" w:hAnsi="Calibri"/>
          <w:b/>
          <w:bCs/>
          <w:color w:val="2d3748"/>
          <w:sz w:val="21"/>
          <w:szCs w:val="21"/>
        </w:rPr>
        <w:t xml:space="preserve">SEGUNDO. </w:t>
      </w:r>
      <w:r>
        <w:rPr>
          <w:rFonts w:ascii="Calibri" w:cs="Calibri" w:eastAsia="Calibri" w:hAnsi="Calibri"/>
          <w:b w:val="false"/>
          <w:bCs w:val="false"/>
          <w:color w:val="2d3748"/>
          <w:sz w:val="21"/>
          <w:szCs w:val="21"/>
        </w:rPr>
        <w:t xml:space="preserve">Dicha transformación societaria no implica alteración alguna de las condiciones prestacionales, la planta física del establecimiento, el equipamiento, el plantel profesional ni la Dirección Técnica, que continúa a cargo del Dr./Dra. [NOMBRE DEL DIRECTOR TÉCNICO], M.P. N° [MATRÍCULA], manteniéndose intacta la capacidad operativa y la calidad asistencial brindada a los afiliados de APROSS.</w:t>
      </w:r>
    </w:p>
    <w:p>
      <w:pPr>
        <w:spacing w:after="60" w:before="60"/>
      </w:pPr>
    </w:p>
    <w:p>
      <w:pPr>
        <w:spacing w:after="80" w:before="80"/>
        <w:jc w:val="both"/>
      </w:pPr>
      <w:r>
        <w:rPr>
          <w:rFonts w:ascii="Calibri" w:cs="Calibri" w:eastAsia="Calibri" w:hAnsi="Calibri"/>
          <w:b/>
          <w:bCs/>
          <w:color w:val="2d3748"/>
          <w:sz w:val="21"/>
          <w:szCs w:val="21"/>
        </w:rPr>
        <w:t xml:space="preserve">TERCERO. </w:t>
      </w:r>
      <w:r>
        <w:rPr>
          <w:rFonts w:ascii="Calibri" w:cs="Calibri" w:eastAsia="Calibri" w:hAnsi="Calibri"/>
          <w:b w:val="false"/>
          <w:bCs w:val="false"/>
          <w:color w:val="2d3748"/>
          <w:sz w:val="21"/>
          <w:szCs w:val="21"/>
        </w:rPr>
        <w:t xml:space="preserve">En virtud de lo expuesto, solicito a esa Dirección tenga a bien:</w:t>
      </w:r>
    </w:p>
    <w:p>
      <w:pPr>
        <w:spacing w:after="80" w:before="80"/>
        <w:jc w:val="both"/>
      </w:pPr>
      <w:r>
        <w:rPr>
          <w:rFonts w:ascii="Calibri" w:cs="Calibri" w:eastAsia="Calibri" w:hAnsi="Calibri"/>
          <w:color w:val="2d3748"/>
          <w:sz w:val="21"/>
          <w:szCs w:val="21"/>
        </w:rPr>
        <w:t xml:space="preserve">    a) Tomar debida nota del cambio de titularidad y del nuevo CUIT de la persona jurídica prestadora;</w:t>
      </w:r>
    </w:p>
    <w:p>
      <w:pPr>
        <w:spacing w:after="80" w:before="80"/>
        <w:jc w:val="both"/>
      </w:pPr>
      <w:r>
        <w:rPr>
          <w:rFonts w:ascii="Calibri" w:cs="Calibri" w:eastAsia="Calibri" w:hAnsi="Calibri"/>
          <w:color w:val="2d3748"/>
          <w:sz w:val="21"/>
          <w:szCs w:val="21"/>
        </w:rPr>
        <w:t xml:space="preserve">    b) Instrumentar la continuidad del convenio prestacional vigente mediante la suscripción de la adenda correspondiente que contemple la subrogación de derechos y obligaciones a favor de la nueva entidad, o en su defecto, la celebración de un nuevo contrato prestacional en idénticas condiciones;</w:t>
      </w:r>
    </w:p>
    <w:p>
      <w:pPr>
        <w:spacing w:after="80" w:before="80"/>
        <w:jc w:val="both"/>
      </w:pPr>
      <w:r>
        <w:rPr>
          <w:rFonts w:ascii="Calibri" w:cs="Calibri" w:eastAsia="Calibri" w:hAnsi="Calibri"/>
          <w:color w:val="2d3748"/>
          <w:sz w:val="21"/>
          <w:szCs w:val="21"/>
        </w:rPr>
        <w:t xml:space="preserve">    c) Proceder a la actualización del CUIT en el Portal de Prestadores de APROSS, habilitando a la nueva sociedad como facturadora, a fin de garantizar la continuidad en la facturación y liquidación de las prestaciones, evitando rechazos por incongruencia entre el CUIT del prestador y el CUIT registrado;</w:t>
      </w:r>
    </w:p>
    <w:p>
      <w:pPr>
        <w:spacing w:after="80" w:before="80"/>
        <w:jc w:val="both"/>
      </w:pPr>
      <w:r>
        <w:rPr>
          <w:rFonts w:ascii="Calibri" w:cs="Calibri" w:eastAsia="Calibri" w:hAnsi="Calibri"/>
          <w:color w:val="2d3748"/>
          <w:sz w:val="21"/>
          <w:szCs w:val="21"/>
        </w:rPr>
        <w:t xml:space="preserve">    d) Autorizar un período de transición razonable para que las autorizaciones de prácticas ya emitidas bajo el CUIT anterior mantengan su validez hasta su efectiva prestación y facturación.</w:t>
      </w:r>
    </w:p>
    <w:p>
      <w:pPr>
        <w:spacing w:after="60" w:before="60"/>
      </w:pPr>
    </w:p>
    <w:p>
      <w:pPr>
        <w:spacing w:after="80" w:before="80"/>
        <w:jc w:val="both"/>
      </w:pPr>
      <w:r>
        <w:rPr>
          <w:rFonts w:ascii="Calibri" w:cs="Calibri" w:eastAsia="Calibri" w:hAnsi="Calibri"/>
          <w:b/>
          <w:bCs/>
          <w:color w:val="2d3748"/>
          <w:sz w:val="21"/>
          <w:szCs w:val="21"/>
        </w:rPr>
        <w:t xml:space="preserve">CUARTO. </w:t>
      </w:r>
      <w:r>
        <w:rPr>
          <w:rFonts w:ascii="Calibri" w:cs="Calibri" w:eastAsia="Calibri" w:hAnsi="Calibri"/>
          <w:b w:val="false"/>
          <w:bCs w:val="false"/>
          <w:color w:val="2d3748"/>
          <w:sz w:val="21"/>
          <w:szCs w:val="21"/>
        </w:rPr>
        <w:t xml:space="preserve">Se deja expresa constancia de que el cambio de personería jurídica tiene como finalidad exclusiva la adecuación de la estructura organizativa del establecimiento y no supone, bajo ningún concepto, interrupción del servicio a los afiliados de APROSS. El compromiso de atención continua y de calidad prestacional se mantiene incólume.</w:t>
      </w:r>
    </w:p>
    <w:p>
      <w:pPr>
        <w:spacing w:after="60" w:before="60"/>
      </w:pPr>
    </w:p>
    <w:p>
      <w:pPr>
        <w:spacing w:after="80" w:before="80"/>
        <w:jc w:val="both"/>
      </w:pPr>
      <w:r>
        <w:rPr>
          <w:rFonts w:ascii="Calibri" w:cs="Calibri" w:eastAsia="Calibri" w:hAnsi="Calibri"/>
          <w:b/>
          <w:bCs/>
          <w:color w:val="2d3748"/>
          <w:sz w:val="21"/>
          <w:szCs w:val="21"/>
        </w:rPr>
        <w:t xml:space="preserve">QUINTO. </w:t>
      </w:r>
      <w:r>
        <w:rPr>
          <w:rFonts w:ascii="Calibri" w:cs="Calibri" w:eastAsia="Calibri" w:hAnsi="Calibri"/>
          <w:b w:val="false"/>
          <w:bCs w:val="false"/>
          <w:color w:val="2d3748"/>
          <w:sz w:val="21"/>
          <w:szCs w:val="21"/>
        </w:rPr>
        <w:t xml:space="preserve">Se adjunta a la presente la siguiente documentación respaldatoria: (1) Copia certificada del Contrato Social / Estatuto con constancia de inscripción en DIPJ; (2) Constancia de CUIT de la persona jurídica emitida por ARCA; (3) Constancia de inscripción ante la DGR (Rentas Córdoba) en Ingresos Brutos; (4) Habilitación sanitaria vigente del establecimiento; (5) Nota del Director Técnico ratificando la continuidad en el cargo.</w:t>
      </w:r>
    </w:p>
    <w:p>
      <w:pPr>
        <w:spacing w:after="60" w:before="60"/>
      </w:pPr>
    </w:p>
    <w:p>
      <w:pPr>
        <w:spacing w:after="80" w:before="80"/>
        <w:jc w:val="both"/>
      </w:pPr>
      <w:r>
        <w:rPr>
          <w:rFonts w:ascii="Calibri" w:cs="Calibri" w:eastAsia="Calibri" w:hAnsi="Calibri"/>
          <w:color w:val="2d3748"/>
          <w:sz w:val="21"/>
          <w:szCs w:val="21"/>
        </w:rPr>
        <w:t xml:space="preserve">Sin otro particular, y quedando a disposición para cualquier requerimiento adicional que esa Dirección estime necesario, saludo a Ud. muy atentamente.</w:t>
      </w:r>
    </w:p>
    <w:p>
      <w:pPr>
        <w:spacing w:after="60" w:before="60"/>
      </w:pPr>
    </w:p>
    <w:p>
      <w:pPr>
        <w:spacing w:after="60" w:before="60"/>
      </w:pPr>
    </w:p>
    <w:p>
      <w:pPr>
        <w:jc w:val="center"/>
      </w:pPr>
      <w:r>
        <w:rPr>
          <w:rFonts w:ascii="Calibri" w:cs="Calibri" w:eastAsia="Calibri" w:hAnsi="Calibri"/>
          <w:sz w:val="21"/>
          <w:szCs w:val="21"/>
        </w:rPr>
        <w:t xml:space="preserve">___________________________________</w:t>
      </w:r>
    </w:p>
    <w:p>
      <w:pPr>
        <w:jc w:val="center"/>
      </w:pPr>
      <w:r>
        <w:rPr>
          <w:rFonts w:ascii="Calibri" w:cs="Calibri" w:eastAsia="Calibri" w:hAnsi="Calibri"/>
          <w:sz w:val="21"/>
          <w:szCs w:val="21"/>
        </w:rPr>
        <w:t xml:space="preserve">[NOMBRE Y APELLIDO]</w:t>
      </w:r>
    </w:p>
    <w:p>
      <w:pPr>
        <w:jc w:val="center"/>
      </w:pPr>
      <w:r>
        <w:rPr>
          <w:rFonts w:ascii="Calibri" w:cs="Calibri" w:eastAsia="Calibri" w:hAnsi="Calibri"/>
          <w:sz w:val="21"/>
          <w:szCs w:val="21"/>
        </w:rPr>
        <w:t xml:space="preserve">Representante Legal</w:t>
      </w:r>
    </w:p>
    <w:p>
      <w:pPr>
        <w:jc w:val="center"/>
      </w:pPr>
      <w:r>
        <w:rPr>
          <w:rFonts w:ascii="Calibri" w:cs="Calibri" w:eastAsia="Calibri" w:hAnsi="Calibri"/>
          <w:sz w:val="21"/>
          <w:szCs w:val="21"/>
        </w:rPr>
        <w:t xml:space="preserve">[DENOMINACIÓN SOCIAL]</w:t>
      </w:r>
    </w:p>
    <w:p>
      <w:pPr>
        <w:jc w:val="center"/>
      </w:pPr>
      <w:r>
        <w:rPr>
          <w:rFonts w:ascii="Calibri" w:cs="Calibri" w:eastAsia="Calibri" w:hAnsi="Calibri"/>
          <w:sz w:val="21"/>
          <w:szCs w:val="21"/>
        </w:rPr>
        <w:t xml:space="preserve">CUIT N° [XX-XXXXXXXX-X]</w:t>
      </w:r>
    </w:p>
    <w:p>
      <w:r>
        <w:br w:type="page"/>
      </w:r>
    </w:p>
    <w:p>
      <w:pPr>
        <w:spacing w:after="150" w:before="300"/>
      </w:pPr>
      <w:r>
        <w:rPr>
          <w:rFonts w:ascii="Calibri" w:cs="Calibri" w:eastAsia="Calibri" w:hAnsi="Calibri"/>
          <w:b/>
          <w:bCs/>
          <w:color w:val="2b6cb0"/>
          <w:sz w:val="24"/>
          <w:szCs w:val="24"/>
        </w:rPr>
        <w:t xml:space="preserve">3.B — NOTA A MUNICIPALIDAD: Cambio de Titularidad de Habilitación Comercial</w:t>
      </w:r>
    </w:p>
    <w:p>
      <w:pPr>
        <w:spacing w:after="60" w:before="60"/>
      </w:pPr>
    </w:p>
    <w:p>
      <w:pPr>
        <w:spacing w:after="200"/>
        <w:jc w:val="right"/>
      </w:pPr>
      <w:r>
        <w:rPr>
          <w:rFonts w:ascii="Calibri" w:cs="Calibri" w:eastAsia="Calibri" w:hAnsi="Calibri"/>
          <w:sz w:val="21"/>
          <w:szCs w:val="21"/>
        </w:rPr>
        <w:t xml:space="preserve">Córdoba, [DÍA] de [MES] de 2026</w:t>
      </w:r>
    </w:p>
    <w:p>
      <w:pPr>
        <w:spacing w:after="80" w:before="80"/>
        <w:jc w:val="both"/>
      </w:pPr>
      <w:r>
        <w:rPr>
          <w:rFonts w:ascii="Calibri" w:cs="Calibri" w:eastAsia="Calibri" w:hAnsi="Calibri"/>
          <w:color w:val="2d3748"/>
          <w:sz w:val="21"/>
          <w:szCs w:val="21"/>
        </w:rPr>
        <w:t xml:space="preserve">AL SEÑOR DIRECTOR</w:t>
      </w:r>
    </w:p>
    <w:p>
      <w:pPr>
        <w:spacing w:after="80" w:before="80"/>
        <w:jc w:val="both"/>
      </w:pPr>
      <w:r>
        <w:rPr>
          <w:rFonts w:ascii="Calibri" w:cs="Calibri" w:eastAsia="Calibri" w:hAnsi="Calibri"/>
          <w:color w:val="2d3748"/>
          <w:sz w:val="21"/>
          <w:szCs w:val="21"/>
        </w:rPr>
        <w:t xml:space="preserve">DE LA DIRECCIÓN DE HABILITACIÓN DE NEGOCIOS</w:t>
      </w:r>
    </w:p>
    <w:p>
      <w:pPr>
        <w:spacing w:after="80" w:before="80"/>
        <w:jc w:val="both"/>
      </w:pPr>
      <w:r>
        <w:rPr>
          <w:rFonts w:ascii="Calibri" w:cs="Calibri" w:eastAsia="Calibri" w:hAnsi="Calibri"/>
          <w:color w:val="2d3748"/>
          <w:sz w:val="21"/>
          <w:szCs w:val="21"/>
        </w:rPr>
        <w:t xml:space="preserve">MUNICIPALIDAD DE CÓRDOBA</w:t>
      </w:r>
    </w:p>
    <w:p>
      <w:pPr>
        <w:spacing w:after="80" w:before="80"/>
        <w:jc w:val="both"/>
      </w:pPr>
      <w:r>
        <w:rPr>
          <w:rFonts w:ascii="Calibri" w:cs="Calibri" w:eastAsia="Calibri" w:hAnsi="Calibri"/>
          <w:color w:val="2d3748"/>
          <w:sz w:val="21"/>
          <w:szCs w:val="21"/>
        </w:rPr>
        <w:t xml:space="preserve">Marcelo T. de Alvear 120 — Córdoba</w:t>
      </w:r>
    </w:p>
    <w:p>
      <w:pPr>
        <w:spacing w:after="80" w:before="80"/>
        <w:jc w:val="both"/>
      </w:pPr>
      <w:r>
        <w:rPr>
          <w:rFonts w:ascii="Calibri" w:cs="Calibri" w:eastAsia="Calibri" w:hAnsi="Calibri"/>
          <w:b w:val="false"/>
          <w:bCs w:val="false"/>
          <w:color w:val="2d3748"/>
          <w:sz w:val="21"/>
          <w:szCs w:val="21"/>
        </w:rPr>
        <w:t xml:space="preserve">S</w:t>
      </w:r>
      <w:r>
        <w:rPr>
          <w:rFonts w:ascii="Calibri" w:cs="Calibri" w:eastAsia="Calibri" w:hAnsi="Calibri"/>
          <w:b w:val="false"/>
          <w:bCs w:val="false"/>
          <w:color w:val="2d3748"/>
          <w:sz w:val="21"/>
          <w:szCs w:val="21"/>
        </w:rPr>
        <w:t xml:space="preserve">                    /                    </w:t>
      </w:r>
      <w:r>
        <w:rPr>
          <w:rFonts w:ascii="Calibri" w:cs="Calibri" w:eastAsia="Calibri" w:hAnsi="Calibri"/>
          <w:b w:val="false"/>
          <w:bCs w:val="false"/>
          <w:color w:val="2d3748"/>
          <w:sz w:val="21"/>
          <w:szCs w:val="21"/>
        </w:rPr>
        <w:t xml:space="preserve">D</w:t>
      </w:r>
    </w:p>
    <w:p>
      <w:pPr>
        <w:spacing w:after="60" w:before="60"/>
      </w:pPr>
    </w:p>
    <w:p>
      <w:pPr>
        <w:spacing w:after="80" w:before="80"/>
        <w:jc w:val="both"/>
      </w:pPr>
      <w:r>
        <w:rPr>
          <w:rFonts w:ascii="Calibri" w:cs="Calibri" w:eastAsia="Calibri" w:hAnsi="Calibri"/>
          <w:b/>
          <w:bCs/>
          <w:color w:val="2d3748"/>
          <w:sz w:val="21"/>
          <w:szCs w:val="21"/>
        </w:rPr>
        <w:t xml:space="preserve">REF.: </w:t>
      </w:r>
      <w:r>
        <w:rPr>
          <w:rFonts w:ascii="Calibri" w:cs="Calibri" w:eastAsia="Calibri" w:hAnsi="Calibri"/>
          <w:b/>
          <w:bCs/>
          <w:color w:val="2d3748"/>
          <w:sz w:val="21"/>
          <w:szCs w:val="21"/>
        </w:rPr>
        <w:t xml:space="preserve">SOLICITUD DE TRANSFERENCIA DE HABILITACIÓN COMERCIAL POR CAMBIO DE TITULARIDAD — TRANSFORMACIÓN SOCIETARIA — Ordenanza N° 12.052, Art. 34° inc. a).</w:t>
      </w:r>
    </w:p>
    <w:p>
      <w:pPr>
        <w:spacing w:after="60" w:before="60"/>
      </w:pPr>
    </w:p>
    <w:p>
      <w:pPr>
        <w:spacing w:after="80" w:before="80"/>
        <w:jc w:val="both"/>
      </w:pPr>
      <w:r>
        <w:rPr>
          <w:rFonts w:ascii="Calibri" w:cs="Calibri" w:eastAsia="Calibri" w:hAnsi="Calibri"/>
          <w:color w:val="2d3748"/>
          <w:sz w:val="21"/>
          <w:szCs w:val="21"/>
        </w:rPr>
        <w:t xml:space="preserve">De mi mayor consideración:</w:t>
      </w:r>
    </w:p>
    <w:p>
      <w:pPr>
        <w:spacing w:after="60" w:before="60"/>
      </w:pPr>
    </w:p>
    <w:p>
      <w:pPr>
        <w:spacing w:after="80" w:before="80"/>
        <w:jc w:val="both"/>
      </w:pPr>
      <w:r>
        <w:rPr>
          <w:rFonts w:ascii="Calibri" w:cs="Calibri" w:eastAsia="Calibri" w:hAnsi="Calibri"/>
          <w:color w:val="2d3748"/>
          <w:sz w:val="21"/>
          <w:szCs w:val="21"/>
        </w:rPr>
        <w:t xml:space="preserve">Por medio de la presente, y en mi carácter de representante legal de [DENOMINACIÓN SOCIAL COMPLETA], CUIT N° [XX-XXXXXXXX-X], me dirijo a Ud. a los efectos de solicitar la transferencia de la habilitación comercial del establecimiento que se individualiza a continuación, conforme lo dispuesto por el Art. 34° inciso a) de la Ordenanza N° 12.052 y sus reglamentaciones:</w:t>
      </w:r>
    </w:p>
    <w:p>
      <w:pPr>
        <w:spacing w:after="60" w:before="60"/>
      </w:pP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Nombre comercial: </w:t>
      </w:r>
      <w:r>
        <w:rPr>
          <w:rFonts w:ascii="Calibri" w:cs="Calibri" w:eastAsia="Calibri" w:hAnsi="Calibri"/>
          <w:color w:val="2d3748"/>
          <w:sz w:val="21"/>
          <w:szCs w:val="21"/>
        </w:rPr>
        <w:t xml:space="preserve">CENTRO DE OJOS LAZARTE</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Dirección del establecimiento: </w:t>
      </w:r>
      <w:r>
        <w:rPr>
          <w:rFonts w:ascii="Calibri" w:cs="Calibri" w:eastAsia="Calibri" w:hAnsi="Calibri"/>
          <w:color w:val="2d3748"/>
          <w:sz w:val="21"/>
          <w:szCs w:val="21"/>
        </w:rPr>
        <w:t xml:space="preserve">Deán Funes 614, Córdoba Capital</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Rubro habilitado: </w:t>
      </w:r>
      <w:r>
        <w:rPr>
          <w:rFonts w:ascii="Calibri" w:cs="Calibri" w:eastAsia="Calibri" w:hAnsi="Calibri"/>
          <w:color w:val="2d3748"/>
          <w:sz w:val="21"/>
          <w:szCs w:val="21"/>
        </w:rPr>
        <w:t xml:space="preserve">Centro Médico / Servicios de Salud — Oftalmología</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Titular anterior: </w:t>
      </w:r>
      <w:r>
        <w:rPr>
          <w:rFonts w:ascii="Calibri" w:cs="Calibri" w:eastAsia="Calibri" w:hAnsi="Calibri"/>
          <w:color w:val="2d3748"/>
          <w:sz w:val="21"/>
          <w:szCs w:val="21"/>
        </w:rPr>
        <w:t xml:space="preserve">[NOMBRE COMPLETO DE LA PERSONA HUMANA], DNI N° [NÚMERO], CUIT N° [XX-XXXXXXXX-X]</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Nuevo titular: </w:t>
      </w:r>
      <w:r>
        <w:rPr>
          <w:rFonts w:ascii="Calibri" w:cs="Calibri" w:eastAsia="Calibri" w:hAnsi="Calibri"/>
          <w:color w:val="2d3748"/>
          <w:sz w:val="21"/>
          <w:szCs w:val="21"/>
        </w:rPr>
        <w:t xml:space="preserve">[DENOMINACIÓN SOCIAL], CUIT N° [XX-XXXXXXXX-X]</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N° de habilitación vigente: </w:t>
      </w:r>
      <w:r>
        <w:rPr>
          <w:rFonts w:ascii="Calibri" w:cs="Calibri" w:eastAsia="Calibri" w:hAnsi="Calibri"/>
          <w:color w:val="2d3748"/>
          <w:sz w:val="21"/>
          <w:szCs w:val="21"/>
        </w:rPr>
        <w:t xml:space="preserve">[NÚMERO DE HABILITACIÓN]</w:t>
      </w:r>
    </w:p>
    <w:p>
      <w:pPr>
        <w:spacing w:after="60" w:before="60"/>
      </w:pPr>
    </w:p>
    <w:p>
      <w:pPr>
        <w:spacing w:after="80" w:before="80"/>
        <w:jc w:val="both"/>
      </w:pPr>
      <w:r>
        <w:rPr>
          <w:rFonts w:ascii="Calibri" w:cs="Calibri" w:eastAsia="Calibri" w:hAnsi="Calibri"/>
          <w:color w:val="2d3748"/>
          <w:sz w:val="21"/>
          <w:szCs w:val="21"/>
        </w:rPr>
        <w:t xml:space="preserve">El cambio de titularidad obedece exclusivamente a la transformación de la estructura jurídica del establecimiento, que pasa de operar bajo un formato de persona humana (responsable inscrito) a una sociedad (persona jurídica), sin que ello implique modificación alguna en la ubicación, el rubro, la superficie, las condiciones edilicias ni la actividad desarrollada.</w:t>
      </w:r>
    </w:p>
    <w:p>
      <w:pPr>
        <w:spacing w:after="60" w:before="60"/>
      </w:pPr>
    </w:p>
    <w:p>
      <w:pPr>
        <w:spacing w:after="80" w:before="80"/>
        <w:jc w:val="both"/>
      </w:pPr>
      <w:r>
        <w:rPr>
          <w:rFonts w:ascii="Calibri" w:cs="Calibri" w:eastAsia="Calibri" w:hAnsi="Calibri"/>
          <w:color w:val="2d3748"/>
          <w:sz w:val="21"/>
          <w:szCs w:val="21"/>
        </w:rPr>
        <w:t xml:space="preserve">Conforme lo dispuesto por la normativa citada, dentro del plazo de diez (10) días de producido el cambio, se presenta la siguiente documentación:</w:t>
      </w:r>
    </w:p>
    <w:p>
      <w:pPr>
        <w:spacing w:after="60" w:before="60"/>
      </w:pP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1. </w:t>
      </w:r>
      <w:r>
        <w:rPr>
          <w:rFonts w:ascii="Calibri" w:cs="Calibri" w:eastAsia="Calibri" w:hAnsi="Calibri"/>
          <w:color w:val="2d3748"/>
          <w:sz w:val="21"/>
          <w:szCs w:val="21"/>
        </w:rPr>
        <w:t xml:space="preserve">Formulario de solicitud de transferencia de habilitación.</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2. </w:t>
      </w:r>
      <w:r>
        <w:rPr>
          <w:rFonts w:ascii="Calibri" w:cs="Calibri" w:eastAsia="Calibri" w:hAnsi="Calibri"/>
          <w:color w:val="2d3748"/>
          <w:sz w:val="21"/>
          <w:szCs w:val="21"/>
        </w:rPr>
        <w:t xml:space="preserve">Copia certificada del Contrato Social / Estatuto con constancia de inscripción en DIPJ.</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3. </w:t>
      </w:r>
      <w:r>
        <w:rPr>
          <w:rFonts w:ascii="Calibri" w:cs="Calibri" w:eastAsia="Calibri" w:hAnsi="Calibri"/>
          <w:color w:val="2d3748"/>
          <w:sz w:val="21"/>
          <w:szCs w:val="21"/>
        </w:rPr>
        <w:t xml:space="preserve">Acta de designación de autoridades vigentes de la sociedad.</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4. </w:t>
      </w:r>
      <w:r>
        <w:rPr>
          <w:rFonts w:ascii="Calibri" w:cs="Calibri" w:eastAsia="Calibri" w:hAnsi="Calibri"/>
          <w:color w:val="2d3748"/>
          <w:sz w:val="21"/>
          <w:szCs w:val="21"/>
        </w:rPr>
        <w:t xml:space="preserve">Constancia de CUIT de la persona jurídica (ARCA).</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5. </w:t>
      </w:r>
      <w:r>
        <w:rPr>
          <w:rFonts w:ascii="Calibri" w:cs="Calibri" w:eastAsia="Calibri" w:hAnsi="Calibri"/>
          <w:color w:val="2d3748"/>
          <w:sz w:val="21"/>
          <w:szCs w:val="21"/>
        </w:rPr>
        <w:t xml:space="preserve">Constancia de inscripción en Ingresos Brutos (Rentas Córdoba / Convenio Multilateral).</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6. </w:t>
      </w:r>
      <w:r>
        <w:rPr>
          <w:rFonts w:ascii="Calibri" w:cs="Calibri" w:eastAsia="Calibri" w:hAnsi="Calibri"/>
          <w:color w:val="2d3748"/>
          <w:sz w:val="21"/>
          <w:szCs w:val="21"/>
        </w:rPr>
        <w:t xml:space="preserve">Libre deuda municipal o constancia de regularización de la Tasa sobre Inmuebles correspondiente al local.</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7. </w:t>
      </w:r>
      <w:r>
        <w:rPr>
          <w:rFonts w:ascii="Calibri" w:cs="Calibri" w:eastAsia="Calibri" w:hAnsi="Calibri"/>
          <w:color w:val="2d3748"/>
          <w:sz w:val="21"/>
          <w:szCs w:val="21"/>
        </w:rPr>
        <w:t xml:space="preserve">Contrato de locación / comodato / título de propiedad del inmueble.</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8. </w:t>
      </w:r>
      <w:r>
        <w:rPr>
          <w:rFonts w:ascii="Calibri" w:cs="Calibri" w:eastAsia="Calibri" w:hAnsi="Calibri"/>
          <w:color w:val="2d3748"/>
          <w:sz w:val="21"/>
          <w:szCs w:val="21"/>
        </w:rPr>
        <w:t xml:space="preserve">Habilitación sanitaria vigente (RUGEPRESA / Dirección General de Regulación Sanitaria).</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9. </w:t>
      </w:r>
      <w:r>
        <w:rPr>
          <w:rFonts w:ascii="Calibri" w:cs="Calibri" w:eastAsia="Calibri" w:hAnsi="Calibri"/>
          <w:color w:val="2d3748"/>
          <w:sz w:val="21"/>
          <w:szCs w:val="21"/>
        </w:rPr>
        <w:t xml:space="preserve">DNI del representante legal (frente y dorso).</w:t>
      </w:r>
    </w:p>
    <w:p>
      <w:pPr>
        <w:spacing w:after="60" w:before="60"/>
      </w:pPr>
    </w:p>
    <w:p>
      <w:pPr>
        <w:spacing w:after="80" w:before="80"/>
        <w:jc w:val="both"/>
      </w:pPr>
      <w:r>
        <w:rPr>
          <w:rFonts w:ascii="Calibri" w:cs="Calibri" w:eastAsia="Calibri" w:hAnsi="Calibri"/>
          <w:color w:val="2d3748"/>
          <w:sz w:val="21"/>
          <w:szCs w:val="21"/>
        </w:rPr>
        <w:t xml:space="preserve">Se solicita a esa Dirección tenga a bien tramitar la transferencia de la habilitación comercial a favor de la persona jurídica indicada, manteniendo las condiciones de habilitación vigentes, conforme lo autoriza el Art. 34° de la Ordenanza 12.052 cuando no existan modificaciones en las condiciones de ejercicio de la actividad.</w:t>
      </w:r>
    </w:p>
    <w:p>
      <w:pPr>
        <w:spacing w:after="60" w:before="60"/>
      </w:pPr>
    </w:p>
    <w:p>
      <w:pPr>
        <w:spacing w:after="80" w:before="80"/>
        <w:jc w:val="both"/>
      </w:pPr>
      <w:r>
        <w:rPr>
          <w:rFonts w:ascii="Calibri" w:cs="Calibri" w:eastAsia="Calibri" w:hAnsi="Calibri"/>
          <w:color w:val="2d3748"/>
          <w:sz w:val="21"/>
          <w:szCs w:val="21"/>
        </w:rPr>
        <w:t xml:space="preserve">Sin otro particular, saludo a Ud. muy atentamente.</w:t>
      </w:r>
    </w:p>
    <w:p>
      <w:pPr>
        <w:spacing w:after="60" w:before="60"/>
      </w:pPr>
    </w:p>
    <w:p>
      <w:pPr>
        <w:spacing w:after="60" w:before="60"/>
      </w:pPr>
    </w:p>
    <w:p>
      <w:pPr>
        <w:jc w:val="center"/>
      </w:pPr>
      <w:r>
        <w:rPr>
          <w:rFonts w:ascii="Calibri" w:cs="Calibri" w:eastAsia="Calibri" w:hAnsi="Calibri"/>
          <w:sz w:val="21"/>
          <w:szCs w:val="21"/>
        </w:rPr>
        <w:t xml:space="preserve">___________________________________</w:t>
      </w:r>
    </w:p>
    <w:p>
      <w:pPr>
        <w:jc w:val="center"/>
      </w:pPr>
      <w:r>
        <w:rPr>
          <w:rFonts w:ascii="Calibri" w:cs="Calibri" w:eastAsia="Calibri" w:hAnsi="Calibri"/>
          <w:sz w:val="21"/>
          <w:szCs w:val="21"/>
        </w:rPr>
        <w:t xml:space="preserve">[NOMBRE Y APELLIDO]</w:t>
      </w:r>
    </w:p>
    <w:p>
      <w:pPr>
        <w:jc w:val="center"/>
      </w:pPr>
      <w:r>
        <w:rPr>
          <w:rFonts w:ascii="Calibri" w:cs="Calibri" w:eastAsia="Calibri" w:hAnsi="Calibri"/>
          <w:sz w:val="21"/>
          <w:szCs w:val="21"/>
        </w:rPr>
        <w:t xml:space="preserve">Representante Legal — [DENOMINACIÓN SOCIAL]</w:t>
      </w:r>
    </w:p>
    <w:p>
      <w:pPr>
        <w:jc w:val="center"/>
      </w:pPr>
      <w:r>
        <w:rPr>
          <w:rFonts w:ascii="Calibri" w:cs="Calibri" w:eastAsia="Calibri" w:hAnsi="Calibri"/>
          <w:sz w:val="21"/>
          <w:szCs w:val="21"/>
        </w:rPr>
        <w:t xml:space="preserve">CUIT N° [XX-XXXXXXXX-X]</w:t>
      </w:r>
    </w:p>
    <w:p>
      <w:r>
        <w:br w:type="page"/>
      </w:r>
    </w:p>
    <w:p>
      <w:pPr>
        <w:pBdr>
          <w:bottom w:val="single" w:color="1a365d" w:sz="6"/>
        </w:pBdr>
        <w:spacing w:after="200" w:before="400"/>
      </w:pPr>
      <w:r>
        <w:rPr>
          <w:rFonts w:ascii="Calibri" w:cs="Calibri" w:eastAsia="Calibri" w:hAnsi="Calibri"/>
          <w:b/>
          <w:bCs/>
          <w:color w:val="1a365d"/>
          <w:sz w:val="28"/>
          <w:szCs w:val="28"/>
        </w:rPr>
        <w:t xml:space="preserve">4. ESTRATEGIA DE CRONOGRAMA DE CORTE DE FACTURACIÓN</w:t>
      </w:r>
    </w:p>
    <w:p>
      <w:pPr>
        <w:spacing w:after="80" w:before="80"/>
        <w:jc w:val="both"/>
      </w:pPr>
      <w:r>
        <w:rPr>
          <w:rFonts w:ascii="Calibri" w:cs="Calibri" w:eastAsia="Calibri" w:hAnsi="Calibri"/>
          <w:color w:val="2d3748"/>
          <w:sz w:val="21"/>
          <w:szCs w:val="21"/>
        </w:rPr>
        <w:t xml:space="preserve">Plan de transición con fechas simuladas para el equipo contable y administrativo, orientado a evitar rechazos de facturación, contingencias fiscales ante ARCA y Rentas Córdoba, y discontinuidades en las autorizaciones de prácticas ante APROSS.</w:t>
      </w:r>
    </w:p>
    <w:p>
      <w:pPr>
        <w:spacing w:after="60" w:before="60"/>
      </w:pPr>
    </w:p>
    <w:p>
      <w:pPr>
        <w:spacing w:after="150" w:before="300"/>
      </w:pPr>
      <w:r>
        <w:rPr>
          <w:rFonts w:ascii="Calibri" w:cs="Calibri" w:eastAsia="Calibri" w:hAnsi="Calibri"/>
          <w:b/>
          <w:bCs/>
          <w:color w:val="2b6cb0"/>
          <w:sz w:val="24"/>
          <w:szCs w:val="24"/>
        </w:rPr>
        <w:t xml:space="preserve">4.1 Premisa Fundamental: El "Día D" de Corte</w:t>
      </w:r>
    </w:p>
    <w:p>
      <w:pPr>
        <w:spacing w:after="80" w:before="80"/>
        <w:jc w:val="both"/>
      </w:pPr>
      <w:r>
        <w:rPr>
          <w:rFonts w:ascii="Calibri" w:cs="Calibri" w:eastAsia="Calibri" w:hAnsi="Calibri"/>
          <w:color w:val="2d3748"/>
          <w:sz w:val="21"/>
          <w:szCs w:val="21"/>
        </w:rPr>
        <w:t xml:space="preserve">La transición debe planificarse alrededor de un "Día D" que coincida con el primer día de un período fiscal mensual (idealmente el 1° del mes). Esto permite una cesura limpia entre la facturación emitida por la persona humana (CUIT viejo) y la facturación emitida por la persona jurídica (CUIT nuevo), minimizando ajustes, notas de crédito y observaciones tanto de obras sociales como de los organismos fiscales.</w:t>
      </w:r>
    </w:p>
    <w:p>
      <w:pPr>
        <w:pBdr>
          <w:left w:val="single" w:color="2b6cb0" w:sz="12"/>
        </w:pBdr>
        <w:shd w:fill="ebf4ff" w:color="auto" w:val="clear"/>
        <w:spacing w:after="120" w:before="120"/>
        <w:ind w:left="360" w:right="360"/>
      </w:pPr>
      <w:r>
        <w:rPr>
          <w:rFonts w:ascii="Calibri" w:cs="Calibri" w:eastAsia="Calibri" w:hAnsi="Calibri"/>
          <w:sz w:val="21"/>
          <w:szCs w:val="21"/>
        </w:rPr>
        <w:t xml:space="preserve">ℹ️ </w:t>
      </w:r>
      <w:r>
        <w:rPr>
          <w:rFonts w:ascii="Calibri" w:cs="Calibri" w:eastAsia="Calibri" w:hAnsi="Calibri"/>
          <w:i/>
          <w:iCs/>
          <w:color w:val="2d3748"/>
          <w:sz w:val="20"/>
          <w:szCs w:val="20"/>
        </w:rPr>
        <w:t xml:space="preserve">FECHA SIMULADA DE CORTE PROPUESTA: 1° DE NOVIEMBRE DE 2026. Toda la planificación que sigue utiliza esta fecha como referencia. Ajustar según la dinámica real del trámite.</w:t>
      </w:r>
    </w:p>
    <w:p>
      <w:pPr>
        <w:spacing w:after="60" w:before="60"/>
      </w:pPr>
    </w:p>
    <w:p>
      <w:pPr>
        <w:spacing w:after="150" w:before="300"/>
      </w:pPr>
      <w:r>
        <w:rPr>
          <w:rFonts w:ascii="Calibri" w:cs="Calibri" w:eastAsia="Calibri" w:hAnsi="Calibri"/>
          <w:b/>
          <w:bCs/>
          <w:color w:val="2b6cb0"/>
          <w:sz w:val="24"/>
          <w:szCs w:val="24"/>
        </w:rPr>
        <w:t xml:space="preserve">4.2 Cronograma Detallado</w:t>
      </w:r>
    </w:p>
    <w:p>
      <w:pPr>
        <w:spacing w:after="60" w:before="60"/>
      </w:pP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3800"/>
      </w:tblGrid>
      <w:tr>
        <w:tc>
          <w:tcPr>
            <w:tcW w:type="dxa" w:w="2200"/>
            <w:shd w:fill="2c5282" w:color="auto" w:val="clear"/>
            <w:vAlign w:val="center"/>
          </w:tcPr>
          <w:p>
            <w:r>
              <w:rPr>
                <w:rFonts w:ascii="Calibri" w:cs="Calibri" w:eastAsia="Calibri" w:hAnsi="Calibri"/>
                <w:b/>
                <w:bCs/>
                <w:color w:val="ffffff"/>
                <w:sz w:val="18"/>
                <w:szCs w:val="18"/>
              </w:rPr>
              <w:t xml:space="preserve">PERÍODO</w:t>
            </w:r>
          </w:p>
        </w:tc>
        <w:tc>
          <w:tcPr>
            <w:tcW w:type="dxa" w:w="5000"/>
            <w:shd w:fill="2c5282" w:color="auto" w:val="clear"/>
            <w:vAlign w:val="center"/>
          </w:tcPr>
          <w:p>
            <w:pPr>
              <w:jc w:val="both"/>
            </w:pPr>
            <w:r>
              <w:rPr>
                <w:rFonts w:ascii="Calibri" w:cs="Calibri" w:eastAsia="Calibri" w:hAnsi="Calibri"/>
                <w:b/>
                <w:bCs/>
                <w:color w:val="ffffff"/>
                <w:sz w:val="18"/>
                <w:szCs w:val="18"/>
              </w:rPr>
              <w:t xml:space="preserve">ACCIÓN</w:t>
            </w:r>
          </w:p>
        </w:tc>
        <w:tc>
          <w:tcPr>
            <w:tcW w:type="dxa" w:w="3800"/>
            <w:shd w:fill="2c5282" w:color="auto" w:val="clear"/>
            <w:vAlign w:val="center"/>
          </w:tcPr>
          <w:p>
            <w:r>
              <w:rPr>
                <w:rFonts w:ascii="Calibri" w:cs="Calibri" w:eastAsia="Calibri" w:hAnsi="Calibri"/>
                <w:b/>
                <w:bCs/>
                <w:color w:val="ffffff"/>
                <w:sz w:val="18"/>
                <w:szCs w:val="18"/>
              </w:rPr>
              <w:t xml:space="preserve">RESPONSABLE</w:t>
            </w:r>
          </w:p>
        </w:tc>
      </w:tr>
      <w:tr>
        <w:tc>
          <w:tcPr>
            <w:tcW w:type="dxa" w:w="2200"/>
            <w:shd w:fill="f7fafc" w:color="auto" w:val="clear"/>
            <w:vAlign w:val="center"/>
          </w:tcPr>
          <w:p>
            <w:r>
              <w:rPr>
                <w:rFonts w:ascii="Calibri" w:cs="Calibri" w:eastAsia="Calibri" w:hAnsi="Calibri"/>
                <w:b w:val="false"/>
                <w:bCs w:val="false"/>
                <w:color w:val="2d3748"/>
                <w:sz w:val="18"/>
                <w:szCs w:val="18"/>
              </w:rPr>
              <w:t xml:space="preserve">D-90 (01/08/2026)</w:t>
            </w:r>
          </w:p>
        </w:tc>
        <w:tc>
          <w:tcPr>
            <w:tcW w:type="dxa" w:w="5000"/>
            <w:vAlign w:val="center"/>
          </w:tcPr>
          <w:p>
            <w:pPr>
              <w:jc w:val="both"/>
            </w:pPr>
            <w:r>
              <w:rPr>
                <w:rFonts w:ascii="Calibri" w:cs="Calibri" w:eastAsia="Calibri" w:hAnsi="Calibri"/>
                <w:b w:val="false"/>
                <w:bCs w:val="false"/>
                <w:color w:val="2d3748"/>
                <w:sz w:val="18"/>
                <w:szCs w:val="18"/>
              </w:rPr>
              <w:t xml:space="preserve">Inscripción de la sociedad ante DIPJ. Obtención del CUIT ante ARCA. Inscripción en IVA y Ganancias. Alta en Ingresos Brutos (Rentas Córdoba).</w:t>
            </w:r>
          </w:p>
        </w:tc>
        <w:tc>
          <w:tcPr>
            <w:tcW w:type="dxa" w:w="3800"/>
            <w:vAlign w:val="center"/>
          </w:tcPr>
          <w:p>
            <w:r>
              <w:rPr>
                <w:rFonts w:ascii="Calibri" w:cs="Calibri" w:eastAsia="Calibri" w:hAnsi="Calibri"/>
                <w:b w:val="false"/>
                <w:bCs w:val="false"/>
                <w:color w:val="2d3748"/>
                <w:sz w:val="18"/>
                <w:szCs w:val="18"/>
              </w:rPr>
              <w:t xml:space="preserve">Contador + Abogado societario</w:t>
            </w:r>
          </w:p>
        </w:tc>
      </w:tr>
      <w:tr>
        <w:tc>
          <w:tcPr>
            <w:tcW w:type="dxa" w:w="2200"/>
            <w:shd w:fill="f7fafc" w:color="auto" w:val="clear"/>
            <w:vAlign w:val="center"/>
          </w:tcPr>
          <w:p>
            <w:r>
              <w:rPr>
                <w:rFonts w:ascii="Calibri" w:cs="Calibri" w:eastAsia="Calibri" w:hAnsi="Calibri"/>
                <w:b w:val="false"/>
                <w:bCs w:val="false"/>
                <w:color w:val="2d3748"/>
                <w:sz w:val="18"/>
                <w:szCs w:val="18"/>
              </w:rPr>
              <w:t xml:space="preserve">D-75 (15/08/2026)</w:t>
            </w:r>
          </w:p>
        </w:tc>
        <w:tc>
          <w:tcPr>
            <w:tcW w:type="dxa" w:w="5000"/>
            <w:vAlign w:val="center"/>
          </w:tcPr>
          <w:p>
            <w:pPr>
              <w:jc w:val="both"/>
            </w:pPr>
            <w:r>
              <w:rPr>
                <w:rFonts w:ascii="Calibri" w:cs="Calibri" w:eastAsia="Calibri" w:hAnsi="Calibri"/>
                <w:b w:val="false"/>
                <w:bCs w:val="false"/>
                <w:color w:val="2d3748"/>
                <w:sz w:val="18"/>
                <w:szCs w:val="18"/>
              </w:rPr>
              <w:t xml:space="preserve">Vinculación del representante legal en CiDi (ARCA → Administrador de Relaciones → CiDi). Contratación de nueva póliza de seguro de praxis a nombre de la sociedad con inicio de vigencia D.</w:t>
            </w:r>
          </w:p>
        </w:tc>
        <w:tc>
          <w:tcPr>
            <w:tcW w:type="dxa" w:w="3800"/>
            <w:vAlign w:val="center"/>
          </w:tcPr>
          <w:p>
            <w:r>
              <w:rPr>
                <w:rFonts w:ascii="Calibri" w:cs="Calibri" w:eastAsia="Calibri" w:hAnsi="Calibri"/>
                <w:b w:val="false"/>
                <w:bCs w:val="false"/>
                <w:color w:val="2d3748"/>
                <w:sz w:val="18"/>
                <w:szCs w:val="18"/>
              </w:rPr>
              <w:t xml:space="preserve">Contador + Broker seguros</w:t>
            </w:r>
          </w:p>
        </w:tc>
      </w:tr>
      <w:tr>
        <w:tc>
          <w:tcPr>
            <w:tcW w:type="dxa" w:w="2200"/>
            <w:shd w:fill="f7fafc" w:color="auto" w:val="clear"/>
            <w:vAlign w:val="center"/>
          </w:tcPr>
          <w:p>
            <w:r>
              <w:rPr>
                <w:rFonts w:ascii="Calibri" w:cs="Calibri" w:eastAsia="Calibri" w:hAnsi="Calibri"/>
                <w:b w:val="false"/>
                <w:bCs w:val="false"/>
                <w:color w:val="2d3748"/>
                <w:sz w:val="18"/>
                <w:szCs w:val="18"/>
              </w:rPr>
              <w:t xml:space="preserve">D-60 (01/09/2026)</w:t>
            </w:r>
          </w:p>
        </w:tc>
        <w:tc>
          <w:tcPr>
            <w:tcW w:type="dxa" w:w="5000"/>
            <w:vAlign w:val="center"/>
          </w:tcPr>
          <w:p>
            <w:pPr>
              <w:jc w:val="both"/>
            </w:pPr>
            <w:r>
              <w:rPr>
                <w:rFonts w:ascii="Calibri" w:cs="Calibri" w:eastAsia="Calibri" w:hAnsi="Calibri"/>
                <w:b w:val="false"/>
                <w:bCs w:val="false"/>
                <w:color w:val="2d3748"/>
                <w:sz w:val="18"/>
                <w:szCs w:val="18"/>
              </w:rPr>
              <w:t xml:space="preserve">Presentación del trámite de transferencia de habilitación sanitaria ante RUGEPRESA vía CiDi. Pago de Tasa Retributiva. Carga del expediente digital completo.</w:t>
            </w:r>
          </w:p>
        </w:tc>
        <w:tc>
          <w:tcPr>
            <w:tcW w:type="dxa" w:w="3800"/>
            <w:vAlign w:val="center"/>
          </w:tcPr>
          <w:p>
            <w:r>
              <w:rPr>
                <w:rFonts w:ascii="Calibri" w:cs="Calibri" w:eastAsia="Calibri" w:hAnsi="Calibri"/>
                <w:b w:val="false"/>
                <w:bCs w:val="false"/>
                <w:color w:val="2d3748"/>
                <w:sz w:val="18"/>
                <w:szCs w:val="18"/>
              </w:rPr>
              <w:t xml:space="preserve">Gestor sanitario / Apoderado</w:t>
            </w:r>
          </w:p>
        </w:tc>
      </w:tr>
      <w:tr>
        <w:tc>
          <w:tcPr>
            <w:tcW w:type="dxa" w:w="2200"/>
            <w:shd w:fill="f7fafc" w:color="auto" w:val="clear"/>
            <w:vAlign w:val="center"/>
          </w:tcPr>
          <w:p>
            <w:r>
              <w:rPr>
                <w:rFonts w:ascii="Calibri" w:cs="Calibri" w:eastAsia="Calibri" w:hAnsi="Calibri"/>
                <w:b w:val="false"/>
                <w:bCs w:val="false"/>
                <w:color w:val="2d3748"/>
                <w:sz w:val="18"/>
                <w:szCs w:val="18"/>
              </w:rPr>
              <w:t xml:space="preserve">D-60 (01/09/2026)</w:t>
            </w:r>
          </w:p>
        </w:tc>
        <w:tc>
          <w:tcPr>
            <w:tcW w:type="dxa" w:w="5000"/>
            <w:vAlign w:val="center"/>
          </w:tcPr>
          <w:p>
            <w:pPr>
              <w:jc w:val="both"/>
            </w:pPr>
            <w:r>
              <w:rPr>
                <w:rFonts w:ascii="Calibri" w:cs="Calibri" w:eastAsia="Calibri" w:hAnsi="Calibri"/>
                <w:b w:val="false"/>
                <w:bCs w:val="false"/>
                <w:color w:val="2d3748"/>
                <w:sz w:val="18"/>
                <w:szCs w:val="18"/>
              </w:rPr>
              <w:t xml:space="preserve">Renovación / celebración del contrato de residuos patógenos a nombre de la sociedad. Convenio de emergencias (si aplica).</w:t>
            </w:r>
          </w:p>
        </w:tc>
        <w:tc>
          <w:tcPr>
            <w:tcW w:type="dxa" w:w="3800"/>
            <w:vAlign w:val="center"/>
          </w:tcPr>
          <w:p>
            <w:r>
              <w:rPr>
                <w:rFonts w:ascii="Calibri" w:cs="Calibri" w:eastAsia="Calibri" w:hAnsi="Calibri"/>
                <w:b w:val="false"/>
                <w:bCs w:val="false"/>
                <w:color w:val="2d3748"/>
                <w:sz w:val="18"/>
                <w:szCs w:val="18"/>
              </w:rPr>
              <w:t xml:space="preserve">Administración</w:t>
            </w:r>
          </w:p>
        </w:tc>
      </w:tr>
      <w:tr>
        <w:tc>
          <w:tcPr>
            <w:tcW w:type="dxa" w:w="2200"/>
            <w:shd w:fill="f7fafc" w:color="auto" w:val="clear"/>
            <w:vAlign w:val="center"/>
          </w:tcPr>
          <w:p>
            <w:r>
              <w:rPr>
                <w:rFonts w:ascii="Calibri" w:cs="Calibri" w:eastAsia="Calibri" w:hAnsi="Calibri"/>
                <w:b w:val="false"/>
                <w:bCs w:val="false"/>
                <w:color w:val="2d3748"/>
                <w:sz w:val="18"/>
                <w:szCs w:val="18"/>
              </w:rPr>
              <w:t xml:space="preserve">D-45 (15/09/2026)</w:t>
            </w:r>
          </w:p>
        </w:tc>
        <w:tc>
          <w:tcPr>
            <w:tcW w:type="dxa" w:w="5000"/>
            <w:vAlign w:val="center"/>
          </w:tcPr>
          <w:p>
            <w:pPr>
              <w:jc w:val="both"/>
            </w:pPr>
            <w:r>
              <w:rPr>
                <w:rFonts w:ascii="Calibri" w:cs="Calibri" w:eastAsia="Calibri" w:hAnsi="Calibri"/>
                <w:b w:val="false"/>
                <w:bCs w:val="false"/>
                <w:color w:val="2d3748"/>
                <w:sz w:val="18"/>
                <w:szCs w:val="18"/>
              </w:rPr>
              <w:t xml:space="preserve">Presentación de Nota A ante APROSS (Área de Convenios). Solicitud de adenda o nuevo contrato prestacional. Solicitud de alta del CUIT nuevo en Portal de Prestadores.</w:t>
            </w:r>
          </w:p>
        </w:tc>
        <w:tc>
          <w:tcPr>
            <w:tcW w:type="dxa" w:w="3800"/>
            <w:vAlign w:val="center"/>
          </w:tcPr>
          <w:p>
            <w:r>
              <w:rPr>
                <w:rFonts w:ascii="Calibri" w:cs="Calibri" w:eastAsia="Calibri" w:hAnsi="Calibri"/>
                <w:b w:val="false"/>
                <w:bCs w:val="false"/>
                <w:color w:val="2d3748"/>
                <w:sz w:val="18"/>
                <w:szCs w:val="18"/>
              </w:rPr>
              <w:t xml:space="preserve">Representante legal + Adm.</w:t>
            </w:r>
          </w:p>
        </w:tc>
      </w:tr>
      <w:tr>
        <w:tc>
          <w:tcPr>
            <w:tcW w:type="dxa" w:w="2200"/>
            <w:shd w:fill="f7fafc" w:color="auto" w:val="clear"/>
            <w:vAlign w:val="center"/>
          </w:tcPr>
          <w:p>
            <w:r>
              <w:rPr>
                <w:rFonts w:ascii="Calibri" w:cs="Calibri" w:eastAsia="Calibri" w:hAnsi="Calibri"/>
                <w:b w:val="false"/>
                <w:bCs w:val="false"/>
                <w:color w:val="2d3748"/>
                <w:sz w:val="18"/>
                <w:szCs w:val="18"/>
              </w:rPr>
              <w:t xml:space="preserve">D-45 (15/09/2026)</w:t>
            </w:r>
          </w:p>
        </w:tc>
        <w:tc>
          <w:tcPr>
            <w:tcW w:type="dxa" w:w="5000"/>
            <w:vAlign w:val="center"/>
          </w:tcPr>
          <w:p>
            <w:pPr>
              <w:jc w:val="both"/>
            </w:pPr>
            <w:r>
              <w:rPr>
                <w:rFonts w:ascii="Calibri" w:cs="Calibri" w:eastAsia="Calibri" w:hAnsi="Calibri"/>
                <w:b w:val="false"/>
                <w:bCs w:val="false"/>
                <w:color w:val="2d3748"/>
                <w:sz w:val="18"/>
                <w:szCs w:val="18"/>
              </w:rPr>
              <w:t xml:space="preserve">Presentación de Nota B ante Municipalidad de Córdoba (Dirección de Habilitación de Negocios). Inicio del trámite de transferencia de habilitación comercial (plazo normativo: 10 días desde el cambio — Art. 34° Ord. 12.052).</w:t>
            </w:r>
          </w:p>
        </w:tc>
        <w:tc>
          <w:tcPr>
            <w:tcW w:type="dxa" w:w="3800"/>
            <w:vAlign w:val="center"/>
          </w:tcPr>
          <w:p>
            <w:r>
              <w:rPr>
                <w:rFonts w:ascii="Calibri" w:cs="Calibri" w:eastAsia="Calibri" w:hAnsi="Calibri"/>
                <w:b w:val="false"/>
                <w:bCs w:val="false"/>
                <w:color w:val="2d3748"/>
                <w:sz w:val="18"/>
                <w:szCs w:val="18"/>
              </w:rPr>
              <w:t xml:space="preserve">Representante legal + Adm.</w:t>
            </w:r>
          </w:p>
        </w:tc>
      </w:tr>
      <w:tr>
        <w:tc>
          <w:tcPr>
            <w:tcW w:type="dxa" w:w="2200"/>
            <w:shd w:fill="f7fafc" w:color="auto" w:val="clear"/>
            <w:vAlign w:val="center"/>
          </w:tcPr>
          <w:p>
            <w:r>
              <w:rPr>
                <w:rFonts w:ascii="Calibri" w:cs="Calibri" w:eastAsia="Calibri" w:hAnsi="Calibri"/>
                <w:b w:val="false"/>
                <w:bCs w:val="false"/>
                <w:color w:val="2d3748"/>
                <w:sz w:val="18"/>
                <w:szCs w:val="18"/>
              </w:rPr>
              <w:t xml:space="preserve">D-30 (01/10/2026)</w:t>
            </w:r>
          </w:p>
        </w:tc>
        <w:tc>
          <w:tcPr>
            <w:tcW w:type="dxa" w:w="5000"/>
            <w:vAlign w:val="center"/>
          </w:tcPr>
          <w:p>
            <w:pPr>
              <w:jc w:val="both"/>
            </w:pPr>
            <w:r>
              <w:rPr>
                <w:rFonts w:ascii="Calibri" w:cs="Calibri" w:eastAsia="Calibri" w:hAnsi="Calibri"/>
                <w:b w:val="false"/>
                <w:bCs w:val="false"/>
                <w:color w:val="2d3748"/>
                <w:sz w:val="18"/>
                <w:szCs w:val="18"/>
              </w:rPr>
              <w:t xml:space="preserve">HABILITACIÓN DEL FACTURADOR ELECTRÓNICO: Alta de punto de venta en ARCA a nombre de la sociedad. Configuración del sistema de facturación (AFIP WebService o software de gestión) con el CUIT nuevo.</w:t>
            </w:r>
          </w:p>
        </w:tc>
        <w:tc>
          <w:tcPr>
            <w:tcW w:type="dxa" w:w="3800"/>
            <w:vAlign w:val="center"/>
          </w:tcPr>
          <w:p>
            <w:r>
              <w:rPr>
                <w:rFonts w:ascii="Calibri" w:cs="Calibri" w:eastAsia="Calibri" w:hAnsi="Calibri"/>
                <w:b w:val="false"/>
                <w:bCs w:val="false"/>
                <w:color w:val="2d3748"/>
                <w:sz w:val="18"/>
                <w:szCs w:val="18"/>
              </w:rPr>
              <w:t xml:space="preserve">Contador</w:t>
            </w:r>
          </w:p>
        </w:tc>
      </w:tr>
      <w:tr>
        <w:tc>
          <w:tcPr>
            <w:tcW w:type="dxa" w:w="2200"/>
            <w:shd w:fill="f7fafc" w:color="auto" w:val="clear"/>
            <w:vAlign w:val="center"/>
          </w:tcPr>
          <w:p>
            <w:r>
              <w:rPr>
                <w:rFonts w:ascii="Calibri" w:cs="Calibri" w:eastAsia="Calibri" w:hAnsi="Calibri"/>
                <w:b w:val="false"/>
                <w:bCs w:val="false"/>
                <w:color w:val="2d3748"/>
                <w:sz w:val="18"/>
                <w:szCs w:val="18"/>
              </w:rPr>
              <w:t xml:space="preserve">D-30 (01/10/2026)</w:t>
            </w:r>
          </w:p>
        </w:tc>
        <w:tc>
          <w:tcPr>
            <w:tcW w:type="dxa" w:w="5000"/>
            <w:vAlign w:val="center"/>
          </w:tcPr>
          <w:p>
            <w:pPr>
              <w:jc w:val="both"/>
            </w:pPr>
            <w:r>
              <w:rPr>
                <w:rFonts w:ascii="Calibri" w:cs="Calibri" w:eastAsia="Calibri" w:hAnsi="Calibri"/>
                <w:b w:val="false"/>
                <w:bCs w:val="false"/>
                <w:color w:val="2d3748"/>
                <w:sz w:val="18"/>
                <w:szCs w:val="18"/>
              </w:rPr>
              <w:t xml:space="preserve">APROSS: Verificar que el CUIT nuevo ya figure activo en el Portal de Prestadores. De no estarlo, reiterar gestión. SIN ALTA EN PORTAL = RECHAZOS DE FACTURACIÓN.</w:t>
            </w:r>
          </w:p>
        </w:tc>
        <w:tc>
          <w:tcPr>
            <w:tcW w:type="dxa" w:w="3800"/>
            <w:vAlign w:val="center"/>
          </w:tcPr>
          <w:p>
            <w:r>
              <w:rPr>
                <w:rFonts w:ascii="Calibri" w:cs="Calibri" w:eastAsia="Calibri" w:hAnsi="Calibri"/>
                <w:b w:val="false"/>
                <w:bCs w:val="false"/>
                <w:color w:val="2d3748"/>
                <w:sz w:val="18"/>
                <w:szCs w:val="18"/>
              </w:rPr>
              <w:t xml:space="preserve">Administración</w:t>
            </w:r>
          </w:p>
        </w:tc>
      </w:tr>
      <w:tr>
        <w:tc>
          <w:tcPr>
            <w:tcW w:type="dxa" w:w="2200"/>
            <w:shd w:fill="f7fafc" w:color="auto" w:val="clear"/>
            <w:vAlign w:val="center"/>
          </w:tcPr>
          <w:p>
            <w:r>
              <w:rPr>
                <w:rFonts w:ascii="Calibri" w:cs="Calibri" w:eastAsia="Calibri" w:hAnsi="Calibri"/>
                <w:b w:val="false"/>
                <w:bCs w:val="false"/>
                <w:color w:val="2d3748"/>
                <w:sz w:val="18"/>
                <w:szCs w:val="18"/>
              </w:rPr>
              <w:t xml:space="preserve">D-15 (15/10/2026)</w:t>
            </w:r>
          </w:p>
        </w:tc>
        <w:tc>
          <w:tcPr>
            <w:tcW w:type="dxa" w:w="5000"/>
            <w:vAlign w:val="center"/>
          </w:tcPr>
          <w:p>
            <w:pPr>
              <w:jc w:val="both"/>
            </w:pPr>
            <w:r>
              <w:rPr>
                <w:rFonts w:ascii="Calibri" w:cs="Calibri" w:eastAsia="Calibri" w:hAnsi="Calibri"/>
                <w:b w:val="false"/>
                <w:bCs w:val="false"/>
                <w:color w:val="2d3748"/>
                <w:sz w:val="18"/>
                <w:szCs w:val="18"/>
              </w:rPr>
              <w:t xml:space="preserve">Cierre anticipado de solicitudes de autorización con CUIT viejo. A partir de esta fecha, toda autorización nueva de práctica ante obras sociales debe solicitarse con el CUIT nuevo.</w:t>
            </w:r>
          </w:p>
        </w:tc>
        <w:tc>
          <w:tcPr>
            <w:tcW w:type="dxa" w:w="3800"/>
            <w:vAlign w:val="center"/>
          </w:tcPr>
          <w:p>
            <w:r>
              <w:rPr>
                <w:rFonts w:ascii="Calibri" w:cs="Calibri" w:eastAsia="Calibri" w:hAnsi="Calibri"/>
                <w:b w:val="false"/>
                <w:bCs w:val="false"/>
                <w:color w:val="2d3748"/>
                <w:sz w:val="18"/>
                <w:szCs w:val="18"/>
              </w:rPr>
              <w:t xml:space="preserve">Administración + Autorizaciones</w:t>
            </w:r>
          </w:p>
        </w:tc>
      </w:tr>
      <w:tr>
        <w:tc>
          <w:tcPr>
            <w:tcW w:type="dxa" w:w="2200"/>
            <w:shd w:fill="f7fafc" w:color="auto" w:val="clear"/>
            <w:vAlign w:val="center"/>
          </w:tcPr>
          <w:p>
            <w:r>
              <w:rPr>
                <w:rFonts w:ascii="Calibri" w:cs="Calibri" w:eastAsia="Calibri" w:hAnsi="Calibri"/>
                <w:b w:val="false"/>
                <w:bCs w:val="false"/>
                <w:color w:val="2d3748"/>
                <w:sz w:val="18"/>
                <w:szCs w:val="18"/>
              </w:rPr>
              <w:t xml:space="preserve">D-15 (15/10/2026)</w:t>
            </w:r>
          </w:p>
        </w:tc>
        <w:tc>
          <w:tcPr>
            <w:tcW w:type="dxa" w:w="5000"/>
            <w:vAlign w:val="center"/>
          </w:tcPr>
          <w:p>
            <w:pPr>
              <w:jc w:val="both"/>
            </w:pPr>
            <w:r>
              <w:rPr>
                <w:rFonts w:ascii="Calibri" w:cs="Calibri" w:eastAsia="Calibri" w:hAnsi="Calibri"/>
                <w:b w:val="false"/>
                <w:bCs w:val="false"/>
                <w:color w:val="2d3748"/>
                <w:sz w:val="18"/>
                <w:szCs w:val="18"/>
              </w:rPr>
              <w:t xml:space="preserve">Prueba de emisión de factura electrónica tipo B y/o C desde el CUIT nuevo (factura de prueba / anulación inmediata). Verificar homologación con ARCA.</w:t>
            </w:r>
          </w:p>
        </w:tc>
        <w:tc>
          <w:tcPr>
            <w:tcW w:type="dxa" w:w="3800"/>
            <w:vAlign w:val="center"/>
          </w:tcPr>
          <w:p>
            <w:r>
              <w:rPr>
                <w:rFonts w:ascii="Calibri" w:cs="Calibri" w:eastAsia="Calibri" w:hAnsi="Calibri"/>
                <w:b w:val="false"/>
                <w:bCs w:val="false"/>
                <w:color w:val="2d3748"/>
                <w:sz w:val="18"/>
                <w:szCs w:val="18"/>
              </w:rPr>
              <w:t xml:space="preserve">Contador</w:t>
            </w:r>
          </w:p>
        </w:tc>
      </w:tr>
      <w:tr>
        <w:tc>
          <w:tcPr>
            <w:tcW w:type="dxa" w:w="2200"/>
            <w:shd w:fill="f7fafc" w:color="auto" w:val="clear"/>
            <w:vAlign w:val="center"/>
          </w:tcPr>
          <w:p>
            <w:r>
              <w:rPr>
                <w:rFonts w:ascii="Calibri" w:cs="Calibri" w:eastAsia="Calibri" w:hAnsi="Calibri"/>
                <w:b w:val="false"/>
                <w:bCs w:val="false"/>
                <w:color w:val="2d3748"/>
                <w:sz w:val="18"/>
                <w:szCs w:val="18"/>
              </w:rPr>
              <w:t xml:space="preserve">D-7 (24/10/2026)</w:t>
            </w:r>
          </w:p>
        </w:tc>
        <w:tc>
          <w:tcPr>
            <w:tcW w:type="dxa" w:w="5000"/>
            <w:vAlign w:val="center"/>
          </w:tcPr>
          <w:p>
            <w:pPr>
              <w:jc w:val="both"/>
            </w:pPr>
            <w:r>
              <w:rPr>
                <w:rFonts w:ascii="Calibri" w:cs="Calibri" w:eastAsia="Calibri" w:hAnsi="Calibri"/>
                <w:b w:val="false"/>
                <w:bCs w:val="false"/>
                <w:color w:val="2d3748"/>
                <w:sz w:val="18"/>
                <w:szCs w:val="18"/>
              </w:rPr>
              <w:t xml:space="preserve">CORTE DE PRÁCTICAS CUIT VIEJO: Todas las prácticas autorizadas con CUIT viejo deben estar realizadas y facturadas antes de esta fecha (margen de seguridad de 7 días).</w:t>
            </w:r>
          </w:p>
        </w:tc>
        <w:tc>
          <w:tcPr>
            <w:tcW w:type="dxa" w:w="3800"/>
            <w:vAlign w:val="center"/>
          </w:tcPr>
          <w:p>
            <w:r>
              <w:rPr>
                <w:rFonts w:ascii="Calibri" w:cs="Calibri" w:eastAsia="Calibri" w:hAnsi="Calibri"/>
                <w:b w:val="false"/>
                <w:bCs w:val="false"/>
                <w:color w:val="2d3748"/>
                <w:sz w:val="18"/>
                <w:szCs w:val="18"/>
              </w:rPr>
              <w:t xml:space="preserve">Todo el equipo</w:t>
            </w:r>
          </w:p>
        </w:tc>
      </w:tr>
      <w:tr>
        <w:tc>
          <w:tcPr>
            <w:tcW w:type="dxa" w:w="2200"/>
            <w:shd w:fill="f7fafc" w:color="auto" w:val="clear"/>
            <w:vAlign w:val="center"/>
          </w:tcPr>
          <w:p>
            <w:r>
              <w:rPr>
                <w:rFonts w:ascii="Calibri" w:cs="Calibri" w:eastAsia="Calibri" w:hAnsi="Calibri"/>
                <w:b w:val="false"/>
                <w:bCs w:val="false"/>
                <w:color w:val="2d3748"/>
                <w:sz w:val="18"/>
                <w:szCs w:val="18"/>
              </w:rPr>
              <w:t xml:space="preserve">DÍA D (01/11/2026)</w:t>
            </w:r>
          </w:p>
        </w:tc>
        <w:tc>
          <w:tcPr>
            <w:tcW w:type="dxa" w:w="5000"/>
            <w:vAlign w:val="center"/>
          </w:tcPr>
          <w:p>
            <w:pPr>
              <w:jc w:val="both"/>
            </w:pPr>
            <w:r>
              <w:rPr>
                <w:rFonts w:ascii="Calibri" w:cs="Calibri" w:eastAsia="Calibri" w:hAnsi="Calibri"/>
                <w:b w:val="false"/>
                <w:bCs w:val="false"/>
                <w:color w:val="2d3748"/>
                <w:sz w:val="18"/>
                <w:szCs w:val="18"/>
              </w:rPr>
              <w:t xml:space="preserve">INICIO DE OPERACIONES CON CUIT NUEVO. Toda facturación a partir de esta fecha se emite desde la persona jurídica. La persona humana NO debe emitir más comprobantes.</w:t>
            </w:r>
          </w:p>
        </w:tc>
        <w:tc>
          <w:tcPr>
            <w:tcW w:type="dxa" w:w="3800"/>
            <w:vAlign w:val="center"/>
          </w:tcPr>
          <w:p>
            <w:r>
              <w:rPr>
                <w:rFonts w:ascii="Calibri" w:cs="Calibri" w:eastAsia="Calibri" w:hAnsi="Calibri"/>
                <w:b w:val="false"/>
                <w:bCs w:val="false"/>
                <w:color w:val="2d3748"/>
                <w:sz w:val="18"/>
                <w:szCs w:val="18"/>
              </w:rPr>
              <w:t xml:space="preserve">Contador + Administración</w:t>
            </w:r>
          </w:p>
        </w:tc>
      </w:tr>
      <w:tr>
        <w:tc>
          <w:tcPr>
            <w:tcW w:type="dxa" w:w="2200"/>
            <w:shd w:fill="f7fafc" w:color="auto" w:val="clear"/>
            <w:vAlign w:val="center"/>
          </w:tcPr>
          <w:p>
            <w:r>
              <w:rPr>
                <w:rFonts w:ascii="Calibri" w:cs="Calibri" w:eastAsia="Calibri" w:hAnsi="Calibri"/>
                <w:b w:val="false"/>
                <w:bCs w:val="false"/>
                <w:color w:val="2d3748"/>
                <w:sz w:val="18"/>
                <w:szCs w:val="18"/>
              </w:rPr>
              <w:t xml:space="preserve">D+15 (15/11/2026)</w:t>
            </w:r>
          </w:p>
        </w:tc>
        <w:tc>
          <w:tcPr>
            <w:tcW w:type="dxa" w:w="5000"/>
            <w:vAlign w:val="center"/>
          </w:tcPr>
          <w:p>
            <w:pPr>
              <w:jc w:val="both"/>
            </w:pPr>
            <w:r>
              <w:rPr>
                <w:rFonts w:ascii="Calibri" w:cs="Calibri" w:eastAsia="Calibri" w:hAnsi="Calibri"/>
                <w:b w:val="false"/>
                <w:bCs w:val="false"/>
                <w:color w:val="2d3748"/>
                <w:sz w:val="18"/>
                <w:szCs w:val="18"/>
              </w:rPr>
              <w:t xml:space="preserve">Presentación de DDJJ de IVA e Ingresos Brutos de la persona humana (período octubre). Cese de actividades de la persona humana en ARCA y Rentas (si corresponde) o reducción a mínimo.</w:t>
            </w:r>
          </w:p>
        </w:tc>
        <w:tc>
          <w:tcPr>
            <w:tcW w:type="dxa" w:w="3800"/>
            <w:vAlign w:val="center"/>
          </w:tcPr>
          <w:p>
            <w:r>
              <w:rPr>
                <w:rFonts w:ascii="Calibri" w:cs="Calibri" w:eastAsia="Calibri" w:hAnsi="Calibri"/>
                <w:b w:val="false"/>
                <w:bCs w:val="false"/>
                <w:color w:val="2d3748"/>
                <w:sz w:val="18"/>
                <w:szCs w:val="18"/>
              </w:rPr>
              <w:t xml:space="preserve">Contador</w:t>
            </w:r>
          </w:p>
        </w:tc>
      </w:tr>
      <w:tr>
        <w:tc>
          <w:tcPr>
            <w:tcW w:type="dxa" w:w="2200"/>
            <w:shd w:fill="f7fafc" w:color="auto" w:val="clear"/>
            <w:vAlign w:val="center"/>
          </w:tcPr>
          <w:p>
            <w:r>
              <w:rPr>
                <w:rFonts w:ascii="Calibri" w:cs="Calibri" w:eastAsia="Calibri" w:hAnsi="Calibri"/>
                <w:b w:val="false"/>
                <w:bCs w:val="false"/>
                <w:color w:val="2d3748"/>
                <w:sz w:val="18"/>
                <w:szCs w:val="18"/>
              </w:rPr>
              <w:t xml:space="preserve">D+30 (01/12/2026)</w:t>
            </w:r>
          </w:p>
        </w:tc>
        <w:tc>
          <w:tcPr>
            <w:tcW w:type="dxa" w:w="5000"/>
            <w:vAlign w:val="center"/>
          </w:tcPr>
          <w:p>
            <w:pPr>
              <w:jc w:val="both"/>
            </w:pPr>
            <w:r>
              <w:rPr>
                <w:rFonts w:ascii="Calibri" w:cs="Calibri" w:eastAsia="Calibri" w:hAnsi="Calibri"/>
                <w:b w:val="false"/>
                <w:bCs w:val="false"/>
                <w:color w:val="2d3748"/>
                <w:sz w:val="18"/>
                <w:szCs w:val="18"/>
              </w:rPr>
              <w:t xml:space="preserve">Primera facturación completa de la sociedad a APROSS y demás obras sociales. Verificar acreditación de pagos en cuenta bancaria de la sociedad.</w:t>
            </w:r>
          </w:p>
        </w:tc>
        <w:tc>
          <w:tcPr>
            <w:tcW w:type="dxa" w:w="3800"/>
            <w:vAlign w:val="center"/>
          </w:tcPr>
          <w:p>
            <w:r>
              <w:rPr>
                <w:rFonts w:ascii="Calibri" w:cs="Calibri" w:eastAsia="Calibri" w:hAnsi="Calibri"/>
                <w:b w:val="false"/>
                <w:bCs w:val="false"/>
                <w:color w:val="2d3748"/>
                <w:sz w:val="18"/>
                <w:szCs w:val="18"/>
              </w:rPr>
              <w:t xml:space="preserve">Contador + Administración</w:t>
            </w:r>
          </w:p>
        </w:tc>
      </w:tr>
      <w:tr>
        <w:tc>
          <w:tcPr>
            <w:tcW w:type="dxa" w:w="2200"/>
            <w:shd w:fill="f7fafc" w:color="auto" w:val="clear"/>
            <w:vAlign w:val="center"/>
          </w:tcPr>
          <w:p>
            <w:r>
              <w:rPr>
                <w:rFonts w:ascii="Calibri" w:cs="Calibri" w:eastAsia="Calibri" w:hAnsi="Calibri"/>
                <w:b w:val="false"/>
                <w:bCs w:val="false"/>
                <w:color w:val="2d3748"/>
                <w:sz w:val="18"/>
                <w:szCs w:val="18"/>
              </w:rPr>
              <w:t xml:space="preserve">D+60 (01/01/2027)</w:t>
            </w:r>
          </w:p>
        </w:tc>
        <w:tc>
          <w:tcPr>
            <w:tcW w:type="dxa" w:w="5000"/>
            <w:vAlign w:val="center"/>
          </w:tcPr>
          <w:p>
            <w:pPr>
              <w:jc w:val="both"/>
            </w:pPr>
            <w:r>
              <w:rPr>
                <w:rFonts w:ascii="Calibri" w:cs="Calibri" w:eastAsia="Calibri" w:hAnsi="Calibri"/>
                <w:b w:val="false"/>
                <w:bCs w:val="false"/>
                <w:color w:val="2d3748"/>
                <w:sz w:val="18"/>
                <w:szCs w:val="18"/>
              </w:rPr>
              <w:t xml:space="preserve">Control de contingencias: verificar que no existan rechazos pendientes, diferencias de CUIT en liquidaciones, ni observaciones fiscales. Cierre de expediente de transferencia en RUGEPRESA.</w:t>
            </w:r>
          </w:p>
        </w:tc>
        <w:tc>
          <w:tcPr>
            <w:tcW w:type="dxa" w:w="3800"/>
            <w:vAlign w:val="center"/>
          </w:tcPr>
          <w:p>
            <w:r>
              <w:rPr>
                <w:rFonts w:ascii="Calibri" w:cs="Calibri" w:eastAsia="Calibri" w:hAnsi="Calibri"/>
                <w:b w:val="false"/>
                <w:bCs w:val="false"/>
                <w:color w:val="2d3748"/>
                <w:sz w:val="18"/>
                <w:szCs w:val="18"/>
              </w:rPr>
              <w:t xml:space="preserve">Contador + Asesor legal</w:t>
            </w:r>
          </w:p>
        </w:tc>
      </w:tr>
    </w:tbl>
    <w:p>
      <w:pPr>
        <w:spacing w:after="60" w:before="60"/>
      </w:pPr>
    </w:p>
    <w:p>
      <w:pPr>
        <w:spacing w:after="150" w:before="300"/>
      </w:pPr>
      <w:r>
        <w:rPr>
          <w:rFonts w:ascii="Calibri" w:cs="Calibri" w:eastAsia="Calibri" w:hAnsi="Calibri"/>
          <w:b/>
          <w:bCs/>
          <w:color w:val="2b6cb0"/>
          <w:sz w:val="24"/>
          <w:szCs w:val="24"/>
        </w:rPr>
        <w:t xml:space="preserve">4.3 Autorizaciones Preexistentes con CUIT Viejo</w:t>
      </w:r>
    </w:p>
    <w:p>
      <w:pPr>
        <w:spacing w:after="80" w:before="80"/>
        <w:jc w:val="both"/>
      </w:pPr>
      <w:r>
        <w:rPr>
          <w:rFonts w:ascii="Calibri" w:cs="Calibri" w:eastAsia="Calibri" w:hAnsi="Calibri"/>
          <w:color w:val="2d3748"/>
          <w:sz w:val="21"/>
          <w:szCs w:val="21"/>
        </w:rPr>
        <w:t xml:space="preserve">Las autorizaciones de prácticas médicas emitidas por las obras sociales (APROSS y otras) llevan asociado el CUIT del prestador autorizado. Las prácticas autorizadas bajo el CUIT de la persona humana antes del Día D presentan el siguiente tratamiento:</w:t>
      </w:r>
    </w:p>
    <w:p>
      <w:pPr>
        <w:spacing w:after="60" w:before="60"/>
      </w:pP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Prácticas ya realizadas y no facturadas: </w:t>
      </w:r>
      <w:r>
        <w:rPr>
          <w:rFonts w:ascii="Calibri" w:cs="Calibri" w:eastAsia="Calibri" w:hAnsi="Calibri"/>
          <w:color w:val="2d3748"/>
          <w:sz w:val="21"/>
          <w:szCs w:val="21"/>
        </w:rPr>
        <w:t xml:space="preserve">Deben facturarse con el CUIT viejo (persona humana) antes del Día D o, como máximo, en el período fiscal inmediatamente posterior si la obra social acepta la facturación con el CUIT original de la autorización. Consultar con el Área de Facturación de APROSS si aceptan factura de período posterior con CUIT anterior.</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Prácticas autorizadas pero no realizadas: </w:t>
      </w:r>
      <w:r>
        <w:rPr>
          <w:rFonts w:ascii="Calibri" w:cs="Calibri" w:eastAsia="Calibri" w:hAnsi="Calibri"/>
          <w:color w:val="2d3748"/>
          <w:sz w:val="21"/>
          <w:szCs w:val="21"/>
        </w:rPr>
        <w:t xml:space="preserve">Se recomienda solicitar la re-autorización con el CUIT nuevo. De no ser posible, presentar una nota ante la obra social solicitando la homologación de la autorización existente bajo el nuevo CUIT. Acompañar copia de la nota presentada ante APROSS (Nota A) como respaldo.</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Prácticas en curso (tratamientos secuenciales): </w:t>
      </w:r>
      <w:r>
        <w:rPr>
          <w:rFonts w:ascii="Calibri" w:cs="Calibri" w:eastAsia="Calibri" w:hAnsi="Calibri"/>
          <w:color w:val="2d3748"/>
          <w:sz w:val="21"/>
          <w:szCs w:val="21"/>
        </w:rPr>
        <w:t xml:space="preserve">Gestionar con la obra social una nota de continuidad de tratamiento indicando que las sesiones restantes serán facturadas por la nueva entidad.</w:t>
      </w:r>
    </w:p>
    <w:p>
      <w:pPr>
        <w:spacing w:after="60" w:before="60"/>
      </w:pPr>
    </w:p>
    <w:p>
      <w:pPr>
        <w:pBdr>
          <w:left w:val="single" w:color="d69e2e" w:sz="12"/>
        </w:pBdr>
        <w:shd w:fill="fefcbf" w:color="auto" w:val="clear"/>
        <w:spacing w:after="120" w:before="120"/>
        <w:ind w:left="360" w:right="360"/>
      </w:pPr>
      <w:r>
        <w:rPr>
          <w:rFonts w:ascii="Calibri" w:cs="Calibri" w:eastAsia="Calibri" w:hAnsi="Calibri"/>
          <w:sz w:val="21"/>
          <w:szCs w:val="21"/>
        </w:rPr>
        <w:t xml:space="preserve">⚠️ </w:t>
      </w:r>
      <w:r>
        <w:rPr>
          <w:rFonts w:ascii="Calibri" w:cs="Calibri" w:eastAsia="Calibri" w:hAnsi="Calibri"/>
          <w:i/>
          <w:iCs/>
          <w:color w:val="2d3748"/>
          <w:sz w:val="20"/>
          <w:szCs w:val="20"/>
        </w:rPr>
        <w:t xml:space="preserve">PUNTO CRÍTICO: El momento exacto para dar de alta el facturador con el CUIT nuevo en el Portal de Prestadores de APROSS es D-30 (un mes antes del corte). Esto permite: (a) verificar que el sistema acepta el nuevo CUIT, (b) comenzar a solicitar autorizaciones de prácticas con el CUIT nuevo para el período posterior al corte, y (c) tener margen para resolver eventuales rechazos del sistema. NO esperar al Día D para hacer el alta — el riesgo de rechazos en la primera facturación es altísimo.</w:t>
      </w:r>
    </w:p>
    <w:p>
      <w:pPr>
        <w:spacing w:after="60" w:before="60"/>
      </w:pPr>
    </w:p>
    <w:p>
      <w:pPr>
        <w:spacing w:after="150" w:before="300"/>
      </w:pPr>
      <w:r>
        <w:rPr>
          <w:rFonts w:ascii="Calibri" w:cs="Calibri" w:eastAsia="Calibri" w:hAnsi="Calibri"/>
          <w:b/>
          <w:bCs/>
          <w:color w:val="2b6cb0"/>
          <w:sz w:val="24"/>
          <w:szCs w:val="24"/>
        </w:rPr>
        <w:t xml:space="preserve">4.4 Contingencias Fiscales: ARCA y Rentas Córdoba</w:t>
      </w:r>
    </w:p>
    <w:p>
      <w:pPr>
        <w:spacing w:after="80" w:before="80"/>
        <w:jc w:val="both"/>
      </w:pPr>
      <w:r>
        <w:rPr>
          <w:rFonts w:ascii="Calibri" w:cs="Calibri" w:eastAsia="Calibri" w:hAnsi="Calibri"/>
          <w:color w:val="2d3748"/>
          <w:sz w:val="21"/>
          <w:szCs w:val="21"/>
        </w:rPr>
        <w:t xml:space="preserve">La coexistencia temporal de dos sujetos fiscales (persona humana y sociedad) durante el período de transición exige los siguientes recaudos:</w:t>
      </w:r>
    </w:p>
    <w:p>
      <w:pPr>
        <w:spacing w:after="60" w:before="60"/>
      </w:pP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IVA: </w:t>
      </w:r>
      <w:r>
        <w:rPr>
          <w:rFonts w:ascii="Calibri" w:cs="Calibri" w:eastAsia="Calibri" w:hAnsi="Calibri"/>
          <w:color w:val="2d3748"/>
          <w:sz w:val="21"/>
          <w:szCs w:val="21"/>
        </w:rPr>
        <w:t xml:space="preserve">La persona humana debe presentar la DDJJ de IVA del último período facturado (octubre 2026 en el ejemplo) y luego, de corresponder, presentar las DDJJ en cero hasta el cese formal. La sociedad presenta su primera DDJJ de IVA por el período noviembre 2026.</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Ingresos Brutos: </w:t>
      </w:r>
      <w:r>
        <w:rPr>
          <w:rFonts w:ascii="Calibri" w:cs="Calibri" w:eastAsia="Calibri" w:hAnsi="Calibri"/>
          <w:color w:val="2d3748"/>
          <w:sz w:val="21"/>
          <w:szCs w:val="21"/>
        </w:rPr>
        <w:t xml:space="preserve">Idéntico tratamiento. Verificar que la persona humana no quede en mora por falta de presentación de DDJJ posteriores al cese. En Rentas Córdoba, tramitar la baja o suspensión de la inscripción de la persona humana.</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Ganancias: </w:t>
      </w:r>
      <w:r>
        <w:rPr>
          <w:rFonts w:ascii="Calibri" w:cs="Calibri" w:eastAsia="Calibri" w:hAnsi="Calibri"/>
          <w:color w:val="2d3748"/>
          <w:sz w:val="21"/>
          <w:szCs w:val="21"/>
        </w:rPr>
        <w:t xml:space="preserve">La persona humana declara los ingresos del ejercicio hasta octubre 2026 inclusive. La sociedad declara desde noviembre 2026. Importante: si el ejercicio fiscal de la sociedad comienza en noviembre, la primera DDJJ de Ganancias será por un ejercicio irregular.</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Facturación electrónica: </w:t>
      </w:r>
      <w:r>
        <w:rPr>
          <w:rFonts w:ascii="Calibri" w:cs="Calibri" w:eastAsia="Calibri" w:hAnsi="Calibri"/>
          <w:color w:val="2d3748"/>
          <w:sz w:val="21"/>
          <w:szCs w:val="21"/>
        </w:rPr>
        <w:t xml:space="preserve">Bajo ningún concepto deben emitirse comprobantes desde ambos CUIT por las mismas prestaciones. Riesgo: duplicación de ingresos declarados, inconsistencias en el Libro IVA Digital.</w:t>
      </w:r>
    </w:p>
    <w:p>
      <w:pPr>
        <w:spacing w:after="40" w:before="40"/>
        <w:ind w:left="720" w:hanging="260"/>
      </w:pPr>
      <w:r>
        <w:rPr>
          <w:rFonts w:ascii="Calibri" w:cs="Calibri" w:eastAsia="Calibri" w:hAnsi="Calibri"/>
          <w:color w:val="2b6cb0"/>
          <w:sz w:val="21"/>
          <w:szCs w:val="21"/>
        </w:rPr>
        <w:t xml:space="preserve">▸ </w:t>
      </w:r>
      <w:r>
        <w:rPr>
          <w:rFonts w:ascii="Calibri" w:cs="Calibri" w:eastAsia="Calibri" w:hAnsi="Calibri"/>
          <w:b/>
          <w:bCs/>
          <w:color w:val="2d3748"/>
          <w:sz w:val="21"/>
          <w:szCs w:val="21"/>
        </w:rPr>
        <w:t xml:space="preserve">Monotributo / Autónomos: </w:t>
      </w:r>
      <w:r>
        <w:rPr>
          <w:rFonts w:ascii="Calibri" w:cs="Calibri" w:eastAsia="Calibri" w:hAnsi="Calibri"/>
          <w:color w:val="2d3748"/>
          <w:sz w:val="21"/>
          <w:szCs w:val="21"/>
        </w:rPr>
        <w:t xml:space="preserve">Si la persona humana estaba en Monotributo, verificar la fecha de exclusión por paso a sociedad. Si era Responsable Inscrito y Autónomo, tramitar la baja de la categoría de Autónomos o su conversión si el profesional continúa en relación con la sociedad.</w:t>
      </w:r>
    </w:p>
    <w:p>
      <w:pPr>
        <w:spacing w:after="60" w:before="60"/>
      </w:pPr>
    </w:p>
    <w:p>
      <w:pPr>
        <w:pBdr>
          <w:left w:val="single" w:color="2b6cb0" w:sz="12"/>
        </w:pBdr>
        <w:shd w:fill="ebf4ff" w:color="auto" w:val="clear"/>
        <w:spacing w:after="120" w:before="120"/>
        <w:ind w:left="360" w:right="360"/>
      </w:pPr>
      <w:r>
        <w:rPr>
          <w:rFonts w:ascii="Calibri" w:cs="Calibri" w:eastAsia="Calibri" w:hAnsi="Calibri"/>
          <w:sz w:val="21"/>
          <w:szCs w:val="21"/>
        </w:rPr>
        <w:t xml:space="preserve">ℹ️ </w:t>
      </w:r>
      <w:r>
        <w:rPr>
          <w:rFonts w:ascii="Calibri" w:cs="Calibri" w:eastAsia="Calibri" w:hAnsi="Calibri"/>
          <w:i/>
          <w:iCs/>
          <w:color w:val="2d3748"/>
          <w:sz w:val="20"/>
          <w:szCs w:val="20"/>
        </w:rPr>
        <w:t xml:space="preserve">RECOMENDACIÓN FINAL: Designar un "coordinador de transición" (puede ser el contador o un administrativo senior) que lleve un tablero de seguimiento con el estado de cada trámite, las fechas límite y las dependencias entre gestiones. La transferencia involucra simultáneamente a ARCA, Rentas Córdoba, RUGEPRESA, Municipalidad, APROSS y posiblemente otras obras sociales — la falta de coordinación entre estos organismos es la principal fuente de rechazos y contingencias.</w:t>
      </w:r>
    </w:p>
    <w:sectPr>
      <w:headerReference w:type="default" r:id="rId7"/>
      <w:footerReference w:type="default" r:id="rId8"/>
      <w:pgSz w:w="12240" w:h="15840"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pBdr>
      <w:jc w:val="center"/>
    </w:pPr>
    <w:r>
      <w:rPr>
        <w:rFonts w:ascii="Calibri" w:cs="Calibri" w:eastAsia="Calibri" w:hAnsi="Calibri"/>
        <w:color w:val="718096"/>
        <w:sz w:val="16"/>
        <w:szCs w:val="16"/>
      </w:rPr>
      <w:t xml:space="preserve">Confidencial — Septiembre 2026 — Página </w:t>
    </w:r>
    <w:r>
      <w:rPr>
        <w:rFonts w:ascii="Calibri" w:cs="Calibri" w:eastAsia="Calibri" w:hAnsi="Calibri"/>
        <w:color w:val="718096"/>
        <w:sz w:val="16"/>
        <w:szCs w:val="16"/>
      </w:rPr>
      <w:fldChar w:fldCharType="begin"/>
      <w:instrText xml:space="preserve">PAGE</w:instrText>
      <w:fldChar w:fldCharType="separate"/>
      <w:fldChar w:fldCharType="end"/>
    </w:r>
    <w:r>
      <w:rPr>
        <w:rFonts w:ascii="Calibri" w:cs="Calibri" w:eastAsia="Calibri" w:hAnsi="Calibri"/>
        <w:color w:val="718096"/>
        <w:sz w:val="16"/>
        <w:szCs w:val="16"/>
      </w:rPr>
      <w:t xml:space="preserve"> de </w:t>
    </w:r>
    <w:r>
      <w:rPr>
        <w:rFonts w:ascii="Calibri" w:cs="Calibri" w:eastAsia="Calibri" w:hAnsi="Calibri"/>
        <w:color w:val="71809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18096"/>
        <w:sz w:val="16"/>
        <w:szCs w:val="16"/>
      </w:rPr>
      <w:t xml:space="preserve">Centro de Ojos Lazarte — Guía de Transición Jurídica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7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2026-09-04T03:58:00.752Z</dcterms:created>
  <dcterms:modified xsi:type="dcterms:W3CDTF">2026-09-04T03:58:00.761Z</dcterms:modified>
</cp:coreProperties>
</file>

<file path=docProps/custom.xml><?xml version="1.0" encoding="utf-8"?>
<Properties xmlns="http://schemas.openxmlformats.org/officeDocument/2006/custom-properties" xmlns:vt="http://schemas.openxmlformats.org/officeDocument/2006/docPropsVTypes"/>
</file>