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DICTAMEN JURÍDICO</w:t>
      </w:r>
    </w:p>
    <w:p>
      <w:pPr>
        <w:pBdr>
          <w:bottom w:val="single" w:color="C55A11" w:sz="12" w:space="6"/>
        </w:pBdr>
        <w:spacing w:after="40" w:before="60"/>
        <w:jc w:val="center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240"/>
        <w:jc w:val="center"/>
      </w:pPr>
      <w:r>
        <w:rPr>
          <w:rFonts w:ascii="Calibri" w:cs="Calibri" w:eastAsia="Calibri" w:hAnsi="Calibri"/>
          <w:b/>
          <w:bCs/>
          <w:color w:val="2E5496"/>
          <w:sz w:val="30"/>
          <w:szCs w:val="30"/>
        </w:rPr>
        <w:t xml:space="preserve">Convenio de cofinanciamiento de prestaciones oftalmológicas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2E5496"/>
          <w:sz w:val="30"/>
          <w:szCs w:val="30"/>
        </w:rPr>
        <w:t xml:space="preserve">entre municipios y un centro oftalmológico privado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Análisis de viabilidad jurídica, comparación de modalidades de instrumentación,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modelo económico, matriz de riesgos y estrategia institucional</w:t>
      </w:r>
    </w:p>
    <w:p>
      <w:pPr>
        <w:spacing w:after="40" w:before="50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Provincia de Córdoba — República Argentina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Modelo genérico adaptable a cualquier municipio o comuna</w:t>
      </w:r>
    </w:p>
    <w:p>
      <w:pPr>
        <w:spacing w:after="20" w:before="7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Documento de trabajo preparado para el Centro de Ojos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Julio de 2026</w:t>
      </w:r>
    </w:p>
    <w:p>
      <w:r>
        <w:br w:type="page"/>
      </w:r>
    </w:p>
    <w:tbl>
      <w:tblPr>
        <w:tblW w:type="dxa" w:w="9360"/>
        <w:tblBorders>
          <w:top w:val="single" w:color="F4F7FB" w:sz="2"/>
          <w:left w:val="single" w:color="C55A11" w:sz="24"/>
          <w:bottom w:val="single" w:color="F4F7FB" w:sz="2"/>
          <w:right w:val="single" w:color="F4F7F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1"/>
                <w:szCs w:val="21"/>
              </w:rPr>
              <w:t xml:space="preserve">Advertencia y alcance profesional</w:t>
            </w:r>
          </w:p>
          <w:p>
            <w:pPr>
              <w:spacing w:after="120" w:line="276"/>
              <w:jc w:val="both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Este dictamen tiene carácter de asesoramiento técnico-jurídico general y de plantilla adaptable. Las competencias, límites de contratación, procedimientos y órganos de control varían según cada municipio o comuna de la Provincia de Córdoba, en particular según tenga o no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Carta Orgánica propia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y según sus ordenanzas de contabilidad y contrataciones. Antes de la firma, la instrumentación concreta debe ser revisada y refrendada por la asesoría letrada del municipio y validada por su Tribunal de Cuentas. Los importes y porcentajes utilizados son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hipótesis ilustrativas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claramente diferenciadas de los hechos y del derecho vigente.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I. Objeto de la consulta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 requiere dictamen sobre la viabilidad jurídica y la mejor forma de instrumentación de un programa mediante el cual un municipio de la Provincia de Córdoba financie prestaciones oftalmológicas concretas —principalmente cirugías de cataratas y otros tratamientos— realizadas a sus vecinos de bajos recursos o sin cobertura de seguridad social, en un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centro oftalmológico privado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que bonifica una porción del costo. El esquema propuesto contempla que el prestador absorba un porcentaje del valor de cada práctica (p. ej., 40 %) y que el municipio financie únicamente el saldo restante (p. ej., 60 %), de modo que el paciente reciba la prestación en forma gratuita o abonando un monto mínimo.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objetivo declarado </w:t>
      </w:r>
      <w:r>
        <w:rPr>
          <w:rFonts w:ascii="Calibri" w:cs="Calibri" w:eastAsia="Calibri" w:hAnsi="Calibri"/>
          <w:b/>
          <w:bCs/>
          <w:i/>
          <w:iCs/>
          <w:color w:val="222222"/>
          <w:sz w:val="21"/>
          <w:szCs w:val="21"/>
        </w:rPr>
        <w:t xml:space="preserve">no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es la obtención de subsidios generales al prestador, sino que el municipio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pague prestaciones individualizadas efectivamente realizadas a sus ciudadanos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en el marco de una política pública de salud visual. El presente analiza: (i) la legalidad del cofinanciamiento; (ii) la modalidad jurídica más sólida; (iii) las facultades de dirección y control del municipio; (iv) la justificación del gasto público; (v) el modelo económico y su documentación frente al Tribunal de Cuentas; (vi) los riesgos y su mitigación; y (vii) la estrategia institucional de presentación. Acompañan a este dictamen un modelo de convenio listo para adaptar y una presentación ejecutiva.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II. Conclusión principal (resumen ejecutivo)</w:t>
      </w:r>
    </w:p>
    <w:tbl>
      <w:tblPr>
        <w:tblW w:type="dxa" w:w="9360"/>
        <w:tblBorders>
          <w:top w:val="single" w:color="EAF0F8" w:sz="2"/>
          <w:left w:val="single" w:color="2E7D32" w:sz="24"/>
          <w:bottom w:val="single" w:color="EAF0F8" w:sz="2"/>
          <w:right w:val="single" w:color="EAF0F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Conclusión</w:t>
            </w:r>
          </w:p>
          <w:p>
            <w:pPr>
              <w:spacing w:after="120" w:line="276"/>
              <w:jc w:val="both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El esquema es </w:t>
            </w: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jurídicamente viable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 Un municipio de Córdoba posee competencia constitucional y legal expresa en materia de salud, atención de la discapacidad y asistencia social (art. 186 inc. 7, Constitución provincial; art. 180 —autonomía—; Ley Orgánica Municipal N.° 8102), y puede pagar prestaciones de salud efectivamente brindadas a sus vecinos por un prestador privado, siempre que el gasto responda a un </w:t>
            </w:r>
          </w:p>
          <w:p>
            <w:pPr>
              <w:spacing w:after="12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fin público sanitario y no configure una liberalidad a favor del prestador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 La clave de la validez no está en el porcentaje (40/60, 50/50 u otro), que es libre, sino en cómo se estructura: acceso reglado y objetivo de los pacientes, precio de referencia razonable y auditable, selección del prestador conforme al régimen de contrataciones, pago contra prestación documentada, y control por el Tribunal de Cuentas.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Recomendamos una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arquitectura de tres capas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(1) una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Ordenanza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que cree el «Programa Municipal de Salud Visual / Prevención de Ceguera Evitable» y autorice el gasto (Opción C + D); (2) un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Convenio Específico de Prestaciones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con el centro oftalmológico como instrumento operativo (Opción B, con lógica de compra de prestaciones —Opción E—); y (3)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Anexos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de nomenclador de precios, protocolo de admisión y planilla de rendición. Debe evitarse instrumentarlo como «subsidio nominativo» al prestador (Opción F) o como «convenio con contraprestación» en especie (Opción G), por ser las variantes más expuestas a observación —como ilustra el rechazo del convenio oftalmológico en Necochea—.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III. Marco normativo aplicable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III.1. Nivel nacional: el derecho a la salud como derecho operativo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Constitución Nacional protege la salud en el art. 42 y, por vía del art. 75 inc. 22, incorpora con jerarquía constitucional tratados que consagran el derecho a la salud y a un nivel de vida adecuado: el Pacto Internacional de Derechos Económicos, Sociales y Culturales (art. 12), la Convención Americana sobre Derechos Humanos (art. 26) y la Declaración Universal. El art. 75 inc. 23 impone al Estado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acciones positivas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 favor de los grupos vulnerables, en particular las personas con discapacidad y los adultos mayores. La Convención sobre los Derechos de las Personas con Discapacidad (Ley 26.378, con jerarquía constitucional por Ley 27.044) refuerza el deber estatal de garantizar el acceso a la salud y la rehabilitación.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Corte Suprema de Justicia de la Nación ha sostenido de modo constante que el derecho a la salud es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operativo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y que su tutela obliga a las autoridades públicas en todos sus niveles. En «Campodónico de Beviacqua c/ Ministerio de Salud» (Fallos 323:3229, año 2000) reconoció el deber impostergable del Estado de garantizar la salud mediante acciones positivas; doctrina reiterada en «Asociación Benghalensis», «Monteserín», «Reynoso» y «Orlando», entre otros. De allí se desprende que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un municipio no invade competencias ajenas al financiar prestaciones de salud a sus vecinos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ejerce una responsabilidad que el ordenamiento distribuye de manera concurrente entre Nación, provincias y municipios.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 el plano de la protección específica de la discapacidad, la Ley 22.431 (sistema de protección integral) y la Ley 24.901 (sistema de prestaciones básicas de habilitación y rehabilitación) enmarcan la prevención y atención de la discapacidad visual. La ceguera por catarata no operada es una de las principales causas de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ceguera evitable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lo que dota al programa de un fundamento sanitario de prevención de discapacidad especialmente robusto.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III.2. Nivel provincial: autonomía y competencia municipal en salud (Córdoba)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Constitución de la Provincia de Córdoba reconoce la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autonomía municipal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política, administrativa, económica, financiera e institucional (art. 180) y, tras la reforma constitucional nacional de 1994 (art. 123 CN), ese reconocimiento tiene respaldo federal. El art. 186 enumera las funciones y competencias municipales e incluye expresamente, en su inciso 7, 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atender la salubridad, la salud y los centros asistenciales, la higiene, y la asistencia a la ancianidad, la discapacidad y el desamparo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El art. 190 habilita a los municipios a celebrar convenios entre sí y con la Provincia y la Nación, y a constituir organismos para la prestación de servicios; y de modo más amplio, la autonomía y el art. 186 inc. 14 (funciones no prohibidas) sustentan la facultad de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convenir con particulares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la prestación de servicios de interés público.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Constitución provincial consagra además la salud como bien jurídico protegido y como política de Estado (arts. 19 inc. 1 y 59), lo que refuerza la legitimidad de que el municipio destine recursos a garantizar el acceso efectivo de sus vecinos a prestaciones sanitarias que, de otro modo, quedarían fuera de su alcance.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III.3. Régimen municipal: Ley Orgánica N.° 8102 y Cartas Orgánicas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Ley Orgánica Municipal N.° 8102 rige a los municipios sin Carta Orgánica propia y, supletoriamente, a las comunas, fijando competencias, atribuciones del Departamento Ejecutivo y del Concejo Deliberante, régimen económico-financiero, contrataciones y control. Los municipios con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Carta Orgánica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(los de mayor población, como Córdoba Capital, Río Cuarto, Villa María, etc.) se rigen por ella y por sus ordenanzas de contabilidad y contrataciones, que pueden establecer procedimientos y límites propios.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 ambos casos la estructura de decisión es análoga: el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Departamento Ejecutivo (Intendente)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celebra los convenios y ejecuta el gasto, mientras que el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Concejo Deliberante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sanciona la ordenanza que crea el programa, lo autoriza y aprueba (o ratifica) el convenio y su previsión presupuestaria. Esta doble intervención es una de las principales garantías de validez del esquema.</w:t>
      </w:r>
    </w:p>
    <w:tbl>
      <w:tblPr>
        <w:tblW w:type="dxa" w:w="9360"/>
        <w:tblBorders>
          <w:top w:val="single" w:color="F4F7FB" w:sz="2"/>
          <w:left w:val="single" w:color="2E5496" w:sz="24"/>
          <w:bottom w:val="single" w:color="F4F7FB" w:sz="2"/>
          <w:right w:val="single" w:color="F4F7F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1"/>
                <w:szCs w:val="21"/>
              </w:rPr>
              <w:t xml:space="preserve">Regla práctica de adaptación</w:t>
            </w:r>
          </w:p>
          <w:p>
            <w:pPr>
              <w:spacing w:after="120" w:line="276"/>
              <w:jc w:val="both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Si el municipio tiene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Carta Orgánica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verificar en ella y en sus ordenanzas el procedimiento de contratación y el umbral que exige licitación. Si se rige por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Ley 8102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aplicar los procedimientos y montos de esa ley y de la ordenanza tarifaria/de contabilidad local. En comunas pequeñas el trámite suele ser más ágil, lo que las hace idóneas para un programa piloto.</w:t>
            </w:r>
          </w:p>
        </w:tc>
      </w:tr>
    </w:tbl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III.4. Régimen de contrataciones municipales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contratación de servicios por el municipio debe encuadrarse en su régimen de contrataciones (Ley 8102 y/o Carta Orgánica y ordenanzas). La regla general es la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licitación pública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; existen excepciones —licitación privada, concurso de precios y contratación directa— habilitadas por monto, por urgencia, por razones de especialidad o exclusividad del prestador, o por tratarse de servicios de salud con características particulares. Como el gasto total del programa depende de la demanda y se ejecuta prestación por prestación, existen dos caminos válidos: (i) estructurarlo como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programa abierto de adhesión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al que puede sumarse cualquier prestador que reúna los requisitos (maximiza transparencia y neutraliza la objeción de competencia); o (ii) seleccionar al prestador por el procedimiento de contratación que corresponda según el monto anual estimado. La elección del procedimiento correcto es el punto técnico más sensible del diseño.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2E5496"/>
          <w:sz w:val="25"/>
          <w:szCs w:val="25"/>
        </w:rPr>
        <w:t xml:space="preserve">III.5. Control: el Tribunal de Cuentas municipal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Todo municipio de Córdoba cuenta con un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Tribunal de Cuentas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de elección popular con representación de la minoría (art. 183 inc. 3, Constitución provincial). Ejerce el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control externo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contable, económico-financiero y de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legalidad y legitimidad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del gasto, en forma preventiva (visado de actos antes de su cumplimiento) y posterior (aprobación u observación de las órdenes de pago). Un dato jurídicamente decisivo: el Tribunal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 puede juzgar la oportunidad, el mérito ni la conveniencia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de las decisiones políticas —solo su ajuste a derecho—. Por ello, si el gasto está bien fundado, correctamente imputado y debidamente documentado, la decisión de implementar el programa (una cuestión de mérito) queda fuera del reproche del órgano de control.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IV. ¿Puede el municipio pagar parte de una cirugía realizada por un prestador privado?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respuesta es </w:t>
      </w: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afirmativa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No existe impedimento legal para que un municipio cofinancie prestaciones de salud brindadas por un prestador privado a sus vecinos. La Administración lo hace habitualmente cuando compra medicamentos, contrata estudios de diagnóstico, deriva pacientes a clínicas o financia tratamientos. El esquema 40/60 —o cualquier otra proporción— es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lícito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el porcentaje que absorbe el prestador es una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bonificación comercial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sobre su precio, y el municipio paga el saldo como contraprestación de un servicio efectivamente recibido por un tercero-beneficiario (el vecino). Jurídicamente, la bonificación mejora la posición del erario público (paga menos que el valor de mercado), por lo que opera a favor del interés fiscal.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La línea que no debe cruzarse: fin público vs. liberalidad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único límite real es que el pago no se transforme en una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liberalidad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—una donación o ventaja gratuita— a favor del prestador. Para mantenerse del lado correcto de esa línea, el gasto debe: (i) responder a una política pública sanitaria formalizada; (ii) beneficiar a personas determinadas por reglas objetivas de vulnerabilidad; (iii) pagarse contra prestación efectivamente realizada y documentada; (iv) a un precio de referencia razonable y auditable; y (v) con selección del prestador conforme al régimen de contrataciones. Si se cumplen estos recaudos, no hay enriquecimiento sin causa ni favoritismo: hay compra de un servicio de salud con destino social.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Requisitos de validez (checklist)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Ordenanza del Concejo Deliberante que cree el programa, defina población objetivo y autorice el gasto.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Partida presupuestaria específica y suficiente (imputación previa del gasto).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Criterios objetivos y públicos de elegibilidad de los beneficiarios (vulnerabilidad socioeconómica / ausencia de cobertura).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Precio de referencia justificado (nomenclador, comparación con valores APROSS/PAMI o de mercado) y bonificación del prestador documentada.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Procedimiento de selección del prestador conforme al régimen de contrataciones (o programa abierto de adhesión).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Pago contra prestación realizada, con historia clínica, consentimiento informado, comprobante de la práctica y factura.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Circuito de auditoría médica y administrativa, y rendición ante el Tribunal de Cuentas.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Publicidad de los actos (transparencia activa).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V. Comparación de modalidades de instrumentación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 analizan las siete modalidades planteadas. La solidez jurídica se evalúa según tres ejes: fundamento competencial, exposición al control (Tribunal de Cuentas y competencia entre prestadores) y facilidad operativa.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1700"/>
        <w:gridCol w:w="2400"/>
        <w:gridCol w:w="1900"/>
        <w:gridCol w:w="2160"/>
        <w:gridCol w:w="120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Modalidad</w:t>
            </w:r>
          </w:p>
        </w:tc>
        <w:tc>
          <w:tcPr>
            <w:tcW w:type="dxa" w:w="24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  <w:tc>
          <w:tcPr>
            <w:tcW w:type="dxa" w:w="19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Ventajas</w:t>
            </w:r>
          </w:p>
        </w:tc>
        <w:tc>
          <w:tcPr>
            <w:tcW w:type="dxa" w:w="216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Riesgos</w:t>
            </w:r>
          </w:p>
        </w:tc>
        <w:tc>
          <w:tcPr>
            <w:tcW w:type="dxa" w:w="1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Solidez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A. Convenio Marco de Cooperación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Acuerdo genérico de colaboración, sin obligaciones de pago concretas.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Útil como paraguas político-institucional; baja exposición.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 habilita el gasto por sí solo; requiere convenio específico posterior.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Media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(complementaria)</w:t>
            </w:r>
          </w:p>
        </w:tc>
      </w:tr>
      <w:tr>
        <w:tc>
          <w:tcPr>
            <w:tcW w:type="dxa" w:w="17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B. Convenio Específico de Prestaciones</w:t>
            </w:r>
          </w:p>
        </w:tc>
        <w:tc>
          <w:tcPr>
            <w:tcW w:type="dxa" w:w="24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Contrato que define prácticas, precios, cupos, pago y control.</w:t>
            </w:r>
          </w:p>
        </w:tc>
        <w:tc>
          <w:tcPr>
            <w:tcW w:type="dxa" w:w="19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Claridad de obligaciones; pago contra prestación; auditable.</w:t>
            </w:r>
          </w:p>
        </w:tc>
        <w:tc>
          <w:tcPr>
            <w:tcW w:type="dxa" w:w="216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Debe respetar el régimen de contrataciones al seleccionar prestador.</w:t>
            </w:r>
          </w:p>
        </w:tc>
        <w:tc>
          <w:tcPr>
            <w:tcW w:type="dxa" w:w="12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C. Programa Municipal de Salud Visual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Ordenanza que crea el programa como política pública.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Máxima legitimidad; encuadra el gasto como política sanitaria.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Necesita un instrumento operativo (convenio) para ejecutarse.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7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D. Programa de Prevención de Ceguera Evitable</w:t>
            </w:r>
          </w:p>
        </w:tc>
        <w:tc>
          <w:tcPr>
            <w:tcW w:type="dxa" w:w="24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Igual que C, con eje en prevención de discapacidad visual.</w:t>
            </w:r>
          </w:p>
        </w:tc>
        <w:tc>
          <w:tcPr>
            <w:tcW w:type="dxa" w:w="19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Fundamento sanitario y de DDHH muy fuerte; buena comunicación.</w:t>
            </w:r>
          </w:p>
        </w:tc>
        <w:tc>
          <w:tcPr>
            <w:tcW w:type="dxa" w:w="216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Igual que C: requiere convenio operativo.</w:t>
            </w:r>
          </w:p>
        </w:tc>
        <w:tc>
          <w:tcPr>
            <w:tcW w:type="dxa" w:w="12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E. Compra de prestaciones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El municipio adquiere prácticas concretas a un precio pactado.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Lógica contractual limpia; pago por servicio recibido.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Encuadre estricto en contrataciones; definir bien el nomenclador.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17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F. Subsidio nominativo</w:t>
            </w:r>
          </w:p>
        </w:tc>
        <w:tc>
          <w:tcPr>
            <w:tcW w:type="dxa" w:w="24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Ayuda económica otorgada al prestador (o al paciente) por acto administrativo.</w:t>
            </w:r>
          </w:p>
        </w:tc>
        <w:tc>
          <w:tcPr>
            <w:tcW w:type="dxa" w:w="19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Trámite conocido para casos individuales y urgentes.</w:t>
            </w:r>
          </w:p>
        </w:tc>
        <w:tc>
          <w:tcPr>
            <w:tcW w:type="dxa" w:w="216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Alta exposición: se percibe como liberalidad; rendición estricta; débil para un programa permanente.</w:t>
            </w:r>
          </w:p>
        </w:tc>
        <w:tc>
          <w:tcPr>
            <w:tcW w:type="dxa" w:w="12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1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G. Convenio con contraprestación (en especie)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El prestador da cirugías gratis a cambio de un beneficio (p. ej., uso de quirófano público).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 requiere (o reduce) el desembolso municipal.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Muy expuesto: sospecha de ventaja indebida y competencia desleal. Caso Necochea: rechazado por el Concejo.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Baja/Media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EAF0F8" w:sz="2"/>
          <w:left w:val="single" w:color="2E7D32" w:sz="24"/>
          <w:bottom w:val="single" w:color="EAF0F8" w:sz="2"/>
          <w:right w:val="single" w:color="EAF0F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Modelo recomendado (combinación)</w:t>
            </w:r>
          </w:p>
          <w:p>
            <w:pPr>
              <w:spacing w:after="120" w:line="276"/>
              <w:jc w:val="both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La arquitectura más sólida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combina C/D + B + 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una ordenanza crea el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Programa Municipal de Salud Visual y Prevención de Ceguera Evitable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(encuadre de política pública, máxima legitimidad, control de mérito fuera del alcance del Tribunal de Cuentas), y un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Convenio Específico de Prestaciones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con lógica de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compra de prestaciones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lo ejecuta (pago por práctica realizada, precio de referencia, cupos, auditoría). Se descartan como eje principal las Opciones F y G. La Opción A puede sumarse como marco político previo, pero nunca como único instrumento del gasto.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VI. Facultades de dirección y control del municipio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municipio no solo puede pagar: como titular de la política pública y responsable del gasto,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debe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conservar potestades de dirección, auditoría y control. Todas las facultades consultadas son jurídicamente admisibles y, de hecho,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fortalecen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la validez del esquema, porque evidencian que existe un servicio dirigido por el Estado y no una transferencia gratuita al prestador. Conviene pactarlas expresamente en el convenio.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500"/>
        <w:gridCol w:w="1300"/>
        <w:gridCol w:w="556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Facultad</w:t>
            </w:r>
          </w:p>
        </w:tc>
        <w:tc>
          <w:tcPr>
            <w:tcW w:type="dxa" w:w="13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¿Admisible?</w:t>
            </w:r>
          </w:p>
        </w:tc>
        <w:tc>
          <w:tcPr>
            <w:tcW w:type="dxa" w:w="556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instrumentarla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Derivar pacientes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El municipio deriva desde su área de salud; el prestador solo atiende pacientes autorizados.</w:t>
            </w:r>
          </w:p>
        </w:tc>
      </w:tr>
      <w:tr>
        <w:tc>
          <w:tcPr>
            <w:tcW w:type="dxa" w:w="25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Autorizar cirugías / autorizar pacientes</w:t>
            </w:r>
          </w:p>
        </w:tc>
        <w:tc>
          <w:tcPr>
            <w:tcW w:type="dxa" w:w="13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Autorización previa (orden de prestación) como condición del pago.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Auditar prestaciones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Auditoría médica y administrativa; acceso a documentación e historia clínica (con resguardo de datos).</w:t>
            </w:r>
          </w:p>
        </w:tc>
      </w:tr>
      <w:tr>
        <w:tc>
          <w:tcPr>
            <w:tcW w:type="dxa" w:w="25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Aprobar presupuestos</w:t>
            </w:r>
          </w:p>
        </w:tc>
        <w:tc>
          <w:tcPr>
            <w:tcW w:type="dxa" w:w="13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Presupuesto por práctica según nomenclador; aprobación previa por acto administrativo.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Fijar cupos mensuales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Cupo mensual/anual conforme partida presupuestaria; evita el descontrol del gasto.</w:t>
            </w:r>
          </w:p>
        </w:tc>
      </w:tr>
      <w:tr>
        <w:tc>
          <w:tcPr>
            <w:tcW w:type="dxa" w:w="25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Controlar listas de espera</w:t>
            </w:r>
          </w:p>
        </w:tc>
        <w:tc>
          <w:tcPr>
            <w:tcW w:type="dxa" w:w="13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Registro único de beneficiarios y turnos; reglas de priorización objetivas.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Establecer prioridades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Criterios clínicos y sociales (urgencia, grado de ceguera, edad, vulnerabilidad).</w:t>
            </w:r>
          </w:p>
        </w:tc>
      </w:tr>
      <w:tr>
        <w:tc>
          <w:tcPr>
            <w:tcW w:type="dxa" w:w="25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Exigir informes médicos</w:t>
            </w:r>
          </w:p>
        </w:tc>
        <w:tc>
          <w:tcPr>
            <w:tcW w:type="dxa" w:w="13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Informe pre y postquirúrgico; parte quirúrgico; alta.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Controlar indicadores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Tablero de indicadores (cobertura, resultados, tiempos, satisfacción).</w:t>
            </w:r>
          </w:p>
        </w:tc>
      </w:tr>
      <w:tr>
        <w:tc>
          <w:tcPr>
            <w:tcW w:type="dxa" w:w="25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Exigir resultados</w:t>
            </w:r>
          </w:p>
        </w:tc>
        <w:tc>
          <w:tcPr>
            <w:tcW w:type="dxa" w:w="13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Estándares de calidad y tasa de éxito; garantía de reoperación por complicaciones imputables.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Rescindir el convenio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Sí</w:t>
            </w:r>
          </w:p>
        </w:tc>
        <w:tc>
          <w:tcPr>
            <w:tcW w:type="dxa" w:w="55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Causales de rescisión y rescisión por incumplimiento o por razones de interés público.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VII. Justificación jurídica del gasto público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gasto debe fundarse de manera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acumulativa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no alternativa: cuantos más fundamentos concurran, más sólida es la imputación frente al control. Sugerimos articular la motivación de la ordenanza y del convenio en torno a estos ejes, todos con anclaje normativo:</w:t>
      </w:r>
    </w:p>
    <w:p>
      <w:pPr>
        <w:pStyle w:val="ListParagraph"/>
        <w:numPr>
          <w:ilvl w:val="0"/>
          <w:numId w:val="3"/>
        </w:numPr>
        <w:spacing w:after="80" w:line="268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Política sanitaria y acceso a la salud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competencia municipal expresa (art. 186 inc. 7 Const. Cba.) y derecho operativo a la salud (CSJN, «Campodónico»; PIDESC art. 12).</w:t>
      </w:r>
    </w:p>
    <w:p>
      <w:pPr>
        <w:pStyle w:val="ListParagraph"/>
        <w:numPr>
          <w:ilvl w:val="0"/>
          <w:numId w:val="3"/>
        </w:numPr>
        <w:spacing w:after="80" w:line="268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Prevención de la discapacidad y de la ceguera evitable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la catarata no operada es principal causa de ceguera reversible; prevenirla es acción positiva a favor de grupos vulnerables (art. 75 inc. 23 CN; Convención de Discapacidad; Leyes 22.431 y 24.901).</w:t>
      </w:r>
    </w:p>
    <w:p>
      <w:pPr>
        <w:pStyle w:val="ListParagraph"/>
        <w:numPr>
          <w:ilvl w:val="0"/>
          <w:numId w:val="3"/>
        </w:numPr>
        <w:spacing w:after="80" w:line="268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Protección de la ancianidad y grupos vulnerables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la mayoría de los beneficiarios son adultos mayores sin cobertura (art. 186 inc. 7; art. 75 inc. 23 CN).</w:t>
      </w:r>
    </w:p>
    <w:p>
      <w:pPr>
        <w:pStyle w:val="ListParagraph"/>
        <w:numPr>
          <w:ilvl w:val="0"/>
          <w:numId w:val="3"/>
        </w:numPr>
        <w:spacing w:after="80" w:line="268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Fortalecimiento del sistema sanitario local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descomprime listas de espera del sistema público y evita costos de infraestructura y aparatología propios.</w:t>
      </w:r>
    </w:p>
    <w:p>
      <w:pPr>
        <w:pStyle w:val="ListParagraph"/>
        <w:numPr>
          <w:ilvl w:val="0"/>
          <w:numId w:val="3"/>
        </w:numPr>
        <w:spacing w:after="80" w:line="268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Equidad e inclusión social (asistencia social)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garantiza a los vecinos de menores recursos una prestación que de otro modo no podrían costear.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recomendación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es titular el programa como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«Salud Visual y Prevención de Ceguera Evitable»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combina el fundamento sanitario más fuerte (prevención de discapacidad) con el encuadre de política pública, y comunica un objetivo medible (reducir la ceguera por catarata en el ejido municipal).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VIII. Modelo económico y su documentación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punto crítico ante el Tribunal de Cuentas no es el porcentaje, sino la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trazabilidad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demostrar que el municipio pagó un precio razonable por una prestación real, con una bonificación efectiva del prestador. Se ilustra con un ejemplo (importes hipotéticos):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 (hipótesis)</w:t>
            </w:r>
          </w:p>
        </w:tc>
        <w:tc>
          <w:tcPr>
            <w:tcW w:type="dxa" w:w="416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se documenta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Precio de referencia (valor real de la práctica)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$ 1.000.000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Nomenclador del programa; comparación con valores APROSS/PAMI o presupuestos de mercado.</w:t>
            </w:r>
          </w:p>
        </w:tc>
      </w:tr>
      <w:tr>
        <w:tc>
          <w:tcPr>
            <w:tcW w:type="dxa" w:w="30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Bonificación del Centro (40 %)</w:t>
            </w:r>
          </w:p>
        </w:tc>
        <w:tc>
          <w:tcPr>
            <w:tcW w:type="dxa" w:w="22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$ 400.000</w:t>
            </w:r>
          </w:p>
        </w:tc>
        <w:tc>
          <w:tcPr>
            <w:tcW w:type="dxa" w:w="416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Nota de bonificación / descuento explícito en la factura; convenio que fija el porcentaje.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Saldo a cargo del Municipio (60 %)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$ 600.000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Orden de prestación + factura por el saldo + comprobante de práctica realizada.</w:t>
            </w:r>
          </w:p>
        </w:tc>
      </w:tr>
      <w:tr>
        <w:tc>
          <w:tcPr>
            <w:tcW w:type="dxa" w:w="30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Copago del paciente (si existiera)</w:t>
            </w:r>
          </w:p>
        </w:tc>
        <w:tc>
          <w:tcPr>
            <w:tcW w:type="dxa" w:w="22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$ 0 a mínimo</w:t>
            </w:r>
          </w:p>
        </w:tc>
        <w:tc>
          <w:tcPr>
            <w:tcW w:type="dxa" w:w="416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Recibo; en general se recomienda gratuidad para la población objetivo.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Costo unitario para el erario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$ 600.000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Menor que el valor de mercado: el gasto se justifica como eficiente.</w:t>
            </w:r>
          </w:p>
        </w:tc>
      </w:tr>
    </w:tbl>
    <w:p>
      <w:pPr>
        <w:spacing w:after="100"/>
      </w:pP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Cómo se factura y cómo se demuestra la bonificación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forma más limpia es que el prestador emita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una factura por el valor total de la práctica y consigne en ella el descuento/bonificación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(línea de «bonificación 40 %»), de modo que el neto a pagar por el municipio sea el saldo. Alternativamente, puede facturar directamente el saldo, dejando constancia en el convenio y en la orden de prestación del precio de referencia y del porcentaje bonificado. La primera variante es preferible porque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hace visible la bonificación en el propio comprobante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que es lo que el órgano de control necesita ver.</w:t>
      </w:r>
    </w:p>
    <w:p>
      <w:pPr>
        <w:pStyle w:val="Heading3"/>
        <w:spacing w:after="70" w:before="160"/>
      </w:pPr>
      <w:r>
        <w:rPr>
          <w:rFonts w:ascii="Calibri" w:cs="Calibri" w:eastAsia="Calibri" w:hAnsi="Calibri"/>
          <w:b/>
          <w:bCs/>
          <w:color w:val="595959"/>
          <w:sz w:val="23"/>
          <w:szCs w:val="23"/>
        </w:rPr>
        <w:t xml:space="preserve">Cómo evitar observaciones del Tribunal de Cuentas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Ordenanza y partida presupuestaria previas al gasto (no pagar sin crédito imputado).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Precio de referencia fundado y uniforme (nomenclador anexo al convenio), no fijado caso por caso.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Selección del prestador por el procedimiento de contratación que corresponda, o programa abierto de adhesión.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Expediente por paciente: elegibilidad, autorización, consentimiento, práctica, factura con bonificación, informe médico.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Pago contra prestación efectivamente realizada (nunca anticipos sin respaldo).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Auditoría médica que certifique la práctica; conformidad del área de salud antes de cada pago.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Rendición periódica y publicidad de los actos (transparencia activa).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IX. Matriz de riesgos y mitigación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 / probabilidad</w:t>
            </w:r>
          </w:p>
        </w:tc>
        <w:tc>
          <w:tcPr>
            <w:tcW w:type="dxa" w:w="416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Observación administrativa del gasto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Documentación insuficiente / media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Expediente completo por paciente; nomenclador; visado preventivo del Tribunal de Cuentas.</w:t>
            </w:r>
          </w:p>
        </w:tc>
      </w:tr>
      <w:tr>
        <w:tc>
          <w:tcPr>
            <w:tcW w:type="dxa" w:w="26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Nulidad del convenio</w:t>
            </w:r>
          </w:p>
        </w:tc>
        <w:tc>
          <w:tcPr>
            <w:tcW w:type="dxa" w:w="26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Falta de competencia o de procedimiento / baja-media</w:t>
            </w:r>
          </w:p>
        </w:tc>
        <w:tc>
          <w:tcPr>
            <w:tcW w:type="dxa" w:w="416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Ordenanza habilitante; procedimiento de contratación correcto; refrendo de asesoría letrada.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Liberalidad / enriquecimiento sin causa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Percepción de subsidio al prestador / media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Pago contra prestación; precio razonable; fin público; beneficiarios por reglas objetivas.</w:t>
            </w:r>
          </w:p>
        </w:tc>
      </w:tr>
      <w:tr>
        <w:tc>
          <w:tcPr>
            <w:tcW w:type="dxa" w:w="26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Competencia desleal / trato preferente</w:t>
            </w:r>
          </w:p>
        </w:tc>
        <w:tc>
          <w:tcPr>
            <w:tcW w:type="dxa" w:w="26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Otros prestadores se sienten excluidos / media-alta</w:t>
            </w:r>
          </w:p>
        </w:tc>
        <w:tc>
          <w:tcPr>
            <w:tcW w:type="dxa" w:w="416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Programa abierto de adhesión o selección competitiva; criterios de admisión de prestadores públicos.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Cuestionamiento político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Oposición en el Concejo / media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Aprobación por ordenanza; transparencia; estadística e indicadores (evitar el «faltan datos» de Necochea).</w:t>
            </w:r>
          </w:p>
        </w:tc>
      </w:tr>
      <w:tr>
        <w:tc>
          <w:tcPr>
            <w:tcW w:type="dxa" w:w="26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Responsabilidad del Intendente y funcionarios</w:t>
            </w:r>
          </w:p>
        </w:tc>
        <w:tc>
          <w:tcPr>
            <w:tcW w:type="dxa" w:w="26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Gasto sin respaldo / baja si se cumplen recaudos</w:t>
            </w:r>
          </w:p>
        </w:tc>
        <w:tc>
          <w:tcPr>
            <w:tcW w:type="dxa" w:w="416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Actos administrativos motivados; imputación previa; dictámenes internos; separación de funciones.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Conflicto con obras sociales (PAMI/APROSS)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Doble cobertura / superposición / media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Excluir beneficiarios con cobertura; verificar padrones; el programa cubre solo a no afiliados.</w:t>
            </w:r>
          </w:p>
        </w:tc>
      </w:tr>
      <w:tr>
        <w:tc>
          <w:tcPr>
            <w:tcW w:type="dxa" w:w="26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Conflicto con otros prestadores</w:t>
            </w:r>
          </w:p>
        </w:tc>
        <w:tc>
          <w:tcPr>
            <w:tcW w:type="dxa" w:w="26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Reclamo de igualdad / media</w:t>
            </w:r>
          </w:p>
        </w:tc>
        <w:tc>
          <w:tcPr>
            <w:tcW w:type="dxa" w:w="416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Adhesión abierta; reglas iguales para todos; publicidad del nomenclador.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Protección de datos de salud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Datos sensibles (Ley 25.326) / media</w:t>
            </w:r>
          </w:p>
        </w:tc>
        <w:tc>
          <w:tcPr>
            <w:tcW w:type="dxa" w:w="41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Cláusula de confidencialidad; tratamiento conforme Ley 25.326; acceso restringido a auditoría.</w:t>
            </w:r>
          </w:p>
        </w:tc>
      </w:tr>
      <w:tr>
        <w:tc>
          <w:tcPr>
            <w:tcW w:type="dxa" w:w="26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Responsabilidad por mala praxis</w:t>
            </w:r>
          </w:p>
        </w:tc>
        <w:tc>
          <w:tcPr>
            <w:tcW w:type="dxa" w:w="26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Complicaciones médicas / baja-media</w:t>
            </w:r>
          </w:p>
        </w:tc>
        <w:tc>
          <w:tcPr>
            <w:tcW w:type="dxa" w:w="416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Responsabilidad profesional exclusiva del prestador; seguro de mala praxis; garantía de reoperación.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F4F7FB" w:sz="2"/>
          <w:left w:val="single" w:color="C55A11" w:sz="24"/>
          <w:bottom w:val="single" w:color="F4F7FB" w:sz="2"/>
          <w:right w:val="single" w:color="F4F7FB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4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1"/>
                <w:szCs w:val="21"/>
              </w:rPr>
              <w:t xml:space="preserve">Lección del caso Necochea (antecedente de riesgo)</w:t>
            </w:r>
          </w:p>
          <w:p>
            <w:pPr>
              <w:spacing w:after="120" w:line="276"/>
              <w:jc w:val="both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En Necochea (Prov. de Buenos Aires), el Concejo Deliberante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rechazó (empate 9-9)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un convenio de cirugías oftalmológicas «gratuitas» que, a cambio, cedía el quirófano público al profesional para atender a sus propios pacientes de PAMI. Las objeciones centrales fueron la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falta de estadísticas y de transparencia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(«había grises»). Moraleja: (i) evitar la contraprestación en especie —Opción G—; (ii) llegar al Concejo con datos, nomenclador y reglas claras; (iii) instrumentar por ordenanza y no por acuerdo directo opaco.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X. Antecedentes reales y comparados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modelo propuesto no es novedoso ni experimental: existen programas análogos en funcionamiento que confirman su viabilidad.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«Salta Libre de Cataratas» (Municipalidad de Salta)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programa municipal de cirugías gratuitas de cataratas para personas sin obra social, ejecutado con una fundación/prestador oftalmológico y canalizado a través de los Centros Integradores Comunitarios. Demuestra la legalidad de que un municipio articule con un prestador para brindar cirugías a vecinos sin cobertura.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General Alvear (Mendoza)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jornadas de cirugías de cataratas gratuitas coordinadas por el municipio para sus vecinos.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Programa de Salud Visual de APROSS (Córdoba)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modelo de red de prestadores con convenio y copago —referencia útil para el diseño del nomenclador y del circuito prestacional en la propia provincia.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Necochea (Bs. As.) — antecedente negativo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convenio rechazado por el Concejo por opacidad y contraprestación en especie. Sirve como contraejemplo de lo que debe evitarse.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 conjunto, los antecedentes marcan un patrón claro: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los programas prosperan cuando son transparentes, reglados por ordenanza y pagados contra prestación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; fracasan cuando se perciben como acuerdos directos, opacos o con ventajas cruzadas.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XI. Adaptación del modelo a cada municipio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convenio adjunto es genérico y se personaliza con cambios mínimos. Las variables de adaptación son: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1"/>
          <w:insideV w:val="single" w:color="D9D9D9" w:sz="1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5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Municipio con Carta Orgánica</w:t>
            </w:r>
          </w:p>
        </w:tc>
        <w:tc>
          <w:tcPr>
            <w:tcW w:type="dxa" w:w="358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Municipio/Comuna bajo Ley 8102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Norma habilitante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Carta Orgánica + ordenanzas propias de contrataciones y contabilidad.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Ley 8102 + ordenanza local; en comunas, trámite más ágil.</w:t>
            </w:r>
          </w:p>
        </w:tc>
      </w:tr>
      <w:tr>
        <w:tc>
          <w:tcPr>
            <w:tcW w:type="dxa" w:w="22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Procedimiento de contratación</w:t>
            </w:r>
          </w:p>
        </w:tc>
        <w:tc>
          <w:tcPr>
            <w:tcW w:type="dxa" w:w="358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El que fije la Carta/ordenanza según monto anual estimado.</w:t>
            </w:r>
          </w:p>
        </w:tc>
        <w:tc>
          <w:tcPr>
            <w:tcW w:type="dxa" w:w="358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Licitación/concurso/directa según montos de la ley y ordenanza tarifaria.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Órgano de control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Tribunal de Cuentas propio (control preventivo y posterior).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Tribunal de Cuentas municipal / control provincial supletorio en comunas.</w:t>
            </w:r>
          </w:p>
        </w:tc>
      </w:tr>
      <w:tr>
        <w:tc>
          <w:tcPr>
            <w:tcW w:type="dxa" w:w="220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Aprobación del convenio</w:t>
            </w:r>
          </w:p>
        </w:tc>
        <w:tc>
          <w:tcPr>
            <w:tcW w:type="dxa" w:w="358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Ordenanza del Concejo + decreto del DEM.</w:t>
            </w:r>
          </w:p>
        </w:tc>
        <w:tc>
          <w:tcPr>
            <w:tcW w:type="dxa" w:w="3580"/>
            <w:shd w:fill="F4F7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Ordenanza del Concejo (o Comisión) + decreto.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Idoneidad para piloto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Mayor complejidad; conviene tras probar el modelo.</w:t>
            </w:r>
          </w:p>
        </w:tc>
        <w:tc>
          <w:tcPr>
            <w:tcW w:type="dxa" w:w="35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Ideal para el piloto por agilidad y cercanía.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Recomendación estratégica: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iniciar el piloto en un municipio o comuna pequeño/mediano regido por la Ley 8102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donde el circuito de aprobación es más ágil, para luego escalar a municipios con Carta Orgánica y, después, a otras provincias replicando la arquitectura (ordenanza + convenio + anexos), ajustada a la normativa local.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XII. Conclusiones y recomendaciones</w:t>
      </w:r>
    </w:p>
    <w:p>
      <w:pPr>
        <w:pStyle w:val="ListParagraph"/>
        <w:numPr>
          <w:ilvl w:val="0"/>
          <w:numId w:val="3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cofinanciamiento municipal de prestaciones oftalmológicas a vecinos sin cobertura es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legal y viable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en la Provincia de Córdoba, con base en la autonomía municipal (art. 180) y la competencia en salud y discapacidad (art. 186 inc. 7).</w:t>
      </w:r>
    </w:p>
    <w:p>
      <w:pPr>
        <w:pStyle w:val="ListParagraph"/>
        <w:numPr>
          <w:ilvl w:val="0"/>
          <w:numId w:val="3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esquema 40/60 —o cualquier otra proporción— es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lícito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; la bonificación del prestador beneficia al erario. La validez depende del diseño, no del porcentaje.</w:t>
      </w:r>
    </w:p>
    <w:p>
      <w:pPr>
        <w:pStyle w:val="ListParagraph"/>
        <w:numPr>
          <w:ilvl w:val="0"/>
          <w:numId w:val="3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instrumentación más sólida es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Ordenanza (Programa de Salud Visual y Prevención de Ceguera Evitable) + Convenio Específico de Prestaciones + Anexos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con lógica de compra de prestaciones.</w:t>
      </w:r>
    </w:p>
    <w:p>
      <w:pPr>
        <w:pStyle w:val="ListParagraph"/>
        <w:numPr>
          <w:ilvl w:val="0"/>
          <w:numId w:val="3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Deben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evitarse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el subsidio nominativo como eje (Opción F) y la contraprestación en especie (Opción G).</w:t>
      </w:r>
    </w:p>
    <w:p>
      <w:pPr>
        <w:pStyle w:val="ListParagraph"/>
        <w:numPr>
          <w:ilvl w:val="0"/>
          <w:numId w:val="3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municipio puede y debe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dirigir, autorizar, auditar y controlar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el programa; ello refuerza su validez.</w:t>
      </w:r>
    </w:p>
    <w:p>
      <w:pPr>
        <w:pStyle w:val="ListParagraph"/>
        <w:numPr>
          <w:ilvl w:val="0"/>
          <w:numId w:val="3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Para evitar observaciones del Tribunal de Cuentas: ordenanza y partida previas, nomenclador, procedimiento de contratación correcto, expediente por paciente y pago contra prestación documentada.</w:t>
      </w:r>
    </w:p>
    <w:p>
      <w:pPr>
        <w:pStyle w:val="ListParagraph"/>
        <w:numPr>
          <w:ilvl w:val="0"/>
          <w:numId w:val="3"/>
        </w:numPr>
        <w:spacing w:after="80" w:line="268"/>
        <w:jc w:val="both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Conviene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comenzar por un piloto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en un municipio/comuna pequeño bajo Ley 8102 y escalar luego a nivel provincial y nacional.</w:t>
      </w:r>
    </w:p>
    <w:p>
      <w:pPr>
        <w:spacing w:after="120"/>
      </w:pPr>
    </w:p>
    <w:tbl>
      <w:tblPr>
        <w:tblW w:type="dxa" w:w="9360"/>
        <w:tblBorders>
          <w:top w:val="single" w:color="EAF0F8" w:sz="2"/>
          <w:left w:val="single" w:color="2E5496" w:sz="24"/>
          <w:bottom w:val="single" w:color="EAF0F8" w:sz="2"/>
          <w:right w:val="single" w:color="EAF0F8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1"/>
                <w:szCs w:val="21"/>
              </w:rPr>
              <w:t xml:space="preserve">Próximo paso sugerido</w:t>
            </w:r>
          </w:p>
          <w:p>
            <w:pPr>
              <w:spacing w:after="120" w:line="276"/>
              <w:jc w:val="both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Presentar a los municipios el «paquete institucional»: (1) esta nota técnica; (2) el modelo de convenio adjunto; (3) el proyecto de ordenanza tipo; y (4) la presentación ejecutiva. Ofrecer un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programa piloto de 6 meses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con cupo acotado y métricas de impacto, como forma de bajo riesgo para que el municipio pruebe el modelo antes de escalarlo.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Documento de trabajo — Julio 2026   |  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F3864"/>
        <w:sz w:val="16"/>
        <w:szCs w:val="16"/>
      </w:rPr>
      <w:t xml:space="preserve">Dictamen Jurídico — Programa de Salud Visual municipal</w:t>
    </w:r>
    <w:r>
      <w:rPr>
        <w:rFonts w:ascii="Calibri" w:cs="Calibri" w:eastAsia="Calibri" w:hAnsi="Calibri"/>
        <w:color w:val="595959"/>
        <w:sz w:val="15"/>
        <w:szCs w:val="15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5496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Dictamen Jurídico — Convenio de cofinanciamiento de prestaciones oftalmológicas</dc:title>
  <dc:creator>Estudio Jurídico — Derecho Administrativo y Sanitario</dc:creator>
  <dc:description>Análisis de viabilidad jurídica, modalidades, modelo económico, riesgos y estrategia</dc:description>
  <cp:lastModifiedBy>Un-named</cp:lastModifiedBy>
  <cp:revision>1</cp:revision>
  <dcterms:created xsi:type="dcterms:W3CDTF">2026-07-22T16:04:44.302Z</dcterms:created>
  <dcterms:modified xsi:type="dcterms:W3CDTF">2026-07-22T16:04:44.317Z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