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61" w:name="content"/>
    <w:bookmarkStart w:id="60" w:name="Xef29085a0bca33d448b132d554fd105df645e4b"/>
    <w:p>
      <w:pPr>
        <w:pStyle w:val="Heading1"/>
      </w:pPr>
      <w:r>
        <w:t xml:space="preserve">Информационная безопасность интернет-магазина</w:t>
      </w:r>
    </w:p>
    <w:p>
      <w:pPr>
        <w:pStyle w:val="FirstParagraph"/>
      </w:pPr>
      <w:r>
        <w:t xml:space="preserve">Интернет-магазин как автоматизированная система одновременно является публичным веб‑сервисом, обрабатывающим персональные данные клиентов, и (часто) элементом платёжного контура, где критична защита платёжных реквизитов, устойчивость к мошенничеству и доступность 24/7. Поэтому корректная модель угроз должна опираться не на «перечень уязвимостей», а на связку</w:t>
      </w:r>
      <w:r>
        <w:t xml:space="preserve"> </w:t>
      </w:r>
      <w:r>
        <w:rPr>
          <w:b/>
          <w:bCs/>
        </w:rPr>
        <w:t xml:space="preserve">активы → процессы обработки → поверхности атаки → сценарии нарушений конфиденциальности/целостности/доступности → управляемые меры защиты</w:t>
      </w:r>
      <w:r>
        <w:t xml:space="preserve">, привязанные к проверяемым практикам и стандартам: OWASP</w:t>
      </w: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(Top 10, ASVS, API Security, Cheat Sheet Series), NIST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(CSF 2.0, SP 800‑53, SSDF, 800‑63B, 800‑92), PCI Security Standards Council</w:t>
      </w: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(PCI DSS), CISA</w:t>
      </w: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(secure‑by‑design и рекомендации по устойчивости), IETF</w:t>
      </w: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(TLS 1.3), entity["organization","MITRE","att&amp;ck steward org"] (ATT&amp;CK), и правовые рамки для персональных данных (GDPR/локальное законодательство).</w:t>
      </w:r>
      <w:hyperlink r:id="rId26">
        <w:r>
          <w:rPr>
            <w:rStyle w:val="Hyperlink"/>
          </w:rPr>
          <w:t xml:space="preserve">[6]</w:t>
        </w:r>
      </w:hyperlink>
    </w:p>
    <w:bookmarkStart w:id="31" w:name="X38c13d19ab015cfdc95e96ddcb2e20da4a479c2"/>
    <w:p>
      <w:pPr>
        <w:pStyle w:val="Heading2"/>
      </w:pPr>
      <w:r>
        <w:t xml:space="preserve">Контекст интернет-магазина и информационные процессы</w:t>
      </w:r>
    </w:p>
    <w:p>
      <w:pPr>
        <w:pStyle w:val="FirstParagraph"/>
      </w:pPr>
      <w:r>
        <w:t xml:space="preserve">Типовой интернет-магазин — это совокупность публичных и внутренних компонентов: веб‑витрина и/или мобильное приложение, backend (каталог, цены/акции, корзина, оформление заказа, управление доставкой, личный кабинет), API для партнёров и интеграций, административная панель, контуры хранения (БД, поисковый индекс, кэш, очереди), а также внешние сервисы (платёжный провайдер, доставка, email/SMS‑рассылки, антифрод, аналитика). Именно</w:t>
      </w:r>
      <w:r>
        <w:t xml:space="preserve"> </w:t>
      </w:r>
      <w:r>
        <w:rPr>
          <w:b/>
          <w:bCs/>
        </w:rPr>
        <w:t xml:space="preserve">информационные процессы</w:t>
      </w:r>
      <w:r>
        <w:t xml:space="preserve"> </w:t>
      </w:r>
      <w:r>
        <w:t xml:space="preserve">(сбор → передача → хранение → обработка → выдача/удаление) определяют, какие свойства (C/I/A) являются критическими и где проходят границы доверия. Подход NIST CSF 2.0 полезен тем, что фиксирует «исходы» (outcomes) управления риском и вводит функцию GOVERN, явно подчёркивая роль управления и цепочек поставок.</w:t>
      </w:r>
      <w:hyperlink r:id="rId23">
        <w:r>
          <w:rPr>
            <w:rStyle w:val="Hyperlink"/>
          </w:rPr>
          <w:t xml:space="preserve">[7]</w:t>
        </w:r>
      </w:hyperlink>
    </w:p>
    <w:p>
      <w:pPr>
        <w:pStyle w:val="BodyText"/>
      </w:pPr>
      <w:r>
        <w:rPr>
          <w:b/>
          <w:bCs/>
        </w:rPr>
        <w:t xml:space="preserve">Источники информации (в терминах задания)</w:t>
      </w:r>
      <w:r>
        <w:t xml:space="preserve"> </w:t>
      </w:r>
      <w:r>
        <w:t xml:space="preserve">в интернет‑магазине обычно включают:</w:t>
      </w:r>
      <w:r>
        <w:br/>
      </w:r>
      <w:r>
        <w:t xml:space="preserve">данные клиента (ФИО, телефон, email, адрес доставки, история заказов), данные учётной записи (логины, хэши паролей, токены сессий/refresh‑токены), данные заказа (состав корзины, стоимость, скидки, статусы, возвраты), операционные данные (склад/остатки), журналы событий (логи приложений/доступов), а также телеметрию безопасности. Если магазин работает с гражданами/клиентами из ЕС, персональные данные подпадают под GDPR вне зависимости от технологии обработки; если деятельность ведётся в РФ — применимы требования закона о персональных данных.</w:t>
      </w:r>
      <w:hyperlink r:id="rId27">
        <w:r>
          <w:rPr>
            <w:rStyle w:val="Hyperlink"/>
          </w:rPr>
          <w:t xml:space="preserve">[8]</w:t>
        </w:r>
      </w:hyperlink>
    </w:p>
    <w:p>
      <w:pPr>
        <w:pStyle w:val="BodyText"/>
      </w:pPr>
      <w:r>
        <w:rPr>
          <w:b/>
          <w:bCs/>
        </w:rPr>
        <w:t xml:space="preserve">Способы доступа</w:t>
      </w:r>
      <w:r>
        <w:t xml:space="preserve"> </w:t>
      </w:r>
      <w:r>
        <w:t xml:space="preserve">к данным и функциям системы делятся на: публичный доступ (браузер/мобильное приложение), программный доступ (API партнёров, интеграции с доставкой/CRM/ERP), и привилегированный доступ (админ‑панель, доступ DevOps/SRE к инфраструктуре, доступ службы поддержки к данным клиентов). Практика «смещения защиты к пользователям/активам и ресурсам вместо статического периметра» характерна для подхода zero trust и особенно важна для привилегированных контуров интернет‑магазина.</w:t>
      </w:r>
      <w:hyperlink r:id="rId28">
        <w:r>
          <w:rPr>
            <w:rStyle w:val="Hyperlink"/>
          </w:rPr>
          <w:t xml:space="preserve">[9]</w:t>
        </w:r>
      </w:hyperlink>
    </w:p>
    <w:p>
      <w:pPr>
        <w:pStyle w:val="BodyText"/>
      </w:pPr>
      <w:r>
        <w:rPr>
          <w:b/>
          <w:bCs/>
        </w:rPr>
        <w:t xml:space="preserve">Платёжный процесс</w:t>
      </w:r>
      <w:r>
        <w:t xml:space="preserve"> </w:t>
      </w:r>
      <w:r>
        <w:t xml:space="preserve">— отдельная зона концентрации риска. PCI DSS описывает «базовый набор технических и операционных требований» для защиты платёжных данных. При полной передаче обработки карт платёжному провайдеру (redirect/hosted payment page) многие магазины стремятся уменьшить объём собственного платёжного контура; для этого у PCI есть отдельные критерии применимости, а также руководство по scoping и сегментации.</w:t>
      </w:r>
      <w:hyperlink r:id="rId29">
        <w:r>
          <w:rPr>
            <w:rStyle w:val="Hyperlink"/>
          </w:rPr>
          <w:t xml:space="preserve">[10]</w:t>
        </w:r>
      </w:hyperlink>
    </w:p>
    <w:p>
      <w:pPr>
        <w:pStyle w:val="BodyText"/>
      </w:pPr>
      <w:r>
        <w:t xml:space="preserve">Передача данных между клиентом и магазином (и между сервисами) должна исходно предполагать противника «наблюдающего и модифицирующего трафик», поэтому транспортное шифрование — базовая предпосылка: TLS 1.3 проектировался для снижения рисков прослушивания, подмены и подделки сообщений.</w:t>
      </w:r>
      <w:hyperlink r:id="rId30">
        <w:r>
          <w:rPr>
            <w:rStyle w:val="Hyperlink"/>
          </w:rPr>
          <w:t xml:space="preserve">[11]</w:t>
        </w:r>
      </w:hyperlink>
    </w:p>
    <w:bookmarkEnd w:id="31"/>
    <w:bookmarkStart w:id="36" w:name="Xeb93244a9f04ed0227f38459999a253a65171a5"/>
    <w:p>
      <w:pPr>
        <w:pStyle w:val="Heading2"/>
      </w:pPr>
      <w:r>
        <w:t xml:space="preserve">Виды угроз, источники угроз и объекты угрозы</w:t>
      </w:r>
    </w:p>
    <w:p>
      <w:pPr>
        <w:pStyle w:val="FirstParagraph"/>
      </w:pPr>
      <w:r>
        <w:t xml:space="preserve">Практически удобно разделять</w:t>
      </w:r>
      <w:r>
        <w:t xml:space="preserve"> </w:t>
      </w:r>
      <w:r>
        <w:rPr>
          <w:b/>
          <w:bCs/>
        </w:rPr>
        <w:t xml:space="preserve">источники угроз</w:t>
      </w:r>
      <w:r>
        <w:t xml:space="preserve"> </w:t>
      </w:r>
      <w:r>
        <w:t xml:space="preserve">на внешние (киберпреступность, боты, мошенники, конкуренты, «серые» партнёры), внутренние (ошибки персонала, злоупотребления инсайдеров), и цепочку поставок (компрометация сторонних библиотек, CI/CD, подрядчиков, SaaS‑провайдеров). CISA отдельно выделяет риски цепочки поставок ПО и даёт рекомендации по снижению таких рисков как для заказчиков, так и для поставщиков.</w:t>
      </w:r>
      <w:hyperlink r:id="rId24">
        <w:r>
          <w:rPr>
            <w:rStyle w:val="Hyperlink"/>
          </w:rPr>
          <w:t xml:space="preserve">[12]</w:t>
        </w:r>
      </w:hyperlink>
    </w:p>
    <w:p>
      <w:pPr>
        <w:pStyle w:val="BodyText"/>
      </w:pPr>
      <w:r>
        <w:rPr>
          <w:b/>
          <w:bCs/>
        </w:rPr>
        <w:t xml:space="preserve">Объекты угрозы</w:t>
      </w:r>
      <w:r>
        <w:t xml:space="preserve"> </w:t>
      </w:r>
      <w:r>
        <w:t xml:space="preserve">(что атакуют) в интернет‑магазине повторяются из проекта в проект: публичные веб‑эндпоинты и формы (поиск, логин, оформление заказа), API (включая мобильное), административные интерфейсы, база данных клиентов/заказов, контур управления ценами и скидками, подсистема возвратов, файловые хранилища, а также сборка и доставка (CI/CD) артефактов. На уровне прикладных рисков ориентиром выступает OWASP Top 10 как «стандартный документ осведомлённости» по наиболее критичным рискам веб‑приложений.</w:t>
      </w:r>
      <w:hyperlink r:id="rId26">
        <w:r>
          <w:rPr>
            <w:rStyle w:val="Hyperlink"/>
          </w:rPr>
          <w:t xml:space="preserve">[13]</w:t>
        </w:r>
      </w:hyperlink>
    </w:p>
    <w:p>
      <w:pPr>
        <w:pStyle w:val="BodyText"/>
      </w:pPr>
      <w:r>
        <w:t xml:space="preserve">Для интернет‑магазинов критично, что значительная часть логики становится API‑ориентированной (SPA, мобильные клиенты, партнёрские интеграции). Поэтому к OWASP Top 10 добавляют отдельную призму OWASP API Security Top 10 (например, проблемы объектного уровня авторизации и аутентификации в API).</w:t>
      </w:r>
      <w:hyperlink r:id="rId32">
        <w:r>
          <w:rPr>
            <w:rStyle w:val="Hyperlink"/>
          </w:rPr>
          <w:t xml:space="preserve">[14]</w:t>
        </w:r>
      </w:hyperlink>
    </w:p>
    <w:p>
      <w:pPr>
        <w:pStyle w:val="BodyText"/>
      </w:pPr>
      <w:r>
        <w:t xml:space="preserve">Отдельный класс —</w:t>
      </w:r>
      <w:r>
        <w:t xml:space="preserve"> </w:t>
      </w:r>
      <w:r>
        <w:rPr>
          <w:b/>
          <w:bCs/>
        </w:rPr>
        <w:t xml:space="preserve">автоматизированные угрозы</w:t>
      </w:r>
      <w:r>
        <w:t xml:space="preserve"> </w:t>
      </w:r>
      <w:r>
        <w:t xml:space="preserve">(боты, credential stuffing, перебор купонов/промокодов, сканирование уязвимостей, scraping каталога и цен). OWASP Automated Threats to Web Applications фиксирует, что цель проекта — дать общую «онтологию», язык описания и набор контролей/смягчений именно для нежелательной автоматизации.</w:t>
      </w:r>
      <w:hyperlink r:id="rId33">
        <w:r>
          <w:rPr>
            <w:rStyle w:val="Hyperlink"/>
          </w:rPr>
          <w:t xml:space="preserve">[15]</w:t>
        </w:r>
      </w:hyperlink>
    </w:p>
    <w:p>
      <w:pPr>
        <w:pStyle w:val="BodyText"/>
      </w:pPr>
      <w:r>
        <w:t xml:space="preserve">Если привязать угрозы к типовым тактикам атакующих, entity["organization","MITRE","att&amp;ck steward org"] ATT&amp;CK подчёркивает отдельную тактику Credential Access (кража учётных данных) как один из центральных путей к захвату аккаунтов и дальнейшей компрометации. Для интернет‑магазина это транслируется в сценарии ATO (account takeover), компрометации админ‑учёток, кражи токенов и ключей доступа.</w:t>
      </w:r>
      <w:hyperlink r:id="rId34">
        <w:r>
          <w:rPr>
            <w:rStyle w:val="Hyperlink"/>
          </w:rPr>
          <w:t xml:space="preserve">[16]</w:t>
        </w:r>
      </w:hyperlink>
    </w:p>
    <w:p>
      <w:pPr>
        <w:pStyle w:val="BodyText"/>
      </w:pPr>
      <w:r>
        <w:t xml:space="preserve">Наконец, на уровне «почему это происходит» полезно помнить, что уязвимости часто укладываются в повторяющиеся слабости разработки: MITRE публикует CWE Top 25 как список «наиболее распространённых и влияющих» слабостей (многие напрямую релевантны веб‑разработке: инъекции, XSS, ошибки контроля доступа).</w:t>
      </w:r>
      <w:hyperlink r:id="rId35">
        <w:r>
          <w:rPr>
            <w:rStyle w:val="Hyperlink"/>
          </w:rPr>
          <w:t xml:space="preserve">[17]</w:t>
        </w:r>
      </w:hyperlink>
    </w:p>
    <w:bookmarkEnd w:id="36"/>
    <w:bookmarkStart w:id="44" w:name="X345c3323a685e12bb8071079e442f467f7fe3ee"/>
    <w:p>
      <w:pPr>
        <w:pStyle w:val="Heading2"/>
      </w:pPr>
      <w:r>
        <w:t xml:space="preserve">Риски нарушения конфиденциальности, целостности и доступности</w:t>
      </w:r>
    </w:p>
    <w:p>
      <w:pPr>
        <w:pStyle w:val="FirstParagraph"/>
      </w:pPr>
      <w:r>
        <w:rPr>
          <w:b/>
          <w:bCs/>
        </w:rPr>
        <w:t xml:space="preserve">Конфиденциальность (C): утечки данных клиентов и учётных записей.</w:t>
      </w:r>
      <w:r>
        <w:t xml:space="preserve"> </w:t>
      </w:r>
      <w:r>
        <w:t xml:space="preserve">Для интернет‑магазина «наихудший день» часто начинается с ошибок контроля доступа (A01 Broken Access Control в OWASP Top 10) и заканчивается массовой компрометацией профилей, адресов, истории покупок и токенов. OWASP Top 10 подчёркивает распространённость проблем контроля доступа.</w:t>
      </w:r>
      <w:hyperlink r:id="rId37">
        <w:r>
          <w:rPr>
            <w:rStyle w:val="Hyperlink"/>
          </w:rPr>
          <w:t xml:space="preserve">[18]</w:t>
        </w:r>
      </w:hyperlink>
    </w:p>
    <w:p>
      <w:pPr>
        <w:pStyle w:val="BodyText"/>
      </w:pPr>
      <w:r>
        <w:rPr>
          <w:b/>
          <w:bCs/>
        </w:rPr>
        <w:t xml:space="preserve">Конфиденциальность: криптографические провалы и ошибки хранения секретов.</w:t>
      </w:r>
      <w:r>
        <w:t xml:space="preserve"> </w:t>
      </w:r>
      <w:r>
        <w:t xml:space="preserve">OWASP выделяет Cryptographic Failures и прямо рекомендует для паролей адаптивные salted‑хэши (Argon2/scrypt/bcrypt/PBKDF2), а для аутентификации — применять проверенные криптографические техники. Практически это означает: не хранить «сырой» пароль, не логировать секреты, не допускать слабых протоколов, и обеспечить корректную настройку TLS.</w:t>
      </w:r>
      <w:hyperlink r:id="rId38">
        <w:r>
          <w:rPr>
            <w:rStyle w:val="Hyperlink"/>
          </w:rPr>
          <w:t xml:space="preserve">[19]</w:t>
        </w:r>
      </w:hyperlink>
    </w:p>
    <w:p>
      <w:pPr>
        <w:pStyle w:val="BodyText"/>
      </w:pPr>
      <w:r>
        <w:rPr>
          <w:b/>
          <w:bCs/>
        </w:rPr>
        <w:t xml:space="preserve">Конфиденциальность: цифровой скимминг в браузере.</w:t>
      </w:r>
      <w:r>
        <w:t xml:space="preserve"> </w:t>
      </w:r>
      <w:r>
        <w:t xml:space="preserve">У интернет‑магазинов есть специфическая боль: атаки класса «web skimming» (часто описываемые как Magecart‑операции) — внедрение вредоносного JavaScript в checkout с эксфильтрацией платёжных данных до того, как они попадут в защищённый платёжный контур. Европейские правоохранительные органы отдельно описывают digital skimming как кражу карточных данных у клиентов онлайн‑магазина. Это напрямую связывает безопасность фронтенда и цепочки поставок (third‑party scripts) с платёжными рисками.</w:t>
      </w:r>
      <w:hyperlink r:id="rId39">
        <w:r>
          <w:rPr>
            <w:rStyle w:val="Hyperlink"/>
          </w:rPr>
          <w:t xml:space="preserve">[20]</w:t>
        </w:r>
      </w:hyperlink>
    </w:p>
    <w:p>
      <w:pPr>
        <w:pStyle w:val="BodyText"/>
      </w:pPr>
      <w:r>
        <w:rPr>
          <w:b/>
          <w:bCs/>
        </w:rPr>
        <w:t xml:space="preserve">Целостность (I): мошенничество, подмена цен и статусов, злоупотребления возвратами.</w:t>
      </w:r>
      <w:r>
        <w:t xml:space="preserve"> </w:t>
      </w:r>
      <w:r>
        <w:t xml:space="preserve">Самые «дорогие» по прямому ущербу нарушения целостности — это: изменение цен/скидок, создание заказов без оплаты, подмена реквизитов доставки, «накрутка» бонусов, злоупотребления возвратами и промокодами. В терминах OWASP и API Security это обычно проявляется как ошибки авторизации на уровне объектов/полей (BOLA/BOPLA), отсутствие проверок бизнес‑инвариантов и небезопасный дизайн.</w:t>
      </w:r>
      <w:hyperlink r:id="rId40">
        <w:r>
          <w:rPr>
            <w:rStyle w:val="Hyperlink"/>
          </w:rPr>
          <w:t xml:space="preserve">[21]</w:t>
        </w:r>
      </w:hyperlink>
    </w:p>
    <w:p>
      <w:pPr>
        <w:pStyle w:val="BodyText"/>
      </w:pPr>
      <w:r>
        <w:rPr>
          <w:b/>
          <w:bCs/>
        </w:rPr>
        <w:t xml:space="preserve">Доступность (A): DDoS, вымогательство, инциденты эксплуатации и ransomware.</w:t>
      </w:r>
      <w:r>
        <w:t xml:space="preserve"> </w:t>
      </w:r>
      <w:r>
        <w:t xml:space="preserve">Для интернет‑магазина простои конвертируются в прямые потери, поэтому устойчивость — это не «после релиза», а часть требований. Отдельно CISA в руководстве по ransomware подчёркивает необходимость офлайн‑резервных копий (в т.ч. шифрованных) и регулярной проверки их доступности и целостности в сценариях восстановления.</w:t>
      </w:r>
      <w:hyperlink r:id="rId41">
        <w:r>
          <w:rPr>
            <w:rStyle w:val="Hyperlink"/>
          </w:rPr>
          <w:t xml:space="preserve">[22]</w:t>
        </w:r>
      </w:hyperlink>
    </w:p>
    <w:p>
      <w:pPr>
        <w:pStyle w:val="BodyText"/>
      </w:pPr>
      <w:r>
        <w:rPr>
          <w:b/>
          <w:bCs/>
        </w:rPr>
        <w:t xml:space="preserve">Регуляторный риск как усилитель ущерба.</w:t>
      </w:r>
      <w:r>
        <w:t xml:space="preserve"> </w:t>
      </w:r>
      <w:r>
        <w:t xml:space="preserve">Утечки персональных данных почти всегда ведут к юридическим и репутационным последствиям: GDPR закрепляет принципы обработки (законность, добросовестность, прозрачность и др.), а европейские регуляторы подчёркивают технологическую нейтральность требований. В Российская Федерация</w:t>
      </w:r>
      <w:hyperlink r:id="rId42">
        <w:r>
          <w:rPr>
            <w:rStyle w:val="Hyperlink"/>
          </w:rPr>
          <w:t xml:space="preserve">[23]</w:t>
        </w:r>
      </w:hyperlink>
      <w:r>
        <w:t xml:space="preserve"> </w:t>
      </w:r>
      <w:r>
        <w:t xml:space="preserve">действуют обязательства по защите прав субъектов персональных данных в рамках 152‑ФЗ (официальная публикация доступна на государственном портале).</w:t>
      </w:r>
      <w:hyperlink r:id="rId43">
        <w:r>
          <w:rPr>
            <w:rStyle w:val="Hyperlink"/>
          </w:rPr>
          <w:t xml:space="preserve">[24]</w:t>
        </w:r>
      </w:hyperlink>
    </w:p>
    <w:bookmarkEnd w:id="44"/>
    <w:bookmarkStart w:id="53" w:name="X2b4d8d4e63ab60d6cb409cdd1ea80bebb4ab468"/>
    <w:p>
      <w:pPr>
        <w:pStyle w:val="Heading2"/>
      </w:pPr>
      <w:r>
        <w:t xml:space="preserve">Направления защиты и методы обеспечения безопасности</w:t>
      </w:r>
    </w:p>
    <w:p>
      <w:pPr>
        <w:pStyle w:val="FirstParagraph"/>
      </w:pPr>
      <w:r>
        <w:t xml:space="preserve">Рационально строить защиту интернет‑магазина как</w:t>
      </w:r>
      <w:r>
        <w:t xml:space="preserve"> </w:t>
      </w:r>
      <w:r>
        <w:rPr>
          <w:b/>
          <w:bCs/>
        </w:rPr>
        <w:t xml:space="preserve">defense‑in‑depth</w:t>
      </w:r>
      <w:r>
        <w:t xml:space="preserve">, но привязывать её к управляемой модели. Практичный «каркас» — NIST CSF 2.0: функции GOVERN, IDENTIFY, PROTECT, DETECT, RESPOND, RECOVER формируют полную цепочку управления риском, где GOVERN задаёт стратегию, ожидания и политику, а остальные функции «приземляют» это в процессы и меры.</w:t>
      </w:r>
      <w:hyperlink r:id="rId23">
        <w:r>
          <w:rPr>
            <w:rStyle w:val="Hyperlink"/>
          </w:rPr>
          <w:t xml:space="preserve">[7]</w:t>
        </w:r>
      </w:hyperlink>
    </w:p>
    <w:p>
      <w:pPr>
        <w:pStyle w:val="BodyText"/>
      </w:pPr>
      <w:r>
        <w:rPr>
          <w:b/>
          <w:bCs/>
        </w:rPr>
        <w:t xml:space="preserve">GOVERN (управление):</w:t>
      </w:r>
      <w:r>
        <w:t xml:space="preserve"> </w:t>
      </w:r>
      <w:r>
        <w:t xml:space="preserve">формализовать риск‑аппетит, зоны ответственности (продукт, ИБ, разработки, эксплуатации, антифрод, поддержка), правила работы с персональными и платёжными данными, и требования к поставщикам/подрядчикам. CSF 2.0 прямо фиксирует, что GOVERN — это установление, доведение и мониторинг стратегии/ожиданий/политик управления киберриском.</w:t>
      </w:r>
      <w:hyperlink r:id="rId23">
        <w:r>
          <w:rPr>
            <w:rStyle w:val="Hyperlink"/>
          </w:rPr>
          <w:t xml:space="preserve">[7]</w:t>
        </w:r>
      </w:hyperlink>
    </w:p>
    <w:p>
      <w:pPr>
        <w:pStyle w:val="BodyText"/>
      </w:pPr>
      <w:r>
        <w:rPr>
          <w:b/>
          <w:bCs/>
        </w:rPr>
        <w:t xml:space="preserve">IDENTIFY (идентификация):</w:t>
      </w:r>
      <w:r>
        <w:t xml:space="preserve"> </w:t>
      </w:r>
      <w:r>
        <w:t xml:space="preserve">инвентаризация активов и потоков данных (включая сторонние скрипты фронтенда и библиотеки), классификация данных, выявление «коронных драгоценностей» (credentials, PII, ордера/возвраты, ключи интеграций). Для разработки полезно опираться на практики NIST SP 800‑53 как каталог контролей безопасности и приватности, применимых к системам и организациям.</w:t>
      </w:r>
      <w:hyperlink r:id="rId45">
        <w:r>
          <w:rPr>
            <w:rStyle w:val="Hyperlink"/>
          </w:rPr>
          <w:t xml:space="preserve">[25]</w:t>
        </w:r>
      </w:hyperlink>
    </w:p>
    <w:p>
      <w:pPr>
        <w:pStyle w:val="BodyText"/>
      </w:pPr>
      <w:r>
        <w:rPr>
          <w:b/>
          <w:bCs/>
        </w:rPr>
        <w:t xml:space="preserve">PROTECT (защита):</w:t>
      </w:r>
      <w:r>
        <w:br/>
      </w:r>
      <w:r>
        <w:t xml:space="preserve">–</w:t>
      </w:r>
      <w:r>
        <w:t xml:space="preserve"> </w:t>
      </w:r>
      <w:r>
        <w:rPr>
          <w:b/>
          <w:bCs/>
        </w:rPr>
        <w:t xml:space="preserve">идентификация и аутентификация</w:t>
      </w:r>
      <w:r>
        <w:t xml:space="preserve">: обязательная MFA для админов и всех привилегированных ролей, защита от фишинга, управление жизненным циклом аутентификаторов; NIST SP 800‑63B описывает уровни уверенности (AAL) и требует криптографически корректных техник на более высоких уровнях (в т.ч. AAL2).</w:t>
      </w:r>
      <w:hyperlink r:id="rId46">
        <w:r>
          <w:rPr>
            <w:rStyle w:val="Hyperlink"/>
          </w:rPr>
          <w:t xml:space="preserve">[26]</w:t>
        </w:r>
      </w:hyperlink>
      <w:r>
        <w:br/>
      </w:r>
      <w:r>
        <w:t xml:space="preserve">–</w:t>
      </w:r>
      <w:r>
        <w:t xml:space="preserve"> </w:t>
      </w:r>
      <w:r>
        <w:rPr>
          <w:b/>
          <w:bCs/>
        </w:rPr>
        <w:t xml:space="preserve">управление сессиями</w:t>
      </w:r>
      <w:r>
        <w:t xml:space="preserve">: ограничение времени жизни токенов, ротация, привязка к рисковым событиям; OWASP Session Management и Authentication Cheat Sheets дают практические рекомендации по безопасным сессиям и повторной аутентификации при риск‑событиях.</w:t>
      </w:r>
      <w:hyperlink r:id="rId47">
        <w:r>
          <w:rPr>
            <w:rStyle w:val="Hyperlink"/>
          </w:rPr>
          <w:t xml:space="preserve">[27]</w:t>
        </w:r>
      </w:hyperlink>
      <w:r>
        <w:br/>
      </w:r>
      <w:r>
        <w:t xml:space="preserve">–</w:t>
      </w:r>
      <w:r>
        <w:t xml:space="preserve"> </w:t>
      </w:r>
      <w:r>
        <w:rPr>
          <w:b/>
          <w:bCs/>
        </w:rPr>
        <w:t xml:space="preserve">криптография и защита каналов</w:t>
      </w:r>
      <w:r>
        <w:t xml:space="preserve">: использование TLS 1.3 как современного базового протокола, запрет небезопасных протоколов и контроль конфигурации; TLS 1.3 проектировался для предотвращения прослушивания и подмены.</w:t>
      </w:r>
      <w:hyperlink r:id="rId30">
        <w:r>
          <w:rPr>
            <w:rStyle w:val="Hyperlink"/>
          </w:rPr>
          <w:t xml:space="preserve">[11]</w:t>
        </w:r>
      </w:hyperlink>
      <w:r>
        <w:br/>
      </w:r>
      <w:r>
        <w:t xml:space="preserve">–</w:t>
      </w:r>
      <w:r>
        <w:t xml:space="preserve"> </w:t>
      </w:r>
      <w:r>
        <w:rPr>
          <w:b/>
          <w:bCs/>
        </w:rPr>
        <w:t xml:space="preserve">защита фронтенда от скимминга/инъекций скриптов</w:t>
      </w:r>
      <w:r>
        <w:t xml:space="preserve">: применение Content Security Policy (CSP) как второго слоя защиты (особенно против XSS), корректные security headers; OWASP описывает CSP как механизм ограничения источников загрузки ресурсов, а Cheat Sheet подчёркивает роль CSP как defense‑in‑depth.</w:t>
      </w:r>
      <w:hyperlink r:id="rId48">
        <w:r>
          <w:rPr>
            <w:rStyle w:val="Hyperlink"/>
          </w:rPr>
          <w:t xml:space="preserve">[28]</w:t>
        </w:r>
      </w:hyperlink>
      <w:r>
        <w:br/>
      </w:r>
      <w:r>
        <w:t xml:space="preserve">–</w:t>
      </w:r>
      <w:r>
        <w:t xml:space="preserve"> </w:t>
      </w:r>
      <w:r>
        <w:rPr>
          <w:b/>
          <w:bCs/>
        </w:rPr>
        <w:t xml:space="preserve">снижение PCI‑риска через архитектуру</w:t>
      </w:r>
      <w:r>
        <w:t xml:space="preserve">: полное вынесение обработки карточных данных к PCI‑совместимому провайдеру и сегментация помогают уменьшить охват требований; критерии «всё полностью аутсорсировано» зафиксированы в SAQ A, а scoping/segmentation описан отдельным руководством PCI.</w:t>
      </w:r>
      <w:hyperlink r:id="rId21">
        <w:r>
          <w:rPr>
            <w:rStyle w:val="Hyperlink"/>
          </w:rPr>
          <w:t xml:space="preserve">[29]</w:t>
        </w:r>
      </w:hyperlink>
    </w:p>
    <w:p>
      <w:pPr>
        <w:pStyle w:val="BodyText"/>
      </w:pPr>
      <w:r>
        <w:rPr>
          <w:b/>
          <w:bCs/>
        </w:rPr>
        <w:t xml:space="preserve">DETECT (обнаружение):</w:t>
      </w:r>
      <w:r>
        <w:t xml:space="preserve"> </w:t>
      </w:r>
      <w:r>
        <w:t xml:space="preserve">полноценные security‑логи (аутентификация, контроль доступа, платежные действия, изменения цен/скидок, возвраты, административные операции), корреляция и алертинг. NIST SP 800‑92 объясняет необходимость «здравого управления логами» и даёт практические рекомендации по внедрению и эксплуатации log management.</w:t>
      </w:r>
      <w:hyperlink r:id="rId49">
        <w:r>
          <w:rPr>
            <w:rStyle w:val="Hyperlink"/>
          </w:rPr>
          <w:t xml:space="preserve">[30]</w:t>
        </w:r>
      </w:hyperlink>
      <w:r>
        <w:br/>
      </w:r>
      <w:r>
        <w:t xml:space="preserve">Для разработчиков полезно дополнять это прикладными рекомендациями OWASP Logging Cheat Sheet (что и как логировать, чтобы это было полезно для расследований и мониторинга).</w:t>
      </w:r>
      <w:hyperlink r:id="rId50">
        <w:r>
          <w:rPr>
            <w:rStyle w:val="Hyperlink"/>
          </w:rPr>
          <w:t xml:space="preserve">[31]</w:t>
        </w:r>
      </w:hyperlink>
    </w:p>
    <w:p>
      <w:pPr>
        <w:pStyle w:val="BodyText"/>
      </w:pPr>
      <w:r>
        <w:rPr>
          <w:b/>
          <w:bCs/>
        </w:rPr>
        <w:t xml:space="preserve">RESPOND (реагирование):</w:t>
      </w:r>
      <w:r>
        <w:t xml:space="preserve"> </w:t>
      </w:r>
      <w:r>
        <w:t xml:space="preserve">формализованный процесс IR «до инцидента», а не после него: кто принимает решения, как изолируется контур, как собираются артефакты, как взаимодействовать с платёжным провайдером/хостингом/юристами/PR. В 2025 NIST выпустил SP 800‑61r3, увязанный с CSF 2.0, подчёркивая интеграцию реагирования в управление киберриском.</w:t>
      </w:r>
      <w:hyperlink r:id="rId51">
        <w:r>
          <w:rPr>
            <w:rStyle w:val="Hyperlink"/>
          </w:rPr>
          <w:t xml:space="preserve">[32]</w:t>
        </w:r>
      </w:hyperlink>
    </w:p>
    <w:p>
      <w:pPr>
        <w:pStyle w:val="BodyText"/>
      </w:pPr>
      <w:r>
        <w:rPr>
          <w:b/>
          <w:bCs/>
        </w:rPr>
        <w:t xml:space="preserve">RECOVER (восстановление):</w:t>
      </w:r>
      <w:r>
        <w:t xml:space="preserve"> </w:t>
      </w:r>
      <w:r>
        <w:t xml:space="preserve">резервирование, DR‑планы, приоритеты восстановления (заказы/оплата/каталог/личный кабинет), регулярные учения и тест восстановления. NIST SP 800‑34 даёт руководство по планированию непрерывности и восстановлению, а CISA для ransomware отдельно акцентирует офлайн‑резервные копии и проверку их целостности.</w:t>
      </w:r>
      <w:hyperlink r:id="rId52">
        <w:r>
          <w:rPr>
            <w:rStyle w:val="Hyperlink"/>
          </w:rPr>
          <w:t xml:space="preserve">[33]</w:t>
        </w:r>
      </w:hyperlink>
    </w:p>
    <w:bookmarkEnd w:id="53"/>
    <w:bookmarkStart w:id="57" w:name="средства-защиты-и-практики-внедрения"/>
    <w:p>
      <w:pPr>
        <w:pStyle w:val="Heading2"/>
      </w:pPr>
      <w:r>
        <w:t xml:space="preserve">Средства защиты и практики внедрения</w:t>
      </w:r>
    </w:p>
    <w:p>
      <w:pPr>
        <w:pStyle w:val="FirstParagraph"/>
      </w:pPr>
      <w:r>
        <w:t xml:space="preserve">Технические «средства защиты» в интернет‑магазине следует выбирать не как список коробок, а как реализацию контролей по приоритетным сценариям риска. NIST SP 800‑53 удобен как «каталог контролей», а CSF 2.0 — как язык постановки целей и зрелости.</w:t>
      </w:r>
      <w:hyperlink r:id="rId45">
        <w:r>
          <w:rPr>
            <w:rStyle w:val="Hyperlink"/>
          </w:rPr>
          <w:t xml:space="preserve">[34]</w:t>
        </w:r>
      </w:hyperlink>
    </w:p>
    <w:p>
      <w:pPr>
        <w:pStyle w:val="BodyText"/>
      </w:pPr>
      <w:r>
        <w:t xml:space="preserve">Критический слой —</w:t>
      </w:r>
      <w:r>
        <w:t xml:space="preserve"> </w:t>
      </w:r>
      <w:r>
        <w:rPr>
          <w:b/>
          <w:bCs/>
        </w:rPr>
        <w:t xml:space="preserve">безопасная разработка и поставка ПО</w:t>
      </w:r>
      <w:r>
        <w:t xml:space="preserve">. NIST SSDF (SP 800‑218) описывает набор практик безопасной разработки, снижающих риск уязвимостей, а CISA продвигает подход secure‑by‑design/secure‑by‑default как принцип, при котором безопасность — базовое свойство продукта, а не опция.</w:t>
      </w:r>
      <w:hyperlink r:id="rId22">
        <w:r>
          <w:rPr>
            <w:rStyle w:val="Hyperlink"/>
          </w:rPr>
          <w:t xml:space="preserve">[35]</w:t>
        </w:r>
      </w:hyperlink>
    </w:p>
    <w:p>
      <w:pPr>
        <w:pStyle w:val="BodyText"/>
      </w:pPr>
      <w:r>
        <w:t xml:space="preserve">Для цепочки поставок ПО особенно полезны три «якоря зрелости»:</w:t>
      </w:r>
      <w:r>
        <w:br/>
      </w:r>
      <w:r>
        <w:t xml:space="preserve">1)</w:t>
      </w:r>
      <w:r>
        <w:t xml:space="preserve"> </w:t>
      </w:r>
      <w:r>
        <w:rPr>
          <w:b/>
          <w:bCs/>
        </w:rPr>
        <w:t xml:space="preserve">SBOM</w:t>
      </w:r>
      <w:r>
        <w:t xml:space="preserve"> </w:t>
      </w:r>
      <w:r>
        <w:t xml:space="preserve">(Software Bill of Materials) как формальный перечень компонентов и связей поставок (определение и минимум элементов описаны в документе NTIA</w:t>
      </w:r>
      <w:hyperlink r:id="rId29">
        <w:r>
          <w:rPr>
            <w:rStyle w:val="Hyperlink"/>
          </w:rPr>
          <w:t xml:space="preserve">[36]</w:t>
        </w:r>
      </w:hyperlink>
      <w:r>
        <w:t xml:space="preserve">).</w:t>
      </w:r>
      <w:hyperlink r:id="rId54">
        <w:r>
          <w:rPr>
            <w:rStyle w:val="Hyperlink"/>
          </w:rPr>
          <w:t xml:space="preserve">[37]</w:t>
        </w:r>
      </w:hyperlink>
      <w:r>
        <w:br/>
      </w:r>
      <w:r>
        <w:t xml:space="preserve">2)</w:t>
      </w:r>
      <w:r>
        <w:t xml:space="preserve"> </w:t>
      </w:r>
      <w:r>
        <w:rPr>
          <w:b/>
          <w:bCs/>
        </w:rPr>
        <w:t xml:space="preserve">SLSA</w:t>
      </w:r>
      <w:r>
        <w:t xml:space="preserve"> </w:t>
      </w:r>
      <w:r>
        <w:t xml:space="preserve">как фреймворк контроля целостности сборки и артефактов; спецификация описывает уровни и треки, а OpenSSF</w:t>
      </w:r>
      <w:hyperlink r:id="rId42">
        <w:r>
          <w:rPr>
            <w:rStyle w:val="Hyperlink"/>
          </w:rPr>
          <w:t xml:space="preserve">[38]</w:t>
        </w:r>
      </w:hyperlink>
      <w:r>
        <w:t xml:space="preserve"> </w:t>
      </w:r>
      <w:r>
        <w:t xml:space="preserve">сообщал о релизе SLSA 1.0 как важном шаге в стандартизации.</w:t>
      </w:r>
      <w:hyperlink r:id="rId55">
        <w:r>
          <w:rPr>
            <w:rStyle w:val="Hyperlink"/>
          </w:rPr>
          <w:t xml:space="preserve">[39]</w:t>
        </w:r>
      </w:hyperlink>
      <w:r>
        <w:br/>
      </w:r>
      <w:r>
        <w:t xml:space="preserve">3) OWASP SCVS как практический стандарт оценки и улучшения assurance цепочки поставок компонентов.</w:t>
      </w:r>
      <w:hyperlink r:id="rId56">
        <w:r>
          <w:rPr>
            <w:rStyle w:val="Hyperlink"/>
          </w:rPr>
          <w:t xml:space="preserve">[40]</w:t>
        </w:r>
      </w:hyperlink>
    </w:p>
    <w:p>
      <w:pPr>
        <w:pStyle w:val="BodyText"/>
      </w:pPr>
      <w:r>
        <w:t xml:space="preserve">На прикладном уровне «инструментальный слой» обычно строится вокруг следующих групп (смысл — в закрытии сценариев риска, а не в брендах):</w:t>
      </w:r>
      <w:r>
        <w:br/>
      </w:r>
      <w:r>
        <w:rPr>
          <w:b/>
          <w:bCs/>
        </w:rPr>
        <w:t xml:space="preserve">IAM/PAM (управление доступом)</w:t>
      </w:r>
      <w:r>
        <w:t xml:space="preserve"> </w:t>
      </w:r>
      <w:r>
        <w:t xml:space="preserve">для привилегированных учёток и строгого разделения ролей;</w:t>
      </w:r>
      <w:r>
        <w:t xml:space="preserve"> </w:t>
      </w:r>
      <w:r>
        <w:rPr>
          <w:b/>
          <w:bCs/>
        </w:rPr>
        <w:t xml:space="preserve">WAF/API‑gateway</w:t>
      </w:r>
      <w:r>
        <w:t xml:space="preserve"> </w:t>
      </w:r>
      <w:r>
        <w:t xml:space="preserve">и антибот‑контроли против автоматизированных атак;</w:t>
      </w:r>
      <w:r>
        <w:t xml:space="preserve"> </w:t>
      </w:r>
      <w:r>
        <w:rPr>
          <w:b/>
          <w:bCs/>
        </w:rPr>
        <w:t xml:space="preserve">сканирование уязвимостей и тестирование</w:t>
      </w:r>
      <w:r>
        <w:t xml:space="preserve"> </w:t>
      </w:r>
      <w:r>
        <w:t xml:space="preserve">(SAST/DAST/сканирование зависимостей) как часть SDLC;</w:t>
      </w:r>
      <w:r>
        <w:t xml:space="preserve"> </w:t>
      </w:r>
      <w:r>
        <w:rPr>
          <w:b/>
          <w:bCs/>
        </w:rPr>
        <w:t xml:space="preserve">секрет‑менеджмент</w:t>
      </w:r>
      <w:r>
        <w:t xml:space="preserve"> </w:t>
      </w:r>
      <w:r>
        <w:t xml:space="preserve">и предотвращение утечек ключей;</w:t>
      </w:r>
      <w:r>
        <w:t xml:space="preserve"> </w:t>
      </w:r>
      <w:r>
        <w:rPr>
          <w:b/>
          <w:bCs/>
        </w:rPr>
        <w:t xml:space="preserve">централизация логов (SIEM/аналитика)</w:t>
      </w:r>
      <w:r>
        <w:t xml:space="preserve"> </w:t>
      </w:r>
      <w:r>
        <w:t xml:space="preserve">по рекомендациям log management;</w:t>
      </w:r>
      <w:r>
        <w:t xml:space="preserve"> </w:t>
      </w:r>
      <w:r>
        <w:rPr>
          <w:b/>
          <w:bCs/>
        </w:rPr>
        <w:t xml:space="preserve">резервирование и изоляция бэкапов</w:t>
      </w:r>
      <w:r>
        <w:t xml:space="preserve"> </w:t>
      </w:r>
      <w:r>
        <w:t xml:space="preserve">с регулярными проверками восстановления. Набор именно таких практик прямо «подсвечивается» OWASP (Top 10/ASVS/Cheat Sheets) как ориентир для проверяемых технических требований и типовых ошибок.</w:t>
      </w:r>
      <w:hyperlink r:id="rId42">
        <w:r>
          <w:rPr>
            <w:rStyle w:val="Hyperlink"/>
          </w:rPr>
          <w:t xml:space="preserve">[41]</w:t>
        </w:r>
      </w:hyperlink>
    </w:p>
    <w:p>
      <w:pPr>
        <w:pStyle w:val="BodyText"/>
      </w:pPr>
      <w:r>
        <w:t xml:space="preserve">Отдельная ремарка по фронтенду: для интернет‑магазина защита HTTP‑уровня (security headers) и CSP даёт непропорционально высокий эффект против классов атак, где целевой точкой является браузер клиента (кликджекинг, часть XSS‑эксплуатаций, снижение риска инъекций скриптов). OWASP Secure Headers и соответствующие Cheat Sheets дают проверяемые рекомендации конфигурации.</w:t>
      </w:r>
      <w:hyperlink r:id="rId25">
        <w:r>
          <w:rPr>
            <w:rStyle w:val="Hyperlink"/>
          </w:rPr>
          <w:t xml:space="preserve">[42]</w:t>
        </w:r>
      </w:hyperlink>
    </w:p>
    <w:bookmarkEnd w:id="57"/>
    <w:bookmarkStart w:id="59" w:name="X9981aeac58495d9d4c1d7100096819347b215d7"/>
    <w:p>
      <w:pPr>
        <w:pStyle w:val="Heading2"/>
      </w:pPr>
      <w:r>
        <w:t xml:space="preserve">Проект политики безопасности для интернет-магазина</w:t>
      </w:r>
    </w:p>
    <w:p>
      <w:pPr>
        <w:pStyle w:val="FirstParagraph"/>
      </w:pPr>
      <w:r>
        <w:t xml:space="preserve">Ниже — практический каркас политики ИБ, который «стыкуется» с пунктами задания (риски CIA, информационные процессы, источники/виды/объекты угроз, направления/способы/средства защиты) и соответствует современным рамкам управления риском (CSF 2.0) и контролям (SP 800‑53).</w:t>
      </w:r>
      <w:hyperlink r:id="rId23">
        <w:r>
          <w:rPr>
            <w:rStyle w:val="Hyperlink"/>
          </w:rPr>
          <w:t xml:space="preserve">[43]</w:t>
        </w:r>
      </w:hyperlink>
    </w:p>
    <w:p>
      <w:pPr>
        <w:pStyle w:val="BodyText"/>
      </w:pPr>
      <w:r>
        <w:rPr>
          <w:b/>
          <w:bCs/>
        </w:rPr>
        <w:t xml:space="preserve">Назначение и область действия.</w:t>
      </w:r>
      <w:r>
        <w:t xml:space="preserve"> </w:t>
      </w:r>
      <w:r>
        <w:t xml:space="preserve">Политика распространяется на веб‑витрину, мобильные клиенты, API, админ‑панель, инфраструктуру, CI/CD, интеграции и подрядчиков. Должны быть определены «владельцы» бизнес‑процессов и данных, а также ответственные за безопасность (GOVERN в CSF 2.0).</w:t>
      </w:r>
      <w:hyperlink r:id="rId23">
        <w:r>
          <w:rPr>
            <w:rStyle w:val="Hyperlink"/>
          </w:rPr>
          <w:t xml:space="preserve">[44]</w:t>
        </w:r>
      </w:hyperlink>
    </w:p>
    <w:p>
      <w:pPr>
        <w:pStyle w:val="BodyText"/>
      </w:pPr>
      <w:r>
        <w:rPr>
          <w:b/>
          <w:bCs/>
        </w:rPr>
        <w:t xml:space="preserve">Классификация данных и правила обработки.</w:t>
      </w:r>
      <w:r>
        <w:br/>
      </w:r>
      <w:r>
        <w:t xml:space="preserve">– персональные данные клиентов (обработку вести по принципам законности/прозрачности, обеспечивая права субъектов);</w:t>
      </w:r>
      <w:r>
        <w:br/>
      </w:r>
      <w:r>
        <w:t xml:space="preserve">– платёжные данные (минимизация хранения и обработка в соответствии с PCI DSS; предпочтительно — аутсорс в PCI‑совместимый провайдер с корректным scoping);</w:t>
      </w:r>
      <w:r>
        <w:br/>
      </w:r>
      <w:r>
        <w:t xml:space="preserve">– секреты (ключи API, токены, приватные ключи) — хранение только в управляемых хранилищах секретов, запрет логирования.</w:t>
      </w:r>
      <w:hyperlink r:id="rId27">
        <w:r>
          <w:rPr>
            <w:rStyle w:val="Hyperlink"/>
          </w:rPr>
          <w:t xml:space="preserve">[45]</w:t>
        </w:r>
      </w:hyperlink>
    </w:p>
    <w:p>
      <w:pPr>
        <w:pStyle w:val="BodyText"/>
      </w:pPr>
      <w:r>
        <w:rPr>
          <w:b/>
          <w:bCs/>
        </w:rPr>
        <w:t xml:space="preserve">Управление доступом и аутентификацией.</w:t>
      </w:r>
      <w:r>
        <w:br/>
      </w:r>
      <w:r>
        <w:t xml:space="preserve">Требования: MFA для привилегированных ролей; минимальные привилегии; формализованный процесс выдачи/отзыва доступов; мониторинг и алертинг на аномалии входа; управление жизненным циклом аутентификаторов по рекомендациям NIST 800‑63B.</w:t>
      </w:r>
      <w:hyperlink r:id="rId46">
        <w:r>
          <w:rPr>
            <w:rStyle w:val="Hyperlink"/>
          </w:rPr>
          <w:t xml:space="preserve">[26]</w:t>
        </w:r>
      </w:hyperlink>
    </w:p>
    <w:p>
      <w:pPr>
        <w:pStyle w:val="BodyText"/>
      </w:pPr>
      <w:r>
        <w:rPr>
          <w:b/>
          <w:bCs/>
        </w:rPr>
        <w:t xml:space="preserve">Политика паролей и сессий.</w:t>
      </w:r>
      <w:r>
        <w:br/>
      </w:r>
      <w:r>
        <w:t xml:space="preserve">– пароли хранить только как адаптивные salted‑хэши (Argon2/scrypt/bcrypt/PBKDF2) согласно рекомендациям OWASP;</w:t>
      </w:r>
      <w:r>
        <w:br/>
      </w:r>
      <w:r>
        <w:t xml:space="preserve">– сессии/токены: ограничение времени жизни, защита от фиксации/кражи, процедуры реаутентификации при риск‑событиях.</w:t>
      </w:r>
      <w:hyperlink r:id="rId38">
        <w:r>
          <w:rPr>
            <w:rStyle w:val="Hyperlink"/>
          </w:rPr>
          <w:t xml:space="preserve">[46]</w:t>
        </w:r>
      </w:hyperlink>
    </w:p>
    <w:p>
      <w:pPr>
        <w:pStyle w:val="BodyText"/>
      </w:pPr>
      <w:r>
        <w:rPr>
          <w:b/>
          <w:bCs/>
        </w:rPr>
        <w:t xml:space="preserve">Криптографическая защита и транспорт.</w:t>
      </w:r>
      <w:r>
        <w:br/>
      </w:r>
      <w:r>
        <w:t xml:space="preserve">– обязательное шифрование в транзите (TLS 1.3 где возможно), контроль конфигураций;</w:t>
      </w:r>
      <w:r>
        <w:br/>
      </w:r>
      <w:r>
        <w:t xml:space="preserve">– криптографическая защита конфиденциальных данных «в покое» (ключевое управление, ротация ключей, контроль доступа). TLS 1.3 декларирует цели против прослушивания и подмены, что соответствует требованиям к каналу.</w:t>
      </w:r>
      <w:hyperlink r:id="rId30">
        <w:r>
          <w:rPr>
            <w:rStyle w:val="Hyperlink"/>
          </w:rPr>
          <w:t xml:space="preserve">[11]</w:t>
        </w:r>
      </w:hyperlink>
    </w:p>
    <w:p>
      <w:pPr>
        <w:pStyle w:val="BodyText"/>
      </w:pPr>
      <w:r>
        <w:rPr>
          <w:b/>
          <w:bCs/>
        </w:rPr>
        <w:t xml:space="preserve">Безопасная разработка и управление изменениями.</w:t>
      </w:r>
      <w:r>
        <w:br/>
      </w:r>
      <w:r>
        <w:t xml:space="preserve">– внедрение практик NIST SSDF в SDLC (требования, дизайн‑ревью, secure coding, анализ зависимостей, тестирование, исправление);</w:t>
      </w:r>
      <w:r>
        <w:br/>
      </w:r>
      <w:r>
        <w:t xml:space="preserve">– управление цепочкой поставок: SBOM, контроль зависимостей, требования к сборке и артефактам (SLSA‑подход), оценка компонентов (OWASP SCVS).</w:t>
      </w:r>
      <w:hyperlink r:id="rId22">
        <w:r>
          <w:rPr>
            <w:rStyle w:val="Hyperlink"/>
          </w:rPr>
          <w:t xml:space="preserve">[47]</w:t>
        </w:r>
      </w:hyperlink>
    </w:p>
    <w:p>
      <w:pPr>
        <w:pStyle w:val="BodyText"/>
      </w:pPr>
      <w:r>
        <w:rPr>
          <w:b/>
          <w:bCs/>
        </w:rPr>
        <w:t xml:space="preserve">Логирование, мониторинг и хранение журналов.</w:t>
      </w:r>
      <w:r>
        <w:br/>
      </w:r>
      <w:r>
        <w:t xml:space="preserve">– определить перечень событий безопасности (логин/логаут, сбои авторизации, изменения цен/скидок, возвраты, изменения прав, операции в админ‑панели, интеграционные ошибки);</w:t>
      </w:r>
      <w:r>
        <w:br/>
      </w:r>
      <w:r>
        <w:t xml:space="preserve">– централизованное управление логами по NIST SP 800‑92 + практические требования разработчикам по OWASP Logging Cheat Sheet.</w:t>
      </w:r>
      <w:hyperlink r:id="rId49">
        <w:r>
          <w:rPr>
            <w:rStyle w:val="Hyperlink"/>
          </w:rPr>
          <w:t xml:space="preserve">[48]</w:t>
        </w:r>
      </w:hyperlink>
    </w:p>
    <w:p>
      <w:pPr>
        <w:pStyle w:val="BodyText"/>
      </w:pPr>
      <w:r>
        <w:rPr>
          <w:b/>
          <w:bCs/>
        </w:rPr>
        <w:t xml:space="preserve">Реагирование на инциденты и восстановление.</w:t>
      </w:r>
      <w:r>
        <w:br/>
      </w:r>
      <w:r>
        <w:t xml:space="preserve">– регламент IR (роль‑модель, каналы связи, критерии объявления инцидента, взаимодействие с провайдерами); ориентироваться на NIST SP 800‑61r3, увязанный с CSF 2.0;</w:t>
      </w:r>
      <w:r>
        <w:br/>
      </w:r>
      <w:r>
        <w:t xml:space="preserve">– резервное копирование и тесты восстановления; отдельное требование офлайн‑шифрованных бэкапов и проверки их целостности, как рекомендует CISA для противодействия ransomware.</w:t>
      </w:r>
      <w:hyperlink r:id="rId58">
        <w:r>
          <w:rPr>
            <w:rStyle w:val="Hyperlink"/>
          </w:rPr>
          <w:t xml:space="preserve">[49]</w:t>
        </w:r>
      </w:hyperlink>
    </w:p>
    <w:p>
      <w:pPr>
        <w:pStyle w:val="BodyText"/>
      </w:pPr>
      <w:r>
        <w:rPr>
          <w:b/>
          <w:bCs/>
        </w:rPr>
        <w:t xml:space="preserve">Метрики и контроль исполнения.</w:t>
      </w:r>
      <w:r>
        <w:br/>
      </w:r>
      <w:r>
        <w:t xml:space="preserve">Классические KPI для интернет‑магазина: доля критических уязвимостей, закрытых в SLA; покрытие MFA для привилегированных ролей; MTTR по инцидентам; процент успешных восстановлений на учениях; доля сервисов с включёнными security headers/CSP; наличие актуального SBOM для релизов. Логика метрик согласуется с тем, что CSF 2.0 предназначен для оценки, приоритизации и коммуникации киберрисков через профили и уровни зрелости.</w:t>
      </w:r>
      <w:hyperlink r:id="rId23">
        <w:r>
          <w:rPr>
            <w:rStyle w:val="Hyperlink"/>
          </w:rPr>
          <w:t xml:space="preserve">[7]</w:t>
        </w:r>
      </w:hyperlink>
    </w:p>
    <w:bookmarkEnd w:id="59"/>
    <w:bookmarkEnd w:id="60"/>
    <w:bookmarkEnd w:id="61"/>
    <w:p>
      <w:r>
        <w:pict>
          <v:rect style="width:0;height:1.5pt" o:hralign="center" o:hrstd="t" o:hr="t"/>
        </w:pict>
      </w:r>
    </w:p>
    <w:bookmarkStart w:id="62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[29]</w:t>
        </w:r>
      </w:hyperlink>
      <w:r>
        <w:t xml:space="preserve"> </w:t>
      </w:r>
      <w:r>
        <w:t xml:space="preserve">PCI-DSS-v4-0-SAQ-A.pdf</w:t>
      </w:r>
    </w:p>
    <w:p>
      <w:pPr>
        <w:pStyle w:val="BodyText"/>
      </w:pPr>
      <w:hyperlink r:id="rId21">
        <w:r>
          <w:rPr>
            <w:rStyle w:val="Hyperlink"/>
          </w:rPr>
          <w:t xml:space="preserve">https://listings.pcisecuritystandards.org/documents/PCI-DSS-v4-0-SAQ-A.pdf?utm_source=chatgpt.com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2">
        <w:r>
          <w:rPr>
            <w:rStyle w:val="Hyperlink"/>
          </w:rPr>
          <w:t xml:space="preserve">[35]</w:t>
        </w:r>
      </w:hyperlink>
      <w:r>
        <w:t xml:space="preserve"> </w:t>
      </w:r>
      <w:hyperlink r:id="rId22">
        <w:r>
          <w:rPr>
            <w:rStyle w:val="Hyperlink"/>
          </w:rPr>
          <w:t xml:space="preserve">[47]</w:t>
        </w:r>
      </w:hyperlink>
      <w:r>
        <w:t xml:space="preserve"> </w:t>
      </w:r>
      <w:r>
        <w:t xml:space="preserve">Secure Software Development Framework (SSDF) Version 1.1</w:t>
      </w:r>
    </w:p>
    <w:p>
      <w:pPr>
        <w:pStyle w:val="BodyText"/>
      </w:pPr>
      <w:hyperlink r:id="rId22">
        <w:r>
          <w:rPr>
            <w:rStyle w:val="Hyperlink"/>
          </w:rPr>
          <w:t xml:space="preserve">https://csrc.nist.gov/pubs/sp/800/218/final?utm_source=chatgpt.com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3">
        <w:r>
          <w:rPr>
            <w:rStyle w:val="Hyperlink"/>
          </w:rPr>
          <w:t xml:space="preserve">[7]</w:t>
        </w:r>
      </w:hyperlink>
      <w:r>
        <w:t xml:space="preserve"> </w:t>
      </w:r>
      <w:hyperlink r:id="rId23">
        <w:r>
          <w:rPr>
            <w:rStyle w:val="Hyperlink"/>
          </w:rPr>
          <w:t xml:space="preserve">[43]</w:t>
        </w:r>
      </w:hyperlink>
      <w:r>
        <w:t xml:space="preserve"> </w:t>
      </w:r>
      <w:hyperlink r:id="rId23">
        <w:r>
          <w:rPr>
            <w:rStyle w:val="Hyperlink"/>
          </w:rPr>
          <w:t xml:space="preserve">[44]</w:t>
        </w:r>
      </w:hyperlink>
      <w:r>
        <w:t xml:space="preserve"> </w:t>
      </w:r>
      <w:r>
        <w:t xml:space="preserve">The NIST Cybersecurity Framework (CSF) 2.0</w:t>
      </w:r>
    </w:p>
    <w:p>
      <w:pPr>
        <w:pStyle w:val="BodyText"/>
      </w:pPr>
      <w:hyperlink r:id="rId23">
        <w:r>
          <w:rPr>
            <w:rStyle w:val="Hyperlink"/>
          </w:rPr>
          <w:t xml:space="preserve">https://nvlpubs.nist.gov/nistpubs/CSWP/NIST.CSWP.29.pdf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24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Defending Against Software Supply Chain Attacks</w:t>
      </w:r>
    </w:p>
    <w:p>
      <w:pPr>
        <w:pStyle w:val="BodyText"/>
      </w:pPr>
      <w:hyperlink r:id="rId24">
        <w:r>
          <w:rPr>
            <w:rStyle w:val="Hyperlink"/>
          </w:rPr>
          <w:t xml:space="preserve">https://www.cisa.gov/resources-tools/resources/defending-against-software-supply-chain-attacks?utm_source=chatgpt.com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hyperlink r:id="rId25">
        <w:r>
          <w:rPr>
            <w:rStyle w:val="Hyperlink"/>
          </w:rPr>
          <w:t xml:space="preserve">[42]</w:t>
        </w:r>
      </w:hyperlink>
      <w:r>
        <w:t xml:space="preserve"> </w:t>
      </w:r>
      <w:r>
        <w:t xml:space="preserve">OWASP Secure Headers Project</w:t>
      </w:r>
    </w:p>
    <w:p>
      <w:pPr>
        <w:pStyle w:val="BodyText"/>
      </w:pPr>
      <w:hyperlink r:id="rId25">
        <w:r>
          <w:rPr>
            <w:rStyle w:val="Hyperlink"/>
          </w:rPr>
          <w:t xml:space="preserve">https://owasp.org/www-project-secure-headers/?utm_source=chatgpt.com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hyperlink r:id="rId26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OWASP Top 10:2021</w:t>
      </w:r>
    </w:p>
    <w:p>
      <w:pPr>
        <w:pStyle w:val="BodyText"/>
      </w:pPr>
      <w:hyperlink r:id="rId26">
        <w:r>
          <w:rPr>
            <w:rStyle w:val="Hyperlink"/>
          </w:rPr>
          <w:t xml:space="preserve">https://owasp.org/Top10/2021/?utm_source=chatgpt.com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[8]</w:t>
        </w:r>
      </w:hyperlink>
      <w:r>
        <w:t xml:space="preserve"> </w:t>
      </w:r>
      <w:hyperlink r:id="rId27">
        <w:r>
          <w:rPr>
            <w:rStyle w:val="Hyperlink"/>
          </w:rPr>
          <w:t xml:space="preserve">[45]</w:t>
        </w:r>
      </w:hyperlink>
      <w:r>
        <w:t xml:space="preserve"> </w:t>
      </w:r>
      <w:r>
        <w:t xml:space="preserve">Data protection explained - European Commission</w:t>
      </w:r>
    </w:p>
    <w:p>
      <w:pPr>
        <w:pStyle w:val="BodyText"/>
      </w:pPr>
      <w:hyperlink r:id="rId27">
        <w:r>
          <w:rPr>
            <w:rStyle w:val="Hyperlink"/>
          </w:rPr>
          <w:t xml:space="preserve">https://commission.europa.eu/law/law-topic/data-protection/data-protection-explained_en?utm_source=chatgpt.com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SP 800-207, Zero Trust Architecture</w:t>
      </w:r>
    </w:p>
    <w:p>
      <w:pPr>
        <w:pStyle w:val="BodyText"/>
      </w:pPr>
      <w:hyperlink r:id="rId28">
        <w:r>
          <w:rPr>
            <w:rStyle w:val="Hyperlink"/>
          </w:rPr>
          <w:t xml:space="preserve">https://csrc.nist.gov/pubs/sp/800/207/final?utm_source=chatgpt.com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[10]</w:t>
        </w:r>
      </w:hyperlink>
      <w:r>
        <w:t xml:space="preserve"> </w:t>
      </w:r>
      <w:hyperlink r:id="rId29">
        <w:r>
          <w:rPr>
            <w:rStyle w:val="Hyperlink"/>
          </w:rPr>
          <w:t xml:space="preserve">[36]</w:t>
        </w:r>
      </w:hyperlink>
      <w:r>
        <w:t xml:space="preserve"> </w:t>
      </w:r>
      <w:r>
        <w:t xml:space="preserve">Data Security Standard (PCI DSS)</w:t>
      </w:r>
    </w:p>
    <w:p>
      <w:pPr>
        <w:pStyle w:val="BodyText"/>
      </w:pPr>
      <w:hyperlink r:id="rId29">
        <w:r>
          <w:rPr>
            <w:rStyle w:val="Hyperlink"/>
          </w:rPr>
          <w:t xml:space="preserve">https://www.pcisecuritystandards.org/standards/pci-dss/?utm_source=chatgpt.com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RFC 8446 - The Transport Layer Security (TLS) Protocol ...</w:t>
      </w:r>
    </w:p>
    <w:p>
      <w:pPr>
        <w:pStyle w:val="BodyText"/>
      </w:pPr>
      <w:hyperlink r:id="rId30">
        <w:r>
          <w:rPr>
            <w:rStyle w:val="Hyperlink"/>
          </w:rPr>
          <w:t xml:space="preserve">https://datatracker.ietf.org/doc/html/rfc8446?utm_source=chatgpt.com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[14]</w:t>
        </w:r>
      </w:hyperlink>
      <w:r>
        <w:t xml:space="preserve"> </w:t>
      </w:r>
      <w:r>
        <w:t xml:space="preserve">OWASP API Security Top 10</w:t>
      </w:r>
    </w:p>
    <w:p>
      <w:pPr>
        <w:pStyle w:val="BodyText"/>
      </w:pPr>
      <w:hyperlink r:id="rId32">
        <w:r>
          <w:rPr>
            <w:rStyle w:val="Hyperlink"/>
          </w:rPr>
          <w:t xml:space="preserve">https://owasp.org/API-Security/editions/2023/en/0x00-header/?utm_source=chatgpt.com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[15]</w:t>
        </w:r>
      </w:hyperlink>
      <w:r>
        <w:t xml:space="preserve"> </w:t>
      </w:r>
      <w:r>
        <w:t xml:space="preserve">OWASP Automated Threats to Web Applications</w:t>
      </w:r>
    </w:p>
    <w:p>
      <w:pPr>
        <w:pStyle w:val="BodyText"/>
      </w:pPr>
      <w:hyperlink r:id="rId33">
        <w:r>
          <w:rPr>
            <w:rStyle w:val="Hyperlink"/>
          </w:rPr>
          <w:t xml:space="preserve">https://owasp.org/www-project-automated-threats-to-web-applications/?utm_source=chatgpt.com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[16]</w:t>
        </w:r>
      </w:hyperlink>
      <w:r>
        <w:t xml:space="preserve"> </w:t>
      </w:r>
      <w:r>
        <w:t xml:space="preserve">Credential Access, Tactic TA0006 - Enterprise</w:t>
      </w:r>
    </w:p>
    <w:p>
      <w:pPr>
        <w:pStyle w:val="BodyText"/>
      </w:pPr>
      <w:hyperlink r:id="rId34">
        <w:r>
          <w:rPr>
            <w:rStyle w:val="Hyperlink"/>
          </w:rPr>
          <w:t xml:space="preserve">https://attack.mitre.org/tactics/TA0006/?utm_source=chatgpt.com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CWE Top 25 Most Dangerous Software Weaknesses – 2024</w:t>
      </w:r>
    </w:p>
    <w:p>
      <w:pPr>
        <w:pStyle w:val="BodyText"/>
      </w:pPr>
      <w:hyperlink r:id="rId35">
        <w:r>
          <w:rPr>
            <w:rStyle w:val="Hyperlink"/>
          </w:rPr>
          <w:t xml:space="preserve">https://cwe.mitre.org/top25/archive/2024/2024_cwe_top25.html?utm_source=chatgpt.com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[18]</w:t>
        </w:r>
      </w:hyperlink>
      <w:r>
        <w:t xml:space="preserve"> </w:t>
      </w:r>
      <w:r>
        <w:t xml:space="preserve">A01 Broken Access Control - OWASP Top 10:2021</w:t>
      </w:r>
    </w:p>
    <w:p>
      <w:pPr>
        <w:pStyle w:val="BodyText"/>
      </w:pPr>
      <w:hyperlink r:id="rId37">
        <w:r>
          <w:rPr>
            <w:rStyle w:val="Hyperlink"/>
          </w:rPr>
          <w:t xml:space="preserve">https://owasp.org/Top10/2021/A01_2021-Broken_Access_Control/?utm_source=chatgpt.com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[19]</w:t>
        </w:r>
      </w:hyperlink>
      <w:r>
        <w:t xml:space="preserve"> </w:t>
      </w:r>
      <w:hyperlink r:id="rId38">
        <w:r>
          <w:rPr>
            <w:rStyle w:val="Hyperlink"/>
          </w:rPr>
          <w:t xml:space="preserve">[46]</w:t>
        </w:r>
      </w:hyperlink>
      <w:r>
        <w:t xml:space="preserve"> </w:t>
      </w:r>
      <w:r>
        <w:t xml:space="preserve">A02 Cryptographic Failures - OWASP Top 10:2021</w:t>
      </w:r>
    </w:p>
    <w:p>
      <w:pPr>
        <w:pStyle w:val="BodyText"/>
      </w:pPr>
      <w:hyperlink r:id="rId38">
        <w:r>
          <w:rPr>
            <w:rStyle w:val="Hyperlink"/>
          </w:rPr>
          <w:t xml:space="preserve">https://owasp.org/Top10/2021/A02_2021-Cryptographic_Failures/?utm_source=chatgpt.com</w:t>
        </w:r>
      </w:hyperlink>
    </w:p>
    <w:p>
      <w:pPr>
        <w:pStyle w:val="BodyText"/>
      </w:pPr>
      <w:hyperlink r:id="rId39">
        <w:r>
          <w:rPr>
            <w:rStyle w:val="Hyperlink"/>
          </w:rPr>
          <w:t xml:space="preserve">[20]</w:t>
        </w:r>
      </w:hyperlink>
      <w:r>
        <w:t xml:space="preserve"> </w:t>
      </w:r>
      <w:r>
        <w:t xml:space="preserve">Action against digital skimming reveals 443 compromised ...</w:t>
      </w:r>
    </w:p>
    <w:p>
      <w:pPr>
        <w:pStyle w:val="BodyText"/>
      </w:pPr>
      <w:hyperlink r:id="rId39">
        <w:r>
          <w:rPr>
            <w:rStyle w:val="Hyperlink"/>
          </w:rPr>
          <w:t xml:space="preserve">https://www.europol.europa.eu/media-press/newsroom/news/action-against-digital-skimming-reveals-443-compromised-online-merchants?utm_source=chatgpt.com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[21]</w:t>
        </w:r>
      </w:hyperlink>
      <w:r>
        <w:t xml:space="preserve"> </w:t>
      </w:r>
      <w:r>
        <w:t xml:space="preserve">OWASP Top 10 API Security Risks – 2023</w:t>
      </w:r>
    </w:p>
    <w:p>
      <w:pPr>
        <w:pStyle w:val="BodyText"/>
      </w:pPr>
      <w:hyperlink r:id="rId40">
        <w:r>
          <w:rPr>
            <w:rStyle w:val="Hyperlink"/>
          </w:rPr>
          <w:t xml:space="preserve">https://owasp.org/API-Security/editions/2023/en/0x11-t10/?utm_source=chatgpt.com</w:t>
        </w:r>
      </w:hyperlink>
    </w:p>
    <w:p>
      <w:pPr>
        <w:pStyle w:val="BodyText"/>
      </w:pPr>
      <w:hyperlink r:id="rId41">
        <w:r>
          <w:rPr>
            <w:rStyle w:val="Hyperlink"/>
          </w:rPr>
          <w:t xml:space="preserve">[22]</w:t>
        </w:r>
      </w:hyperlink>
      <w:r>
        <w:t xml:space="preserve"> </w:t>
      </w:r>
      <w:r>
        <w:t xml:space="preserve">StopRansomware Guide</w:t>
      </w:r>
    </w:p>
    <w:p>
      <w:pPr>
        <w:pStyle w:val="BodyText"/>
      </w:pPr>
      <w:hyperlink r:id="rId41">
        <w:r>
          <w:rPr>
            <w:rStyle w:val="Hyperlink"/>
          </w:rPr>
          <w:t xml:space="preserve">https://www.cisa.gov/stopransomware/ransomware-guide?utm_source=chatgpt.com</w:t>
        </w:r>
      </w:hyperlink>
    </w:p>
    <w:p>
      <w:pPr>
        <w:pStyle w:val="BodyText"/>
      </w:pPr>
      <w:hyperlink r:id="rId42">
        <w:r>
          <w:rPr>
            <w:rStyle w:val="Hyperlink"/>
          </w:rPr>
          <w:t xml:space="preserve">[23]</w:t>
        </w:r>
      </w:hyperlink>
      <w:r>
        <w:t xml:space="preserve"> </w:t>
      </w:r>
      <w:hyperlink r:id="rId42">
        <w:r>
          <w:rPr>
            <w:rStyle w:val="Hyperlink"/>
          </w:rPr>
          <w:t xml:space="preserve">[38]</w:t>
        </w:r>
      </w:hyperlink>
      <w:r>
        <w:t xml:space="preserve"> </w:t>
      </w:r>
      <w:hyperlink r:id="rId42">
        <w:r>
          <w:rPr>
            <w:rStyle w:val="Hyperlink"/>
          </w:rPr>
          <w:t xml:space="preserve">[41]</w:t>
        </w:r>
      </w:hyperlink>
      <w:r>
        <w:t xml:space="preserve"> </w:t>
      </w:r>
      <w:r>
        <w:t xml:space="preserve">OWASP Application Security Verification Standard (ASVS)</w:t>
      </w:r>
    </w:p>
    <w:p>
      <w:pPr>
        <w:pStyle w:val="BodyText"/>
      </w:pPr>
      <w:hyperlink r:id="rId42">
        <w:r>
          <w:rPr>
            <w:rStyle w:val="Hyperlink"/>
          </w:rPr>
          <w:t xml:space="preserve">https://owasp.org/www-project-application-security-verification-standard/?utm_source=chatgpt.com</w:t>
        </w:r>
      </w:hyperlink>
    </w:p>
    <w:p>
      <w:pPr>
        <w:pStyle w:val="BodyText"/>
      </w:pPr>
      <w:hyperlink r:id="rId43">
        <w:r>
          <w:rPr>
            <w:rStyle w:val="Hyperlink"/>
          </w:rPr>
          <w:t xml:space="preserve">[24]</w:t>
        </w:r>
      </w:hyperlink>
      <w:r>
        <w:t xml:space="preserve"> </w:t>
      </w:r>
      <w:r>
        <w:t xml:space="preserve">Art. 5 GDPR – Principles relating to processing of personal ...</w:t>
      </w:r>
    </w:p>
    <w:p>
      <w:pPr>
        <w:pStyle w:val="BodyText"/>
      </w:pPr>
      <w:hyperlink r:id="rId43">
        <w:r>
          <w:rPr>
            <w:rStyle w:val="Hyperlink"/>
          </w:rPr>
          <w:t xml:space="preserve">https://gdpr-info.eu/art-5-gdpr/?utm_source=chatgpt.com</w:t>
        </w:r>
      </w:hyperlink>
    </w:p>
    <w:p>
      <w:pPr>
        <w:pStyle w:val="BodyText"/>
      </w:pPr>
      <w:hyperlink r:id="rId45">
        <w:r>
          <w:rPr>
            <w:rStyle w:val="Hyperlink"/>
          </w:rPr>
          <w:t xml:space="preserve">[25]</w:t>
        </w:r>
      </w:hyperlink>
      <w:r>
        <w:t xml:space="preserve"> </w:t>
      </w:r>
      <w:hyperlink r:id="rId45">
        <w:r>
          <w:rPr>
            <w:rStyle w:val="Hyperlink"/>
          </w:rPr>
          <w:t xml:space="preserve">[34]</w:t>
        </w:r>
      </w:hyperlink>
      <w:r>
        <w:t xml:space="preserve"> </w:t>
      </w:r>
      <w:r>
        <w:t xml:space="preserve">SP 800-53 Rev. 5, Security and Privacy Controls ... - NIST CSRC</w:t>
      </w:r>
    </w:p>
    <w:p>
      <w:pPr>
        <w:pStyle w:val="BodyText"/>
      </w:pPr>
      <w:hyperlink r:id="rId45">
        <w:r>
          <w:rPr>
            <w:rStyle w:val="Hyperlink"/>
          </w:rPr>
          <w:t xml:space="preserve">https://csrc.nist.gov/pubs/sp/800/53/r5/upd1/final?utm_source=chatgpt.com</w:t>
        </w:r>
      </w:hyperlink>
    </w:p>
    <w:p>
      <w:pPr>
        <w:pStyle w:val="BodyText"/>
      </w:pPr>
      <w:hyperlink r:id="rId46">
        <w:r>
          <w:rPr>
            <w:rStyle w:val="Hyperlink"/>
          </w:rPr>
          <w:t xml:space="preserve">[26]</w:t>
        </w:r>
      </w:hyperlink>
      <w:r>
        <w:t xml:space="preserve"> </w:t>
      </w:r>
      <w:r>
        <w:t xml:space="preserve">Digital Identity Guidelines</w:t>
      </w:r>
    </w:p>
    <w:p>
      <w:pPr>
        <w:pStyle w:val="BodyText"/>
      </w:pPr>
      <w:hyperlink r:id="rId46">
        <w:r>
          <w:rPr>
            <w:rStyle w:val="Hyperlink"/>
          </w:rPr>
          <w:t xml:space="preserve">https://nvlpubs.nist.gov/nistpubs/specialpublications/nist.sp.800-63b.pdf?utm_source=chatgpt.com</w:t>
        </w:r>
      </w:hyperlink>
    </w:p>
    <w:p>
      <w:pPr>
        <w:pStyle w:val="BodyText"/>
      </w:pPr>
      <w:hyperlink r:id="rId47">
        <w:r>
          <w:rPr>
            <w:rStyle w:val="Hyperlink"/>
          </w:rPr>
          <w:t xml:space="preserve">[27]</w:t>
        </w:r>
      </w:hyperlink>
      <w:r>
        <w:t xml:space="preserve"> </w:t>
      </w:r>
      <w:r>
        <w:t xml:space="preserve">Session Management - OWASP Cheat Sheet Series</w:t>
      </w:r>
    </w:p>
    <w:p>
      <w:pPr>
        <w:pStyle w:val="BodyText"/>
      </w:pPr>
      <w:hyperlink r:id="rId47">
        <w:r>
          <w:rPr>
            <w:rStyle w:val="Hyperlink"/>
          </w:rPr>
          <w:t xml:space="preserve">https://cheatsheetseries.owasp.org/cheatsheets/Session_Management_Cheat_Sheet.html?utm_source=chatgpt.com</w:t>
        </w:r>
      </w:hyperlink>
    </w:p>
    <w:p>
      <w:pPr>
        <w:pStyle w:val="BodyText"/>
      </w:pPr>
      <w:hyperlink r:id="rId48">
        <w:r>
          <w:rPr>
            <w:rStyle w:val="Hyperlink"/>
          </w:rPr>
          <w:t xml:space="preserve">[28]</w:t>
        </w:r>
      </w:hyperlink>
      <w:r>
        <w:t xml:space="preserve"> </w:t>
      </w:r>
      <w:r>
        <w:t xml:space="preserve">Content Security Policy</w:t>
      </w:r>
    </w:p>
    <w:p>
      <w:pPr>
        <w:pStyle w:val="BodyText"/>
      </w:pPr>
      <w:hyperlink r:id="rId48">
        <w:r>
          <w:rPr>
            <w:rStyle w:val="Hyperlink"/>
          </w:rPr>
          <w:t xml:space="preserve">https://owasp.org/www-community/controls/Content_Security_Policy?utm_source=chatgpt.com</w:t>
        </w:r>
      </w:hyperlink>
    </w:p>
    <w:p>
      <w:pPr>
        <w:pStyle w:val="BodyText"/>
      </w:pPr>
      <w:hyperlink r:id="rId49">
        <w:r>
          <w:rPr>
            <w:rStyle w:val="Hyperlink"/>
          </w:rPr>
          <w:t xml:space="preserve">[30]</w:t>
        </w:r>
      </w:hyperlink>
      <w:r>
        <w:t xml:space="preserve"> </w:t>
      </w:r>
      <w:hyperlink r:id="rId49">
        <w:r>
          <w:rPr>
            <w:rStyle w:val="Hyperlink"/>
          </w:rPr>
          <w:t xml:space="preserve">[48]</w:t>
        </w:r>
      </w:hyperlink>
      <w:r>
        <w:t xml:space="preserve"> </w:t>
      </w:r>
      <w:r>
        <w:t xml:space="preserve">SP 800-92, Guide to Computer Security Log Management</w:t>
      </w:r>
    </w:p>
    <w:p>
      <w:pPr>
        <w:pStyle w:val="BodyText"/>
      </w:pPr>
      <w:hyperlink r:id="rId49">
        <w:r>
          <w:rPr>
            <w:rStyle w:val="Hyperlink"/>
          </w:rPr>
          <w:t xml:space="preserve">https://csrc.nist.gov/pubs/sp/800/92/final?utm_source=chatgpt.com</w:t>
        </w:r>
      </w:hyperlink>
    </w:p>
    <w:p>
      <w:pPr>
        <w:pStyle w:val="BodyText"/>
      </w:pPr>
      <w:hyperlink r:id="rId50">
        <w:r>
          <w:rPr>
            <w:rStyle w:val="Hyperlink"/>
          </w:rPr>
          <w:t xml:space="preserve">[31]</w:t>
        </w:r>
      </w:hyperlink>
      <w:r>
        <w:t xml:space="preserve"> </w:t>
      </w:r>
      <w:r>
        <w:t xml:space="preserve">Logging - OWASP Cheat Sheet Series</w:t>
      </w:r>
    </w:p>
    <w:p>
      <w:pPr>
        <w:pStyle w:val="BodyText"/>
      </w:pPr>
      <w:hyperlink r:id="rId50">
        <w:r>
          <w:rPr>
            <w:rStyle w:val="Hyperlink"/>
          </w:rPr>
          <w:t xml:space="preserve">https://cheatsheetseries.owasp.org/cheatsheets/Logging_Cheat_Sheet.html?utm_source=chatgpt.com</w:t>
        </w:r>
      </w:hyperlink>
    </w:p>
    <w:p>
      <w:pPr>
        <w:pStyle w:val="BodyText"/>
      </w:pPr>
      <w:hyperlink r:id="rId51">
        <w:r>
          <w:rPr>
            <w:rStyle w:val="Hyperlink"/>
          </w:rPr>
          <w:t xml:space="preserve">[32]</w:t>
        </w:r>
      </w:hyperlink>
      <w:r>
        <w:t xml:space="preserve"> </w:t>
      </w:r>
      <w:r>
        <w:t xml:space="preserve">SP 800-61 Rev. 3, Incident Response Recommendations and ...</w:t>
      </w:r>
    </w:p>
    <w:p>
      <w:pPr>
        <w:pStyle w:val="BodyText"/>
      </w:pPr>
      <w:hyperlink r:id="rId51">
        <w:r>
          <w:rPr>
            <w:rStyle w:val="Hyperlink"/>
          </w:rPr>
          <w:t xml:space="preserve">https://csrc.nist.gov/pubs/sp/800/61/r3/final?utm_source=chatgpt.com</w:t>
        </w:r>
      </w:hyperlink>
    </w:p>
    <w:p>
      <w:pPr>
        <w:pStyle w:val="BodyText"/>
      </w:pPr>
      <w:hyperlink r:id="rId52">
        <w:r>
          <w:rPr>
            <w:rStyle w:val="Hyperlink"/>
          </w:rPr>
          <w:t xml:space="preserve">[33]</w:t>
        </w:r>
      </w:hyperlink>
      <w:r>
        <w:t xml:space="preserve"> </w:t>
      </w:r>
      <w:r>
        <w:t xml:space="preserve">Contingency Planning Guide for Federal Information Systems</w:t>
      </w:r>
    </w:p>
    <w:p>
      <w:pPr>
        <w:pStyle w:val="BodyText"/>
      </w:pPr>
      <w:hyperlink r:id="rId52">
        <w:r>
          <w:rPr>
            <w:rStyle w:val="Hyperlink"/>
          </w:rPr>
          <w:t xml:space="preserve">https://csrc.nist.gov/pubs/sp/800/34/r1/upd1/final?utm_source=chatgpt.com</w:t>
        </w:r>
      </w:hyperlink>
    </w:p>
    <w:p>
      <w:pPr>
        <w:pStyle w:val="BodyText"/>
      </w:pPr>
      <w:hyperlink r:id="rId54">
        <w:r>
          <w:rPr>
            <w:rStyle w:val="Hyperlink"/>
          </w:rPr>
          <w:t xml:space="preserve">[37]</w:t>
        </w:r>
      </w:hyperlink>
      <w:r>
        <w:t xml:space="preserve"> </w:t>
      </w:r>
      <w:r>
        <w:t xml:space="preserve">The Minimum Elements For a Software Bill of Materials ...</w:t>
      </w:r>
    </w:p>
    <w:p>
      <w:pPr>
        <w:pStyle w:val="BodyText"/>
      </w:pPr>
      <w:hyperlink r:id="rId54">
        <w:r>
          <w:rPr>
            <w:rStyle w:val="Hyperlink"/>
          </w:rPr>
          <w:t xml:space="preserve">https://www.ntia.gov/report/2021/minimum-elements-software-bill-materials-sbom?utm_source=chatgpt.com</w:t>
        </w:r>
      </w:hyperlink>
    </w:p>
    <w:p>
      <w:pPr>
        <w:pStyle w:val="BodyText"/>
      </w:pPr>
      <w:hyperlink r:id="rId55">
        <w:r>
          <w:rPr>
            <w:rStyle w:val="Hyperlink"/>
          </w:rPr>
          <w:t xml:space="preserve">[39]</w:t>
        </w:r>
      </w:hyperlink>
      <w:r>
        <w:t xml:space="preserve"> </w:t>
      </w:r>
      <w:r>
        <w:t xml:space="preserve">SLSA • Supply-chain Levels for Software Artifacts</w:t>
      </w:r>
    </w:p>
    <w:p>
      <w:pPr>
        <w:pStyle w:val="BodyText"/>
      </w:pPr>
      <w:hyperlink r:id="rId55">
        <w:r>
          <w:rPr>
            <w:rStyle w:val="Hyperlink"/>
          </w:rPr>
          <w:t xml:space="preserve">https://slsa.dev/?utm_source=chatgpt.com</w:t>
        </w:r>
      </w:hyperlink>
    </w:p>
    <w:p>
      <w:pPr>
        <w:pStyle w:val="BodyText"/>
      </w:pPr>
      <w:hyperlink r:id="rId56">
        <w:r>
          <w:rPr>
            <w:rStyle w:val="Hyperlink"/>
          </w:rPr>
          <w:t xml:space="preserve">[40]</w:t>
        </w:r>
      </w:hyperlink>
      <w:r>
        <w:t xml:space="preserve"> </w:t>
      </w:r>
      <w:r>
        <w:t xml:space="preserve">OWASP Software Component Verification Standard</w:t>
      </w:r>
    </w:p>
    <w:p>
      <w:pPr>
        <w:pStyle w:val="BodyText"/>
      </w:pPr>
      <w:hyperlink r:id="rId56">
        <w:r>
          <w:rPr>
            <w:rStyle w:val="Hyperlink"/>
          </w:rPr>
          <w:t xml:space="preserve">https://owasp.org/www-project-software-component-verification-standard/?utm_source=chatgpt.com</w:t>
        </w:r>
      </w:hyperlink>
    </w:p>
    <w:p>
      <w:pPr>
        <w:pStyle w:val="BodyText"/>
      </w:pPr>
      <w:hyperlink r:id="rId58">
        <w:r>
          <w:rPr>
            <w:rStyle w:val="Hyperlink"/>
          </w:rPr>
          <w:t xml:space="preserve">[49]</w:t>
        </w:r>
      </w:hyperlink>
      <w:r>
        <w:t xml:space="preserve"> </w:t>
      </w:r>
      <w:r>
        <w:t xml:space="preserve">NIST.SP.800-61r3.pdf</w:t>
      </w:r>
    </w:p>
    <w:p>
      <w:pPr>
        <w:pStyle w:val="BodyText"/>
      </w:pPr>
      <w:hyperlink r:id="rId58">
        <w:r>
          <w:rPr>
            <w:rStyle w:val="Hyperlink"/>
          </w:rPr>
          <w:t xml:space="preserve">https://nvlpubs.nist.gov/nistpubs/SpecialPublications/NIST.SP.800-61r3.pdf?utm_source=chatgpt.com</w:t>
        </w:r>
      </w:hyperlink>
    </w:p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4" Target="https://attack.mitre.org/tactics/TA0006/?utm_source=chatgpt.com" TargetMode="External" /><Relationship Type="http://schemas.openxmlformats.org/officeDocument/2006/relationships/hyperlink" Id="rId50" Target="https://cheatsheetseries.owasp.org/cheatsheets/Logging_Cheat_Sheet.html?utm_source=chatgpt.com" TargetMode="External" /><Relationship Type="http://schemas.openxmlformats.org/officeDocument/2006/relationships/hyperlink" Id="rId47" Target="https://cheatsheetseries.owasp.org/cheatsheets/Session_Management_Cheat_Sheet.html?utm_source=chatgpt.com" TargetMode="External" /><Relationship Type="http://schemas.openxmlformats.org/officeDocument/2006/relationships/hyperlink" Id="rId27" Target="https://commission.europa.eu/law/law-topic/data-protection/data-protection-explained_en?utm_source=chatgpt.com" TargetMode="External" /><Relationship Type="http://schemas.openxmlformats.org/officeDocument/2006/relationships/hyperlink" Id="rId28" Target="https://csrc.nist.gov/pubs/sp/800/207/final?utm_source=chatgpt.com" TargetMode="External" /><Relationship Type="http://schemas.openxmlformats.org/officeDocument/2006/relationships/hyperlink" Id="rId22" Target="https://csrc.nist.gov/pubs/sp/800/218/final?utm_source=chatgpt.com" TargetMode="External" /><Relationship Type="http://schemas.openxmlformats.org/officeDocument/2006/relationships/hyperlink" Id="rId52" Target="https://csrc.nist.gov/pubs/sp/800/34/r1/upd1/final?utm_source=chatgpt.com" TargetMode="External" /><Relationship Type="http://schemas.openxmlformats.org/officeDocument/2006/relationships/hyperlink" Id="rId45" Target="https://csrc.nist.gov/pubs/sp/800/53/r5/upd1/final?utm_source=chatgpt.com" TargetMode="External" /><Relationship Type="http://schemas.openxmlformats.org/officeDocument/2006/relationships/hyperlink" Id="rId51" Target="https://csrc.nist.gov/pubs/sp/800/61/r3/final?utm_source=chatgpt.com" TargetMode="External" /><Relationship Type="http://schemas.openxmlformats.org/officeDocument/2006/relationships/hyperlink" Id="rId49" Target="https://csrc.nist.gov/pubs/sp/800/92/final?utm_source=chatgpt.com" TargetMode="External" /><Relationship Type="http://schemas.openxmlformats.org/officeDocument/2006/relationships/hyperlink" Id="rId35" Target="https://cwe.mitre.org/top25/archive/2024/2024_cwe_top25.html?utm_source=chatgpt.com" TargetMode="External" /><Relationship Type="http://schemas.openxmlformats.org/officeDocument/2006/relationships/hyperlink" Id="rId30" Target="https://datatracker.ietf.org/doc/html/rfc8446?utm_source=chatgpt.com" TargetMode="External" /><Relationship Type="http://schemas.openxmlformats.org/officeDocument/2006/relationships/hyperlink" Id="rId43" Target="https://gdpr-info.eu/art-5-gdpr/?utm_source=chatgpt.com" TargetMode="External" /><Relationship Type="http://schemas.openxmlformats.org/officeDocument/2006/relationships/hyperlink" Id="rId21" Target="https://listings.pcisecuritystandards.org/documents/PCI-DSS-v4-0-SAQ-A.pdf?utm_source=chatgpt.com" TargetMode="External" /><Relationship Type="http://schemas.openxmlformats.org/officeDocument/2006/relationships/hyperlink" Id="rId23" Target="https://nvlpubs.nist.gov/nistpubs/CSWP/NIST.CSWP.29.pdf" TargetMode="External" /><Relationship Type="http://schemas.openxmlformats.org/officeDocument/2006/relationships/hyperlink" Id="rId58" Target="https://nvlpubs.nist.gov/nistpubs/SpecialPublications/NIST.SP.800-61r3.pdf?utm_source=chatgpt.com" TargetMode="External" /><Relationship Type="http://schemas.openxmlformats.org/officeDocument/2006/relationships/hyperlink" Id="rId46" Target="https://nvlpubs.nist.gov/nistpubs/specialpublications/nist.sp.800-63b.pdf?utm_source=chatgpt.com" TargetMode="External" /><Relationship Type="http://schemas.openxmlformats.org/officeDocument/2006/relationships/hyperlink" Id="rId32" Target="https://owasp.org/API-Security/editions/2023/en/0x00-header/?utm_source=chatgpt.com" TargetMode="External" /><Relationship Type="http://schemas.openxmlformats.org/officeDocument/2006/relationships/hyperlink" Id="rId40" Target="https://owasp.org/API-Security/editions/2023/en/0x11-t10/?utm_source=chatgpt.com" TargetMode="External" /><Relationship Type="http://schemas.openxmlformats.org/officeDocument/2006/relationships/hyperlink" Id="rId26" Target="https://owasp.org/Top10/2021/?utm_source=chatgpt.com" TargetMode="External" /><Relationship Type="http://schemas.openxmlformats.org/officeDocument/2006/relationships/hyperlink" Id="rId37" Target="https://owasp.org/Top10/2021/A01_2021-Broken_Access_Control/?utm_source=chatgpt.com" TargetMode="External" /><Relationship Type="http://schemas.openxmlformats.org/officeDocument/2006/relationships/hyperlink" Id="rId38" Target="https://owasp.org/Top10/2021/A02_2021-Cryptographic_Failures/?utm_source=chatgpt.com" TargetMode="External" /><Relationship Type="http://schemas.openxmlformats.org/officeDocument/2006/relationships/hyperlink" Id="rId48" Target="https://owasp.org/www-community/controls/Content_Security_Policy?utm_source=chatgpt.com" TargetMode="External" /><Relationship Type="http://schemas.openxmlformats.org/officeDocument/2006/relationships/hyperlink" Id="rId42" Target="https://owasp.org/www-project-application-security-verification-standard/?utm_source=chatgpt.com" TargetMode="External" /><Relationship Type="http://schemas.openxmlformats.org/officeDocument/2006/relationships/hyperlink" Id="rId33" Target="https://owasp.org/www-project-automated-threats-to-web-applications/?utm_source=chatgpt.com" TargetMode="External" /><Relationship Type="http://schemas.openxmlformats.org/officeDocument/2006/relationships/hyperlink" Id="rId25" Target="https://owasp.org/www-project-secure-headers/?utm_source=chatgpt.com" TargetMode="External" /><Relationship Type="http://schemas.openxmlformats.org/officeDocument/2006/relationships/hyperlink" Id="rId56" Target="https://owasp.org/www-project-software-component-verification-standard/?utm_source=chatgpt.com" TargetMode="External" /><Relationship Type="http://schemas.openxmlformats.org/officeDocument/2006/relationships/hyperlink" Id="rId55" Target="https://slsa.dev/?utm_source=chatgpt.com" TargetMode="External" /><Relationship Type="http://schemas.openxmlformats.org/officeDocument/2006/relationships/hyperlink" Id="rId24" Target="https://www.cisa.gov/resources-tools/resources/defending-against-software-supply-chain-attacks?utm_source=chatgpt.com" TargetMode="External" /><Relationship Type="http://schemas.openxmlformats.org/officeDocument/2006/relationships/hyperlink" Id="rId41" Target="https://www.cisa.gov/stopransomware/ransomware-guide?utm_source=chatgpt.com" TargetMode="External" /><Relationship Type="http://schemas.openxmlformats.org/officeDocument/2006/relationships/hyperlink" Id="rId39" Target="https://www.europol.europa.eu/media-press/newsroom/news/action-against-digital-skimming-reveals-443-compromised-online-merchants?utm_source=chatgpt.com" TargetMode="External" /><Relationship Type="http://schemas.openxmlformats.org/officeDocument/2006/relationships/hyperlink" Id="rId54" Target="https://www.ntia.gov/report/2021/minimum-elements-software-bill-materials-sbom?utm_source=chatgpt.com" TargetMode="External" /><Relationship Type="http://schemas.openxmlformats.org/officeDocument/2006/relationships/hyperlink" Id="rId29" Target="https://www.pcisecuritystandards.org/standards/pci-dss/?utm_source=chatgpt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https://attack.mitre.org/tactics/TA0006/?utm_source=chatgpt.com" TargetMode="External" /><Relationship Type="http://schemas.openxmlformats.org/officeDocument/2006/relationships/hyperlink" Id="rId50" Target="https://cheatsheetseries.owasp.org/cheatsheets/Logging_Cheat_Sheet.html?utm_source=chatgpt.com" TargetMode="External" /><Relationship Type="http://schemas.openxmlformats.org/officeDocument/2006/relationships/hyperlink" Id="rId47" Target="https://cheatsheetseries.owasp.org/cheatsheets/Session_Management_Cheat_Sheet.html?utm_source=chatgpt.com" TargetMode="External" /><Relationship Type="http://schemas.openxmlformats.org/officeDocument/2006/relationships/hyperlink" Id="rId27" Target="https://commission.europa.eu/law/law-topic/data-protection/data-protection-explained_en?utm_source=chatgpt.com" TargetMode="External" /><Relationship Type="http://schemas.openxmlformats.org/officeDocument/2006/relationships/hyperlink" Id="rId28" Target="https://csrc.nist.gov/pubs/sp/800/207/final?utm_source=chatgpt.com" TargetMode="External" /><Relationship Type="http://schemas.openxmlformats.org/officeDocument/2006/relationships/hyperlink" Id="rId22" Target="https://csrc.nist.gov/pubs/sp/800/218/final?utm_source=chatgpt.com" TargetMode="External" /><Relationship Type="http://schemas.openxmlformats.org/officeDocument/2006/relationships/hyperlink" Id="rId52" Target="https://csrc.nist.gov/pubs/sp/800/34/r1/upd1/final?utm_source=chatgpt.com" TargetMode="External" /><Relationship Type="http://schemas.openxmlformats.org/officeDocument/2006/relationships/hyperlink" Id="rId45" Target="https://csrc.nist.gov/pubs/sp/800/53/r5/upd1/final?utm_source=chatgpt.com" TargetMode="External" /><Relationship Type="http://schemas.openxmlformats.org/officeDocument/2006/relationships/hyperlink" Id="rId51" Target="https://csrc.nist.gov/pubs/sp/800/61/r3/final?utm_source=chatgpt.com" TargetMode="External" /><Relationship Type="http://schemas.openxmlformats.org/officeDocument/2006/relationships/hyperlink" Id="rId49" Target="https://csrc.nist.gov/pubs/sp/800/92/final?utm_source=chatgpt.com" TargetMode="External" /><Relationship Type="http://schemas.openxmlformats.org/officeDocument/2006/relationships/hyperlink" Id="rId35" Target="https://cwe.mitre.org/top25/archive/2024/2024_cwe_top25.html?utm_source=chatgpt.com" TargetMode="External" /><Relationship Type="http://schemas.openxmlformats.org/officeDocument/2006/relationships/hyperlink" Id="rId30" Target="https://datatracker.ietf.org/doc/html/rfc8446?utm_source=chatgpt.com" TargetMode="External" /><Relationship Type="http://schemas.openxmlformats.org/officeDocument/2006/relationships/hyperlink" Id="rId43" Target="https://gdpr-info.eu/art-5-gdpr/?utm_source=chatgpt.com" TargetMode="External" /><Relationship Type="http://schemas.openxmlformats.org/officeDocument/2006/relationships/hyperlink" Id="rId21" Target="https://listings.pcisecuritystandards.org/documents/PCI-DSS-v4-0-SAQ-A.pdf?utm_source=chatgpt.com" TargetMode="External" /><Relationship Type="http://schemas.openxmlformats.org/officeDocument/2006/relationships/hyperlink" Id="rId23" Target="https://nvlpubs.nist.gov/nistpubs/CSWP/NIST.CSWP.29.pdf" TargetMode="External" /><Relationship Type="http://schemas.openxmlformats.org/officeDocument/2006/relationships/hyperlink" Id="rId58" Target="https://nvlpubs.nist.gov/nistpubs/SpecialPublications/NIST.SP.800-61r3.pdf?utm_source=chatgpt.com" TargetMode="External" /><Relationship Type="http://schemas.openxmlformats.org/officeDocument/2006/relationships/hyperlink" Id="rId46" Target="https://nvlpubs.nist.gov/nistpubs/specialpublications/nist.sp.800-63b.pdf?utm_source=chatgpt.com" TargetMode="External" /><Relationship Type="http://schemas.openxmlformats.org/officeDocument/2006/relationships/hyperlink" Id="rId32" Target="https://owasp.org/API-Security/editions/2023/en/0x00-header/?utm_source=chatgpt.com" TargetMode="External" /><Relationship Type="http://schemas.openxmlformats.org/officeDocument/2006/relationships/hyperlink" Id="rId40" Target="https://owasp.org/API-Security/editions/2023/en/0x11-t10/?utm_source=chatgpt.com" TargetMode="External" /><Relationship Type="http://schemas.openxmlformats.org/officeDocument/2006/relationships/hyperlink" Id="rId26" Target="https://owasp.org/Top10/2021/?utm_source=chatgpt.com" TargetMode="External" /><Relationship Type="http://schemas.openxmlformats.org/officeDocument/2006/relationships/hyperlink" Id="rId37" Target="https://owasp.org/Top10/2021/A01_2021-Broken_Access_Control/?utm_source=chatgpt.com" TargetMode="External" /><Relationship Type="http://schemas.openxmlformats.org/officeDocument/2006/relationships/hyperlink" Id="rId38" Target="https://owasp.org/Top10/2021/A02_2021-Cryptographic_Failures/?utm_source=chatgpt.com" TargetMode="External" /><Relationship Type="http://schemas.openxmlformats.org/officeDocument/2006/relationships/hyperlink" Id="rId48" Target="https://owasp.org/www-community/controls/Content_Security_Policy?utm_source=chatgpt.com" TargetMode="External" /><Relationship Type="http://schemas.openxmlformats.org/officeDocument/2006/relationships/hyperlink" Id="rId42" Target="https://owasp.org/www-project-application-security-verification-standard/?utm_source=chatgpt.com" TargetMode="External" /><Relationship Type="http://schemas.openxmlformats.org/officeDocument/2006/relationships/hyperlink" Id="rId33" Target="https://owasp.org/www-project-automated-threats-to-web-applications/?utm_source=chatgpt.com" TargetMode="External" /><Relationship Type="http://schemas.openxmlformats.org/officeDocument/2006/relationships/hyperlink" Id="rId25" Target="https://owasp.org/www-project-secure-headers/?utm_source=chatgpt.com" TargetMode="External" /><Relationship Type="http://schemas.openxmlformats.org/officeDocument/2006/relationships/hyperlink" Id="rId56" Target="https://owasp.org/www-project-software-component-verification-standard/?utm_source=chatgpt.com" TargetMode="External" /><Relationship Type="http://schemas.openxmlformats.org/officeDocument/2006/relationships/hyperlink" Id="rId55" Target="https://slsa.dev/?utm_source=chatgpt.com" TargetMode="External" /><Relationship Type="http://schemas.openxmlformats.org/officeDocument/2006/relationships/hyperlink" Id="rId24" Target="https://www.cisa.gov/resources-tools/resources/defending-against-software-supply-chain-attacks?utm_source=chatgpt.com" TargetMode="External" /><Relationship Type="http://schemas.openxmlformats.org/officeDocument/2006/relationships/hyperlink" Id="rId41" Target="https://www.cisa.gov/stopransomware/ransomware-guide?utm_source=chatgpt.com" TargetMode="External" /><Relationship Type="http://schemas.openxmlformats.org/officeDocument/2006/relationships/hyperlink" Id="rId39" Target="https://www.europol.europa.eu/media-press/newsroom/news/action-against-digital-skimming-reveals-443-compromised-online-merchants?utm_source=chatgpt.com" TargetMode="External" /><Relationship Type="http://schemas.openxmlformats.org/officeDocument/2006/relationships/hyperlink" Id="rId54" Target="https://www.ntia.gov/report/2021/minimum-elements-software-bill-materials-sbom?utm_source=chatgpt.com" TargetMode="External" /><Relationship Type="http://schemas.openxmlformats.org/officeDocument/2006/relationships/hyperlink" Id="rId29" Target="https://www.pcisecuritystandards.org/standards/pci-dss/?utm_source=chatgpt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</dc:language>
  <cp:keywords/>
  <dcterms:created xsi:type="dcterms:W3CDTF">2026-03-02T11:36:49Z</dcterms:created>
  <dcterms:modified xsi:type="dcterms:W3CDTF">2026-03-02T11:36:49Z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