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>
          <w:rFonts w:ascii="Garamond" w:hAnsi="Garamond" w:eastAsia="Noto Serif CJK SC" w:cs="Noto Sans Devanagari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b/>
          <w:bCs/>
          <w:color w:val="auto"/>
          <w:kern w:val="2"/>
          <w:sz w:val="36"/>
          <w:szCs w:val="36"/>
          <w:lang w:val="pt-BR" w:eastAsia="zh-CN" w:bidi="hi-IN"/>
        </w:rPr>
        <w:t>Letargia, catalepsia, mortes aparentes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106802"/>
          <w:sz w:val="36"/>
          <w:szCs w:val="36"/>
        </w:rPr>
      </w:pPr>
      <w:r>
        <w:rPr>
          <w:rFonts w:ascii="Garamond" w:hAnsi="Garamond"/>
          <w:color w:val="106802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ascii="Garamond" w:hAnsi="Garamond"/>
          <w:color w:val="106802"/>
          <w:sz w:val="36"/>
          <w:szCs w:val="36"/>
        </w:rPr>
        <w:t xml:space="preserve">Assim como foi feito quando nós estudamos as perguntas que tratavam da idiotia e do cretinismo, antes de nós iniciarmos a leitura e os comentários das perguntas, </w:t>
      </w: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vamos</w:t>
      </w:r>
      <w:r>
        <w:rPr>
          <w:rFonts w:ascii="Garamond" w:hAnsi="Garamond"/>
          <w:color w:val="106802"/>
          <w:sz w:val="36"/>
          <w:szCs w:val="36"/>
        </w:rPr>
        <w:t xml:space="preserve"> fazer uma breve explicação sobre letargia e catalepsia.</w:t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Letargia e catalepsia são dois estados diferentes que envolvem alterações na atividade motora e na consciência, mas com características distintas.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Houve mudanças na forma como a medicina entendia e definia a letargia e a catalepsia no tempo de Kardec e como ela as entende hoje em dia.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No século XIX a letargia era descrita como uma condição em que o indivíduo apresentava uma suspensão quase total das funções vitais aparentes: respiração extremamente fraca, pulsação difícil de detectar, imobilidade e ausência de reações a estímulos.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Essa descrição fazia com que, não raro, a letargia fosse confundida com a morte, especialmente diante da limitação dos instrumentos diagnósticos da época. Como consequência, registros históricos indicam que houve casos em que pessoas foram declaradas mortas e sepultadas ainda vivas, por se encontrarem nesse estado profundo de inatividade orgânica.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 catalepsia, por sua vez, era entendida no século XIX como uma condição distinta, embora também envolvesse imobilidade e ausência de resposta. A principal característica reconhecida era a rigidez muscular: o corpo permanecia enrijecido e os membros podiam manter-se em posições incomuns quando movimentados por outra pessoa, como se estivessem congelados.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 catalepsia também podia durar horas ou até dias, e igualmente levava à suspeita de morte em alguns casos, já que os sinais vitais também podiam parecer ausentes ou extremamente tênues.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A medicina da época carecia de meios eficazes para identificar com clareza as causas dessas manifestações, que eram frequentemente agrupadas de maneira vaga sob o rótulo de doenças nervosas ou colapsos do sistema vital.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Com os avanços da medicina ao longo dos séculos XX e XXI, tanto a letargia quanto a catalepsia passaram a ser melhor compreendidas, classificadas e diferenciadas dentro do campo das ciências neurológicas e psiquiátricas.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A letargia é atualmente definida como um estado de rebaixamento do nível de consciência, no qual o indivíduo apresenta sonolência excessiva, lentidão nas respostas físicas e mentais, além de diminuição da atenção. Embora o paciente pareça desinteressado ou inerte, ele pode ser despertado com estímulos mais intensos. Esse quadro pode surgir em decorrência de condições diversas, como infecções, intoxicações, traumas ou distúrbios metabólicos, e não é mais confundido com a morte graças ao uso de tecnologias diagnósticas precisas.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 catalepsia, por outro lado, é hoje entendida como um sintoma que pode ocorrer em certos transtornos psiquiátricos — como a esquizofrenia em sua forma catatônica — ou em distúrbios neurológicos, como o mal de Parkinson e episódios isolados de paralisia do sono.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Caracteriza-se por rigidez muscular, imobilidade e, em muitos casos, preservação da consciência, embora o indivíduo não consiga reagir ao ambiente.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Ao contrário da compreensão rudimentar do século XIX, a catalepsia é atualmente investigada dentro de um contexto clínico mais amplo, com foco na atividade cerebral e nos mecanismos neuromotores.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O desenvolvimento da neurologia, da psiquiatria e das técnicas de monitoramento vital contribuiu para o afastamento das confusões com estados de morte aparente e para a aplicação de tratamentos mais eficazes quando necessário.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Então, nas perguntas que tratam da letargia e da catalepsia, precisamos entender que Kardec baseou suas perguntas no conhecimento que a medicina de sua época tinha, e não no modo como a medicina as entende atualmente.</w:t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Embora não faça parte da pergunta, vale a pena citar aqui também o coma, que é um estado profundo de inconsciência no qual o paciente não responde a estímulos externos nem à dor. 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O coma é caracterizado pela ausência de consciência e resposta voluntária e pela  atividade cerebral significativamente diminuída, mesmo quando os reflexos são preservados.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Pode ser causado por traumatismo cranioencefálico, intoxicações, infecções, acidentes vasculares ou problemas metabólicos.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Dadas essas explicações passemos então às perguntas.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106802"/>
          <w:sz w:val="36"/>
          <w:szCs w:val="36"/>
        </w:rPr>
      </w:pPr>
      <w:r>
        <w:rPr>
          <w:rFonts w:ascii="Garamond" w:hAnsi="Garamond"/>
          <w:color w:val="106802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422. Os letárgicos e os catalépticos, em geral, veem e ouvem o que em derredor se diz e faz, sem que possam exprimir que estão vendo e ouvindo. É pelos olhos e pelos ouvidos que têm essas percepções?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Não; pelo Espírito. O Espírito tem consciência de si, mas não pode comunicar-se.”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Kardec, antes de formular a pergunta propriamente dita, afirma que algumas pessoas em estado letárgico ou cataléptico conseguem ouvir e ver o que acontece em torno delas, embora não possam exprimir essas percepções devido às limitações impostas pelo estado em que se encontram.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E aí ele pergunta à Espiritualidade se é através dos olhos e dos ouvidos que essas pessoas recebem as impressões exteriores.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responde que não, não é através dos órgãos físicos 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os catalépticos e letárgicos </w:t>
      </w:r>
      <w:r>
        <w:rPr>
          <w:rFonts w:ascii="Garamond" w:hAnsi="Garamond"/>
          <w:color w:val="00A0FC"/>
          <w:sz w:val="36"/>
          <w:szCs w:val="36"/>
        </w:rPr>
        <w:t xml:space="preserve"> veem e ouvem o que acontece ao seu derredor. É o próprio Espírito que recebe essas impressões.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Não sei se vocês se lembram quando estudamos o item 257 - </w:t>
      </w:r>
      <w:r>
        <w:rPr>
          <w:rFonts w:ascii="Garamond" w:hAnsi="Garamond"/>
          <w:i/>
          <w:iCs/>
          <w:color w:val="00A0FC"/>
          <w:sz w:val="36"/>
          <w:szCs w:val="36"/>
        </w:rPr>
        <w:t>Ensaio Teórico da sensação nos Espíritos</w:t>
      </w:r>
      <w:r>
        <w:rPr>
          <w:rFonts w:ascii="Garamond" w:hAnsi="Garamond"/>
          <w:color w:val="00A0FC"/>
          <w:sz w:val="36"/>
          <w:szCs w:val="36"/>
        </w:rPr>
        <w:t xml:space="preserve">, no capítulo VI - </w:t>
      </w:r>
      <w:r>
        <w:rPr>
          <w:rFonts w:ascii="Garamond" w:hAnsi="Garamond"/>
          <w:i/>
          <w:iCs/>
          <w:color w:val="00A0FC"/>
          <w:sz w:val="36"/>
          <w:szCs w:val="36"/>
        </w:rPr>
        <w:t>Da vida espírita</w:t>
      </w:r>
      <w:r>
        <w:rPr>
          <w:rFonts w:ascii="Garamond" w:hAnsi="Garamond"/>
          <w:color w:val="00A0FC"/>
          <w:sz w:val="36"/>
          <w:szCs w:val="36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Nesse item há duas passagens 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corroboram</w:t>
      </w:r>
      <w:r>
        <w:rPr>
          <w:rFonts w:ascii="Garamond" w:hAnsi="Garamond"/>
          <w:color w:val="00A0FC"/>
          <w:sz w:val="36"/>
          <w:szCs w:val="36"/>
        </w:rPr>
        <w:t xml:space="preserve"> a resposta da Espiritualidade à Kardec nessa pergunta 422.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primeira passagem é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seguinte</w:t>
      </w:r>
      <w:r>
        <w:rPr>
          <w:rFonts w:ascii="Garamond" w:hAnsi="Garamond"/>
          <w:color w:val="00A0FC"/>
          <w:sz w:val="36"/>
          <w:szCs w:val="36"/>
        </w:rPr>
        <w:t xml:space="preserve">: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1418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i/>
          <w:iCs/>
          <w:color w:val="00A0FC"/>
          <w:sz w:val="36"/>
          <w:szCs w:val="36"/>
        </w:rPr>
        <w:t>Uma vez morto, o corpo nada mais sente,  por já não haver mais nele Espírito, nem perispírito. Este (no caso, o perispírito), desprendido do corpo, experimenta a sensação, porém como já não lhe chega por um conduto limitado, ela se lhe torna geral</w:t>
      </w:r>
      <w:r>
        <w:rPr>
          <w:rFonts w:ascii="Garamond" w:hAnsi="Garamond"/>
          <w:color w:val="00A0FC"/>
          <w:sz w:val="36"/>
          <w:szCs w:val="36"/>
        </w:rPr>
        <w:t xml:space="preserve">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Kardec diz que, o perispírito completamente liberto do corpo físico por ocasião da morte, continua a receber impressões exteriores. Porém, como agora ele não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sofre as limitações impostas</w:t>
      </w:r>
      <w:r>
        <w:rPr>
          <w:rFonts w:ascii="Garamond" w:hAnsi="Garamond"/>
          <w:color w:val="00A0FC"/>
          <w:sz w:val="36"/>
          <w:szCs w:val="36"/>
        </w:rPr>
        <w:t xml:space="preserve"> pelo corpo físico, essas impressões lhe chegam em toda a sua extensão.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A segunda passagem é: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1418" w:hanging="0"/>
        <w:jc w:val="both"/>
        <w:rPr>
          <w:i/>
          <w:i/>
          <w:iCs/>
        </w:rPr>
      </w:pPr>
      <w:r>
        <w:rPr>
          <w:rFonts w:ascii="Garamond" w:hAnsi="Garamond"/>
          <w:i/>
          <w:iCs/>
          <w:color w:val="00A0FC"/>
          <w:sz w:val="36"/>
          <w:szCs w:val="36"/>
        </w:rPr>
        <w:t>Sabemos que no Espírito há percepção, sensação, audição, visão; que essas faculdades são atributos do ser todo e não, como no homem, de uma parte apenas do ser.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Essa segunda passagem é praticamente uma reafirmação da primeira. Kardec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diz</w:t>
      </w:r>
      <w:r>
        <w:rPr>
          <w:rFonts w:ascii="Garamond" w:hAnsi="Garamond"/>
          <w:color w:val="00A0FC"/>
          <w:sz w:val="36"/>
          <w:szCs w:val="36"/>
        </w:rPr>
        <w:t xml:space="preserve"> que, ao desencarnar, as faculdades que o Espírito tinha quando encarnado, não apenas permanecem como também se expandem. Podemos dizer que essas faculdades se distribuem por todo o Espírito.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Claro que nas passagens acima, Kardec está falando do Espírito desencarnado e na pergunta que estamos estudando, trata-se do Espírito encarnado, ligado a um corpo sofrendo de letargia ou catalepsia.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Porém, nós estamos estudando o capítulo intitulado </w:t>
      </w:r>
      <w:r>
        <w:rPr>
          <w:rFonts w:ascii="Garamond" w:hAnsi="Garamond"/>
          <w:i/>
          <w:iCs/>
          <w:color w:val="00A0FC"/>
          <w:sz w:val="36"/>
          <w:szCs w:val="36"/>
        </w:rPr>
        <w:t>Da emancipação da alma</w:t>
      </w:r>
      <w:r>
        <w:rPr>
          <w:rFonts w:ascii="Garamond" w:hAnsi="Garamond"/>
          <w:color w:val="00A0FC"/>
          <w:sz w:val="36"/>
          <w:szCs w:val="36"/>
        </w:rPr>
        <w:t xml:space="preserve">, que trata justamente dos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casos em que </w:t>
      </w:r>
      <w:r>
        <w:rPr>
          <w:rFonts w:ascii="Garamond" w:hAnsi="Garamond"/>
          <w:color w:val="00A0FC"/>
          <w:sz w:val="36"/>
          <w:szCs w:val="36"/>
        </w:rPr>
        <w:t>o Espírito, ainda encarnado, vive experiências muito próximas àquelas do Espírito desencarnado.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Por essa razão, na resposta da pergunta 422, a Espiritualidade diz à Kardec que é o Espírito quem ouve e vê o que acontece ao seu derredor, não é o corpo físico através dos olhos e dos ouvidos.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diz ainda que, apesar do Espírito ver e ouvir, ele não consegue se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comunicar</w:t>
      </w:r>
      <w:r>
        <w:rPr>
          <w:rFonts w:ascii="Garamond" w:hAnsi="Garamond"/>
          <w:color w:val="00A0FC"/>
          <w:sz w:val="36"/>
          <w:szCs w:val="36"/>
        </w:rPr>
        <w:t xml:space="preserve">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a)</w:t>
      </w:r>
      <w:r>
        <w:rPr>
          <w:rFonts w:ascii="Garamond" w:hAnsi="Garamond"/>
          <w:sz w:val="36"/>
          <w:szCs w:val="36"/>
        </w:rPr>
        <w:t xml:space="preserve"> Por quê?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Porque a isso se opõe o estado do corpo. E esse estado especial dos órgãos vos prova que no homem há alguma coisa mais do que o corpo, pois que, então, o corpo já não funciona e, no entanto, o Espírito se mostra ativo.”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A Espiritualidade responde à Kardec que são as deficiências do corpo físico que impedem que o Espírito se manifeste.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Isso já nos foi dito anteriormente quando estudamos a idiotia e o cretinismo.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Lá</w:t>
      </w:r>
      <w:r>
        <w:rPr>
          <w:rFonts w:ascii="Garamond" w:hAnsi="Garamond"/>
          <w:color w:val="00A0FC"/>
          <w:sz w:val="36"/>
          <w:szCs w:val="36"/>
        </w:rPr>
        <w:t xml:space="preserve"> a Espiritualidade nos disse que o Espírito ocupando o corpo de um idiota ou cretino tem plena consciência de sua condição, mas encontra-se impossibilitado de se manifestar devido à deficiência do cérebro.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O mesmo se aplica nos casos de letargia e catalepsia: o Espírito compreende sua condição, consegue perceber o que acontece à sua volta; escuta, vê, mas não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pode</w:t>
      </w:r>
      <w:r>
        <w:rPr>
          <w:rFonts w:ascii="Garamond" w:hAnsi="Garamond"/>
          <w:color w:val="00A0FC"/>
          <w:sz w:val="36"/>
          <w:szCs w:val="36"/>
        </w:rPr>
        <w:t xml:space="preserve"> se expressar devido à aparelhagem física deficiente.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ainda diz que essa condição nos serve de prova da existência em nós de algo que vai além do corpo físico.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Vamos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analisar</w:t>
      </w:r>
      <w:r>
        <w:rPr>
          <w:rFonts w:ascii="Garamond" w:hAnsi="Garamond"/>
          <w:color w:val="00A0FC"/>
          <w:sz w:val="36"/>
          <w:szCs w:val="36"/>
        </w:rPr>
        <w:t xml:space="preserve">: se Kardec afirmou que algumas pessoas em estado de letargia e catalepsia viram e ouviram o que acontecia à volta delas, é porque em algum momento essas pessoas saíram do estado letárgico ou cataléptico 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puderam relatar</w:t>
      </w:r>
      <w:r>
        <w:rPr>
          <w:rFonts w:ascii="Garamond" w:hAnsi="Garamond"/>
          <w:color w:val="00A0FC"/>
          <w:sz w:val="36"/>
          <w:szCs w:val="36"/>
        </w:rPr>
        <w:t xml:space="preserve"> suas experiências. Concordam? Se elas tivessem permanecido como estavam, o corpo físico não as permitiria se expressarem e ninguém teria conhecimento do que se passou com elas.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E mais: se essas pessoas puderam ouvir e, principalmente, se elas puderam ver, enquanto estavam em estado letárgico e cataléptico, fica claro que não foi pelo corpo físico que viram e ouviram.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Fica óbvio então que somos algo mais que apenas o corpo físico.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423</w:t>
      </w:r>
      <w:r>
        <w:rPr>
          <w:rFonts w:ascii="Garamond" w:hAnsi="Garamond"/>
          <w:sz w:val="36"/>
          <w:szCs w:val="36"/>
        </w:rPr>
        <w:t>. Na letargia, pode o Espírito separar-se inteiramente do corpo, de modo a imprimir-lhe todas as aparências da morte e voltar depois a habitá-lo?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Na letargia, o corpo não está morto, porquanto há funções que continuam a executar-se. Sua vitalidade se encontra em estado latente, como na crisálida, porém não aniquilada. Ora, enquanto o corpo vive, o Espírito se lhe acha ligado. Rompendo-se, por efeito da morte real e pela desagregação dos órgãos, os laços que prendem um ao outro, integral se torna a separação e o Espírito não volta mais ao seu envoltório. Desde que um homem, aparentemente morto, volve à vida, é que não era completa a morte.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Kardec quer saber se, estando o corpo físico em estado letárgico, seria possível ao Espírito desligar-se integralmente dele  causando assim uma impressão de "morte real" e, passado algum tempo,  o Espírito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poderia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retornar ao corpo.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responde que não, isso não é possível porque na letargia a vitalidade do corpo físico está extremamente baixa, porém não está extinta. E enquanto houver vitalidade no corpo - ainda que mínima - o Espírito permanecerá vinculado a ele.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Em ocorrendo a morte real e a falência dos órgãos, aí sim, os laços que mantêm o Espírito ligado ao corpo físico seriam rompidos em definitivo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e o Espírito estaria livre.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ainda diz que, desde que um homem, aparentemente morto, volve à vida, é que não era completa a morte.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Basta nós analisarmos o que Kardec nos diz sobre isso na obra </w:t>
      </w:r>
      <w:r>
        <w:rPr>
          <w:rFonts w:eastAsia="Noto Serif CJK SC" w:cs="Noto Sans Devanagari" w:ascii="Garamond" w:hAnsi="Garamond"/>
          <w:i/>
          <w:iCs/>
          <w:color w:val="00A0FC"/>
          <w:kern w:val="2"/>
          <w:sz w:val="36"/>
          <w:szCs w:val="36"/>
          <w:lang w:val="pt-BR" w:eastAsia="zh-CN" w:bidi="hi-IN"/>
        </w:rPr>
        <w:t>A Gênese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, capítulo XV </w:t>
      </w:r>
      <w:r>
        <w:rPr>
          <w:rFonts w:eastAsia="Noto Serif CJK SC" w:cs="Noto Sans Devanagari" w:ascii="Garamond" w:hAnsi="Garamond"/>
          <w:i/>
          <w:iCs/>
          <w:color w:val="00A0FC"/>
          <w:kern w:val="2"/>
          <w:sz w:val="36"/>
          <w:szCs w:val="36"/>
          <w:lang w:val="pt-BR" w:eastAsia="zh-CN" w:bidi="hi-IN"/>
        </w:rPr>
        <w:t>Os milagres do evangelho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Allan Kardec não considera a ressurreição de Lázaro um milagre no sentido sobrenatural, mas sim um fenômeno natural e explicável pelas leis espirituais. Segundo ele: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Lázaro não estava morto de fato, mas sim em estado de catalepsia ou letargia, condições pouco conhecidas na época, que podem simular a morte;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Esses estados são físicos, mas têm ligação com o desprendimento parcial do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spírito, o que faz parecer que a pessoa faleceu, embora os laços com o corpo ainda não tenham sido rompidos;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Jesus, com seu elevado poder espiritual e profundo conhecimento das leis naturais e fluídicas, teria sido capaz de: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perceber que Lázaro ainda estava vivo, embora em estado letárgico;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reativar as energias vitais de Lázaro com o uso do fluido espiritual, ou seja, magnetismo, despertando-o daquele estado profundo.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afirma que o verdadeiro milagre seria trazer alguém de volta à vida após a separação definitiva entre corpo e espírito, o que não ocorreu no caso de Lázaro.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Então Kardec corrobora o que a Espiritualidade disse na resposta dessa questão 423. Porém, não podemos nos esquecer que A Gênese foi a última obra de Allan Kardec,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sendo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publicada 11 anos após a publicação de O Livro dos Espíritos.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424</w:t>
      </w:r>
      <w:r>
        <w:rPr>
          <w:rFonts w:ascii="Garamond" w:hAnsi="Garamond"/>
          <w:sz w:val="36"/>
          <w:szCs w:val="36"/>
        </w:rPr>
        <w:t>. Por meio de cuidados dispensados a tempo, podem reatar-se laços prestes a se desfazerem e restituir-se à vida um ser que definitivamente morreria se não fosse socorrido?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Sem dúvida e todos os dias tendes a prova disso. O magnetismo, em tais casos, constitui, muitas vezes, poderoso meio de ação, porque restitui ao corpo o fluido vital que lhe falta para manter o funcionamento dos órgãos.”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A letargia e a catalepsia derivam do mesmo princípio, que é a perda temporária da sensibilidade e do movimento, por uma causa fisiológica ainda inexplicada. Diferem uma da outra em que, na letargia, a suspensão das forças vitais é geral e dá ao corpo todas as aparências da morte; na catalepsia, fica localizada, podendo atingir uma parte mais ou menos extensa do corpo, de sorte a permitir que a inteligência se manifeste livremente, o que a torna inconfundível com a morte. A letargia é sempre natural; a catalepsia é por vezes espontânea, mas pode ser provocada e suprimida, artificialmente, pela ação magnética.</w:t>
      </w:r>
    </w:p>
    <w:p>
      <w:pPr>
        <w:pStyle w:val="Normal"/>
        <w:bidi w:val="0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Se nós pensarmos bem, na pergunta de Kardec e na resposta da Espiritualidade nós temos o princípio do passe magnético.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colocou a questão num nível mais elevado porque ele pergunta se seria possível salvar a vida de alguém prestes a morrer,  Nessa questão Kardec pergunta se seria possível,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Parei aqui em 18/04/2025. O que Kardec deseja saber é se o Espírito que habita o corpo de um idiota, em seus momentos de emancipação espiritual tem consciência de sua condição.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4741</TotalTime>
  <Application>LibreOffice/7.2.2.2$Linux_X86_64 LibreOffice_project/02b2acce88a210515b4a5bb2e46cbfb63fe97d56</Application>
  <AppVersion>15.0000</AppVersion>
  <Pages>13</Pages>
  <Words>2088</Words>
  <Characters>10843</Characters>
  <CharactersWithSpaces>12893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2024-05-18T14:18:40Z</dcterms:created>
  <dc:creator/>
  <dc:description/>
  <dc:language>en-GB</dc:language>
  <cp:lastModifiedBy/>
  <dcterms:modified xsi:type="dcterms:W3CDTF">2025-04-19T22:02:51Z</dcterms:modified>
  <cp:revision>805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